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6F0441" w:rsidRPr="00151881" w:rsidP="006F0441" w14:paraId="335C6FE3" w14:textId="1D3101D8">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151881">
        <w:rPr>
          <w:rFonts w:cstheme="minorHAnsi"/>
        </w:rPr>
        <w:t xml:space="preserve">Implementation of the 8-hour National Ambient Air Quality Standards for </w:t>
      </w:r>
      <w:r>
        <w:rPr>
          <w:rFonts w:cstheme="minorHAnsi"/>
        </w:rPr>
        <w:t>Ozone</w:t>
      </w:r>
      <w:r w:rsidRPr="00151881">
        <w:rPr>
          <w:rFonts w:cstheme="minorHAnsi"/>
        </w:rPr>
        <w:t xml:space="preserve">: State Implementation Plan Requirements </w:t>
      </w:r>
    </w:p>
    <w:p w:rsidR="00EE2403" w:rsidRPr="00BB3410" w:rsidP="00BB432F" w14:paraId="71D5121E" w14:textId="703365F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6F0441">
        <w:rPr>
          <w:rFonts w:cstheme="minorHAnsi"/>
        </w:rPr>
        <w:t>2060-0695</w:t>
      </w:r>
    </w:p>
    <w:p w:rsidR="00EE2403" w:rsidRPr="00BB3410" w:rsidP="00ED57A4" w14:paraId="4FB77BCA" w14:textId="44CD909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F0441">
        <w:rPr>
          <w:rFonts w:cstheme="minorHAnsi"/>
        </w:rPr>
        <w:t>2347.05</w:t>
      </w:r>
    </w:p>
    <w:p w:rsidR="006F0441" w:rsidRPr="00151881" w:rsidP="006F0441" w14:paraId="67A16F5E" w14:textId="3C52E838">
      <w:pPr>
        <w:autoSpaceDE w:val="0"/>
        <w:autoSpaceDN w:val="0"/>
        <w:adjustRightInd w:val="0"/>
        <w:rPr>
          <w:rFonts w:cstheme="minorHAnsi"/>
        </w:rPr>
      </w:pPr>
      <w:r w:rsidRPr="4BDBF0A0">
        <w:rPr>
          <w:b/>
          <w:bCs/>
        </w:rPr>
        <w:t>Abstract:</w:t>
      </w:r>
      <w:r w:rsidRPr="4BDBF0A0" w:rsidR="00BB432F">
        <w:t xml:space="preserve"> </w:t>
      </w:r>
      <w:r w:rsidRPr="00151881">
        <w:rPr>
          <w:rFonts w:cstheme="minorHAnsi"/>
        </w:rPr>
        <w:t xml:space="preserve">The Paperwork Reduction Act requires the information found in this Information Collection Request (ICR) number 2347.05 to assess the burden (in hours and dollars) of the implementation of the 8-hour National Ambient Air Quality Standards for </w:t>
      </w:r>
      <w:r>
        <w:rPr>
          <w:rFonts w:cstheme="minorHAnsi"/>
        </w:rPr>
        <w:t>ozone</w:t>
      </w:r>
      <w:r w:rsidRPr="00151881">
        <w:rPr>
          <w:rFonts w:cstheme="minorHAnsi"/>
        </w:rPr>
        <w:t>, initially promulgated in 1997 and revised in 2008 and 2015.</w:t>
      </w:r>
      <w:r w:rsidRPr="00EE4D40">
        <w:rPr>
          <w:rFonts w:cstheme="minorHAnsi"/>
        </w:rPr>
        <w:t xml:space="preserve">  </w:t>
      </w:r>
      <w:r w:rsidRPr="00151881">
        <w:rPr>
          <w:rFonts w:cstheme="minorHAnsi"/>
        </w:rPr>
        <w:t xml:space="preserve">States are implementing the 2008 </w:t>
      </w:r>
      <w:r>
        <w:rPr>
          <w:rFonts w:cstheme="minorHAnsi"/>
        </w:rPr>
        <w:t>ozone</w:t>
      </w:r>
      <w:r w:rsidRPr="00151881">
        <w:rPr>
          <w:rFonts w:cstheme="minorHAnsi"/>
        </w:rPr>
        <w:t xml:space="preserve"> NAAQS pursuant to the CAA and implementation regulations (see 77 FR 30160 for the final 2008 </w:t>
      </w:r>
      <w:r>
        <w:rPr>
          <w:rFonts w:cstheme="minorHAnsi"/>
        </w:rPr>
        <w:t>ozone</w:t>
      </w:r>
      <w:r w:rsidRPr="00151881">
        <w:rPr>
          <w:rFonts w:cstheme="minorHAnsi"/>
        </w:rPr>
        <w:t xml:space="preserve"> classifications rule and 80 FR 12264 for the final 2008 </w:t>
      </w:r>
      <w:r>
        <w:rPr>
          <w:rFonts w:cstheme="minorHAnsi"/>
        </w:rPr>
        <w:t>ozone</w:t>
      </w:r>
      <w:r w:rsidRPr="00151881">
        <w:rPr>
          <w:rFonts w:cstheme="minorHAnsi"/>
        </w:rPr>
        <w:t xml:space="preserve"> SIP Requirements Rule). State activities include, but are not limited to, submission of attainment demonstrations, reasonable further progress (RFP) plans, and reasonably available control technology (RACT) determinations. This proposed ICR renewal updates the burden estimates for states to meet the planning requirements for remaining nonattainment areas for the 2008 and 2015 </w:t>
      </w:r>
      <w:r>
        <w:rPr>
          <w:rFonts w:cstheme="minorHAnsi"/>
        </w:rPr>
        <w:t>ozone</w:t>
      </w:r>
      <w:r w:rsidRPr="00151881">
        <w:rPr>
          <w:rFonts w:cstheme="minorHAnsi"/>
        </w:rPr>
        <w:t xml:space="preserve"> NAAQS over the next 3-year period, which apply primarily to 2015 </w:t>
      </w:r>
      <w:r>
        <w:rPr>
          <w:rFonts w:cstheme="minorHAnsi"/>
        </w:rPr>
        <w:t>ozone</w:t>
      </w:r>
      <w:r w:rsidRPr="00151881">
        <w:rPr>
          <w:rFonts w:cstheme="minorHAnsi"/>
        </w:rPr>
        <w:t xml:space="preserve"> Moderate nonattainment areas that may miss their August 3, </w:t>
      </w:r>
      <w:r w:rsidRPr="00E3633D">
        <w:rPr>
          <w:rFonts w:cstheme="minorHAnsi"/>
        </w:rPr>
        <w:t>2024,</w:t>
      </w:r>
      <w:r w:rsidRPr="00151881">
        <w:rPr>
          <w:rFonts w:cstheme="minorHAnsi"/>
        </w:rPr>
        <w:t xml:space="preserve"> attainment date and may need to be reclassified to a higher classification with new SIP revisions due from the states.</w:t>
      </w:r>
    </w:p>
    <w:p w:rsidR="006F0441" w:rsidRPr="00151881" w:rsidP="006F0441" w14:paraId="5262077C" w14:textId="77777777">
      <w:pPr>
        <w:autoSpaceDE w:val="0"/>
        <w:autoSpaceDN w:val="0"/>
        <w:adjustRightInd w:val="0"/>
        <w:rPr>
          <w:rFonts w:cstheme="minorHAnsi"/>
        </w:rPr>
      </w:pPr>
      <w:r w:rsidRPr="00151881">
        <w:rPr>
          <w:rFonts w:cstheme="minorHAnsi"/>
        </w:rPr>
        <w:t xml:space="preserve">This proposed ICR renewal also includes the burden estimate for activities for SIP revisions due from states with second 10-year maintenance plans due for their redesignated 2008 and 2015 </w:t>
      </w:r>
      <w:r>
        <w:rPr>
          <w:rFonts w:cstheme="minorHAnsi"/>
        </w:rPr>
        <w:t>ozone</w:t>
      </w:r>
      <w:r w:rsidRPr="00151881">
        <w:rPr>
          <w:rFonts w:cstheme="minorHAnsi"/>
        </w:rPr>
        <w:t xml:space="preserve"> areas, as well as 2008 and 2015 nonattainment </w:t>
      </w:r>
      <w:r>
        <w:rPr>
          <w:rFonts w:cstheme="minorHAnsi"/>
        </w:rPr>
        <w:t>areas</w:t>
      </w:r>
      <w:r w:rsidRPr="00151881">
        <w:rPr>
          <w:rFonts w:cstheme="minorHAnsi"/>
        </w:rPr>
        <w:t xml:space="preserve"> that may be eligible for redesignation to attainment. On October 1, 2015, </w:t>
      </w:r>
      <w:r>
        <w:rPr>
          <w:rFonts w:cstheme="minorHAnsi"/>
        </w:rPr>
        <w:t xml:space="preserve">the </w:t>
      </w:r>
      <w:r w:rsidRPr="00151881">
        <w:rPr>
          <w:rFonts w:cstheme="minorHAnsi"/>
        </w:rPr>
        <w:t xml:space="preserve">EPA strengthened the 8-hour NAAQS for ground-level </w:t>
      </w:r>
      <w:r>
        <w:rPr>
          <w:rFonts w:cstheme="minorHAnsi"/>
        </w:rPr>
        <w:t>ozone</w:t>
      </w:r>
      <w:r w:rsidRPr="00151881">
        <w:rPr>
          <w:rFonts w:cstheme="minorHAnsi"/>
        </w:rPr>
        <w:t>.</w:t>
      </w:r>
      <w:r w:rsidRPr="00EE4D40">
        <w:rPr>
          <w:rFonts w:cstheme="minorHAnsi"/>
        </w:rPr>
        <w:t xml:space="preserve">  </w:t>
      </w:r>
      <w:r w:rsidRPr="00151881">
        <w:rPr>
          <w:rFonts w:cstheme="minorHAnsi"/>
        </w:rPr>
        <w:t xml:space="preserve">The EPA revised the primary and secondary 2015 8-hour </w:t>
      </w:r>
      <w:r>
        <w:rPr>
          <w:rFonts w:cstheme="minorHAnsi"/>
        </w:rPr>
        <w:t>ozone</w:t>
      </w:r>
      <w:r w:rsidRPr="00151881">
        <w:rPr>
          <w:rFonts w:cstheme="minorHAnsi"/>
        </w:rPr>
        <w:t xml:space="preserve"> NAAQS level to 0.070 parts per million (ppm) from the 2008 8-hour </w:t>
      </w:r>
      <w:r>
        <w:rPr>
          <w:rFonts w:cstheme="minorHAnsi"/>
        </w:rPr>
        <w:t>ozone</w:t>
      </w:r>
      <w:r w:rsidRPr="00151881">
        <w:rPr>
          <w:rFonts w:cstheme="minorHAnsi"/>
        </w:rPr>
        <w:t xml:space="preserve"> standards of 0.075 ppm.</w:t>
      </w:r>
      <w:r w:rsidRPr="00EE4D40">
        <w:rPr>
          <w:rFonts w:cstheme="minorHAnsi"/>
        </w:rPr>
        <w:t xml:space="preserve">  </w:t>
      </w:r>
      <w:r w:rsidRPr="00151881">
        <w:rPr>
          <w:rFonts w:cstheme="minorHAnsi"/>
        </w:rPr>
        <w:t xml:space="preserve">The primary and secondary </w:t>
      </w:r>
      <w:r>
        <w:rPr>
          <w:rFonts w:cstheme="minorHAnsi"/>
        </w:rPr>
        <w:t>ozone</w:t>
      </w:r>
      <w:r w:rsidRPr="00151881">
        <w:rPr>
          <w:rFonts w:cstheme="minorHAnsi"/>
        </w:rPr>
        <w:t xml:space="preserve"> standards are designed to protect public health and </w:t>
      </w:r>
      <w:r>
        <w:rPr>
          <w:rFonts w:cstheme="minorHAnsi"/>
        </w:rPr>
        <w:t>protect</w:t>
      </w:r>
      <w:r w:rsidRPr="00151881">
        <w:rPr>
          <w:rFonts w:cstheme="minorHAnsi"/>
        </w:rPr>
        <w:t xml:space="preserve"> sensitive trees and plants, respectively.</w:t>
      </w:r>
      <w:r w:rsidRPr="00EE4D40">
        <w:rPr>
          <w:rFonts w:cstheme="minorHAnsi"/>
        </w:rPr>
        <w:t xml:space="preserve">  </w:t>
      </w:r>
    </w:p>
    <w:p w:rsidR="006F0441" w:rsidRPr="00151881" w:rsidP="006F0441" w14:paraId="68AB58A4" w14:textId="77777777">
      <w:pPr>
        <w:rPr>
          <w:rFonts w:cstheme="minorHAnsi"/>
        </w:rPr>
      </w:pPr>
      <w:r w:rsidRPr="00151881">
        <w:rPr>
          <w:rFonts w:cstheme="minorHAnsi"/>
        </w:rPr>
        <w:t>The EPA subsequently issued two rules governing the implementation of the 2015 NAAQS.</w:t>
      </w:r>
      <w:r w:rsidRPr="00EE4D40">
        <w:rPr>
          <w:rFonts w:cstheme="minorHAnsi"/>
        </w:rPr>
        <w:t xml:space="preserve">  </w:t>
      </w:r>
      <w:r w:rsidRPr="00151881">
        <w:rPr>
          <w:rFonts w:cstheme="minorHAnsi"/>
        </w:rPr>
        <w:t xml:space="preserve">The first was a rule addressing the classification of </w:t>
      </w:r>
      <w:r>
        <w:rPr>
          <w:rFonts w:cstheme="minorHAnsi"/>
        </w:rPr>
        <w:t>ozone</w:t>
      </w:r>
      <w:r w:rsidRPr="00151881">
        <w:rPr>
          <w:rFonts w:cstheme="minorHAnsi"/>
        </w:rPr>
        <w:t xml:space="preserve"> nonattainment areas for the 2015 </w:t>
      </w:r>
      <w:r>
        <w:rPr>
          <w:rFonts w:cstheme="minorHAnsi"/>
        </w:rPr>
        <w:t>ozone</w:t>
      </w:r>
      <w:r w:rsidRPr="00151881">
        <w:rPr>
          <w:rFonts w:cstheme="minorHAnsi"/>
        </w:rPr>
        <w:t xml:space="preserve"> NAAQS based on their air quality concentrations, finalized on March 9, 2018 (See 83 FR 10376).</w:t>
      </w:r>
      <w:r w:rsidRPr="00EE4D40">
        <w:rPr>
          <w:rFonts w:cstheme="minorHAnsi"/>
        </w:rPr>
        <w:t xml:space="preserve">  </w:t>
      </w:r>
      <w:r w:rsidRPr="00151881">
        <w:rPr>
          <w:rFonts w:cstheme="minorHAnsi"/>
        </w:rPr>
        <w:t xml:space="preserve">The second was a rule governing the development </w:t>
      </w:r>
      <w:r w:rsidRPr="00151881">
        <w:rPr>
          <w:rFonts w:cstheme="minorHAnsi"/>
        </w:rPr>
        <w:t>of</w:t>
      </w:r>
      <w:r w:rsidRPr="00EE4D40">
        <w:rPr>
          <w:rFonts w:cstheme="minorHAnsi"/>
        </w:rPr>
        <w:t xml:space="preserve">  </w:t>
      </w:r>
      <w:r w:rsidRPr="00151881">
        <w:rPr>
          <w:rFonts w:cstheme="minorHAnsi"/>
        </w:rPr>
        <w:t>State</w:t>
      </w:r>
      <w:r w:rsidRPr="00151881">
        <w:rPr>
          <w:rFonts w:cstheme="minorHAnsi"/>
        </w:rPr>
        <w:t xml:space="preserve"> Implementation Plans (SIPs) under the Clean Air Act</w:t>
      </w:r>
      <w:r w:rsidRPr="00EE4D40">
        <w:rPr>
          <w:rFonts w:cstheme="minorHAnsi"/>
        </w:rPr>
        <w:t xml:space="preserve">  </w:t>
      </w:r>
      <w:r w:rsidRPr="00151881">
        <w:rPr>
          <w:rFonts w:cstheme="minorHAnsi"/>
        </w:rPr>
        <w:t xml:space="preserve">(CAA) and addressing a range of other issues important for implementing the 2015 </w:t>
      </w:r>
      <w:r>
        <w:rPr>
          <w:rFonts w:cstheme="minorHAnsi"/>
        </w:rPr>
        <w:t>Ozone</w:t>
      </w:r>
      <w:r w:rsidRPr="00151881">
        <w:rPr>
          <w:rFonts w:cstheme="minorHAnsi"/>
        </w:rPr>
        <w:t xml:space="preserve"> NAAQS, referred to as the 2015 </w:t>
      </w:r>
      <w:r>
        <w:rPr>
          <w:rFonts w:cstheme="minorHAnsi"/>
        </w:rPr>
        <w:t>Ozone</w:t>
      </w:r>
      <w:r w:rsidRPr="00151881">
        <w:rPr>
          <w:rFonts w:cstheme="minorHAnsi"/>
        </w:rPr>
        <w:t xml:space="preserve"> NAAQS SIP Requirements Rule, which was finalized on December 6, 2018 (See 83 FR 62998). The EPA issued these two implementation rules so that states may know which statutory requirements apply for developing SIPs to implement the 2015 NAAQS.</w:t>
      </w:r>
      <w:r w:rsidRPr="00EE4D40">
        <w:rPr>
          <w:rFonts w:cstheme="minorHAnsi"/>
        </w:rPr>
        <w:t xml:space="preserve">   </w:t>
      </w:r>
    </w:p>
    <w:p w:rsidR="006F0441" w:rsidRPr="00151881" w:rsidP="006F0441" w14:paraId="5FFE4207" w14:textId="312A19E4">
      <w:pPr>
        <w:rPr>
          <w:rFonts w:cstheme="minorHAnsi"/>
        </w:rPr>
      </w:pPr>
      <w:r w:rsidRPr="00151881">
        <w:rPr>
          <w:rFonts w:cstheme="minorHAnsi"/>
        </w:rPr>
        <w:t xml:space="preserve">In addition to the 2015 NAAQS, </w:t>
      </w:r>
      <w:r>
        <w:rPr>
          <w:rFonts w:cstheme="minorHAnsi"/>
        </w:rPr>
        <w:t>ozone</w:t>
      </w:r>
      <w:r w:rsidRPr="00151881">
        <w:rPr>
          <w:rFonts w:cstheme="minorHAnsi"/>
        </w:rPr>
        <w:t xml:space="preserve"> standards that have been previously promulgated will remain in effect unless otherwise provided in future EPA rulemaking. Accordingly, states are also implementing the 2008 </w:t>
      </w:r>
      <w:r>
        <w:rPr>
          <w:rFonts w:cstheme="minorHAnsi"/>
        </w:rPr>
        <w:t>Ozone NAAQS and the revoked 1997 Ozone</w:t>
      </w:r>
      <w:r w:rsidRPr="00151881">
        <w:rPr>
          <w:rFonts w:cstheme="minorHAnsi"/>
        </w:rPr>
        <w:t xml:space="preserve"> NAAQS. Certain planning obligations for the 2008 </w:t>
      </w:r>
      <w:r w:rsidRPr="00151881">
        <w:rPr>
          <w:rFonts w:cstheme="minorHAnsi"/>
        </w:rPr>
        <w:t>NAAQS remain in effect for many areas designated nonattainment for the 2008 standards, including areas that were subsequently designated nonattainment for the 2015 standard.</w:t>
      </w:r>
      <w:r w:rsidRPr="00EE4D40">
        <w:rPr>
          <w:rFonts w:cstheme="minorHAnsi"/>
        </w:rPr>
        <w:t xml:space="preserve">  </w:t>
      </w:r>
      <w:r w:rsidRPr="00151881">
        <w:rPr>
          <w:rFonts w:cstheme="minorHAnsi"/>
        </w:rPr>
        <w:t xml:space="preserve">Areas that are nonattainment for both standards, along with areas that make up the </w:t>
      </w:r>
      <w:r>
        <w:rPr>
          <w:rFonts w:cstheme="minorHAnsi"/>
        </w:rPr>
        <w:t>ozone</w:t>
      </w:r>
      <w:r w:rsidRPr="00151881">
        <w:rPr>
          <w:rFonts w:cstheme="minorHAnsi"/>
        </w:rPr>
        <w:t xml:space="preserve"> transport region (OTR), are subject to SIP requirements for both standards, with parallel sets of requirements and due dates as specified in the CAA and EPA’s suite of implementation rules. In addition, states are still implementing certain requirements for the 1997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Although this NAAQS is revoked, certain requirements must still be met under the CAA’s anti-backsliding provisions.</w:t>
      </w:r>
      <w:r w:rsidRPr="00EE4D40">
        <w:rPr>
          <w:rFonts w:cstheme="minorHAnsi"/>
        </w:rPr>
        <w:t xml:space="preserve">     </w:t>
      </w:r>
    </w:p>
    <w:p w:rsidR="006F0441" w:rsidRPr="00151881" w:rsidP="006F0441" w14:paraId="55905FC7" w14:textId="77777777">
      <w:pPr>
        <w:rPr>
          <w:rFonts w:cstheme="minorHAnsi"/>
        </w:rPr>
      </w:pPr>
      <w:r w:rsidRPr="00151881">
        <w:rPr>
          <w:rFonts w:cstheme="minorHAnsi"/>
        </w:rPr>
        <w:t xml:space="preserve">This ICR estimates the implementation burden for the 3 years following the ICR approval date for all three NAAQS. The burden estimated for the 2008 NAAQS includes states with 10 nonattainment areas with second maintenance plans coming due, which are due 8 years after the effective date of the first maintenance plans’ final approval by EPA. The 2008 NAAQS has </w:t>
      </w:r>
      <w:r w:rsidRPr="00EE4D40">
        <w:rPr>
          <w:rFonts w:cstheme="minorHAnsi"/>
        </w:rPr>
        <w:t>22</w:t>
      </w:r>
      <w:r w:rsidRPr="00151881">
        <w:rPr>
          <w:rFonts w:cstheme="minorHAnsi"/>
        </w:rPr>
        <w:t xml:space="preserve"> nonattainment areas that may become eligible for redesignation to nonattainment</w:t>
      </w:r>
      <w:r>
        <w:rPr>
          <w:rFonts w:cstheme="minorHAnsi"/>
        </w:rPr>
        <w:t>. The</w:t>
      </w:r>
      <w:r w:rsidRPr="00151881">
        <w:rPr>
          <w:rFonts w:cstheme="minorHAnsi"/>
        </w:rPr>
        <w:t xml:space="preserve"> estimate of </w:t>
      </w:r>
      <w:r w:rsidRPr="00EE4D40">
        <w:rPr>
          <w:rFonts w:cstheme="minorHAnsi"/>
        </w:rPr>
        <w:t>22</w:t>
      </w:r>
      <w:r w:rsidRPr="00151881">
        <w:rPr>
          <w:rFonts w:cstheme="minorHAnsi"/>
        </w:rPr>
        <w:t xml:space="preserve"> areas is based on preliminary 2024 air quality data and areas with design values below 70 ppm. The burden of estimate for the 2015 NAAQS includes states with 26 moderate nonattainment areas currently not meeting the NAAQS with an August 3, 2024</w:t>
      </w:r>
      <w:r>
        <w:rPr>
          <w:rFonts w:cstheme="minorHAnsi"/>
        </w:rPr>
        <w:t>,</w:t>
      </w:r>
      <w:r w:rsidRPr="00151881">
        <w:rPr>
          <w:rFonts w:cstheme="minorHAnsi"/>
        </w:rPr>
        <w:t xml:space="preserve"> attainment date. If an area fails to attain this by that date, the area will be reclassified as Serious, and a new Serious area SIP will be due within 12</w:t>
      </w:r>
      <w:r w:rsidRPr="00EE4D40">
        <w:rPr>
          <w:rFonts w:cstheme="minorHAnsi"/>
        </w:rPr>
        <w:t>–</w:t>
      </w:r>
      <w:r w:rsidRPr="00151881">
        <w:rPr>
          <w:rFonts w:cstheme="minorHAnsi"/>
        </w:rPr>
        <w:t xml:space="preserve">24 months of the reclassification action, which is during the reporting period for this ICR. </w:t>
      </w:r>
    </w:p>
    <w:p w:rsidR="006F0441" w:rsidRPr="00151881" w:rsidP="006F0441" w14:paraId="758C5207" w14:textId="77777777">
      <w:pPr>
        <w:rPr>
          <w:rFonts w:cstheme="minorHAnsi"/>
        </w:rPr>
      </w:pPr>
      <w:r w:rsidRPr="00151881">
        <w:rPr>
          <w:rFonts w:cstheme="minorHAnsi"/>
        </w:rPr>
        <w:t xml:space="preserve">The estimates for a given planning cycle include both the state burden to develop and submit and the EPA burden to review and approve or disapprove attainment plans to meet the requirements prescribed in CAA sections 110 and part D, subparts 1 and 2 of Title I. An </w:t>
      </w:r>
      <w:r>
        <w:rPr>
          <w:rFonts w:cstheme="minorHAnsi"/>
        </w:rPr>
        <w:t>ozone</w:t>
      </w:r>
      <w:r w:rsidRPr="00151881">
        <w:rPr>
          <w:rFonts w:cstheme="minorHAnsi"/>
        </w:rPr>
        <w:t xml:space="preserve"> NAAQS attainment plan contains rules and other measures designed to improve air quality and achieve the NAAQS by the deadlines established under the CAA. It also must address several additional CAA requirements related to demonstrating timely attainment</w:t>
      </w:r>
      <w:r>
        <w:rPr>
          <w:rFonts w:cstheme="minorHAnsi"/>
        </w:rPr>
        <w:t>. It must</w:t>
      </w:r>
      <w:r w:rsidRPr="00151881">
        <w:rPr>
          <w:rFonts w:cstheme="minorHAnsi"/>
        </w:rPr>
        <w:t xml:space="preserve"> contain contingency measures </w:t>
      </w:r>
      <w:r>
        <w:rPr>
          <w:rFonts w:cstheme="minorHAnsi"/>
        </w:rPr>
        <w:t>if the nonattainment area does not achieve “reasonable further progress” (RFP) during the attainment period or if</w:t>
      </w:r>
      <w:r w:rsidRPr="00151881">
        <w:rPr>
          <w:rFonts w:cstheme="minorHAnsi"/>
        </w:rPr>
        <w:t xml:space="preserve"> the area does not attain the NAAQS by its attainment date. States that have attained the NAAQS by the applicable attainment date may be eligible to submit a redesignation request and maintenance plan to receive a redesignation from “nonattainment” to “attainment.” After a state submits an attainment or maintenance plan, the CAA requires the EPA to approve or disapprove the plan. Tribes may develop or submit attainment plans but are not required. </w:t>
      </w:r>
    </w:p>
    <w:p w:rsidR="00BB432F" w:rsidRPr="006F0441" w:rsidP="006F0441" w14:paraId="6A3E928D" w14:textId="0EBBCF20">
      <w:pPr>
        <w:rPr>
          <w:rFonts w:cstheme="minorHAnsi"/>
        </w:rPr>
      </w:pPr>
      <w:bookmarkStart w:id="1" w:name="_Hlk164758464"/>
      <w:r>
        <w:rPr>
          <w:rFonts w:cstheme="minorHAnsi"/>
        </w:rPr>
        <w:t>T</w:t>
      </w:r>
      <w:r w:rsidRPr="00EE4D40">
        <w:rPr>
          <w:rFonts w:cstheme="minorHAnsi"/>
        </w:rPr>
        <w:t>he</w:t>
      </w:r>
      <w:r w:rsidRPr="00151881">
        <w:rPr>
          <w:rFonts w:cstheme="minorHAnsi"/>
        </w:rPr>
        <w:t xml:space="preserve"> administrative burden for the areas and activities covered by this ICR reflects a decrease for the 2008 NAAQS and a decrease for the 2015 NAAQS due to a significant reduction in requirements coming due during the next three years compared to the implementation of the 2015 NAAQS in the previous ICR.</w:t>
      </w:r>
      <w:bookmarkEnd w:id="1"/>
    </w:p>
    <w:p w:rsidR="00DE4E0C" w:rsidRPr="00BB3410" w:rsidP="4BDBF0A0" w14:paraId="12DA0580" w14:textId="3A9EBC77">
      <w:pPr>
        <w:rPr>
          <w:b/>
          <w:bCs/>
          <w:u w:val="single"/>
        </w:rPr>
      </w:pPr>
      <w:r w:rsidRPr="4BDBF0A0">
        <w:rPr>
          <w:b/>
          <w:bCs/>
          <w:u w:val="single"/>
        </w:rPr>
        <w:t>Supporting Statement A</w:t>
      </w:r>
      <w:bookmarkEnd w:id="0"/>
    </w:p>
    <w:p w:rsidR="00D47CB3" w:rsidRPr="00E3122D" w:rsidP="00665026" w14:paraId="73FF37C3" w14:textId="77C3FA07">
      <w:pPr>
        <w:pStyle w:val="ListParagraph"/>
        <w:numPr>
          <w:ilvl w:val="0"/>
          <w:numId w:val="2"/>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F0441" w:rsidRPr="00151881" w:rsidP="006F0441" w14:paraId="1785AB18" w14:textId="0FCC2A01">
      <w:pPr>
        <w:rPr>
          <w:rFonts w:cstheme="minorHAnsi"/>
        </w:rPr>
      </w:pPr>
      <w:r w:rsidRPr="00151881">
        <w:rPr>
          <w:rFonts w:cstheme="minorHAnsi"/>
        </w:rPr>
        <w:t>Part D of Title I of the CAA sets forth the plan (implementation) requirements for areas designated nonattainment with a promulgated NAAQS.</w:t>
      </w:r>
      <w:r w:rsidRPr="00EE4D40">
        <w:rPr>
          <w:rFonts w:cstheme="minorHAnsi"/>
        </w:rPr>
        <w:t xml:space="preserve">  </w:t>
      </w:r>
      <w:r w:rsidRPr="00151881">
        <w:rPr>
          <w:rFonts w:cstheme="minorHAnsi"/>
        </w:rPr>
        <w:t xml:space="preserve">When the CAA Amendments of 1990 were enacted, the </w:t>
      </w:r>
      <w:r w:rsidRPr="00151881">
        <w:rPr>
          <w:rFonts w:cstheme="minorHAnsi"/>
        </w:rPr>
        <w:t xml:space="preserve">Subpart 2 provisions were specific to designated nonattainment areas for the 1-hour </w:t>
      </w:r>
      <w:r>
        <w:rPr>
          <w:rFonts w:cstheme="minorHAnsi"/>
        </w:rPr>
        <w:t>ozone</w:t>
      </w:r>
      <w:r w:rsidRPr="00151881">
        <w:rPr>
          <w:rFonts w:cstheme="minorHAnsi"/>
        </w:rPr>
        <w:t xml:space="preserve"> NAAQS, but the </w:t>
      </w:r>
      <w:r>
        <w:rPr>
          <w:rFonts w:cstheme="minorHAnsi"/>
        </w:rPr>
        <w:t>ozone</w:t>
      </w:r>
      <w:r w:rsidRPr="00151881">
        <w:rPr>
          <w:rFonts w:cstheme="minorHAnsi"/>
        </w:rPr>
        <w:t xml:space="preserve"> standards were revised in 1997. As a result of litigation and subsequent court decisions, a different implementation framework was developed for the 1997 8-hour </w:t>
      </w:r>
      <w:r>
        <w:rPr>
          <w:rFonts w:cstheme="minorHAnsi"/>
        </w:rPr>
        <w:t>ozone</w:t>
      </w:r>
      <w:r w:rsidRPr="00151881">
        <w:rPr>
          <w:rFonts w:cstheme="minorHAnsi"/>
        </w:rPr>
        <w:t xml:space="preserve"> NAAQS, set at 0.08 ppm. </w:t>
      </w:r>
      <w:bookmarkStart w:id="3" w:name="_Hlk17872883"/>
      <w:r w:rsidRPr="00151881">
        <w:rPr>
          <w:rFonts w:cstheme="minorHAnsi"/>
        </w:rPr>
        <w:t xml:space="preserve">EPA’s 1997 8-hour </w:t>
      </w:r>
      <w:r>
        <w:rPr>
          <w:rFonts w:cstheme="minorHAnsi"/>
        </w:rPr>
        <w:t>ozone</w:t>
      </w:r>
      <w:r w:rsidRPr="00151881">
        <w:rPr>
          <w:rFonts w:cstheme="minorHAnsi"/>
        </w:rPr>
        <w:t xml:space="preserve"> NAAQS Implementation Rule was issued in two phases:</w:t>
      </w:r>
      <w:r w:rsidRPr="00EE4D40">
        <w:rPr>
          <w:rFonts w:cstheme="minorHAnsi"/>
        </w:rPr>
        <w:t xml:space="preserve">  </w:t>
      </w:r>
      <w:r w:rsidRPr="00151881">
        <w:rPr>
          <w:rFonts w:cstheme="minorHAnsi"/>
        </w:rPr>
        <w:t>Phase 1 was published on April 30, 2004, and Phase 2 was published on November 29, 2005.</w:t>
      </w:r>
      <w:bookmarkEnd w:id="3"/>
      <w:r w:rsidRPr="00EE4D40">
        <w:rPr>
          <w:rFonts w:cstheme="minorHAnsi"/>
        </w:rPr>
        <w:t xml:space="preserve">  </w:t>
      </w:r>
    </w:p>
    <w:p w:rsidR="006F0441" w:rsidRPr="00151881" w:rsidP="006F0441" w14:paraId="19FE11DF" w14:textId="2FD4BBA1">
      <w:pPr>
        <w:rPr>
          <w:rFonts w:cstheme="minorHAnsi"/>
        </w:rPr>
      </w:pPr>
      <w:r>
        <w:rPr>
          <w:rFonts w:cstheme="minorHAnsi"/>
        </w:rPr>
        <w:t>O</w:t>
      </w:r>
      <w:r w:rsidRPr="00151881">
        <w:rPr>
          <w:rFonts w:cstheme="minorHAnsi"/>
        </w:rPr>
        <w:t xml:space="preserve">n March 12, 2008, EPA revised the 8-hour primary and secondary </w:t>
      </w:r>
      <w:r>
        <w:rPr>
          <w:rFonts w:cstheme="minorHAnsi"/>
        </w:rPr>
        <w:t>ozone</w:t>
      </w:r>
      <w:r w:rsidRPr="00151881">
        <w:rPr>
          <w:rFonts w:cstheme="minorHAnsi"/>
        </w:rPr>
        <w:t xml:space="preserve"> standards to a more stringent level of 0.075 parts per million (ppm).</w:t>
      </w:r>
      <w:r w:rsidRPr="00EE4D40">
        <w:rPr>
          <w:rFonts w:cstheme="minorHAnsi"/>
        </w:rPr>
        <w:t xml:space="preserve">  </w:t>
      </w:r>
      <w:r w:rsidRPr="00151881">
        <w:rPr>
          <w:rFonts w:cstheme="minorHAnsi"/>
        </w:rPr>
        <w:t xml:space="preserve">EPA then completed two rulemakings for implementing the 2008 8-hour </w:t>
      </w:r>
      <w:r>
        <w:rPr>
          <w:rFonts w:cstheme="minorHAnsi"/>
        </w:rPr>
        <w:t>ozone</w:t>
      </w:r>
      <w:r w:rsidRPr="00151881">
        <w:rPr>
          <w:rFonts w:cstheme="minorHAnsi"/>
        </w:rPr>
        <w:t xml:space="preserve"> NAAQS:</w:t>
      </w:r>
    </w:p>
    <w:p w:rsidR="006F0441" w:rsidRPr="00151881" w:rsidP="00665026" w14:paraId="430048CA" w14:textId="77777777">
      <w:pPr>
        <w:numPr>
          <w:ilvl w:val="0"/>
          <w:numId w:val="4"/>
        </w:numPr>
        <w:shd w:val="clear" w:color="auto" w:fill="FFFFFF"/>
        <w:spacing w:before="100" w:beforeAutospacing="1" w:after="60" w:line="240" w:lineRule="auto"/>
        <w:rPr>
          <w:rFonts w:cstheme="minorHAnsi"/>
          <w:color w:val="212121"/>
        </w:rPr>
      </w:pPr>
      <w:r w:rsidRPr="00151881">
        <w:rPr>
          <w:rFonts w:cstheme="minorHAnsi"/>
          <w:color w:val="212121"/>
        </w:rPr>
        <w:t xml:space="preserve">Final Implementation of the 2008 National Ambient Air Quality Standards for </w:t>
      </w:r>
      <w:r>
        <w:rPr>
          <w:rFonts w:cstheme="minorHAnsi"/>
          <w:color w:val="212121"/>
        </w:rPr>
        <w:t>Ozone</w:t>
      </w:r>
      <w:r w:rsidRPr="00151881">
        <w:rPr>
          <w:rFonts w:cstheme="minorHAnsi"/>
          <w:color w:val="212121"/>
        </w:rPr>
        <w:t xml:space="preserve">: Nonattainment Area Classifications Approach, Attainment Deadlines and Revocation of the 1997 </w:t>
      </w:r>
      <w:r>
        <w:rPr>
          <w:rFonts w:cstheme="minorHAnsi"/>
          <w:color w:val="212121"/>
        </w:rPr>
        <w:t>Ozone</w:t>
      </w:r>
      <w:r w:rsidRPr="00151881">
        <w:rPr>
          <w:rFonts w:cstheme="minorHAnsi"/>
          <w:color w:val="212121"/>
        </w:rPr>
        <w:t xml:space="preserve"> Standards for Transportation Conformity Purposes (77 FR 30160, May 21, 2012).</w:t>
      </w:r>
      <w:r w:rsidRPr="00151881">
        <w:rPr>
          <w:rFonts w:cstheme="minorHAnsi"/>
          <w:color w:val="212121"/>
        </w:rPr>
        <w:t xml:space="preserve"> </w:t>
      </w:r>
    </w:p>
    <w:p w:rsidR="006F0441" w:rsidRPr="00151881" w:rsidP="00665026" w14:paraId="7CF550BC" w14:textId="77777777">
      <w:pPr>
        <w:numPr>
          <w:ilvl w:val="0"/>
          <w:numId w:val="4"/>
        </w:numPr>
        <w:shd w:val="clear" w:color="auto" w:fill="FFFFFF"/>
        <w:spacing w:before="100" w:beforeAutospacing="1" w:after="60" w:line="240" w:lineRule="auto"/>
        <w:rPr>
          <w:rStyle w:val="Hyperlink"/>
          <w:rFonts w:cstheme="minorHAnsi"/>
          <w:color w:val="212121"/>
          <w:u w:val="none"/>
        </w:rPr>
      </w:pPr>
      <w:r w:rsidRPr="00151881">
        <w:rPr>
          <w:rFonts w:cstheme="minorHAnsi"/>
          <w:color w:val="212121"/>
        </w:rPr>
        <w:t xml:space="preserve">Final Implementation of the 2008 National Ambient Air Quality Standards for </w:t>
      </w:r>
      <w:r>
        <w:rPr>
          <w:rFonts w:cstheme="minorHAnsi"/>
          <w:color w:val="212121"/>
        </w:rPr>
        <w:t>Ozone</w:t>
      </w:r>
      <w:r w:rsidRPr="00151881">
        <w:rPr>
          <w:rFonts w:cstheme="minorHAnsi"/>
          <w:color w:val="212121"/>
        </w:rPr>
        <w:t>: State Implementation Plan Requirements; Revocation of the 1997 NAAQS (</w:t>
      </w:r>
      <w:hyperlink r:id="rId10" w:tgtFrame="_blank" w:history="1">
        <w:r w:rsidRPr="00151881">
          <w:rPr>
            <w:rStyle w:val="Hyperlink"/>
            <w:rFonts w:cstheme="minorHAnsi"/>
            <w:color w:val="4C2C92"/>
          </w:rPr>
          <w:t>80 FR 12264</w:t>
        </w:r>
      </w:hyperlink>
      <w:r w:rsidRPr="00151881">
        <w:rPr>
          <w:rStyle w:val="Hyperlink"/>
          <w:rFonts w:cstheme="minorHAnsi"/>
          <w:color w:val="4C2C92"/>
        </w:rPr>
        <w:t xml:space="preserve">, </w:t>
      </w:r>
      <w:r w:rsidRPr="00151881">
        <w:rPr>
          <w:rFonts w:cstheme="minorHAnsi"/>
          <w:color w:val="212121"/>
        </w:rPr>
        <w:t>March 6, 2015). </w:t>
      </w:r>
    </w:p>
    <w:p w:rsidR="006F0441" w:rsidP="006F0441" w14:paraId="5829F9FD" w14:textId="77777777">
      <w:pPr>
        <w:rPr>
          <w:rFonts w:cstheme="minorHAnsi"/>
        </w:rPr>
      </w:pPr>
    </w:p>
    <w:p w:rsidR="006F0441" w:rsidRPr="00151881" w:rsidP="006F0441" w14:paraId="7D7415D0" w14:textId="26EC73FA">
      <w:pPr>
        <w:rPr>
          <w:rFonts w:cstheme="minorHAnsi"/>
        </w:rPr>
      </w:pPr>
      <w:r w:rsidRPr="00151881">
        <w:rPr>
          <w:rFonts w:cstheme="minorHAnsi"/>
        </w:rPr>
        <w:t xml:space="preserve">On October 1, 2015, </w:t>
      </w:r>
      <w:r>
        <w:rPr>
          <w:rFonts w:cstheme="minorHAnsi"/>
        </w:rPr>
        <w:t xml:space="preserve">the </w:t>
      </w:r>
      <w:r w:rsidRPr="00151881">
        <w:rPr>
          <w:rFonts w:cstheme="minorHAnsi"/>
        </w:rPr>
        <w:t xml:space="preserve">EPA again strengthened the </w:t>
      </w:r>
      <w:r>
        <w:rPr>
          <w:rFonts w:cstheme="minorHAnsi"/>
        </w:rPr>
        <w:t>ozone</w:t>
      </w:r>
      <w:r w:rsidRPr="00151881">
        <w:rPr>
          <w:rFonts w:cstheme="minorHAnsi"/>
        </w:rPr>
        <w:t xml:space="preserve"> NAAQS. Specifically, </w:t>
      </w:r>
      <w:r>
        <w:rPr>
          <w:rFonts w:cstheme="minorHAnsi"/>
        </w:rPr>
        <w:t xml:space="preserve">the </w:t>
      </w:r>
      <w:r w:rsidRPr="00151881">
        <w:rPr>
          <w:rFonts w:cstheme="minorHAnsi"/>
        </w:rPr>
        <w:t xml:space="preserve">EPA set </w:t>
      </w:r>
      <w:r w:rsidRPr="00422E48">
        <w:rPr>
          <w:rFonts w:cstheme="minorHAnsi"/>
        </w:rPr>
        <w:t xml:space="preserve">the 8-hour primary and secondary </w:t>
      </w:r>
      <w:r>
        <w:rPr>
          <w:rFonts w:cstheme="minorHAnsi"/>
        </w:rPr>
        <w:t>ozone</w:t>
      </w:r>
      <w:r w:rsidRPr="00422E48">
        <w:rPr>
          <w:rFonts w:cstheme="minorHAnsi"/>
        </w:rPr>
        <w:t xml:space="preserve"> standards at </w:t>
      </w:r>
      <w:r w:rsidRPr="00151881">
        <w:rPr>
          <w:rFonts w:cstheme="minorHAnsi"/>
        </w:rPr>
        <w:t xml:space="preserve">0.070 ppm. For purposes of the 2015 </w:t>
      </w:r>
      <w:r>
        <w:rPr>
          <w:rFonts w:cstheme="minorHAnsi"/>
        </w:rPr>
        <w:t>ozone</w:t>
      </w:r>
      <w:r w:rsidRPr="00151881">
        <w:rPr>
          <w:rFonts w:cstheme="minorHAnsi"/>
        </w:rPr>
        <w:t xml:space="preserve"> NAAQS, the EPA is generally applying the same overall framework and policy approach of the implementation provisions associated with the previous 8-hour NAAQS, </w:t>
      </w:r>
      <w:r>
        <w:rPr>
          <w:rFonts w:cstheme="minorHAnsi"/>
        </w:rPr>
        <w:t>except for</w:t>
      </w:r>
      <w:r w:rsidRPr="00151881">
        <w:rPr>
          <w:rFonts w:cstheme="minorHAnsi"/>
        </w:rPr>
        <w:t xml:space="preserve"> elements addressed in the adverse portions of the D.C. Circuit’s February 2018 decision in </w:t>
      </w:r>
      <w:r w:rsidRPr="00151881">
        <w:rPr>
          <w:rFonts w:cstheme="minorHAnsi"/>
          <w:i/>
        </w:rPr>
        <w:t xml:space="preserve">South Coast Air Quality Management District v. </w:t>
      </w:r>
      <w:r w:rsidRPr="00151881">
        <w:rPr>
          <w:rFonts w:cstheme="minorHAnsi"/>
          <w:i/>
          <w:iCs/>
        </w:rPr>
        <w:t>EPA</w:t>
      </w:r>
      <w:r w:rsidRPr="00151881">
        <w:rPr>
          <w:rFonts w:cstheme="minorHAnsi"/>
        </w:rPr>
        <w:t>, 882 F.3d 1138</w:t>
      </w:r>
      <w:r w:rsidRPr="00151881">
        <w:rPr>
          <w:rFonts w:cstheme="minorHAnsi"/>
          <w:i/>
          <w:iCs/>
        </w:rPr>
        <w:t xml:space="preserve"> </w:t>
      </w:r>
      <w:r w:rsidRPr="00151881">
        <w:rPr>
          <w:rFonts w:cstheme="minorHAnsi"/>
        </w:rPr>
        <w:t xml:space="preserve">(D.C. Cir. 2018), to provide for regulatory certainty and consistent implementation across time. EPA completed two rulemakings for implementing the 2015 8-hour </w:t>
      </w:r>
      <w:r>
        <w:rPr>
          <w:rFonts w:cstheme="minorHAnsi"/>
        </w:rPr>
        <w:t>ozone</w:t>
      </w:r>
      <w:r w:rsidRPr="00151881">
        <w:rPr>
          <w:rFonts w:cstheme="minorHAnsi"/>
        </w:rPr>
        <w:t xml:space="preserve"> NAAQS:</w:t>
      </w:r>
      <w:r w:rsidRPr="00EE4D40">
        <w:rPr>
          <w:rFonts w:cstheme="minorHAnsi"/>
        </w:rPr>
        <w:t xml:space="preserve">  </w:t>
      </w:r>
    </w:p>
    <w:p w:rsidR="006F0441" w:rsidRPr="00151881" w:rsidP="00665026" w14:paraId="67ECA4FC" w14:textId="77777777">
      <w:pPr>
        <w:numPr>
          <w:ilvl w:val="0"/>
          <w:numId w:val="5"/>
        </w:numPr>
        <w:spacing w:after="0" w:line="240" w:lineRule="auto"/>
        <w:rPr>
          <w:rFonts w:cstheme="minorHAnsi"/>
        </w:rPr>
      </w:pPr>
      <w:r w:rsidRPr="00151881">
        <w:rPr>
          <w:rFonts w:cstheme="minorHAnsi"/>
          <w:color w:val="212121"/>
          <w:shd w:val="clear" w:color="auto" w:fill="FFFFFF"/>
        </w:rPr>
        <w:t xml:space="preserve">Implementation of the 2015 National Ambient Air Quality Standards for </w:t>
      </w:r>
      <w:r>
        <w:rPr>
          <w:rFonts w:cstheme="minorHAnsi"/>
          <w:color w:val="212121"/>
          <w:shd w:val="clear" w:color="auto" w:fill="FFFFFF"/>
        </w:rPr>
        <w:t>Ozone</w:t>
      </w:r>
      <w:r w:rsidRPr="00151881">
        <w:rPr>
          <w:rFonts w:cstheme="minorHAnsi"/>
          <w:color w:val="212121"/>
          <w:shd w:val="clear" w:color="auto" w:fill="FFFFFF"/>
        </w:rPr>
        <w:t xml:space="preserve">: Nonattainment Area Classifications Approach (83 FR 10376, March 9, 2018). </w:t>
      </w:r>
    </w:p>
    <w:p w:rsidR="006F0441" w:rsidRPr="00151881" w:rsidP="00665026" w14:paraId="7C824217" w14:textId="77777777">
      <w:pPr>
        <w:numPr>
          <w:ilvl w:val="0"/>
          <w:numId w:val="5"/>
        </w:numPr>
        <w:spacing w:after="0" w:line="240" w:lineRule="auto"/>
        <w:rPr>
          <w:rFonts w:cstheme="minorHAnsi"/>
        </w:rPr>
      </w:pPr>
      <w:r w:rsidRPr="00151881">
        <w:rPr>
          <w:rFonts w:cstheme="minorHAnsi"/>
        </w:rPr>
        <w:t xml:space="preserve">Implementation of the 2015 National Ambient Air Quality Standards for </w:t>
      </w:r>
      <w:r>
        <w:rPr>
          <w:rFonts w:cstheme="minorHAnsi"/>
        </w:rPr>
        <w:t>Ozone</w:t>
      </w:r>
      <w:r w:rsidRPr="00151881">
        <w:rPr>
          <w:rFonts w:cstheme="minorHAnsi"/>
        </w:rPr>
        <w:t>: Nonattainment Area State Implementation Plan Requirements (83 FR 62998 December 6, 2018).</w:t>
      </w:r>
    </w:p>
    <w:p w:rsidR="006F0441" w:rsidRPr="00151881" w:rsidP="006F0441" w14:paraId="2C2E77CC" w14:textId="77777777">
      <w:pPr>
        <w:ind w:left="360" w:firstLine="360"/>
        <w:rPr>
          <w:rFonts w:cstheme="minorHAnsi"/>
        </w:rPr>
      </w:pPr>
    </w:p>
    <w:p w:rsidR="006F0441" w:rsidRPr="00151881" w:rsidP="006F0441" w14:paraId="0DB6A84D" w14:textId="77777777">
      <w:pPr>
        <w:rPr>
          <w:rFonts w:cstheme="minorHAnsi"/>
        </w:rPr>
      </w:pPr>
      <w:r w:rsidRPr="00151881">
        <w:rPr>
          <w:rFonts w:cstheme="minorHAnsi"/>
        </w:rPr>
        <w:t>EPA promulgates implementation rules so that</w:t>
      </w:r>
      <w:r>
        <w:rPr>
          <w:rFonts w:cstheme="minorHAnsi"/>
        </w:rPr>
        <w:t xml:space="preserve"> the</w:t>
      </w:r>
      <w:r w:rsidRPr="00151881">
        <w:rPr>
          <w:rFonts w:cstheme="minorHAnsi"/>
        </w:rPr>
        <w:t xml:space="preserve"> state</w:t>
      </w:r>
      <w:r>
        <w:rPr>
          <w:rFonts w:cstheme="minorHAnsi"/>
        </w:rPr>
        <w:t xml:space="preserve">s </w:t>
      </w:r>
      <w:r w:rsidRPr="00151881">
        <w:rPr>
          <w:rFonts w:cstheme="minorHAnsi"/>
        </w:rPr>
        <w:t xml:space="preserve">know how to interpret statutory requirements for purposes of developing SIPs to implement the 2015 8-hour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The intended effect of the SIP Requirements Rule is to provide certainty to states regarding their planning obligations such that states may begin SIP development upon designation and classification of areas for that 8-hour standard.</w:t>
      </w:r>
      <w:r w:rsidRPr="00EE4D40">
        <w:rPr>
          <w:rFonts w:cstheme="minorHAnsi"/>
        </w:rPr>
        <w:t xml:space="preserve">  </w:t>
      </w:r>
    </w:p>
    <w:p w:rsidR="006F0441" w:rsidRPr="00151881" w:rsidP="006F0441" w14:paraId="3363479F" w14:textId="77777777">
      <w:pPr>
        <w:rPr>
          <w:rFonts w:cstheme="minorHAnsi"/>
        </w:rPr>
      </w:pPr>
      <w:r w:rsidRPr="00151881">
        <w:rPr>
          <w:rFonts w:cstheme="minorHAnsi"/>
        </w:rPr>
        <w:t xml:space="preserve">Because </w:t>
      </w:r>
      <w:r>
        <w:rPr>
          <w:rFonts w:cstheme="minorHAnsi"/>
        </w:rPr>
        <w:t xml:space="preserve">three different 8-hour ozone NAAQS are </w:t>
      </w:r>
      <w:r w:rsidRPr="00151881">
        <w:rPr>
          <w:rFonts w:cstheme="minorHAnsi"/>
        </w:rPr>
        <w:t>currently in effect, with different planning timeframes and attainment dates, it is necessary to track information collection requirements for all NAAQS in parallel.</w:t>
      </w:r>
      <w:r w:rsidRPr="00EE4D40">
        <w:rPr>
          <w:rFonts w:cstheme="minorHAnsi"/>
        </w:rPr>
        <w:t xml:space="preserve">  </w:t>
      </w:r>
      <w:r w:rsidRPr="00151881">
        <w:rPr>
          <w:rFonts w:cstheme="minorHAnsi"/>
        </w:rPr>
        <w:t xml:space="preserve">The burden information presented here consists of estimates for the non-revoked 2008 and 2015 </w:t>
      </w:r>
      <w:r>
        <w:rPr>
          <w:rFonts w:cstheme="minorHAnsi"/>
        </w:rPr>
        <w:t>ozone</w:t>
      </w:r>
      <w:r w:rsidRPr="00151881">
        <w:rPr>
          <w:rFonts w:cstheme="minorHAnsi"/>
        </w:rPr>
        <w:t xml:space="preserve"> NAAQS and the revoked 1997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 xml:space="preserve">The burden estimates for implementing the </w:t>
      </w:r>
      <w:r>
        <w:rPr>
          <w:rFonts w:cstheme="minorHAnsi"/>
        </w:rPr>
        <w:t>three</w:t>
      </w:r>
      <w:r w:rsidRPr="00151881">
        <w:rPr>
          <w:rFonts w:cstheme="minorHAnsi"/>
        </w:rPr>
        <w:t xml:space="preserve"> 8-hour </w:t>
      </w:r>
      <w:r>
        <w:rPr>
          <w:rFonts w:cstheme="minorHAnsi"/>
        </w:rPr>
        <w:t>ozone</w:t>
      </w:r>
      <w:r w:rsidRPr="00151881">
        <w:rPr>
          <w:rFonts w:cstheme="minorHAnsi"/>
        </w:rPr>
        <w:t xml:space="preserve"> NAAQS are combined to determine the total burden for the </w:t>
      </w:r>
      <w:r>
        <w:rPr>
          <w:rFonts w:cstheme="minorHAnsi"/>
        </w:rPr>
        <w:t xml:space="preserve">ICR’s </w:t>
      </w:r>
      <w:r w:rsidRPr="00151881">
        <w:rPr>
          <w:rFonts w:cstheme="minorHAnsi"/>
        </w:rPr>
        <w:t>3-year period.</w:t>
      </w:r>
    </w:p>
    <w:p w:rsidR="00D47CB3" w:rsidRPr="00E3122D" w:rsidP="00665026" w14:paraId="24F38A28" w14:textId="345BCCC4">
      <w:pPr>
        <w:pStyle w:val="ListParagraph"/>
        <w:numPr>
          <w:ilvl w:val="0"/>
          <w:numId w:val="2"/>
        </w:numPr>
        <w:pBdr>
          <w:bottom w:val="single" w:sz="4" w:space="1" w:color="auto"/>
        </w:pBdr>
        <w:spacing w:before="240" w:after="0"/>
        <w:rPr>
          <w:rFonts w:cstheme="minorHAnsi"/>
          <w:b/>
          <w:bCs/>
        </w:rPr>
      </w:pPr>
      <w:bookmarkStart w:id="4" w:name="_Toc156593369"/>
      <w:r w:rsidRPr="00E3122D">
        <w:rPr>
          <w:rFonts w:cstheme="minorHAnsi"/>
          <w:b/>
          <w:bCs/>
        </w:rPr>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F0441" w:rsidRPr="00151881" w:rsidP="006F0441" w14:paraId="71F53DF7" w14:textId="63684F97">
      <w:pPr>
        <w:rPr>
          <w:rFonts w:cstheme="minorHAnsi"/>
        </w:rPr>
      </w:pPr>
      <w:r w:rsidRPr="00151881">
        <w:rPr>
          <w:rFonts w:cstheme="minorHAnsi"/>
        </w:rPr>
        <w:t>The EPA and the public use the data collected from respondents to judge the adequacy of SIPs to meet the statutory purposes of attaining and maintaining the NAAQS.</w:t>
      </w:r>
      <w:r w:rsidRPr="00EE4D40">
        <w:rPr>
          <w:rFonts w:cstheme="minorHAnsi"/>
        </w:rPr>
        <w:t xml:space="preserve">  </w:t>
      </w:r>
      <w:r w:rsidRPr="00151881">
        <w:rPr>
          <w:rFonts w:cstheme="minorHAnsi"/>
        </w:rPr>
        <w:t>In particular, EPA</w:t>
      </w:r>
      <w:r w:rsidRPr="00151881">
        <w:rPr>
          <w:rFonts w:cstheme="minorHAnsi"/>
        </w:rPr>
        <w:t xml:space="preserve"> must approve or disapprove, through notice-and-comment rulemaking, state plan submittals. Accordingly, the data collected from respondents include modeled attainment demonstrations, RFP SIP submissions, and RACT SIP submissions.</w:t>
      </w:r>
      <w:r w:rsidRPr="00EE4D40">
        <w:rPr>
          <w:rFonts w:cstheme="minorHAnsi"/>
        </w:rPr>
        <w:t xml:space="preserve">  </w:t>
      </w:r>
      <w:r w:rsidRPr="00151881">
        <w:rPr>
          <w:rFonts w:cstheme="minorHAnsi"/>
        </w:rPr>
        <w:t xml:space="preserve">The attainment demonstration indicates what emissions reductions are necessary to attain and maintain the 8-hour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The RFP SIP describes how the RFP obligation will be met by the affected nonattainment areas as emission reductions are phased in over time.</w:t>
      </w:r>
      <w:r w:rsidRPr="00EE4D40">
        <w:rPr>
          <w:rFonts w:cstheme="minorHAnsi"/>
        </w:rPr>
        <w:t xml:space="preserve">  </w:t>
      </w:r>
      <w:r w:rsidRPr="00151881">
        <w:rPr>
          <w:rFonts w:cstheme="minorHAnsi"/>
        </w:rPr>
        <w:t xml:space="preserve">The RACT SIP identifies the assessment of present controls on affected sources of emissions to see if they meet RACT requirements, and it </w:t>
      </w:r>
      <w:r>
        <w:rPr>
          <w:rFonts w:cstheme="minorHAnsi"/>
        </w:rPr>
        <w:t>determines</w:t>
      </w:r>
      <w:r w:rsidRPr="00151881">
        <w:rPr>
          <w:rFonts w:cstheme="minorHAnsi"/>
        </w:rPr>
        <w:t xml:space="preserve"> where additional measures and emissions reductions are required.</w:t>
      </w:r>
      <w:r w:rsidRPr="00EE4D40">
        <w:rPr>
          <w:rFonts w:cstheme="minorHAnsi"/>
        </w:rPr>
        <w:t xml:space="preserve">  </w:t>
      </w:r>
      <w:r w:rsidRPr="00151881">
        <w:rPr>
          <w:rFonts w:cstheme="minorHAnsi"/>
        </w:rPr>
        <w:t xml:space="preserve">The RACT requirements can be used to meet RFP requirements; the RACT and RFP requirements can also be used to satisfy the emission reduction requirements to attain and maintain the 8-hour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The similarities between the RACT and RFP requirements may be reflected in the attainment demonstration.</w:t>
      </w:r>
    </w:p>
    <w:p w:rsidR="006F0441" w:rsidRPr="00151881" w:rsidP="006F0441" w14:paraId="70362318" w14:textId="77777777">
      <w:pPr>
        <w:rPr>
          <w:rFonts w:cstheme="minorHAnsi"/>
        </w:rPr>
      </w:pPr>
      <w:r w:rsidRPr="00151881">
        <w:rPr>
          <w:rFonts w:cstheme="minorHAnsi"/>
        </w:rPr>
        <w:t>Regional and headquarters EPA offices use the information as part of their review of attainment demonstrations, RFP SIPs, and RACT SIPs to determine their adequacy. Emission-reducing regulations developed by the states and approved by the EPA are federally enforceable.</w:t>
      </w:r>
      <w:r w:rsidRPr="00EE4D40">
        <w:rPr>
          <w:rFonts w:cstheme="minorHAnsi"/>
        </w:rPr>
        <w:t xml:space="preserve">  </w:t>
      </w:r>
    </w:p>
    <w:p w:rsidR="006F0441" w:rsidRPr="00151881" w:rsidP="006F0441" w14:paraId="129C2B0A" w14:textId="7A7551CD">
      <w:pPr>
        <w:rPr>
          <w:rFonts w:cstheme="minorHAnsi"/>
        </w:rPr>
      </w:pPr>
      <w:r w:rsidRPr="00151881">
        <w:rPr>
          <w:rFonts w:cstheme="minorHAnsi"/>
        </w:rPr>
        <w:t>States use the attainment demonstrations, RFP SIP submissions, and RACT SIP submissions to inform their citizenry, including potentially regulated entities, of the control strategy to bring an area into attainment.</w:t>
      </w:r>
      <w:r w:rsidRPr="00EE4D40">
        <w:rPr>
          <w:rFonts w:cstheme="minorHAnsi"/>
        </w:rPr>
        <w:t xml:space="preserve">  </w:t>
      </w:r>
      <w:r w:rsidRPr="00151881">
        <w:rPr>
          <w:rFonts w:cstheme="minorHAnsi"/>
        </w:rPr>
        <w:t xml:space="preserve">They also use this information and analysis to fulfill federal obligations under Title I, subpart D of the CAA and EPA’s associated implementation rules. </w:t>
      </w:r>
    </w:p>
    <w:p w:rsidR="00BB432F" w:rsidRPr="00BB3410" w:rsidP="006F0441" w14:paraId="1E879A61" w14:textId="08A90065">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Potentially regulated entities use this information to assess</w:t>
      </w:r>
      <w:r w:rsidRPr="00151881">
        <w:rPr>
          <w:rFonts w:cstheme="minorHAnsi"/>
        </w:rPr>
        <w:t xml:space="preserve"> future emission reduction requirements and control measures.</w:t>
      </w:r>
    </w:p>
    <w:p w:rsidR="00074917" w:rsidRPr="00E3122D" w:rsidP="00665026" w14:paraId="1522D565" w14:textId="553E3A2D">
      <w:pPr>
        <w:pStyle w:val="ListParagraph"/>
        <w:numPr>
          <w:ilvl w:val="0"/>
          <w:numId w:val="2"/>
        </w:numPr>
        <w:pBdr>
          <w:bottom w:val="single" w:sz="4" w:space="1" w:color="auto"/>
        </w:pBdr>
        <w:spacing w:before="240" w:after="0"/>
        <w:rPr>
          <w:rFonts w:cstheme="minorHAnsi"/>
          <w:b/>
          <w:bCs/>
        </w:rPr>
      </w:pPr>
      <w:bookmarkStart w:id="5" w:name="_Toc156593370"/>
      <w:r w:rsidRPr="00E3122D">
        <w:rPr>
          <w:rFonts w:cstheme="minorHAnsi"/>
          <w:b/>
          <w:bCs/>
        </w:rPr>
        <w:t>USE OF TECHNOLOGY</w:t>
      </w:r>
      <w:bookmarkEnd w:id="5"/>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5BF8C6A0">
      <w:pPr>
        <w:pBdr>
          <w:top w:val="single" w:sz="6" w:space="0" w:color="FFFFFF"/>
          <w:left w:val="single" w:sz="6" w:space="0" w:color="FFFFFF"/>
          <w:bottom w:val="single" w:sz="6" w:space="0" w:color="FFFFFF"/>
          <w:right w:val="single" w:sz="6" w:space="0" w:color="FFFFFF"/>
        </w:pBdr>
        <w:rPr>
          <w:rFonts w:cstheme="minorHAnsi"/>
        </w:rPr>
      </w:pPr>
      <w:r w:rsidRPr="00151881">
        <w:rPr>
          <w:rFonts w:cstheme="minorHAnsi"/>
        </w:rPr>
        <w:t>The attainment demonstration, RFP and RACT SIP submittals, and second 10-year maintenance plans are expected to be submitted through the State Planning Electronic Collection System (</w:t>
      </w:r>
      <w:r w:rsidRPr="00151881">
        <w:rPr>
          <w:rFonts w:cstheme="minorHAnsi"/>
        </w:rPr>
        <w:t>SPeCS</w:t>
      </w:r>
      <w:r w:rsidRPr="00151881">
        <w:rPr>
          <w:rFonts w:cstheme="minorHAnsi"/>
        </w:rPr>
        <w:t xml:space="preserve">), </w:t>
      </w:r>
      <w:r>
        <w:rPr>
          <w:rFonts w:cstheme="minorHAnsi"/>
        </w:rPr>
        <w:t>which all states are registered with</w:t>
      </w:r>
      <w:r w:rsidRPr="00151881">
        <w:rPr>
          <w:rFonts w:cstheme="minorHAnsi"/>
        </w:rPr>
        <w:t>.</w:t>
      </w:r>
    </w:p>
    <w:p w:rsidR="005263EC" w:rsidRPr="00E3122D" w:rsidP="00665026" w14:paraId="2CB3B868" w14:textId="58CBB947">
      <w:pPr>
        <w:pStyle w:val="ListParagraph"/>
        <w:numPr>
          <w:ilvl w:val="0"/>
          <w:numId w:val="2"/>
        </w:numPr>
        <w:pBdr>
          <w:bottom w:val="single" w:sz="4" w:space="1" w:color="auto"/>
        </w:pBdr>
        <w:spacing w:before="240" w:after="0"/>
        <w:rPr>
          <w:rFonts w:cstheme="minorHAnsi"/>
          <w:b/>
          <w:bCs/>
        </w:rPr>
      </w:pPr>
      <w:bookmarkStart w:id="6" w:name="_Toc156593371"/>
      <w:bookmarkStart w:id="7" w:name="_Hlk167885550"/>
      <w:r w:rsidRPr="00E3122D">
        <w:rPr>
          <w:rFonts w:cstheme="minorHAnsi"/>
          <w:b/>
          <w:bCs/>
        </w:rPr>
        <w:t>EFFORTS TO IDENTIFY DUPLICATION</w:t>
      </w:r>
      <w:bookmarkEnd w:id="6"/>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7"/>
    <w:p w:rsidR="000440A6" w:rsidRPr="00151881" w:rsidP="000440A6" w14:paraId="574CA13F" w14:textId="7BEBBC08">
      <w:pPr>
        <w:rPr>
          <w:rFonts w:cstheme="minorHAnsi"/>
        </w:rPr>
      </w:pPr>
      <w:r>
        <w:rPr>
          <w:rFonts w:cstheme="minorHAnsi"/>
        </w:rPr>
        <w:t>Three primary requirements apply</w:t>
      </w:r>
      <w:r w:rsidRPr="00151881">
        <w:rPr>
          <w:rFonts w:cstheme="minorHAnsi"/>
        </w:rPr>
        <w:t xml:space="preserve"> to nonattainment areas for the 2008 </w:t>
      </w:r>
      <w:r>
        <w:rPr>
          <w:rFonts w:cstheme="minorHAnsi"/>
        </w:rPr>
        <w:t>Ozone NAAQS and 2015 Ozone</w:t>
      </w:r>
      <w:r w:rsidRPr="00151881">
        <w:rPr>
          <w:rFonts w:cstheme="minorHAnsi"/>
        </w:rPr>
        <w:t xml:space="preserve"> NAAQS</w:t>
      </w:r>
      <w:r>
        <w:rPr>
          <w:rFonts w:cstheme="minorHAnsi"/>
        </w:rPr>
        <w:t>, for which this proposed ICR renewal estimates the information collection burden: the attainment demonstration, the RFP SIP submission, and the RACT SIP submission. Another small part is the second maintenance plan SIP revisions for a few areas subject to ongoing requirements to implement the revoked 1997 Ozone NAAQS and/or the 2008 Ozone</w:t>
      </w:r>
      <w:r w:rsidRPr="00151881">
        <w:rPr>
          <w:rFonts w:cstheme="minorHAnsi"/>
        </w:rPr>
        <w:t xml:space="preserve"> NAAQS.</w:t>
      </w:r>
    </w:p>
    <w:p w:rsidR="000440A6" w:rsidRPr="00151881" w:rsidP="000440A6" w14:paraId="7D8744C6" w14:textId="1D998A33">
      <w:pPr>
        <w:rPr>
          <w:rFonts w:cstheme="minorHAnsi"/>
        </w:rPr>
      </w:pPr>
      <w:r>
        <w:rPr>
          <w:rFonts w:cstheme="minorHAnsi"/>
        </w:rPr>
        <w:t xml:space="preserve">Other activities are covered by separate, existing ICRs that complement the activities required for the attainment demonstration, RFP SIP submission, and RACT SIP submission. One example is the Air Emissions Reporting Rule (AERR). </w:t>
      </w:r>
      <w:r w:rsidRPr="00151881">
        <w:rPr>
          <w:rFonts w:cstheme="minorHAnsi"/>
        </w:rPr>
        <w:t>Salient ICRs and their titles are identified below.</w:t>
      </w:r>
      <w:r w:rsidRPr="00EE4D40">
        <w:rPr>
          <w:rFonts w:cstheme="minorHAnsi"/>
        </w:rPr>
        <w:t xml:space="preserve">   </w:t>
      </w:r>
      <w:r w:rsidRPr="00151881">
        <w:rPr>
          <w:rFonts w:cstheme="minorHAnsi"/>
        </w:rPr>
        <w:t xml:space="preserve"> </w:t>
      </w:r>
    </w:p>
    <w:p w:rsidR="000440A6" w:rsidRPr="00151881" w:rsidP="00665026" w14:paraId="77F5C4EC" w14:textId="77777777">
      <w:pPr>
        <w:numPr>
          <w:ilvl w:val="0"/>
          <w:numId w:val="6"/>
        </w:numPr>
        <w:spacing w:after="0" w:line="240" w:lineRule="auto"/>
        <w:rPr>
          <w:rFonts w:cstheme="minorHAnsi"/>
        </w:rPr>
      </w:pPr>
      <w:r w:rsidRPr="00151881">
        <w:rPr>
          <w:rFonts w:cstheme="minorHAnsi"/>
        </w:rPr>
        <w:t>Requirements for Preparation, Adoption, and Submittal of Implementation Plans</w:t>
      </w:r>
    </w:p>
    <w:p w:rsidR="000440A6" w:rsidRPr="00151881" w:rsidP="00665026" w14:paraId="2A908D11" w14:textId="437EB867">
      <w:pPr>
        <w:numPr>
          <w:ilvl w:val="1"/>
          <w:numId w:val="6"/>
        </w:numPr>
        <w:spacing w:after="0" w:line="240" w:lineRule="auto"/>
        <w:rPr>
          <w:rFonts w:cstheme="minorHAnsi"/>
        </w:rPr>
      </w:pPr>
      <w:r w:rsidRPr="00151881">
        <w:rPr>
          <w:rFonts w:cstheme="minorHAnsi"/>
        </w:rPr>
        <w:t>51.121-51.</w:t>
      </w:r>
      <w:r w:rsidRPr="00151881">
        <w:rPr>
          <w:rFonts w:cstheme="minorHAnsi"/>
        </w:rPr>
        <w:t>122</w:t>
      </w:r>
      <w:r w:rsidRPr="00EE4D40">
        <w:rPr>
          <w:rFonts w:cstheme="minorHAnsi"/>
        </w:rPr>
        <w:t xml:space="preserve">  </w:t>
      </w:r>
      <w:r w:rsidRPr="00151881">
        <w:rPr>
          <w:rFonts w:cstheme="minorHAnsi"/>
        </w:rPr>
        <w:t>NOx</w:t>
      </w:r>
      <w:r w:rsidRPr="00151881">
        <w:rPr>
          <w:rFonts w:cstheme="minorHAnsi"/>
        </w:rPr>
        <w:t xml:space="preserve"> SIP Call</w:t>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2060-0445</w:t>
      </w:r>
    </w:p>
    <w:p w:rsidR="000440A6" w:rsidRPr="00151881" w:rsidP="00665026" w14:paraId="06809E6B" w14:textId="5D8540E1">
      <w:pPr>
        <w:numPr>
          <w:ilvl w:val="1"/>
          <w:numId w:val="6"/>
        </w:numPr>
        <w:spacing w:after="0" w:line="240" w:lineRule="auto"/>
        <w:rPr>
          <w:rFonts w:cstheme="minorHAnsi"/>
        </w:rPr>
      </w:pPr>
      <w:r w:rsidRPr="00151881">
        <w:rPr>
          <w:rFonts w:cstheme="minorHAnsi"/>
        </w:rPr>
        <w:t>51.160-51.</w:t>
      </w:r>
      <w:r w:rsidRPr="00151881">
        <w:rPr>
          <w:rFonts w:cstheme="minorHAnsi"/>
        </w:rPr>
        <w:t>166</w:t>
      </w:r>
      <w:r w:rsidRPr="00EE4D40">
        <w:rPr>
          <w:rFonts w:cstheme="minorHAnsi"/>
        </w:rPr>
        <w:t xml:space="preserve">  </w:t>
      </w:r>
      <w:r w:rsidRPr="00151881">
        <w:rPr>
          <w:rFonts w:cstheme="minorHAnsi"/>
        </w:rPr>
        <w:t>New</w:t>
      </w:r>
      <w:r w:rsidRPr="00151881">
        <w:rPr>
          <w:rFonts w:cstheme="minorHAnsi"/>
        </w:rPr>
        <w:t xml:space="preserve"> Source Review</w:t>
      </w:r>
      <w:r>
        <w:rPr>
          <w:rFonts w:cstheme="minorHAnsi"/>
        </w:rPr>
        <w:tab/>
      </w:r>
      <w:r>
        <w:rPr>
          <w:rFonts w:cstheme="minorHAnsi"/>
        </w:rPr>
        <w:tab/>
      </w:r>
      <w:r>
        <w:rPr>
          <w:rFonts w:cstheme="minorHAnsi"/>
        </w:rPr>
        <w:tab/>
      </w:r>
      <w:r>
        <w:rPr>
          <w:rFonts w:cstheme="minorHAnsi"/>
        </w:rPr>
        <w:tab/>
      </w:r>
      <w:r w:rsidRPr="00151881">
        <w:rPr>
          <w:rFonts w:cstheme="minorHAnsi"/>
        </w:rPr>
        <w:t>2060-0003</w:t>
      </w:r>
    </w:p>
    <w:p w:rsidR="000440A6" w:rsidRPr="00151881" w:rsidP="00665026" w14:paraId="0F4A2F2A" w14:textId="1B277205">
      <w:pPr>
        <w:numPr>
          <w:ilvl w:val="1"/>
          <w:numId w:val="6"/>
        </w:numPr>
        <w:spacing w:after="0" w:line="240" w:lineRule="auto"/>
        <w:rPr>
          <w:rFonts w:cstheme="minorHAnsi"/>
        </w:rPr>
      </w:pPr>
      <w:r w:rsidRPr="00151881">
        <w:rPr>
          <w:rFonts w:cstheme="minorHAnsi"/>
        </w:rPr>
        <w:t>51.321-51.</w:t>
      </w:r>
      <w:r w:rsidRPr="00151881">
        <w:rPr>
          <w:rFonts w:cstheme="minorHAnsi"/>
        </w:rPr>
        <w:t>323</w:t>
      </w:r>
      <w:r w:rsidRPr="00EE4D40">
        <w:rPr>
          <w:rFonts w:cstheme="minorHAnsi"/>
        </w:rPr>
        <w:t xml:space="preserve">  </w:t>
      </w:r>
      <w:r w:rsidRPr="00151881">
        <w:rPr>
          <w:rFonts w:cstheme="minorHAnsi"/>
        </w:rPr>
        <w:t>Air</w:t>
      </w:r>
      <w:r w:rsidRPr="00151881">
        <w:rPr>
          <w:rFonts w:cstheme="minorHAnsi"/>
        </w:rPr>
        <w:t xml:space="preserve"> Quality Data Reporting</w:t>
      </w:r>
      <w:r>
        <w:rPr>
          <w:rFonts w:cstheme="minorHAnsi"/>
        </w:rPr>
        <w:tab/>
      </w:r>
      <w:r>
        <w:rPr>
          <w:rFonts w:cstheme="minorHAnsi"/>
        </w:rPr>
        <w:tab/>
      </w:r>
      <w:r>
        <w:rPr>
          <w:rFonts w:cstheme="minorHAnsi"/>
        </w:rPr>
        <w:tab/>
      </w:r>
      <w:r w:rsidRPr="00151881">
        <w:rPr>
          <w:rFonts w:cstheme="minorHAnsi"/>
        </w:rPr>
        <w:t>2060-0088</w:t>
      </w:r>
    </w:p>
    <w:p w:rsidR="000440A6" w:rsidRPr="00151881" w:rsidP="00665026" w14:paraId="2C000BE4" w14:textId="023E1FD7">
      <w:pPr>
        <w:numPr>
          <w:ilvl w:val="1"/>
          <w:numId w:val="6"/>
        </w:numPr>
        <w:spacing w:after="0" w:line="240" w:lineRule="auto"/>
        <w:rPr>
          <w:rFonts w:cstheme="minorHAnsi"/>
        </w:rPr>
      </w:pPr>
      <w:r w:rsidRPr="00151881">
        <w:rPr>
          <w:rFonts w:cstheme="minorHAnsi"/>
        </w:rPr>
        <w:t>51.353-51.</w:t>
      </w:r>
      <w:r w:rsidRPr="00151881">
        <w:rPr>
          <w:rFonts w:cstheme="minorHAnsi"/>
        </w:rPr>
        <w:t>354</w:t>
      </w:r>
      <w:r w:rsidRPr="00EE4D40">
        <w:rPr>
          <w:rFonts w:cstheme="minorHAnsi"/>
        </w:rPr>
        <w:t xml:space="preserve">  </w:t>
      </w:r>
      <w:r w:rsidRPr="00151881">
        <w:rPr>
          <w:rFonts w:cstheme="minorHAnsi"/>
        </w:rPr>
        <w:t>Vehicle</w:t>
      </w:r>
      <w:r w:rsidRPr="00151881">
        <w:rPr>
          <w:rFonts w:cstheme="minorHAnsi"/>
        </w:rPr>
        <w:t xml:space="preserve"> Inspection/Maintenance</w:t>
      </w:r>
      <w:r>
        <w:rPr>
          <w:rFonts w:cstheme="minorHAnsi"/>
        </w:rPr>
        <w:tab/>
      </w:r>
      <w:r>
        <w:rPr>
          <w:rFonts w:cstheme="minorHAnsi"/>
        </w:rPr>
        <w:tab/>
      </w:r>
      <w:r w:rsidRPr="00151881">
        <w:rPr>
          <w:rFonts w:cstheme="minorHAnsi"/>
        </w:rPr>
        <w:t>2060-0252</w:t>
      </w:r>
    </w:p>
    <w:p w:rsidR="000440A6" w:rsidRPr="00151881" w:rsidP="00665026" w14:paraId="18D4F50F" w14:textId="0A4B1181">
      <w:pPr>
        <w:numPr>
          <w:ilvl w:val="1"/>
          <w:numId w:val="6"/>
        </w:numPr>
        <w:spacing w:after="0" w:line="240" w:lineRule="auto"/>
        <w:rPr>
          <w:rFonts w:cstheme="minorHAnsi"/>
        </w:rPr>
      </w:pPr>
      <w:r w:rsidRPr="00151881">
        <w:rPr>
          <w:rFonts w:cstheme="minorHAnsi"/>
        </w:rPr>
        <w:t>51.365-51.</w:t>
      </w:r>
      <w:r w:rsidRPr="00151881">
        <w:rPr>
          <w:rFonts w:cstheme="minorHAnsi"/>
        </w:rPr>
        <w:t>366</w:t>
      </w:r>
      <w:r w:rsidRPr="00EE4D40">
        <w:rPr>
          <w:rFonts w:cstheme="minorHAnsi"/>
        </w:rPr>
        <w:t xml:space="preserve">  </w:t>
      </w:r>
      <w:r w:rsidRPr="00151881">
        <w:rPr>
          <w:rFonts w:cstheme="minorHAnsi"/>
        </w:rPr>
        <w:t>Vehicle</w:t>
      </w:r>
      <w:r w:rsidRPr="00151881">
        <w:rPr>
          <w:rFonts w:cstheme="minorHAnsi"/>
        </w:rPr>
        <w:t xml:space="preserve"> Inspection/Maintenance</w:t>
      </w:r>
      <w:r>
        <w:rPr>
          <w:rFonts w:cstheme="minorHAnsi"/>
        </w:rPr>
        <w:tab/>
      </w:r>
      <w:r>
        <w:rPr>
          <w:rFonts w:cstheme="minorHAnsi"/>
        </w:rPr>
        <w:tab/>
      </w:r>
      <w:r w:rsidRPr="00151881">
        <w:rPr>
          <w:rFonts w:cstheme="minorHAnsi"/>
        </w:rPr>
        <w:t>2060-0252</w:t>
      </w:r>
    </w:p>
    <w:p w:rsidR="000440A6" w:rsidRPr="00151881" w:rsidP="00665026" w14:paraId="3CCA0203" w14:textId="77777777">
      <w:pPr>
        <w:numPr>
          <w:ilvl w:val="0"/>
          <w:numId w:val="6"/>
        </w:numPr>
        <w:spacing w:after="0" w:line="240" w:lineRule="auto"/>
        <w:rPr>
          <w:rFonts w:cstheme="minorHAnsi"/>
        </w:rPr>
      </w:pPr>
      <w:r w:rsidRPr="00151881">
        <w:rPr>
          <w:rFonts w:cstheme="minorHAnsi"/>
        </w:rPr>
        <w:t>Ambient Air Monitoring Reference and Equivalent Methods</w:t>
      </w:r>
    </w:p>
    <w:p w:rsidR="000440A6" w:rsidRPr="00151881" w:rsidP="00665026" w14:paraId="2CBC0475" w14:textId="2CE35DCE">
      <w:pPr>
        <w:numPr>
          <w:ilvl w:val="1"/>
          <w:numId w:val="6"/>
        </w:numPr>
        <w:spacing w:after="0" w:line="240" w:lineRule="auto"/>
        <w:rPr>
          <w:rFonts w:cstheme="minorHAnsi"/>
        </w:rPr>
      </w:pPr>
      <w:r w:rsidRPr="00151881">
        <w:rPr>
          <w:rFonts w:cstheme="minorHAnsi"/>
        </w:rPr>
        <w:t>53.4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2080-0005</w:t>
      </w:r>
    </w:p>
    <w:p w:rsidR="000440A6" w:rsidRPr="00151881" w:rsidP="00665026" w14:paraId="4403CE67" w14:textId="20684CDB">
      <w:pPr>
        <w:numPr>
          <w:ilvl w:val="1"/>
          <w:numId w:val="6"/>
        </w:numPr>
        <w:spacing w:after="0" w:line="240" w:lineRule="auto"/>
        <w:rPr>
          <w:rFonts w:cstheme="minorHAnsi"/>
        </w:rPr>
      </w:pPr>
      <w:r w:rsidRPr="00151881">
        <w:rPr>
          <w:rFonts w:cstheme="minorHAnsi"/>
        </w:rPr>
        <w:t>53.9(f</w:t>
      </w:r>
      <w:r w:rsidRPr="00151881">
        <w:rPr>
          <w:rFonts w:cstheme="minorHAnsi"/>
        </w:rPr>
        <w:t>),(</w:t>
      </w:r>
      <w:r w:rsidRPr="00151881">
        <w:rPr>
          <w:rFonts w:cstheme="minorHAnsi"/>
        </w:rPr>
        <w:t>h),(</w:t>
      </w:r>
      <w:r w:rsidRPr="00151881">
        <w:rPr>
          <w:rFonts w:cstheme="minorHAnsi"/>
        </w:rPr>
        <w:t>i</w:t>
      </w:r>
      <w:r w:rsidRPr="00151881">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2080-0005</w:t>
      </w:r>
    </w:p>
    <w:p w:rsidR="000440A6" w:rsidRPr="00151881" w:rsidP="00665026" w14:paraId="61120D59" w14:textId="0E8E9DD8">
      <w:pPr>
        <w:numPr>
          <w:ilvl w:val="1"/>
          <w:numId w:val="6"/>
        </w:numPr>
        <w:spacing w:after="0" w:line="240" w:lineRule="auto"/>
        <w:rPr>
          <w:rFonts w:cstheme="minorHAnsi"/>
        </w:rPr>
      </w:pPr>
      <w:r w:rsidRPr="00151881">
        <w:rPr>
          <w:rFonts w:cstheme="minorHAnsi"/>
        </w:rPr>
        <w:t>53.14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2080-0005</w:t>
      </w:r>
    </w:p>
    <w:p w:rsidR="000440A6" w:rsidRPr="00151881" w:rsidP="00665026" w14:paraId="0C96F790" w14:textId="00ADBB1B">
      <w:pPr>
        <w:numPr>
          <w:ilvl w:val="1"/>
          <w:numId w:val="6"/>
        </w:numPr>
        <w:spacing w:after="0" w:line="240" w:lineRule="auto"/>
        <w:rPr>
          <w:rFonts w:cstheme="minorHAnsi"/>
        </w:rPr>
      </w:pPr>
      <w:r w:rsidRPr="00151881">
        <w:rPr>
          <w:rFonts w:cstheme="minorHAnsi"/>
        </w:rPr>
        <w:t>53.15</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2080-0005</w:t>
      </w:r>
    </w:p>
    <w:p w:rsidR="000440A6" w:rsidRPr="00151881" w:rsidP="00665026" w14:paraId="16A3F5D4" w14:textId="7287A7FF">
      <w:pPr>
        <w:numPr>
          <w:ilvl w:val="1"/>
          <w:numId w:val="6"/>
        </w:numPr>
        <w:spacing w:after="0" w:line="240" w:lineRule="auto"/>
        <w:rPr>
          <w:rFonts w:cstheme="minorHAnsi"/>
        </w:rPr>
      </w:pPr>
      <w:r w:rsidRPr="00151881">
        <w:rPr>
          <w:rFonts w:cstheme="minorHAnsi"/>
        </w:rPr>
        <w:t>53.16(a)-(d</w:t>
      </w:r>
      <w:r w:rsidRPr="00151881">
        <w:rPr>
          <w:rFonts w:cstheme="minorHAnsi"/>
        </w:rPr>
        <w:t>),(</w:t>
      </w:r>
      <w:r w:rsidRPr="00151881">
        <w:rPr>
          <w:rFonts w:cstheme="minorHAnsi"/>
        </w:rPr>
        <w:t>f)</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2080-0005</w:t>
      </w:r>
    </w:p>
    <w:p w:rsidR="000440A6" w:rsidRPr="00151881" w:rsidP="00665026" w14:paraId="2B1A876E" w14:textId="77777777">
      <w:pPr>
        <w:numPr>
          <w:ilvl w:val="0"/>
          <w:numId w:val="6"/>
        </w:numPr>
        <w:spacing w:after="0" w:line="240" w:lineRule="auto"/>
        <w:rPr>
          <w:rFonts w:cstheme="minorHAnsi"/>
        </w:rPr>
      </w:pPr>
      <w:r w:rsidRPr="00151881">
        <w:rPr>
          <w:rFonts w:cstheme="minorHAnsi"/>
        </w:rPr>
        <w:t>Outer Continental Shelf Air Regulations</w:t>
      </w:r>
    </w:p>
    <w:p w:rsidR="000440A6" w:rsidRPr="00151881" w:rsidP="00665026" w14:paraId="33CA5064" w14:textId="48AD7ABB">
      <w:pPr>
        <w:numPr>
          <w:ilvl w:val="1"/>
          <w:numId w:val="6"/>
        </w:numPr>
        <w:spacing w:after="0" w:line="240" w:lineRule="auto"/>
        <w:rPr>
          <w:rFonts w:cstheme="minorHAnsi"/>
        </w:rPr>
      </w:pPr>
      <w:r w:rsidRPr="00151881">
        <w:rPr>
          <w:rFonts w:cstheme="minorHAnsi"/>
        </w:rPr>
        <w:t>55.4-55.8</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2060-0249</w:t>
      </w:r>
    </w:p>
    <w:p w:rsidR="000440A6" w:rsidRPr="00151881" w:rsidP="00665026" w14:paraId="737AE677" w14:textId="5DA68D44">
      <w:pPr>
        <w:numPr>
          <w:ilvl w:val="1"/>
          <w:numId w:val="6"/>
        </w:numPr>
        <w:spacing w:after="0" w:line="240" w:lineRule="auto"/>
        <w:rPr>
          <w:rFonts w:cstheme="minorHAnsi"/>
        </w:rPr>
      </w:pPr>
      <w:r w:rsidRPr="00151881">
        <w:rPr>
          <w:rFonts w:cstheme="minorHAnsi"/>
        </w:rPr>
        <w:t>55.11-55.14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2060-0249</w:t>
      </w:r>
    </w:p>
    <w:p w:rsidR="000440A6" w:rsidRPr="00151881" w:rsidP="00665026" w14:paraId="4CE850C6" w14:textId="77777777">
      <w:pPr>
        <w:numPr>
          <w:ilvl w:val="0"/>
          <w:numId w:val="6"/>
        </w:numPr>
        <w:spacing w:after="0" w:line="240" w:lineRule="auto"/>
        <w:rPr>
          <w:rFonts w:cstheme="minorHAnsi"/>
        </w:rPr>
      </w:pPr>
      <w:r w:rsidRPr="00151881">
        <w:rPr>
          <w:rFonts w:cstheme="minorHAnsi"/>
        </w:rPr>
        <w:t>Ambient Air Quality Surveillance</w:t>
      </w:r>
    </w:p>
    <w:p w:rsidR="000440A6" w:rsidRPr="00151881" w:rsidP="00665026" w14:paraId="076FAB5A" w14:textId="29F181DE">
      <w:pPr>
        <w:numPr>
          <w:ilvl w:val="1"/>
          <w:numId w:val="6"/>
        </w:numPr>
        <w:spacing w:after="0" w:line="240" w:lineRule="auto"/>
        <w:rPr>
          <w:rFonts w:cstheme="minorHAnsi"/>
        </w:rPr>
      </w:pPr>
      <w:r w:rsidRPr="00151881">
        <w:rPr>
          <w:rFonts w:cstheme="minorHAnsi"/>
        </w:rPr>
        <w:t>58.11-58.14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620D52FE" w14:textId="42A70BFD">
      <w:pPr>
        <w:numPr>
          <w:ilvl w:val="1"/>
          <w:numId w:val="6"/>
        </w:numPr>
        <w:spacing w:after="0" w:line="240" w:lineRule="auto"/>
        <w:rPr>
          <w:rFonts w:cstheme="minorHAnsi"/>
        </w:rPr>
      </w:pPr>
      <w:r w:rsidRPr="00151881">
        <w:rPr>
          <w:rFonts w:cstheme="minorHAnsi"/>
        </w:rPr>
        <w:t>58.20-58.23</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3435B610" w14:textId="1D214AEC">
      <w:pPr>
        <w:numPr>
          <w:ilvl w:val="1"/>
          <w:numId w:val="6"/>
        </w:numPr>
        <w:spacing w:after="0" w:line="240" w:lineRule="auto"/>
        <w:rPr>
          <w:rFonts w:cstheme="minorHAnsi"/>
        </w:rPr>
      </w:pPr>
      <w:r w:rsidRPr="00151881">
        <w:rPr>
          <w:rFonts w:cstheme="minorHAnsi"/>
        </w:rPr>
        <w:t>58.25-58.28</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0B964AD9" w14:textId="08B5D413">
      <w:pPr>
        <w:numPr>
          <w:ilvl w:val="1"/>
          <w:numId w:val="6"/>
        </w:numPr>
        <w:spacing w:after="0" w:line="240" w:lineRule="auto"/>
        <w:rPr>
          <w:rFonts w:cstheme="minorHAnsi"/>
        </w:rPr>
      </w:pPr>
      <w:r w:rsidRPr="00151881">
        <w:rPr>
          <w:rFonts w:cstheme="minorHAnsi"/>
        </w:rPr>
        <w:t>58.30-58.31</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1FC221CE" w14:textId="1B5F47C7">
      <w:pPr>
        <w:numPr>
          <w:ilvl w:val="1"/>
          <w:numId w:val="6"/>
        </w:numPr>
        <w:spacing w:after="0" w:line="240" w:lineRule="auto"/>
        <w:rPr>
          <w:rFonts w:cstheme="minorHAnsi"/>
        </w:rPr>
      </w:pPr>
      <w:r w:rsidRPr="00151881">
        <w:rPr>
          <w:rFonts w:cstheme="minorHAnsi"/>
        </w:rPr>
        <w:t>58.33</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75978D6F" w14:textId="6DA60A92">
      <w:pPr>
        <w:numPr>
          <w:ilvl w:val="1"/>
          <w:numId w:val="6"/>
        </w:numPr>
        <w:spacing w:after="0" w:line="240" w:lineRule="auto"/>
        <w:rPr>
          <w:rFonts w:cstheme="minorHAnsi"/>
        </w:rPr>
      </w:pPr>
      <w:r w:rsidRPr="00151881">
        <w:rPr>
          <w:rFonts w:cstheme="minorHAnsi"/>
        </w:rPr>
        <w:t>58.35</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5219E4F7" w14:textId="2C00381A">
      <w:pPr>
        <w:numPr>
          <w:ilvl w:val="1"/>
          <w:numId w:val="6"/>
        </w:numPr>
        <w:spacing w:after="0" w:line="240" w:lineRule="auto"/>
        <w:rPr>
          <w:rFonts w:cstheme="minorHAnsi"/>
        </w:rPr>
      </w:pPr>
      <w:r w:rsidRPr="00151881">
        <w:rPr>
          <w:rFonts w:cstheme="minorHAnsi"/>
        </w:rPr>
        <w:t>58.40-58.41</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4671CB7F" w14:textId="33152F3B">
      <w:pPr>
        <w:numPr>
          <w:ilvl w:val="1"/>
          <w:numId w:val="6"/>
        </w:numPr>
        <w:spacing w:after="0" w:line="240" w:lineRule="auto"/>
        <w:rPr>
          <w:rFonts w:cstheme="minorHAnsi"/>
        </w:rPr>
      </w:pPr>
      <w:r w:rsidRPr="00151881">
        <w:rPr>
          <w:rFonts w:cstheme="minorHAnsi"/>
        </w:rPr>
        <w:t>58.43</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169892F8" w14:textId="54B7D7E1">
      <w:pPr>
        <w:numPr>
          <w:ilvl w:val="1"/>
          <w:numId w:val="6"/>
        </w:numPr>
        <w:spacing w:after="0" w:line="240" w:lineRule="auto"/>
        <w:rPr>
          <w:rFonts w:cstheme="minorHAnsi"/>
        </w:rPr>
      </w:pPr>
      <w:r w:rsidRPr="00151881">
        <w:rPr>
          <w:rFonts w:cstheme="minorHAnsi"/>
        </w:rPr>
        <w:t>58.45</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764AE0AC" w14:textId="36DF14B8">
      <w:pPr>
        <w:numPr>
          <w:ilvl w:val="1"/>
          <w:numId w:val="6"/>
        </w:numPr>
        <w:spacing w:after="0" w:line="240" w:lineRule="auto"/>
        <w:rPr>
          <w:rFonts w:cstheme="minorHAnsi"/>
        </w:rPr>
      </w:pPr>
      <w:r w:rsidRPr="00151881">
        <w:rPr>
          <w:rFonts w:cstheme="minorHAnsi"/>
        </w:rPr>
        <w:t>58.50</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2060-0084</w:t>
      </w:r>
    </w:p>
    <w:p w:rsidR="000440A6" w:rsidRPr="00151881" w:rsidP="00665026" w14:paraId="319A299C" w14:textId="77777777">
      <w:pPr>
        <w:numPr>
          <w:ilvl w:val="0"/>
          <w:numId w:val="6"/>
        </w:numPr>
        <w:spacing w:after="0" w:line="240" w:lineRule="auto"/>
        <w:rPr>
          <w:rFonts w:cstheme="minorHAnsi"/>
        </w:rPr>
      </w:pPr>
      <w:r w:rsidRPr="00151881">
        <w:rPr>
          <w:rFonts w:cstheme="minorHAnsi"/>
        </w:rPr>
        <w:t xml:space="preserve">Air Emissions Reporting Requirements (AERR) </w:t>
      </w:r>
    </w:p>
    <w:p w:rsidR="000440A6" w:rsidRPr="00151881" w:rsidP="00665026" w14:paraId="023B1AB8" w14:textId="7CC31631">
      <w:pPr>
        <w:numPr>
          <w:ilvl w:val="1"/>
          <w:numId w:val="6"/>
        </w:numPr>
        <w:spacing w:after="0" w:line="240" w:lineRule="auto"/>
        <w:rPr>
          <w:rFonts w:cstheme="minorHAnsi"/>
        </w:rPr>
      </w:pPr>
      <w:r w:rsidRPr="00151881">
        <w:rPr>
          <w:rFonts w:cstheme="minorHAnsi"/>
        </w:rPr>
        <w:t>ICR 2170.07</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2060-0580</w:t>
      </w:r>
    </w:p>
    <w:p w:rsidR="000440A6" w:rsidRPr="00151881" w:rsidP="00665026" w14:paraId="307CBE8A" w14:textId="77777777">
      <w:pPr>
        <w:numPr>
          <w:ilvl w:val="0"/>
          <w:numId w:val="6"/>
        </w:numPr>
        <w:spacing w:after="0" w:line="240" w:lineRule="auto"/>
        <w:rPr>
          <w:rFonts w:cstheme="minorHAnsi"/>
        </w:rPr>
      </w:pPr>
      <w:r w:rsidRPr="00151881">
        <w:rPr>
          <w:rFonts w:cstheme="minorHAnsi"/>
        </w:rPr>
        <w:t>Determining Conformity of Federal Actions to State or Federal Implementation Plans</w:t>
      </w:r>
    </w:p>
    <w:p w:rsidR="000440A6" w:rsidRPr="00151881" w:rsidP="00665026" w14:paraId="3CA688BB" w14:textId="79E47BA9">
      <w:pPr>
        <w:numPr>
          <w:ilvl w:val="1"/>
          <w:numId w:val="6"/>
        </w:numPr>
        <w:spacing w:after="0" w:line="240" w:lineRule="auto"/>
        <w:rPr>
          <w:rFonts w:cstheme="minorHAnsi"/>
        </w:rPr>
      </w:pPr>
      <w:r w:rsidRPr="00151881">
        <w:rPr>
          <w:rFonts w:cstheme="minorHAnsi"/>
        </w:rPr>
        <w:t>91.150-93.160</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51881">
        <w:rPr>
          <w:rFonts w:cstheme="minorHAnsi"/>
        </w:rPr>
        <w:t>2060-0279</w:t>
      </w:r>
    </w:p>
    <w:p w:rsidR="000440A6" w:rsidRPr="00EE4D40" w:rsidP="00665026" w14:paraId="5BD83B2F" w14:textId="77777777">
      <w:pPr>
        <w:numPr>
          <w:ilvl w:val="0"/>
          <w:numId w:val="6"/>
        </w:numPr>
        <w:spacing w:after="0" w:line="240" w:lineRule="auto"/>
        <w:rPr>
          <w:rFonts w:cstheme="minorHAnsi"/>
        </w:rPr>
      </w:pPr>
      <w:r w:rsidRPr="00151881">
        <w:rPr>
          <w:rFonts w:cstheme="minorHAnsi"/>
        </w:rPr>
        <w:t>Transportation Conformity Determinations for Federally Funded and Approved Transportation Pl</w:t>
      </w:r>
      <w:r w:rsidRPr="00EE4D40">
        <w:rPr>
          <w:rFonts w:cstheme="minorHAnsi"/>
        </w:rPr>
        <w:t>ans, Programs, and Projects</w:t>
      </w:r>
    </w:p>
    <w:p w:rsidR="000440A6" w:rsidRPr="00EE4D40" w:rsidP="00665026" w14:paraId="11635E55" w14:textId="747170CC">
      <w:pPr>
        <w:numPr>
          <w:ilvl w:val="1"/>
          <w:numId w:val="6"/>
        </w:numPr>
        <w:spacing w:after="0" w:line="240" w:lineRule="auto"/>
        <w:rPr>
          <w:rFonts w:cstheme="minorHAnsi"/>
        </w:rPr>
      </w:pPr>
      <w:r w:rsidRPr="00EE4D40">
        <w:rPr>
          <w:rFonts w:cstheme="minorHAnsi"/>
        </w:rPr>
        <w:t>ICR 2130.06</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EE4D40">
        <w:rPr>
          <w:rFonts w:cstheme="minorHAnsi"/>
        </w:rPr>
        <w:t>2060-0561</w:t>
      </w:r>
    </w:p>
    <w:p w:rsidR="00587C1E" w:rsidP="000440A6" w14:paraId="386F0019" w14:textId="77777777">
      <w:pPr>
        <w:rPr>
          <w:rFonts w:cstheme="minorHAnsi"/>
          <w:b/>
        </w:rPr>
      </w:pPr>
    </w:p>
    <w:p w:rsidR="000440A6" w:rsidRPr="00151881" w:rsidP="000440A6" w14:paraId="5F96B067" w14:textId="35EF4D23">
      <w:pPr>
        <w:rPr>
          <w:rFonts w:cstheme="minorHAnsi"/>
        </w:rPr>
      </w:pPr>
      <w:r w:rsidRPr="00EE4D40">
        <w:rPr>
          <w:rFonts w:cstheme="minorHAnsi"/>
          <w:b/>
        </w:rPr>
        <w:t xml:space="preserve">Attainment Demonstration. </w:t>
      </w:r>
      <w:r w:rsidRPr="00EE4D40">
        <w:rPr>
          <w:rFonts w:cstheme="minorHAnsi"/>
        </w:rPr>
        <w:t>The attainment demonstration requirement would appear as revisions to 40 CF</w:t>
      </w:r>
      <w:r w:rsidRPr="00151881">
        <w:rPr>
          <w:rFonts w:cstheme="minorHAnsi"/>
        </w:rPr>
        <w:t>R 51.1108 and 51.1308, which implements CAA subsections 172(c)(1), 182(b)(1)(A), and 182(c)(2)(B).</w:t>
      </w:r>
      <w:r w:rsidRPr="00EE4D40">
        <w:rPr>
          <w:rFonts w:cstheme="minorHAnsi"/>
        </w:rPr>
        <w:t xml:space="preserve">  </w:t>
      </w:r>
      <w:r w:rsidRPr="00151881">
        <w:rPr>
          <w:rFonts w:cstheme="minorHAnsi"/>
        </w:rPr>
        <w:t xml:space="preserve">The attainment demonstration for the 2015 8-hour </w:t>
      </w:r>
      <w:r>
        <w:rPr>
          <w:rFonts w:cstheme="minorHAnsi"/>
        </w:rPr>
        <w:t>O</w:t>
      </w:r>
      <w:r w:rsidRPr="00151881">
        <w:rPr>
          <w:rFonts w:cstheme="minorHAnsi"/>
        </w:rPr>
        <w:t>zone NAAQS is unique and does not directly duplicate other implementation plan requirements.</w:t>
      </w:r>
      <w:r w:rsidRPr="00EE4D40">
        <w:rPr>
          <w:rFonts w:cstheme="minorHAnsi"/>
        </w:rPr>
        <w:t xml:space="preserve">  </w:t>
      </w:r>
      <w:r w:rsidRPr="00151881">
        <w:rPr>
          <w:rFonts w:cstheme="minorHAnsi"/>
        </w:rPr>
        <w:t xml:space="preserve">However, the states typically (and are encouraged to) build upon related implementation planning processes they used for the 2008 and 1997 8-hour </w:t>
      </w:r>
      <w:r>
        <w:rPr>
          <w:rFonts w:cstheme="minorHAnsi"/>
        </w:rPr>
        <w:t>ozone</w:t>
      </w:r>
      <w:r w:rsidRPr="00151881">
        <w:rPr>
          <w:rFonts w:cstheme="minorHAnsi"/>
        </w:rPr>
        <w:t xml:space="preserve"> attainment NAAQS demonstrations, the 1-hour </w:t>
      </w:r>
      <w:r>
        <w:rPr>
          <w:rFonts w:cstheme="minorHAnsi"/>
        </w:rPr>
        <w:t>ozone</w:t>
      </w:r>
      <w:r w:rsidRPr="00151881">
        <w:rPr>
          <w:rFonts w:cstheme="minorHAnsi"/>
        </w:rPr>
        <w:t xml:space="preserve"> NAAQS, Regional Haze rule, and/or fine particulate matter (PM</w:t>
      </w:r>
      <w:r w:rsidRPr="00151881">
        <w:rPr>
          <w:rFonts w:cstheme="minorHAnsi"/>
          <w:vertAlign w:val="subscript"/>
        </w:rPr>
        <w:t>2.5</w:t>
      </w:r>
      <w:r w:rsidRPr="00151881">
        <w:rPr>
          <w:rFonts w:cstheme="minorHAnsi"/>
        </w:rPr>
        <w:t>) NAAQS.</w:t>
      </w:r>
      <w:r w:rsidRPr="00EE4D40">
        <w:rPr>
          <w:rFonts w:cstheme="minorHAnsi"/>
        </w:rPr>
        <w:t xml:space="preserve">  </w:t>
      </w:r>
      <w:r w:rsidRPr="00151881">
        <w:rPr>
          <w:rFonts w:cstheme="minorHAnsi"/>
        </w:rPr>
        <w:t>Taking such steps, where appropriate, may reduce the incremental administrative burden and enable the identification of control strategies that achieve requisite multi-pollutant environmental progress at a lower cost.</w:t>
      </w:r>
    </w:p>
    <w:p w:rsidR="000440A6" w:rsidRPr="00151881" w:rsidP="000440A6" w14:paraId="44C3E707" w14:textId="729A45EC">
      <w:pPr>
        <w:rPr>
          <w:rFonts w:cstheme="minorHAnsi"/>
        </w:rPr>
      </w:pPr>
      <w:r w:rsidRPr="00151881">
        <w:rPr>
          <w:rFonts w:cstheme="minorHAnsi"/>
          <w:b/>
        </w:rPr>
        <w:t>RFP SIP Submission.</w:t>
      </w:r>
      <w:r w:rsidRPr="00EE4D40">
        <w:rPr>
          <w:rFonts w:cstheme="minorHAnsi"/>
          <w:b/>
        </w:rPr>
        <w:t xml:space="preserve"> </w:t>
      </w:r>
      <w:r w:rsidRPr="00151881">
        <w:rPr>
          <w:rFonts w:cstheme="minorHAnsi"/>
          <w:bCs/>
        </w:rPr>
        <w:t>This requirement would be addressed as revisions to 40 CFR 51.1110 and 51.1310. Although the RFP submission does not duplicate other plan requirements, it may complement them. For</w:t>
      </w:r>
      <w:r w:rsidRPr="00151881">
        <w:rPr>
          <w:rFonts w:cstheme="minorHAnsi"/>
        </w:rPr>
        <w:t xml:space="preserve"> example, the emission reductions associated with the RFP SIP also contribute to the </w:t>
      </w:r>
      <w:r>
        <w:rPr>
          <w:rFonts w:cstheme="minorHAnsi"/>
        </w:rPr>
        <w:t>demonstration of attainment</w:t>
      </w:r>
      <w:r w:rsidRPr="00151881">
        <w:rPr>
          <w:rFonts w:cstheme="minorHAnsi"/>
        </w:rPr>
        <w:t>.</w:t>
      </w:r>
      <w:r w:rsidRPr="00EE4D40">
        <w:rPr>
          <w:rFonts w:cstheme="minorHAnsi"/>
        </w:rPr>
        <w:t xml:space="preserve">  </w:t>
      </w:r>
    </w:p>
    <w:p w:rsidR="000440A6" w:rsidRPr="00151881" w:rsidP="000440A6" w14:paraId="778AAF90" w14:textId="237971B6">
      <w:pPr>
        <w:rPr>
          <w:rFonts w:cstheme="minorHAnsi"/>
        </w:rPr>
      </w:pPr>
      <w:r w:rsidRPr="00151881">
        <w:rPr>
          <w:rFonts w:cstheme="minorHAnsi"/>
        </w:rPr>
        <w:t xml:space="preserve">States are encouraged to build upon related analyses for federal </w:t>
      </w:r>
      <w:r>
        <w:rPr>
          <w:rFonts w:cstheme="minorHAnsi"/>
        </w:rPr>
        <w:t>emission-reducing</w:t>
      </w:r>
      <w:r w:rsidRPr="00151881">
        <w:rPr>
          <w:rFonts w:cstheme="minorHAnsi"/>
        </w:rPr>
        <w:t xml:space="preserve"> rules </w:t>
      </w:r>
      <w:r>
        <w:rPr>
          <w:rFonts w:cstheme="minorHAnsi"/>
        </w:rPr>
        <w:t>and</w:t>
      </w:r>
      <w:r w:rsidRPr="00151881">
        <w:rPr>
          <w:rFonts w:cstheme="minorHAnsi"/>
        </w:rPr>
        <w:t xml:space="preserve"> salient PM</w:t>
      </w:r>
      <w:r w:rsidRPr="00151881">
        <w:rPr>
          <w:rFonts w:cstheme="minorHAnsi"/>
          <w:vertAlign w:val="subscript"/>
        </w:rPr>
        <w:t>2.5</w:t>
      </w:r>
      <w:r w:rsidRPr="00151881">
        <w:rPr>
          <w:rFonts w:cstheme="minorHAnsi"/>
        </w:rPr>
        <w:t xml:space="preserve"> NAAQS and Regional Haze implementation requirements where appropriate.</w:t>
      </w:r>
      <w:r w:rsidRPr="00EE4D40">
        <w:rPr>
          <w:rFonts w:cstheme="minorHAnsi"/>
        </w:rPr>
        <w:t xml:space="preserve">  </w:t>
      </w:r>
      <w:r w:rsidRPr="00151881">
        <w:rPr>
          <w:rFonts w:cstheme="minorHAnsi"/>
        </w:rPr>
        <w:t>Taking such steps may reduce the incremental administrative burden.</w:t>
      </w:r>
      <w:r w:rsidRPr="00EE4D40">
        <w:rPr>
          <w:rFonts w:cstheme="minorHAnsi"/>
        </w:rPr>
        <w:t xml:space="preserve">  </w:t>
      </w:r>
      <w:r w:rsidRPr="00151881">
        <w:rPr>
          <w:rFonts w:cstheme="minorHAnsi"/>
        </w:rPr>
        <w:t>For example, the temporal and spatial nature of emission reductions associated with federal rules may be sufficient to meet the RFP requirements.</w:t>
      </w:r>
      <w:r w:rsidRPr="00EE4D40">
        <w:rPr>
          <w:rFonts w:cstheme="minorHAnsi"/>
        </w:rPr>
        <w:t xml:space="preserve">  </w:t>
      </w:r>
      <w:r w:rsidRPr="00151881">
        <w:rPr>
          <w:rFonts w:cstheme="minorHAnsi"/>
        </w:rPr>
        <w:t>Hence, the need to identify additional emission reductions to meet RFP requirements may be mitigated in some instances.</w:t>
      </w:r>
      <w:r w:rsidRPr="00EE4D40">
        <w:rPr>
          <w:rFonts w:cstheme="minorHAnsi"/>
        </w:rPr>
        <w:t xml:space="preserve">  </w:t>
      </w:r>
    </w:p>
    <w:p w:rsidR="000440A6" w:rsidRPr="00151881" w:rsidP="000440A6" w14:paraId="691AC08F" w14:textId="100F7DCB">
      <w:pPr>
        <w:rPr>
          <w:rFonts w:cstheme="minorHAnsi"/>
        </w:rPr>
      </w:pPr>
      <w:r w:rsidRPr="00151881">
        <w:rPr>
          <w:rFonts w:cstheme="minorHAnsi"/>
        </w:rPr>
        <w:t xml:space="preserve">In addition, states are encouraged, where appropriate, to </w:t>
      </w:r>
      <w:r>
        <w:rPr>
          <w:rFonts w:cstheme="minorHAnsi"/>
        </w:rPr>
        <w:t>consider similar analyses and planning efforts to meet certain PM2.5 NAAQS and Regional Haze implementation requirements. Such actions may result in RFP plans that achieve the</w:t>
      </w:r>
      <w:r w:rsidRPr="00151881">
        <w:rPr>
          <w:rFonts w:cstheme="minorHAnsi"/>
        </w:rPr>
        <w:t xml:space="preserve"> requisite multi-pollutant environmental progress at a lower cost.</w:t>
      </w:r>
      <w:r w:rsidRPr="00EE4D40">
        <w:rPr>
          <w:rFonts w:cstheme="minorHAnsi"/>
        </w:rPr>
        <w:t xml:space="preserve">  </w:t>
      </w:r>
    </w:p>
    <w:p w:rsidR="000440A6" w:rsidRPr="00151881" w:rsidP="000440A6" w14:paraId="171F918F" w14:textId="7981A365">
      <w:pPr>
        <w:rPr>
          <w:rFonts w:cstheme="minorHAnsi"/>
        </w:rPr>
      </w:pPr>
      <w:r w:rsidRPr="00151881">
        <w:rPr>
          <w:rFonts w:cstheme="minorHAnsi"/>
          <w:b/>
        </w:rPr>
        <w:t>RACT SIP Submission.</w:t>
      </w:r>
      <w:r w:rsidRPr="00EE4D40">
        <w:rPr>
          <w:rFonts w:cstheme="minorHAnsi"/>
          <w:b/>
        </w:rPr>
        <w:t xml:space="preserve">  </w:t>
      </w:r>
      <w:r w:rsidRPr="00151881">
        <w:rPr>
          <w:rFonts w:cstheme="minorHAnsi"/>
        </w:rPr>
        <w:t>This requirement would be addressed in revisions to 40 CFR 51.1112 and 51.1312, which implement CAA subsections 172(c)(1) 182(b)(2</w:t>
      </w:r>
      <w:r w:rsidRPr="00151881">
        <w:rPr>
          <w:rFonts w:cstheme="minorHAnsi"/>
        </w:rPr>
        <w:t>),(</w:t>
      </w:r>
      <w:r w:rsidRPr="00151881">
        <w:rPr>
          <w:rFonts w:cstheme="minorHAnsi"/>
        </w:rPr>
        <w:t>c),(d), and (e).</w:t>
      </w:r>
      <w:r w:rsidRPr="00EE4D40">
        <w:rPr>
          <w:rFonts w:cstheme="minorHAnsi"/>
        </w:rPr>
        <w:t xml:space="preserve">  </w:t>
      </w:r>
    </w:p>
    <w:p w:rsidR="000440A6" w:rsidRPr="00151881" w:rsidP="000440A6" w14:paraId="304CAE96" w14:textId="315F6D66">
      <w:pPr>
        <w:rPr>
          <w:rFonts w:cstheme="minorHAnsi"/>
        </w:rPr>
      </w:pPr>
      <w:r w:rsidRPr="00151881">
        <w:rPr>
          <w:rFonts w:cstheme="minorHAnsi"/>
          <w:b/>
          <w:bCs/>
        </w:rPr>
        <w:t>Second 10-year maintenance plan.</w:t>
      </w:r>
      <w:r w:rsidRPr="00151881">
        <w:rPr>
          <w:rFonts w:cstheme="minorHAnsi"/>
        </w:rPr>
        <w:t xml:space="preserve"> This requirement stems from CAA section 175A(b).</w:t>
      </w:r>
    </w:p>
    <w:p w:rsidR="00251151" w:rsidRPr="00E3122D" w:rsidP="00665026" w14:paraId="79D36B3F" w14:textId="440DD77F">
      <w:pPr>
        <w:pStyle w:val="ListParagraph"/>
        <w:numPr>
          <w:ilvl w:val="0"/>
          <w:numId w:val="2"/>
        </w:numPr>
        <w:pBdr>
          <w:bottom w:val="single" w:sz="4" w:space="1" w:color="auto"/>
        </w:pBdr>
        <w:spacing w:before="240" w:after="0"/>
        <w:rPr>
          <w:b/>
          <w:bCs/>
        </w:rPr>
      </w:pPr>
      <w:bookmarkStart w:id="8" w:name="_Toc156593372"/>
      <w:bookmarkStart w:id="9" w:name="_Hlk167885615"/>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9"/>
    <w:p w:rsidR="00ED57A4" w:rsidRPr="00BB3410" w:rsidP="00854AAE" w14:paraId="518B46AB" w14:textId="6FF658ED">
      <w:pPr>
        <w:rPr>
          <w:rFonts w:cstheme="minorHAnsi"/>
        </w:rPr>
      </w:pPr>
      <w:r w:rsidRPr="00151881">
        <w:rPr>
          <w:rFonts w:cstheme="minorHAnsi"/>
        </w:rPr>
        <w:t>For an approved ICR, the Agency must demonstrate that it has taken all practical steps to develop separate and simplified requirements for small businesses and other small entities.</w:t>
      </w:r>
      <w:r w:rsidRPr="00EE4D40">
        <w:rPr>
          <w:rFonts w:cstheme="minorHAnsi"/>
        </w:rPr>
        <w:t xml:space="preserve">  </w:t>
      </w:r>
      <w:r w:rsidRPr="00151881">
        <w:rPr>
          <w:rFonts w:cstheme="minorHAnsi"/>
        </w:rPr>
        <w:t>See 5 CFR 1320.6(h).</w:t>
      </w:r>
      <w:r w:rsidRPr="00EE4D40">
        <w:rPr>
          <w:rFonts w:cstheme="minorHAnsi"/>
        </w:rPr>
        <w:t xml:space="preserve"> </w:t>
      </w:r>
      <w:r w:rsidRPr="00151881">
        <w:rPr>
          <w:rFonts w:cstheme="minorHAnsi"/>
        </w:rPr>
        <w:t xml:space="preserve"> The 8-hour </w:t>
      </w:r>
      <w:r>
        <w:rPr>
          <w:rFonts w:cstheme="minorHAnsi"/>
        </w:rPr>
        <w:t>ozone</w:t>
      </w:r>
      <w:r w:rsidRPr="00151881">
        <w:rPr>
          <w:rFonts w:cstheme="minorHAnsi"/>
        </w:rPr>
        <w:t xml:space="preserve"> NAAQS implementation requirements do not impose a direct administrative burden on small entities.</w:t>
      </w:r>
      <w:r w:rsidRPr="00EE4D40">
        <w:rPr>
          <w:rFonts w:cstheme="minorHAnsi"/>
        </w:rPr>
        <w:t xml:space="preserve">  </w:t>
      </w:r>
    </w:p>
    <w:p w:rsidR="004252C1" w:rsidRPr="00E3122D" w:rsidP="00665026" w14:paraId="1FF5A778" w14:textId="02F91DFF">
      <w:pPr>
        <w:pStyle w:val="ListParagraph"/>
        <w:numPr>
          <w:ilvl w:val="0"/>
          <w:numId w:val="2"/>
        </w:numPr>
        <w:pBdr>
          <w:bottom w:val="single" w:sz="4" w:space="1" w:color="auto"/>
        </w:pBdr>
        <w:spacing w:before="240" w:after="0"/>
        <w:rPr>
          <w:b/>
          <w:bCs/>
        </w:rPr>
      </w:pPr>
      <w:bookmarkStart w:id="10" w:name="_Toc156593373"/>
      <w:r w:rsidRPr="4BDBF0A0">
        <w:rPr>
          <w:b/>
          <w:bCs/>
        </w:rPr>
        <w:t>CONSEQUENCES</w:t>
      </w:r>
      <w:r w:rsidRPr="4BDBF0A0" w:rsidR="00061A77">
        <w:rPr>
          <w:b/>
          <w:bCs/>
        </w:rPr>
        <w:t xml:space="preserve"> OF LESS FREQUENT COLLECTION</w:t>
      </w:r>
      <w:bookmarkEnd w:id="10"/>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B2E31" w:rsidP="002B2E31" w14:paraId="5934FB28" w14:textId="3210F81F">
      <w:pPr>
        <w:rPr>
          <w:rFonts w:cstheme="minorHAnsi"/>
        </w:rPr>
      </w:pPr>
      <w:r w:rsidRPr="00151881">
        <w:rPr>
          <w:rFonts w:cstheme="minorHAnsi"/>
        </w:rPr>
        <w:t xml:space="preserve">The collections under 40 CFR 51.1108 and 51.1308, 51.1110 and 51.1310, and 51.1112 and 51.1312 are necessary to provide assurances that identified levels of emission reductions are adequate to ensure </w:t>
      </w:r>
      <w:r w:rsidRPr="00151881">
        <w:rPr>
          <w:rFonts w:cstheme="minorHAnsi"/>
        </w:rPr>
        <w:t xml:space="preserve">timely attainment and maintenance of the </w:t>
      </w:r>
      <w:r>
        <w:rPr>
          <w:rFonts w:cstheme="minorHAnsi"/>
        </w:rPr>
        <w:t>ozone</w:t>
      </w:r>
      <w:r w:rsidRPr="00151881">
        <w:rPr>
          <w:rFonts w:cstheme="minorHAnsi"/>
        </w:rPr>
        <w:t xml:space="preserve"> NAAQS while adhering to the mandatory measures and requirements for all areas. The collections are generally one-time collections mandated by the Clean Air Act as part of the specific milestones the Act sets out for bringing nonattainment areas into attainment and are therefore not able to be collected less frequently.</w:t>
      </w:r>
    </w:p>
    <w:p w:rsidR="00A233E0" w:rsidRPr="00E3122D" w:rsidP="00665026" w14:paraId="27596CC0" w14:textId="77777777">
      <w:pPr>
        <w:pStyle w:val="ListParagraph"/>
        <w:numPr>
          <w:ilvl w:val="0"/>
          <w:numId w:val="2"/>
        </w:numPr>
        <w:pBdr>
          <w:bottom w:val="single" w:sz="4" w:space="1" w:color="auto"/>
        </w:pBdr>
        <w:spacing w:before="240" w:after="0"/>
        <w:rPr>
          <w:rFonts w:cstheme="minorHAnsi"/>
          <w:b/>
          <w:bCs/>
        </w:rPr>
      </w:pPr>
      <w:bookmarkStart w:id="11" w:name="_Toc156593374"/>
      <w:r w:rsidRPr="00E3122D">
        <w:rPr>
          <w:rFonts w:cstheme="minorHAnsi"/>
          <w:b/>
          <w:bCs/>
        </w:rPr>
        <w:t>GENERAL GUIDELINES</w:t>
      </w:r>
      <w:bookmarkEnd w:id="11"/>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2B2E31" w:rsidRPr="00EE4D40" w:rsidP="002B2E31" w14:paraId="20C5C724" w14:textId="7397030E">
      <w:pPr>
        <w:rPr>
          <w:rFonts w:cstheme="minorHAnsi"/>
        </w:rPr>
      </w:pPr>
      <w:r w:rsidRPr="00151881">
        <w:rPr>
          <w:rFonts w:cstheme="minorHAnsi"/>
        </w:rPr>
        <w:t>The associated reporting and recordkeeping requirements do not violate any of the regulations promulgated by OMB under 5 CFR 1320.5</w:t>
      </w:r>
      <w:r w:rsidRPr="00EE4D40">
        <w:rPr>
          <w:rFonts w:cstheme="minorHAnsi"/>
        </w:rPr>
        <w:t>(d)(2)</w:t>
      </w:r>
      <w:r w:rsidRPr="00151881">
        <w:rPr>
          <w:rFonts w:cstheme="minorHAnsi"/>
        </w:rPr>
        <w:t>.</w:t>
      </w:r>
      <w:r w:rsidRPr="00EE4D40">
        <w:rPr>
          <w:rFonts w:cstheme="minorHAnsi"/>
        </w:rPr>
        <w:t xml:space="preserve">  </w:t>
      </w:r>
      <w:r w:rsidRPr="00151881">
        <w:rPr>
          <w:rFonts w:cstheme="minorHAnsi"/>
        </w:rPr>
        <w:t>This proposed renewal meets the current Paperwork Reduction Act guidelines set forth by OMB.</w:t>
      </w:r>
      <w:r w:rsidRPr="00EE4D40">
        <w:rPr>
          <w:rFonts w:cstheme="minorHAnsi"/>
        </w:rPr>
        <w:t xml:space="preserve"> </w:t>
      </w:r>
      <w:r w:rsidRPr="00151881">
        <w:rPr>
          <w:rFonts w:cstheme="minorHAnsi"/>
        </w:rPr>
        <w:t xml:space="preserve">The relevant </w:t>
      </w:r>
      <w:r>
        <w:rPr>
          <w:rFonts w:cstheme="minorHAnsi"/>
        </w:rPr>
        <w:t>ozone</w:t>
      </w:r>
      <w:r w:rsidRPr="00151881">
        <w:rPr>
          <w:rFonts w:cstheme="minorHAnsi"/>
        </w:rPr>
        <w:t xml:space="preserve"> NAAQS implementation rules </w:t>
      </w:r>
      <w:r w:rsidRPr="00151881">
        <w:rPr>
          <w:rFonts w:cstheme="minorHAnsi"/>
          <w:b/>
          <w:bCs/>
        </w:rPr>
        <w:t>do not require</w:t>
      </w:r>
      <w:r w:rsidRPr="00151881">
        <w:rPr>
          <w:rFonts w:cstheme="minorHAnsi"/>
        </w:rPr>
        <w:t>:</w:t>
      </w:r>
    </w:p>
    <w:p w:rsidR="002B2E31" w:rsidRPr="00151881" w:rsidP="00665026" w14:paraId="5E75759C"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rPr>
        <w:t xml:space="preserve">Report information to the Agency more often than </w:t>
      </w:r>
      <w:r w:rsidRPr="00151881">
        <w:rPr>
          <w:rFonts w:cstheme="minorHAnsi"/>
        </w:rPr>
        <w:t>quarterly;</w:t>
      </w:r>
    </w:p>
    <w:p w:rsidR="002B2E31" w:rsidRPr="00151881" w:rsidP="00665026" w14:paraId="5B2DD117"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 xml:space="preserve">Respondents to prepare a written response to a collection of information in fewer than 30 days after receipt of </w:t>
      </w:r>
      <w:r w:rsidRPr="00151881">
        <w:rPr>
          <w:rFonts w:cstheme="minorHAnsi"/>
          <w:color w:val="000000" w:themeColor="text1"/>
        </w:rPr>
        <w:t>it;</w:t>
      </w:r>
    </w:p>
    <w:p w:rsidR="002B2E31" w:rsidRPr="00151881" w:rsidP="00665026" w14:paraId="07BB3D05"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 xml:space="preserve">Respondents to submit more than an original and two copies of any </w:t>
      </w:r>
      <w:r w:rsidRPr="00151881">
        <w:rPr>
          <w:rFonts w:cstheme="minorHAnsi"/>
          <w:color w:val="000000" w:themeColor="text1"/>
        </w:rPr>
        <w:t>document;</w:t>
      </w:r>
    </w:p>
    <w:p w:rsidR="002B2E31" w:rsidRPr="00151881" w:rsidP="00665026" w14:paraId="35209E3E"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 xml:space="preserve">Respondents to retain records, other than health, medical, government contract, grant-in-aid, or tax records, for more than three </w:t>
      </w:r>
      <w:r w:rsidRPr="00151881">
        <w:rPr>
          <w:rFonts w:cstheme="minorHAnsi"/>
          <w:color w:val="000000" w:themeColor="text1"/>
        </w:rPr>
        <w:t>years;</w:t>
      </w:r>
    </w:p>
    <w:p w:rsidR="002B2E31" w:rsidRPr="00151881" w:rsidP="00665026" w14:paraId="3F63778E"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 xml:space="preserve">Use of a statistical survey that is not designed to produce valid and reliable results that can be generalized to the universe of </w:t>
      </w:r>
      <w:r w:rsidRPr="00151881">
        <w:rPr>
          <w:rFonts w:cstheme="minorHAnsi"/>
          <w:color w:val="000000" w:themeColor="text1"/>
        </w:rPr>
        <w:t>study;</w:t>
      </w:r>
    </w:p>
    <w:p w:rsidR="002B2E31" w:rsidRPr="00151881" w:rsidP="00665026" w14:paraId="65EE63EA"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 xml:space="preserve">Use of statistical data classification that has not been reviewed and approved by </w:t>
      </w:r>
      <w:r w:rsidRPr="00151881">
        <w:rPr>
          <w:rFonts w:cstheme="minorHAnsi"/>
          <w:color w:val="000000" w:themeColor="text1"/>
        </w:rPr>
        <w:t>OMB;</w:t>
      </w:r>
    </w:p>
    <w:p w:rsidR="002B2E31" w:rsidRPr="00151881" w:rsidP="00665026" w14:paraId="057C0657" w14:textId="77777777">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The inclusion of a pledge of confidentiality that is not supported by authority established in statute or regulation, that is not supported by disclosure and data security policies that are consistent with the pledge, or which unnecessarily impedes sharing of data with other</w:t>
      </w:r>
      <w:r w:rsidRPr="00151881">
        <w:rPr>
          <w:rFonts w:cstheme="minorHAnsi"/>
          <w:color w:val="000000" w:themeColor="text1"/>
        </w:rPr>
        <w:br/>
        <w:t>agencies for compatible confidential use;</w:t>
      </w:r>
    </w:p>
    <w:p w:rsidR="00111663" w:rsidP="00665026" w14:paraId="775EDF16" w14:textId="10629C96">
      <w:pPr>
        <w:pStyle w:val="ListParagraph"/>
        <w:numPr>
          <w:ilvl w:val="0"/>
          <w:numId w:val="12"/>
        </w:numPr>
        <w:spacing w:after="0" w:line="240" w:lineRule="auto"/>
        <w:contextualSpacing w:val="0"/>
        <w:rPr>
          <w:rFonts w:cstheme="minorHAnsi"/>
          <w:color w:val="000000" w:themeColor="text1"/>
        </w:rPr>
      </w:pPr>
      <w:r w:rsidRPr="00151881">
        <w:rPr>
          <w:rFonts w:cstheme="minorHAnsi"/>
          <w:color w:val="000000" w:themeColor="text1"/>
        </w:rPr>
        <w:t>Respondents to submit proprietary trade secrets, or other confidential information unless the agency can demonstrate that it has instituted procedures to protect the information's confidentiality to the extent permitted by law.</w:t>
      </w:r>
    </w:p>
    <w:p w:rsidR="002B2E31" w:rsidRPr="002B2E31" w:rsidP="002B2E31" w14:paraId="3EC9CA8F" w14:textId="77777777">
      <w:pPr>
        <w:pStyle w:val="ListParagraph"/>
        <w:spacing w:after="0" w:line="240" w:lineRule="auto"/>
        <w:ind w:left="1080"/>
        <w:contextualSpacing w:val="0"/>
        <w:rPr>
          <w:rFonts w:cstheme="minorHAnsi"/>
          <w:color w:val="000000" w:themeColor="text1"/>
        </w:rPr>
      </w:pPr>
    </w:p>
    <w:p w:rsidR="006036CD" w:rsidRPr="00E3122D" w:rsidP="00665026" w14:paraId="02EE9B8D" w14:textId="77777777">
      <w:pPr>
        <w:pStyle w:val="ListParagraph"/>
        <w:numPr>
          <w:ilvl w:val="0"/>
          <w:numId w:val="2"/>
        </w:numPr>
        <w:pBdr>
          <w:bottom w:val="single" w:sz="4" w:space="1" w:color="auto"/>
        </w:pBdr>
        <w:spacing w:before="240" w:after="0"/>
        <w:rPr>
          <w:rFonts w:cstheme="minorHAnsi"/>
          <w:b/>
          <w:bCs/>
        </w:rPr>
      </w:pPr>
      <w:bookmarkStart w:id="12" w:name="_Toc156593375"/>
      <w:r w:rsidRPr="00E3122D">
        <w:rPr>
          <w:rFonts w:cstheme="minorHAnsi"/>
          <w:b/>
          <w:bCs/>
        </w:rPr>
        <w:t>PUBLIC COMMENT AND CONSULTATIONS</w:t>
      </w:r>
      <w:bookmarkStart w:id="13" w:name="_Toc156593376"/>
      <w:bookmarkEnd w:id="12"/>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4" w:name="_Toc156593377"/>
      <w:bookmarkEnd w:id="13"/>
    </w:p>
    <w:p w:rsid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2C47" w:rsidRPr="00F14161" w:rsidP="00722C47" w14:paraId="17BC0701" w14:textId="77777777">
      <w:pPr>
        <w:rPr>
          <w:rStyle w:val="normaltextrun"/>
          <w:rFonts w:cstheme="minorHAnsi"/>
          <w:color w:val="000000"/>
          <w:shd w:val="clear" w:color="auto" w:fill="FFFFFF"/>
        </w:rPr>
      </w:pPr>
      <w:r w:rsidRPr="00F14161">
        <w:rPr>
          <w:rStyle w:val="normaltextrun"/>
          <w:rFonts w:cstheme="minorHAnsi"/>
          <w:color w:val="000000"/>
          <w:shd w:val="clear" w:color="auto" w:fill="FFFFFF"/>
        </w:rPr>
        <w:t xml:space="preserve">The EPA published a </w:t>
      </w:r>
      <w:r w:rsidRPr="00F14161">
        <w:rPr>
          <w:rStyle w:val="normaltextrun"/>
          <w:rFonts w:cstheme="minorHAnsi"/>
          <w:i/>
          <w:iCs/>
          <w:color w:val="000000"/>
          <w:shd w:val="clear" w:color="auto" w:fill="FFFFFF"/>
        </w:rPr>
        <w:t>Federal Register</w:t>
      </w:r>
      <w:r w:rsidRPr="00F14161">
        <w:rPr>
          <w:rStyle w:val="normaltextrun"/>
          <w:rFonts w:cstheme="minorHAnsi"/>
          <w:color w:val="000000"/>
          <w:shd w:val="clear" w:color="auto" w:fill="FFFFFF"/>
        </w:rPr>
        <w:t xml:space="preserve"> notice on August 15, 2024 (89 FR 66382) that solicited comment on the 8 Hour Ozone NAAQS SIP Requirements Rule ICR Renewal. The EPA received one comment from the Texas Commission on Environmental Quality (TCEQ). </w:t>
      </w:r>
    </w:p>
    <w:p w:rsidR="00722C47" w:rsidP="00722C47" w14:paraId="4ABB6FAE" w14:textId="77777777">
      <w:pPr>
        <w:rPr>
          <w:rFonts w:cstheme="minorHAnsi"/>
        </w:rPr>
      </w:pPr>
      <w:r w:rsidRPr="00F14161">
        <w:rPr>
          <w:rStyle w:val="normaltextrun"/>
          <w:rFonts w:cstheme="minorHAnsi"/>
          <w:color w:val="000000" w:themeColor="text1"/>
        </w:rPr>
        <w:t xml:space="preserve">The TCEQ recommended that the burden for the State of Texas be at least 135,000 staff hours at a cost of approximately $7.1 million to develop the SIP revisions and associated rules necessary to implement </w:t>
      </w:r>
      <w:r w:rsidRPr="00F14161">
        <w:rPr>
          <w:rStyle w:val="normaltextrun"/>
          <w:rFonts w:cstheme="minorHAnsi"/>
          <w:color w:val="000000" w:themeColor="text1"/>
        </w:rPr>
        <w:t>the eight-hour ozone NAAQS in the Dallas-Fort Worth, Houston-Galveston-Brazoria, and Bexar County nonattainment areas. TCEQ acknowledges the amount of work involved in SIP development varies from state to state; however, TCEQ recommends that the EPA consider the impacts of recent court rulings that may result in potential additional analyses and SIP revisions when estimating the costs for developing SIP revisions for the 8-hour ozone NAAQS. </w:t>
      </w:r>
    </w:p>
    <w:p w:rsidR="00722C47" w:rsidRPr="00722C47" w:rsidP="00722C47" w14:paraId="3F650920" w14:textId="2B572F39">
      <w:pPr>
        <w:rPr>
          <w:rStyle w:val="normaltextrun"/>
          <w:rFonts w:cstheme="minorHAnsi"/>
        </w:rPr>
      </w:pPr>
      <w:r w:rsidRPr="00F14161">
        <w:rPr>
          <w:rStyle w:val="normaltextrun"/>
          <w:rFonts w:cstheme="minorHAnsi"/>
          <w:b/>
          <w:bCs/>
          <w:i/>
          <w:iCs/>
          <w:color w:val="000000" w:themeColor="text1"/>
        </w:rPr>
        <w:t xml:space="preserve"> </w:t>
      </w:r>
      <w:r w:rsidRPr="00F14161">
        <w:rPr>
          <w:rStyle w:val="normaltextrun"/>
          <w:rFonts w:cstheme="minorHAnsi"/>
          <w:color w:val="000000" w:themeColor="text1"/>
        </w:rPr>
        <w:t>At the onset of implementing the 8-hour ozone NAAQS, the EPA estimated that an average of 20,000 burden hours would be expended for Serious (and above) areas to develop the initial required SIP submissions to the EPA. This burden estimate was previously subject to notice and comment and approved by the Office of Management and Budget and has been used to estimate the entire burden for attainment planning for the 8-hour ozone NAAQS. The EPA’s methodology for estimating the average burden hours of an area reclassified to Serious assumes that the state has completed all of the required SIP submissions for Moderate areas, and thus the additional burden for a Serious classification is incremental to meeting previous requirements. The EPA’s methodology for estimating the burden hours also considers a state’s experience in meeting the same requirements for a previous ozone NAAQS. Similar to many other areas that were reclassified to Serious for 2015 Ozone in the EPA June 20, 2024, action, the Dallas, and Houston ozone nonattainment areas have been classified Serious for previous ozone NAAQS. Therefore, the EPA estimates the average burden hours would necessarily be significantly less than the full 20,000 hours estimated for a newly classified Serious area. The EPA assumes the state will build on and adjust the previous 2015 Ozone NAAQS Moderate area SIP submittal. Accordingly, the EPA reduced the estimated average burden from 20,000 total hours to initiate a complete Serious area SIP, to an average of 5,000 hours to revise an existing Moderate-area SIP after reclassification from Moderate to Serious. This would average about 1,666 hours annually over the 3-year period of this renewal. The 5,000 hours are intended to represent the burden on states to conduct the tasks associated with completing milestones covered during the ICR reporting period: the RACT SIP revisions, RFP SIP revisions and the attainment demonstration.</w:t>
      </w:r>
    </w:p>
    <w:p w:rsidR="00722C47" w:rsidRPr="00F14161" w:rsidP="00722C47" w14:paraId="24BF403D" w14:textId="326731CE">
      <w:pPr>
        <w:rPr>
          <w:rStyle w:val="normaltextrun"/>
          <w:rFonts w:cstheme="minorHAnsi"/>
          <w:color w:val="000000"/>
          <w:shd w:val="clear" w:color="auto" w:fill="FFFFFF"/>
        </w:rPr>
      </w:pPr>
      <w:r w:rsidRPr="00722C47">
        <w:rPr>
          <w:rFonts w:cstheme="minorHAnsi"/>
        </w:rPr>
        <w:t xml:space="preserve">With regard to commenter’s concerns that the burden estimated by the ICR is lower than the burden on Texas to implement the CAA requirements covered by this ICR, the burden estimated in this ICR represents an </w:t>
      </w:r>
      <w:r w:rsidRPr="00722C47">
        <w:rPr>
          <w:rFonts w:cstheme="minorHAnsi"/>
          <w:i/>
          <w:iCs/>
        </w:rPr>
        <w:t>average</w:t>
      </w:r>
      <w:r w:rsidRPr="00722C47">
        <w:rPr>
          <w:rFonts w:cstheme="minorHAnsi"/>
        </w:rPr>
        <w:t xml:space="preserve"> burden across all states, considering all nonattainment areas to which the burden applies. Consequently, there are naturally going to be some states that have an actual burden that is higher than the average, as TCEQ notes in their comment, and some states that have a lower burden. These differences are likely based on the specific nature and degree of the ozone problem in each area, differences in controllable emission inventory, and program and personnel experience levels. </w:t>
      </w:r>
    </w:p>
    <w:p w:rsidR="00722C47" w:rsidRPr="00F14161" w:rsidP="00722C47" w14:paraId="581035FB" w14:textId="77777777">
      <w:pPr>
        <w:rPr>
          <w:rStyle w:val="normaltextrun"/>
          <w:rFonts w:cstheme="minorHAnsi"/>
          <w:color w:val="000000"/>
          <w:shd w:val="clear" w:color="auto" w:fill="FFFFFF"/>
        </w:rPr>
      </w:pPr>
      <w:r w:rsidRPr="00F14161">
        <w:rPr>
          <w:rStyle w:val="normaltextrun"/>
          <w:rFonts w:cstheme="minorHAnsi"/>
          <w:color w:val="000000"/>
          <w:shd w:val="clear" w:color="auto" w:fill="FFFFFF"/>
        </w:rPr>
        <w:t>In addition, while the commenter requests that the EPA should consider the increased burden recent court rulings on burden estimates, the commenter did not provide any specific examples. The commenter did not provide any specific court cases, nor what specific burdens were potentially increased. During these ICR renewals, the EPA will account for new requirements that apply to sources as a result new statutory or regulatory requirements on ozone areas. These new or revised requirements might result from court cases potentially, but the EPA has not identified any new revised requirements as a result of court cases or otherwise</w:t>
      </w:r>
      <w:r>
        <w:rPr>
          <w:rStyle w:val="normaltextrun"/>
          <w:rFonts w:cstheme="minorHAnsi"/>
          <w:color w:val="000000"/>
          <w:shd w:val="clear" w:color="auto" w:fill="FFFFFF"/>
        </w:rPr>
        <w:t>,</w:t>
      </w:r>
      <w:r w:rsidRPr="00F14161">
        <w:rPr>
          <w:rStyle w:val="normaltextrun"/>
          <w:rFonts w:cstheme="minorHAnsi"/>
          <w:color w:val="000000"/>
          <w:shd w:val="clear" w:color="auto" w:fill="FFFFFF"/>
        </w:rPr>
        <w:t xml:space="preserve"> that would require the EPA to revise the burden estimates at this time. </w:t>
      </w:r>
    </w:p>
    <w:p w:rsidR="00722C47" w:rsidRPr="00F14161" w:rsidP="00722C47" w14:paraId="22ECF893" w14:textId="77777777">
      <w:pPr>
        <w:rPr>
          <w:rFonts w:cstheme="minorHAnsi"/>
        </w:rPr>
      </w:pPr>
      <w:r w:rsidRPr="00F14161">
        <w:rPr>
          <w:rFonts w:cstheme="minorHAnsi"/>
        </w:rPr>
        <w:t xml:space="preserve">The EPA notes that the burden of some tasks that are related to or provide a foundation for the attainment demonstration, RFP SIP revisions, and the RACT SIP revisions are collected as a result of reporting activities required by other OMB-approved ICRs. Therefore, this ICR does not account for those burdens. For example, see the ICR associated with the Consolidated Emissions Reporting Rule: </w:t>
      </w:r>
      <w:r w:rsidRPr="00AF12EC">
        <w:rPr>
          <w:rFonts w:cstheme="minorHAnsi"/>
          <w:i/>
          <w:iCs/>
        </w:rPr>
        <w:t>http://www.epa.gov/ttn/chief/cerr/index.html</w:t>
      </w:r>
      <w:r w:rsidRPr="00F14161">
        <w:rPr>
          <w:rFonts w:cstheme="minorHAnsi"/>
        </w:rPr>
        <w:t>. In addition, air pollutant concentration data is covered already by ICR 0940.30, OMB Control Number 2060-0084; the New Source Review provisions are covered by ICR 1230.34, OMB Control Number 2060-0003; and the Reformulated Gasoline Requirements are covered ICR 1591.27, OMB Control Number 2060-0277. A portion of the burden hours TCEQ identified may be accounted for in these and other ICRs.</w:t>
      </w:r>
    </w:p>
    <w:p w:rsidR="00ED57A4" w:rsidRPr="002B2E31" w:rsidP="002B2E31" w14:paraId="102C4D0F" w14:textId="175F88B7">
      <w:pPr>
        <w:rPr>
          <w:rFonts w:cstheme="minorHAnsi"/>
        </w:rPr>
      </w:pPr>
      <w:r w:rsidRPr="00151881">
        <w:rPr>
          <w:rFonts w:cstheme="minorHAnsi"/>
        </w:rPr>
        <w:t xml:space="preserve">The bulk of this ICR is related to the implementation requirements that apply </w:t>
      </w:r>
      <w:r>
        <w:rPr>
          <w:rFonts w:cstheme="minorHAnsi"/>
        </w:rPr>
        <w:t xml:space="preserve">to the 2015 and 2008 Ozone standards. The EPA last requested comments on the 2015 ozone standard implementation rules finalized for the classifications rule on November 17, 2016 ( 81 FR 81276) </w:t>
      </w:r>
      <w:r w:rsidRPr="00151881">
        <w:rPr>
          <w:rFonts w:cstheme="minorHAnsi"/>
        </w:rPr>
        <w:t>and the Nonattainment Area State Implementation Plan Requirements on December 6, 2018 (</w:t>
      </w:r>
      <w:hyperlink r:id="rId11" w:tgtFrame="_blank" w:history="1">
        <w:r w:rsidRPr="00151881">
          <w:rPr>
            <w:rStyle w:val="Hyperlink"/>
            <w:rFonts w:cstheme="minorHAnsi"/>
          </w:rPr>
          <w:t>83 FR 62998</w:t>
        </w:r>
      </w:hyperlink>
      <w:r w:rsidRPr="00151881">
        <w:rPr>
          <w:rFonts w:cstheme="minorHAnsi"/>
        </w:rPr>
        <w:t>).</w:t>
      </w:r>
      <w:r w:rsidRPr="00EE4D40">
        <w:rPr>
          <w:rFonts w:cstheme="minorHAnsi"/>
        </w:rPr>
        <w:t xml:space="preserv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4"/>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E31" w:rsidRPr="0048236C" w:rsidP="002B2E31" w14:paraId="698DB7B4" w14:textId="45300D66">
      <w:pPr>
        <w:rPr>
          <w:rFonts w:cstheme="minorHAnsi"/>
        </w:rPr>
      </w:pPr>
      <w:r w:rsidRPr="00151881">
        <w:rPr>
          <w:rFonts w:cstheme="minorHAnsi"/>
        </w:rPr>
        <w:t xml:space="preserve">The EPA solicited </w:t>
      </w:r>
      <w:r>
        <w:rPr>
          <w:rFonts w:cstheme="minorHAnsi"/>
        </w:rPr>
        <w:t>comments</w:t>
      </w:r>
      <w:r w:rsidRPr="00151881">
        <w:rPr>
          <w:rFonts w:cstheme="minorHAnsi"/>
        </w:rPr>
        <w:t xml:space="preserve"> on the proposed and final SIP Requirements Rule for the 2015 8-hour NAAQS</w:t>
      </w:r>
      <w:r>
        <w:rPr>
          <w:rFonts w:cstheme="minorHAnsi"/>
        </w:rPr>
        <w:t>, including</w:t>
      </w:r>
      <w:r w:rsidRPr="00151881">
        <w:rPr>
          <w:rFonts w:cstheme="minorHAnsi"/>
        </w:rPr>
        <w:t xml:space="preserve"> one public hearing. The prior extension of the current 8-hour </w:t>
      </w:r>
      <w:r>
        <w:rPr>
          <w:rFonts w:cstheme="minorHAnsi"/>
        </w:rPr>
        <w:t>ozone</w:t>
      </w:r>
      <w:r w:rsidRPr="00151881">
        <w:rPr>
          <w:rFonts w:cstheme="minorHAnsi"/>
        </w:rPr>
        <w:t xml:space="preserve"> NAAQS implementation ICR (renewal through January 31, 202</w:t>
      </w:r>
      <w:r>
        <w:rPr>
          <w:rFonts w:cstheme="minorHAnsi"/>
        </w:rPr>
        <w:t>1</w:t>
      </w:r>
      <w:r w:rsidRPr="00151881">
        <w:rPr>
          <w:rFonts w:cstheme="minorHAnsi"/>
        </w:rPr>
        <w:t>) requested public comments via the Federal Register (82 FR 45843) on October 2, 2017</w:t>
      </w:r>
      <w:r>
        <w:rPr>
          <w:rFonts w:cstheme="minorHAnsi"/>
        </w:rPr>
        <w:t>,</w:t>
      </w:r>
      <w:r w:rsidRPr="00151881">
        <w:rPr>
          <w:rFonts w:cstheme="minorHAnsi"/>
        </w:rPr>
        <w:t xml:space="preserve"> and (82 FR 51829) on November 8, 2017, during a 60-day comment period. The Office of Resources, Operations</w:t>
      </w:r>
      <w:r>
        <w:rPr>
          <w:rFonts w:cstheme="minorHAnsi"/>
        </w:rPr>
        <w:t>,</w:t>
      </w:r>
      <w:r w:rsidRPr="00151881">
        <w:rPr>
          <w:rFonts w:cstheme="minorHAnsi"/>
        </w:rPr>
        <w:t xml:space="preserve"> and Management requested public comments via 83 FR 2150 on January 16, 2018.</w:t>
      </w:r>
    </w:p>
    <w:p w:rsidR="00A233E0" w:rsidRPr="00E3122D" w:rsidP="00665026" w14:paraId="191560B2" w14:textId="77777777">
      <w:pPr>
        <w:pStyle w:val="ListParagraph"/>
        <w:numPr>
          <w:ilvl w:val="0"/>
          <w:numId w:val="2"/>
        </w:numPr>
        <w:pBdr>
          <w:bottom w:val="single" w:sz="4" w:space="1" w:color="auto"/>
        </w:pBdr>
        <w:spacing w:before="240" w:after="0"/>
        <w:rPr>
          <w:rFonts w:cstheme="minorHAnsi"/>
          <w:b/>
          <w:bCs/>
        </w:rPr>
      </w:pPr>
      <w:bookmarkStart w:id="15" w:name="_Toc156593378"/>
      <w:bookmarkStart w:id="16" w:name="_Hlk167885714"/>
      <w:r w:rsidRPr="00E3122D">
        <w:rPr>
          <w:rFonts w:cstheme="minorHAnsi"/>
          <w:b/>
          <w:bCs/>
        </w:rPr>
        <w:t>PAYMENTS OR GIFTS TO RESPONDENTS</w:t>
      </w:r>
      <w:bookmarkEnd w:id="15"/>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29672276">
      <w:pPr>
        <w:rPr>
          <w:rFonts w:cstheme="minorHAnsi"/>
        </w:rPr>
      </w:pPr>
      <w:r>
        <w:rPr>
          <w:rStyle w:val="normaltextrun"/>
          <w:color w:val="000000"/>
          <w:bdr w:val="none" w:sz="0" w:space="0" w:color="auto" w:frame="1"/>
        </w:rPr>
        <w:t>Not applicable.</w:t>
      </w:r>
    </w:p>
    <w:p w:rsidR="4C04BBF2" w:rsidP="00665026" w14:paraId="333FE36D" w14:textId="45DEA41F">
      <w:pPr>
        <w:pStyle w:val="ListParagraph"/>
        <w:numPr>
          <w:ilvl w:val="0"/>
          <w:numId w:val="2"/>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B2E31" w:rsidRPr="00151881" w:rsidP="002B2E31" w14:paraId="38EC83D1" w14:textId="2E0C10C5">
      <w:pPr>
        <w:rPr>
          <w:rFonts w:cstheme="minorHAnsi"/>
        </w:rPr>
      </w:pPr>
      <w:r w:rsidRPr="00151881">
        <w:rPr>
          <w:rFonts w:cstheme="minorHAnsi"/>
        </w:rPr>
        <w:t>The information accounted for in this proposed ICR renewal is requested from states. To fulfill the attainment demonstration, RFP SIP submission</w:t>
      </w:r>
      <w:r w:rsidRPr="00EE4D40">
        <w:rPr>
          <w:rFonts w:cstheme="minorHAnsi"/>
        </w:rPr>
        <w:t xml:space="preserve">, RACT SIP submission requirements, contingency measures, and nonattainment new source review, states may use emissions levels and control efficiency </w:t>
      </w:r>
      <w:r w:rsidRPr="00EE4D40">
        <w:rPr>
          <w:rFonts w:cstheme="minorHAnsi"/>
        </w:rPr>
        <w:t>data provided by certain facilities in the private and public sectors</w:t>
      </w:r>
      <w:r w:rsidRPr="00151881">
        <w:rPr>
          <w:rFonts w:cstheme="minorHAnsi"/>
        </w:rPr>
        <w:t xml:space="preserve">. This information is available from a variety of sources. </w:t>
      </w:r>
      <w:r>
        <w:rPr>
          <w:rFonts w:cstheme="minorHAnsi"/>
        </w:rPr>
        <w:t xml:space="preserve">The assimilation and analysis of such data are required in the attainment demonstration, RFP SIP submittal, and </w:t>
      </w:r>
      <w:r w:rsidRPr="00151881">
        <w:rPr>
          <w:rFonts w:cstheme="minorHAnsi"/>
        </w:rPr>
        <w:t>RACT SIP submittal.</w:t>
      </w:r>
    </w:p>
    <w:p w:rsidR="002B2E31" w:rsidRPr="00151881" w:rsidP="002B2E31" w14:paraId="11444A6F" w14:textId="3D9577DF">
      <w:pPr>
        <w:rPr>
          <w:rFonts w:cstheme="minorHAnsi"/>
        </w:rPr>
      </w:pPr>
      <w:r w:rsidRPr="00151881">
        <w:rPr>
          <w:rFonts w:cstheme="minorHAnsi"/>
        </w:rPr>
        <w:t>There</w:t>
      </w:r>
      <w:r>
        <w:rPr>
          <w:rFonts w:cstheme="minorHAnsi"/>
        </w:rPr>
        <w:t xml:space="preserve"> are</w:t>
      </w:r>
      <w:r w:rsidRPr="00151881">
        <w:rPr>
          <w:rFonts w:cstheme="minorHAnsi"/>
        </w:rPr>
        <w:t xml:space="preserve"> </w:t>
      </w:r>
      <w:r>
        <w:rPr>
          <w:rFonts w:cstheme="minorHAnsi"/>
        </w:rPr>
        <w:t>27</w:t>
      </w:r>
      <w:r w:rsidRPr="00151881">
        <w:rPr>
          <w:rFonts w:cstheme="minorHAnsi"/>
        </w:rPr>
        <w:t xml:space="preserve"> nonattainment areas for the 2015 </w:t>
      </w:r>
      <w:r>
        <w:rPr>
          <w:rFonts w:cstheme="minorHAnsi"/>
        </w:rPr>
        <w:t>ozone</w:t>
      </w:r>
      <w:r w:rsidRPr="00151881">
        <w:rPr>
          <w:rFonts w:cstheme="minorHAnsi"/>
        </w:rPr>
        <w:t xml:space="preserve"> standards and an additional 2</w:t>
      </w:r>
      <w:r>
        <w:rPr>
          <w:rFonts w:cstheme="minorHAnsi"/>
        </w:rPr>
        <w:t>5</w:t>
      </w:r>
      <w:r w:rsidRPr="00151881">
        <w:rPr>
          <w:rFonts w:cstheme="minorHAnsi"/>
        </w:rPr>
        <w:t xml:space="preserve"> nonattainment areas for the 2008 standards</w:t>
      </w:r>
      <w:r>
        <w:rPr>
          <w:rFonts w:cstheme="minorHAnsi"/>
        </w:rPr>
        <w:t>,</w:t>
      </w:r>
      <w:r w:rsidRPr="00151881">
        <w:rPr>
          <w:rFonts w:cstheme="minorHAnsi"/>
        </w:rPr>
        <w:t xml:space="preserve"> with SIP revisions expected to be due from their respective states during this proposed ICR renewal’s applicable 3-year period. When considering the nonattainment areas for the 2015 </w:t>
      </w:r>
      <w:r>
        <w:rPr>
          <w:rFonts w:cstheme="minorHAnsi"/>
        </w:rPr>
        <w:t>ozone</w:t>
      </w:r>
      <w:r w:rsidRPr="00151881">
        <w:rPr>
          <w:rFonts w:cstheme="minorHAnsi"/>
        </w:rPr>
        <w:t xml:space="preserve"> standards comprised of portions of two or more states, the 2</w:t>
      </w:r>
      <w:r>
        <w:rPr>
          <w:rFonts w:cstheme="minorHAnsi"/>
        </w:rPr>
        <w:t>7</w:t>
      </w:r>
      <w:r w:rsidRPr="00151881">
        <w:rPr>
          <w:rFonts w:cstheme="minorHAnsi"/>
        </w:rPr>
        <w:t xml:space="preserve"> nonattainment areas result in </w:t>
      </w:r>
      <w:r w:rsidRPr="00EE4D40">
        <w:rPr>
          <w:rFonts w:cstheme="minorHAnsi"/>
        </w:rPr>
        <w:t>34</w:t>
      </w:r>
      <w:r w:rsidRPr="00151881">
        <w:rPr>
          <w:rFonts w:cstheme="minorHAnsi"/>
        </w:rPr>
        <w:t xml:space="preserve"> total responses from states, with 19 nonattainment </w:t>
      </w:r>
      <w:r w:rsidRPr="00EE4D40">
        <w:rPr>
          <w:rFonts w:cstheme="minorHAnsi"/>
        </w:rPr>
        <w:t>areas</w:t>
      </w:r>
      <w:r w:rsidRPr="00151881">
        <w:rPr>
          <w:rFonts w:cstheme="minorHAnsi"/>
        </w:rPr>
        <w:t xml:space="preserve"> currently classified as Moderate that could be reclassified to Serious, and thus subject to additional attainment planning requirements, if the areas fail to attain the NAAQS by the August 3, 2024, attainment date. The remaining </w:t>
      </w:r>
      <w:r>
        <w:rPr>
          <w:rFonts w:cstheme="minorHAnsi"/>
        </w:rPr>
        <w:t>8</w:t>
      </w:r>
      <w:r w:rsidRPr="00151881">
        <w:rPr>
          <w:rFonts w:cstheme="minorHAnsi"/>
        </w:rPr>
        <w:t xml:space="preserve"> nonattainment areas are eligible or may become eligible during this ICR period for redesignation to attainment. The burden estimate for the 2008 NAAQS accounts for 6 nonattainment areas that have second maintenance plans due and 1</w:t>
      </w:r>
      <w:r w:rsidRPr="00EE4D40">
        <w:rPr>
          <w:rFonts w:cstheme="minorHAnsi"/>
        </w:rPr>
        <w:t>9</w:t>
      </w:r>
      <w:r w:rsidRPr="00151881">
        <w:rPr>
          <w:rFonts w:cstheme="minorHAnsi"/>
        </w:rPr>
        <w:t xml:space="preserve"> nonattainment areas that are eligible or may become </w:t>
      </w:r>
      <w:r w:rsidRPr="00EE4D40">
        <w:rPr>
          <w:rFonts w:cstheme="minorHAnsi"/>
        </w:rPr>
        <w:t>eligible</w:t>
      </w:r>
      <w:r w:rsidRPr="00151881">
        <w:rPr>
          <w:rFonts w:cstheme="minorHAnsi"/>
        </w:rPr>
        <w:t xml:space="preserve"> for redesignation to attainment. When considering the nonattainment areas for the 2008 </w:t>
      </w:r>
      <w:r>
        <w:rPr>
          <w:rFonts w:cstheme="minorHAnsi"/>
        </w:rPr>
        <w:t>ozone</w:t>
      </w:r>
      <w:r w:rsidRPr="00151881">
        <w:rPr>
          <w:rFonts w:cstheme="minorHAnsi"/>
        </w:rPr>
        <w:t xml:space="preserve"> standards comprised of portions of two or more states, the 2</w:t>
      </w:r>
      <w:r w:rsidRPr="00EE4D40">
        <w:rPr>
          <w:rFonts w:cstheme="minorHAnsi"/>
        </w:rPr>
        <w:t>5</w:t>
      </w:r>
      <w:r w:rsidRPr="00151881">
        <w:rPr>
          <w:rFonts w:cstheme="minorHAnsi"/>
        </w:rPr>
        <w:t xml:space="preserve"> nonattainment areas </w:t>
      </w:r>
      <w:r>
        <w:rPr>
          <w:rFonts w:cstheme="minorHAnsi"/>
        </w:rPr>
        <w:t>resulted</w:t>
      </w:r>
      <w:r w:rsidRPr="00151881">
        <w:rPr>
          <w:rFonts w:cstheme="minorHAnsi"/>
        </w:rPr>
        <w:t xml:space="preserve"> in </w:t>
      </w:r>
      <w:r w:rsidRPr="00EE4D40">
        <w:rPr>
          <w:rFonts w:cstheme="minorHAnsi"/>
        </w:rPr>
        <w:t>32</w:t>
      </w:r>
      <w:r w:rsidRPr="00151881">
        <w:rPr>
          <w:rFonts w:cstheme="minorHAnsi"/>
        </w:rPr>
        <w:t xml:space="preserve"> total responses from states</w:t>
      </w:r>
      <w:r w:rsidRPr="00EE4D40">
        <w:rPr>
          <w:rFonts w:cstheme="minorHAnsi"/>
        </w:rPr>
        <w:t>.</w:t>
      </w:r>
    </w:p>
    <w:p w:rsidR="009F1E00" w:rsidRPr="002B2E31" w:rsidP="002B2E31" w14:paraId="3676EBC5" w14:textId="3C00214E">
      <w:pPr>
        <w:rPr>
          <w:rFonts w:cstheme="minorHAnsi"/>
        </w:rPr>
      </w:pPr>
      <w:r w:rsidRPr="00151881">
        <w:rPr>
          <w:rFonts w:cstheme="minorHAnsi"/>
        </w:rPr>
        <w:t xml:space="preserve">States should already have information from emission sources, as facilities should have provided this information to meet prior 8-hour and 1-hour </w:t>
      </w:r>
      <w:r>
        <w:rPr>
          <w:rFonts w:cstheme="minorHAnsi"/>
        </w:rPr>
        <w:t>ozone</w:t>
      </w:r>
      <w:r w:rsidRPr="00151881">
        <w:rPr>
          <w:rFonts w:cstheme="minorHAnsi"/>
        </w:rPr>
        <w:t xml:space="preserve"> NAAQS SIP requirements, operating permits, and/or emissions reporting requirements.</w:t>
      </w:r>
      <w:r w:rsidRPr="00EE4D40">
        <w:rPr>
          <w:rFonts w:cstheme="minorHAnsi"/>
        </w:rPr>
        <w:t xml:space="preserve">  </w:t>
      </w:r>
      <w:r w:rsidRPr="00151881">
        <w:rPr>
          <w:rFonts w:cstheme="minorHAnsi"/>
        </w:rPr>
        <w:t>Such information does not generally reveal the details of production processes.</w:t>
      </w:r>
      <w:r w:rsidRPr="00EE4D40">
        <w:rPr>
          <w:rFonts w:cstheme="minorHAnsi"/>
        </w:rPr>
        <w:t xml:space="preserve">  </w:t>
      </w:r>
      <w:r w:rsidRPr="00151881">
        <w:rPr>
          <w:rFonts w:cstheme="minorHAnsi"/>
        </w:rPr>
        <w:t>But, to the extent it may, the affected facilities are protected.</w:t>
      </w:r>
      <w:r w:rsidRPr="00EE4D40">
        <w:rPr>
          <w:rFonts w:cstheme="minorHAnsi"/>
        </w:rPr>
        <w:t xml:space="preserve">  </w:t>
      </w:r>
      <w:r w:rsidRPr="00151881">
        <w:rPr>
          <w:rFonts w:cstheme="minorHAnsi"/>
        </w:rPr>
        <w:t>Specifically, the completion of the emissions and control efficiency information that is confidential, proprietary, and trade secret is protected from disclosure under the requirements of subsections 503(e) and 114 (c) of the Clean Air Act.</w:t>
      </w:r>
    </w:p>
    <w:p w:rsidR="00A233E0" w:rsidRPr="00E3122D" w:rsidP="00665026" w14:paraId="36FBAEFB" w14:textId="77777777">
      <w:pPr>
        <w:pStyle w:val="ListParagraph"/>
        <w:numPr>
          <w:ilvl w:val="0"/>
          <w:numId w:val="2"/>
        </w:numPr>
        <w:pBdr>
          <w:bottom w:val="single" w:sz="4" w:space="1" w:color="auto"/>
        </w:pBdr>
        <w:spacing w:before="240" w:after="0"/>
        <w:rPr>
          <w:rFonts w:cstheme="minorHAnsi"/>
          <w:b/>
          <w:bCs/>
        </w:rPr>
      </w:pPr>
      <w:bookmarkStart w:id="17" w:name="_Toc156593380"/>
      <w:bookmarkStart w:id="18" w:name="_Hlk167885777"/>
      <w:bookmarkEnd w:id="16"/>
      <w:r w:rsidRPr="4BDBF0A0">
        <w:rPr>
          <w:b/>
          <w:bCs/>
        </w:rPr>
        <w:t>JUSTIFICATION FOR SENSITIVE QUESTIONS</w:t>
      </w:r>
      <w:bookmarkEnd w:id="17"/>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8"/>
    <w:p w:rsidR="009F1E00" w:rsidRPr="002B2E31" w:rsidP="002B2E31" w14:paraId="77467D05" w14:textId="2B1A8556">
      <w:pPr>
        <w:rPr>
          <w:rFonts w:cstheme="minorHAnsi"/>
        </w:rPr>
      </w:pPr>
      <w:r w:rsidRPr="00151881">
        <w:rPr>
          <w:rFonts w:cstheme="minorHAnsi"/>
        </w:rPr>
        <w:t xml:space="preserve">The requested attainment demonstration, RFP SIP submission, </w:t>
      </w:r>
      <w:r>
        <w:rPr>
          <w:rFonts w:cstheme="minorHAnsi"/>
        </w:rPr>
        <w:t>RACT SIP submission, and second 10-year maintenance plan</w:t>
      </w:r>
      <w:r w:rsidRPr="00151881">
        <w:rPr>
          <w:rFonts w:cstheme="minorHAnsi"/>
        </w:rPr>
        <w:t xml:space="preserve"> do not include questions whose answers would require sensitive information.</w:t>
      </w:r>
    </w:p>
    <w:p w:rsidR="001172FE" w:rsidRPr="00E3122D" w:rsidP="00665026" w14:paraId="637A8E82" w14:textId="77777777">
      <w:pPr>
        <w:pStyle w:val="ListParagraph"/>
        <w:numPr>
          <w:ilvl w:val="0"/>
          <w:numId w:val="2"/>
        </w:numPr>
        <w:spacing w:before="240" w:after="0"/>
        <w:rPr>
          <w:rFonts w:cstheme="minorHAnsi"/>
          <w:b/>
          <w:bCs/>
        </w:rPr>
      </w:pPr>
      <w:bookmarkStart w:id="19" w:name="_Toc156593381"/>
      <w:bookmarkStart w:id="20" w:name="_Hlk167886092"/>
      <w:r w:rsidRPr="4BDBF0A0">
        <w:rPr>
          <w:b/>
          <w:bCs/>
        </w:rPr>
        <w:t>RESPONDENT BURDEN HOURS</w:t>
      </w:r>
      <w:r w:rsidRPr="4BDBF0A0" w:rsidR="00DB799B">
        <w:rPr>
          <w:b/>
          <w:bCs/>
        </w:rPr>
        <w:t xml:space="preserve"> &amp; LABOR COSTS</w:t>
      </w:r>
      <w:bookmarkStart w:id="21" w:name="_Toc156593382"/>
      <w:bookmarkEnd w:id="19"/>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65026"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665026"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665026"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 xml:space="preserve">Provide estimates of annualized cost to respondents for the hour burdens for collections of information, identifying and using appropriate wage rate categories. The cost of contracting out or </w:t>
      </w:r>
      <w:r w:rsidRPr="00F532D6">
        <w:rPr>
          <w:rFonts w:cstheme="minorHAnsi"/>
          <w:i/>
          <w:iCs/>
        </w:rPr>
        <w:t>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2" w:name="_Toc156593383"/>
      <w:bookmarkEnd w:id="21"/>
    </w:p>
    <w:p w:rsidR="002B2E31" w:rsidRPr="00151881" w:rsidP="002B2E31" w14:paraId="10EAE6E3" w14:textId="77777777">
      <w:pPr>
        <w:rPr>
          <w:rFonts w:cstheme="minorHAnsi"/>
        </w:rPr>
      </w:pPr>
      <w:bookmarkStart w:id="23" w:name="_Hlk48198283"/>
      <w:bookmarkEnd w:id="20"/>
      <w:r w:rsidRPr="00151881">
        <w:rPr>
          <w:rFonts w:cstheme="minorHAnsi"/>
        </w:rPr>
        <w:t xml:space="preserve">Table 1 lists </w:t>
      </w:r>
      <w:bookmarkStart w:id="24" w:name="_Hlk47366917"/>
      <w:r w:rsidRPr="00EE4D40">
        <w:rPr>
          <w:rFonts w:cstheme="minorHAnsi"/>
        </w:rPr>
        <w:t>19</w:t>
      </w:r>
      <w:r w:rsidRPr="00151881">
        <w:rPr>
          <w:rFonts w:cstheme="minorHAnsi"/>
        </w:rPr>
        <w:t xml:space="preserve"> nonattainment areas for the 2015 </w:t>
      </w:r>
      <w:r>
        <w:rPr>
          <w:rFonts w:cstheme="minorHAnsi"/>
        </w:rPr>
        <w:t>ozone</w:t>
      </w:r>
      <w:r w:rsidRPr="00151881">
        <w:rPr>
          <w:rFonts w:cstheme="minorHAnsi"/>
        </w:rPr>
        <w:t xml:space="preserve"> NAAQS classified as Moderate that could be re-classified to Serious based on preliminary 2024 air quality data.</w:t>
      </w:r>
      <w:r>
        <w:rPr>
          <w:rStyle w:val="FootnoteReference"/>
          <w:rFonts w:cstheme="minorHAnsi"/>
        </w:rPr>
        <w:footnoteReference w:id="3"/>
      </w:r>
      <w:r w:rsidRPr="00EE4D40">
        <w:rPr>
          <w:rFonts w:cstheme="minorHAnsi"/>
        </w:rPr>
        <w:t xml:space="preserve">  </w:t>
      </w:r>
      <w:r w:rsidRPr="00151881">
        <w:rPr>
          <w:rFonts w:cstheme="minorHAnsi"/>
        </w:rPr>
        <w:t>The Moderate classification has a statutory attainment date of August 3, 2024.</w:t>
      </w:r>
      <w:r w:rsidRPr="00EE4D40">
        <w:rPr>
          <w:rFonts w:cstheme="minorHAnsi"/>
        </w:rPr>
        <w:t xml:space="preserve">  </w:t>
      </w:r>
      <w:r w:rsidRPr="00151881">
        <w:rPr>
          <w:rFonts w:cstheme="minorHAnsi"/>
        </w:rPr>
        <w:t xml:space="preserve">EPA is required to determine within </w:t>
      </w:r>
      <w:r>
        <w:rPr>
          <w:rFonts w:cstheme="minorHAnsi"/>
        </w:rPr>
        <w:t>six</w:t>
      </w:r>
      <w:r w:rsidRPr="00151881">
        <w:rPr>
          <w:rFonts w:cstheme="minorHAnsi"/>
        </w:rPr>
        <w:t xml:space="preserve"> months whether these areas attained the NAAQS by the attainment date. If an area fails to attain it will be reclassified as Serious</w:t>
      </w:r>
      <w:r>
        <w:rPr>
          <w:rFonts w:cstheme="minorHAnsi"/>
        </w:rPr>
        <w:t>,</w:t>
      </w:r>
      <w:r w:rsidRPr="00151881">
        <w:rPr>
          <w:rFonts w:cstheme="minorHAnsi"/>
        </w:rPr>
        <w:t xml:space="preserve"> and a new Serious area SIP will become due</w:t>
      </w:r>
      <w:r>
        <w:rPr>
          <w:rStyle w:val="FootnoteReference"/>
          <w:rFonts w:cstheme="minorHAnsi"/>
        </w:rPr>
        <w:footnoteReference w:id="4"/>
      </w:r>
      <w:r w:rsidRPr="00151881">
        <w:rPr>
          <w:rFonts w:cstheme="minorHAnsi"/>
        </w:rPr>
        <w:t xml:space="preserve">, </w:t>
      </w:r>
      <w:r>
        <w:rPr>
          <w:rFonts w:cstheme="minorHAnsi"/>
        </w:rPr>
        <w:t>w</w:t>
      </w:r>
      <w:r w:rsidRPr="00151881">
        <w:rPr>
          <w:rFonts w:cstheme="minorHAnsi"/>
        </w:rPr>
        <w:t xml:space="preserve">hich will likely be during the reporting period for this ICR. </w:t>
      </w:r>
      <w:bookmarkEnd w:id="24"/>
      <w:r w:rsidRPr="00151881">
        <w:rPr>
          <w:rFonts w:cstheme="minorHAnsi"/>
        </w:rPr>
        <w:t xml:space="preserve">Accordingly, this analysis estimates the burden for each state in Table 2 to prepare and submit the SIP revisions required for their respective nonattainment areas, or portions of nonattainment areas, based on the area’s reclassification to Serious. For the </w:t>
      </w:r>
      <w:r w:rsidRPr="00EE4D40">
        <w:rPr>
          <w:rFonts w:cstheme="minorHAnsi"/>
        </w:rPr>
        <w:t>19</w:t>
      </w:r>
      <w:r w:rsidRPr="00151881">
        <w:rPr>
          <w:rFonts w:cstheme="minorHAnsi"/>
        </w:rPr>
        <w:t xml:space="preserve"> nonattainment areas identified for which states would be required to develop and submit Serious area SIP revisions, there are </w:t>
      </w:r>
      <w:r>
        <w:rPr>
          <w:rFonts w:cstheme="minorHAnsi"/>
        </w:rPr>
        <w:t>three</w:t>
      </w:r>
      <w:r w:rsidRPr="00151881">
        <w:rPr>
          <w:rFonts w:cstheme="minorHAnsi"/>
        </w:rPr>
        <w:t xml:space="preserve"> multi-state nonattainment areas, two of which require submission from three affected states and one from four. The analysis estimates the state burden to prepare an attainment demonstration for the Serious classification </w:t>
      </w:r>
      <w:r>
        <w:rPr>
          <w:rFonts w:cstheme="minorHAnsi"/>
        </w:rPr>
        <w:t>and</w:t>
      </w:r>
      <w:r w:rsidRPr="00151881">
        <w:rPr>
          <w:rFonts w:cstheme="minorHAnsi"/>
        </w:rPr>
        <w:t xml:space="preserve"> submit an updated RFP and RACT SIP.</w:t>
      </w:r>
      <w:r w:rsidRPr="00EE4D40">
        <w:rPr>
          <w:rFonts w:cstheme="minorHAnsi"/>
        </w:rPr>
        <w:t xml:space="preserve">   </w:t>
      </w:r>
    </w:p>
    <w:p w:rsidR="002B2E31" w:rsidRPr="00151881" w:rsidP="002B2E31" w14:paraId="3BB4DC03" w14:textId="77777777">
      <w:pPr>
        <w:ind w:left="360"/>
        <w:rPr>
          <w:rFonts w:cstheme="minorHAnsi"/>
          <w:b/>
          <w:bCs/>
        </w:rPr>
      </w:pPr>
      <w:r w:rsidRPr="00151881">
        <w:rPr>
          <w:rFonts w:cstheme="minorHAnsi"/>
          <w:b/>
        </w:rPr>
        <w:t>Table 1.</w:t>
      </w:r>
      <w:r w:rsidRPr="00EE4D40">
        <w:rPr>
          <w:rFonts w:cstheme="minorHAnsi"/>
          <w:b/>
        </w:rPr>
        <w:t xml:space="preserve">  </w:t>
      </w:r>
      <w:r w:rsidRPr="00151881">
        <w:rPr>
          <w:rFonts w:cstheme="minorHAnsi"/>
          <w:b/>
          <w:bCs/>
        </w:rPr>
        <w:t xml:space="preserve">2015 </w:t>
      </w:r>
      <w:r>
        <w:rPr>
          <w:rFonts w:cstheme="minorHAnsi"/>
          <w:b/>
          <w:bCs/>
        </w:rPr>
        <w:t>Ozone</w:t>
      </w:r>
      <w:r w:rsidRPr="00151881">
        <w:rPr>
          <w:rFonts w:cstheme="minorHAnsi"/>
          <w:b/>
          <w:bCs/>
        </w:rPr>
        <w:t xml:space="preserve"> NAAQS Nonattainment Areas Classified as Moderate that are not meeting NAAQS based on preliminary air quality data as of April 2024.</w:t>
      </w:r>
      <w:bookmarkEnd w:id="23"/>
    </w:p>
    <w:p w:rsidR="002B2E31" w:rsidRPr="00151881" w:rsidP="002B2E31" w14:paraId="2469357C" w14:textId="77777777">
      <w:pPr>
        <w:rPr>
          <w:rFonts w:cstheme="minorHAnsi"/>
        </w:rPr>
      </w:pPr>
    </w:p>
    <w:tbl>
      <w:tblPr>
        <w:tblStyle w:val="TableGrid"/>
        <w:tblW w:w="8910" w:type="dxa"/>
        <w:jc w:val="center"/>
        <w:tblLook w:val="04A0"/>
      </w:tblPr>
      <w:tblGrid>
        <w:gridCol w:w="2880"/>
        <w:gridCol w:w="2790"/>
        <w:gridCol w:w="1980"/>
        <w:gridCol w:w="1260"/>
      </w:tblGrid>
      <w:tr w14:paraId="643ED588" w14:textId="77777777" w:rsidTr="006D0304">
        <w:tblPrEx>
          <w:tblW w:w="8910" w:type="dxa"/>
          <w:jc w:val="center"/>
          <w:tblLook w:val="04A0"/>
        </w:tblPrEx>
        <w:trPr>
          <w:trHeight w:val="915"/>
          <w:jc w:val="center"/>
        </w:trPr>
        <w:tc>
          <w:tcPr>
            <w:tcW w:w="2880" w:type="dxa"/>
            <w:hideMark/>
          </w:tcPr>
          <w:p w:rsidR="002B2E31" w:rsidRPr="00151881" w:rsidP="006D0304" w14:paraId="73359A14" w14:textId="77777777">
            <w:pPr>
              <w:jc w:val="center"/>
              <w:rPr>
                <w:rFonts w:cstheme="minorHAnsi"/>
                <w:b/>
                <w:bCs/>
                <w:color w:val="000000"/>
              </w:rPr>
            </w:pPr>
            <w:r w:rsidRPr="00151881">
              <w:rPr>
                <w:rFonts w:cstheme="minorHAnsi"/>
                <w:b/>
                <w:bCs/>
                <w:color w:val="000000"/>
              </w:rPr>
              <w:t>Area Name</w:t>
            </w:r>
          </w:p>
        </w:tc>
        <w:tc>
          <w:tcPr>
            <w:tcW w:w="2790" w:type="dxa"/>
            <w:hideMark/>
          </w:tcPr>
          <w:p w:rsidR="002B2E31" w:rsidRPr="00151881" w:rsidP="006D0304" w14:paraId="6A64EEC5" w14:textId="77777777">
            <w:pPr>
              <w:jc w:val="center"/>
              <w:rPr>
                <w:rFonts w:cstheme="minorHAnsi"/>
                <w:b/>
                <w:bCs/>
                <w:color w:val="000000"/>
              </w:rPr>
            </w:pPr>
            <w:r w:rsidRPr="00151881">
              <w:rPr>
                <w:rFonts w:cstheme="minorHAnsi"/>
                <w:b/>
                <w:bCs/>
                <w:color w:val="000000"/>
              </w:rPr>
              <w:t>Current Design Values as of 05/16/2022 (2019-2021)</w:t>
            </w:r>
          </w:p>
        </w:tc>
        <w:tc>
          <w:tcPr>
            <w:tcW w:w="1980" w:type="dxa"/>
            <w:hideMark/>
          </w:tcPr>
          <w:p w:rsidR="002B2E31" w:rsidRPr="00151881" w:rsidP="006D0304" w14:paraId="3D28DEFF" w14:textId="77777777">
            <w:pPr>
              <w:jc w:val="center"/>
              <w:rPr>
                <w:rFonts w:cstheme="minorHAnsi"/>
                <w:b/>
                <w:bCs/>
                <w:color w:val="000000"/>
              </w:rPr>
            </w:pPr>
            <w:r w:rsidRPr="00151881">
              <w:rPr>
                <w:rFonts w:cstheme="minorHAnsi"/>
                <w:b/>
                <w:bCs/>
                <w:color w:val="000000"/>
              </w:rPr>
              <w:t>Meets NAAQS Determination</w:t>
            </w:r>
          </w:p>
        </w:tc>
        <w:tc>
          <w:tcPr>
            <w:tcW w:w="1260" w:type="dxa"/>
            <w:hideMark/>
          </w:tcPr>
          <w:p w:rsidR="002B2E31" w:rsidRPr="00151881" w:rsidP="006D0304" w14:paraId="63FFB7E6" w14:textId="77777777">
            <w:pPr>
              <w:jc w:val="center"/>
              <w:rPr>
                <w:rFonts w:cstheme="minorHAnsi"/>
                <w:b/>
                <w:bCs/>
                <w:color w:val="000000"/>
              </w:rPr>
            </w:pPr>
            <w:r w:rsidRPr="00151881">
              <w:rPr>
                <w:rFonts w:cstheme="minorHAnsi"/>
                <w:b/>
                <w:bCs/>
                <w:color w:val="000000"/>
              </w:rPr>
              <w:t>EPA Region</w:t>
            </w:r>
          </w:p>
        </w:tc>
      </w:tr>
      <w:tr w14:paraId="5C00FCD6" w14:textId="77777777" w:rsidTr="006D0304">
        <w:tblPrEx>
          <w:tblW w:w="8910" w:type="dxa"/>
          <w:jc w:val="center"/>
          <w:tblLook w:val="04A0"/>
        </w:tblPrEx>
        <w:trPr>
          <w:trHeight w:val="300"/>
          <w:jc w:val="center"/>
        </w:trPr>
        <w:tc>
          <w:tcPr>
            <w:tcW w:w="2880" w:type="dxa"/>
            <w:hideMark/>
          </w:tcPr>
          <w:p w:rsidR="002B2E31" w:rsidRPr="00151881" w:rsidP="006D0304" w14:paraId="5992C096" w14:textId="77777777">
            <w:pPr>
              <w:rPr>
                <w:rFonts w:cstheme="minorHAnsi"/>
              </w:rPr>
            </w:pPr>
            <w:r w:rsidRPr="00151881">
              <w:rPr>
                <w:rFonts w:cstheme="minorHAnsi"/>
              </w:rPr>
              <w:t>Allegan County, MI</w:t>
            </w:r>
          </w:p>
        </w:tc>
        <w:tc>
          <w:tcPr>
            <w:tcW w:w="2790" w:type="dxa"/>
            <w:hideMark/>
          </w:tcPr>
          <w:p w:rsidR="002B2E31" w:rsidRPr="00151881" w:rsidP="006D0304" w14:paraId="6DF30FD5" w14:textId="77777777">
            <w:pPr>
              <w:jc w:val="center"/>
              <w:rPr>
                <w:rFonts w:cstheme="minorHAnsi"/>
                <w:color w:val="151515"/>
              </w:rPr>
            </w:pPr>
            <w:r w:rsidRPr="00151881">
              <w:rPr>
                <w:rFonts w:cstheme="minorHAnsi"/>
                <w:color w:val="151515"/>
              </w:rPr>
              <w:t>0.075</w:t>
            </w:r>
          </w:p>
        </w:tc>
        <w:tc>
          <w:tcPr>
            <w:tcW w:w="1980" w:type="dxa"/>
            <w:hideMark/>
          </w:tcPr>
          <w:p w:rsidR="002B2E31" w:rsidRPr="00151881" w:rsidP="006D0304" w14:paraId="20B35A50"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1B9C7353" w14:textId="77777777">
            <w:pPr>
              <w:jc w:val="right"/>
              <w:rPr>
                <w:rFonts w:cstheme="minorHAnsi"/>
              </w:rPr>
            </w:pPr>
            <w:r w:rsidRPr="00151881">
              <w:rPr>
                <w:rFonts w:cstheme="minorHAnsi"/>
              </w:rPr>
              <w:t>5</w:t>
            </w:r>
          </w:p>
        </w:tc>
      </w:tr>
      <w:tr w14:paraId="4A02EA52" w14:textId="77777777" w:rsidTr="006D0304">
        <w:tblPrEx>
          <w:tblW w:w="8910" w:type="dxa"/>
          <w:jc w:val="center"/>
          <w:tblLook w:val="04A0"/>
        </w:tblPrEx>
        <w:trPr>
          <w:trHeight w:val="300"/>
          <w:jc w:val="center"/>
        </w:trPr>
        <w:tc>
          <w:tcPr>
            <w:tcW w:w="2880" w:type="dxa"/>
            <w:hideMark/>
          </w:tcPr>
          <w:p w:rsidR="002B2E31" w:rsidRPr="00151881" w:rsidP="006D0304" w14:paraId="2CF074BC" w14:textId="77777777">
            <w:pPr>
              <w:rPr>
                <w:rFonts w:cstheme="minorHAnsi"/>
              </w:rPr>
            </w:pPr>
            <w:r w:rsidRPr="00151881">
              <w:rPr>
                <w:rFonts w:cstheme="minorHAnsi"/>
              </w:rPr>
              <w:t>Baltimore, MD</w:t>
            </w:r>
          </w:p>
        </w:tc>
        <w:tc>
          <w:tcPr>
            <w:tcW w:w="2790" w:type="dxa"/>
            <w:hideMark/>
          </w:tcPr>
          <w:p w:rsidR="002B2E31" w:rsidRPr="00151881" w:rsidP="006D0304" w14:paraId="1FBB25B8" w14:textId="77777777">
            <w:pPr>
              <w:jc w:val="center"/>
              <w:rPr>
                <w:rFonts w:cstheme="minorHAnsi"/>
                <w:color w:val="151515"/>
              </w:rPr>
            </w:pPr>
            <w:r w:rsidRPr="00151881">
              <w:rPr>
                <w:rFonts w:cstheme="minorHAnsi"/>
                <w:color w:val="151515"/>
              </w:rPr>
              <w:t>0.072</w:t>
            </w:r>
          </w:p>
        </w:tc>
        <w:tc>
          <w:tcPr>
            <w:tcW w:w="1980" w:type="dxa"/>
            <w:hideMark/>
          </w:tcPr>
          <w:p w:rsidR="002B2E31" w:rsidRPr="00151881" w:rsidP="006D0304" w14:paraId="69A2BA04"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22C711CF" w14:textId="77777777">
            <w:pPr>
              <w:jc w:val="right"/>
              <w:rPr>
                <w:rFonts w:cstheme="minorHAnsi"/>
              </w:rPr>
            </w:pPr>
            <w:r w:rsidRPr="00151881">
              <w:rPr>
                <w:rFonts w:cstheme="minorHAnsi"/>
              </w:rPr>
              <w:t>3</w:t>
            </w:r>
          </w:p>
        </w:tc>
      </w:tr>
      <w:tr w14:paraId="02564042" w14:textId="77777777" w:rsidTr="006D0304">
        <w:tblPrEx>
          <w:tblW w:w="8910" w:type="dxa"/>
          <w:jc w:val="center"/>
          <w:tblLook w:val="04A0"/>
        </w:tblPrEx>
        <w:trPr>
          <w:trHeight w:val="300"/>
          <w:jc w:val="center"/>
        </w:trPr>
        <w:tc>
          <w:tcPr>
            <w:tcW w:w="2880" w:type="dxa"/>
            <w:hideMark/>
          </w:tcPr>
          <w:p w:rsidR="002B2E31" w:rsidRPr="00151881" w:rsidP="006D0304" w14:paraId="6CE42780" w14:textId="77777777">
            <w:pPr>
              <w:rPr>
                <w:rFonts w:cstheme="minorHAnsi"/>
              </w:rPr>
            </w:pPr>
            <w:r w:rsidRPr="00151881">
              <w:rPr>
                <w:rFonts w:cstheme="minorHAnsi"/>
              </w:rPr>
              <w:t>Berrien County, MI</w:t>
            </w:r>
          </w:p>
        </w:tc>
        <w:tc>
          <w:tcPr>
            <w:tcW w:w="2790" w:type="dxa"/>
            <w:hideMark/>
          </w:tcPr>
          <w:p w:rsidR="002B2E31" w:rsidRPr="00151881" w:rsidP="006D0304" w14:paraId="07CC3FEE" w14:textId="77777777">
            <w:pPr>
              <w:jc w:val="center"/>
              <w:rPr>
                <w:rFonts w:cstheme="minorHAnsi"/>
                <w:color w:val="151515"/>
              </w:rPr>
            </w:pPr>
            <w:r w:rsidRPr="00151881">
              <w:rPr>
                <w:rFonts w:cstheme="minorHAnsi"/>
                <w:color w:val="151515"/>
              </w:rPr>
              <w:t>0.071</w:t>
            </w:r>
          </w:p>
        </w:tc>
        <w:tc>
          <w:tcPr>
            <w:tcW w:w="1980" w:type="dxa"/>
            <w:hideMark/>
          </w:tcPr>
          <w:p w:rsidR="002B2E31" w:rsidRPr="00151881" w:rsidP="006D0304" w14:paraId="41BD4CA0"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163174B0" w14:textId="77777777">
            <w:pPr>
              <w:jc w:val="right"/>
              <w:rPr>
                <w:rFonts w:cstheme="minorHAnsi"/>
              </w:rPr>
            </w:pPr>
            <w:r w:rsidRPr="00151881">
              <w:rPr>
                <w:rFonts w:cstheme="minorHAnsi"/>
              </w:rPr>
              <w:t>5</w:t>
            </w:r>
          </w:p>
        </w:tc>
      </w:tr>
      <w:tr w14:paraId="097EED89" w14:textId="77777777" w:rsidTr="006D0304">
        <w:tblPrEx>
          <w:tblW w:w="8910" w:type="dxa"/>
          <w:jc w:val="center"/>
          <w:tblLook w:val="04A0"/>
        </w:tblPrEx>
        <w:trPr>
          <w:trHeight w:val="300"/>
          <w:jc w:val="center"/>
        </w:trPr>
        <w:tc>
          <w:tcPr>
            <w:tcW w:w="2880" w:type="dxa"/>
            <w:hideMark/>
          </w:tcPr>
          <w:p w:rsidR="002B2E31" w:rsidRPr="00151881" w:rsidP="006D0304" w14:paraId="41EBDFEB" w14:textId="77777777">
            <w:pPr>
              <w:rPr>
                <w:rFonts w:cstheme="minorHAnsi"/>
              </w:rPr>
            </w:pPr>
            <w:r w:rsidRPr="00151881">
              <w:rPr>
                <w:rFonts w:cstheme="minorHAnsi"/>
              </w:rPr>
              <w:t>Chicago, IL-IN-WI</w:t>
            </w:r>
          </w:p>
        </w:tc>
        <w:tc>
          <w:tcPr>
            <w:tcW w:w="2790" w:type="dxa"/>
            <w:hideMark/>
          </w:tcPr>
          <w:p w:rsidR="002B2E31" w:rsidRPr="00151881" w:rsidP="006D0304" w14:paraId="10FA2034" w14:textId="77777777">
            <w:pPr>
              <w:jc w:val="center"/>
              <w:rPr>
                <w:rFonts w:cstheme="minorHAnsi"/>
                <w:color w:val="151515"/>
              </w:rPr>
            </w:pPr>
            <w:r w:rsidRPr="00151881">
              <w:rPr>
                <w:rFonts w:cstheme="minorHAnsi"/>
                <w:color w:val="151515"/>
              </w:rPr>
              <w:t>0.075</w:t>
            </w:r>
          </w:p>
        </w:tc>
        <w:tc>
          <w:tcPr>
            <w:tcW w:w="1980" w:type="dxa"/>
            <w:hideMark/>
          </w:tcPr>
          <w:p w:rsidR="002B2E31" w:rsidRPr="00151881" w:rsidP="006D0304" w14:paraId="66B22F99"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5CD8F013" w14:textId="77777777">
            <w:pPr>
              <w:jc w:val="right"/>
              <w:rPr>
                <w:rFonts w:cstheme="minorHAnsi"/>
              </w:rPr>
            </w:pPr>
            <w:r w:rsidRPr="00151881">
              <w:rPr>
                <w:rFonts w:cstheme="minorHAnsi"/>
              </w:rPr>
              <w:t>5</w:t>
            </w:r>
          </w:p>
        </w:tc>
      </w:tr>
      <w:tr w14:paraId="6B01096E" w14:textId="77777777" w:rsidTr="006D0304">
        <w:tblPrEx>
          <w:tblW w:w="8910" w:type="dxa"/>
          <w:jc w:val="center"/>
          <w:tblLook w:val="04A0"/>
        </w:tblPrEx>
        <w:trPr>
          <w:trHeight w:val="300"/>
          <w:jc w:val="center"/>
        </w:trPr>
        <w:tc>
          <w:tcPr>
            <w:tcW w:w="2880" w:type="dxa"/>
            <w:hideMark/>
          </w:tcPr>
          <w:p w:rsidR="002B2E31" w:rsidRPr="00151881" w:rsidP="006D0304" w14:paraId="656B5212" w14:textId="77777777">
            <w:pPr>
              <w:rPr>
                <w:rFonts w:cstheme="minorHAnsi"/>
              </w:rPr>
            </w:pPr>
            <w:r w:rsidRPr="00151881">
              <w:rPr>
                <w:rFonts w:cstheme="minorHAnsi"/>
              </w:rPr>
              <w:t>Cleveland, OH</w:t>
            </w:r>
          </w:p>
        </w:tc>
        <w:tc>
          <w:tcPr>
            <w:tcW w:w="2790" w:type="dxa"/>
            <w:hideMark/>
          </w:tcPr>
          <w:p w:rsidR="002B2E31" w:rsidRPr="00151881" w:rsidP="006D0304" w14:paraId="61386A4F" w14:textId="77777777">
            <w:pPr>
              <w:jc w:val="center"/>
              <w:rPr>
                <w:rFonts w:cstheme="minorHAnsi"/>
                <w:color w:val="151515"/>
              </w:rPr>
            </w:pPr>
            <w:r w:rsidRPr="00151881">
              <w:rPr>
                <w:rFonts w:cstheme="minorHAnsi"/>
                <w:color w:val="151515"/>
              </w:rPr>
              <w:t>0.072</w:t>
            </w:r>
          </w:p>
        </w:tc>
        <w:tc>
          <w:tcPr>
            <w:tcW w:w="1980" w:type="dxa"/>
            <w:hideMark/>
          </w:tcPr>
          <w:p w:rsidR="002B2E31" w:rsidRPr="00151881" w:rsidP="006D0304" w14:paraId="4C533682"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2F5F02F4" w14:textId="77777777">
            <w:pPr>
              <w:jc w:val="right"/>
              <w:rPr>
                <w:rFonts w:cstheme="minorHAnsi"/>
              </w:rPr>
            </w:pPr>
            <w:r w:rsidRPr="00151881">
              <w:rPr>
                <w:rFonts w:cstheme="minorHAnsi"/>
              </w:rPr>
              <w:t>5</w:t>
            </w:r>
          </w:p>
        </w:tc>
      </w:tr>
      <w:tr w14:paraId="35E705DB" w14:textId="77777777" w:rsidTr="006D0304">
        <w:tblPrEx>
          <w:tblW w:w="8910" w:type="dxa"/>
          <w:jc w:val="center"/>
          <w:tblLook w:val="04A0"/>
        </w:tblPrEx>
        <w:trPr>
          <w:trHeight w:val="300"/>
          <w:jc w:val="center"/>
        </w:trPr>
        <w:tc>
          <w:tcPr>
            <w:tcW w:w="2880" w:type="dxa"/>
            <w:hideMark/>
          </w:tcPr>
          <w:p w:rsidR="002B2E31" w:rsidRPr="00151881" w:rsidP="006D0304" w14:paraId="21D3A30B" w14:textId="77777777">
            <w:pPr>
              <w:rPr>
                <w:rFonts w:cstheme="minorHAnsi"/>
              </w:rPr>
            </w:pPr>
            <w:r w:rsidRPr="00151881">
              <w:rPr>
                <w:rFonts w:cstheme="minorHAnsi"/>
              </w:rPr>
              <w:t>Dallas-Fort Worth, TX</w:t>
            </w:r>
          </w:p>
        </w:tc>
        <w:tc>
          <w:tcPr>
            <w:tcW w:w="2790" w:type="dxa"/>
            <w:hideMark/>
          </w:tcPr>
          <w:p w:rsidR="002B2E31" w:rsidRPr="00151881" w:rsidP="006D0304" w14:paraId="4F22ADFE" w14:textId="77777777">
            <w:pPr>
              <w:jc w:val="center"/>
              <w:rPr>
                <w:rFonts w:cstheme="minorHAnsi"/>
                <w:color w:val="151515"/>
              </w:rPr>
            </w:pPr>
            <w:r w:rsidRPr="00151881">
              <w:rPr>
                <w:rFonts w:cstheme="minorHAnsi"/>
                <w:color w:val="151515"/>
              </w:rPr>
              <w:t>0.076</w:t>
            </w:r>
          </w:p>
        </w:tc>
        <w:tc>
          <w:tcPr>
            <w:tcW w:w="1980" w:type="dxa"/>
            <w:hideMark/>
          </w:tcPr>
          <w:p w:rsidR="002B2E31" w:rsidRPr="00151881" w:rsidP="006D0304" w14:paraId="0079D0AE"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5C4749CC" w14:textId="77777777">
            <w:pPr>
              <w:jc w:val="right"/>
              <w:rPr>
                <w:rFonts w:cstheme="minorHAnsi"/>
              </w:rPr>
            </w:pPr>
            <w:r w:rsidRPr="00151881">
              <w:rPr>
                <w:rFonts w:cstheme="minorHAnsi"/>
              </w:rPr>
              <w:t>6</w:t>
            </w:r>
          </w:p>
        </w:tc>
      </w:tr>
      <w:tr w14:paraId="211F8637" w14:textId="77777777" w:rsidTr="006D0304">
        <w:tblPrEx>
          <w:tblW w:w="8910" w:type="dxa"/>
          <w:jc w:val="center"/>
          <w:tblLook w:val="04A0"/>
        </w:tblPrEx>
        <w:trPr>
          <w:trHeight w:val="300"/>
          <w:jc w:val="center"/>
        </w:trPr>
        <w:tc>
          <w:tcPr>
            <w:tcW w:w="2880" w:type="dxa"/>
            <w:hideMark/>
          </w:tcPr>
          <w:p w:rsidR="002B2E31" w:rsidRPr="00151881" w:rsidP="006D0304" w14:paraId="7AD87354" w14:textId="77777777">
            <w:pPr>
              <w:rPr>
                <w:rFonts w:cstheme="minorHAnsi"/>
              </w:rPr>
            </w:pPr>
            <w:r w:rsidRPr="00151881">
              <w:rPr>
                <w:rFonts w:cstheme="minorHAnsi"/>
              </w:rPr>
              <w:t>Denver Metro/North Front Range, CO</w:t>
            </w:r>
          </w:p>
        </w:tc>
        <w:tc>
          <w:tcPr>
            <w:tcW w:w="2790" w:type="dxa"/>
            <w:hideMark/>
          </w:tcPr>
          <w:p w:rsidR="002B2E31" w:rsidRPr="00151881" w:rsidP="006D0304" w14:paraId="5CCD5660" w14:textId="77777777">
            <w:pPr>
              <w:jc w:val="center"/>
              <w:rPr>
                <w:rFonts w:cstheme="minorHAnsi"/>
                <w:color w:val="151515"/>
              </w:rPr>
            </w:pPr>
            <w:r w:rsidRPr="00151881">
              <w:rPr>
                <w:rFonts w:cstheme="minorHAnsi"/>
                <w:color w:val="151515"/>
              </w:rPr>
              <w:t>0.083</w:t>
            </w:r>
          </w:p>
        </w:tc>
        <w:tc>
          <w:tcPr>
            <w:tcW w:w="1980" w:type="dxa"/>
            <w:hideMark/>
          </w:tcPr>
          <w:p w:rsidR="002B2E31" w:rsidRPr="00151881" w:rsidP="006D0304" w14:paraId="4C777A44"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1E9A50EE" w14:textId="77777777">
            <w:pPr>
              <w:jc w:val="right"/>
              <w:rPr>
                <w:rFonts w:cstheme="minorHAnsi"/>
              </w:rPr>
            </w:pPr>
            <w:r w:rsidRPr="00151881">
              <w:rPr>
                <w:rFonts w:cstheme="minorHAnsi"/>
              </w:rPr>
              <w:t>8</w:t>
            </w:r>
          </w:p>
        </w:tc>
      </w:tr>
      <w:tr w14:paraId="66BDA9E0" w14:textId="77777777" w:rsidTr="006D0304">
        <w:tblPrEx>
          <w:tblW w:w="8910" w:type="dxa"/>
          <w:jc w:val="center"/>
          <w:tblLook w:val="04A0"/>
        </w:tblPrEx>
        <w:trPr>
          <w:trHeight w:val="300"/>
          <w:jc w:val="center"/>
        </w:trPr>
        <w:tc>
          <w:tcPr>
            <w:tcW w:w="2880" w:type="dxa"/>
            <w:hideMark/>
          </w:tcPr>
          <w:p w:rsidR="002B2E31" w:rsidRPr="00151881" w:rsidP="006D0304" w14:paraId="516CB7F5" w14:textId="77777777">
            <w:pPr>
              <w:rPr>
                <w:rFonts w:cstheme="minorHAnsi"/>
              </w:rPr>
            </w:pPr>
            <w:r w:rsidRPr="00151881">
              <w:rPr>
                <w:rFonts w:cstheme="minorHAnsi"/>
              </w:rPr>
              <w:t>Greater Connecticut, CT</w:t>
            </w:r>
          </w:p>
        </w:tc>
        <w:tc>
          <w:tcPr>
            <w:tcW w:w="2790" w:type="dxa"/>
            <w:hideMark/>
          </w:tcPr>
          <w:p w:rsidR="002B2E31" w:rsidRPr="00151881" w:rsidP="006D0304" w14:paraId="52DA12E3" w14:textId="77777777">
            <w:pPr>
              <w:jc w:val="center"/>
              <w:rPr>
                <w:rFonts w:cstheme="minorHAnsi"/>
                <w:color w:val="151515"/>
              </w:rPr>
            </w:pPr>
            <w:r w:rsidRPr="00151881">
              <w:rPr>
                <w:rFonts w:cstheme="minorHAnsi"/>
                <w:color w:val="151515"/>
              </w:rPr>
              <w:t>0.073</w:t>
            </w:r>
          </w:p>
        </w:tc>
        <w:tc>
          <w:tcPr>
            <w:tcW w:w="1980" w:type="dxa"/>
            <w:hideMark/>
          </w:tcPr>
          <w:p w:rsidR="002B2E31" w:rsidRPr="00151881" w:rsidP="006D0304" w14:paraId="131362FD"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69C93330" w14:textId="77777777">
            <w:pPr>
              <w:jc w:val="right"/>
              <w:rPr>
                <w:rFonts w:cstheme="minorHAnsi"/>
              </w:rPr>
            </w:pPr>
            <w:r w:rsidRPr="00151881">
              <w:rPr>
                <w:rFonts w:cstheme="minorHAnsi"/>
              </w:rPr>
              <w:t>1</w:t>
            </w:r>
          </w:p>
        </w:tc>
      </w:tr>
      <w:tr w14:paraId="3B5ED844" w14:textId="77777777" w:rsidTr="006D0304">
        <w:tblPrEx>
          <w:tblW w:w="8910" w:type="dxa"/>
          <w:jc w:val="center"/>
          <w:tblLook w:val="04A0"/>
        </w:tblPrEx>
        <w:trPr>
          <w:trHeight w:val="300"/>
          <w:jc w:val="center"/>
        </w:trPr>
        <w:tc>
          <w:tcPr>
            <w:tcW w:w="2880" w:type="dxa"/>
            <w:hideMark/>
          </w:tcPr>
          <w:p w:rsidR="002B2E31" w:rsidRPr="00151881" w:rsidP="006D0304" w14:paraId="152AF6BB" w14:textId="77777777">
            <w:pPr>
              <w:rPr>
                <w:rFonts w:cstheme="minorHAnsi"/>
              </w:rPr>
            </w:pPr>
            <w:r w:rsidRPr="00151881">
              <w:rPr>
                <w:rFonts w:cstheme="minorHAnsi"/>
              </w:rPr>
              <w:t>Houston-Galveston-Brazoria, TX</w:t>
            </w:r>
          </w:p>
        </w:tc>
        <w:tc>
          <w:tcPr>
            <w:tcW w:w="2790" w:type="dxa"/>
            <w:hideMark/>
          </w:tcPr>
          <w:p w:rsidR="002B2E31" w:rsidRPr="00151881" w:rsidP="006D0304" w14:paraId="2C481D2E" w14:textId="77777777">
            <w:pPr>
              <w:jc w:val="center"/>
              <w:rPr>
                <w:rFonts w:cstheme="minorHAnsi"/>
                <w:color w:val="151515"/>
              </w:rPr>
            </w:pPr>
            <w:r w:rsidRPr="00151881">
              <w:rPr>
                <w:rFonts w:cstheme="minorHAnsi"/>
                <w:color w:val="151515"/>
              </w:rPr>
              <w:t>0.077</w:t>
            </w:r>
          </w:p>
        </w:tc>
        <w:tc>
          <w:tcPr>
            <w:tcW w:w="1980" w:type="dxa"/>
            <w:hideMark/>
          </w:tcPr>
          <w:p w:rsidR="002B2E31" w:rsidRPr="00151881" w:rsidP="006D0304" w14:paraId="65943EDB"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033C4CE6" w14:textId="77777777">
            <w:pPr>
              <w:jc w:val="right"/>
              <w:rPr>
                <w:rFonts w:cstheme="minorHAnsi"/>
              </w:rPr>
            </w:pPr>
            <w:r w:rsidRPr="00151881">
              <w:rPr>
                <w:rFonts w:cstheme="minorHAnsi"/>
              </w:rPr>
              <w:t>6</w:t>
            </w:r>
          </w:p>
        </w:tc>
      </w:tr>
      <w:tr w14:paraId="3E186224" w14:textId="77777777" w:rsidTr="006D0304">
        <w:tblPrEx>
          <w:tblW w:w="8910" w:type="dxa"/>
          <w:jc w:val="center"/>
          <w:tblLook w:val="04A0"/>
        </w:tblPrEx>
        <w:trPr>
          <w:trHeight w:val="300"/>
          <w:jc w:val="center"/>
        </w:trPr>
        <w:tc>
          <w:tcPr>
            <w:tcW w:w="2880" w:type="dxa"/>
            <w:hideMark/>
          </w:tcPr>
          <w:p w:rsidR="002B2E31" w:rsidRPr="00151881" w:rsidP="006D0304" w14:paraId="409B71D6" w14:textId="77777777">
            <w:pPr>
              <w:rPr>
                <w:rFonts w:cstheme="minorHAnsi"/>
              </w:rPr>
            </w:pPr>
            <w:r w:rsidRPr="00151881">
              <w:rPr>
                <w:rFonts w:cstheme="minorHAnsi"/>
              </w:rPr>
              <w:t>Las Vegas, NV</w:t>
            </w:r>
          </w:p>
        </w:tc>
        <w:tc>
          <w:tcPr>
            <w:tcW w:w="2790" w:type="dxa"/>
            <w:hideMark/>
          </w:tcPr>
          <w:p w:rsidR="002B2E31" w:rsidRPr="00151881" w:rsidP="006D0304" w14:paraId="266AF403" w14:textId="77777777">
            <w:pPr>
              <w:jc w:val="center"/>
              <w:rPr>
                <w:rFonts w:cstheme="minorHAnsi"/>
                <w:color w:val="151515"/>
              </w:rPr>
            </w:pPr>
            <w:r w:rsidRPr="00151881">
              <w:rPr>
                <w:rFonts w:cstheme="minorHAnsi"/>
                <w:color w:val="151515"/>
              </w:rPr>
              <w:t>0.073</w:t>
            </w:r>
          </w:p>
        </w:tc>
        <w:tc>
          <w:tcPr>
            <w:tcW w:w="1980" w:type="dxa"/>
            <w:hideMark/>
          </w:tcPr>
          <w:p w:rsidR="002B2E31" w:rsidRPr="00151881" w:rsidP="006D0304" w14:paraId="701FE5B0"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12BB7F89" w14:textId="77777777">
            <w:pPr>
              <w:jc w:val="right"/>
              <w:rPr>
                <w:rFonts w:cstheme="minorHAnsi"/>
              </w:rPr>
            </w:pPr>
            <w:r w:rsidRPr="00151881">
              <w:rPr>
                <w:rFonts w:cstheme="minorHAnsi"/>
              </w:rPr>
              <w:t>9</w:t>
            </w:r>
          </w:p>
        </w:tc>
      </w:tr>
      <w:tr w14:paraId="01B91078" w14:textId="77777777" w:rsidTr="006D0304">
        <w:tblPrEx>
          <w:tblW w:w="8910" w:type="dxa"/>
          <w:jc w:val="center"/>
          <w:tblLook w:val="04A0"/>
        </w:tblPrEx>
        <w:trPr>
          <w:trHeight w:val="300"/>
          <w:jc w:val="center"/>
        </w:trPr>
        <w:tc>
          <w:tcPr>
            <w:tcW w:w="2880" w:type="dxa"/>
            <w:hideMark/>
          </w:tcPr>
          <w:p w:rsidR="002B2E31" w:rsidRPr="00151881" w:rsidP="006D0304" w14:paraId="4879E1D5" w14:textId="77777777">
            <w:pPr>
              <w:rPr>
                <w:rFonts w:cstheme="minorHAnsi"/>
              </w:rPr>
            </w:pPr>
            <w:r w:rsidRPr="00151881">
              <w:rPr>
                <w:rFonts w:cstheme="minorHAnsi"/>
              </w:rPr>
              <w:t>Mariposa County, CA</w:t>
            </w:r>
          </w:p>
        </w:tc>
        <w:tc>
          <w:tcPr>
            <w:tcW w:w="2790" w:type="dxa"/>
            <w:hideMark/>
          </w:tcPr>
          <w:p w:rsidR="002B2E31" w:rsidRPr="00151881" w:rsidP="006D0304" w14:paraId="06D991A8" w14:textId="77777777">
            <w:pPr>
              <w:jc w:val="center"/>
              <w:rPr>
                <w:rFonts w:cstheme="minorHAnsi"/>
                <w:color w:val="151515"/>
              </w:rPr>
            </w:pPr>
            <w:r w:rsidRPr="00151881">
              <w:rPr>
                <w:rFonts w:cstheme="minorHAnsi"/>
                <w:color w:val="151515"/>
              </w:rPr>
              <w:t>0.081</w:t>
            </w:r>
          </w:p>
        </w:tc>
        <w:tc>
          <w:tcPr>
            <w:tcW w:w="1980" w:type="dxa"/>
            <w:hideMark/>
          </w:tcPr>
          <w:p w:rsidR="002B2E31" w:rsidRPr="00151881" w:rsidP="006D0304" w14:paraId="63B5955F"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48305852" w14:textId="77777777">
            <w:pPr>
              <w:jc w:val="right"/>
              <w:rPr>
                <w:rFonts w:cstheme="minorHAnsi"/>
              </w:rPr>
            </w:pPr>
            <w:r w:rsidRPr="00151881">
              <w:rPr>
                <w:rFonts w:cstheme="minorHAnsi"/>
              </w:rPr>
              <w:t>9</w:t>
            </w:r>
          </w:p>
        </w:tc>
      </w:tr>
      <w:tr w14:paraId="2964902C" w14:textId="77777777" w:rsidTr="006D0304">
        <w:tblPrEx>
          <w:tblW w:w="8910" w:type="dxa"/>
          <w:jc w:val="center"/>
          <w:tblLook w:val="04A0"/>
        </w:tblPrEx>
        <w:trPr>
          <w:trHeight w:val="300"/>
          <w:jc w:val="center"/>
        </w:trPr>
        <w:tc>
          <w:tcPr>
            <w:tcW w:w="2880" w:type="dxa"/>
            <w:hideMark/>
          </w:tcPr>
          <w:p w:rsidR="002B2E31" w:rsidRPr="00151881" w:rsidP="006D0304" w14:paraId="33B9746E" w14:textId="77777777">
            <w:pPr>
              <w:rPr>
                <w:rFonts w:cstheme="minorHAnsi"/>
              </w:rPr>
            </w:pPr>
            <w:r w:rsidRPr="00151881">
              <w:rPr>
                <w:rFonts w:cstheme="minorHAnsi"/>
              </w:rPr>
              <w:t>Milwaukee, WI</w:t>
            </w:r>
          </w:p>
        </w:tc>
        <w:tc>
          <w:tcPr>
            <w:tcW w:w="2790" w:type="dxa"/>
            <w:hideMark/>
          </w:tcPr>
          <w:p w:rsidR="002B2E31" w:rsidRPr="00151881" w:rsidP="006D0304" w14:paraId="6CB47993" w14:textId="77777777">
            <w:pPr>
              <w:jc w:val="center"/>
              <w:rPr>
                <w:rFonts w:cstheme="minorHAnsi"/>
                <w:color w:val="151515"/>
              </w:rPr>
            </w:pPr>
            <w:r w:rsidRPr="00151881">
              <w:rPr>
                <w:rFonts w:cstheme="minorHAnsi"/>
                <w:color w:val="151515"/>
              </w:rPr>
              <w:t>0.073</w:t>
            </w:r>
          </w:p>
        </w:tc>
        <w:tc>
          <w:tcPr>
            <w:tcW w:w="1980" w:type="dxa"/>
            <w:hideMark/>
          </w:tcPr>
          <w:p w:rsidR="002B2E31" w:rsidRPr="00151881" w:rsidP="006D0304" w14:paraId="62A8F689"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0706C29C" w14:textId="77777777">
            <w:pPr>
              <w:jc w:val="right"/>
              <w:rPr>
                <w:rFonts w:cstheme="minorHAnsi"/>
              </w:rPr>
            </w:pPr>
            <w:r w:rsidRPr="00151881">
              <w:rPr>
                <w:rFonts w:cstheme="minorHAnsi"/>
              </w:rPr>
              <w:t>5</w:t>
            </w:r>
          </w:p>
        </w:tc>
      </w:tr>
      <w:tr w14:paraId="6E749032" w14:textId="77777777" w:rsidTr="006D0304">
        <w:tblPrEx>
          <w:tblW w:w="8910" w:type="dxa"/>
          <w:jc w:val="center"/>
          <w:tblLook w:val="04A0"/>
        </w:tblPrEx>
        <w:trPr>
          <w:trHeight w:val="300"/>
          <w:jc w:val="center"/>
        </w:trPr>
        <w:tc>
          <w:tcPr>
            <w:tcW w:w="2880" w:type="dxa"/>
            <w:hideMark/>
          </w:tcPr>
          <w:p w:rsidR="002B2E31" w:rsidRPr="00151881" w:rsidP="006D0304" w14:paraId="11FBB5FD" w14:textId="77777777">
            <w:pPr>
              <w:rPr>
                <w:rFonts w:cstheme="minorHAnsi"/>
              </w:rPr>
            </w:pPr>
            <w:r w:rsidRPr="00151881">
              <w:rPr>
                <w:rFonts w:cstheme="minorHAnsi"/>
              </w:rPr>
              <w:t>Muskegon County, MI</w:t>
            </w:r>
          </w:p>
        </w:tc>
        <w:tc>
          <w:tcPr>
            <w:tcW w:w="2790" w:type="dxa"/>
            <w:hideMark/>
          </w:tcPr>
          <w:p w:rsidR="002B2E31" w:rsidRPr="00151881" w:rsidP="006D0304" w14:paraId="008161C3" w14:textId="77777777">
            <w:pPr>
              <w:jc w:val="center"/>
              <w:rPr>
                <w:rFonts w:cstheme="minorHAnsi"/>
                <w:color w:val="151515"/>
              </w:rPr>
            </w:pPr>
            <w:r w:rsidRPr="00151881">
              <w:rPr>
                <w:rFonts w:cstheme="minorHAnsi"/>
                <w:color w:val="151515"/>
              </w:rPr>
              <w:t>0.074</w:t>
            </w:r>
          </w:p>
        </w:tc>
        <w:tc>
          <w:tcPr>
            <w:tcW w:w="1980" w:type="dxa"/>
            <w:hideMark/>
          </w:tcPr>
          <w:p w:rsidR="002B2E31" w:rsidRPr="00151881" w:rsidP="006D0304" w14:paraId="7E9027D0"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7B545CAF" w14:textId="77777777">
            <w:pPr>
              <w:jc w:val="right"/>
              <w:rPr>
                <w:rFonts w:cstheme="minorHAnsi"/>
              </w:rPr>
            </w:pPr>
            <w:r w:rsidRPr="00151881">
              <w:rPr>
                <w:rFonts w:cstheme="minorHAnsi"/>
              </w:rPr>
              <w:t>5</w:t>
            </w:r>
          </w:p>
        </w:tc>
      </w:tr>
      <w:tr w14:paraId="143B74C1" w14:textId="77777777" w:rsidTr="006D0304">
        <w:tblPrEx>
          <w:tblW w:w="8910" w:type="dxa"/>
          <w:jc w:val="center"/>
          <w:tblLook w:val="04A0"/>
        </w:tblPrEx>
        <w:trPr>
          <w:trHeight w:val="525"/>
          <w:jc w:val="center"/>
        </w:trPr>
        <w:tc>
          <w:tcPr>
            <w:tcW w:w="2880" w:type="dxa"/>
            <w:hideMark/>
          </w:tcPr>
          <w:p w:rsidR="002B2E31" w:rsidRPr="00151881" w:rsidP="006D0304" w14:paraId="08CCBA4A" w14:textId="77777777">
            <w:pPr>
              <w:rPr>
                <w:rFonts w:cstheme="minorHAnsi"/>
              </w:rPr>
            </w:pPr>
            <w:r w:rsidRPr="00151881">
              <w:rPr>
                <w:rFonts w:cstheme="minorHAnsi"/>
              </w:rPr>
              <w:t>New York-Northern New Jersey-Long Island, NY-NJ-CT</w:t>
            </w:r>
          </w:p>
        </w:tc>
        <w:tc>
          <w:tcPr>
            <w:tcW w:w="2790" w:type="dxa"/>
            <w:hideMark/>
          </w:tcPr>
          <w:p w:rsidR="002B2E31" w:rsidRPr="00151881" w:rsidP="006D0304" w14:paraId="3113608E" w14:textId="77777777">
            <w:pPr>
              <w:jc w:val="center"/>
              <w:rPr>
                <w:rFonts w:cstheme="minorHAnsi"/>
                <w:color w:val="151515"/>
              </w:rPr>
            </w:pPr>
            <w:r w:rsidRPr="00151881">
              <w:rPr>
                <w:rFonts w:cstheme="minorHAnsi"/>
                <w:color w:val="151515"/>
              </w:rPr>
              <w:t>0.082</w:t>
            </w:r>
          </w:p>
        </w:tc>
        <w:tc>
          <w:tcPr>
            <w:tcW w:w="1980" w:type="dxa"/>
            <w:hideMark/>
          </w:tcPr>
          <w:p w:rsidR="002B2E31" w:rsidRPr="00151881" w:rsidP="006D0304" w14:paraId="4F6BFFDA"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7D4326FB" w14:textId="77777777">
            <w:pPr>
              <w:jc w:val="right"/>
              <w:rPr>
                <w:rFonts w:cstheme="minorHAnsi"/>
              </w:rPr>
            </w:pPr>
            <w:r w:rsidRPr="00151881">
              <w:rPr>
                <w:rFonts w:cstheme="minorHAnsi"/>
              </w:rPr>
              <w:t>1,2</w:t>
            </w:r>
          </w:p>
        </w:tc>
      </w:tr>
      <w:tr w14:paraId="35769ED5" w14:textId="77777777" w:rsidTr="006D0304">
        <w:tblPrEx>
          <w:tblW w:w="8910" w:type="dxa"/>
          <w:jc w:val="center"/>
          <w:tblLook w:val="04A0"/>
        </w:tblPrEx>
        <w:trPr>
          <w:trHeight w:val="300"/>
          <w:jc w:val="center"/>
        </w:trPr>
        <w:tc>
          <w:tcPr>
            <w:tcW w:w="2880" w:type="dxa"/>
            <w:hideMark/>
          </w:tcPr>
          <w:p w:rsidR="002B2E31" w:rsidRPr="00151881" w:rsidP="006D0304" w14:paraId="47FAD679" w14:textId="77777777">
            <w:pPr>
              <w:rPr>
                <w:rFonts w:cstheme="minorHAnsi"/>
              </w:rPr>
            </w:pPr>
            <w:r w:rsidRPr="00151881">
              <w:rPr>
                <w:rFonts w:cstheme="minorHAnsi"/>
              </w:rPr>
              <w:t>Northern Wasatch Front, UT</w:t>
            </w:r>
          </w:p>
        </w:tc>
        <w:tc>
          <w:tcPr>
            <w:tcW w:w="2790" w:type="dxa"/>
            <w:hideMark/>
          </w:tcPr>
          <w:p w:rsidR="002B2E31" w:rsidRPr="00151881" w:rsidP="006D0304" w14:paraId="7D02A8EF" w14:textId="77777777">
            <w:pPr>
              <w:jc w:val="center"/>
              <w:rPr>
                <w:rFonts w:cstheme="minorHAnsi"/>
                <w:color w:val="151515"/>
              </w:rPr>
            </w:pPr>
            <w:r w:rsidRPr="00151881">
              <w:rPr>
                <w:rFonts w:cstheme="minorHAnsi"/>
                <w:color w:val="151515"/>
              </w:rPr>
              <w:t>0.078</w:t>
            </w:r>
          </w:p>
        </w:tc>
        <w:tc>
          <w:tcPr>
            <w:tcW w:w="1980" w:type="dxa"/>
            <w:hideMark/>
          </w:tcPr>
          <w:p w:rsidR="002B2E31" w:rsidRPr="00151881" w:rsidP="006D0304" w14:paraId="6A17D5E1"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2F74F8B9" w14:textId="77777777">
            <w:pPr>
              <w:jc w:val="right"/>
              <w:rPr>
                <w:rFonts w:cstheme="minorHAnsi"/>
              </w:rPr>
            </w:pPr>
            <w:r w:rsidRPr="00151881">
              <w:rPr>
                <w:rFonts w:cstheme="minorHAnsi"/>
              </w:rPr>
              <w:t>8</w:t>
            </w:r>
          </w:p>
        </w:tc>
      </w:tr>
      <w:tr w14:paraId="36E0855D" w14:textId="77777777" w:rsidTr="006D0304">
        <w:tblPrEx>
          <w:tblW w:w="8910" w:type="dxa"/>
          <w:jc w:val="center"/>
          <w:tblLook w:val="04A0"/>
        </w:tblPrEx>
        <w:trPr>
          <w:trHeight w:val="525"/>
          <w:jc w:val="center"/>
        </w:trPr>
        <w:tc>
          <w:tcPr>
            <w:tcW w:w="2880" w:type="dxa"/>
            <w:hideMark/>
          </w:tcPr>
          <w:p w:rsidR="002B2E31" w:rsidRPr="00151881" w:rsidP="006D0304" w14:paraId="22B8321D" w14:textId="77777777">
            <w:pPr>
              <w:rPr>
                <w:rFonts w:cstheme="minorHAnsi"/>
              </w:rPr>
            </w:pPr>
            <w:r w:rsidRPr="00151881">
              <w:rPr>
                <w:rFonts w:cstheme="minorHAnsi"/>
              </w:rPr>
              <w:t>Philadelphia-Wilmington-Atlantic City, PA-NJ-MD-DE</w:t>
            </w:r>
          </w:p>
        </w:tc>
        <w:tc>
          <w:tcPr>
            <w:tcW w:w="2790" w:type="dxa"/>
            <w:hideMark/>
          </w:tcPr>
          <w:p w:rsidR="002B2E31" w:rsidRPr="00151881" w:rsidP="006D0304" w14:paraId="0F67491F" w14:textId="77777777">
            <w:pPr>
              <w:jc w:val="center"/>
              <w:rPr>
                <w:rFonts w:cstheme="minorHAnsi"/>
                <w:color w:val="151515"/>
              </w:rPr>
            </w:pPr>
            <w:r w:rsidRPr="00151881">
              <w:rPr>
                <w:rFonts w:cstheme="minorHAnsi"/>
                <w:color w:val="151515"/>
              </w:rPr>
              <w:t>0.071</w:t>
            </w:r>
          </w:p>
        </w:tc>
        <w:tc>
          <w:tcPr>
            <w:tcW w:w="1980" w:type="dxa"/>
            <w:hideMark/>
          </w:tcPr>
          <w:p w:rsidR="002B2E31" w:rsidRPr="00151881" w:rsidP="006D0304" w14:paraId="086CE1CA"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541EA659" w14:textId="77777777">
            <w:pPr>
              <w:jc w:val="right"/>
              <w:rPr>
                <w:rFonts w:cstheme="minorHAnsi"/>
              </w:rPr>
            </w:pPr>
            <w:r w:rsidRPr="00151881">
              <w:rPr>
                <w:rFonts w:cstheme="minorHAnsi"/>
              </w:rPr>
              <w:t>2,3</w:t>
            </w:r>
          </w:p>
        </w:tc>
      </w:tr>
      <w:tr w14:paraId="1C1A41C3" w14:textId="77777777" w:rsidTr="006D0304">
        <w:tblPrEx>
          <w:tblW w:w="8910" w:type="dxa"/>
          <w:jc w:val="center"/>
          <w:tblLook w:val="04A0"/>
        </w:tblPrEx>
        <w:trPr>
          <w:trHeight w:val="300"/>
          <w:jc w:val="center"/>
        </w:trPr>
        <w:tc>
          <w:tcPr>
            <w:tcW w:w="2880" w:type="dxa"/>
            <w:hideMark/>
          </w:tcPr>
          <w:p w:rsidR="002B2E31" w:rsidRPr="00151881" w:rsidP="006D0304" w14:paraId="5E69233D" w14:textId="77777777">
            <w:pPr>
              <w:rPr>
                <w:rFonts w:cstheme="minorHAnsi"/>
              </w:rPr>
            </w:pPr>
            <w:r w:rsidRPr="00151881">
              <w:rPr>
                <w:rFonts w:cstheme="minorHAnsi"/>
              </w:rPr>
              <w:t>Phoenix-Mesa, AZ</w:t>
            </w:r>
          </w:p>
        </w:tc>
        <w:tc>
          <w:tcPr>
            <w:tcW w:w="2790" w:type="dxa"/>
            <w:hideMark/>
          </w:tcPr>
          <w:p w:rsidR="002B2E31" w:rsidRPr="00151881" w:rsidP="006D0304" w14:paraId="0279CEEE" w14:textId="77777777">
            <w:pPr>
              <w:jc w:val="center"/>
              <w:rPr>
                <w:rFonts w:cstheme="minorHAnsi"/>
                <w:color w:val="151515"/>
              </w:rPr>
            </w:pPr>
            <w:r w:rsidRPr="00151881">
              <w:rPr>
                <w:rFonts w:cstheme="minorHAnsi"/>
                <w:color w:val="151515"/>
              </w:rPr>
              <w:t>0.08</w:t>
            </w:r>
          </w:p>
        </w:tc>
        <w:tc>
          <w:tcPr>
            <w:tcW w:w="1980" w:type="dxa"/>
            <w:hideMark/>
          </w:tcPr>
          <w:p w:rsidR="002B2E31" w:rsidRPr="00151881" w:rsidP="006D0304" w14:paraId="160425EE"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382FC80C" w14:textId="77777777">
            <w:pPr>
              <w:jc w:val="right"/>
              <w:rPr>
                <w:rFonts w:cstheme="minorHAnsi"/>
              </w:rPr>
            </w:pPr>
            <w:r w:rsidRPr="00151881">
              <w:rPr>
                <w:rFonts w:cstheme="minorHAnsi"/>
              </w:rPr>
              <w:t>9</w:t>
            </w:r>
          </w:p>
        </w:tc>
      </w:tr>
      <w:tr w14:paraId="5A7E6BC0" w14:textId="77777777" w:rsidTr="006D0304">
        <w:tblPrEx>
          <w:tblW w:w="8910" w:type="dxa"/>
          <w:jc w:val="center"/>
          <w:tblLook w:val="04A0"/>
        </w:tblPrEx>
        <w:trPr>
          <w:trHeight w:val="300"/>
          <w:jc w:val="center"/>
        </w:trPr>
        <w:tc>
          <w:tcPr>
            <w:tcW w:w="2880" w:type="dxa"/>
            <w:hideMark/>
          </w:tcPr>
          <w:p w:rsidR="002B2E31" w:rsidRPr="00151881" w:rsidP="006D0304" w14:paraId="3659A1AB" w14:textId="77777777">
            <w:pPr>
              <w:rPr>
                <w:rFonts w:cstheme="minorHAnsi"/>
              </w:rPr>
            </w:pPr>
            <w:r w:rsidRPr="00151881">
              <w:rPr>
                <w:rFonts w:cstheme="minorHAnsi"/>
              </w:rPr>
              <w:t>San Antonio, TX</w:t>
            </w:r>
          </w:p>
        </w:tc>
        <w:tc>
          <w:tcPr>
            <w:tcW w:w="2790" w:type="dxa"/>
            <w:hideMark/>
          </w:tcPr>
          <w:p w:rsidR="002B2E31" w:rsidRPr="00151881" w:rsidP="006D0304" w14:paraId="279BF012" w14:textId="77777777">
            <w:pPr>
              <w:jc w:val="center"/>
              <w:rPr>
                <w:rFonts w:cstheme="minorHAnsi"/>
                <w:color w:val="151515"/>
              </w:rPr>
            </w:pPr>
            <w:r w:rsidRPr="00151881">
              <w:rPr>
                <w:rFonts w:cstheme="minorHAnsi"/>
                <w:color w:val="151515"/>
              </w:rPr>
              <w:t>0.073</w:t>
            </w:r>
          </w:p>
        </w:tc>
        <w:tc>
          <w:tcPr>
            <w:tcW w:w="1980" w:type="dxa"/>
            <w:hideMark/>
          </w:tcPr>
          <w:p w:rsidR="002B2E31" w:rsidRPr="00151881" w:rsidP="006D0304" w14:paraId="245598F0"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02D90416" w14:textId="77777777">
            <w:pPr>
              <w:jc w:val="right"/>
              <w:rPr>
                <w:rFonts w:cstheme="minorHAnsi"/>
              </w:rPr>
            </w:pPr>
            <w:r w:rsidRPr="00151881">
              <w:rPr>
                <w:rFonts w:cstheme="minorHAnsi"/>
              </w:rPr>
              <w:t>6</w:t>
            </w:r>
          </w:p>
        </w:tc>
      </w:tr>
      <w:tr w14:paraId="48283DFC" w14:textId="77777777" w:rsidTr="006D0304">
        <w:tblPrEx>
          <w:tblW w:w="8910" w:type="dxa"/>
          <w:jc w:val="center"/>
          <w:tblLook w:val="04A0"/>
        </w:tblPrEx>
        <w:trPr>
          <w:trHeight w:val="300"/>
          <w:jc w:val="center"/>
        </w:trPr>
        <w:tc>
          <w:tcPr>
            <w:tcW w:w="2880" w:type="dxa"/>
            <w:hideMark/>
          </w:tcPr>
          <w:p w:rsidR="002B2E31" w:rsidRPr="00151881" w:rsidP="006D0304" w14:paraId="3EF88197" w14:textId="77777777">
            <w:pPr>
              <w:rPr>
                <w:rFonts w:cstheme="minorHAnsi"/>
              </w:rPr>
            </w:pPr>
            <w:r w:rsidRPr="00151881">
              <w:rPr>
                <w:rFonts w:cstheme="minorHAnsi"/>
              </w:rPr>
              <w:t>Sheboygan County, WI</w:t>
            </w:r>
          </w:p>
        </w:tc>
        <w:tc>
          <w:tcPr>
            <w:tcW w:w="2790" w:type="dxa"/>
            <w:hideMark/>
          </w:tcPr>
          <w:p w:rsidR="002B2E31" w:rsidRPr="00151881" w:rsidP="006D0304" w14:paraId="5E904A5B" w14:textId="77777777">
            <w:pPr>
              <w:jc w:val="center"/>
              <w:rPr>
                <w:rFonts w:cstheme="minorHAnsi"/>
                <w:color w:val="151515"/>
              </w:rPr>
            </w:pPr>
            <w:r w:rsidRPr="00151881">
              <w:rPr>
                <w:rFonts w:cstheme="minorHAnsi"/>
                <w:color w:val="151515"/>
              </w:rPr>
              <w:t>0.072</w:t>
            </w:r>
          </w:p>
        </w:tc>
        <w:tc>
          <w:tcPr>
            <w:tcW w:w="1980" w:type="dxa"/>
            <w:hideMark/>
          </w:tcPr>
          <w:p w:rsidR="002B2E31" w:rsidRPr="00151881" w:rsidP="006D0304" w14:paraId="6081705B" w14:textId="77777777">
            <w:pPr>
              <w:jc w:val="center"/>
              <w:rPr>
                <w:rFonts w:cstheme="minorHAnsi"/>
                <w:color w:val="151515"/>
              </w:rPr>
            </w:pPr>
            <w:r w:rsidRPr="00151881">
              <w:rPr>
                <w:rFonts w:cstheme="minorHAnsi"/>
                <w:color w:val="151515"/>
              </w:rPr>
              <w:t>No</w:t>
            </w:r>
          </w:p>
        </w:tc>
        <w:tc>
          <w:tcPr>
            <w:tcW w:w="1260" w:type="dxa"/>
            <w:noWrap/>
            <w:hideMark/>
          </w:tcPr>
          <w:p w:rsidR="002B2E31" w:rsidRPr="00151881" w:rsidP="006D0304" w14:paraId="60C03118" w14:textId="77777777">
            <w:pPr>
              <w:jc w:val="right"/>
              <w:rPr>
                <w:rFonts w:cstheme="minorHAnsi"/>
              </w:rPr>
            </w:pPr>
            <w:r w:rsidRPr="00151881">
              <w:rPr>
                <w:rFonts w:cstheme="minorHAnsi"/>
              </w:rPr>
              <w:t>5</w:t>
            </w:r>
          </w:p>
        </w:tc>
      </w:tr>
    </w:tbl>
    <w:p w:rsidR="002B2E31" w:rsidRPr="00151881" w:rsidP="002B2E31" w14:paraId="4ADEC556" w14:textId="77777777">
      <w:pPr>
        <w:ind w:left="360"/>
        <w:outlineLvl w:val="0"/>
        <w:rPr>
          <w:rFonts w:cstheme="minorHAnsi"/>
          <w:b/>
        </w:rPr>
      </w:pPr>
    </w:p>
    <w:p w:rsidR="002B2E31" w:rsidRPr="00151881" w:rsidP="002B2E31" w14:paraId="5F455772" w14:textId="77777777">
      <w:pPr>
        <w:ind w:left="360"/>
        <w:outlineLvl w:val="0"/>
        <w:rPr>
          <w:rFonts w:cstheme="minorHAnsi"/>
          <w:b/>
        </w:rPr>
      </w:pPr>
      <w:bookmarkStart w:id="25" w:name="_Toc170222537"/>
      <w:r w:rsidRPr="00151881">
        <w:rPr>
          <w:rFonts w:cstheme="minorHAnsi"/>
          <w:b/>
        </w:rPr>
        <w:t>Table 2.</w:t>
      </w:r>
      <w:r w:rsidRPr="00EE4D40">
        <w:rPr>
          <w:rFonts w:cstheme="minorHAnsi"/>
          <w:b/>
        </w:rPr>
        <w:t xml:space="preserve">  </w:t>
      </w:r>
      <w:r w:rsidRPr="00151881">
        <w:rPr>
          <w:rFonts w:cstheme="minorHAnsi"/>
          <w:b/>
        </w:rPr>
        <w:t xml:space="preserve">Numbers of Nonattainment Areas or Parts of Areas that Potentially Could Be Reclassified to </w:t>
      </w:r>
      <w:r>
        <w:rPr>
          <w:rFonts w:cstheme="minorHAnsi"/>
          <w:b/>
        </w:rPr>
        <w:t>Serious</w:t>
      </w:r>
      <w:r w:rsidRPr="00151881">
        <w:rPr>
          <w:rFonts w:cstheme="minorHAnsi"/>
          <w:b/>
        </w:rPr>
        <w:t xml:space="preserve"> for 2015 </w:t>
      </w:r>
      <w:r>
        <w:rPr>
          <w:rFonts w:cstheme="minorHAnsi"/>
          <w:b/>
        </w:rPr>
        <w:t>ozone</w:t>
      </w:r>
      <w:r w:rsidRPr="00151881">
        <w:rPr>
          <w:rFonts w:cstheme="minorHAnsi"/>
          <w:b/>
        </w:rPr>
        <w:t xml:space="preserve"> NAAQS by State and EPA Regional Office</w:t>
      </w:r>
      <w:bookmarkEnd w:id="25"/>
    </w:p>
    <w:p w:rsidR="002B2E31" w:rsidRPr="00151881" w:rsidP="002B2E31" w14:paraId="02389D24" w14:textId="77777777">
      <w:pPr>
        <w:ind w:left="360"/>
        <w:outlineLvl w:val="0"/>
        <w:rPr>
          <w:rFonts w:cstheme="minorHAnsi"/>
          <w:b/>
        </w:rPr>
      </w:pPr>
    </w:p>
    <w:tbl>
      <w:tblPr>
        <w:tblStyle w:val="TableGrid"/>
        <w:tblW w:w="5395" w:type="dxa"/>
        <w:jc w:val="center"/>
        <w:tblLook w:val="04A0"/>
      </w:tblPr>
      <w:tblGrid>
        <w:gridCol w:w="1435"/>
        <w:gridCol w:w="1350"/>
        <w:gridCol w:w="2610"/>
      </w:tblGrid>
      <w:tr w14:paraId="3A83CE0C" w14:textId="77777777" w:rsidTr="006D0304">
        <w:tblPrEx>
          <w:tblW w:w="5395" w:type="dxa"/>
          <w:jc w:val="center"/>
          <w:tblLook w:val="04A0"/>
        </w:tblPrEx>
        <w:trPr>
          <w:trHeight w:val="525"/>
          <w:jc w:val="center"/>
        </w:trPr>
        <w:tc>
          <w:tcPr>
            <w:tcW w:w="1435" w:type="dxa"/>
            <w:hideMark/>
          </w:tcPr>
          <w:p w:rsidR="002B2E31" w:rsidRPr="00151881" w:rsidP="006D0304" w14:paraId="50F110B2" w14:textId="77777777">
            <w:pPr>
              <w:jc w:val="center"/>
              <w:rPr>
                <w:rFonts w:cstheme="minorHAnsi"/>
                <w:b/>
                <w:bCs/>
              </w:rPr>
            </w:pPr>
            <w:r w:rsidRPr="00151881">
              <w:rPr>
                <w:rFonts w:cstheme="minorHAnsi"/>
                <w:b/>
                <w:bCs/>
              </w:rPr>
              <w:t>State</w:t>
            </w:r>
          </w:p>
        </w:tc>
        <w:tc>
          <w:tcPr>
            <w:tcW w:w="1350" w:type="dxa"/>
            <w:hideMark/>
          </w:tcPr>
          <w:p w:rsidR="002B2E31" w:rsidRPr="00151881" w:rsidP="006D0304" w14:paraId="4B1A535C" w14:textId="77777777">
            <w:pPr>
              <w:jc w:val="center"/>
              <w:rPr>
                <w:rFonts w:cstheme="minorHAnsi"/>
                <w:b/>
                <w:bCs/>
              </w:rPr>
            </w:pPr>
            <w:r w:rsidRPr="00151881">
              <w:rPr>
                <w:rFonts w:cstheme="minorHAnsi"/>
                <w:b/>
                <w:bCs/>
              </w:rPr>
              <w:t>EPA Region</w:t>
            </w:r>
          </w:p>
        </w:tc>
        <w:tc>
          <w:tcPr>
            <w:tcW w:w="2610" w:type="dxa"/>
            <w:hideMark/>
          </w:tcPr>
          <w:p w:rsidR="002B2E31" w:rsidRPr="00151881" w:rsidP="006D0304" w14:paraId="4BFCC0F8" w14:textId="77777777">
            <w:pPr>
              <w:jc w:val="center"/>
              <w:rPr>
                <w:rFonts w:cstheme="minorHAnsi"/>
                <w:b/>
                <w:bCs/>
              </w:rPr>
            </w:pPr>
            <w:r w:rsidRPr="00151881">
              <w:rPr>
                <w:rFonts w:cstheme="minorHAnsi"/>
                <w:b/>
                <w:bCs/>
              </w:rPr>
              <w:t>Nonattainment Areas (or Portions of Areas) in State</w:t>
            </w:r>
          </w:p>
        </w:tc>
      </w:tr>
      <w:tr w14:paraId="45EE00A2" w14:textId="77777777" w:rsidTr="006D0304">
        <w:tblPrEx>
          <w:tblW w:w="5395" w:type="dxa"/>
          <w:jc w:val="center"/>
          <w:tblLook w:val="04A0"/>
        </w:tblPrEx>
        <w:trPr>
          <w:trHeight w:val="255"/>
          <w:jc w:val="center"/>
        </w:trPr>
        <w:tc>
          <w:tcPr>
            <w:tcW w:w="1435" w:type="dxa"/>
            <w:noWrap/>
            <w:hideMark/>
          </w:tcPr>
          <w:p w:rsidR="002B2E31" w:rsidRPr="00151881" w:rsidP="006D0304" w14:paraId="6D848809" w14:textId="77777777">
            <w:pPr>
              <w:rPr>
                <w:rFonts w:cstheme="minorHAnsi"/>
              </w:rPr>
            </w:pPr>
            <w:r w:rsidRPr="00151881">
              <w:rPr>
                <w:rFonts w:cstheme="minorHAnsi"/>
              </w:rPr>
              <w:t>Arizona</w:t>
            </w:r>
          </w:p>
        </w:tc>
        <w:tc>
          <w:tcPr>
            <w:tcW w:w="1350" w:type="dxa"/>
            <w:noWrap/>
            <w:hideMark/>
          </w:tcPr>
          <w:p w:rsidR="002B2E31" w:rsidRPr="00151881" w:rsidP="006D0304" w14:paraId="1063ADC5" w14:textId="77777777">
            <w:pPr>
              <w:jc w:val="right"/>
              <w:rPr>
                <w:rFonts w:cstheme="minorHAnsi"/>
              </w:rPr>
            </w:pPr>
            <w:r w:rsidRPr="00151881">
              <w:rPr>
                <w:rFonts w:cstheme="minorHAnsi"/>
              </w:rPr>
              <w:t>9</w:t>
            </w:r>
          </w:p>
        </w:tc>
        <w:tc>
          <w:tcPr>
            <w:tcW w:w="2610" w:type="dxa"/>
            <w:noWrap/>
            <w:hideMark/>
          </w:tcPr>
          <w:p w:rsidR="002B2E31" w:rsidRPr="00151881" w:rsidP="006D0304" w14:paraId="5B0E12A4" w14:textId="77777777">
            <w:pPr>
              <w:jc w:val="right"/>
              <w:rPr>
                <w:rFonts w:cstheme="minorHAnsi"/>
              </w:rPr>
            </w:pPr>
            <w:r w:rsidRPr="00151881">
              <w:rPr>
                <w:rFonts w:cstheme="minorHAnsi"/>
              </w:rPr>
              <w:t>1</w:t>
            </w:r>
          </w:p>
        </w:tc>
      </w:tr>
      <w:tr w14:paraId="504ED470" w14:textId="77777777" w:rsidTr="006D0304">
        <w:tblPrEx>
          <w:tblW w:w="5395" w:type="dxa"/>
          <w:jc w:val="center"/>
          <w:tblLook w:val="04A0"/>
        </w:tblPrEx>
        <w:trPr>
          <w:trHeight w:val="255"/>
          <w:jc w:val="center"/>
        </w:trPr>
        <w:tc>
          <w:tcPr>
            <w:tcW w:w="1435" w:type="dxa"/>
            <w:noWrap/>
            <w:hideMark/>
          </w:tcPr>
          <w:p w:rsidR="002B2E31" w:rsidRPr="00151881" w:rsidP="006D0304" w14:paraId="569B25A3" w14:textId="77777777">
            <w:pPr>
              <w:rPr>
                <w:rFonts w:cstheme="minorHAnsi"/>
              </w:rPr>
            </w:pPr>
            <w:r w:rsidRPr="00151881">
              <w:rPr>
                <w:rFonts w:cstheme="minorHAnsi"/>
              </w:rPr>
              <w:t>California</w:t>
            </w:r>
          </w:p>
        </w:tc>
        <w:tc>
          <w:tcPr>
            <w:tcW w:w="1350" w:type="dxa"/>
            <w:noWrap/>
            <w:hideMark/>
          </w:tcPr>
          <w:p w:rsidR="002B2E31" w:rsidRPr="00151881" w:rsidP="006D0304" w14:paraId="18FFAF71" w14:textId="77777777">
            <w:pPr>
              <w:jc w:val="right"/>
              <w:rPr>
                <w:rFonts w:cstheme="minorHAnsi"/>
              </w:rPr>
            </w:pPr>
            <w:r w:rsidRPr="00151881">
              <w:rPr>
                <w:rFonts w:cstheme="minorHAnsi"/>
              </w:rPr>
              <w:t>9</w:t>
            </w:r>
          </w:p>
        </w:tc>
        <w:tc>
          <w:tcPr>
            <w:tcW w:w="2610" w:type="dxa"/>
            <w:noWrap/>
            <w:hideMark/>
          </w:tcPr>
          <w:p w:rsidR="002B2E31" w:rsidRPr="00151881" w:rsidP="006D0304" w14:paraId="23FA31A2" w14:textId="77777777">
            <w:pPr>
              <w:jc w:val="right"/>
              <w:rPr>
                <w:rFonts w:cstheme="minorHAnsi"/>
              </w:rPr>
            </w:pPr>
            <w:r w:rsidRPr="00EE4D40">
              <w:rPr>
                <w:rFonts w:cstheme="minorHAnsi"/>
              </w:rPr>
              <w:t>1</w:t>
            </w:r>
          </w:p>
        </w:tc>
      </w:tr>
      <w:tr w14:paraId="5F4B0FD9" w14:textId="77777777" w:rsidTr="006D0304">
        <w:tblPrEx>
          <w:tblW w:w="5395" w:type="dxa"/>
          <w:jc w:val="center"/>
          <w:tblLook w:val="04A0"/>
        </w:tblPrEx>
        <w:trPr>
          <w:trHeight w:val="255"/>
          <w:jc w:val="center"/>
        </w:trPr>
        <w:tc>
          <w:tcPr>
            <w:tcW w:w="1435" w:type="dxa"/>
            <w:noWrap/>
            <w:hideMark/>
          </w:tcPr>
          <w:p w:rsidR="002B2E31" w:rsidRPr="00151881" w:rsidP="006D0304" w14:paraId="7B38BC8D" w14:textId="77777777">
            <w:pPr>
              <w:rPr>
                <w:rFonts w:cstheme="minorHAnsi"/>
              </w:rPr>
            </w:pPr>
            <w:r w:rsidRPr="00151881">
              <w:rPr>
                <w:rFonts w:cstheme="minorHAnsi"/>
              </w:rPr>
              <w:t>Colorado</w:t>
            </w:r>
          </w:p>
        </w:tc>
        <w:tc>
          <w:tcPr>
            <w:tcW w:w="1350" w:type="dxa"/>
            <w:noWrap/>
            <w:hideMark/>
          </w:tcPr>
          <w:p w:rsidR="002B2E31" w:rsidRPr="00151881" w:rsidP="006D0304" w14:paraId="4AA674B1" w14:textId="77777777">
            <w:pPr>
              <w:jc w:val="right"/>
              <w:rPr>
                <w:rFonts w:cstheme="minorHAnsi"/>
              </w:rPr>
            </w:pPr>
            <w:r w:rsidRPr="00151881">
              <w:rPr>
                <w:rFonts w:cstheme="minorHAnsi"/>
              </w:rPr>
              <w:t>8</w:t>
            </w:r>
          </w:p>
        </w:tc>
        <w:tc>
          <w:tcPr>
            <w:tcW w:w="2610" w:type="dxa"/>
            <w:noWrap/>
            <w:hideMark/>
          </w:tcPr>
          <w:p w:rsidR="002B2E31" w:rsidRPr="00151881" w:rsidP="006D0304" w14:paraId="6ED793B9" w14:textId="77777777">
            <w:pPr>
              <w:jc w:val="right"/>
              <w:rPr>
                <w:rFonts w:cstheme="minorHAnsi"/>
              </w:rPr>
            </w:pPr>
            <w:r w:rsidRPr="00151881">
              <w:rPr>
                <w:rFonts w:cstheme="minorHAnsi"/>
              </w:rPr>
              <w:t>1</w:t>
            </w:r>
          </w:p>
        </w:tc>
      </w:tr>
      <w:tr w14:paraId="0E12B748" w14:textId="77777777" w:rsidTr="006D0304">
        <w:tblPrEx>
          <w:tblW w:w="5395" w:type="dxa"/>
          <w:jc w:val="center"/>
          <w:tblLook w:val="04A0"/>
        </w:tblPrEx>
        <w:trPr>
          <w:trHeight w:val="255"/>
          <w:jc w:val="center"/>
        </w:trPr>
        <w:tc>
          <w:tcPr>
            <w:tcW w:w="1435" w:type="dxa"/>
            <w:noWrap/>
            <w:hideMark/>
          </w:tcPr>
          <w:p w:rsidR="002B2E31" w:rsidRPr="00151881" w:rsidP="006D0304" w14:paraId="5DABEA8C" w14:textId="77777777">
            <w:pPr>
              <w:rPr>
                <w:rFonts w:cstheme="minorHAnsi"/>
              </w:rPr>
            </w:pPr>
            <w:r w:rsidRPr="00151881">
              <w:rPr>
                <w:rFonts w:cstheme="minorHAnsi"/>
              </w:rPr>
              <w:t>Connecticut</w:t>
            </w:r>
          </w:p>
        </w:tc>
        <w:tc>
          <w:tcPr>
            <w:tcW w:w="1350" w:type="dxa"/>
            <w:noWrap/>
            <w:hideMark/>
          </w:tcPr>
          <w:p w:rsidR="002B2E31" w:rsidRPr="00151881" w:rsidP="006D0304" w14:paraId="2751DA39" w14:textId="77777777">
            <w:pPr>
              <w:jc w:val="right"/>
              <w:rPr>
                <w:rFonts w:cstheme="minorHAnsi"/>
              </w:rPr>
            </w:pPr>
            <w:r w:rsidRPr="00151881">
              <w:rPr>
                <w:rFonts w:cstheme="minorHAnsi"/>
              </w:rPr>
              <w:t>1</w:t>
            </w:r>
          </w:p>
        </w:tc>
        <w:tc>
          <w:tcPr>
            <w:tcW w:w="2610" w:type="dxa"/>
            <w:noWrap/>
            <w:hideMark/>
          </w:tcPr>
          <w:p w:rsidR="002B2E31" w:rsidRPr="00151881" w:rsidP="006D0304" w14:paraId="0A2D7CA0" w14:textId="77777777">
            <w:pPr>
              <w:jc w:val="right"/>
              <w:rPr>
                <w:rFonts w:cstheme="minorHAnsi"/>
              </w:rPr>
            </w:pPr>
            <w:r w:rsidRPr="00151881">
              <w:rPr>
                <w:rFonts w:cstheme="minorHAnsi"/>
              </w:rPr>
              <w:t>2</w:t>
            </w:r>
          </w:p>
        </w:tc>
      </w:tr>
      <w:tr w14:paraId="491676BA" w14:textId="77777777" w:rsidTr="006D0304">
        <w:tblPrEx>
          <w:tblW w:w="5395" w:type="dxa"/>
          <w:jc w:val="center"/>
          <w:tblLook w:val="04A0"/>
        </w:tblPrEx>
        <w:trPr>
          <w:trHeight w:val="255"/>
          <w:jc w:val="center"/>
        </w:trPr>
        <w:tc>
          <w:tcPr>
            <w:tcW w:w="1435" w:type="dxa"/>
            <w:noWrap/>
            <w:hideMark/>
          </w:tcPr>
          <w:p w:rsidR="002B2E31" w:rsidRPr="00151881" w:rsidP="006D0304" w14:paraId="7F0DFE9F" w14:textId="77777777">
            <w:pPr>
              <w:rPr>
                <w:rFonts w:cstheme="minorHAnsi"/>
              </w:rPr>
            </w:pPr>
            <w:r w:rsidRPr="00151881">
              <w:rPr>
                <w:rFonts w:cstheme="minorHAnsi"/>
              </w:rPr>
              <w:t>Delaware</w:t>
            </w:r>
          </w:p>
        </w:tc>
        <w:tc>
          <w:tcPr>
            <w:tcW w:w="1350" w:type="dxa"/>
            <w:noWrap/>
            <w:hideMark/>
          </w:tcPr>
          <w:p w:rsidR="002B2E31" w:rsidRPr="00151881" w:rsidP="006D0304" w14:paraId="56EE262D" w14:textId="77777777">
            <w:pPr>
              <w:jc w:val="right"/>
              <w:rPr>
                <w:rFonts w:cstheme="minorHAnsi"/>
              </w:rPr>
            </w:pPr>
            <w:r w:rsidRPr="00151881">
              <w:rPr>
                <w:rFonts w:cstheme="minorHAnsi"/>
              </w:rPr>
              <w:t>3</w:t>
            </w:r>
          </w:p>
        </w:tc>
        <w:tc>
          <w:tcPr>
            <w:tcW w:w="2610" w:type="dxa"/>
            <w:noWrap/>
            <w:hideMark/>
          </w:tcPr>
          <w:p w:rsidR="002B2E31" w:rsidRPr="00151881" w:rsidP="006D0304" w14:paraId="093B757A" w14:textId="77777777">
            <w:pPr>
              <w:jc w:val="right"/>
              <w:rPr>
                <w:rFonts w:cstheme="minorHAnsi"/>
              </w:rPr>
            </w:pPr>
            <w:r w:rsidRPr="00151881">
              <w:rPr>
                <w:rFonts w:cstheme="minorHAnsi"/>
              </w:rPr>
              <w:t>1</w:t>
            </w:r>
          </w:p>
        </w:tc>
      </w:tr>
      <w:tr w14:paraId="5E82205B" w14:textId="77777777" w:rsidTr="006D0304">
        <w:tblPrEx>
          <w:tblW w:w="5395" w:type="dxa"/>
          <w:jc w:val="center"/>
          <w:tblLook w:val="04A0"/>
        </w:tblPrEx>
        <w:trPr>
          <w:trHeight w:val="255"/>
          <w:jc w:val="center"/>
        </w:trPr>
        <w:tc>
          <w:tcPr>
            <w:tcW w:w="1435" w:type="dxa"/>
            <w:noWrap/>
            <w:hideMark/>
          </w:tcPr>
          <w:p w:rsidR="002B2E31" w:rsidRPr="00151881" w:rsidP="006D0304" w14:paraId="7DD59A41" w14:textId="77777777">
            <w:pPr>
              <w:rPr>
                <w:rFonts w:cstheme="minorHAnsi"/>
              </w:rPr>
            </w:pPr>
            <w:r w:rsidRPr="00151881">
              <w:rPr>
                <w:rFonts w:cstheme="minorHAnsi"/>
              </w:rPr>
              <w:t>Illinois</w:t>
            </w:r>
          </w:p>
        </w:tc>
        <w:tc>
          <w:tcPr>
            <w:tcW w:w="1350" w:type="dxa"/>
            <w:noWrap/>
            <w:hideMark/>
          </w:tcPr>
          <w:p w:rsidR="002B2E31" w:rsidRPr="00151881" w:rsidP="006D0304" w14:paraId="068BA3E8" w14:textId="77777777">
            <w:pPr>
              <w:jc w:val="right"/>
              <w:rPr>
                <w:rFonts w:cstheme="minorHAnsi"/>
              </w:rPr>
            </w:pPr>
            <w:r w:rsidRPr="00151881">
              <w:rPr>
                <w:rFonts w:cstheme="minorHAnsi"/>
              </w:rPr>
              <w:t>5</w:t>
            </w:r>
          </w:p>
        </w:tc>
        <w:tc>
          <w:tcPr>
            <w:tcW w:w="2610" w:type="dxa"/>
            <w:noWrap/>
            <w:hideMark/>
          </w:tcPr>
          <w:p w:rsidR="002B2E31" w:rsidRPr="00151881" w:rsidP="006D0304" w14:paraId="361BAB29" w14:textId="77777777">
            <w:pPr>
              <w:jc w:val="right"/>
              <w:rPr>
                <w:rFonts w:cstheme="minorHAnsi"/>
              </w:rPr>
            </w:pPr>
            <w:r w:rsidRPr="00151881">
              <w:rPr>
                <w:rFonts w:cstheme="minorHAnsi"/>
              </w:rPr>
              <w:t>1</w:t>
            </w:r>
          </w:p>
        </w:tc>
      </w:tr>
      <w:tr w14:paraId="4002AB19" w14:textId="77777777" w:rsidTr="006D0304">
        <w:tblPrEx>
          <w:tblW w:w="5395" w:type="dxa"/>
          <w:jc w:val="center"/>
          <w:tblLook w:val="04A0"/>
        </w:tblPrEx>
        <w:trPr>
          <w:trHeight w:val="255"/>
          <w:jc w:val="center"/>
        </w:trPr>
        <w:tc>
          <w:tcPr>
            <w:tcW w:w="1435" w:type="dxa"/>
            <w:noWrap/>
            <w:hideMark/>
          </w:tcPr>
          <w:p w:rsidR="002B2E31" w:rsidRPr="00151881" w:rsidP="006D0304" w14:paraId="41202271" w14:textId="77777777">
            <w:pPr>
              <w:rPr>
                <w:rFonts w:cstheme="minorHAnsi"/>
              </w:rPr>
            </w:pPr>
            <w:r w:rsidRPr="00151881">
              <w:rPr>
                <w:rFonts w:cstheme="minorHAnsi"/>
              </w:rPr>
              <w:t>Indiana</w:t>
            </w:r>
          </w:p>
        </w:tc>
        <w:tc>
          <w:tcPr>
            <w:tcW w:w="1350" w:type="dxa"/>
            <w:noWrap/>
            <w:hideMark/>
          </w:tcPr>
          <w:p w:rsidR="002B2E31" w:rsidRPr="00151881" w:rsidP="006D0304" w14:paraId="08D62BA9" w14:textId="77777777">
            <w:pPr>
              <w:jc w:val="right"/>
              <w:rPr>
                <w:rFonts w:cstheme="minorHAnsi"/>
              </w:rPr>
            </w:pPr>
            <w:r w:rsidRPr="00151881">
              <w:rPr>
                <w:rFonts w:cstheme="minorHAnsi"/>
              </w:rPr>
              <w:t>5</w:t>
            </w:r>
          </w:p>
        </w:tc>
        <w:tc>
          <w:tcPr>
            <w:tcW w:w="2610" w:type="dxa"/>
            <w:noWrap/>
            <w:hideMark/>
          </w:tcPr>
          <w:p w:rsidR="002B2E31" w:rsidRPr="00151881" w:rsidP="006D0304" w14:paraId="1B55A75F" w14:textId="77777777">
            <w:pPr>
              <w:jc w:val="right"/>
              <w:rPr>
                <w:rFonts w:cstheme="minorHAnsi"/>
              </w:rPr>
            </w:pPr>
            <w:r w:rsidRPr="00151881">
              <w:rPr>
                <w:rFonts w:cstheme="minorHAnsi"/>
              </w:rPr>
              <w:t>1</w:t>
            </w:r>
          </w:p>
        </w:tc>
      </w:tr>
      <w:tr w14:paraId="16058296" w14:textId="77777777" w:rsidTr="006D0304">
        <w:tblPrEx>
          <w:tblW w:w="5395" w:type="dxa"/>
          <w:jc w:val="center"/>
          <w:tblLook w:val="04A0"/>
        </w:tblPrEx>
        <w:trPr>
          <w:trHeight w:val="255"/>
          <w:jc w:val="center"/>
        </w:trPr>
        <w:tc>
          <w:tcPr>
            <w:tcW w:w="1435" w:type="dxa"/>
            <w:noWrap/>
            <w:hideMark/>
          </w:tcPr>
          <w:p w:rsidR="002B2E31" w:rsidRPr="00151881" w:rsidP="006D0304" w14:paraId="416AB1C7" w14:textId="77777777">
            <w:pPr>
              <w:rPr>
                <w:rFonts w:cstheme="minorHAnsi"/>
              </w:rPr>
            </w:pPr>
            <w:r w:rsidRPr="00151881">
              <w:rPr>
                <w:rFonts w:cstheme="minorHAnsi"/>
              </w:rPr>
              <w:t>Maryland</w:t>
            </w:r>
          </w:p>
        </w:tc>
        <w:tc>
          <w:tcPr>
            <w:tcW w:w="1350" w:type="dxa"/>
            <w:noWrap/>
            <w:hideMark/>
          </w:tcPr>
          <w:p w:rsidR="002B2E31" w:rsidRPr="00151881" w:rsidP="006D0304" w14:paraId="3532F503" w14:textId="77777777">
            <w:pPr>
              <w:jc w:val="right"/>
              <w:rPr>
                <w:rFonts w:cstheme="minorHAnsi"/>
              </w:rPr>
            </w:pPr>
            <w:r w:rsidRPr="00151881">
              <w:rPr>
                <w:rFonts w:cstheme="minorHAnsi"/>
              </w:rPr>
              <w:t>3</w:t>
            </w:r>
          </w:p>
        </w:tc>
        <w:tc>
          <w:tcPr>
            <w:tcW w:w="2610" w:type="dxa"/>
            <w:noWrap/>
            <w:hideMark/>
          </w:tcPr>
          <w:p w:rsidR="002B2E31" w:rsidRPr="00151881" w:rsidP="006D0304" w14:paraId="7EEE4622" w14:textId="77777777">
            <w:pPr>
              <w:jc w:val="right"/>
              <w:rPr>
                <w:rFonts w:cstheme="minorHAnsi"/>
              </w:rPr>
            </w:pPr>
            <w:r w:rsidRPr="00151881">
              <w:rPr>
                <w:rFonts w:cstheme="minorHAnsi"/>
              </w:rPr>
              <w:t>2</w:t>
            </w:r>
          </w:p>
        </w:tc>
      </w:tr>
      <w:tr w14:paraId="640C1437" w14:textId="77777777" w:rsidTr="006D0304">
        <w:tblPrEx>
          <w:tblW w:w="5395" w:type="dxa"/>
          <w:jc w:val="center"/>
          <w:tblLook w:val="04A0"/>
        </w:tblPrEx>
        <w:trPr>
          <w:trHeight w:val="255"/>
          <w:jc w:val="center"/>
        </w:trPr>
        <w:tc>
          <w:tcPr>
            <w:tcW w:w="1435" w:type="dxa"/>
            <w:noWrap/>
            <w:hideMark/>
          </w:tcPr>
          <w:p w:rsidR="002B2E31" w:rsidRPr="00151881" w:rsidP="006D0304" w14:paraId="6C6F6E42" w14:textId="77777777">
            <w:pPr>
              <w:rPr>
                <w:rFonts w:cstheme="minorHAnsi"/>
              </w:rPr>
            </w:pPr>
            <w:r w:rsidRPr="00151881">
              <w:rPr>
                <w:rFonts w:cstheme="minorHAnsi"/>
              </w:rPr>
              <w:t>Michigan</w:t>
            </w:r>
          </w:p>
        </w:tc>
        <w:tc>
          <w:tcPr>
            <w:tcW w:w="1350" w:type="dxa"/>
            <w:noWrap/>
            <w:hideMark/>
          </w:tcPr>
          <w:p w:rsidR="002B2E31" w:rsidRPr="00151881" w:rsidP="006D0304" w14:paraId="09E5DBE8" w14:textId="77777777">
            <w:pPr>
              <w:jc w:val="right"/>
              <w:rPr>
                <w:rFonts w:cstheme="minorHAnsi"/>
              </w:rPr>
            </w:pPr>
            <w:r w:rsidRPr="00151881">
              <w:rPr>
                <w:rFonts w:cstheme="minorHAnsi"/>
              </w:rPr>
              <w:t>5</w:t>
            </w:r>
          </w:p>
        </w:tc>
        <w:tc>
          <w:tcPr>
            <w:tcW w:w="2610" w:type="dxa"/>
            <w:noWrap/>
            <w:hideMark/>
          </w:tcPr>
          <w:p w:rsidR="002B2E31" w:rsidRPr="00151881" w:rsidP="006D0304" w14:paraId="5232058F" w14:textId="77777777">
            <w:pPr>
              <w:jc w:val="right"/>
              <w:rPr>
                <w:rFonts w:cstheme="minorHAnsi"/>
              </w:rPr>
            </w:pPr>
            <w:r w:rsidRPr="00151881">
              <w:rPr>
                <w:rFonts w:cstheme="minorHAnsi"/>
              </w:rPr>
              <w:t>3</w:t>
            </w:r>
          </w:p>
        </w:tc>
      </w:tr>
      <w:tr w14:paraId="061A802F" w14:textId="77777777" w:rsidTr="006D0304">
        <w:tblPrEx>
          <w:tblW w:w="5395" w:type="dxa"/>
          <w:jc w:val="center"/>
          <w:tblLook w:val="04A0"/>
        </w:tblPrEx>
        <w:trPr>
          <w:trHeight w:val="255"/>
          <w:jc w:val="center"/>
        </w:trPr>
        <w:tc>
          <w:tcPr>
            <w:tcW w:w="1435" w:type="dxa"/>
            <w:noWrap/>
            <w:hideMark/>
          </w:tcPr>
          <w:p w:rsidR="002B2E31" w:rsidRPr="00151881" w:rsidP="006D0304" w14:paraId="3E7076F2" w14:textId="77777777">
            <w:pPr>
              <w:rPr>
                <w:rFonts w:cstheme="minorHAnsi"/>
              </w:rPr>
            </w:pPr>
            <w:r w:rsidRPr="00151881">
              <w:rPr>
                <w:rFonts w:cstheme="minorHAnsi"/>
              </w:rPr>
              <w:t>New Jersey</w:t>
            </w:r>
          </w:p>
        </w:tc>
        <w:tc>
          <w:tcPr>
            <w:tcW w:w="1350" w:type="dxa"/>
            <w:noWrap/>
            <w:hideMark/>
          </w:tcPr>
          <w:p w:rsidR="002B2E31" w:rsidRPr="00151881" w:rsidP="006D0304" w14:paraId="7B8FEA24" w14:textId="77777777">
            <w:pPr>
              <w:jc w:val="right"/>
              <w:rPr>
                <w:rFonts w:cstheme="minorHAnsi"/>
              </w:rPr>
            </w:pPr>
            <w:r w:rsidRPr="00151881">
              <w:rPr>
                <w:rFonts w:cstheme="minorHAnsi"/>
              </w:rPr>
              <w:t>2</w:t>
            </w:r>
          </w:p>
        </w:tc>
        <w:tc>
          <w:tcPr>
            <w:tcW w:w="2610" w:type="dxa"/>
            <w:noWrap/>
            <w:hideMark/>
          </w:tcPr>
          <w:p w:rsidR="002B2E31" w:rsidRPr="00151881" w:rsidP="006D0304" w14:paraId="5B166B2D" w14:textId="77777777">
            <w:pPr>
              <w:jc w:val="right"/>
              <w:rPr>
                <w:rFonts w:cstheme="minorHAnsi"/>
              </w:rPr>
            </w:pPr>
            <w:r w:rsidRPr="00151881">
              <w:rPr>
                <w:rFonts w:cstheme="minorHAnsi"/>
              </w:rPr>
              <w:t>2</w:t>
            </w:r>
          </w:p>
        </w:tc>
      </w:tr>
      <w:tr w14:paraId="5B48E12A" w14:textId="77777777" w:rsidTr="006D0304">
        <w:tblPrEx>
          <w:tblW w:w="5395" w:type="dxa"/>
          <w:jc w:val="center"/>
          <w:tblLook w:val="04A0"/>
        </w:tblPrEx>
        <w:trPr>
          <w:trHeight w:val="255"/>
          <w:jc w:val="center"/>
        </w:trPr>
        <w:tc>
          <w:tcPr>
            <w:tcW w:w="1435" w:type="dxa"/>
            <w:noWrap/>
            <w:hideMark/>
          </w:tcPr>
          <w:p w:rsidR="002B2E31" w:rsidRPr="00151881" w:rsidP="006D0304" w14:paraId="41B42E97" w14:textId="77777777">
            <w:pPr>
              <w:rPr>
                <w:rFonts w:cstheme="minorHAnsi"/>
              </w:rPr>
            </w:pPr>
            <w:r w:rsidRPr="00151881">
              <w:rPr>
                <w:rFonts w:cstheme="minorHAnsi"/>
              </w:rPr>
              <w:t>Nevada</w:t>
            </w:r>
          </w:p>
        </w:tc>
        <w:tc>
          <w:tcPr>
            <w:tcW w:w="1350" w:type="dxa"/>
            <w:noWrap/>
            <w:hideMark/>
          </w:tcPr>
          <w:p w:rsidR="002B2E31" w:rsidRPr="00151881" w:rsidP="006D0304" w14:paraId="386C3471" w14:textId="77777777">
            <w:pPr>
              <w:jc w:val="right"/>
              <w:rPr>
                <w:rFonts w:cstheme="minorHAnsi"/>
              </w:rPr>
            </w:pPr>
            <w:r w:rsidRPr="00151881">
              <w:rPr>
                <w:rFonts w:cstheme="minorHAnsi"/>
              </w:rPr>
              <w:t>9</w:t>
            </w:r>
          </w:p>
        </w:tc>
        <w:tc>
          <w:tcPr>
            <w:tcW w:w="2610" w:type="dxa"/>
            <w:noWrap/>
            <w:hideMark/>
          </w:tcPr>
          <w:p w:rsidR="002B2E31" w:rsidRPr="00151881" w:rsidP="006D0304" w14:paraId="2A24A7DF" w14:textId="77777777">
            <w:pPr>
              <w:jc w:val="right"/>
              <w:rPr>
                <w:rFonts w:cstheme="minorHAnsi"/>
              </w:rPr>
            </w:pPr>
            <w:r w:rsidRPr="00151881">
              <w:rPr>
                <w:rFonts w:cstheme="minorHAnsi"/>
              </w:rPr>
              <w:t>1</w:t>
            </w:r>
          </w:p>
        </w:tc>
      </w:tr>
      <w:tr w14:paraId="447BF15A" w14:textId="77777777" w:rsidTr="006D0304">
        <w:tblPrEx>
          <w:tblW w:w="5395" w:type="dxa"/>
          <w:jc w:val="center"/>
          <w:tblLook w:val="04A0"/>
        </w:tblPrEx>
        <w:trPr>
          <w:trHeight w:val="255"/>
          <w:jc w:val="center"/>
        </w:trPr>
        <w:tc>
          <w:tcPr>
            <w:tcW w:w="1435" w:type="dxa"/>
            <w:noWrap/>
            <w:hideMark/>
          </w:tcPr>
          <w:p w:rsidR="002B2E31" w:rsidRPr="00151881" w:rsidP="006D0304" w14:paraId="15F2E938" w14:textId="77777777">
            <w:pPr>
              <w:rPr>
                <w:rFonts w:cstheme="minorHAnsi"/>
              </w:rPr>
            </w:pPr>
            <w:r w:rsidRPr="00151881">
              <w:rPr>
                <w:rFonts w:cstheme="minorHAnsi"/>
              </w:rPr>
              <w:t>New York</w:t>
            </w:r>
          </w:p>
        </w:tc>
        <w:tc>
          <w:tcPr>
            <w:tcW w:w="1350" w:type="dxa"/>
            <w:noWrap/>
            <w:hideMark/>
          </w:tcPr>
          <w:p w:rsidR="002B2E31" w:rsidRPr="00151881" w:rsidP="006D0304" w14:paraId="22E9BE78" w14:textId="77777777">
            <w:pPr>
              <w:jc w:val="right"/>
              <w:rPr>
                <w:rFonts w:cstheme="minorHAnsi"/>
              </w:rPr>
            </w:pPr>
            <w:r w:rsidRPr="00151881">
              <w:rPr>
                <w:rFonts w:cstheme="minorHAnsi"/>
              </w:rPr>
              <w:t>2</w:t>
            </w:r>
          </w:p>
        </w:tc>
        <w:tc>
          <w:tcPr>
            <w:tcW w:w="2610" w:type="dxa"/>
            <w:noWrap/>
            <w:hideMark/>
          </w:tcPr>
          <w:p w:rsidR="002B2E31" w:rsidRPr="00151881" w:rsidP="006D0304" w14:paraId="7C3CD31D" w14:textId="77777777">
            <w:pPr>
              <w:jc w:val="right"/>
              <w:rPr>
                <w:rFonts w:cstheme="minorHAnsi"/>
              </w:rPr>
            </w:pPr>
            <w:r w:rsidRPr="00151881">
              <w:rPr>
                <w:rFonts w:cstheme="minorHAnsi"/>
              </w:rPr>
              <w:t>1</w:t>
            </w:r>
          </w:p>
        </w:tc>
      </w:tr>
      <w:tr w14:paraId="063FEC6F" w14:textId="77777777" w:rsidTr="006D0304">
        <w:tblPrEx>
          <w:tblW w:w="5395" w:type="dxa"/>
          <w:jc w:val="center"/>
          <w:tblLook w:val="04A0"/>
        </w:tblPrEx>
        <w:trPr>
          <w:trHeight w:val="255"/>
          <w:jc w:val="center"/>
        </w:trPr>
        <w:tc>
          <w:tcPr>
            <w:tcW w:w="1435" w:type="dxa"/>
            <w:noWrap/>
            <w:hideMark/>
          </w:tcPr>
          <w:p w:rsidR="002B2E31" w:rsidRPr="00151881" w:rsidP="006D0304" w14:paraId="61E6E03C" w14:textId="77777777">
            <w:pPr>
              <w:rPr>
                <w:rFonts w:cstheme="minorHAnsi"/>
              </w:rPr>
            </w:pPr>
            <w:r w:rsidRPr="00151881">
              <w:rPr>
                <w:rFonts w:cstheme="minorHAnsi"/>
              </w:rPr>
              <w:t>Ohio</w:t>
            </w:r>
          </w:p>
        </w:tc>
        <w:tc>
          <w:tcPr>
            <w:tcW w:w="1350" w:type="dxa"/>
            <w:noWrap/>
            <w:hideMark/>
          </w:tcPr>
          <w:p w:rsidR="002B2E31" w:rsidRPr="00151881" w:rsidP="006D0304" w14:paraId="71355621" w14:textId="77777777">
            <w:pPr>
              <w:jc w:val="right"/>
              <w:rPr>
                <w:rFonts w:cstheme="minorHAnsi"/>
              </w:rPr>
            </w:pPr>
            <w:r w:rsidRPr="00151881">
              <w:rPr>
                <w:rFonts w:cstheme="minorHAnsi"/>
              </w:rPr>
              <w:t>5</w:t>
            </w:r>
          </w:p>
        </w:tc>
        <w:tc>
          <w:tcPr>
            <w:tcW w:w="2610" w:type="dxa"/>
            <w:noWrap/>
            <w:hideMark/>
          </w:tcPr>
          <w:p w:rsidR="002B2E31" w:rsidRPr="00151881" w:rsidP="006D0304" w14:paraId="26362541" w14:textId="77777777">
            <w:pPr>
              <w:jc w:val="right"/>
              <w:rPr>
                <w:rFonts w:cstheme="minorHAnsi"/>
              </w:rPr>
            </w:pPr>
            <w:r w:rsidRPr="00151881">
              <w:rPr>
                <w:rFonts w:cstheme="minorHAnsi"/>
              </w:rPr>
              <w:t>1</w:t>
            </w:r>
          </w:p>
        </w:tc>
      </w:tr>
      <w:tr w14:paraId="77873D8B" w14:textId="77777777" w:rsidTr="006D0304">
        <w:tblPrEx>
          <w:tblW w:w="5395" w:type="dxa"/>
          <w:jc w:val="center"/>
          <w:tblLook w:val="04A0"/>
        </w:tblPrEx>
        <w:trPr>
          <w:trHeight w:val="255"/>
          <w:jc w:val="center"/>
        </w:trPr>
        <w:tc>
          <w:tcPr>
            <w:tcW w:w="1435" w:type="dxa"/>
            <w:noWrap/>
            <w:hideMark/>
          </w:tcPr>
          <w:p w:rsidR="002B2E31" w:rsidRPr="00151881" w:rsidP="006D0304" w14:paraId="5D5E0C2E" w14:textId="77777777">
            <w:pPr>
              <w:rPr>
                <w:rFonts w:cstheme="minorHAnsi"/>
              </w:rPr>
            </w:pPr>
            <w:r w:rsidRPr="00151881">
              <w:rPr>
                <w:rFonts w:cstheme="minorHAnsi"/>
              </w:rPr>
              <w:t>Pennsylvania</w:t>
            </w:r>
          </w:p>
        </w:tc>
        <w:tc>
          <w:tcPr>
            <w:tcW w:w="1350" w:type="dxa"/>
            <w:noWrap/>
            <w:hideMark/>
          </w:tcPr>
          <w:p w:rsidR="002B2E31" w:rsidRPr="00151881" w:rsidP="006D0304" w14:paraId="7C0620D7" w14:textId="77777777">
            <w:pPr>
              <w:jc w:val="right"/>
              <w:rPr>
                <w:rFonts w:cstheme="minorHAnsi"/>
              </w:rPr>
            </w:pPr>
            <w:r w:rsidRPr="00151881">
              <w:rPr>
                <w:rFonts w:cstheme="minorHAnsi"/>
              </w:rPr>
              <w:t>3</w:t>
            </w:r>
          </w:p>
        </w:tc>
        <w:tc>
          <w:tcPr>
            <w:tcW w:w="2610" w:type="dxa"/>
            <w:noWrap/>
            <w:hideMark/>
          </w:tcPr>
          <w:p w:rsidR="002B2E31" w:rsidRPr="00151881" w:rsidP="006D0304" w14:paraId="1226DA09" w14:textId="77777777">
            <w:pPr>
              <w:jc w:val="right"/>
              <w:rPr>
                <w:rFonts w:cstheme="minorHAnsi"/>
              </w:rPr>
            </w:pPr>
            <w:r w:rsidRPr="00151881">
              <w:rPr>
                <w:rFonts w:cstheme="minorHAnsi"/>
              </w:rPr>
              <w:t>1</w:t>
            </w:r>
          </w:p>
        </w:tc>
      </w:tr>
      <w:tr w14:paraId="31DCBF83" w14:textId="77777777" w:rsidTr="006D0304">
        <w:tblPrEx>
          <w:tblW w:w="5395" w:type="dxa"/>
          <w:jc w:val="center"/>
          <w:tblLook w:val="04A0"/>
        </w:tblPrEx>
        <w:trPr>
          <w:trHeight w:val="255"/>
          <w:jc w:val="center"/>
        </w:trPr>
        <w:tc>
          <w:tcPr>
            <w:tcW w:w="1435" w:type="dxa"/>
            <w:noWrap/>
            <w:hideMark/>
          </w:tcPr>
          <w:p w:rsidR="002B2E31" w:rsidRPr="00151881" w:rsidP="006D0304" w14:paraId="1A50F921" w14:textId="77777777">
            <w:pPr>
              <w:rPr>
                <w:rFonts w:cstheme="minorHAnsi"/>
              </w:rPr>
            </w:pPr>
            <w:r w:rsidRPr="00151881">
              <w:rPr>
                <w:rFonts w:cstheme="minorHAnsi"/>
              </w:rPr>
              <w:t>Texas</w:t>
            </w:r>
          </w:p>
        </w:tc>
        <w:tc>
          <w:tcPr>
            <w:tcW w:w="1350" w:type="dxa"/>
            <w:noWrap/>
            <w:hideMark/>
          </w:tcPr>
          <w:p w:rsidR="002B2E31" w:rsidRPr="00151881" w:rsidP="006D0304" w14:paraId="2F7235BD" w14:textId="77777777">
            <w:pPr>
              <w:jc w:val="right"/>
              <w:rPr>
                <w:rFonts w:cstheme="minorHAnsi"/>
              </w:rPr>
            </w:pPr>
            <w:r w:rsidRPr="00151881">
              <w:rPr>
                <w:rFonts w:cstheme="minorHAnsi"/>
              </w:rPr>
              <w:t>6</w:t>
            </w:r>
          </w:p>
        </w:tc>
        <w:tc>
          <w:tcPr>
            <w:tcW w:w="2610" w:type="dxa"/>
            <w:noWrap/>
            <w:hideMark/>
          </w:tcPr>
          <w:p w:rsidR="002B2E31" w:rsidRPr="00151881" w:rsidP="006D0304" w14:paraId="4B8469D4" w14:textId="77777777">
            <w:pPr>
              <w:jc w:val="right"/>
              <w:rPr>
                <w:rFonts w:cstheme="minorHAnsi"/>
              </w:rPr>
            </w:pPr>
            <w:r w:rsidRPr="00151881">
              <w:rPr>
                <w:rFonts w:cstheme="minorHAnsi"/>
              </w:rPr>
              <w:t>3</w:t>
            </w:r>
          </w:p>
        </w:tc>
      </w:tr>
      <w:tr w14:paraId="18CF65F6" w14:textId="77777777" w:rsidTr="006D0304">
        <w:tblPrEx>
          <w:tblW w:w="5395" w:type="dxa"/>
          <w:jc w:val="center"/>
          <w:tblLook w:val="04A0"/>
        </w:tblPrEx>
        <w:trPr>
          <w:trHeight w:val="255"/>
          <w:jc w:val="center"/>
        </w:trPr>
        <w:tc>
          <w:tcPr>
            <w:tcW w:w="1435" w:type="dxa"/>
            <w:noWrap/>
            <w:hideMark/>
          </w:tcPr>
          <w:p w:rsidR="002B2E31" w:rsidRPr="00151881" w:rsidP="006D0304" w14:paraId="7CABC1BA" w14:textId="77777777">
            <w:pPr>
              <w:rPr>
                <w:rFonts w:cstheme="minorHAnsi"/>
              </w:rPr>
            </w:pPr>
            <w:r w:rsidRPr="00151881">
              <w:rPr>
                <w:rFonts w:cstheme="minorHAnsi"/>
              </w:rPr>
              <w:t>Utah</w:t>
            </w:r>
          </w:p>
        </w:tc>
        <w:tc>
          <w:tcPr>
            <w:tcW w:w="1350" w:type="dxa"/>
            <w:noWrap/>
            <w:hideMark/>
          </w:tcPr>
          <w:p w:rsidR="002B2E31" w:rsidRPr="00151881" w:rsidP="006D0304" w14:paraId="6434052A" w14:textId="77777777">
            <w:pPr>
              <w:jc w:val="right"/>
              <w:rPr>
                <w:rFonts w:cstheme="minorHAnsi"/>
              </w:rPr>
            </w:pPr>
            <w:r w:rsidRPr="00151881">
              <w:rPr>
                <w:rFonts w:cstheme="minorHAnsi"/>
              </w:rPr>
              <w:t>9</w:t>
            </w:r>
          </w:p>
        </w:tc>
        <w:tc>
          <w:tcPr>
            <w:tcW w:w="2610" w:type="dxa"/>
            <w:noWrap/>
            <w:hideMark/>
          </w:tcPr>
          <w:p w:rsidR="002B2E31" w:rsidRPr="00151881" w:rsidP="006D0304" w14:paraId="3AB6FB31" w14:textId="77777777">
            <w:pPr>
              <w:jc w:val="right"/>
              <w:rPr>
                <w:rFonts w:cstheme="minorHAnsi"/>
              </w:rPr>
            </w:pPr>
            <w:r w:rsidRPr="00151881">
              <w:rPr>
                <w:rFonts w:cstheme="minorHAnsi"/>
              </w:rPr>
              <w:t>1</w:t>
            </w:r>
          </w:p>
        </w:tc>
      </w:tr>
      <w:tr w14:paraId="6E9FEBC9" w14:textId="77777777" w:rsidTr="006D0304">
        <w:tblPrEx>
          <w:tblW w:w="5395" w:type="dxa"/>
          <w:jc w:val="center"/>
          <w:tblLook w:val="04A0"/>
        </w:tblPrEx>
        <w:trPr>
          <w:trHeight w:val="255"/>
          <w:jc w:val="center"/>
        </w:trPr>
        <w:tc>
          <w:tcPr>
            <w:tcW w:w="1435" w:type="dxa"/>
            <w:noWrap/>
            <w:hideMark/>
          </w:tcPr>
          <w:p w:rsidR="002B2E31" w:rsidRPr="00151881" w:rsidP="006D0304" w14:paraId="67875C11" w14:textId="77777777">
            <w:pPr>
              <w:rPr>
                <w:rFonts w:cstheme="minorHAnsi"/>
              </w:rPr>
            </w:pPr>
            <w:r w:rsidRPr="00151881">
              <w:rPr>
                <w:rFonts w:cstheme="minorHAnsi"/>
              </w:rPr>
              <w:t>Wisconsin</w:t>
            </w:r>
          </w:p>
        </w:tc>
        <w:tc>
          <w:tcPr>
            <w:tcW w:w="1350" w:type="dxa"/>
            <w:noWrap/>
            <w:hideMark/>
          </w:tcPr>
          <w:p w:rsidR="002B2E31" w:rsidRPr="00151881" w:rsidP="006D0304" w14:paraId="4EE3DFE0" w14:textId="77777777">
            <w:pPr>
              <w:jc w:val="right"/>
              <w:rPr>
                <w:rFonts w:cstheme="minorHAnsi"/>
              </w:rPr>
            </w:pPr>
            <w:r w:rsidRPr="00151881">
              <w:rPr>
                <w:rFonts w:cstheme="minorHAnsi"/>
              </w:rPr>
              <w:t>5</w:t>
            </w:r>
          </w:p>
        </w:tc>
        <w:tc>
          <w:tcPr>
            <w:tcW w:w="2610" w:type="dxa"/>
            <w:noWrap/>
            <w:hideMark/>
          </w:tcPr>
          <w:p w:rsidR="002B2E31" w:rsidRPr="00151881" w:rsidP="006D0304" w14:paraId="17107D34" w14:textId="77777777">
            <w:pPr>
              <w:jc w:val="right"/>
              <w:rPr>
                <w:rFonts w:cstheme="minorHAnsi"/>
              </w:rPr>
            </w:pPr>
            <w:r w:rsidRPr="00151881">
              <w:rPr>
                <w:rFonts w:cstheme="minorHAnsi"/>
              </w:rPr>
              <w:t>3</w:t>
            </w:r>
          </w:p>
        </w:tc>
      </w:tr>
    </w:tbl>
    <w:p w:rsidR="002B2E31" w:rsidRPr="00151881" w:rsidP="002B2E31" w14:paraId="08256B32" w14:textId="77777777">
      <w:pPr>
        <w:rPr>
          <w:rFonts w:cstheme="minorHAnsi"/>
        </w:rPr>
      </w:pPr>
    </w:p>
    <w:p w:rsidR="002B2E31" w:rsidRPr="00151881" w:rsidP="00587C1E" w14:paraId="1E8E034E" w14:textId="44849844">
      <w:pPr>
        <w:rPr>
          <w:rFonts w:cstheme="minorHAnsi"/>
        </w:rPr>
      </w:pPr>
      <w:r w:rsidRPr="00151881">
        <w:rPr>
          <w:rFonts w:cstheme="minorHAnsi"/>
        </w:rPr>
        <w:t xml:space="preserve">Table 3 lists the 52 nonattainment areas for the 2015 </w:t>
      </w:r>
      <w:r>
        <w:rPr>
          <w:rFonts w:cstheme="minorHAnsi"/>
        </w:rPr>
        <w:t>ozone</w:t>
      </w:r>
      <w:r w:rsidRPr="00151881">
        <w:rPr>
          <w:rFonts w:cstheme="minorHAnsi"/>
        </w:rPr>
        <w:t xml:space="preserve"> standards and their current status. The analysis estimates the burden for only those states with actions due during this ICR to prepare and submit the SIP revisions required for their respective nonattainment areas, or portions of nonattainment </w:t>
      </w:r>
      <w:r w:rsidRPr="00151881">
        <w:rPr>
          <w:rFonts w:cstheme="minorHAnsi"/>
        </w:rPr>
        <w:t>areas, based on the area’s classification.</w:t>
      </w:r>
      <w:r>
        <w:rPr>
          <w:rStyle w:val="FootnoteReference"/>
          <w:rFonts w:cstheme="minorHAnsi"/>
        </w:rPr>
        <w:footnoteReference w:id="5"/>
      </w:r>
      <w:r w:rsidRPr="00151881">
        <w:rPr>
          <w:rFonts w:cstheme="minorHAnsi"/>
        </w:rPr>
        <w:t xml:space="preserve"> For the 29 nonattainment areas identified for which states are required to develop and submit SIP revisions for implementing the 2015 </w:t>
      </w:r>
      <w:r>
        <w:rPr>
          <w:rFonts w:cstheme="minorHAnsi"/>
        </w:rPr>
        <w:t>ozone</w:t>
      </w:r>
      <w:r w:rsidRPr="00151881">
        <w:rPr>
          <w:rFonts w:cstheme="minorHAnsi"/>
        </w:rPr>
        <w:t xml:space="preserve"> NAAQS, there are </w:t>
      </w:r>
      <w:r>
        <w:rPr>
          <w:rFonts w:cstheme="minorHAnsi"/>
        </w:rPr>
        <w:t>five</w:t>
      </w:r>
      <w:r w:rsidRPr="00151881">
        <w:rPr>
          <w:rFonts w:cstheme="minorHAnsi"/>
        </w:rPr>
        <w:t xml:space="preserve"> multi-state nonattainment areas, each of which requires submission from multiple affected states. The states with areas classified Moderate or higher are subject to the attainment demonstration</w:t>
      </w:r>
      <w:r>
        <w:rPr>
          <w:rStyle w:val="FootnoteReference"/>
          <w:rFonts w:cstheme="minorHAnsi"/>
        </w:rPr>
        <w:footnoteReference w:id="6"/>
      </w:r>
      <w:r w:rsidRPr="00151881">
        <w:rPr>
          <w:rFonts w:cstheme="minorHAnsi"/>
        </w:rPr>
        <w:t>, RACT SIP submission, and RFP SIP submission requirements. Therefore, the 20 Moderate areas that may be reclassified to Serious do not include those requirements in their estimates.</w:t>
      </w:r>
    </w:p>
    <w:p w:rsidR="002B2E31" w:rsidRPr="00151881" w:rsidP="00587C1E" w14:paraId="270F111A" w14:textId="2DD23B20">
      <w:pPr>
        <w:rPr>
          <w:rFonts w:cstheme="minorHAnsi"/>
        </w:rPr>
      </w:pPr>
      <w:r>
        <w:rPr>
          <w:rFonts w:cstheme="minorHAnsi"/>
        </w:rPr>
        <w:t>Other entities may</w:t>
      </w:r>
      <w:r w:rsidRPr="00151881">
        <w:rPr>
          <w:rFonts w:cstheme="minorHAnsi"/>
        </w:rPr>
        <w:t xml:space="preserve"> be indirectly affected by state SIP submissions, as they may comment on the draft submissions before they are forwarded to EPA’s Regional Offices.</w:t>
      </w:r>
      <w:r w:rsidRPr="00EE4D40">
        <w:rPr>
          <w:rFonts w:cstheme="minorHAnsi"/>
        </w:rPr>
        <w:t xml:space="preserve">  </w:t>
      </w:r>
      <w:r w:rsidRPr="00151881">
        <w:rPr>
          <w:rFonts w:cstheme="minorHAnsi"/>
        </w:rPr>
        <w:t>These include potentially regulated entities, representatives of special interest groups, and individuals.</w:t>
      </w:r>
      <w:r w:rsidRPr="00EE4D40">
        <w:rPr>
          <w:rFonts w:cstheme="minorHAnsi"/>
        </w:rPr>
        <w:t xml:space="preserve">  </w:t>
      </w:r>
      <w:r w:rsidRPr="00151881">
        <w:rPr>
          <w:rFonts w:cstheme="minorHAnsi"/>
        </w:rPr>
        <w:t xml:space="preserve">Consideration of the burden on these entities is beyond the scope of the Paperwork Reduction Act. </w:t>
      </w:r>
    </w:p>
    <w:p w:rsidR="002B2E31" w:rsidRPr="00151881" w:rsidP="00587C1E" w14:paraId="65AC20E8" w14:textId="77777777">
      <w:pPr>
        <w:rPr>
          <w:rFonts w:cstheme="minorHAnsi"/>
          <w:b/>
          <w:bCs/>
        </w:rPr>
      </w:pPr>
      <w:r w:rsidRPr="00151881">
        <w:rPr>
          <w:rFonts w:cstheme="minorHAnsi"/>
          <w:b/>
        </w:rPr>
        <w:t>Table 3.</w:t>
      </w:r>
      <w:r w:rsidRPr="00EE4D40">
        <w:rPr>
          <w:rFonts w:cstheme="minorHAnsi"/>
          <w:b/>
        </w:rPr>
        <w:t xml:space="preserve">  </w:t>
      </w:r>
      <w:r w:rsidRPr="00151881">
        <w:rPr>
          <w:rFonts w:cstheme="minorHAnsi"/>
          <w:b/>
        </w:rPr>
        <w:t xml:space="preserve">Classifications of </w:t>
      </w:r>
      <w:r w:rsidRPr="00151881">
        <w:rPr>
          <w:rFonts w:cstheme="minorHAnsi"/>
          <w:b/>
          <w:bCs/>
        </w:rPr>
        <w:t xml:space="preserve">8-Hour </w:t>
      </w:r>
      <w:r>
        <w:rPr>
          <w:rFonts w:cstheme="minorHAnsi"/>
          <w:b/>
          <w:bCs/>
        </w:rPr>
        <w:t>Ozone</w:t>
      </w:r>
      <w:r w:rsidRPr="00151881">
        <w:rPr>
          <w:rFonts w:cstheme="minorHAnsi"/>
          <w:b/>
          <w:bCs/>
        </w:rPr>
        <w:t xml:space="preserve"> (2015) Nonattainment Areas</w:t>
      </w:r>
      <w:r>
        <w:rPr>
          <w:rStyle w:val="FootnoteReference"/>
          <w:rFonts w:cstheme="minorHAnsi"/>
          <w:b/>
          <w:bCs/>
        </w:rPr>
        <w:footnoteReference w:id="7"/>
      </w:r>
    </w:p>
    <w:tbl>
      <w:tblPr>
        <w:tblStyle w:val="TableGrid"/>
        <w:tblW w:w="8275" w:type="dxa"/>
        <w:jc w:val="center"/>
        <w:tblLook w:val="04A0"/>
      </w:tblPr>
      <w:tblGrid>
        <w:gridCol w:w="3325"/>
        <w:gridCol w:w="2070"/>
        <w:gridCol w:w="2880"/>
      </w:tblGrid>
      <w:tr w14:paraId="3A95A822" w14:textId="77777777" w:rsidTr="006D0304">
        <w:tblPrEx>
          <w:tblW w:w="8275" w:type="dxa"/>
          <w:jc w:val="center"/>
          <w:tblLook w:val="04A0"/>
        </w:tblPrEx>
        <w:trPr>
          <w:trHeight w:val="765"/>
          <w:jc w:val="center"/>
        </w:trPr>
        <w:tc>
          <w:tcPr>
            <w:tcW w:w="3325" w:type="dxa"/>
            <w:hideMark/>
          </w:tcPr>
          <w:p w:rsidR="002B2E31" w:rsidRPr="00151881" w:rsidP="006D0304" w14:paraId="55FE4CC4" w14:textId="77777777">
            <w:pPr>
              <w:rPr>
                <w:rFonts w:cstheme="minorHAnsi"/>
                <w:b/>
                <w:bCs/>
                <w:color w:val="000000"/>
              </w:rPr>
            </w:pPr>
            <w:r w:rsidRPr="00151881">
              <w:rPr>
                <w:rFonts w:cstheme="minorHAnsi"/>
                <w:b/>
                <w:bCs/>
                <w:color w:val="000000"/>
              </w:rPr>
              <w:t>Area Name</w:t>
            </w:r>
          </w:p>
        </w:tc>
        <w:tc>
          <w:tcPr>
            <w:tcW w:w="2070" w:type="dxa"/>
            <w:hideMark/>
          </w:tcPr>
          <w:p w:rsidR="002B2E31" w:rsidRPr="00151881" w:rsidP="006D0304" w14:paraId="17D3EA8D" w14:textId="77777777">
            <w:pPr>
              <w:jc w:val="center"/>
              <w:rPr>
                <w:rFonts w:cstheme="minorHAnsi"/>
                <w:b/>
                <w:bCs/>
              </w:rPr>
            </w:pPr>
            <w:r w:rsidRPr="00151881">
              <w:rPr>
                <w:rFonts w:cstheme="minorHAnsi"/>
                <w:b/>
                <w:bCs/>
              </w:rPr>
              <w:t>Current Status</w:t>
            </w:r>
          </w:p>
        </w:tc>
        <w:tc>
          <w:tcPr>
            <w:tcW w:w="2880" w:type="dxa"/>
            <w:hideMark/>
          </w:tcPr>
          <w:p w:rsidR="002B2E31" w:rsidRPr="00151881" w:rsidP="006D0304" w14:paraId="37D9D38D" w14:textId="77777777">
            <w:pPr>
              <w:jc w:val="center"/>
              <w:rPr>
                <w:rFonts w:cstheme="minorHAnsi"/>
                <w:b/>
                <w:bCs/>
              </w:rPr>
            </w:pPr>
            <w:r w:rsidRPr="00151881">
              <w:rPr>
                <w:rFonts w:cstheme="minorHAnsi"/>
                <w:b/>
                <w:bCs/>
              </w:rPr>
              <w:t>Current Classification</w:t>
            </w:r>
          </w:p>
        </w:tc>
      </w:tr>
      <w:tr w14:paraId="0B9632BA" w14:textId="77777777" w:rsidTr="006D0304">
        <w:tblPrEx>
          <w:tblW w:w="8275" w:type="dxa"/>
          <w:jc w:val="center"/>
          <w:tblLook w:val="04A0"/>
        </w:tblPrEx>
        <w:trPr>
          <w:trHeight w:val="300"/>
          <w:jc w:val="center"/>
        </w:trPr>
        <w:tc>
          <w:tcPr>
            <w:tcW w:w="3325" w:type="dxa"/>
            <w:hideMark/>
          </w:tcPr>
          <w:p w:rsidR="002B2E31" w:rsidRPr="00151881" w:rsidP="006D0304" w14:paraId="1A5FE703" w14:textId="77777777">
            <w:pPr>
              <w:rPr>
                <w:rFonts w:cstheme="minorHAnsi"/>
              </w:rPr>
            </w:pPr>
            <w:r w:rsidRPr="00151881">
              <w:rPr>
                <w:rFonts w:cstheme="minorHAnsi"/>
              </w:rPr>
              <w:t>Los Angeles-South Coast Air Basin, CA</w:t>
            </w:r>
          </w:p>
        </w:tc>
        <w:tc>
          <w:tcPr>
            <w:tcW w:w="2070" w:type="dxa"/>
            <w:noWrap/>
            <w:hideMark/>
          </w:tcPr>
          <w:p w:rsidR="002B2E31" w:rsidRPr="00151881" w:rsidP="006D0304" w14:paraId="6C2E1C94"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00B4656" w14:textId="77777777">
            <w:pPr>
              <w:jc w:val="center"/>
              <w:rPr>
                <w:rFonts w:cstheme="minorHAnsi"/>
                <w:color w:val="151515"/>
              </w:rPr>
            </w:pPr>
            <w:r w:rsidRPr="00151881">
              <w:rPr>
                <w:rFonts w:cstheme="minorHAnsi"/>
                <w:color w:val="151515"/>
              </w:rPr>
              <w:t>Extreme</w:t>
            </w:r>
          </w:p>
        </w:tc>
      </w:tr>
      <w:tr w14:paraId="0A78BD7C" w14:textId="77777777" w:rsidTr="006D0304">
        <w:tblPrEx>
          <w:tblW w:w="8275" w:type="dxa"/>
          <w:jc w:val="center"/>
          <w:tblLook w:val="04A0"/>
        </w:tblPrEx>
        <w:trPr>
          <w:trHeight w:val="300"/>
          <w:jc w:val="center"/>
        </w:trPr>
        <w:tc>
          <w:tcPr>
            <w:tcW w:w="3325" w:type="dxa"/>
            <w:hideMark/>
          </w:tcPr>
          <w:p w:rsidR="002B2E31" w:rsidRPr="00151881" w:rsidP="006D0304" w14:paraId="1C24C91D" w14:textId="77777777">
            <w:pPr>
              <w:rPr>
                <w:rFonts w:cstheme="minorHAnsi"/>
              </w:rPr>
            </w:pPr>
            <w:r w:rsidRPr="00151881">
              <w:rPr>
                <w:rFonts w:cstheme="minorHAnsi"/>
              </w:rPr>
              <w:t>San Joaquin Valley, CA</w:t>
            </w:r>
          </w:p>
        </w:tc>
        <w:tc>
          <w:tcPr>
            <w:tcW w:w="2070" w:type="dxa"/>
            <w:noWrap/>
            <w:hideMark/>
          </w:tcPr>
          <w:p w:rsidR="002B2E31" w:rsidRPr="00151881" w:rsidP="006D0304" w14:paraId="4A44123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07B6FB2" w14:textId="77777777">
            <w:pPr>
              <w:jc w:val="center"/>
              <w:rPr>
                <w:rFonts w:cstheme="minorHAnsi"/>
                <w:color w:val="151515"/>
              </w:rPr>
            </w:pPr>
            <w:r w:rsidRPr="00151881">
              <w:rPr>
                <w:rFonts w:cstheme="minorHAnsi"/>
                <w:color w:val="151515"/>
              </w:rPr>
              <w:t>Extreme</w:t>
            </w:r>
          </w:p>
        </w:tc>
      </w:tr>
      <w:tr w14:paraId="26262429" w14:textId="77777777" w:rsidTr="006D0304">
        <w:tblPrEx>
          <w:tblW w:w="8275" w:type="dxa"/>
          <w:jc w:val="center"/>
          <w:tblLook w:val="04A0"/>
        </w:tblPrEx>
        <w:trPr>
          <w:trHeight w:val="525"/>
          <w:jc w:val="center"/>
        </w:trPr>
        <w:tc>
          <w:tcPr>
            <w:tcW w:w="3325" w:type="dxa"/>
            <w:hideMark/>
          </w:tcPr>
          <w:p w:rsidR="002B2E31" w:rsidRPr="00151881" w:rsidP="006D0304" w14:paraId="5509EBE7" w14:textId="77777777">
            <w:pPr>
              <w:rPr>
                <w:rFonts w:cstheme="minorHAnsi"/>
              </w:rPr>
            </w:pPr>
            <w:r w:rsidRPr="00151881">
              <w:rPr>
                <w:rFonts w:cstheme="minorHAnsi"/>
              </w:rPr>
              <w:t>Los Angeles-San Bernardino Counties (West Mojave Desert), CA</w:t>
            </w:r>
          </w:p>
        </w:tc>
        <w:tc>
          <w:tcPr>
            <w:tcW w:w="2070" w:type="dxa"/>
            <w:noWrap/>
            <w:hideMark/>
          </w:tcPr>
          <w:p w:rsidR="002B2E31" w:rsidRPr="00151881" w:rsidP="006D0304" w14:paraId="78ABDD0C"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744C1748" w14:textId="77777777">
            <w:pPr>
              <w:jc w:val="center"/>
              <w:rPr>
                <w:rFonts w:cstheme="minorHAnsi"/>
                <w:color w:val="151515"/>
              </w:rPr>
            </w:pPr>
            <w:r w:rsidRPr="00151881">
              <w:rPr>
                <w:rFonts w:cstheme="minorHAnsi"/>
                <w:color w:val="151515"/>
              </w:rPr>
              <w:t>Severe 15</w:t>
            </w:r>
          </w:p>
        </w:tc>
      </w:tr>
      <w:tr w14:paraId="313FAD1B" w14:textId="77777777" w:rsidTr="006D0304">
        <w:tblPrEx>
          <w:tblW w:w="8275" w:type="dxa"/>
          <w:jc w:val="center"/>
          <w:tblLook w:val="04A0"/>
        </w:tblPrEx>
        <w:trPr>
          <w:trHeight w:val="300"/>
          <w:jc w:val="center"/>
        </w:trPr>
        <w:tc>
          <w:tcPr>
            <w:tcW w:w="3325" w:type="dxa"/>
            <w:hideMark/>
          </w:tcPr>
          <w:p w:rsidR="002B2E31" w:rsidRPr="00151881" w:rsidP="006D0304" w14:paraId="20460E3D" w14:textId="77777777">
            <w:pPr>
              <w:rPr>
                <w:rFonts w:cstheme="minorHAnsi"/>
              </w:rPr>
            </w:pPr>
            <w:r w:rsidRPr="00151881">
              <w:rPr>
                <w:rFonts w:cstheme="minorHAnsi"/>
              </w:rPr>
              <w:t>Riverside County (Coachella Valley), CA</w:t>
            </w:r>
          </w:p>
        </w:tc>
        <w:tc>
          <w:tcPr>
            <w:tcW w:w="2070" w:type="dxa"/>
            <w:noWrap/>
            <w:hideMark/>
          </w:tcPr>
          <w:p w:rsidR="002B2E31" w:rsidRPr="00151881" w:rsidP="006D0304" w14:paraId="3A9D0FB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6713D0B" w14:textId="77777777">
            <w:pPr>
              <w:jc w:val="center"/>
              <w:rPr>
                <w:rFonts w:cstheme="minorHAnsi"/>
                <w:color w:val="151515"/>
              </w:rPr>
            </w:pPr>
            <w:r w:rsidRPr="00151881">
              <w:rPr>
                <w:rFonts w:cstheme="minorHAnsi"/>
                <w:color w:val="151515"/>
              </w:rPr>
              <w:t>Severe 15</w:t>
            </w:r>
          </w:p>
        </w:tc>
      </w:tr>
      <w:tr w14:paraId="01D0F330" w14:textId="77777777" w:rsidTr="006D0304">
        <w:tblPrEx>
          <w:tblW w:w="8275" w:type="dxa"/>
          <w:jc w:val="center"/>
          <w:tblLook w:val="04A0"/>
        </w:tblPrEx>
        <w:trPr>
          <w:trHeight w:val="300"/>
          <w:jc w:val="center"/>
        </w:trPr>
        <w:tc>
          <w:tcPr>
            <w:tcW w:w="3325" w:type="dxa"/>
            <w:hideMark/>
          </w:tcPr>
          <w:p w:rsidR="002B2E31" w:rsidRPr="00151881" w:rsidP="006D0304" w14:paraId="72E0C40A" w14:textId="77777777">
            <w:pPr>
              <w:rPr>
                <w:rFonts w:cstheme="minorHAnsi"/>
              </w:rPr>
            </w:pPr>
            <w:r w:rsidRPr="00151881">
              <w:rPr>
                <w:rFonts w:cstheme="minorHAnsi"/>
              </w:rPr>
              <w:t>San Diego County, CA</w:t>
            </w:r>
          </w:p>
        </w:tc>
        <w:tc>
          <w:tcPr>
            <w:tcW w:w="2070" w:type="dxa"/>
            <w:noWrap/>
            <w:hideMark/>
          </w:tcPr>
          <w:p w:rsidR="002B2E31" w:rsidRPr="00151881" w:rsidP="006D0304" w14:paraId="33CDAEA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74B2937C" w14:textId="77777777">
            <w:pPr>
              <w:jc w:val="center"/>
              <w:rPr>
                <w:rFonts w:cstheme="minorHAnsi"/>
              </w:rPr>
            </w:pPr>
            <w:r w:rsidRPr="00151881">
              <w:rPr>
                <w:rFonts w:cstheme="minorHAnsi"/>
              </w:rPr>
              <w:t>Severe 15</w:t>
            </w:r>
          </w:p>
        </w:tc>
      </w:tr>
      <w:tr w14:paraId="41754C01" w14:textId="77777777" w:rsidTr="006D0304">
        <w:tblPrEx>
          <w:tblW w:w="8275" w:type="dxa"/>
          <w:jc w:val="center"/>
          <w:tblLook w:val="04A0"/>
        </w:tblPrEx>
        <w:trPr>
          <w:trHeight w:val="300"/>
          <w:jc w:val="center"/>
        </w:trPr>
        <w:tc>
          <w:tcPr>
            <w:tcW w:w="3325" w:type="dxa"/>
            <w:hideMark/>
          </w:tcPr>
          <w:p w:rsidR="002B2E31" w:rsidRPr="00151881" w:rsidP="006D0304" w14:paraId="480E24B8" w14:textId="77777777">
            <w:pPr>
              <w:rPr>
                <w:rFonts w:cstheme="minorHAnsi"/>
              </w:rPr>
            </w:pPr>
            <w:r w:rsidRPr="00151881">
              <w:rPr>
                <w:rFonts w:cstheme="minorHAnsi"/>
              </w:rPr>
              <w:t>Kern County (Eastern Kern), CA</w:t>
            </w:r>
          </w:p>
        </w:tc>
        <w:tc>
          <w:tcPr>
            <w:tcW w:w="2070" w:type="dxa"/>
            <w:noWrap/>
            <w:hideMark/>
          </w:tcPr>
          <w:p w:rsidR="002B2E31" w:rsidRPr="00151881" w:rsidP="006D0304" w14:paraId="61A38E18"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5A8F2B19" w14:textId="77777777">
            <w:pPr>
              <w:jc w:val="center"/>
              <w:rPr>
                <w:rFonts w:cstheme="minorHAnsi"/>
              </w:rPr>
            </w:pPr>
            <w:r w:rsidRPr="00151881">
              <w:rPr>
                <w:rFonts w:cstheme="minorHAnsi"/>
              </w:rPr>
              <w:t>Serious</w:t>
            </w:r>
          </w:p>
        </w:tc>
      </w:tr>
      <w:tr w14:paraId="3E686143" w14:textId="77777777" w:rsidTr="006D0304">
        <w:tblPrEx>
          <w:tblW w:w="8275" w:type="dxa"/>
          <w:jc w:val="center"/>
          <w:tblLook w:val="04A0"/>
        </w:tblPrEx>
        <w:trPr>
          <w:trHeight w:val="300"/>
          <w:jc w:val="center"/>
        </w:trPr>
        <w:tc>
          <w:tcPr>
            <w:tcW w:w="3325" w:type="dxa"/>
            <w:hideMark/>
          </w:tcPr>
          <w:p w:rsidR="002B2E31" w:rsidRPr="00151881" w:rsidP="006D0304" w14:paraId="4BF187BF" w14:textId="77777777">
            <w:pPr>
              <w:rPr>
                <w:rFonts w:cstheme="minorHAnsi"/>
              </w:rPr>
            </w:pPr>
            <w:r w:rsidRPr="00151881">
              <w:rPr>
                <w:rFonts w:cstheme="minorHAnsi"/>
              </w:rPr>
              <w:t>Morongo Band of Mission Indians, CA</w:t>
            </w:r>
          </w:p>
        </w:tc>
        <w:tc>
          <w:tcPr>
            <w:tcW w:w="2070" w:type="dxa"/>
            <w:noWrap/>
            <w:hideMark/>
          </w:tcPr>
          <w:p w:rsidR="002B2E31" w:rsidRPr="00151881" w:rsidP="006D0304" w14:paraId="0BF18BDF"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C8FA98D" w14:textId="77777777">
            <w:pPr>
              <w:jc w:val="center"/>
              <w:rPr>
                <w:rFonts w:cstheme="minorHAnsi"/>
                <w:color w:val="151515"/>
              </w:rPr>
            </w:pPr>
            <w:r w:rsidRPr="00151881">
              <w:rPr>
                <w:rFonts w:cstheme="minorHAnsi"/>
                <w:color w:val="151515"/>
              </w:rPr>
              <w:t>Serious</w:t>
            </w:r>
          </w:p>
        </w:tc>
      </w:tr>
      <w:tr w14:paraId="063EA1AB" w14:textId="77777777" w:rsidTr="006D0304">
        <w:tblPrEx>
          <w:tblW w:w="8275" w:type="dxa"/>
          <w:jc w:val="center"/>
          <w:tblLook w:val="04A0"/>
        </w:tblPrEx>
        <w:trPr>
          <w:trHeight w:val="300"/>
          <w:jc w:val="center"/>
        </w:trPr>
        <w:tc>
          <w:tcPr>
            <w:tcW w:w="3325" w:type="dxa"/>
            <w:hideMark/>
          </w:tcPr>
          <w:p w:rsidR="002B2E31" w:rsidRPr="00151881" w:rsidP="006D0304" w14:paraId="4568156A" w14:textId="77777777">
            <w:pPr>
              <w:rPr>
                <w:rFonts w:cstheme="minorHAnsi"/>
              </w:rPr>
            </w:pPr>
            <w:r w:rsidRPr="00151881">
              <w:rPr>
                <w:rFonts w:cstheme="minorHAnsi"/>
              </w:rPr>
              <w:t>Nevada County (Western part), CA</w:t>
            </w:r>
          </w:p>
        </w:tc>
        <w:tc>
          <w:tcPr>
            <w:tcW w:w="2070" w:type="dxa"/>
            <w:noWrap/>
            <w:hideMark/>
          </w:tcPr>
          <w:p w:rsidR="002B2E31" w:rsidRPr="00151881" w:rsidP="006D0304" w14:paraId="450A67B0"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B389F28" w14:textId="77777777">
            <w:pPr>
              <w:jc w:val="center"/>
              <w:rPr>
                <w:rFonts w:cstheme="minorHAnsi"/>
              </w:rPr>
            </w:pPr>
            <w:r w:rsidRPr="00151881">
              <w:rPr>
                <w:rFonts w:cstheme="minorHAnsi"/>
              </w:rPr>
              <w:t>Serious</w:t>
            </w:r>
          </w:p>
        </w:tc>
      </w:tr>
      <w:tr w14:paraId="1A1B0B41" w14:textId="77777777" w:rsidTr="006D0304">
        <w:tblPrEx>
          <w:tblW w:w="8275" w:type="dxa"/>
          <w:jc w:val="center"/>
          <w:tblLook w:val="04A0"/>
        </w:tblPrEx>
        <w:trPr>
          <w:trHeight w:val="300"/>
          <w:jc w:val="center"/>
        </w:trPr>
        <w:tc>
          <w:tcPr>
            <w:tcW w:w="3325" w:type="dxa"/>
            <w:hideMark/>
          </w:tcPr>
          <w:p w:rsidR="002B2E31" w:rsidRPr="00151881" w:rsidP="006D0304" w14:paraId="2BCCD252" w14:textId="77777777">
            <w:pPr>
              <w:rPr>
                <w:rFonts w:cstheme="minorHAnsi"/>
              </w:rPr>
            </w:pPr>
            <w:r w:rsidRPr="00151881">
              <w:rPr>
                <w:rFonts w:cstheme="minorHAnsi"/>
              </w:rPr>
              <w:t>Sacramento Metro, CA</w:t>
            </w:r>
          </w:p>
        </w:tc>
        <w:tc>
          <w:tcPr>
            <w:tcW w:w="2070" w:type="dxa"/>
            <w:noWrap/>
            <w:hideMark/>
          </w:tcPr>
          <w:p w:rsidR="002B2E31" w:rsidRPr="00151881" w:rsidP="006D0304" w14:paraId="6BAD6C47"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771FCD7C" w14:textId="77777777">
            <w:pPr>
              <w:jc w:val="center"/>
              <w:rPr>
                <w:rFonts w:cstheme="minorHAnsi"/>
              </w:rPr>
            </w:pPr>
            <w:r w:rsidRPr="00151881">
              <w:rPr>
                <w:rFonts w:cstheme="minorHAnsi"/>
              </w:rPr>
              <w:t>Serious</w:t>
            </w:r>
          </w:p>
        </w:tc>
      </w:tr>
      <w:tr w14:paraId="35515A77" w14:textId="77777777" w:rsidTr="006D0304">
        <w:tblPrEx>
          <w:tblW w:w="8275" w:type="dxa"/>
          <w:jc w:val="center"/>
          <w:tblLook w:val="04A0"/>
        </w:tblPrEx>
        <w:trPr>
          <w:trHeight w:val="300"/>
          <w:jc w:val="center"/>
        </w:trPr>
        <w:tc>
          <w:tcPr>
            <w:tcW w:w="3325" w:type="dxa"/>
            <w:hideMark/>
          </w:tcPr>
          <w:p w:rsidR="002B2E31" w:rsidRPr="00151881" w:rsidP="006D0304" w14:paraId="1A8B842C" w14:textId="77777777">
            <w:pPr>
              <w:rPr>
                <w:rFonts w:cstheme="minorHAnsi"/>
              </w:rPr>
            </w:pPr>
            <w:r w:rsidRPr="00151881">
              <w:rPr>
                <w:rFonts w:cstheme="minorHAnsi"/>
              </w:rPr>
              <w:t>Ventura County, CA</w:t>
            </w:r>
          </w:p>
        </w:tc>
        <w:tc>
          <w:tcPr>
            <w:tcW w:w="2070" w:type="dxa"/>
            <w:noWrap/>
            <w:hideMark/>
          </w:tcPr>
          <w:p w:rsidR="002B2E31" w:rsidRPr="00151881" w:rsidP="006D0304" w14:paraId="755A515D"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24F064A2" w14:textId="77777777">
            <w:pPr>
              <w:jc w:val="center"/>
              <w:rPr>
                <w:rFonts w:cstheme="minorHAnsi"/>
                <w:color w:val="151515"/>
              </w:rPr>
            </w:pPr>
            <w:r w:rsidRPr="00151881">
              <w:rPr>
                <w:rFonts w:cstheme="minorHAnsi"/>
                <w:color w:val="151515"/>
              </w:rPr>
              <w:t>Serious</w:t>
            </w:r>
          </w:p>
        </w:tc>
      </w:tr>
      <w:tr w14:paraId="6481570D" w14:textId="77777777" w:rsidTr="006D0304">
        <w:tblPrEx>
          <w:tblW w:w="8275" w:type="dxa"/>
          <w:jc w:val="center"/>
          <w:tblLook w:val="04A0"/>
        </w:tblPrEx>
        <w:trPr>
          <w:trHeight w:val="300"/>
          <w:jc w:val="center"/>
        </w:trPr>
        <w:tc>
          <w:tcPr>
            <w:tcW w:w="3325" w:type="dxa"/>
            <w:hideMark/>
          </w:tcPr>
          <w:p w:rsidR="002B2E31" w:rsidRPr="00151881" w:rsidP="006D0304" w14:paraId="0D08693D" w14:textId="77777777">
            <w:pPr>
              <w:rPr>
                <w:rFonts w:cstheme="minorHAnsi"/>
                <w:vertAlign w:val="superscript"/>
              </w:rPr>
            </w:pPr>
            <w:r w:rsidRPr="00151881">
              <w:rPr>
                <w:rFonts w:cstheme="minorHAnsi"/>
              </w:rPr>
              <w:t>Allegan County, MI</w:t>
            </w:r>
            <w:r>
              <w:rPr>
                <w:rStyle w:val="FootnoteReference"/>
                <w:rFonts w:cstheme="minorHAnsi"/>
              </w:rPr>
              <w:footnoteReference w:id="8"/>
            </w:r>
          </w:p>
        </w:tc>
        <w:tc>
          <w:tcPr>
            <w:tcW w:w="2070" w:type="dxa"/>
            <w:noWrap/>
            <w:hideMark/>
          </w:tcPr>
          <w:p w:rsidR="002B2E31" w:rsidRPr="00151881" w:rsidP="006D0304" w14:paraId="16BA131E"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7B7C2416" w14:textId="77777777">
            <w:pPr>
              <w:jc w:val="center"/>
              <w:rPr>
                <w:rFonts w:cstheme="minorHAnsi"/>
              </w:rPr>
            </w:pPr>
            <w:r w:rsidRPr="00151881">
              <w:rPr>
                <w:rFonts w:cstheme="minorHAnsi"/>
              </w:rPr>
              <w:t>Moderate</w:t>
            </w:r>
          </w:p>
        </w:tc>
      </w:tr>
      <w:tr w14:paraId="658DA2C7" w14:textId="77777777" w:rsidTr="006D0304">
        <w:tblPrEx>
          <w:tblW w:w="8275" w:type="dxa"/>
          <w:jc w:val="center"/>
          <w:tblLook w:val="04A0"/>
        </w:tblPrEx>
        <w:trPr>
          <w:trHeight w:val="300"/>
          <w:jc w:val="center"/>
        </w:trPr>
        <w:tc>
          <w:tcPr>
            <w:tcW w:w="3325" w:type="dxa"/>
            <w:hideMark/>
          </w:tcPr>
          <w:p w:rsidR="002B2E31" w:rsidRPr="00151881" w:rsidP="006D0304" w14:paraId="50F57FB0" w14:textId="77777777">
            <w:pPr>
              <w:rPr>
                <w:rFonts w:cstheme="minorHAnsi"/>
                <w:vertAlign w:val="superscript"/>
              </w:rPr>
            </w:pPr>
            <w:r w:rsidRPr="00151881">
              <w:rPr>
                <w:rFonts w:cstheme="minorHAnsi"/>
              </w:rPr>
              <w:t xml:space="preserve">Baltimore, MD </w:t>
            </w:r>
            <w:r w:rsidRPr="00151881">
              <w:rPr>
                <w:rFonts w:cstheme="minorHAnsi"/>
                <w:vertAlign w:val="superscript"/>
              </w:rPr>
              <w:t>10</w:t>
            </w:r>
          </w:p>
        </w:tc>
        <w:tc>
          <w:tcPr>
            <w:tcW w:w="2070" w:type="dxa"/>
            <w:noWrap/>
            <w:hideMark/>
          </w:tcPr>
          <w:p w:rsidR="002B2E31" w:rsidRPr="00151881" w:rsidP="006D0304" w14:paraId="75306757"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5CF95DBA" w14:textId="77777777">
            <w:pPr>
              <w:jc w:val="center"/>
              <w:rPr>
                <w:rFonts w:cstheme="minorHAnsi"/>
              </w:rPr>
            </w:pPr>
            <w:r w:rsidRPr="00151881">
              <w:rPr>
                <w:rFonts w:cstheme="minorHAnsi"/>
              </w:rPr>
              <w:t>Moderate</w:t>
            </w:r>
          </w:p>
        </w:tc>
      </w:tr>
      <w:tr w14:paraId="015F74D5" w14:textId="77777777" w:rsidTr="006D0304">
        <w:tblPrEx>
          <w:tblW w:w="8275" w:type="dxa"/>
          <w:jc w:val="center"/>
          <w:tblLook w:val="04A0"/>
        </w:tblPrEx>
        <w:trPr>
          <w:trHeight w:val="300"/>
          <w:jc w:val="center"/>
        </w:trPr>
        <w:tc>
          <w:tcPr>
            <w:tcW w:w="3325" w:type="dxa"/>
            <w:hideMark/>
          </w:tcPr>
          <w:p w:rsidR="002B2E31" w:rsidRPr="00151881" w:rsidP="006D0304" w14:paraId="05AA8FF4" w14:textId="77777777">
            <w:pPr>
              <w:rPr>
                <w:rFonts w:cstheme="minorHAnsi"/>
                <w:vertAlign w:val="superscript"/>
              </w:rPr>
            </w:pPr>
            <w:r w:rsidRPr="00151881">
              <w:rPr>
                <w:rFonts w:cstheme="minorHAnsi"/>
              </w:rPr>
              <w:t xml:space="preserve">Berrien County, MI </w:t>
            </w:r>
            <w:r w:rsidRPr="00151881">
              <w:rPr>
                <w:rFonts w:cstheme="minorHAnsi"/>
                <w:vertAlign w:val="superscript"/>
              </w:rPr>
              <w:t>10</w:t>
            </w:r>
          </w:p>
        </w:tc>
        <w:tc>
          <w:tcPr>
            <w:tcW w:w="2070" w:type="dxa"/>
            <w:noWrap/>
            <w:hideMark/>
          </w:tcPr>
          <w:p w:rsidR="002B2E31" w:rsidRPr="00151881" w:rsidP="006D0304" w14:paraId="7B612714"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5925273F" w14:textId="77777777">
            <w:pPr>
              <w:jc w:val="center"/>
              <w:rPr>
                <w:rFonts w:cstheme="minorHAnsi"/>
              </w:rPr>
            </w:pPr>
            <w:r w:rsidRPr="00151881">
              <w:rPr>
                <w:rFonts w:cstheme="minorHAnsi"/>
              </w:rPr>
              <w:t>Moderate</w:t>
            </w:r>
          </w:p>
        </w:tc>
      </w:tr>
      <w:tr w14:paraId="5E0EF555" w14:textId="77777777" w:rsidTr="006D0304">
        <w:tblPrEx>
          <w:tblW w:w="8275" w:type="dxa"/>
          <w:jc w:val="center"/>
          <w:tblLook w:val="04A0"/>
        </w:tblPrEx>
        <w:trPr>
          <w:trHeight w:val="300"/>
          <w:jc w:val="center"/>
        </w:trPr>
        <w:tc>
          <w:tcPr>
            <w:tcW w:w="3325" w:type="dxa"/>
            <w:hideMark/>
          </w:tcPr>
          <w:p w:rsidR="002B2E31" w:rsidRPr="00151881" w:rsidP="006D0304" w14:paraId="4611B3CB" w14:textId="77777777">
            <w:pPr>
              <w:rPr>
                <w:rFonts w:cstheme="minorHAnsi"/>
                <w:vertAlign w:val="superscript"/>
              </w:rPr>
            </w:pPr>
            <w:r w:rsidRPr="00151881">
              <w:rPr>
                <w:rFonts w:cstheme="minorHAnsi"/>
              </w:rPr>
              <w:t xml:space="preserve">Chicago, IL-IN-WI </w:t>
            </w:r>
            <w:r w:rsidRPr="00151881">
              <w:rPr>
                <w:rFonts w:cstheme="minorHAnsi"/>
                <w:vertAlign w:val="superscript"/>
              </w:rPr>
              <w:t>10</w:t>
            </w:r>
          </w:p>
        </w:tc>
        <w:tc>
          <w:tcPr>
            <w:tcW w:w="2070" w:type="dxa"/>
            <w:noWrap/>
            <w:hideMark/>
          </w:tcPr>
          <w:p w:rsidR="002B2E31" w:rsidRPr="00151881" w:rsidP="006D0304" w14:paraId="302B573A"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9BE2144" w14:textId="77777777">
            <w:pPr>
              <w:jc w:val="center"/>
              <w:rPr>
                <w:rFonts w:cstheme="minorHAnsi"/>
              </w:rPr>
            </w:pPr>
            <w:r w:rsidRPr="00151881">
              <w:rPr>
                <w:rFonts w:cstheme="minorHAnsi"/>
              </w:rPr>
              <w:t>Moderate</w:t>
            </w:r>
          </w:p>
        </w:tc>
      </w:tr>
      <w:tr w14:paraId="6ADBB554" w14:textId="77777777" w:rsidTr="006D0304">
        <w:tblPrEx>
          <w:tblW w:w="8275" w:type="dxa"/>
          <w:jc w:val="center"/>
          <w:tblLook w:val="04A0"/>
        </w:tblPrEx>
        <w:trPr>
          <w:trHeight w:val="300"/>
          <w:jc w:val="center"/>
        </w:trPr>
        <w:tc>
          <w:tcPr>
            <w:tcW w:w="3325" w:type="dxa"/>
            <w:hideMark/>
          </w:tcPr>
          <w:p w:rsidR="002B2E31" w:rsidRPr="00151881" w:rsidP="006D0304" w14:paraId="7EE6B097" w14:textId="77777777">
            <w:pPr>
              <w:rPr>
                <w:rFonts w:cstheme="minorHAnsi"/>
              </w:rPr>
            </w:pPr>
            <w:r w:rsidRPr="00151881">
              <w:rPr>
                <w:rFonts w:cstheme="minorHAnsi"/>
              </w:rPr>
              <w:t>Cincinnati, OH-KY</w:t>
            </w:r>
            <w:r>
              <w:rPr>
                <w:rStyle w:val="FootnoteReference"/>
                <w:rFonts w:cstheme="minorHAnsi"/>
              </w:rPr>
              <w:footnoteReference w:id="9"/>
            </w:r>
          </w:p>
        </w:tc>
        <w:tc>
          <w:tcPr>
            <w:tcW w:w="2070" w:type="dxa"/>
            <w:noWrap/>
            <w:hideMark/>
          </w:tcPr>
          <w:p w:rsidR="002B2E31" w:rsidRPr="00151881" w:rsidP="006D0304" w14:paraId="73119494"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047DD832" w14:textId="77777777">
            <w:pPr>
              <w:jc w:val="center"/>
              <w:rPr>
                <w:rFonts w:cstheme="minorHAnsi"/>
              </w:rPr>
            </w:pPr>
            <w:r w:rsidRPr="00151881">
              <w:rPr>
                <w:rFonts w:cstheme="minorHAnsi"/>
              </w:rPr>
              <w:t>Moderate</w:t>
            </w:r>
          </w:p>
        </w:tc>
      </w:tr>
      <w:tr w14:paraId="0BFADAF0" w14:textId="77777777" w:rsidTr="006D0304">
        <w:tblPrEx>
          <w:tblW w:w="8275" w:type="dxa"/>
          <w:jc w:val="center"/>
          <w:tblLook w:val="04A0"/>
        </w:tblPrEx>
        <w:trPr>
          <w:trHeight w:val="300"/>
          <w:jc w:val="center"/>
        </w:trPr>
        <w:tc>
          <w:tcPr>
            <w:tcW w:w="3325" w:type="dxa"/>
            <w:hideMark/>
          </w:tcPr>
          <w:p w:rsidR="002B2E31" w:rsidRPr="00151881" w:rsidP="006D0304" w14:paraId="09C83614" w14:textId="77777777">
            <w:pPr>
              <w:rPr>
                <w:rFonts w:cstheme="minorHAnsi"/>
                <w:vertAlign w:val="superscript"/>
              </w:rPr>
            </w:pPr>
            <w:r w:rsidRPr="00151881">
              <w:rPr>
                <w:rFonts w:cstheme="minorHAnsi"/>
              </w:rPr>
              <w:t xml:space="preserve">Cleveland, OH </w:t>
            </w:r>
            <w:r w:rsidRPr="00151881">
              <w:rPr>
                <w:rFonts w:cstheme="minorHAnsi"/>
                <w:vertAlign w:val="superscript"/>
              </w:rPr>
              <w:t>10</w:t>
            </w:r>
          </w:p>
        </w:tc>
        <w:tc>
          <w:tcPr>
            <w:tcW w:w="2070" w:type="dxa"/>
            <w:noWrap/>
            <w:hideMark/>
          </w:tcPr>
          <w:p w:rsidR="002B2E31" w:rsidRPr="00151881" w:rsidP="006D0304" w14:paraId="60CF59B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DB24B2E" w14:textId="77777777">
            <w:pPr>
              <w:jc w:val="center"/>
              <w:rPr>
                <w:rFonts w:cstheme="minorHAnsi"/>
              </w:rPr>
            </w:pPr>
            <w:r w:rsidRPr="00151881">
              <w:rPr>
                <w:rFonts w:cstheme="minorHAnsi"/>
              </w:rPr>
              <w:t>Moderate</w:t>
            </w:r>
          </w:p>
        </w:tc>
      </w:tr>
      <w:tr w14:paraId="1E1C5D7D" w14:textId="77777777" w:rsidTr="006D0304">
        <w:tblPrEx>
          <w:tblW w:w="8275" w:type="dxa"/>
          <w:jc w:val="center"/>
          <w:tblLook w:val="04A0"/>
        </w:tblPrEx>
        <w:trPr>
          <w:trHeight w:val="300"/>
          <w:jc w:val="center"/>
        </w:trPr>
        <w:tc>
          <w:tcPr>
            <w:tcW w:w="3325" w:type="dxa"/>
            <w:hideMark/>
          </w:tcPr>
          <w:p w:rsidR="002B2E31" w:rsidRPr="00151881" w:rsidP="006D0304" w14:paraId="31ADD7A5" w14:textId="77777777">
            <w:pPr>
              <w:rPr>
                <w:rFonts w:cstheme="minorHAnsi"/>
                <w:vertAlign w:val="superscript"/>
              </w:rPr>
            </w:pPr>
            <w:r w:rsidRPr="00151881">
              <w:rPr>
                <w:rFonts w:cstheme="minorHAnsi"/>
              </w:rPr>
              <w:t xml:space="preserve">Dallas-Fort Worth, TX </w:t>
            </w:r>
            <w:r w:rsidRPr="00151881">
              <w:rPr>
                <w:rFonts w:cstheme="minorHAnsi"/>
                <w:vertAlign w:val="superscript"/>
              </w:rPr>
              <w:t>10</w:t>
            </w:r>
          </w:p>
        </w:tc>
        <w:tc>
          <w:tcPr>
            <w:tcW w:w="2070" w:type="dxa"/>
            <w:noWrap/>
            <w:hideMark/>
          </w:tcPr>
          <w:p w:rsidR="002B2E31" w:rsidRPr="00151881" w:rsidP="006D0304" w14:paraId="7536A017"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BA899AD" w14:textId="77777777">
            <w:pPr>
              <w:jc w:val="center"/>
              <w:rPr>
                <w:rFonts w:cstheme="minorHAnsi"/>
              </w:rPr>
            </w:pPr>
            <w:r w:rsidRPr="00151881">
              <w:rPr>
                <w:rFonts w:cstheme="minorHAnsi"/>
              </w:rPr>
              <w:t>Moderate</w:t>
            </w:r>
          </w:p>
        </w:tc>
      </w:tr>
      <w:tr w14:paraId="0B732A3F" w14:textId="77777777" w:rsidTr="006D0304">
        <w:tblPrEx>
          <w:tblW w:w="8275" w:type="dxa"/>
          <w:jc w:val="center"/>
          <w:tblLook w:val="04A0"/>
        </w:tblPrEx>
        <w:trPr>
          <w:trHeight w:val="300"/>
          <w:jc w:val="center"/>
        </w:trPr>
        <w:tc>
          <w:tcPr>
            <w:tcW w:w="3325" w:type="dxa"/>
            <w:hideMark/>
          </w:tcPr>
          <w:p w:rsidR="002B2E31" w:rsidRPr="00151881" w:rsidP="006D0304" w14:paraId="413B3D81" w14:textId="77777777">
            <w:pPr>
              <w:rPr>
                <w:rFonts w:cstheme="minorHAnsi"/>
                <w:vertAlign w:val="superscript"/>
              </w:rPr>
            </w:pPr>
            <w:r w:rsidRPr="00151881">
              <w:rPr>
                <w:rFonts w:cstheme="minorHAnsi"/>
              </w:rPr>
              <w:t xml:space="preserve">Denver Metro/North Front Range, CO </w:t>
            </w:r>
            <w:r w:rsidRPr="00151881">
              <w:rPr>
                <w:rFonts w:cstheme="minorHAnsi"/>
                <w:vertAlign w:val="superscript"/>
              </w:rPr>
              <w:t>10</w:t>
            </w:r>
          </w:p>
        </w:tc>
        <w:tc>
          <w:tcPr>
            <w:tcW w:w="2070" w:type="dxa"/>
            <w:noWrap/>
            <w:hideMark/>
          </w:tcPr>
          <w:p w:rsidR="002B2E31" w:rsidRPr="00151881" w:rsidP="006D0304" w14:paraId="18B36771"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5940AE8" w14:textId="77777777">
            <w:pPr>
              <w:jc w:val="center"/>
              <w:rPr>
                <w:rFonts w:cstheme="minorHAnsi"/>
              </w:rPr>
            </w:pPr>
            <w:r w:rsidRPr="00151881">
              <w:rPr>
                <w:rFonts w:cstheme="minorHAnsi"/>
              </w:rPr>
              <w:t>Moderate</w:t>
            </w:r>
          </w:p>
        </w:tc>
      </w:tr>
      <w:tr w14:paraId="44227942" w14:textId="77777777" w:rsidTr="006D0304">
        <w:tblPrEx>
          <w:tblW w:w="8275" w:type="dxa"/>
          <w:jc w:val="center"/>
          <w:tblLook w:val="04A0"/>
        </w:tblPrEx>
        <w:trPr>
          <w:trHeight w:val="300"/>
          <w:jc w:val="center"/>
        </w:trPr>
        <w:tc>
          <w:tcPr>
            <w:tcW w:w="3325" w:type="dxa"/>
            <w:hideMark/>
          </w:tcPr>
          <w:p w:rsidR="002B2E31" w:rsidRPr="00151881" w:rsidP="006D0304" w14:paraId="5C285CB2" w14:textId="77777777">
            <w:pPr>
              <w:rPr>
                <w:rFonts w:cstheme="minorHAnsi"/>
              </w:rPr>
            </w:pPr>
            <w:r w:rsidRPr="00151881">
              <w:rPr>
                <w:rFonts w:cstheme="minorHAnsi"/>
              </w:rPr>
              <w:t>Detroit, MI</w:t>
            </w:r>
            <w:r>
              <w:rPr>
                <w:rStyle w:val="FootnoteReference"/>
                <w:rFonts w:cstheme="minorHAnsi"/>
              </w:rPr>
              <w:footnoteReference w:id="10"/>
            </w:r>
          </w:p>
        </w:tc>
        <w:tc>
          <w:tcPr>
            <w:tcW w:w="2070" w:type="dxa"/>
            <w:noWrap/>
            <w:hideMark/>
          </w:tcPr>
          <w:p w:rsidR="002B2E31" w:rsidRPr="00151881" w:rsidP="006D0304" w14:paraId="13790025"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24073900" w14:textId="77777777">
            <w:pPr>
              <w:jc w:val="center"/>
              <w:rPr>
                <w:rFonts w:cstheme="minorHAnsi"/>
              </w:rPr>
            </w:pPr>
            <w:r w:rsidRPr="00151881">
              <w:rPr>
                <w:rFonts w:cstheme="minorHAnsi"/>
              </w:rPr>
              <w:t>Moderate</w:t>
            </w:r>
          </w:p>
        </w:tc>
      </w:tr>
      <w:tr w14:paraId="217402D4" w14:textId="77777777" w:rsidTr="006D0304">
        <w:tblPrEx>
          <w:tblW w:w="8275" w:type="dxa"/>
          <w:jc w:val="center"/>
          <w:tblLook w:val="04A0"/>
        </w:tblPrEx>
        <w:trPr>
          <w:trHeight w:val="300"/>
          <w:jc w:val="center"/>
        </w:trPr>
        <w:tc>
          <w:tcPr>
            <w:tcW w:w="3325" w:type="dxa"/>
            <w:hideMark/>
          </w:tcPr>
          <w:p w:rsidR="002B2E31" w:rsidRPr="00151881" w:rsidP="006D0304" w14:paraId="7992C505" w14:textId="77777777">
            <w:pPr>
              <w:rPr>
                <w:rFonts w:cstheme="minorHAnsi"/>
                <w:vertAlign w:val="superscript"/>
              </w:rPr>
            </w:pPr>
            <w:r w:rsidRPr="00151881">
              <w:rPr>
                <w:rFonts w:cstheme="minorHAnsi"/>
              </w:rPr>
              <w:t xml:space="preserve">Greater Connecticut, CT </w:t>
            </w:r>
            <w:r w:rsidRPr="00151881">
              <w:rPr>
                <w:rFonts w:cstheme="minorHAnsi"/>
                <w:vertAlign w:val="superscript"/>
              </w:rPr>
              <w:t>10</w:t>
            </w:r>
          </w:p>
        </w:tc>
        <w:tc>
          <w:tcPr>
            <w:tcW w:w="2070" w:type="dxa"/>
            <w:noWrap/>
            <w:hideMark/>
          </w:tcPr>
          <w:p w:rsidR="002B2E31" w:rsidRPr="00151881" w:rsidP="006D0304" w14:paraId="0E9D4E2D"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3CCC37A" w14:textId="77777777">
            <w:pPr>
              <w:jc w:val="center"/>
              <w:rPr>
                <w:rFonts w:cstheme="minorHAnsi"/>
              </w:rPr>
            </w:pPr>
            <w:r w:rsidRPr="00151881">
              <w:rPr>
                <w:rFonts w:cstheme="minorHAnsi"/>
              </w:rPr>
              <w:t>Moderate</w:t>
            </w:r>
          </w:p>
        </w:tc>
      </w:tr>
      <w:tr w14:paraId="01F47E97" w14:textId="77777777" w:rsidTr="006D0304">
        <w:tblPrEx>
          <w:tblW w:w="8275" w:type="dxa"/>
          <w:jc w:val="center"/>
          <w:tblLook w:val="04A0"/>
        </w:tblPrEx>
        <w:trPr>
          <w:trHeight w:val="300"/>
          <w:jc w:val="center"/>
        </w:trPr>
        <w:tc>
          <w:tcPr>
            <w:tcW w:w="3325" w:type="dxa"/>
            <w:hideMark/>
          </w:tcPr>
          <w:p w:rsidR="002B2E31" w:rsidRPr="00151881" w:rsidP="006D0304" w14:paraId="7A9D3AE1" w14:textId="77777777">
            <w:pPr>
              <w:rPr>
                <w:rFonts w:cstheme="minorHAnsi"/>
                <w:vertAlign w:val="superscript"/>
              </w:rPr>
            </w:pPr>
            <w:r w:rsidRPr="00151881">
              <w:rPr>
                <w:rFonts w:cstheme="minorHAnsi"/>
              </w:rPr>
              <w:t xml:space="preserve">Houston-Galveston-Brazoria, TX </w:t>
            </w:r>
            <w:r w:rsidRPr="00151881">
              <w:rPr>
                <w:rFonts w:cstheme="minorHAnsi"/>
                <w:vertAlign w:val="superscript"/>
              </w:rPr>
              <w:t>10</w:t>
            </w:r>
          </w:p>
        </w:tc>
        <w:tc>
          <w:tcPr>
            <w:tcW w:w="2070" w:type="dxa"/>
            <w:noWrap/>
            <w:hideMark/>
          </w:tcPr>
          <w:p w:rsidR="002B2E31" w:rsidRPr="00151881" w:rsidP="006D0304" w14:paraId="7CE8CEF5"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A588BB6" w14:textId="77777777">
            <w:pPr>
              <w:jc w:val="center"/>
              <w:rPr>
                <w:rFonts w:cstheme="minorHAnsi"/>
              </w:rPr>
            </w:pPr>
            <w:r w:rsidRPr="00151881">
              <w:rPr>
                <w:rFonts w:cstheme="minorHAnsi"/>
              </w:rPr>
              <w:t>Moderate</w:t>
            </w:r>
          </w:p>
        </w:tc>
      </w:tr>
      <w:tr w14:paraId="4A25B09C" w14:textId="77777777" w:rsidTr="006D0304">
        <w:tblPrEx>
          <w:tblW w:w="8275" w:type="dxa"/>
          <w:jc w:val="center"/>
          <w:tblLook w:val="04A0"/>
        </w:tblPrEx>
        <w:trPr>
          <w:trHeight w:val="300"/>
          <w:jc w:val="center"/>
        </w:trPr>
        <w:tc>
          <w:tcPr>
            <w:tcW w:w="3325" w:type="dxa"/>
            <w:hideMark/>
          </w:tcPr>
          <w:p w:rsidR="002B2E31" w:rsidRPr="00151881" w:rsidP="006D0304" w14:paraId="1BA9268C" w14:textId="77777777">
            <w:pPr>
              <w:rPr>
                <w:rFonts w:cstheme="minorHAnsi"/>
              </w:rPr>
            </w:pPr>
            <w:r w:rsidRPr="00151881">
              <w:rPr>
                <w:rFonts w:cstheme="minorHAnsi"/>
              </w:rPr>
              <w:t>Las Vegas, NV</w:t>
            </w:r>
          </w:p>
        </w:tc>
        <w:tc>
          <w:tcPr>
            <w:tcW w:w="2070" w:type="dxa"/>
            <w:noWrap/>
            <w:hideMark/>
          </w:tcPr>
          <w:p w:rsidR="002B2E31" w:rsidRPr="00151881" w:rsidP="006D0304" w14:paraId="43388B79"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B4B7DCA" w14:textId="77777777">
            <w:pPr>
              <w:jc w:val="center"/>
              <w:rPr>
                <w:rFonts w:cstheme="minorHAnsi"/>
              </w:rPr>
            </w:pPr>
            <w:r w:rsidRPr="00151881">
              <w:rPr>
                <w:rFonts w:cstheme="minorHAnsi"/>
              </w:rPr>
              <w:t>Moderate</w:t>
            </w:r>
          </w:p>
        </w:tc>
      </w:tr>
      <w:tr w14:paraId="39A58887" w14:textId="77777777" w:rsidTr="006D0304">
        <w:tblPrEx>
          <w:tblW w:w="8275" w:type="dxa"/>
          <w:jc w:val="center"/>
          <w:tblLook w:val="04A0"/>
        </w:tblPrEx>
        <w:trPr>
          <w:trHeight w:val="300"/>
          <w:jc w:val="center"/>
        </w:trPr>
        <w:tc>
          <w:tcPr>
            <w:tcW w:w="3325" w:type="dxa"/>
            <w:hideMark/>
          </w:tcPr>
          <w:p w:rsidR="002B2E31" w:rsidRPr="00151881" w:rsidP="006D0304" w14:paraId="22F51ED3" w14:textId="77777777">
            <w:pPr>
              <w:rPr>
                <w:rFonts w:cstheme="minorHAnsi"/>
                <w:vertAlign w:val="superscript"/>
              </w:rPr>
            </w:pPr>
            <w:r w:rsidRPr="00151881">
              <w:rPr>
                <w:rFonts w:cstheme="minorHAnsi"/>
              </w:rPr>
              <w:t xml:space="preserve">Louisville, KY-IN </w:t>
            </w:r>
            <w:r w:rsidRPr="00151881">
              <w:rPr>
                <w:rFonts w:cstheme="minorHAnsi"/>
                <w:vertAlign w:val="superscript"/>
              </w:rPr>
              <w:t>10</w:t>
            </w:r>
          </w:p>
        </w:tc>
        <w:tc>
          <w:tcPr>
            <w:tcW w:w="2070" w:type="dxa"/>
            <w:noWrap/>
            <w:hideMark/>
          </w:tcPr>
          <w:p w:rsidR="002B2E31" w:rsidRPr="00151881" w:rsidP="006D0304" w14:paraId="30AC4970"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5C8A1DC9" w14:textId="77777777">
            <w:pPr>
              <w:jc w:val="center"/>
              <w:rPr>
                <w:rFonts w:cstheme="minorHAnsi"/>
              </w:rPr>
            </w:pPr>
            <w:r w:rsidRPr="00151881">
              <w:rPr>
                <w:rFonts w:cstheme="minorHAnsi"/>
              </w:rPr>
              <w:t>Moderate</w:t>
            </w:r>
          </w:p>
        </w:tc>
      </w:tr>
      <w:tr w14:paraId="5F1DB725" w14:textId="77777777" w:rsidTr="006D0304">
        <w:tblPrEx>
          <w:tblW w:w="8275" w:type="dxa"/>
          <w:jc w:val="center"/>
          <w:tblLook w:val="04A0"/>
        </w:tblPrEx>
        <w:trPr>
          <w:trHeight w:val="300"/>
          <w:jc w:val="center"/>
        </w:trPr>
        <w:tc>
          <w:tcPr>
            <w:tcW w:w="3325" w:type="dxa"/>
            <w:hideMark/>
          </w:tcPr>
          <w:p w:rsidR="002B2E31" w:rsidRPr="00151881" w:rsidP="006D0304" w14:paraId="1E737B16" w14:textId="77777777">
            <w:pPr>
              <w:rPr>
                <w:rFonts w:cstheme="minorHAnsi"/>
                <w:vertAlign w:val="superscript"/>
              </w:rPr>
            </w:pPr>
            <w:r w:rsidRPr="00151881">
              <w:rPr>
                <w:rFonts w:cstheme="minorHAnsi"/>
              </w:rPr>
              <w:t xml:space="preserve">Mariposa County, CA </w:t>
            </w:r>
            <w:r w:rsidRPr="00151881">
              <w:rPr>
                <w:rFonts w:cstheme="minorHAnsi"/>
                <w:vertAlign w:val="superscript"/>
              </w:rPr>
              <w:t>10</w:t>
            </w:r>
          </w:p>
        </w:tc>
        <w:tc>
          <w:tcPr>
            <w:tcW w:w="2070" w:type="dxa"/>
            <w:noWrap/>
            <w:hideMark/>
          </w:tcPr>
          <w:p w:rsidR="002B2E31" w:rsidRPr="00151881" w:rsidP="006D0304" w14:paraId="4F45BEE0"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1B886F2" w14:textId="77777777">
            <w:pPr>
              <w:jc w:val="center"/>
              <w:rPr>
                <w:rFonts w:cstheme="minorHAnsi"/>
              </w:rPr>
            </w:pPr>
            <w:r w:rsidRPr="00151881">
              <w:rPr>
                <w:rFonts w:cstheme="minorHAnsi"/>
              </w:rPr>
              <w:t>Moderate</w:t>
            </w:r>
          </w:p>
        </w:tc>
      </w:tr>
      <w:tr w14:paraId="167AF3CB" w14:textId="77777777" w:rsidTr="006D0304">
        <w:tblPrEx>
          <w:tblW w:w="8275" w:type="dxa"/>
          <w:jc w:val="center"/>
          <w:tblLook w:val="04A0"/>
        </w:tblPrEx>
        <w:trPr>
          <w:trHeight w:val="300"/>
          <w:jc w:val="center"/>
        </w:trPr>
        <w:tc>
          <w:tcPr>
            <w:tcW w:w="3325" w:type="dxa"/>
            <w:hideMark/>
          </w:tcPr>
          <w:p w:rsidR="002B2E31" w:rsidRPr="00151881" w:rsidP="006D0304" w14:paraId="1208005A" w14:textId="77777777">
            <w:pPr>
              <w:rPr>
                <w:rFonts w:cstheme="minorHAnsi"/>
                <w:vertAlign w:val="superscript"/>
              </w:rPr>
            </w:pPr>
            <w:r w:rsidRPr="00151881">
              <w:rPr>
                <w:rFonts w:cstheme="minorHAnsi"/>
              </w:rPr>
              <w:t xml:space="preserve">Milwaukee, WI </w:t>
            </w:r>
            <w:r w:rsidRPr="00151881">
              <w:rPr>
                <w:rFonts w:cstheme="minorHAnsi"/>
                <w:vertAlign w:val="superscript"/>
              </w:rPr>
              <w:t>10</w:t>
            </w:r>
          </w:p>
        </w:tc>
        <w:tc>
          <w:tcPr>
            <w:tcW w:w="2070" w:type="dxa"/>
            <w:noWrap/>
            <w:hideMark/>
          </w:tcPr>
          <w:p w:rsidR="002B2E31" w:rsidRPr="00151881" w:rsidP="006D0304" w14:paraId="5802447A"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A09D69B" w14:textId="77777777">
            <w:pPr>
              <w:jc w:val="center"/>
              <w:rPr>
                <w:rFonts w:cstheme="minorHAnsi"/>
              </w:rPr>
            </w:pPr>
            <w:r w:rsidRPr="00151881">
              <w:rPr>
                <w:rFonts w:cstheme="minorHAnsi"/>
              </w:rPr>
              <w:t>Moderate</w:t>
            </w:r>
          </w:p>
        </w:tc>
      </w:tr>
      <w:tr w14:paraId="6D00E666" w14:textId="77777777" w:rsidTr="006D0304">
        <w:tblPrEx>
          <w:tblW w:w="8275" w:type="dxa"/>
          <w:jc w:val="center"/>
          <w:tblLook w:val="04A0"/>
        </w:tblPrEx>
        <w:trPr>
          <w:trHeight w:val="300"/>
          <w:jc w:val="center"/>
        </w:trPr>
        <w:tc>
          <w:tcPr>
            <w:tcW w:w="3325" w:type="dxa"/>
            <w:hideMark/>
          </w:tcPr>
          <w:p w:rsidR="002B2E31" w:rsidRPr="00151881" w:rsidP="006D0304" w14:paraId="05E7736A" w14:textId="77777777">
            <w:pPr>
              <w:rPr>
                <w:rFonts w:cstheme="minorHAnsi"/>
                <w:vertAlign w:val="superscript"/>
              </w:rPr>
            </w:pPr>
            <w:r w:rsidRPr="00151881">
              <w:rPr>
                <w:rFonts w:cstheme="minorHAnsi"/>
              </w:rPr>
              <w:t xml:space="preserve">Muskegon County, MI </w:t>
            </w:r>
            <w:r w:rsidRPr="00151881">
              <w:rPr>
                <w:rFonts w:cstheme="minorHAnsi"/>
                <w:vertAlign w:val="superscript"/>
              </w:rPr>
              <w:t>10</w:t>
            </w:r>
          </w:p>
        </w:tc>
        <w:tc>
          <w:tcPr>
            <w:tcW w:w="2070" w:type="dxa"/>
            <w:noWrap/>
            <w:hideMark/>
          </w:tcPr>
          <w:p w:rsidR="002B2E31" w:rsidRPr="00151881" w:rsidP="006D0304" w14:paraId="1B43539F"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0EBB163" w14:textId="77777777">
            <w:pPr>
              <w:jc w:val="center"/>
              <w:rPr>
                <w:rFonts w:cstheme="minorHAnsi"/>
              </w:rPr>
            </w:pPr>
            <w:r w:rsidRPr="00151881">
              <w:rPr>
                <w:rFonts w:cstheme="minorHAnsi"/>
              </w:rPr>
              <w:t>Moderate</w:t>
            </w:r>
          </w:p>
        </w:tc>
      </w:tr>
      <w:tr w14:paraId="5B602699" w14:textId="77777777" w:rsidTr="006D0304">
        <w:tblPrEx>
          <w:tblW w:w="8275" w:type="dxa"/>
          <w:jc w:val="center"/>
          <w:tblLook w:val="04A0"/>
        </w:tblPrEx>
        <w:trPr>
          <w:trHeight w:val="525"/>
          <w:jc w:val="center"/>
        </w:trPr>
        <w:tc>
          <w:tcPr>
            <w:tcW w:w="3325" w:type="dxa"/>
            <w:hideMark/>
          </w:tcPr>
          <w:p w:rsidR="002B2E31" w:rsidRPr="00151881" w:rsidP="006D0304" w14:paraId="5693C32D" w14:textId="77777777">
            <w:pPr>
              <w:rPr>
                <w:rFonts w:cstheme="minorHAnsi"/>
              </w:rPr>
            </w:pPr>
            <w:r w:rsidRPr="00151881">
              <w:rPr>
                <w:rFonts w:cstheme="minorHAnsi"/>
              </w:rPr>
              <w:t>New York-Northern New Jersey-Long Island, NY-NJ-CT</w:t>
            </w:r>
          </w:p>
        </w:tc>
        <w:tc>
          <w:tcPr>
            <w:tcW w:w="2070" w:type="dxa"/>
            <w:noWrap/>
            <w:hideMark/>
          </w:tcPr>
          <w:p w:rsidR="002B2E31" w:rsidRPr="00151881" w:rsidP="006D0304" w14:paraId="7DB37EE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A18FAF3" w14:textId="77777777">
            <w:pPr>
              <w:jc w:val="center"/>
              <w:rPr>
                <w:rFonts w:cstheme="minorHAnsi"/>
                <w:color w:val="151515"/>
              </w:rPr>
            </w:pPr>
            <w:r w:rsidRPr="00151881">
              <w:rPr>
                <w:rFonts w:cstheme="minorHAnsi"/>
                <w:color w:val="151515"/>
              </w:rPr>
              <w:t>Moderate</w:t>
            </w:r>
          </w:p>
        </w:tc>
      </w:tr>
      <w:tr w14:paraId="37A5845F" w14:textId="77777777" w:rsidTr="006D0304">
        <w:tblPrEx>
          <w:tblW w:w="8275" w:type="dxa"/>
          <w:jc w:val="center"/>
          <w:tblLook w:val="04A0"/>
        </w:tblPrEx>
        <w:trPr>
          <w:trHeight w:val="300"/>
          <w:jc w:val="center"/>
        </w:trPr>
        <w:tc>
          <w:tcPr>
            <w:tcW w:w="3325" w:type="dxa"/>
            <w:hideMark/>
          </w:tcPr>
          <w:p w:rsidR="002B2E31" w:rsidRPr="00151881" w:rsidP="006D0304" w14:paraId="12B5B21F" w14:textId="77777777">
            <w:pPr>
              <w:rPr>
                <w:rFonts w:cstheme="minorHAnsi"/>
                <w:vertAlign w:val="superscript"/>
              </w:rPr>
            </w:pPr>
            <w:r w:rsidRPr="00151881">
              <w:rPr>
                <w:rFonts w:cstheme="minorHAnsi"/>
              </w:rPr>
              <w:t xml:space="preserve">Northern Wasatch Front, UT </w:t>
            </w:r>
            <w:r w:rsidRPr="00151881">
              <w:rPr>
                <w:rFonts w:cstheme="minorHAnsi"/>
                <w:vertAlign w:val="superscript"/>
              </w:rPr>
              <w:t>10</w:t>
            </w:r>
          </w:p>
        </w:tc>
        <w:tc>
          <w:tcPr>
            <w:tcW w:w="2070" w:type="dxa"/>
            <w:noWrap/>
            <w:hideMark/>
          </w:tcPr>
          <w:p w:rsidR="002B2E31" w:rsidRPr="00151881" w:rsidP="006D0304" w14:paraId="5F7F105F"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28A406CC" w14:textId="77777777">
            <w:pPr>
              <w:jc w:val="center"/>
              <w:rPr>
                <w:rFonts w:cstheme="minorHAnsi"/>
              </w:rPr>
            </w:pPr>
            <w:r w:rsidRPr="00151881">
              <w:rPr>
                <w:rFonts w:cstheme="minorHAnsi"/>
              </w:rPr>
              <w:t>Moderate</w:t>
            </w:r>
          </w:p>
        </w:tc>
      </w:tr>
      <w:tr w14:paraId="3A6578D0" w14:textId="77777777" w:rsidTr="006D0304">
        <w:tblPrEx>
          <w:tblW w:w="8275" w:type="dxa"/>
          <w:jc w:val="center"/>
          <w:tblLook w:val="04A0"/>
        </w:tblPrEx>
        <w:trPr>
          <w:trHeight w:val="525"/>
          <w:jc w:val="center"/>
        </w:trPr>
        <w:tc>
          <w:tcPr>
            <w:tcW w:w="3325" w:type="dxa"/>
            <w:hideMark/>
          </w:tcPr>
          <w:p w:rsidR="002B2E31" w:rsidRPr="00151881" w:rsidP="006D0304" w14:paraId="63D3F631" w14:textId="77777777">
            <w:pPr>
              <w:rPr>
                <w:rFonts w:cstheme="minorHAnsi"/>
                <w:vertAlign w:val="superscript"/>
              </w:rPr>
            </w:pPr>
            <w:r w:rsidRPr="00151881">
              <w:rPr>
                <w:rFonts w:cstheme="minorHAnsi"/>
              </w:rPr>
              <w:t xml:space="preserve">Pechanga Band of Luiseno Mission Indians of the Pechanga Reservation </w:t>
            </w:r>
            <w:r w:rsidRPr="00151881">
              <w:rPr>
                <w:rFonts w:cstheme="minorHAnsi"/>
                <w:vertAlign w:val="superscript"/>
              </w:rPr>
              <w:t>10</w:t>
            </w:r>
          </w:p>
        </w:tc>
        <w:tc>
          <w:tcPr>
            <w:tcW w:w="2070" w:type="dxa"/>
            <w:noWrap/>
            <w:hideMark/>
          </w:tcPr>
          <w:p w:rsidR="002B2E31" w:rsidRPr="00151881" w:rsidP="006D0304" w14:paraId="5598B328"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5E1DDAF3" w14:textId="77777777">
            <w:pPr>
              <w:jc w:val="center"/>
              <w:rPr>
                <w:rFonts w:cstheme="minorHAnsi"/>
              </w:rPr>
            </w:pPr>
            <w:r w:rsidRPr="00151881">
              <w:rPr>
                <w:rFonts w:cstheme="minorHAnsi"/>
              </w:rPr>
              <w:t>Moderate</w:t>
            </w:r>
          </w:p>
        </w:tc>
      </w:tr>
      <w:tr w14:paraId="310E187A" w14:textId="77777777" w:rsidTr="006D0304">
        <w:tblPrEx>
          <w:tblW w:w="8275" w:type="dxa"/>
          <w:jc w:val="center"/>
          <w:tblLook w:val="04A0"/>
        </w:tblPrEx>
        <w:trPr>
          <w:trHeight w:val="525"/>
          <w:jc w:val="center"/>
        </w:trPr>
        <w:tc>
          <w:tcPr>
            <w:tcW w:w="3325" w:type="dxa"/>
            <w:hideMark/>
          </w:tcPr>
          <w:p w:rsidR="002B2E31" w:rsidRPr="00151881" w:rsidP="006D0304" w14:paraId="61D8A9EA" w14:textId="77777777">
            <w:pPr>
              <w:rPr>
                <w:rFonts w:cstheme="minorHAnsi"/>
                <w:vertAlign w:val="superscript"/>
              </w:rPr>
            </w:pPr>
            <w:r w:rsidRPr="00151881">
              <w:rPr>
                <w:rFonts w:cstheme="minorHAnsi"/>
              </w:rPr>
              <w:t xml:space="preserve">Philadelphia-Wilmington-Atlantic City, PA-NJ-MD-DE </w:t>
            </w:r>
            <w:r w:rsidRPr="00151881">
              <w:rPr>
                <w:rFonts w:cstheme="minorHAnsi"/>
                <w:vertAlign w:val="superscript"/>
              </w:rPr>
              <w:t>10</w:t>
            </w:r>
          </w:p>
        </w:tc>
        <w:tc>
          <w:tcPr>
            <w:tcW w:w="2070" w:type="dxa"/>
            <w:noWrap/>
            <w:hideMark/>
          </w:tcPr>
          <w:p w:rsidR="002B2E31" w:rsidRPr="00151881" w:rsidP="006D0304" w14:paraId="4FFB547E"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77E5417C" w14:textId="77777777">
            <w:pPr>
              <w:jc w:val="center"/>
              <w:rPr>
                <w:rFonts w:cstheme="minorHAnsi"/>
              </w:rPr>
            </w:pPr>
            <w:r w:rsidRPr="00151881">
              <w:rPr>
                <w:rFonts w:cstheme="minorHAnsi"/>
              </w:rPr>
              <w:t>Moderate</w:t>
            </w:r>
          </w:p>
        </w:tc>
      </w:tr>
      <w:tr w14:paraId="664DFE37" w14:textId="77777777" w:rsidTr="006D0304">
        <w:tblPrEx>
          <w:tblW w:w="8275" w:type="dxa"/>
          <w:jc w:val="center"/>
          <w:tblLook w:val="04A0"/>
        </w:tblPrEx>
        <w:trPr>
          <w:trHeight w:val="300"/>
          <w:jc w:val="center"/>
        </w:trPr>
        <w:tc>
          <w:tcPr>
            <w:tcW w:w="3325" w:type="dxa"/>
            <w:hideMark/>
          </w:tcPr>
          <w:p w:rsidR="002B2E31" w:rsidRPr="00151881" w:rsidP="006D0304" w14:paraId="04CDBF7D" w14:textId="77777777">
            <w:pPr>
              <w:rPr>
                <w:rFonts w:cstheme="minorHAnsi"/>
                <w:vertAlign w:val="superscript"/>
              </w:rPr>
            </w:pPr>
            <w:r w:rsidRPr="00151881">
              <w:rPr>
                <w:rFonts w:cstheme="minorHAnsi"/>
              </w:rPr>
              <w:t xml:space="preserve">Phoenix-Mesa, AZ </w:t>
            </w:r>
            <w:r w:rsidRPr="00151881">
              <w:rPr>
                <w:rFonts w:cstheme="minorHAnsi"/>
                <w:vertAlign w:val="superscript"/>
              </w:rPr>
              <w:t>10</w:t>
            </w:r>
          </w:p>
        </w:tc>
        <w:tc>
          <w:tcPr>
            <w:tcW w:w="2070" w:type="dxa"/>
            <w:noWrap/>
            <w:hideMark/>
          </w:tcPr>
          <w:p w:rsidR="002B2E31" w:rsidRPr="00151881" w:rsidP="006D0304" w14:paraId="6437D69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D30DAFD" w14:textId="77777777">
            <w:pPr>
              <w:jc w:val="center"/>
              <w:rPr>
                <w:rFonts w:cstheme="minorHAnsi"/>
              </w:rPr>
            </w:pPr>
            <w:r w:rsidRPr="00151881">
              <w:rPr>
                <w:rFonts w:cstheme="minorHAnsi"/>
              </w:rPr>
              <w:t>Moderate</w:t>
            </w:r>
          </w:p>
        </w:tc>
      </w:tr>
      <w:tr w14:paraId="08D94139" w14:textId="77777777" w:rsidTr="006D0304">
        <w:tblPrEx>
          <w:tblW w:w="8275" w:type="dxa"/>
          <w:jc w:val="center"/>
          <w:tblLook w:val="04A0"/>
        </w:tblPrEx>
        <w:trPr>
          <w:trHeight w:val="300"/>
          <w:jc w:val="center"/>
        </w:trPr>
        <w:tc>
          <w:tcPr>
            <w:tcW w:w="3325" w:type="dxa"/>
            <w:hideMark/>
          </w:tcPr>
          <w:p w:rsidR="002B2E31" w:rsidRPr="00151881" w:rsidP="006D0304" w14:paraId="591E69CF" w14:textId="77777777">
            <w:pPr>
              <w:rPr>
                <w:rFonts w:cstheme="minorHAnsi"/>
                <w:vertAlign w:val="superscript"/>
              </w:rPr>
            </w:pPr>
            <w:r w:rsidRPr="00151881">
              <w:rPr>
                <w:rFonts w:cstheme="minorHAnsi"/>
              </w:rPr>
              <w:t xml:space="preserve">San Antonio, TX </w:t>
            </w:r>
            <w:r w:rsidRPr="00151881">
              <w:rPr>
                <w:rFonts w:cstheme="minorHAnsi"/>
                <w:vertAlign w:val="superscript"/>
              </w:rPr>
              <w:t>10</w:t>
            </w:r>
          </w:p>
        </w:tc>
        <w:tc>
          <w:tcPr>
            <w:tcW w:w="2070" w:type="dxa"/>
            <w:noWrap/>
            <w:hideMark/>
          </w:tcPr>
          <w:p w:rsidR="002B2E31" w:rsidRPr="00151881" w:rsidP="006D0304" w14:paraId="7ECDFE44"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FA06F43" w14:textId="77777777">
            <w:pPr>
              <w:jc w:val="center"/>
              <w:rPr>
                <w:rFonts w:cstheme="minorHAnsi"/>
              </w:rPr>
            </w:pPr>
            <w:r w:rsidRPr="00151881">
              <w:rPr>
                <w:rFonts w:cstheme="minorHAnsi"/>
              </w:rPr>
              <w:t>Moderate</w:t>
            </w:r>
          </w:p>
        </w:tc>
      </w:tr>
      <w:tr w14:paraId="03CE98DA" w14:textId="77777777" w:rsidTr="006D0304">
        <w:tblPrEx>
          <w:tblW w:w="8275" w:type="dxa"/>
          <w:jc w:val="center"/>
          <w:tblLook w:val="04A0"/>
        </w:tblPrEx>
        <w:trPr>
          <w:trHeight w:val="300"/>
          <w:jc w:val="center"/>
        </w:trPr>
        <w:tc>
          <w:tcPr>
            <w:tcW w:w="3325" w:type="dxa"/>
            <w:hideMark/>
          </w:tcPr>
          <w:p w:rsidR="002B2E31" w:rsidRPr="00151881" w:rsidP="006D0304" w14:paraId="11A7E00E" w14:textId="77777777">
            <w:pPr>
              <w:rPr>
                <w:rFonts w:cstheme="minorHAnsi"/>
                <w:vertAlign w:val="superscript"/>
              </w:rPr>
            </w:pPr>
            <w:r w:rsidRPr="00151881">
              <w:rPr>
                <w:rFonts w:cstheme="minorHAnsi"/>
              </w:rPr>
              <w:t xml:space="preserve">Sheboygan County, WI </w:t>
            </w:r>
            <w:r w:rsidRPr="00151881">
              <w:rPr>
                <w:rFonts w:cstheme="minorHAnsi"/>
                <w:vertAlign w:val="superscript"/>
              </w:rPr>
              <w:t>10</w:t>
            </w:r>
          </w:p>
        </w:tc>
        <w:tc>
          <w:tcPr>
            <w:tcW w:w="2070" w:type="dxa"/>
            <w:noWrap/>
            <w:hideMark/>
          </w:tcPr>
          <w:p w:rsidR="002B2E31" w:rsidRPr="00151881" w:rsidP="006D0304" w14:paraId="704B435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12633AAC" w14:textId="77777777">
            <w:pPr>
              <w:jc w:val="center"/>
              <w:rPr>
                <w:rFonts w:cstheme="minorHAnsi"/>
              </w:rPr>
            </w:pPr>
            <w:r w:rsidRPr="00151881">
              <w:rPr>
                <w:rFonts w:cstheme="minorHAnsi"/>
              </w:rPr>
              <w:t>Moderate</w:t>
            </w:r>
          </w:p>
        </w:tc>
      </w:tr>
      <w:tr w14:paraId="54154000" w14:textId="77777777" w:rsidTr="006D0304">
        <w:tblPrEx>
          <w:tblW w:w="8275" w:type="dxa"/>
          <w:jc w:val="center"/>
          <w:tblLook w:val="04A0"/>
        </w:tblPrEx>
        <w:trPr>
          <w:trHeight w:val="300"/>
          <w:jc w:val="center"/>
        </w:trPr>
        <w:tc>
          <w:tcPr>
            <w:tcW w:w="3325" w:type="dxa"/>
            <w:hideMark/>
          </w:tcPr>
          <w:p w:rsidR="002B2E31" w:rsidRPr="00151881" w:rsidP="006D0304" w14:paraId="27CA97CC" w14:textId="77777777">
            <w:pPr>
              <w:rPr>
                <w:rFonts w:cstheme="minorHAnsi"/>
                <w:vertAlign w:val="superscript"/>
              </w:rPr>
            </w:pPr>
            <w:r w:rsidRPr="00151881">
              <w:rPr>
                <w:rFonts w:cstheme="minorHAnsi"/>
              </w:rPr>
              <w:t xml:space="preserve">St. Louis, MO-IL </w:t>
            </w:r>
            <w:r w:rsidRPr="00151881">
              <w:rPr>
                <w:rFonts w:cstheme="minorHAnsi"/>
                <w:vertAlign w:val="superscript"/>
              </w:rPr>
              <w:t>10</w:t>
            </w:r>
          </w:p>
        </w:tc>
        <w:tc>
          <w:tcPr>
            <w:tcW w:w="2070" w:type="dxa"/>
            <w:noWrap/>
            <w:hideMark/>
          </w:tcPr>
          <w:p w:rsidR="002B2E31" w:rsidRPr="00151881" w:rsidP="006D0304" w14:paraId="222E3438"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1960A47" w14:textId="77777777">
            <w:pPr>
              <w:jc w:val="center"/>
              <w:rPr>
                <w:rFonts w:cstheme="minorHAnsi"/>
              </w:rPr>
            </w:pPr>
            <w:r w:rsidRPr="00151881">
              <w:rPr>
                <w:rFonts w:cstheme="minorHAnsi"/>
              </w:rPr>
              <w:t>Moderate</w:t>
            </w:r>
          </w:p>
        </w:tc>
      </w:tr>
      <w:tr w14:paraId="69F8BF5C" w14:textId="77777777" w:rsidTr="006D0304">
        <w:tblPrEx>
          <w:tblW w:w="8275" w:type="dxa"/>
          <w:jc w:val="center"/>
          <w:tblLook w:val="04A0"/>
        </w:tblPrEx>
        <w:trPr>
          <w:trHeight w:val="300"/>
          <w:jc w:val="center"/>
        </w:trPr>
        <w:tc>
          <w:tcPr>
            <w:tcW w:w="3325" w:type="dxa"/>
            <w:hideMark/>
          </w:tcPr>
          <w:p w:rsidR="002B2E31" w:rsidRPr="00151881" w:rsidP="006D0304" w14:paraId="4E4523A7" w14:textId="77777777">
            <w:pPr>
              <w:rPr>
                <w:rFonts w:cstheme="minorHAnsi"/>
                <w:vertAlign w:val="superscript"/>
              </w:rPr>
            </w:pPr>
            <w:r w:rsidRPr="00151881">
              <w:rPr>
                <w:rFonts w:cstheme="minorHAnsi"/>
              </w:rPr>
              <w:t xml:space="preserve">Washington, DC-MD-VA </w:t>
            </w:r>
            <w:r w:rsidRPr="00151881">
              <w:rPr>
                <w:rFonts w:cstheme="minorHAnsi"/>
                <w:vertAlign w:val="superscript"/>
              </w:rPr>
              <w:t>10</w:t>
            </w:r>
          </w:p>
        </w:tc>
        <w:tc>
          <w:tcPr>
            <w:tcW w:w="2070" w:type="dxa"/>
            <w:noWrap/>
            <w:hideMark/>
          </w:tcPr>
          <w:p w:rsidR="002B2E31" w:rsidRPr="00151881" w:rsidP="006D0304" w14:paraId="4D75ADD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69AC15C" w14:textId="77777777">
            <w:pPr>
              <w:jc w:val="center"/>
              <w:rPr>
                <w:rFonts w:cstheme="minorHAnsi"/>
              </w:rPr>
            </w:pPr>
            <w:r w:rsidRPr="00151881">
              <w:rPr>
                <w:rFonts w:cstheme="minorHAnsi"/>
              </w:rPr>
              <w:t>Moderate</w:t>
            </w:r>
          </w:p>
        </w:tc>
      </w:tr>
      <w:tr w14:paraId="5C1A21F8" w14:textId="77777777" w:rsidTr="006D0304">
        <w:tblPrEx>
          <w:tblW w:w="8275" w:type="dxa"/>
          <w:jc w:val="center"/>
          <w:tblLook w:val="04A0"/>
        </w:tblPrEx>
        <w:trPr>
          <w:trHeight w:val="300"/>
          <w:jc w:val="center"/>
        </w:trPr>
        <w:tc>
          <w:tcPr>
            <w:tcW w:w="3325" w:type="dxa"/>
            <w:hideMark/>
          </w:tcPr>
          <w:p w:rsidR="002B2E31" w:rsidRPr="00151881" w:rsidP="006D0304" w14:paraId="06D21D91" w14:textId="77777777">
            <w:pPr>
              <w:rPr>
                <w:rFonts w:cstheme="minorHAnsi"/>
              </w:rPr>
            </w:pPr>
            <w:r w:rsidRPr="00151881">
              <w:rPr>
                <w:rFonts w:cstheme="minorHAnsi"/>
              </w:rPr>
              <w:t>Amador County, CA</w:t>
            </w:r>
          </w:p>
        </w:tc>
        <w:tc>
          <w:tcPr>
            <w:tcW w:w="2070" w:type="dxa"/>
            <w:noWrap/>
            <w:hideMark/>
          </w:tcPr>
          <w:p w:rsidR="002B2E31" w:rsidRPr="00151881" w:rsidP="006D0304" w14:paraId="45C501CB"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1E2927A" w14:textId="77777777">
            <w:pPr>
              <w:jc w:val="center"/>
              <w:rPr>
                <w:rFonts w:cstheme="minorHAnsi"/>
                <w:color w:val="151515"/>
              </w:rPr>
            </w:pPr>
            <w:r w:rsidRPr="00151881">
              <w:rPr>
                <w:rFonts w:cstheme="minorHAnsi"/>
                <w:color w:val="151515"/>
              </w:rPr>
              <w:t>Marginal</w:t>
            </w:r>
          </w:p>
        </w:tc>
      </w:tr>
      <w:tr w14:paraId="45A750DC" w14:textId="77777777" w:rsidTr="006D0304">
        <w:tblPrEx>
          <w:tblW w:w="8275" w:type="dxa"/>
          <w:jc w:val="center"/>
          <w:tblLook w:val="04A0"/>
        </w:tblPrEx>
        <w:trPr>
          <w:trHeight w:val="300"/>
          <w:jc w:val="center"/>
        </w:trPr>
        <w:tc>
          <w:tcPr>
            <w:tcW w:w="3325" w:type="dxa"/>
            <w:hideMark/>
          </w:tcPr>
          <w:p w:rsidR="002B2E31" w:rsidRPr="00151881" w:rsidP="006D0304" w14:paraId="71960427" w14:textId="77777777">
            <w:pPr>
              <w:rPr>
                <w:rFonts w:cstheme="minorHAnsi"/>
              </w:rPr>
            </w:pPr>
            <w:r w:rsidRPr="00151881">
              <w:rPr>
                <w:rFonts w:cstheme="minorHAnsi"/>
              </w:rPr>
              <w:t>Atlanta, GA</w:t>
            </w:r>
            <w:r>
              <w:rPr>
                <w:rStyle w:val="FootnoteReference"/>
                <w:rFonts w:cstheme="minorHAnsi"/>
              </w:rPr>
              <w:footnoteReference w:id="11"/>
            </w:r>
          </w:p>
        </w:tc>
        <w:tc>
          <w:tcPr>
            <w:tcW w:w="2070" w:type="dxa"/>
            <w:noWrap/>
            <w:hideMark/>
          </w:tcPr>
          <w:p w:rsidR="002B2E31" w:rsidRPr="00151881" w:rsidP="006D0304" w14:paraId="232A3CF0"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267084E7" w14:textId="77777777">
            <w:pPr>
              <w:jc w:val="center"/>
              <w:rPr>
                <w:rFonts w:cstheme="minorHAnsi"/>
                <w:color w:val="151515"/>
              </w:rPr>
            </w:pPr>
            <w:r w:rsidRPr="00151881">
              <w:rPr>
                <w:rFonts w:cstheme="minorHAnsi"/>
                <w:color w:val="151515"/>
              </w:rPr>
              <w:t>Marginal</w:t>
            </w:r>
          </w:p>
        </w:tc>
      </w:tr>
      <w:tr w14:paraId="1810509D" w14:textId="77777777" w:rsidTr="006D0304">
        <w:tblPrEx>
          <w:tblW w:w="8275" w:type="dxa"/>
          <w:jc w:val="center"/>
          <w:tblLook w:val="04A0"/>
        </w:tblPrEx>
        <w:trPr>
          <w:trHeight w:val="300"/>
          <w:jc w:val="center"/>
        </w:trPr>
        <w:tc>
          <w:tcPr>
            <w:tcW w:w="3325" w:type="dxa"/>
            <w:hideMark/>
          </w:tcPr>
          <w:p w:rsidR="002B2E31" w:rsidRPr="00151881" w:rsidP="006D0304" w14:paraId="3ED5D194" w14:textId="77777777">
            <w:pPr>
              <w:rPr>
                <w:rFonts w:cstheme="minorHAnsi"/>
              </w:rPr>
            </w:pPr>
            <w:r w:rsidRPr="00151881">
              <w:rPr>
                <w:rFonts w:cstheme="minorHAnsi"/>
              </w:rPr>
              <w:t>Butte County, CA</w:t>
            </w:r>
          </w:p>
        </w:tc>
        <w:tc>
          <w:tcPr>
            <w:tcW w:w="2070" w:type="dxa"/>
            <w:noWrap/>
            <w:hideMark/>
          </w:tcPr>
          <w:p w:rsidR="002B2E31" w:rsidRPr="00151881" w:rsidP="006D0304" w14:paraId="2BD5E373"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7836D99" w14:textId="77777777">
            <w:pPr>
              <w:jc w:val="center"/>
              <w:rPr>
                <w:rFonts w:cstheme="minorHAnsi"/>
                <w:color w:val="151515"/>
              </w:rPr>
            </w:pPr>
            <w:r w:rsidRPr="00151881">
              <w:rPr>
                <w:rFonts w:cstheme="minorHAnsi"/>
                <w:color w:val="151515"/>
              </w:rPr>
              <w:t>Marginal</w:t>
            </w:r>
          </w:p>
        </w:tc>
      </w:tr>
      <w:tr w14:paraId="496CF816" w14:textId="77777777" w:rsidTr="006D0304">
        <w:tblPrEx>
          <w:tblW w:w="8275" w:type="dxa"/>
          <w:jc w:val="center"/>
          <w:tblLook w:val="04A0"/>
        </w:tblPrEx>
        <w:trPr>
          <w:trHeight w:val="300"/>
          <w:jc w:val="center"/>
        </w:trPr>
        <w:tc>
          <w:tcPr>
            <w:tcW w:w="3325" w:type="dxa"/>
            <w:hideMark/>
          </w:tcPr>
          <w:p w:rsidR="002B2E31" w:rsidRPr="00151881" w:rsidP="006D0304" w14:paraId="44F15C32" w14:textId="77777777">
            <w:pPr>
              <w:rPr>
                <w:rFonts w:cstheme="minorHAnsi"/>
              </w:rPr>
            </w:pPr>
            <w:r w:rsidRPr="00151881">
              <w:rPr>
                <w:rFonts w:cstheme="minorHAnsi"/>
              </w:rPr>
              <w:t>Calaveras County, CA</w:t>
            </w:r>
          </w:p>
        </w:tc>
        <w:tc>
          <w:tcPr>
            <w:tcW w:w="2070" w:type="dxa"/>
            <w:noWrap/>
            <w:hideMark/>
          </w:tcPr>
          <w:p w:rsidR="002B2E31" w:rsidRPr="00151881" w:rsidP="006D0304" w14:paraId="7A6AB6BD"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AF162EC" w14:textId="77777777">
            <w:pPr>
              <w:jc w:val="center"/>
              <w:rPr>
                <w:rFonts w:cstheme="minorHAnsi"/>
                <w:color w:val="151515"/>
              </w:rPr>
            </w:pPr>
            <w:r w:rsidRPr="00151881">
              <w:rPr>
                <w:rFonts w:cstheme="minorHAnsi"/>
                <w:color w:val="151515"/>
              </w:rPr>
              <w:t>Marginal</w:t>
            </w:r>
          </w:p>
        </w:tc>
      </w:tr>
      <w:tr w14:paraId="709A48A6" w14:textId="77777777" w:rsidTr="006D0304">
        <w:tblPrEx>
          <w:tblW w:w="8275" w:type="dxa"/>
          <w:jc w:val="center"/>
          <w:tblLook w:val="04A0"/>
        </w:tblPrEx>
        <w:trPr>
          <w:trHeight w:val="300"/>
          <w:jc w:val="center"/>
        </w:trPr>
        <w:tc>
          <w:tcPr>
            <w:tcW w:w="3325" w:type="dxa"/>
            <w:hideMark/>
          </w:tcPr>
          <w:p w:rsidR="002B2E31" w:rsidRPr="00151881" w:rsidP="006D0304" w14:paraId="747643AC" w14:textId="77777777">
            <w:pPr>
              <w:rPr>
                <w:rFonts w:cstheme="minorHAnsi"/>
              </w:rPr>
            </w:pPr>
            <w:r w:rsidRPr="00151881">
              <w:rPr>
                <w:rFonts w:cstheme="minorHAnsi"/>
              </w:rPr>
              <w:t>Cincinnati, OH-KY</w:t>
            </w:r>
            <w:r>
              <w:rPr>
                <w:rStyle w:val="FootnoteReference"/>
                <w:rFonts w:cstheme="minorHAnsi"/>
              </w:rPr>
              <w:footnoteReference w:id="12"/>
            </w:r>
          </w:p>
        </w:tc>
        <w:tc>
          <w:tcPr>
            <w:tcW w:w="2070" w:type="dxa"/>
            <w:noWrap/>
            <w:hideMark/>
          </w:tcPr>
          <w:p w:rsidR="002B2E31" w:rsidRPr="00151881" w:rsidP="006D0304" w14:paraId="780F1BF6"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76B09D95" w14:textId="77777777">
            <w:pPr>
              <w:jc w:val="center"/>
              <w:rPr>
                <w:rFonts w:cstheme="minorHAnsi"/>
              </w:rPr>
            </w:pPr>
            <w:r w:rsidRPr="00151881">
              <w:rPr>
                <w:rFonts w:cstheme="minorHAnsi"/>
              </w:rPr>
              <w:t>Marginal</w:t>
            </w:r>
          </w:p>
        </w:tc>
      </w:tr>
      <w:tr w14:paraId="43323C58" w14:textId="77777777" w:rsidTr="006D0304">
        <w:tblPrEx>
          <w:tblW w:w="8275" w:type="dxa"/>
          <w:jc w:val="center"/>
          <w:tblLook w:val="04A0"/>
        </w:tblPrEx>
        <w:trPr>
          <w:trHeight w:val="300"/>
          <w:jc w:val="center"/>
        </w:trPr>
        <w:tc>
          <w:tcPr>
            <w:tcW w:w="3325" w:type="dxa"/>
            <w:hideMark/>
          </w:tcPr>
          <w:p w:rsidR="002B2E31" w:rsidRPr="00151881" w:rsidP="006D0304" w14:paraId="69E1FB51" w14:textId="77777777">
            <w:pPr>
              <w:rPr>
                <w:rFonts w:cstheme="minorHAnsi"/>
              </w:rPr>
            </w:pPr>
            <w:r w:rsidRPr="00151881">
              <w:rPr>
                <w:rFonts w:cstheme="minorHAnsi"/>
              </w:rPr>
              <w:t>Columbus, OH</w:t>
            </w:r>
            <w:r>
              <w:rPr>
                <w:rStyle w:val="FootnoteReference"/>
                <w:rFonts w:cstheme="minorHAnsi"/>
              </w:rPr>
              <w:footnoteReference w:id="13"/>
            </w:r>
          </w:p>
        </w:tc>
        <w:tc>
          <w:tcPr>
            <w:tcW w:w="2070" w:type="dxa"/>
            <w:noWrap/>
            <w:hideMark/>
          </w:tcPr>
          <w:p w:rsidR="002B2E31" w:rsidRPr="00151881" w:rsidP="006D0304" w14:paraId="1D734BBD"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6B2D480E" w14:textId="77777777">
            <w:pPr>
              <w:jc w:val="center"/>
              <w:rPr>
                <w:rFonts w:cstheme="minorHAnsi"/>
                <w:color w:val="151515"/>
              </w:rPr>
            </w:pPr>
            <w:r w:rsidRPr="00151881">
              <w:rPr>
                <w:rFonts w:cstheme="minorHAnsi"/>
                <w:color w:val="151515"/>
              </w:rPr>
              <w:t>Marginal</w:t>
            </w:r>
          </w:p>
        </w:tc>
      </w:tr>
      <w:tr w14:paraId="40B52C09" w14:textId="77777777" w:rsidTr="006D0304">
        <w:tblPrEx>
          <w:tblW w:w="8275" w:type="dxa"/>
          <w:jc w:val="center"/>
          <w:tblLook w:val="04A0"/>
        </w:tblPrEx>
        <w:trPr>
          <w:trHeight w:val="300"/>
          <w:jc w:val="center"/>
        </w:trPr>
        <w:tc>
          <w:tcPr>
            <w:tcW w:w="3325" w:type="dxa"/>
            <w:hideMark/>
          </w:tcPr>
          <w:p w:rsidR="002B2E31" w:rsidRPr="00151881" w:rsidP="006D0304" w14:paraId="7941CE29" w14:textId="77777777">
            <w:pPr>
              <w:rPr>
                <w:rFonts w:cstheme="minorHAnsi"/>
              </w:rPr>
            </w:pPr>
            <w:r w:rsidRPr="00151881">
              <w:rPr>
                <w:rFonts w:cstheme="minorHAnsi"/>
              </w:rPr>
              <w:t>El Paso-Las Cruces, TX-NM</w:t>
            </w:r>
          </w:p>
        </w:tc>
        <w:tc>
          <w:tcPr>
            <w:tcW w:w="2070" w:type="dxa"/>
            <w:noWrap/>
            <w:hideMark/>
          </w:tcPr>
          <w:p w:rsidR="002B2E31" w:rsidRPr="00151881" w:rsidP="006D0304" w14:paraId="6C8F050F"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5C20E8E" w14:textId="77777777">
            <w:pPr>
              <w:jc w:val="center"/>
              <w:rPr>
                <w:rFonts w:cstheme="minorHAnsi"/>
                <w:color w:val="151515"/>
              </w:rPr>
            </w:pPr>
            <w:r w:rsidRPr="00151881">
              <w:rPr>
                <w:rFonts w:cstheme="minorHAnsi"/>
                <w:color w:val="151515"/>
              </w:rPr>
              <w:t>Marginal</w:t>
            </w:r>
          </w:p>
        </w:tc>
      </w:tr>
      <w:tr w14:paraId="4A339523" w14:textId="77777777" w:rsidTr="006D0304">
        <w:tblPrEx>
          <w:tblW w:w="8275" w:type="dxa"/>
          <w:jc w:val="center"/>
          <w:tblLook w:val="04A0"/>
        </w:tblPrEx>
        <w:trPr>
          <w:trHeight w:val="300"/>
          <w:jc w:val="center"/>
        </w:trPr>
        <w:tc>
          <w:tcPr>
            <w:tcW w:w="3325" w:type="dxa"/>
            <w:hideMark/>
          </w:tcPr>
          <w:p w:rsidR="002B2E31" w:rsidRPr="00151881" w:rsidP="006D0304" w14:paraId="016735EE" w14:textId="77777777">
            <w:pPr>
              <w:rPr>
                <w:rFonts w:cstheme="minorHAnsi"/>
              </w:rPr>
            </w:pPr>
            <w:r w:rsidRPr="00151881">
              <w:rPr>
                <w:rFonts w:cstheme="minorHAnsi"/>
              </w:rPr>
              <w:t>Imperial County, CA</w:t>
            </w:r>
          </w:p>
        </w:tc>
        <w:tc>
          <w:tcPr>
            <w:tcW w:w="2070" w:type="dxa"/>
            <w:noWrap/>
            <w:hideMark/>
          </w:tcPr>
          <w:p w:rsidR="002B2E31" w:rsidRPr="00151881" w:rsidP="006D0304" w14:paraId="6F8CAB13"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28BD9EA" w14:textId="77777777">
            <w:pPr>
              <w:jc w:val="center"/>
              <w:rPr>
                <w:rFonts w:cstheme="minorHAnsi"/>
                <w:color w:val="151515"/>
              </w:rPr>
            </w:pPr>
            <w:r w:rsidRPr="00151881">
              <w:rPr>
                <w:rFonts w:cstheme="minorHAnsi"/>
                <w:color w:val="151515"/>
              </w:rPr>
              <w:t>Marginal</w:t>
            </w:r>
          </w:p>
        </w:tc>
      </w:tr>
      <w:tr w14:paraId="42B5B1F7" w14:textId="77777777" w:rsidTr="006D0304">
        <w:tblPrEx>
          <w:tblW w:w="8275" w:type="dxa"/>
          <w:jc w:val="center"/>
          <w:tblLook w:val="04A0"/>
        </w:tblPrEx>
        <w:trPr>
          <w:trHeight w:val="300"/>
          <w:jc w:val="center"/>
        </w:trPr>
        <w:tc>
          <w:tcPr>
            <w:tcW w:w="3325" w:type="dxa"/>
            <w:hideMark/>
          </w:tcPr>
          <w:p w:rsidR="002B2E31" w:rsidRPr="00151881" w:rsidP="006D0304" w14:paraId="37ED4339" w14:textId="77777777">
            <w:pPr>
              <w:rPr>
                <w:rFonts w:cstheme="minorHAnsi"/>
              </w:rPr>
            </w:pPr>
            <w:r w:rsidRPr="00151881">
              <w:rPr>
                <w:rFonts w:cstheme="minorHAnsi"/>
              </w:rPr>
              <w:t>Louisville, KY-IN</w:t>
            </w:r>
            <w:r>
              <w:rPr>
                <w:rStyle w:val="FootnoteReference"/>
                <w:rFonts w:cstheme="minorHAnsi"/>
              </w:rPr>
              <w:footnoteReference w:id="14"/>
            </w:r>
          </w:p>
        </w:tc>
        <w:tc>
          <w:tcPr>
            <w:tcW w:w="2070" w:type="dxa"/>
            <w:noWrap/>
            <w:hideMark/>
          </w:tcPr>
          <w:p w:rsidR="002B2E31" w:rsidRPr="00151881" w:rsidP="006D0304" w14:paraId="2438B494"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2E74678F" w14:textId="77777777">
            <w:pPr>
              <w:jc w:val="center"/>
              <w:rPr>
                <w:rFonts w:cstheme="minorHAnsi"/>
              </w:rPr>
            </w:pPr>
            <w:r w:rsidRPr="00151881">
              <w:rPr>
                <w:rFonts w:cstheme="minorHAnsi"/>
              </w:rPr>
              <w:t>Marginal</w:t>
            </w:r>
          </w:p>
        </w:tc>
      </w:tr>
      <w:tr w14:paraId="16F14AA1" w14:textId="77777777" w:rsidTr="006D0304">
        <w:tblPrEx>
          <w:tblW w:w="8275" w:type="dxa"/>
          <w:jc w:val="center"/>
          <w:tblLook w:val="04A0"/>
        </w:tblPrEx>
        <w:trPr>
          <w:trHeight w:val="300"/>
          <w:jc w:val="center"/>
        </w:trPr>
        <w:tc>
          <w:tcPr>
            <w:tcW w:w="3325" w:type="dxa"/>
            <w:hideMark/>
          </w:tcPr>
          <w:p w:rsidR="002B2E31" w:rsidRPr="00151881" w:rsidP="006D0304" w14:paraId="4F79227A" w14:textId="77777777">
            <w:pPr>
              <w:rPr>
                <w:rFonts w:cstheme="minorHAnsi"/>
              </w:rPr>
            </w:pPr>
            <w:r w:rsidRPr="00151881">
              <w:rPr>
                <w:rFonts w:cstheme="minorHAnsi"/>
              </w:rPr>
              <w:t>Manitowoc County, WI</w:t>
            </w:r>
            <w:r>
              <w:rPr>
                <w:rStyle w:val="FootnoteReference"/>
                <w:rFonts w:cstheme="minorHAnsi"/>
              </w:rPr>
              <w:footnoteReference w:id="15"/>
            </w:r>
          </w:p>
        </w:tc>
        <w:tc>
          <w:tcPr>
            <w:tcW w:w="2070" w:type="dxa"/>
            <w:noWrap/>
            <w:hideMark/>
          </w:tcPr>
          <w:p w:rsidR="002B2E31" w:rsidRPr="00151881" w:rsidP="006D0304" w14:paraId="752C82AD"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479E1751" w14:textId="77777777">
            <w:pPr>
              <w:jc w:val="center"/>
              <w:rPr>
                <w:rFonts w:cstheme="minorHAnsi"/>
                <w:color w:val="151515"/>
              </w:rPr>
            </w:pPr>
            <w:r w:rsidRPr="00151881">
              <w:rPr>
                <w:rFonts w:cstheme="minorHAnsi"/>
                <w:color w:val="151515"/>
              </w:rPr>
              <w:t>Marginal</w:t>
            </w:r>
          </w:p>
        </w:tc>
      </w:tr>
      <w:tr w14:paraId="4A079D0E" w14:textId="77777777" w:rsidTr="006D0304">
        <w:tblPrEx>
          <w:tblW w:w="8275" w:type="dxa"/>
          <w:jc w:val="center"/>
          <w:tblLook w:val="04A0"/>
        </w:tblPrEx>
        <w:trPr>
          <w:trHeight w:val="300"/>
          <w:jc w:val="center"/>
        </w:trPr>
        <w:tc>
          <w:tcPr>
            <w:tcW w:w="3325" w:type="dxa"/>
            <w:hideMark/>
          </w:tcPr>
          <w:p w:rsidR="002B2E31" w:rsidRPr="00151881" w:rsidP="006D0304" w14:paraId="41C8D1EA" w14:textId="77777777">
            <w:pPr>
              <w:rPr>
                <w:rFonts w:cstheme="minorHAnsi"/>
              </w:rPr>
            </w:pPr>
            <w:r w:rsidRPr="00151881">
              <w:rPr>
                <w:rFonts w:cstheme="minorHAnsi"/>
              </w:rPr>
              <w:t>San Francisco Bay Area, CA</w:t>
            </w:r>
          </w:p>
        </w:tc>
        <w:tc>
          <w:tcPr>
            <w:tcW w:w="2070" w:type="dxa"/>
            <w:noWrap/>
            <w:hideMark/>
          </w:tcPr>
          <w:p w:rsidR="002B2E31" w:rsidRPr="00151881" w:rsidP="006D0304" w14:paraId="5029C62A"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6DA41006" w14:textId="77777777">
            <w:pPr>
              <w:jc w:val="center"/>
              <w:rPr>
                <w:rFonts w:cstheme="minorHAnsi"/>
                <w:color w:val="151515"/>
              </w:rPr>
            </w:pPr>
            <w:r w:rsidRPr="00151881">
              <w:rPr>
                <w:rFonts w:cstheme="minorHAnsi"/>
                <w:color w:val="151515"/>
              </w:rPr>
              <w:t>Marginal</w:t>
            </w:r>
          </w:p>
        </w:tc>
      </w:tr>
      <w:tr w14:paraId="1B319831" w14:textId="77777777" w:rsidTr="006D0304">
        <w:tblPrEx>
          <w:tblW w:w="8275" w:type="dxa"/>
          <w:jc w:val="center"/>
          <w:tblLook w:val="04A0"/>
        </w:tblPrEx>
        <w:trPr>
          <w:trHeight w:val="300"/>
          <w:jc w:val="center"/>
        </w:trPr>
        <w:tc>
          <w:tcPr>
            <w:tcW w:w="3325" w:type="dxa"/>
            <w:hideMark/>
          </w:tcPr>
          <w:p w:rsidR="002B2E31" w:rsidRPr="00151881" w:rsidP="006D0304" w14:paraId="21210B10" w14:textId="77777777">
            <w:pPr>
              <w:rPr>
                <w:rFonts w:cstheme="minorHAnsi"/>
              </w:rPr>
            </w:pPr>
            <w:r w:rsidRPr="00151881">
              <w:rPr>
                <w:rFonts w:cstheme="minorHAnsi"/>
              </w:rPr>
              <w:t>San Luis Obispo (Eastern part), CA</w:t>
            </w:r>
          </w:p>
        </w:tc>
        <w:tc>
          <w:tcPr>
            <w:tcW w:w="2070" w:type="dxa"/>
            <w:noWrap/>
            <w:hideMark/>
          </w:tcPr>
          <w:p w:rsidR="002B2E31" w:rsidRPr="00151881" w:rsidP="006D0304" w14:paraId="0BB22AA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D1AE0DF" w14:textId="77777777">
            <w:pPr>
              <w:jc w:val="center"/>
              <w:rPr>
                <w:rFonts w:cstheme="minorHAnsi"/>
                <w:color w:val="151515"/>
              </w:rPr>
            </w:pPr>
            <w:r w:rsidRPr="00151881">
              <w:rPr>
                <w:rFonts w:cstheme="minorHAnsi"/>
                <w:color w:val="151515"/>
              </w:rPr>
              <w:t>Marginal</w:t>
            </w:r>
          </w:p>
        </w:tc>
      </w:tr>
      <w:tr w14:paraId="65416D50" w14:textId="77777777" w:rsidTr="006D0304">
        <w:tblPrEx>
          <w:tblW w:w="8275" w:type="dxa"/>
          <w:jc w:val="center"/>
          <w:tblLook w:val="04A0"/>
        </w:tblPrEx>
        <w:trPr>
          <w:trHeight w:val="300"/>
          <w:jc w:val="center"/>
        </w:trPr>
        <w:tc>
          <w:tcPr>
            <w:tcW w:w="3325" w:type="dxa"/>
            <w:hideMark/>
          </w:tcPr>
          <w:p w:rsidR="002B2E31" w:rsidRPr="00151881" w:rsidP="006D0304" w14:paraId="58A846B9" w14:textId="77777777">
            <w:pPr>
              <w:rPr>
                <w:rFonts w:cstheme="minorHAnsi"/>
              </w:rPr>
            </w:pPr>
            <w:r w:rsidRPr="00151881">
              <w:rPr>
                <w:rFonts w:cstheme="minorHAnsi"/>
              </w:rPr>
              <w:t>Southern Wasatch Front, UT</w:t>
            </w:r>
          </w:p>
        </w:tc>
        <w:tc>
          <w:tcPr>
            <w:tcW w:w="2070" w:type="dxa"/>
            <w:noWrap/>
            <w:hideMark/>
          </w:tcPr>
          <w:p w:rsidR="002B2E31" w:rsidRPr="00151881" w:rsidP="006D0304" w14:paraId="4AAE0684"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113CD198" w14:textId="77777777">
            <w:pPr>
              <w:jc w:val="center"/>
              <w:rPr>
                <w:rFonts w:cstheme="minorHAnsi"/>
                <w:color w:val="151515"/>
              </w:rPr>
            </w:pPr>
            <w:r w:rsidRPr="00151881">
              <w:rPr>
                <w:rFonts w:cstheme="minorHAnsi"/>
                <w:color w:val="151515"/>
              </w:rPr>
              <w:t>Marginal</w:t>
            </w:r>
          </w:p>
        </w:tc>
      </w:tr>
      <w:tr w14:paraId="0BD1ADB2" w14:textId="77777777" w:rsidTr="006D0304">
        <w:tblPrEx>
          <w:tblW w:w="8275" w:type="dxa"/>
          <w:jc w:val="center"/>
          <w:tblLook w:val="04A0"/>
        </w:tblPrEx>
        <w:trPr>
          <w:trHeight w:val="300"/>
          <w:jc w:val="center"/>
        </w:trPr>
        <w:tc>
          <w:tcPr>
            <w:tcW w:w="3325" w:type="dxa"/>
            <w:hideMark/>
          </w:tcPr>
          <w:p w:rsidR="002B2E31" w:rsidRPr="00151881" w:rsidP="006D0304" w14:paraId="1A0B7FA4" w14:textId="77777777">
            <w:pPr>
              <w:rPr>
                <w:rFonts w:cstheme="minorHAnsi"/>
              </w:rPr>
            </w:pPr>
            <w:r w:rsidRPr="00151881">
              <w:rPr>
                <w:rFonts w:cstheme="minorHAnsi"/>
              </w:rPr>
              <w:t>Sutter Buttes, CA</w:t>
            </w:r>
          </w:p>
        </w:tc>
        <w:tc>
          <w:tcPr>
            <w:tcW w:w="2070" w:type="dxa"/>
            <w:noWrap/>
            <w:hideMark/>
          </w:tcPr>
          <w:p w:rsidR="002B2E31" w:rsidRPr="00151881" w:rsidP="006D0304" w14:paraId="462C676E"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3088D149" w14:textId="77777777">
            <w:pPr>
              <w:jc w:val="center"/>
              <w:rPr>
                <w:rFonts w:cstheme="minorHAnsi"/>
                <w:color w:val="151515"/>
              </w:rPr>
            </w:pPr>
            <w:r w:rsidRPr="00151881">
              <w:rPr>
                <w:rFonts w:cstheme="minorHAnsi"/>
                <w:color w:val="151515"/>
              </w:rPr>
              <w:t>Marginal</w:t>
            </w:r>
          </w:p>
        </w:tc>
      </w:tr>
      <w:tr w14:paraId="09C47E49" w14:textId="77777777" w:rsidTr="006D0304">
        <w:tblPrEx>
          <w:tblW w:w="8275" w:type="dxa"/>
          <w:jc w:val="center"/>
          <w:tblLook w:val="04A0"/>
        </w:tblPrEx>
        <w:trPr>
          <w:trHeight w:val="300"/>
          <w:jc w:val="center"/>
        </w:trPr>
        <w:tc>
          <w:tcPr>
            <w:tcW w:w="3325" w:type="dxa"/>
            <w:hideMark/>
          </w:tcPr>
          <w:p w:rsidR="002B2E31" w:rsidRPr="00151881" w:rsidP="006D0304" w14:paraId="060146C8" w14:textId="77777777">
            <w:pPr>
              <w:rPr>
                <w:rFonts w:cstheme="minorHAnsi"/>
              </w:rPr>
            </w:pPr>
            <w:r w:rsidRPr="00151881">
              <w:rPr>
                <w:rFonts w:cstheme="minorHAnsi"/>
              </w:rPr>
              <w:t>Tuolumne County, CA</w:t>
            </w:r>
          </w:p>
        </w:tc>
        <w:tc>
          <w:tcPr>
            <w:tcW w:w="2070" w:type="dxa"/>
            <w:noWrap/>
            <w:hideMark/>
          </w:tcPr>
          <w:p w:rsidR="002B2E31" w:rsidRPr="00151881" w:rsidP="006D0304" w14:paraId="7A05143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2FE5463E" w14:textId="77777777">
            <w:pPr>
              <w:jc w:val="center"/>
              <w:rPr>
                <w:rFonts w:cstheme="minorHAnsi"/>
                <w:color w:val="151515"/>
              </w:rPr>
            </w:pPr>
            <w:r w:rsidRPr="00151881">
              <w:rPr>
                <w:rFonts w:cstheme="minorHAnsi"/>
                <w:color w:val="151515"/>
              </w:rPr>
              <w:t>Marginal</w:t>
            </w:r>
          </w:p>
        </w:tc>
      </w:tr>
      <w:tr w14:paraId="7271C0BB" w14:textId="77777777" w:rsidTr="006D0304">
        <w:tblPrEx>
          <w:tblW w:w="8275" w:type="dxa"/>
          <w:jc w:val="center"/>
          <w:tblLook w:val="04A0"/>
        </w:tblPrEx>
        <w:trPr>
          <w:trHeight w:val="300"/>
          <w:jc w:val="center"/>
        </w:trPr>
        <w:tc>
          <w:tcPr>
            <w:tcW w:w="3325" w:type="dxa"/>
            <w:hideMark/>
          </w:tcPr>
          <w:p w:rsidR="002B2E31" w:rsidRPr="00151881" w:rsidP="006D0304" w14:paraId="522D6E1E" w14:textId="77777777">
            <w:pPr>
              <w:rPr>
                <w:rFonts w:cstheme="minorHAnsi"/>
              </w:rPr>
            </w:pPr>
            <w:r w:rsidRPr="00151881">
              <w:rPr>
                <w:rFonts w:cstheme="minorHAnsi"/>
              </w:rPr>
              <w:t>Uinta Basin, UT</w:t>
            </w:r>
          </w:p>
        </w:tc>
        <w:tc>
          <w:tcPr>
            <w:tcW w:w="2070" w:type="dxa"/>
            <w:noWrap/>
            <w:hideMark/>
          </w:tcPr>
          <w:p w:rsidR="002B2E31" w:rsidRPr="00151881" w:rsidP="006D0304" w14:paraId="33E64632"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241FC914" w14:textId="77777777">
            <w:pPr>
              <w:jc w:val="center"/>
              <w:rPr>
                <w:rFonts w:cstheme="minorHAnsi"/>
                <w:color w:val="151515"/>
              </w:rPr>
            </w:pPr>
            <w:r w:rsidRPr="00151881">
              <w:rPr>
                <w:rFonts w:cstheme="minorHAnsi"/>
                <w:color w:val="151515"/>
              </w:rPr>
              <w:t>Marginal</w:t>
            </w:r>
          </w:p>
        </w:tc>
      </w:tr>
      <w:tr w14:paraId="6ECA8AE0" w14:textId="77777777" w:rsidTr="006D0304">
        <w:tblPrEx>
          <w:tblW w:w="8275" w:type="dxa"/>
          <w:jc w:val="center"/>
          <w:tblLook w:val="04A0"/>
        </w:tblPrEx>
        <w:trPr>
          <w:trHeight w:val="300"/>
          <w:jc w:val="center"/>
        </w:trPr>
        <w:tc>
          <w:tcPr>
            <w:tcW w:w="3325" w:type="dxa"/>
            <w:hideMark/>
          </w:tcPr>
          <w:p w:rsidR="002B2E31" w:rsidRPr="00151881" w:rsidP="006D0304" w14:paraId="10FBB62E" w14:textId="77777777">
            <w:pPr>
              <w:rPr>
                <w:rFonts w:cstheme="minorHAnsi"/>
              </w:rPr>
            </w:pPr>
            <w:r w:rsidRPr="00151881">
              <w:rPr>
                <w:rFonts w:cstheme="minorHAnsi"/>
              </w:rPr>
              <w:t>Yuma, AZ</w:t>
            </w:r>
          </w:p>
        </w:tc>
        <w:tc>
          <w:tcPr>
            <w:tcW w:w="2070" w:type="dxa"/>
            <w:noWrap/>
            <w:hideMark/>
          </w:tcPr>
          <w:p w:rsidR="002B2E31" w:rsidRPr="00151881" w:rsidP="006D0304" w14:paraId="2388BA16"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4F579A62" w14:textId="77777777">
            <w:pPr>
              <w:jc w:val="center"/>
              <w:rPr>
                <w:rFonts w:cstheme="minorHAnsi"/>
                <w:color w:val="151515"/>
              </w:rPr>
            </w:pPr>
            <w:r w:rsidRPr="00151881">
              <w:rPr>
                <w:rFonts w:cstheme="minorHAnsi"/>
                <w:color w:val="151515"/>
              </w:rPr>
              <w:t>Marginal</w:t>
            </w:r>
          </w:p>
        </w:tc>
      </w:tr>
      <w:tr w14:paraId="1F5DBAD6" w14:textId="77777777" w:rsidTr="006D0304">
        <w:tblPrEx>
          <w:tblW w:w="8275" w:type="dxa"/>
          <w:jc w:val="center"/>
          <w:tblLook w:val="04A0"/>
        </w:tblPrEx>
        <w:trPr>
          <w:trHeight w:val="300"/>
          <w:jc w:val="center"/>
        </w:trPr>
        <w:tc>
          <w:tcPr>
            <w:tcW w:w="3325" w:type="dxa"/>
            <w:hideMark/>
          </w:tcPr>
          <w:p w:rsidR="002B2E31" w:rsidRPr="00151881" w:rsidP="006D0304" w14:paraId="6B3E9514" w14:textId="77777777">
            <w:pPr>
              <w:rPr>
                <w:rFonts w:cstheme="minorHAnsi"/>
              </w:rPr>
            </w:pPr>
            <w:r w:rsidRPr="00151881">
              <w:rPr>
                <w:rFonts w:cstheme="minorHAnsi"/>
              </w:rPr>
              <w:t>Door County, WI</w:t>
            </w:r>
            <w:r>
              <w:rPr>
                <w:rStyle w:val="FootnoteReference"/>
                <w:rFonts w:cstheme="minorHAnsi"/>
              </w:rPr>
              <w:footnoteReference w:id="16"/>
            </w:r>
          </w:p>
        </w:tc>
        <w:tc>
          <w:tcPr>
            <w:tcW w:w="2070" w:type="dxa"/>
            <w:noWrap/>
            <w:hideMark/>
          </w:tcPr>
          <w:p w:rsidR="002B2E31" w:rsidRPr="00151881" w:rsidP="006D0304" w14:paraId="5AEA1B12"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621D76A6" w14:textId="77777777">
            <w:pPr>
              <w:jc w:val="center"/>
              <w:rPr>
                <w:rFonts w:cstheme="minorHAnsi"/>
                <w:color w:val="151515"/>
              </w:rPr>
            </w:pPr>
            <w:r w:rsidRPr="00151881">
              <w:rPr>
                <w:rFonts w:cstheme="minorHAnsi"/>
                <w:color w:val="151515"/>
              </w:rPr>
              <w:t>Marginal (Rural Transport)</w:t>
            </w:r>
          </w:p>
        </w:tc>
      </w:tr>
      <w:tr w14:paraId="6FF9EBBF" w14:textId="77777777" w:rsidTr="006D0304">
        <w:tblPrEx>
          <w:tblW w:w="8275" w:type="dxa"/>
          <w:jc w:val="center"/>
          <w:tblLook w:val="04A0"/>
        </w:tblPrEx>
        <w:trPr>
          <w:trHeight w:val="300"/>
          <w:jc w:val="center"/>
        </w:trPr>
        <w:tc>
          <w:tcPr>
            <w:tcW w:w="3325" w:type="dxa"/>
            <w:hideMark/>
          </w:tcPr>
          <w:p w:rsidR="002B2E31" w:rsidRPr="00151881" w:rsidP="006D0304" w14:paraId="69D5793C" w14:textId="77777777">
            <w:pPr>
              <w:rPr>
                <w:rFonts w:cstheme="minorHAnsi"/>
              </w:rPr>
            </w:pPr>
            <w:r w:rsidRPr="00151881">
              <w:rPr>
                <w:rFonts w:cstheme="minorHAnsi"/>
              </w:rPr>
              <w:t>Door County-Revised, WI</w:t>
            </w:r>
            <w:r>
              <w:rPr>
                <w:rStyle w:val="FootnoteReference"/>
                <w:rFonts w:cstheme="minorHAnsi"/>
              </w:rPr>
              <w:footnoteReference w:id="17"/>
            </w:r>
          </w:p>
        </w:tc>
        <w:tc>
          <w:tcPr>
            <w:tcW w:w="2070" w:type="dxa"/>
            <w:noWrap/>
            <w:hideMark/>
          </w:tcPr>
          <w:p w:rsidR="002B2E31" w:rsidRPr="00151881" w:rsidP="006D0304" w14:paraId="3D98D64D" w14:textId="77777777">
            <w:pPr>
              <w:jc w:val="center"/>
              <w:rPr>
                <w:rFonts w:cstheme="minorHAnsi"/>
                <w:color w:val="151515"/>
              </w:rPr>
            </w:pPr>
            <w:r w:rsidRPr="00151881">
              <w:rPr>
                <w:rFonts w:cstheme="minorHAnsi"/>
                <w:color w:val="151515"/>
              </w:rPr>
              <w:t>Maintenance</w:t>
            </w:r>
          </w:p>
        </w:tc>
        <w:tc>
          <w:tcPr>
            <w:tcW w:w="2880" w:type="dxa"/>
            <w:noWrap/>
            <w:hideMark/>
          </w:tcPr>
          <w:p w:rsidR="002B2E31" w:rsidRPr="00151881" w:rsidP="006D0304" w14:paraId="2B622A35" w14:textId="77777777">
            <w:pPr>
              <w:jc w:val="center"/>
              <w:rPr>
                <w:rFonts w:cstheme="minorHAnsi"/>
                <w:color w:val="151515"/>
              </w:rPr>
            </w:pPr>
            <w:r w:rsidRPr="00151881">
              <w:rPr>
                <w:rFonts w:cstheme="minorHAnsi"/>
                <w:color w:val="151515"/>
              </w:rPr>
              <w:t>Marginal (Rural Transport)</w:t>
            </w:r>
          </w:p>
        </w:tc>
      </w:tr>
      <w:tr w14:paraId="7E6DB1FA" w14:textId="77777777" w:rsidTr="006D0304">
        <w:tblPrEx>
          <w:tblW w:w="8275" w:type="dxa"/>
          <w:jc w:val="center"/>
          <w:tblLook w:val="04A0"/>
        </w:tblPrEx>
        <w:trPr>
          <w:trHeight w:val="300"/>
          <w:jc w:val="center"/>
        </w:trPr>
        <w:tc>
          <w:tcPr>
            <w:tcW w:w="3325" w:type="dxa"/>
            <w:hideMark/>
          </w:tcPr>
          <w:p w:rsidR="002B2E31" w:rsidRPr="00151881" w:rsidP="006D0304" w14:paraId="61D5FCF0" w14:textId="77777777">
            <w:pPr>
              <w:rPr>
                <w:rFonts w:cstheme="minorHAnsi"/>
              </w:rPr>
            </w:pPr>
            <w:r w:rsidRPr="00151881">
              <w:rPr>
                <w:rFonts w:cstheme="minorHAnsi"/>
              </w:rPr>
              <w:t>Tuscan Buttes, CA</w:t>
            </w:r>
          </w:p>
        </w:tc>
        <w:tc>
          <w:tcPr>
            <w:tcW w:w="2070" w:type="dxa"/>
            <w:noWrap/>
            <w:hideMark/>
          </w:tcPr>
          <w:p w:rsidR="002B2E31" w:rsidRPr="00151881" w:rsidP="006D0304" w14:paraId="69557B72" w14:textId="77777777">
            <w:pPr>
              <w:jc w:val="center"/>
              <w:rPr>
                <w:rFonts w:cstheme="minorHAnsi"/>
                <w:color w:val="151515"/>
              </w:rPr>
            </w:pPr>
            <w:r w:rsidRPr="00151881">
              <w:rPr>
                <w:rFonts w:cstheme="minorHAnsi"/>
                <w:color w:val="151515"/>
              </w:rPr>
              <w:t>Nonattainment</w:t>
            </w:r>
          </w:p>
        </w:tc>
        <w:tc>
          <w:tcPr>
            <w:tcW w:w="2880" w:type="dxa"/>
            <w:noWrap/>
            <w:hideMark/>
          </w:tcPr>
          <w:p w:rsidR="002B2E31" w:rsidRPr="00151881" w:rsidP="006D0304" w14:paraId="0F6DB2B6" w14:textId="77777777">
            <w:pPr>
              <w:jc w:val="center"/>
              <w:rPr>
                <w:rFonts w:cstheme="minorHAnsi"/>
                <w:color w:val="151515"/>
              </w:rPr>
            </w:pPr>
            <w:r w:rsidRPr="00151881">
              <w:rPr>
                <w:rFonts w:cstheme="minorHAnsi"/>
                <w:color w:val="151515"/>
              </w:rPr>
              <w:t>Marginal (Rural Transport)</w:t>
            </w:r>
          </w:p>
        </w:tc>
      </w:tr>
    </w:tbl>
    <w:p w:rsidR="002B2E31" w:rsidRPr="00151881" w:rsidP="002B2E31" w14:paraId="5151B70F" w14:textId="77777777">
      <w:pPr>
        <w:pStyle w:val="HTMLPreformatted"/>
        <w:rPr>
          <w:rFonts w:asciiTheme="minorHAnsi" w:hAnsiTheme="minorHAnsi" w:cstheme="minorHAnsi"/>
          <w:b/>
          <w:bCs/>
          <w:sz w:val="24"/>
          <w:szCs w:val="24"/>
        </w:rPr>
      </w:pPr>
    </w:p>
    <w:p w:rsidR="002B2E31" w:rsidRPr="00151881" w:rsidP="00587C1E" w14:paraId="46E8A260" w14:textId="0D6A572A">
      <w:pPr>
        <w:rPr>
          <w:rFonts w:cstheme="minorHAnsi"/>
        </w:rPr>
      </w:pPr>
      <w:r w:rsidRPr="00151881">
        <w:rPr>
          <w:rFonts w:cstheme="minorHAnsi"/>
        </w:rPr>
        <w:t>As stated earlier and as indicated in Table 3, some nonattainment areas have portions in more than one state. Furthermore, sometimes</w:t>
      </w:r>
      <w:r>
        <w:rPr>
          <w:rFonts w:cstheme="minorHAnsi"/>
        </w:rPr>
        <w:t>,</w:t>
      </w:r>
      <w:r w:rsidRPr="00151881">
        <w:rPr>
          <w:rFonts w:cstheme="minorHAnsi"/>
        </w:rPr>
        <w:t xml:space="preserve"> these multi-state areas span more than one EPA Region.</w:t>
      </w:r>
      <w:r w:rsidRPr="00EE4D40">
        <w:rPr>
          <w:rFonts w:cstheme="minorHAnsi"/>
        </w:rPr>
        <w:t xml:space="preserve">  </w:t>
      </w:r>
      <w:r w:rsidRPr="00151881">
        <w:rPr>
          <w:rFonts w:cstheme="minorHAnsi"/>
        </w:rPr>
        <w:t xml:space="preserve">For example, the </w:t>
      </w:r>
      <w:r w:rsidRPr="00151881">
        <w:rPr>
          <w:rFonts w:cstheme="minorHAnsi"/>
          <w:bCs/>
        </w:rPr>
        <w:t>Philadelphia-Wilmington-Atlantic City</w:t>
      </w:r>
      <w:r w:rsidRPr="00151881">
        <w:rPr>
          <w:rFonts w:cstheme="minorHAnsi"/>
        </w:rPr>
        <w:t xml:space="preserve"> nonattainment area encompasses </w:t>
      </w:r>
      <w:r>
        <w:rPr>
          <w:rFonts w:cstheme="minorHAnsi"/>
        </w:rPr>
        <w:t>parts</w:t>
      </w:r>
      <w:r w:rsidRPr="00151881">
        <w:rPr>
          <w:rFonts w:cstheme="minorHAnsi"/>
        </w:rPr>
        <w:t xml:space="preserve"> of Pennsylvania, Maryland, New Jersey, and Delaware.</w:t>
      </w:r>
      <w:r w:rsidRPr="00EE4D40">
        <w:rPr>
          <w:rFonts w:cstheme="minorHAnsi"/>
        </w:rPr>
        <w:t xml:space="preserve">  </w:t>
      </w:r>
      <w:r w:rsidRPr="00151881">
        <w:rPr>
          <w:rFonts w:cstheme="minorHAnsi"/>
        </w:rPr>
        <w:t>Pennsylvania, Maryland</w:t>
      </w:r>
      <w:r>
        <w:rPr>
          <w:rFonts w:cstheme="minorHAnsi"/>
        </w:rPr>
        <w:t>,</w:t>
      </w:r>
      <w:r w:rsidRPr="00151881">
        <w:rPr>
          <w:rFonts w:cstheme="minorHAnsi"/>
        </w:rPr>
        <w:t xml:space="preserve"> and Delaware are in EPA Region 3 jurisdiction, while New Jersey is in EPA Region 2 jurisdiction.</w:t>
      </w:r>
      <w:r w:rsidRPr="00EE4D40">
        <w:rPr>
          <w:rFonts w:cstheme="minorHAnsi"/>
        </w:rPr>
        <w:t xml:space="preserve">  </w:t>
      </w:r>
      <w:r w:rsidRPr="00151881">
        <w:rPr>
          <w:rFonts w:cstheme="minorHAnsi"/>
        </w:rPr>
        <w:t>This could increase the administrative burden of the required SIP submissions.</w:t>
      </w:r>
    </w:p>
    <w:p w:rsidR="002B2E31" w:rsidRPr="00151881" w:rsidP="002B2E31" w14:paraId="65AA143D" w14:textId="77777777">
      <w:pPr>
        <w:ind w:left="360"/>
        <w:rPr>
          <w:rFonts w:cstheme="minorHAnsi"/>
        </w:rPr>
      </w:pPr>
      <w:r w:rsidRPr="00151881">
        <w:rPr>
          <w:rFonts w:cstheme="minorHAnsi"/>
        </w:rPr>
        <w:tab/>
      </w:r>
    </w:p>
    <w:p w:rsidR="002B2E31" w:rsidRPr="00151881" w:rsidP="00587C1E" w14:paraId="48D7606B" w14:textId="439E8DAC">
      <w:pPr>
        <w:rPr>
          <w:rFonts w:cstheme="minorHAnsi"/>
        </w:rPr>
      </w:pPr>
      <w:r w:rsidRPr="00151881">
        <w:rPr>
          <w:rFonts w:cstheme="minorHAnsi"/>
        </w:rPr>
        <w:t xml:space="preserve">The numbers of 2015 </w:t>
      </w:r>
      <w:r>
        <w:rPr>
          <w:rFonts w:cstheme="minorHAnsi"/>
        </w:rPr>
        <w:t>ozone</w:t>
      </w:r>
      <w:r w:rsidRPr="00151881">
        <w:rPr>
          <w:rFonts w:cstheme="minorHAnsi"/>
        </w:rPr>
        <w:t xml:space="preserve"> NAAQS initial nonattainment areas, or portions of areas, in each state and the associated EPA Regional Office</w:t>
      </w:r>
      <w:r>
        <w:rPr>
          <w:rFonts w:cstheme="minorHAnsi"/>
        </w:rPr>
        <w:t>,</w:t>
      </w:r>
      <w:r w:rsidRPr="00151881">
        <w:rPr>
          <w:rFonts w:cstheme="minorHAnsi"/>
        </w:rPr>
        <w:t xml:space="preserve"> are presented in Table 4.</w:t>
      </w:r>
      <w:r w:rsidRPr="00EE4D40">
        <w:rPr>
          <w:rFonts w:cstheme="minorHAnsi"/>
        </w:rPr>
        <w:t xml:space="preserve">  </w:t>
      </w:r>
      <w:r w:rsidRPr="00151881">
        <w:rPr>
          <w:rFonts w:cstheme="minorHAnsi"/>
        </w:rPr>
        <w:t xml:space="preserve">When considering the areas with SIP revisions due and </w:t>
      </w:r>
      <w:r>
        <w:rPr>
          <w:rFonts w:cstheme="minorHAnsi"/>
        </w:rPr>
        <w:t xml:space="preserve">portions in multiple states, EPA anticipates 34 total responses from the states </w:t>
      </w:r>
      <w:r w:rsidRPr="00151881">
        <w:rPr>
          <w:rFonts w:cstheme="minorHAnsi"/>
        </w:rPr>
        <w:t xml:space="preserve">potentially affected by planning requirements for the 2015 </w:t>
      </w:r>
      <w:r>
        <w:rPr>
          <w:rFonts w:cstheme="minorHAnsi"/>
        </w:rPr>
        <w:t>ozone</w:t>
      </w:r>
      <w:r w:rsidRPr="00151881">
        <w:rPr>
          <w:rFonts w:cstheme="minorHAnsi"/>
        </w:rPr>
        <w:t xml:space="preserve"> NAAQS. As stated earlier, tribes are not required to develop attainment demonstrations or submit RACT or RFP SIPs. </w:t>
      </w:r>
    </w:p>
    <w:p w:rsidR="002B2E31" w:rsidRPr="00151881" w:rsidP="00587C1E" w14:paraId="143D4E7C" w14:textId="77777777">
      <w:pPr>
        <w:outlineLvl w:val="0"/>
        <w:rPr>
          <w:rFonts w:cstheme="minorHAnsi"/>
          <w:b/>
        </w:rPr>
      </w:pPr>
      <w:bookmarkStart w:id="26" w:name="_Toc170222538"/>
      <w:r w:rsidRPr="00151881">
        <w:rPr>
          <w:rFonts w:cstheme="minorHAnsi"/>
          <w:b/>
        </w:rPr>
        <w:t xml:space="preserve">Table 4. Numbers of Nonattainment Areas or Portions of Areas for 2015 </w:t>
      </w:r>
      <w:r>
        <w:rPr>
          <w:rFonts w:cstheme="minorHAnsi"/>
          <w:b/>
        </w:rPr>
        <w:t>ozone</w:t>
      </w:r>
      <w:r w:rsidRPr="00151881">
        <w:rPr>
          <w:rFonts w:cstheme="minorHAnsi"/>
          <w:b/>
        </w:rPr>
        <w:t xml:space="preserve"> NAAQS</w:t>
      </w:r>
      <w:r w:rsidRPr="00151881">
        <w:rPr>
          <w:rFonts w:cstheme="minorHAnsi"/>
          <w:b/>
        </w:rPr>
        <w:t xml:space="preserve"> </w:t>
      </w:r>
      <w:r w:rsidRPr="00151881">
        <w:rPr>
          <w:rFonts w:cstheme="minorHAnsi"/>
          <w:b/>
        </w:rPr>
        <w:t>by State and EPA Regional Office</w:t>
      </w:r>
      <w:bookmarkEnd w:id="26"/>
    </w:p>
    <w:p w:rsidR="002B2E31" w:rsidRPr="00151881" w:rsidP="002B2E31" w14:paraId="0EF8B7ED" w14:textId="77777777">
      <w:pPr>
        <w:ind w:left="360"/>
        <w:outlineLvl w:val="0"/>
        <w:rPr>
          <w:rFonts w:cstheme="minorHAnsi"/>
          <w:b/>
        </w:rPr>
      </w:pPr>
    </w:p>
    <w:tbl>
      <w:tblPr>
        <w:tblW w:w="6000" w:type="dxa"/>
        <w:jc w:val="center"/>
        <w:tblLook w:val="00A0"/>
      </w:tblPr>
      <w:tblGrid>
        <w:gridCol w:w="3200"/>
        <w:gridCol w:w="960"/>
        <w:gridCol w:w="1840"/>
      </w:tblGrid>
      <w:tr w14:paraId="4BD2D62F" w14:textId="77777777" w:rsidTr="006D0304">
        <w:tblPrEx>
          <w:tblW w:w="6000" w:type="dxa"/>
          <w:jc w:val="center"/>
          <w:tblLook w:val="00A0"/>
        </w:tblPrEx>
        <w:trPr>
          <w:trHeight w:val="885"/>
          <w:jc w:val="center"/>
        </w:trPr>
        <w:tc>
          <w:tcPr>
            <w:tcW w:w="3200" w:type="dxa"/>
            <w:tcBorders>
              <w:top w:val="single" w:sz="8" w:space="0" w:color="auto"/>
              <w:left w:val="single" w:sz="8" w:space="0" w:color="auto"/>
              <w:bottom w:val="single" w:sz="8" w:space="0" w:color="auto"/>
              <w:right w:val="single" w:sz="8" w:space="0" w:color="auto"/>
            </w:tcBorders>
            <w:vAlign w:val="center"/>
          </w:tcPr>
          <w:p w:rsidR="002B2E31" w:rsidRPr="00151881" w:rsidP="006D0304" w14:paraId="76B4C082" w14:textId="77777777">
            <w:pPr>
              <w:jc w:val="center"/>
              <w:rPr>
                <w:rFonts w:cstheme="minorHAnsi"/>
                <w:b/>
                <w:bCs/>
              </w:rPr>
            </w:pPr>
            <w:r w:rsidRPr="00151881">
              <w:rPr>
                <w:rFonts w:cstheme="minorHAnsi"/>
                <w:b/>
                <w:bCs/>
              </w:rPr>
              <w:t>State</w:t>
            </w:r>
          </w:p>
        </w:tc>
        <w:tc>
          <w:tcPr>
            <w:tcW w:w="960" w:type="dxa"/>
            <w:tcBorders>
              <w:top w:val="single" w:sz="8" w:space="0" w:color="auto"/>
              <w:left w:val="single" w:sz="8" w:space="0" w:color="auto"/>
              <w:bottom w:val="single" w:sz="8" w:space="0" w:color="auto"/>
              <w:right w:val="single" w:sz="8" w:space="0" w:color="auto"/>
            </w:tcBorders>
            <w:vAlign w:val="center"/>
          </w:tcPr>
          <w:p w:rsidR="002B2E31" w:rsidRPr="00151881" w:rsidP="006D0304" w14:paraId="0F4A2B06" w14:textId="77777777">
            <w:pPr>
              <w:jc w:val="center"/>
              <w:rPr>
                <w:rFonts w:cstheme="minorHAnsi"/>
                <w:b/>
                <w:bCs/>
              </w:rPr>
            </w:pPr>
            <w:r w:rsidRPr="00151881">
              <w:rPr>
                <w:rFonts w:cstheme="minorHAnsi"/>
                <w:b/>
                <w:bCs/>
              </w:rPr>
              <w:t>EPA Region</w:t>
            </w:r>
          </w:p>
        </w:tc>
        <w:tc>
          <w:tcPr>
            <w:tcW w:w="1840" w:type="dxa"/>
            <w:tcBorders>
              <w:top w:val="single" w:sz="8" w:space="0" w:color="auto"/>
              <w:left w:val="single" w:sz="8" w:space="0" w:color="auto"/>
              <w:bottom w:val="single" w:sz="8" w:space="0" w:color="auto"/>
              <w:right w:val="single" w:sz="8" w:space="0" w:color="auto"/>
            </w:tcBorders>
            <w:vAlign w:val="center"/>
          </w:tcPr>
          <w:p w:rsidR="002B2E31" w:rsidRPr="00151881" w:rsidP="006D0304" w14:paraId="2B6138F5" w14:textId="77777777">
            <w:pPr>
              <w:jc w:val="center"/>
              <w:rPr>
                <w:rFonts w:cstheme="minorHAnsi"/>
                <w:b/>
                <w:bCs/>
              </w:rPr>
            </w:pPr>
            <w:r w:rsidRPr="00151881">
              <w:rPr>
                <w:rFonts w:cstheme="minorHAnsi"/>
                <w:b/>
                <w:bCs/>
              </w:rPr>
              <w:t>Nonattainment Areas (or Portions of Areas) in State</w:t>
            </w:r>
          </w:p>
        </w:tc>
      </w:tr>
      <w:tr w14:paraId="37C1D42A"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26FB857" w14:textId="77777777">
            <w:pPr>
              <w:rPr>
                <w:rFonts w:cstheme="minorHAnsi"/>
              </w:rPr>
            </w:pPr>
            <w:r w:rsidRPr="00151881">
              <w:rPr>
                <w:rFonts w:cstheme="minorHAnsi"/>
              </w:rPr>
              <w:t xml:space="preserve"> Arizona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42FFD7B1" w14:textId="77777777">
            <w:pPr>
              <w:jc w:val="right"/>
              <w:rPr>
                <w:rFonts w:cstheme="minorHAnsi"/>
              </w:rPr>
            </w:pPr>
            <w:r w:rsidRPr="00151881">
              <w:rPr>
                <w:rFonts w:cstheme="minorHAnsi"/>
              </w:rPr>
              <w:t>9</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C028554" w14:textId="77777777">
            <w:pPr>
              <w:jc w:val="right"/>
              <w:rPr>
                <w:rFonts w:cstheme="minorHAnsi"/>
              </w:rPr>
            </w:pPr>
            <w:r w:rsidRPr="00151881">
              <w:rPr>
                <w:rFonts w:cstheme="minorHAnsi"/>
              </w:rPr>
              <w:t>2</w:t>
            </w:r>
          </w:p>
        </w:tc>
      </w:tr>
      <w:tr w14:paraId="017A9105"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21F5116C" w14:textId="77777777">
            <w:pPr>
              <w:rPr>
                <w:rFonts w:cstheme="minorHAnsi"/>
              </w:rPr>
            </w:pPr>
            <w:r w:rsidRPr="00151881">
              <w:rPr>
                <w:rFonts w:cstheme="minorHAnsi"/>
              </w:rPr>
              <w:t xml:space="preserve"> California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51AA1E9F" w14:textId="77777777">
            <w:pPr>
              <w:jc w:val="right"/>
              <w:rPr>
                <w:rFonts w:cstheme="minorHAnsi"/>
              </w:rPr>
            </w:pPr>
            <w:r w:rsidRPr="00151881">
              <w:rPr>
                <w:rFonts w:cstheme="minorHAnsi"/>
              </w:rPr>
              <w:t>9</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665910F" w14:textId="77777777">
            <w:pPr>
              <w:jc w:val="right"/>
              <w:rPr>
                <w:rFonts w:cstheme="minorHAnsi"/>
              </w:rPr>
            </w:pPr>
            <w:r w:rsidRPr="00151881">
              <w:rPr>
                <w:rFonts w:cstheme="minorHAnsi"/>
              </w:rPr>
              <w:t>19</w:t>
            </w:r>
          </w:p>
        </w:tc>
      </w:tr>
      <w:tr w14:paraId="32999BF8"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561A1281" w14:textId="77777777">
            <w:pPr>
              <w:rPr>
                <w:rFonts w:cstheme="minorHAnsi"/>
              </w:rPr>
            </w:pPr>
            <w:r w:rsidRPr="00151881">
              <w:rPr>
                <w:rFonts w:cstheme="minorHAnsi"/>
              </w:rPr>
              <w:t xml:space="preserve"> Colorado</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4144C6B7" w14:textId="77777777">
            <w:pPr>
              <w:jc w:val="right"/>
              <w:rPr>
                <w:rFonts w:cstheme="minorHAnsi"/>
              </w:rPr>
            </w:pPr>
            <w:r w:rsidRPr="00151881">
              <w:rPr>
                <w:rFonts w:cstheme="minorHAnsi"/>
              </w:rPr>
              <w:t>8</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6883659" w14:textId="77777777">
            <w:pPr>
              <w:jc w:val="right"/>
              <w:rPr>
                <w:rFonts w:cstheme="minorHAnsi"/>
              </w:rPr>
            </w:pPr>
            <w:r w:rsidRPr="00151881">
              <w:rPr>
                <w:rFonts w:cstheme="minorHAnsi"/>
              </w:rPr>
              <w:t>1</w:t>
            </w:r>
          </w:p>
        </w:tc>
      </w:tr>
      <w:tr w14:paraId="7465AB64"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4A01564E" w14:textId="77777777">
            <w:pPr>
              <w:rPr>
                <w:rFonts w:cstheme="minorHAnsi"/>
              </w:rPr>
            </w:pPr>
            <w:r w:rsidRPr="00151881">
              <w:rPr>
                <w:rFonts w:cstheme="minorHAnsi"/>
              </w:rPr>
              <w:t xml:space="preserve"> Connecticut </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058C6AD" w14:textId="77777777">
            <w:pPr>
              <w:jc w:val="right"/>
              <w:rPr>
                <w:rFonts w:cstheme="minorHAnsi"/>
              </w:rPr>
            </w:pPr>
            <w:r w:rsidRPr="00151881">
              <w:rPr>
                <w:rFonts w:cstheme="minorHAnsi"/>
              </w:rPr>
              <w:t>1</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58CABA9B" w14:textId="77777777">
            <w:pPr>
              <w:jc w:val="right"/>
              <w:rPr>
                <w:rFonts w:cstheme="minorHAnsi"/>
              </w:rPr>
            </w:pPr>
            <w:r w:rsidRPr="00151881">
              <w:rPr>
                <w:rFonts w:cstheme="minorHAnsi"/>
              </w:rPr>
              <w:t>2</w:t>
            </w:r>
          </w:p>
        </w:tc>
      </w:tr>
      <w:tr w14:paraId="44E8016C"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B6D086C" w14:textId="77777777">
            <w:pPr>
              <w:rPr>
                <w:rFonts w:cstheme="minorHAnsi"/>
              </w:rPr>
            </w:pPr>
            <w:r w:rsidRPr="00151881">
              <w:rPr>
                <w:rFonts w:cstheme="minorHAnsi"/>
              </w:rPr>
              <w:t xml:space="preserve"> Delaware</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0E9030F" w14:textId="77777777">
            <w:pPr>
              <w:jc w:val="right"/>
              <w:rPr>
                <w:rFonts w:cstheme="minorHAnsi"/>
              </w:rPr>
            </w:pPr>
            <w:r w:rsidRPr="00151881">
              <w:rPr>
                <w:rFonts w:cstheme="minorHAnsi"/>
              </w:rPr>
              <w:t>3</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627189D" w14:textId="77777777">
            <w:pPr>
              <w:jc w:val="right"/>
              <w:rPr>
                <w:rFonts w:cstheme="minorHAnsi"/>
              </w:rPr>
            </w:pPr>
            <w:r w:rsidRPr="00151881">
              <w:rPr>
                <w:rFonts w:cstheme="minorHAnsi"/>
              </w:rPr>
              <w:t>1</w:t>
            </w:r>
          </w:p>
        </w:tc>
      </w:tr>
      <w:tr w14:paraId="352B6B14"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138B6387" w14:textId="77777777">
            <w:pPr>
              <w:rPr>
                <w:rFonts w:cstheme="minorHAnsi"/>
              </w:rPr>
            </w:pPr>
            <w:r w:rsidRPr="00151881">
              <w:rPr>
                <w:rFonts w:cstheme="minorHAnsi"/>
              </w:rPr>
              <w:t xml:space="preserve"> Georgia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575FCF8" w14:textId="77777777">
            <w:pPr>
              <w:jc w:val="right"/>
              <w:rPr>
                <w:rFonts w:cstheme="minorHAnsi"/>
              </w:rPr>
            </w:pPr>
            <w:r w:rsidRPr="00151881">
              <w:rPr>
                <w:rFonts w:cstheme="minorHAnsi"/>
              </w:rPr>
              <w:t>4</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7A76A882" w14:textId="77777777">
            <w:pPr>
              <w:jc w:val="right"/>
              <w:rPr>
                <w:rFonts w:cstheme="minorHAnsi"/>
              </w:rPr>
            </w:pPr>
            <w:r w:rsidRPr="00151881">
              <w:rPr>
                <w:rFonts w:cstheme="minorHAnsi"/>
              </w:rPr>
              <w:t>1</w:t>
            </w:r>
          </w:p>
        </w:tc>
      </w:tr>
      <w:tr w14:paraId="1BE312FD"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5DB7AED0" w14:textId="77777777">
            <w:pPr>
              <w:rPr>
                <w:rFonts w:cstheme="minorHAnsi"/>
              </w:rPr>
            </w:pPr>
            <w:r w:rsidRPr="00151881">
              <w:rPr>
                <w:rFonts w:cstheme="minorHAnsi"/>
              </w:rPr>
              <w:t xml:space="preserve"> Illinois</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ABA4584" w14:textId="77777777">
            <w:pPr>
              <w:jc w:val="right"/>
              <w:rPr>
                <w:rFonts w:cstheme="minorHAnsi"/>
              </w:rPr>
            </w:pPr>
            <w:r w:rsidRPr="00151881">
              <w:rPr>
                <w:rFonts w:cstheme="minorHAnsi"/>
              </w:rPr>
              <w:t>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709BEA2" w14:textId="77777777">
            <w:pPr>
              <w:jc w:val="right"/>
              <w:rPr>
                <w:rFonts w:cstheme="minorHAnsi"/>
              </w:rPr>
            </w:pPr>
            <w:r w:rsidRPr="00151881">
              <w:rPr>
                <w:rFonts w:cstheme="minorHAnsi"/>
              </w:rPr>
              <w:t>2</w:t>
            </w:r>
          </w:p>
        </w:tc>
      </w:tr>
      <w:tr w14:paraId="40C099F9"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15C27FC" w14:textId="77777777">
            <w:pPr>
              <w:rPr>
                <w:rFonts w:cstheme="minorHAnsi"/>
              </w:rPr>
            </w:pPr>
            <w:r w:rsidRPr="00151881">
              <w:rPr>
                <w:rFonts w:cstheme="minorHAnsi"/>
              </w:rPr>
              <w:t xml:space="preserve"> Indiana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7776D199" w14:textId="77777777">
            <w:pPr>
              <w:jc w:val="right"/>
              <w:rPr>
                <w:rFonts w:cstheme="minorHAnsi"/>
              </w:rPr>
            </w:pPr>
            <w:r w:rsidRPr="00151881">
              <w:rPr>
                <w:rFonts w:cstheme="minorHAnsi"/>
              </w:rPr>
              <w:t>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453DFE2" w14:textId="77777777">
            <w:pPr>
              <w:jc w:val="right"/>
              <w:rPr>
                <w:rFonts w:cstheme="minorHAnsi"/>
              </w:rPr>
            </w:pPr>
            <w:r w:rsidRPr="00151881">
              <w:rPr>
                <w:rFonts w:cstheme="minorHAnsi"/>
              </w:rPr>
              <w:t>2</w:t>
            </w:r>
          </w:p>
        </w:tc>
      </w:tr>
      <w:tr w14:paraId="1311BA19"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37DFBA20" w14:textId="77777777">
            <w:pPr>
              <w:rPr>
                <w:rFonts w:cstheme="minorHAnsi"/>
              </w:rPr>
            </w:pPr>
            <w:r w:rsidRPr="00151881">
              <w:rPr>
                <w:rFonts w:cstheme="minorHAnsi"/>
              </w:rPr>
              <w:t xml:space="preserve"> Kentucky</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1CF44135" w14:textId="77777777">
            <w:pPr>
              <w:jc w:val="right"/>
              <w:rPr>
                <w:rFonts w:cstheme="minorHAnsi"/>
              </w:rPr>
            </w:pPr>
            <w:r w:rsidRPr="00151881">
              <w:rPr>
                <w:rFonts w:cstheme="minorHAnsi"/>
              </w:rPr>
              <w:t>4</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1765117" w14:textId="77777777">
            <w:pPr>
              <w:jc w:val="right"/>
              <w:rPr>
                <w:rFonts w:cstheme="minorHAnsi"/>
              </w:rPr>
            </w:pPr>
            <w:r w:rsidRPr="00151881">
              <w:rPr>
                <w:rFonts w:cstheme="minorHAnsi"/>
              </w:rPr>
              <w:t>2</w:t>
            </w:r>
          </w:p>
        </w:tc>
      </w:tr>
      <w:tr w14:paraId="1219B6F3"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2A1D0349" w14:textId="77777777">
            <w:pPr>
              <w:rPr>
                <w:rFonts w:cstheme="minorHAnsi"/>
              </w:rPr>
            </w:pPr>
            <w:r w:rsidRPr="00151881">
              <w:rPr>
                <w:rFonts w:cstheme="minorHAnsi"/>
              </w:rPr>
              <w:t xml:space="preserve"> Maryland</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613D5D2" w14:textId="77777777">
            <w:pPr>
              <w:jc w:val="right"/>
              <w:rPr>
                <w:rFonts w:cstheme="minorHAnsi"/>
              </w:rPr>
            </w:pPr>
            <w:r w:rsidRPr="00151881">
              <w:rPr>
                <w:rFonts w:cstheme="minorHAnsi"/>
              </w:rPr>
              <w:t>3</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1FEAC03" w14:textId="77777777">
            <w:pPr>
              <w:jc w:val="right"/>
              <w:rPr>
                <w:rFonts w:cstheme="minorHAnsi"/>
              </w:rPr>
            </w:pPr>
            <w:r w:rsidRPr="00151881">
              <w:rPr>
                <w:rFonts w:cstheme="minorHAnsi"/>
              </w:rPr>
              <w:t>3</w:t>
            </w:r>
          </w:p>
        </w:tc>
      </w:tr>
      <w:tr w14:paraId="75321250"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F8C432B" w14:textId="77777777">
            <w:pPr>
              <w:rPr>
                <w:rFonts w:cstheme="minorHAnsi"/>
              </w:rPr>
            </w:pPr>
            <w:r w:rsidRPr="00151881">
              <w:rPr>
                <w:rFonts w:cstheme="minorHAnsi"/>
              </w:rPr>
              <w:t xml:space="preserve"> Michigan</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42F9BFFB" w14:textId="77777777">
            <w:pPr>
              <w:jc w:val="right"/>
              <w:rPr>
                <w:rFonts w:cstheme="minorHAnsi"/>
              </w:rPr>
            </w:pPr>
            <w:r w:rsidRPr="00151881">
              <w:rPr>
                <w:rFonts w:cstheme="minorHAnsi"/>
              </w:rPr>
              <w:t>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246E7AA" w14:textId="77777777">
            <w:pPr>
              <w:jc w:val="right"/>
              <w:rPr>
                <w:rFonts w:cstheme="minorHAnsi"/>
              </w:rPr>
            </w:pPr>
            <w:r w:rsidRPr="00151881">
              <w:rPr>
                <w:rFonts w:cstheme="minorHAnsi"/>
              </w:rPr>
              <w:t>4</w:t>
            </w:r>
          </w:p>
        </w:tc>
      </w:tr>
      <w:tr w14:paraId="6E48C1F6"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1CF571B1" w14:textId="77777777">
            <w:pPr>
              <w:rPr>
                <w:rFonts w:cstheme="minorHAnsi"/>
              </w:rPr>
            </w:pPr>
            <w:r w:rsidRPr="00151881">
              <w:rPr>
                <w:rFonts w:cstheme="minorHAnsi"/>
              </w:rPr>
              <w:t xml:space="preserve"> Missouri</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F1749A1" w14:textId="77777777">
            <w:pPr>
              <w:jc w:val="right"/>
              <w:rPr>
                <w:rFonts w:cstheme="minorHAnsi"/>
              </w:rPr>
            </w:pPr>
            <w:r w:rsidRPr="00151881">
              <w:rPr>
                <w:rFonts w:cstheme="minorHAnsi"/>
              </w:rPr>
              <w:t>7</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B704D0E" w14:textId="77777777">
            <w:pPr>
              <w:jc w:val="right"/>
              <w:rPr>
                <w:rFonts w:cstheme="minorHAnsi"/>
              </w:rPr>
            </w:pPr>
            <w:r w:rsidRPr="00151881">
              <w:rPr>
                <w:rFonts w:cstheme="minorHAnsi"/>
              </w:rPr>
              <w:t>1</w:t>
            </w:r>
          </w:p>
        </w:tc>
      </w:tr>
      <w:tr w14:paraId="09A1DB34"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845FD30" w14:textId="77777777">
            <w:pPr>
              <w:rPr>
                <w:rFonts w:cstheme="minorHAnsi"/>
              </w:rPr>
            </w:pPr>
            <w:r w:rsidRPr="00151881">
              <w:rPr>
                <w:rFonts w:cstheme="minorHAnsi"/>
              </w:rPr>
              <w:t xml:space="preserve"> New Jersey</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00F2056" w14:textId="77777777">
            <w:pPr>
              <w:jc w:val="right"/>
              <w:rPr>
                <w:rFonts w:cstheme="minorHAnsi"/>
              </w:rPr>
            </w:pPr>
            <w:r w:rsidRPr="00151881">
              <w:rPr>
                <w:rFonts w:cstheme="minorHAnsi"/>
              </w:rPr>
              <w:t>2</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4F584D7F" w14:textId="77777777">
            <w:pPr>
              <w:jc w:val="right"/>
              <w:rPr>
                <w:rFonts w:cstheme="minorHAnsi"/>
              </w:rPr>
            </w:pPr>
            <w:r w:rsidRPr="00151881">
              <w:rPr>
                <w:rFonts w:cstheme="minorHAnsi"/>
              </w:rPr>
              <w:t>2</w:t>
            </w:r>
          </w:p>
        </w:tc>
      </w:tr>
      <w:tr w14:paraId="7CB530FA"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21631A1B" w14:textId="77777777">
            <w:pPr>
              <w:rPr>
                <w:rFonts w:cstheme="minorHAnsi"/>
              </w:rPr>
            </w:pPr>
            <w:r w:rsidRPr="00151881">
              <w:rPr>
                <w:rFonts w:cstheme="minorHAnsi"/>
              </w:rPr>
              <w:t xml:space="preserve"> New Mexico</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71ED4AD5" w14:textId="77777777">
            <w:pPr>
              <w:jc w:val="right"/>
              <w:rPr>
                <w:rFonts w:cstheme="minorHAnsi"/>
              </w:rPr>
            </w:pPr>
            <w:r w:rsidRPr="00151881">
              <w:rPr>
                <w:rFonts w:cstheme="minorHAnsi"/>
              </w:rPr>
              <w:t>6</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75CC318" w14:textId="77777777">
            <w:pPr>
              <w:jc w:val="right"/>
              <w:rPr>
                <w:rFonts w:cstheme="minorHAnsi"/>
              </w:rPr>
            </w:pPr>
            <w:r w:rsidRPr="00151881">
              <w:rPr>
                <w:rFonts w:cstheme="minorHAnsi"/>
              </w:rPr>
              <w:t>1</w:t>
            </w:r>
          </w:p>
        </w:tc>
      </w:tr>
      <w:tr w14:paraId="20C6C859"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4E24EF0A" w14:textId="77777777">
            <w:pPr>
              <w:rPr>
                <w:rFonts w:cstheme="minorHAnsi"/>
              </w:rPr>
            </w:pPr>
            <w:r w:rsidRPr="00151881">
              <w:rPr>
                <w:rFonts w:cstheme="minorHAnsi"/>
              </w:rPr>
              <w:t xml:space="preserve"> Nevada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79F33529" w14:textId="77777777">
            <w:pPr>
              <w:jc w:val="right"/>
              <w:rPr>
                <w:rFonts w:cstheme="minorHAnsi"/>
              </w:rPr>
            </w:pPr>
            <w:r w:rsidRPr="00151881">
              <w:rPr>
                <w:rFonts w:cstheme="minorHAnsi"/>
              </w:rPr>
              <w:t>9</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24B60A2" w14:textId="77777777">
            <w:pPr>
              <w:jc w:val="right"/>
              <w:rPr>
                <w:rFonts w:cstheme="minorHAnsi"/>
              </w:rPr>
            </w:pPr>
            <w:r w:rsidRPr="00151881">
              <w:rPr>
                <w:rFonts w:cstheme="minorHAnsi"/>
              </w:rPr>
              <w:t>1</w:t>
            </w:r>
          </w:p>
        </w:tc>
      </w:tr>
      <w:tr w14:paraId="40AB6D27"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0500B93B" w14:textId="77777777">
            <w:pPr>
              <w:rPr>
                <w:rFonts w:cstheme="minorHAnsi"/>
              </w:rPr>
            </w:pPr>
            <w:r w:rsidRPr="00151881">
              <w:rPr>
                <w:rFonts w:cstheme="minorHAnsi"/>
              </w:rPr>
              <w:t xml:space="preserve"> New York</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7CECE13" w14:textId="77777777">
            <w:pPr>
              <w:jc w:val="right"/>
              <w:rPr>
                <w:rFonts w:cstheme="minorHAnsi"/>
              </w:rPr>
            </w:pPr>
            <w:r w:rsidRPr="00151881">
              <w:rPr>
                <w:rFonts w:cstheme="minorHAnsi"/>
              </w:rPr>
              <w:t>2</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3C466E0" w14:textId="77777777">
            <w:pPr>
              <w:jc w:val="right"/>
              <w:rPr>
                <w:rFonts w:cstheme="minorHAnsi"/>
              </w:rPr>
            </w:pPr>
            <w:r w:rsidRPr="00151881">
              <w:rPr>
                <w:rFonts w:cstheme="minorHAnsi"/>
              </w:rPr>
              <w:t>1</w:t>
            </w:r>
          </w:p>
        </w:tc>
      </w:tr>
      <w:tr w14:paraId="294FF332"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0B87397A" w14:textId="77777777">
            <w:pPr>
              <w:rPr>
                <w:rFonts w:cstheme="minorHAnsi"/>
              </w:rPr>
            </w:pPr>
            <w:r w:rsidRPr="00151881">
              <w:rPr>
                <w:rFonts w:cstheme="minorHAnsi"/>
              </w:rPr>
              <w:t xml:space="preserve"> Ohio</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5DB4BBA9" w14:textId="77777777">
            <w:pPr>
              <w:jc w:val="right"/>
              <w:rPr>
                <w:rFonts w:cstheme="minorHAnsi"/>
              </w:rPr>
            </w:pPr>
            <w:r w:rsidRPr="00151881">
              <w:rPr>
                <w:rFonts w:cstheme="minorHAnsi"/>
              </w:rPr>
              <w:t>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79902107" w14:textId="77777777">
            <w:pPr>
              <w:jc w:val="right"/>
              <w:rPr>
                <w:rFonts w:cstheme="minorHAnsi"/>
              </w:rPr>
            </w:pPr>
            <w:r w:rsidRPr="00151881">
              <w:rPr>
                <w:rFonts w:cstheme="minorHAnsi"/>
              </w:rPr>
              <w:t>3</w:t>
            </w:r>
          </w:p>
        </w:tc>
      </w:tr>
      <w:tr w14:paraId="497942B6"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B317D22" w14:textId="77777777">
            <w:pPr>
              <w:rPr>
                <w:rFonts w:cstheme="minorHAnsi"/>
              </w:rPr>
            </w:pPr>
            <w:r w:rsidRPr="00151881">
              <w:rPr>
                <w:rFonts w:cstheme="minorHAnsi"/>
              </w:rPr>
              <w:t xml:space="preserve"> Pennsylvania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49A757E" w14:textId="77777777">
            <w:pPr>
              <w:jc w:val="right"/>
              <w:rPr>
                <w:rFonts w:cstheme="minorHAnsi"/>
              </w:rPr>
            </w:pPr>
            <w:r w:rsidRPr="00151881">
              <w:rPr>
                <w:rFonts w:cstheme="minorHAnsi"/>
              </w:rPr>
              <w:t>3</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49A2B3B" w14:textId="77777777">
            <w:pPr>
              <w:jc w:val="right"/>
              <w:rPr>
                <w:rFonts w:cstheme="minorHAnsi"/>
              </w:rPr>
            </w:pPr>
            <w:r w:rsidRPr="00151881">
              <w:rPr>
                <w:rFonts w:cstheme="minorHAnsi"/>
              </w:rPr>
              <w:t>1</w:t>
            </w:r>
          </w:p>
        </w:tc>
      </w:tr>
      <w:tr w14:paraId="77B2BC0E"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4C011682" w14:textId="77777777">
            <w:pPr>
              <w:rPr>
                <w:rFonts w:cstheme="minorHAnsi"/>
              </w:rPr>
            </w:pPr>
            <w:r w:rsidRPr="00151881">
              <w:rPr>
                <w:rFonts w:cstheme="minorHAnsi"/>
              </w:rPr>
              <w:t xml:space="preserve"> Texas</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0C963A0" w14:textId="77777777">
            <w:pPr>
              <w:jc w:val="right"/>
              <w:rPr>
                <w:rFonts w:cstheme="minorHAnsi"/>
              </w:rPr>
            </w:pPr>
            <w:r w:rsidRPr="00151881">
              <w:rPr>
                <w:rFonts w:cstheme="minorHAnsi"/>
              </w:rPr>
              <w:t>6</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8FFC845" w14:textId="77777777">
            <w:pPr>
              <w:jc w:val="right"/>
              <w:rPr>
                <w:rFonts w:cstheme="minorHAnsi"/>
              </w:rPr>
            </w:pPr>
            <w:r w:rsidRPr="00151881">
              <w:rPr>
                <w:rFonts w:cstheme="minorHAnsi"/>
              </w:rPr>
              <w:t>3</w:t>
            </w:r>
          </w:p>
        </w:tc>
      </w:tr>
      <w:tr w14:paraId="15FF40EF"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1EE55FBF" w14:textId="77777777">
            <w:pPr>
              <w:rPr>
                <w:rFonts w:cstheme="minorHAnsi"/>
              </w:rPr>
            </w:pPr>
            <w:r w:rsidRPr="00151881">
              <w:rPr>
                <w:rFonts w:cstheme="minorHAnsi"/>
              </w:rPr>
              <w:t xml:space="preserve"> Utah</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6096E333" w14:textId="77777777">
            <w:pPr>
              <w:jc w:val="right"/>
              <w:rPr>
                <w:rFonts w:cstheme="minorHAnsi"/>
              </w:rPr>
            </w:pPr>
            <w:r w:rsidRPr="00151881">
              <w:rPr>
                <w:rFonts w:cstheme="minorHAnsi"/>
              </w:rPr>
              <w:t>8</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1796F9F1" w14:textId="77777777">
            <w:pPr>
              <w:jc w:val="right"/>
              <w:rPr>
                <w:rFonts w:cstheme="minorHAnsi"/>
              </w:rPr>
            </w:pPr>
            <w:r w:rsidRPr="00151881">
              <w:rPr>
                <w:rFonts w:cstheme="minorHAnsi"/>
              </w:rPr>
              <w:t>3</w:t>
            </w:r>
          </w:p>
        </w:tc>
      </w:tr>
      <w:tr w14:paraId="7492F630"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7C6AD501" w14:textId="77777777">
            <w:pPr>
              <w:rPr>
                <w:rFonts w:cstheme="minorHAnsi"/>
              </w:rPr>
            </w:pPr>
            <w:r w:rsidRPr="00151881">
              <w:rPr>
                <w:rFonts w:cstheme="minorHAnsi"/>
              </w:rPr>
              <w:t xml:space="preserve"> Wisconsin</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97A92CE" w14:textId="77777777">
            <w:pPr>
              <w:jc w:val="right"/>
              <w:rPr>
                <w:rFonts w:cstheme="minorHAnsi"/>
              </w:rPr>
            </w:pPr>
            <w:r w:rsidRPr="00151881">
              <w:rPr>
                <w:rFonts w:cstheme="minorHAnsi"/>
              </w:rPr>
              <w:t>5</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5E5EC406" w14:textId="77777777">
            <w:pPr>
              <w:jc w:val="right"/>
              <w:rPr>
                <w:rFonts w:cstheme="minorHAnsi"/>
              </w:rPr>
            </w:pPr>
            <w:r w:rsidRPr="00151881">
              <w:rPr>
                <w:rFonts w:cstheme="minorHAnsi"/>
              </w:rPr>
              <w:t>5</w:t>
            </w:r>
          </w:p>
        </w:tc>
      </w:tr>
      <w:tr w14:paraId="161A5960"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44FB91BD" w14:textId="77777777">
            <w:pPr>
              <w:rPr>
                <w:rFonts w:cstheme="minorHAnsi"/>
              </w:rPr>
            </w:pPr>
            <w:r w:rsidRPr="00151881">
              <w:rPr>
                <w:rFonts w:cstheme="minorHAnsi"/>
              </w:rPr>
              <w:t xml:space="preserve"> District of Columbia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0212D4B5" w14:textId="77777777">
            <w:pPr>
              <w:jc w:val="right"/>
              <w:rPr>
                <w:rFonts w:cstheme="minorHAnsi"/>
              </w:rPr>
            </w:pPr>
            <w:r w:rsidRPr="00151881">
              <w:rPr>
                <w:rFonts w:cstheme="minorHAnsi"/>
              </w:rPr>
              <w:t>3</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2776DD73" w14:textId="77777777">
            <w:pPr>
              <w:jc w:val="right"/>
              <w:rPr>
                <w:rFonts w:cstheme="minorHAnsi"/>
              </w:rPr>
            </w:pPr>
            <w:r w:rsidRPr="00151881">
              <w:rPr>
                <w:rFonts w:cstheme="minorHAnsi"/>
              </w:rPr>
              <w:t>1</w:t>
            </w:r>
          </w:p>
        </w:tc>
      </w:tr>
      <w:tr w14:paraId="5F366A1C" w14:textId="77777777" w:rsidTr="006D0304">
        <w:tblPrEx>
          <w:tblW w:w="6000" w:type="dxa"/>
          <w:jc w:val="center"/>
          <w:tblLook w:val="00A0"/>
        </w:tblPrEx>
        <w:trPr>
          <w:trHeight w:val="255"/>
          <w:jc w:val="center"/>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B2E31" w:rsidRPr="00151881" w:rsidP="006D0304" w14:paraId="0BE38521" w14:textId="77777777">
            <w:pPr>
              <w:rPr>
                <w:rFonts w:cstheme="minorHAnsi"/>
              </w:rPr>
            </w:pPr>
            <w:r w:rsidRPr="00151881">
              <w:rPr>
                <w:rFonts w:cstheme="minorHAnsi"/>
              </w:rPr>
              <w:t xml:space="preserve"> Virginia</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327700E1" w14:textId="77777777">
            <w:pPr>
              <w:jc w:val="right"/>
              <w:rPr>
                <w:rFonts w:cstheme="minorHAnsi"/>
              </w:rPr>
            </w:pPr>
            <w:r w:rsidRPr="00151881">
              <w:rPr>
                <w:rFonts w:cstheme="minorHAnsi"/>
              </w:rPr>
              <w:t>3</w:t>
            </w:r>
          </w:p>
        </w:tc>
        <w:tc>
          <w:tcPr>
            <w:tcW w:w="1840" w:type="dxa"/>
            <w:tcBorders>
              <w:top w:val="single" w:sz="8" w:space="0" w:color="auto"/>
              <w:left w:val="nil"/>
              <w:bottom w:val="single" w:sz="4" w:space="0" w:color="auto"/>
              <w:right w:val="single" w:sz="4" w:space="0" w:color="auto"/>
            </w:tcBorders>
            <w:shd w:val="clear" w:color="auto" w:fill="auto"/>
            <w:noWrap/>
            <w:vAlign w:val="bottom"/>
          </w:tcPr>
          <w:p w:rsidR="002B2E31" w:rsidRPr="00151881" w:rsidP="006D0304" w14:paraId="1A6992EE" w14:textId="77777777">
            <w:pPr>
              <w:jc w:val="right"/>
              <w:rPr>
                <w:rFonts w:cstheme="minorHAnsi"/>
              </w:rPr>
            </w:pPr>
            <w:r w:rsidRPr="00151881">
              <w:rPr>
                <w:rFonts w:cstheme="minorHAnsi"/>
              </w:rPr>
              <w:t>1</w:t>
            </w:r>
          </w:p>
        </w:tc>
      </w:tr>
    </w:tbl>
    <w:p w:rsidR="00587C1E" w:rsidP="00587C1E" w14:paraId="69D7F2BC" w14:textId="77777777">
      <w:pPr>
        <w:rPr>
          <w:rFonts w:cstheme="minorHAnsi"/>
        </w:rPr>
      </w:pPr>
    </w:p>
    <w:p w:rsidR="002B2E31" w:rsidRPr="00151881" w:rsidP="00587C1E" w14:paraId="7C525723" w14:textId="218E441E">
      <w:pPr>
        <w:rPr>
          <w:rFonts w:cstheme="minorHAnsi"/>
        </w:rPr>
      </w:pPr>
      <w:r w:rsidRPr="00151881">
        <w:rPr>
          <w:rFonts w:cstheme="minorHAnsi"/>
        </w:rPr>
        <w:t xml:space="preserve">Table 5 lists </w:t>
      </w:r>
      <w:r>
        <w:rPr>
          <w:rFonts w:cstheme="minorHAnsi"/>
        </w:rPr>
        <w:t>8</w:t>
      </w:r>
      <w:r w:rsidRPr="00151881">
        <w:rPr>
          <w:rFonts w:cstheme="minorHAnsi"/>
        </w:rPr>
        <w:t xml:space="preserve"> nonattainment areas for the 2015 </w:t>
      </w:r>
      <w:r>
        <w:rPr>
          <w:rFonts w:cstheme="minorHAnsi"/>
        </w:rPr>
        <w:t>O</w:t>
      </w:r>
      <w:r w:rsidRPr="00151881">
        <w:rPr>
          <w:rFonts w:cstheme="minorHAnsi"/>
        </w:rPr>
        <w:t>zone NAAQS currently eligible</w:t>
      </w:r>
      <w:r>
        <w:rPr>
          <w:rFonts w:cstheme="minorHAnsi"/>
        </w:rPr>
        <w:t xml:space="preserve"> or expected to be eligible for redesignation to attainment</w:t>
      </w:r>
      <w:r w:rsidRPr="00151881">
        <w:rPr>
          <w:rFonts w:cstheme="minorHAnsi"/>
        </w:rPr>
        <w:t xml:space="preserve"> during this ICR period. Accordingly, this analysis estimates the burden for each state in Table 5 to prepare and submit the SIP revisions required for their respective redesignation to attainment request</w:t>
      </w:r>
      <w:r>
        <w:rPr>
          <w:rFonts w:cstheme="minorHAnsi"/>
        </w:rPr>
        <w:t>.</w:t>
      </w:r>
    </w:p>
    <w:p w:rsidR="002B2E31" w:rsidRPr="00151881" w:rsidP="00587C1E" w14:paraId="75C91F68" w14:textId="77777777">
      <w:pPr>
        <w:rPr>
          <w:rFonts w:cstheme="minorHAnsi"/>
          <w:b/>
          <w:bCs/>
        </w:rPr>
      </w:pPr>
      <w:r w:rsidRPr="00151881">
        <w:rPr>
          <w:rFonts w:cstheme="minorHAnsi"/>
          <w:b/>
        </w:rPr>
        <w:t>Table 5.</w:t>
      </w:r>
      <w:r w:rsidRPr="00EE4D40">
        <w:rPr>
          <w:rFonts w:cstheme="minorHAnsi"/>
          <w:b/>
        </w:rPr>
        <w:t xml:space="preserve">  </w:t>
      </w:r>
      <w:r w:rsidRPr="00151881">
        <w:rPr>
          <w:rFonts w:cstheme="minorHAnsi"/>
          <w:b/>
          <w:bCs/>
        </w:rPr>
        <w:t xml:space="preserve">2015 </w:t>
      </w:r>
      <w:r>
        <w:rPr>
          <w:rFonts w:cstheme="minorHAnsi"/>
          <w:b/>
          <w:bCs/>
        </w:rPr>
        <w:t>Ozone</w:t>
      </w:r>
      <w:r w:rsidRPr="00151881">
        <w:rPr>
          <w:rFonts w:cstheme="minorHAnsi"/>
          <w:b/>
          <w:bCs/>
        </w:rPr>
        <w:t xml:space="preserve"> NAAQS Nonattainment Areas Eligible (or Expected to be Eligible) to Submit a Redesignation to Attainment Request.</w:t>
      </w:r>
    </w:p>
    <w:p w:rsidR="002B2E31" w:rsidRPr="00151881" w:rsidP="002B2E31" w14:paraId="3FC6E26D" w14:textId="77777777">
      <w:pPr>
        <w:ind w:left="360"/>
        <w:rPr>
          <w:rFonts w:cstheme="minorHAnsi"/>
          <w:b/>
          <w:bCs/>
        </w:rPr>
      </w:pPr>
    </w:p>
    <w:tbl>
      <w:tblPr>
        <w:tblStyle w:val="TableGrid"/>
        <w:tblW w:w="0" w:type="auto"/>
        <w:jc w:val="center"/>
        <w:tblLayout w:type="fixed"/>
        <w:tblLook w:val="04A0"/>
      </w:tblPr>
      <w:tblGrid>
        <w:gridCol w:w="3595"/>
        <w:gridCol w:w="2070"/>
        <w:gridCol w:w="2700"/>
        <w:gridCol w:w="1705"/>
      </w:tblGrid>
      <w:tr w14:paraId="1009ABE3" w14:textId="77777777" w:rsidTr="006D0304">
        <w:tblPrEx>
          <w:tblW w:w="0" w:type="auto"/>
          <w:jc w:val="center"/>
          <w:tblLayout w:type="fixed"/>
          <w:tblLook w:val="04A0"/>
        </w:tblPrEx>
        <w:trPr>
          <w:trHeight w:val="1215"/>
          <w:jc w:val="center"/>
        </w:trPr>
        <w:tc>
          <w:tcPr>
            <w:tcW w:w="3595" w:type="dxa"/>
            <w:hideMark/>
          </w:tcPr>
          <w:p w:rsidR="002B2E31" w:rsidRPr="00151881" w:rsidP="006D0304" w14:paraId="4BE93D00" w14:textId="77777777">
            <w:pPr>
              <w:jc w:val="center"/>
              <w:rPr>
                <w:rFonts w:cstheme="minorHAnsi"/>
                <w:b/>
                <w:bCs/>
                <w:color w:val="000000"/>
              </w:rPr>
            </w:pPr>
            <w:r w:rsidRPr="00151881">
              <w:rPr>
                <w:rFonts w:cstheme="minorHAnsi"/>
                <w:b/>
                <w:bCs/>
                <w:color w:val="000000"/>
              </w:rPr>
              <w:t>Area Name</w:t>
            </w:r>
          </w:p>
        </w:tc>
        <w:tc>
          <w:tcPr>
            <w:tcW w:w="2070" w:type="dxa"/>
            <w:hideMark/>
          </w:tcPr>
          <w:p w:rsidR="002B2E31" w:rsidRPr="00151881" w:rsidP="006D0304" w14:paraId="4DD5F4D4" w14:textId="77777777">
            <w:pPr>
              <w:jc w:val="center"/>
              <w:rPr>
                <w:rFonts w:cstheme="minorHAnsi"/>
                <w:b/>
                <w:bCs/>
                <w:color w:val="000000"/>
              </w:rPr>
            </w:pPr>
            <w:r w:rsidRPr="00151881">
              <w:rPr>
                <w:rFonts w:cstheme="minorHAnsi"/>
                <w:b/>
                <w:bCs/>
                <w:color w:val="000000"/>
              </w:rPr>
              <w:t>Current Classification</w:t>
            </w:r>
          </w:p>
        </w:tc>
        <w:tc>
          <w:tcPr>
            <w:tcW w:w="2700" w:type="dxa"/>
            <w:hideMark/>
          </w:tcPr>
          <w:p w:rsidR="002B2E31" w:rsidRPr="00151881" w:rsidP="006D0304" w14:paraId="241E3BF7" w14:textId="77777777">
            <w:pPr>
              <w:jc w:val="center"/>
              <w:rPr>
                <w:rFonts w:cstheme="minorHAnsi"/>
                <w:b/>
                <w:bCs/>
                <w:color w:val="000000"/>
              </w:rPr>
            </w:pPr>
            <w:r w:rsidRPr="00716418">
              <w:rPr>
                <w:rFonts w:cstheme="minorHAnsi"/>
                <w:b/>
                <w:bCs/>
                <w:color w:val="000000"/>
              </w:rPr>
              <w:t>Preliminary 2021 - 2023 Design Value</w:t>
            </w:r>
          </w:p>
        </w:tc>
        <w:tc>
          <w:tcPr>
            <w:tcW w:w="1705" w:type="dxa"/>
            <w:hideMark/>
          </w:tcPr>
          <w:p w:rsidR="002B2E31" w:rsidRPr="00151881" w:rsidP="006D0304" w14:paraId="36EF2921" w14:textId="77777777">
            <w:pPr>
              <w:jc w:val="center"/>
              <w:rPr>
                <w:rFonts w:cstheme="minorHAnsi"/>
                <w:b/>
                <w:bCs/>
                <w:color w:val="000000"/>
              </w:rPr>
            </w:pPr>
            <w:r w:rsidRPr="00151881">
              <w:rPr>
                <w:rFonts w:cstheme="minorHAnsi"/>
                <w:b/>
                <w:bCs/>
                <w:color w:val="000000"/>
              </w:rPr>
              <w:t>Meets NAAQS Determination</w:t>
            </w:r>
          </w:p>
        </w:tc>
      </w:tr>
      <w:tr w14:paraId="2DEB1972"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5E13CF39" w14:textId="77777777">
            <w:pPr>
              <w:rPr>
                <w:rFonts w:cstheme="minorHAnsi"/>
              </w:rPr>
            </w:pPr>
            <w:r w:rsidRPr="00151881">
              <w:rPr>
                <w:rFonts w:cstheme="minorHAnsi"/>
              </w:rPr>
              <w:t>Amador County, CA</w:t>
            </w:r>
          </w:p>
        </w:tc>
        <w:tc>
          <w:tcPr>
            <w:tcW w:w="2070" w:type="dxa"/>
            <w:noWrap/>
            <w:hideMark/>
          </w:tcPr>
          <w:p w:rsidR="002B2E31" w:rsidRPr="00151881" w:rsidP="006D0304" w14:paraId="39019A8B" w14:textId="77777777">
            <w:pPr>
              <w:jc w:val="center"/>
              <w:rPr>
                <w:rFonts w:cstheme="minorHAnsi"/>
                <w:color w:val="151515"/>
              </w:rPr>
            </w:pPr>
            <w:r w:rsidRPr="00151881">
              <w:rPr>
                <w:rFonts w:cstheme="minorHAnsi"/>
                <w:color w:val="151515"/>
              </w:rPr>
              <w:t>Marginal</w:t>
            </w:r>
          </w:p>
        </w:tc>
        <w:tc>
          <w:tcPr>
            <w:tcW w:w="2700" w:type="dxa"/>
            <w:hideMark/>
          </w:tcPr>
          <w:p w:rsidR="002B2E31" w:rsidRPr="00151881" w:rsidP="006D0304" w14:paraId="0D92A25D" w14:textId="77777777">
            <w:pPr>
              <w:jc w:val="center"/>
              <w:rPr>
                <w:rFonts w:cstheme="minorHAnsi"/>
                <w:color w:val="151515"/>
              </w:rPr>
            </w:pPr>
            <w:r w:rsidRPr="00151881">
              <w:rPr>
                <w:rFonts w:cstheme="minorHAnsi"/>
                <w:color w:val="151515"/>
              </w:rPr>
              <w:t>0.067</w:t>
            </w:r>
          </w:p>
        </w:tc>
        <w:tc>
          <w:tcPr>
            <w:tcW w:w="1705" w:type="dxa"/>
            <w:hideMark/>
          </w:tcPr>
          <w:p w:rsidR="002B2E31" w:rsidRPr="00151881" w:rsidP="006D0304" w14:paraId="4D6B716C" w14:textId="77777777">
            <w:pPr>
              <w:jc w:val="center"/>
              <w:rPr>
                <w:rFonts w:cstheme="minorHAnsi"/>
                <w:color w:val="151515"/>
              </w:rPr>
            </w:pPr>
            <w:r w:rsidRPr="00151881">
              <w:rPr>
                <w:rFonts w:cstheme="minorHAnsi"/>
                <w:color w:val="151515"/>
              </w:rPr>
              <w:t>Yes</w:t>
            </w:r>
          </w:p>
        </w:tc>
      </w:tr>
      <w:tr w14:paraId="12191B63"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2F3C02C2" w14:textId="77777777">
            <w:pPr>
              <w:rPr>
                <w:rFonts w:cstheme="minorHAnsi"/>
              </w:rPr>
            </w:pPr>
            <w:r w:rsidRPr="00151881">
              <w:rPr>
                <w:rFonts w:cstheme="minorHAnsi"/>
              </w:rPr>
              <w:t>Butte County, CA</w:t>
            </w:r>
          </w:p>
        </w:tc>
        <w:tc>
          <w:tcPr>
            <w:tcW w:w="2070" w:type="dxa"/>
            <w:noWrap/>
            <w:hideMark/>
          </w:tcPr>
          <w:p w:rsidR="002B2E31" w:rsidRPr="00151881" w:rsidP="006D0304" w14:paraId="2C4285E0" w14:textId="77777777">
            <w:pPr>
              <w:jc w:val="center"/>
              <w:rPr>
                <w:rFonts w:cstheme="minorHAnsi"/>
                <w:color w:val="151515"/>
              </w:rPr>
            </w:pPr>
            <w:r w:rsidRPr="00151881">
              <w:rPr>
                <w:rFonts w:cstheme="minorHAnsi"/>
                <w:color w:val="151515"/>
              </w:rPr>
              <w:t>Marginal</w:t>
            </w:r>
          </w:p>
        </w:tc>
        <w:tc>
          <w:tcPr>
            <w:tcW w:w="2700" w:type="dxa"/>
            <w:hideMark/>
          </w:tcPr>
          <w:p w:rsidR="002B2E31" w:rsidRPr="00151881" w:rsidP="006D0304" w14:paraId="0F169B19" w14:textId="77777777">
            <w:pPr>
              <w:jc w:val="center"/>
              <w:rPr>
                <w:rFonts w:cstheme="minorHAnsi"/>
                <w:color w:val="151515"/>
              </w:rPr>
            </w:pPr>
            <w:r w:rsidRPr="00151881">
              <w:rPr>
                <w:rFonts w:cstheme="minorHAnsi"/>
                <w:color w:val="151515"/>
              </w:rPr>
              <w:t>0.07</w:t>
            </w:r>
          </w:p>
        </w:tc>
        <w:tc>
          <w:tcPr>
            <w:tcW w:w="1705" w:type="dxa"/>
            <w:hideMark/>
          </w:tcPr>
          <w:p w:rsidR="002B2E31" w:rsidRPr="00151881" w:rsidP="006D0304" w14:paraId="7148D4D0" w14:textId="77777777">
            <w:pPr>
              <w:jc w:val="center"/>
              <w:rPr>
                <w:rFonts w:cstheme="minorHAnsi"/>
                <w:color w:val="151515"/>
              </w:rPr>
            </w:pPr>
            <w:r w:rsidRPr="00151881">
              <w:rPr>
                <w:rFonts w:cstheme="minorHAnsi"/>
                <w:color w:val="151515"/>
              </w:rPr>
              <w:t>Yes</w:t>
            </w:r>
          </w:p>
        </w:tc>
      </w:tr>
      <w:tr w14:paraId="72F5BE25"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683C6720" w14:textId="77777777">
            <w:pPr>
              <w:rPr>
                <w:rFonts w:cstheme="minorHAnsi"/>
              </w:rPr>
            </w:pPr>
            <w:r w:rsidRPr="00151881">
              <w:rPr>
                <w:rFonts w:cstheme="minorHAnsi"/>
              </w:rPr>
              <w:t>Calaveras County, CA</w:t>
            </w:r>
          </w:p>
        </w:tc>
        <w:tc>
          <w:tcPr>
            <w:tcW w:w="2070" w:type="dxa"/>
            <w:noWrap/>
            <w:hideMark/>
          </w:tcPr>
          <w:p w:rsidR="002B2E31" w:rsidRPr="00151881" w:rsidP="006D0304" w14:paraId="704D1F5F" w14:textId="77777777">
            <w:pPr>
              <w:jc w:val="center"/>
              <w:rPr>
                <w:rFonts w:cstheme="minorHAnsi"/>
                <w:color w:val="151515"/>
              </w:rPr>
            </w:pPr>
            <w:r w:rsidRPr="00151881">
              <w:rPr>
                <w:rFonts w:cstheme="minorHAnsi"/>
                <w:color w:val="151515"/>
              </w:rPr>
              <w:t>Marginal</w:t>
            </w:r>
          </w:p>
        </w:tc>
        <w:tc>
          <w:tcPr>
            <w:tcW w:w="2700" w:type="dxa"/>
            <w:hideMark/>
          </w:tcPr>
          <w:p w:rsidR="002B2E31" w:rsidRPr="00151881" w:rsidP="006D0304" w14:paraId="59B97D2A" w14:textId="77777777">
            <w:pPr>
              <w:jc w:val="center"/>
              <w:rPr>
                <w:rFonts w:cstheme="minorHAnsi"/>
                <w:color w:val="151515"/>
              </w:rPr>
            </w:pPr>
            <w:r w:rsidRPr="00151881">
              <w:rPr>
                <w:rFonts w:cstheme="minorHAnsi"/>
                <w:color w:val="151515"/>
              </w:rPr>
              <w:t>0.07</w:t>
            </w:r>
          </w:p>
        </w:tc>
        <w:tc>
          <w:tcPr>
            <w:tcW w:w="1705" w:type="dxa"/>
            <w:hideMark/>
          </w:tcPr>
          <w:p w:rsidR="002B2E31" w:rsidRPr="00151881" w:rsidP="006D0304" w14:paraId="3C03A5A0" w14:textId="77777777">
            <w:pPr>
              <w:jc w:val="center"/>
              <w:rPr>
                <w:rFonts w:cstheme="minorHAnsi"/>
                <w:color w:val="151515"/>
              </w:rPr>
            </w:pPr>
            <w:r w:rsidRPr="00151881">
              <w:rPr>
                <w:rFonts w:cstheme="minorHAnsi"/>
                <w:color w:val="151515"/>
              </w:rPr>
              <w:t>Yes</w:t>
            </w:r>
          </w:p>
        </w:tc>
      </w:tr>
      <w:tr w14:paraId="255D3964"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588C752B" w14:textId="77777777">
            <w:pPr>
              <w:rPr>
                <w:rFonts w:cstheme="minorHAnsi"/>
              </w:rPr>
            </w:pPr>
            <w:r>
              <w:rPr>
                <w:rFonts w:cstheme="minorHAnsi"/>
              </w:rPr>
              <w:t>Kern County (Eastern Kern), CA</w:t>
            </w:r>
          </w:p>
        </w:tc>
        <w:tc>
          <w:tcPr>
            <w:tcW w:w="2070" w:type="dxa"/>
            <w:noWrap/>
            <w:hideMark/>
          </w:tcPr>
          <w:p w:rsidR="002B2E31" w:rsidRPr="00151881" w:rsidP="006D0304" w14:paraId="1F77E9D6" w14:textId="77777777">
            <w:pPr>
              <w:jc w:val="center"/>
              <w:rPr>
                <w:rFonts w:cstheme="minorHAnsi"/>
                <w:color w:val="151515"/>
              </w:rPr>
            </w:pPr>
            <w:r>
              <w:rPr>
                <w:rFonts w:cstheme="minorHAnsi"/>
                <w:color w:val="151515"/>
              </w:rPr>
              <w:t>Serious</w:t>
            </w:r>
          </w:p>
        </w:tc>
        <w:tc>
          <w:tcPr>
            <w:tcW w:w="2700" w:type="dxa"/>
            <w:hideMark/>
          </w:tcPr>
          <w:p w:rsidR="002B2E31" w:rsidRPr="00151881" w:rsidP="006D0304" w14:paraId="565269D8" w14:textId="77777777">
            <w:pPr>
              <w:jc w:val="center"/>
              <w:rPr>
                <w:rFonts w:cstheme="minorHAnsi"/>
                <w:color w:val="151515"/>
              </w:rPr>
            </w:pPr>
            <w:r w:rsidRPr="00151881">
              <w:rPr>
                <w:rFonts w:cstheme="minorHAnsi"/>
                <w:color w:val="151515"/>
              </w:rPr>
              <w:t>0.0</w:t>
            </w:r>
            <w:r>
              <w:rPr>
                <w:rFonts w:cstheme="minorHAnsi"/>
                <w:color w:val="151515"/>
              </w:rPr>
              <w:t>64</w:t>
            </w:r>
          </w:p>
        </w:tc>
        <w:tc>
          <w:tcPr>
            <w:tcW w:w="1705" w:type="dxa"/>
            <w:hideMark/>
          </w:tcPr>
          <w:p w:rsidR="002B2E31" w:rsidRPr="00151881" w:rsidP="006D0304" w14:paraId="32B358AA" w14:textId="77777777">
            <w:pPr>
              <w:jc w:val="center"/>
              <w:rPr>
                <w:rFonts w:cstheme="minorHAnsi"/>
                <w:color w:val="151515"/>
              </w:rPr>
            </w:pPr>
            <w:r w:rsidRPr="00151881">
              <w:rPr>
                <w:rFonts w:cstheme="minorHAnsi"/>
                <w:color w:val="151515"/>
              </w:rPr>
              <w:t>Yes</w:t>
            </w:r>
          </w:p>
        </w:tc>
      </w:tr>
      <w:tr w14:paraId="7A2BCB61"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046F7DAF" w14:textId="77777777">
            <w:pPr>
              <w:rPr>
                <w:rFonts w:cstheme="minorHAnsi"/>
              </w:rPr>
            </w:pPr>
            <w:r w:rsidRPr="00716418">
              <w:rPr>
                <w:rFonts w:cstheme="minorHAnsi"/>
              </w:rPr>
              <w:t>San Francisco Bay Area, CA</w:t>
            </w:r>
          </w:p>
        </w:tc>
        <w:tc>
          <w:tcPr>
            <w:tcW w:w="2070" w:type="dxa"/>
            <w:noWrap/>
            <w:hideMark/>
          </w:tcPr>
          <w:p w:rsidR="002B2E31" w:rsidRPr="00151881" w:rsidP="006D0304" w14:paraId="44355992" w14:textId="77777777">
            <w:pPr>
              <w:jc w:val="center"/>
              <w:rPr>
                <w:rFonts w:cstheme="minorHAnsi"/>
              </w:rPr>
            </w:pPr>
            <w:r>
              <w:rPr>
                <w:rFonts w:cstheme="minorHAnsi"/>
              </w:rPr>
              <w:t>Marginal</w:t>
            </w:r>
          </w:p>
        </w:tc>
        <w:tc>
          <w:tcPr>
            <w:tcW w:w="2700" w:type="dxa"/>
            <w:hideMark/>
          </w:tcPr>
          <w:p w:rsidR="002B2E31" w:rsidRPr="00151881" w:rsidP="006D0304" w14:paraId="4DBA1C51" w14:textId="77777777">
            <w:pPr>
              <w:jc w:val="center"/>
              <w:rPr>
                <w:rFonts w:cstheme="minorHAnsi"/>
                <w:color w:val="151515"/>
              </w:rPr>
            </w:pPr>
            <w:r w:rsidRPr="00151881">
              <w:rPr>
                <w:rFonts w:cstheme="minorHAnsi"/>
                <w:color w:val="151515"/>
              </w:rPr>
              <w:t>0.0</w:t>
            </w:r>
            <w:r>
              <w:rPr>
                <w:rFonts w:cstheme="minorHAnsi"/>
                <w:color w:val="151515"/>
              </w:rPr>
              <w:t>7</w:t>
            </w:r>
          </w:p>
        </w:tc>
        <w:tc>
          <w:tcPr>
            <w:tcW w:w="1705" w:type="dxa"/>
            <w:hideMark/>
          </w:tcPr>
          <w:p w:rsidR="002B2E31" w:rsidRPr="00151881" w:rsidP="006D0304" w14:paraId="77DD26F0" w14:textId="77777777">
            <w:pPr>
              <w:jc w:val="center"/>
              <w:rPr>
                <w:rFonts w:cstheme="minorHAnsi"/>
                <w:color w:val="151515"/>
              </w:rPr>
            </w:pPr>
            <w:r w:rsidRPr="00151881">
              <w:rPr>
                <w:rFonts w:cstheme="minorHAnsi"/>
                <w:color w:val="151515"/>
              </w:rPr>
              <w:t>Yes</w:t>
            </w:r>
          </w:p>
        </w:tc>
      </w:tr>
      <w:tr w14:paraId="42F79C90"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7D2654BA" w14:textId="77777777">
            <w:pPr>
              <w:rPr>
                <w:rFonts w:cstheme="minorHAnsi"/>
              </w:rPr>
            </w:pPr>
            <w:r w:rsidRPr="00716418">
              <w:rPr>
                <w:rFonts w:cstheme="minorHAnsi"/>
              </w:rPr>
              <w:t>San Luis Obispo (Eastern part), CA</w:t>
            </w:r>
          </w:p>
        </w:tc>
        <w:tc>
          <w:tcPr>
            <w:tcW w:w="2070" w:type="dxa"/>
            <w:noWrap/>
            <w:hideMark/>
          </w:tcPr>
          <w:p w:rsidR="002B2E31" w:rsidRPr="00151881" w:rsidP="006D0304" w14:paraId="428D5397" w14:textId="77777777">
            <w:pPr>
              <w:jc w:val="center"/>
              <w:rPr>
                <w:rFonts w:cstheme="minorHAnsi"/>
              </w:rPr>
            </w:pPr>
            <w:r>
              <w:rPr>
                <w:rFonts w:cstheme="minorHAnsi"/>
              </w:rPr>
              <w:t>Marginal</w:t>
            </w:r>
          </w:p>
        </w:tc>
        <w:tc>
          <w:tcPr>
            <w:tcW w:w="2700" w:type="dxa"/>
            <w:hideMark/>
          </w:tcPr>
          <w:p w:rsidR="002B2E31" w:rsidRPr="00151881" w:rsidP="006D0304" w14:paraId="42CC909C" w14:textId="77777777">
            <w:pPr>
              <w:jc w:val="center"/>
              <w:rPr>
                <w:rFonts w:cstheme="minorHAnsi"/>
                <w:color w:val="151515"/>
              </w:rPr>
            </w:pPr>
            <w:r w:rsidRPr="00151881">
              <w:rPr>
                <w:rFonts w:cstheme="minorHAnsi"/>
                <w:color w:val="151515"/>
              </w:rPr>
              <w:t>0.0</w:t>
            </w:r>
            <w:r>
              <w:rPr>
                <w:rFonts w:cstheme="minorHAnsi"/>
                <w:color w:val="151515"/>
              </w:rPr>
              <w:t>7</w:t>
            </w:r>
          </w:p>
        </w:tc>
        <w:tc>
          <w:tcPr>
            <w:tcW w:w="1705" w:type="dxa"/>
            <w:hideMark/>
          </w:tcPr>
          <w:p w:rsidR="002B2E31" w:rsidRPr="00151881" w:rsidP="006D0304" w14:paraId="3CD498D3" w14:textId="77777777">
            <w:pPr>
              <w:jc w:val="center"/>
              <w:rPr>
                <w:rFonts w:cstheme="minorHAnsi"/>
                <w:color w:val="151515"/>
              </w:rPr>
            </w:pPr>
            <w:r w:rsidRPr="00151881">
              <w:rPr>
                <w:rFonts w:cstheme="minorHAnsi"/>
                <w:color w:val="151515"/>
              </w:rPr>
              <w:t>Yes</w:t>
            </w:r>
          </w:p>
        </w:tc>
      </w:tr>
      <w:tr w14:paraId="7BA95C89"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303E05D9" w14:textId="77777777">
            <w:pPr>
              <w:rPr>
                <w:rFonts w:cstheme="minorHAnsi"/>
              </w:rPr>
            </w:pPr>
            <w:r w:rsidRPr="00151881">
              <w:rPr>
                <w:rFonts w:cstheme="minorHAnsi"/>
              </w:rPr>
              <w:t>Tuolumne County, CA</w:t>
            </w:r>
          </w:p>
        </w:tc>
        <w:tc>
          <w:tcPr>
            <w:tcW w:w="2070" w:type="dxa"/>
            <w:noWrap/>
            <w:hideMark/>
          </w:tcPr>
          <w:p w:rsidR="002B2E31" w:rsidRPr="00151881" w:rsidP="006D0304" w14:paraId="56731EE3" w14:textId="77777777">
            <w:pPr>
              <w:jc w:val="center"/>
              <w:rPr>
                <w:rFonts w:cstheme="minorHAnsi"/>
                <w:color w:val="151515"/>
              </w:rPr>
            </w:pPr>
            <w:r w:rsidRPr="00151881">
              <w:rPr>
                <w:rFonts w:cstheme="minorHAnsi"/>
                <w:color w:val="151515"/>
              </w:rPr>
              <w:t>Marginal</w:t>
            </w:r>
          </w:p>
        </w:tc>
        <w:tc>
          <w:tcPr>
            <w:tcW w:w="2700" w:type="dxa"/>
            <w:hideMark/>
          </w:tcPr>
          <w:p w:rsidR="002B2E31" w:rsidRPr="00151881" w:rsidP="006D0304" w14:paraId="1974C821" w14:textId="77777777">
            <w:pPr>
              <w:jc w:val="center"/>
              <w:rPr>
                <w:rFonts w:cstheme="minorHAnsi"/>
                <w:color w:val="151515"/>
              </w:rPr>
            </w:pPr>
            <w:r w:rsidRPr="00151881">
              <w:rPr>
                <w:rFonts w:cstheme="minorHAnsi"/>
                <w:color w:val="151515"/>
              </w:rPr>
              <w:t>0.068</w:t>
            </w:r>
          </w:p>
        </w:tc>
        <w:tc>
          <w:tcPr>
            <w:tcW w:w="1705" w:type="dxa"/>
            <w:hideMark/>
          </w:tcPr>
          <w:p w:rsidR="002B2E31" w:rsidRPr="00151881" w:rsidP="006D0304" w14:paraId="302E4F6A" w14:textId="77777777">
            <w:pPr>
              <w:jc w:val="center"/>
              <w:rPr>
                <w:rFonts w:cstheme="minorHAnsi"/>
                <w:color w:val="151515"/>
              </w:rPr>
            </w:pPr>
            <w:r w:rsidRPr="00151881">
              <w:rPr>
                <w:rFonts w:cstheme="minorHAnsi"/>
                <w:color w:val="151515"/>
              </w:rPr>
              <w:t>Yes</w:t>
            </w:r>
          </w:p>
        </w:tc>
      </w:tr>
      <w:tr w14:paraId="15841D17" w14:textId="77777777" w:rsidTr="006D0304">
        <w:tblPrEx>
          <w:tblW w:w="0" w:type="auto"/>
          <w:jc w:val="center"/>
          <w:tblLayout w:type="fixed"/>
          <w:tblLook w:val="04A0"/>
        </w:tblPrEx>
        <w:trPr>
          <w:trHeight w:val="300"/>
          <w:jc w:val="center"/>
        </w:trPr>
        <w:tc>
          <w:tcPr>
            <w:tcW w:w="3595" w:type="dxa"/>
            <w:noWrap/>
            <w:hideMark/>
          </w:tcPr>
          <w:p w:rsidR="002B2E31" w:rsidRPr="00151881" w:rsidP="006D0304" w14:paraId="2B4FFB77" w14:textId="77777777">
            <w:pPr>
              <w:rPr>
                <w:rFonts w:cstheme="minorHAnsi"/>
              </w:rPr>
            </w:pPr>
            <w:r w:rsidRPr="00151881">
              <w:rPr>
                <w:rFonts w:cstheme="minorHAnsi"/>
              </w:rPr>
              <w:t>Yuma, AZ</w:t>
            </w:r>
          </w:p>
        </w:tc>
        <w:tc>
          <w:tcPr>
            <w:tcW w:w="2070" w:type="dxa"/>
            <w:noWrap/>
            <w:hideMark/>
          </w:tcPr>
          <w:p w:rsidR="002B2E31" w:rsidRPr="00151881" w:rsidP="006D0304" w14:paraId="366EDC46" w14:textId="77777777">
            <w:pPr>
              <w:jc w:val="center"/>
              <w:rPr>
                <w:rFonts w:cstheme="minorHAnsi"/>
                <w:color w:val="151515"/>
              </w:rPr>
            </w:pPr>
            <w:r w:rsidRPr="00151881">
              <w:rPr>
                <w:rFonts w:cstheme="minorHAnsi"/>
                <w:color w:val="151515"/>
              </w:rPr>
              <w:t>Marginal</w:t>
            </w:r>
          </w:p>
        </w:tc>
        <w:tc>
          <w:tcPr>
            <w:tcW w:w="2700" w:type="dxa"/>
            <w:hideMark/>
          </w:tcPr>
          <w:p w:rsidR="002B2E31" w:rsidRPr="00151881" w:rsidP="006D0304" w14:paraId="56052D50" w14:textId="77777777">
            <w:pPr>
              <w:jc w:val="center"/>
              <w:rPr>
                <w:rFonts w:cstheme="minorHAnsi"/>
                <w:color w:val="151515"/>
              </w:rPr>
            </w:pPr>
            <w:r w:rsidRPr="00151881">
              <w:rPr>
                <w:rFonts w:cstheme="minorHAnsi"/>
                <w:color w:val="151515"/>
              </w:rPr>
              <w:t>0.067</w:t>
            </w:r>
          </w:p>
        </w:tc>
        <w:tc>
          <w:tcPr>
            <w:tcW w:w="1705" w:type="dxa"/>
            <w:hideMark/>
          </w:tcPr>
          <w:p w:rsidR="002B2E31" w:rsidRPr="00151881" w:rsidP="006D0304" w14:paraId="1FA845A2" w14:textId="77777777">
            <w:pPr>
              <w:jc w:val="center"/>
              <w:rPr>
                <w:rFonts w:cstheme="minorHAnsi"/>
                <w:color w:val="151515"/>
              </w:rPr>
            </w:pPr>
            <w:r w:rsidRPr="00151881">
              <w:rPr>
                <w:rFonts w:cstheme="minorHAnsi"/>
                <w:color w:val="151515"/>
              </w:rPr>
              <w:t>Yes</w:t>
            </w:r>
          </w:p>
        </w:tc>
      </w:tr>
    </w:tbl>
    <w:p w:rsidR="00587C1E" w:rsidP="00587C1E" w14:paraId="1473C385" w14:textId="77777777">
      <w:pPr>
        <w:rPr>
          <w:rFonts w:cstheme="minorHAnsi"/>
          <w:b/>
          <w:bCs/>
        </w:rPr>
      </w:pPr>
    </w:p>
    <w:p w:rsidR="002B2E31" w:rsidP="00587C1E" w14:paraId="3E7D544C" w14:textId="19D82798">
      <w:pPr>
        <w:rPr>
          <w:rFonts w:cstheme="minorHAnsi"/>
        </w:rPr>
      </w:pPr>
      <w:r w:rsidRPr="00151881">
        <w:rPr>
          <w:rFonts w:cstheme="minorHAnsi"/>
        </w:rPr>
        <w:t>Table 6 lists 1</w:t>
      </w:r>
      <w:r>
        <w:rPr>
          <w:rFonts w:cstheme="minorHAnsi"/>
        </w:rPr>
        <w:t>9</w:t>
      </w:r>
      <w:r w:rsidRPr="00151881">
        <w:rPr>
          <w:rFonts w:cstheme="minorHAnsi"/>
        </w:rPr>
        <w:t xml:space="preserve"> nonattainment areas for the 2008 </w:t>
      </w:r>
      <w:r>
        <w:rPr>
          <w:rFonts w:cstheme="minorHAnsi"/>
        </w:rPr>
        <w:t>O</w:t>
      </w:r>
      <w:r w:rsidRPr="00151881">
        <w:rPr>
          <w:rFonts w:cstheme="minorHAnsi"/>
        </w:rPr>
        <w:t>zone NAAQS currently eligible</w:t>
      </w:r>
      <w:r>
        <w:rPr>
          <w:rFonts w:cstheme="minorHAnsi"/>
        </w:rPr>
        <w:t xml:space="preserve"> or expected to be eligible for redesignation to attainment</w:t>
      </w:r>
      <w:r w:rsidRPr="00151881">
        <w:rPr>
          <w:rFonts w:cstheme="minorHAnsi"/>
        </w:rPr>
        <w:t xml:space="preserve"> during this ICR period. Accordingly, this analysis estimates the burden for each state in Table 6 to prepare and submit the SIP revisions required for their respective redesignation to attainment request.</w:t>
      </w:r>
      <w:r w:rsidRPr="00EE4D40">
        <w:rPr>
          <w:rFonts w:cstheme="minorHAnsi"/>
        </w:rPr>
        <w:t xml:space="preserve">  </w:t>
      </w:r>
      <w:r w:rsidRPr="00151881">
        <w:rPr>
          <w:rFonts w:cstheme="minorHAnsi"/>
        </w:rPr>
        <w:t xml:space="preserve">For this analysis, we based our burden estimate </w:t>
      </w:r>
      <w:r>
        <w:rPr>
          <w:rFonts w:cstheme="minorHAnsi"/>
        </w:rPr>
        <w:t>on the assumption that</w:t>
      </w:r>
      <w:r w:rsidRPr="00151881">
        <w:rPr>
          <w:rFonts w:cstheme="minorHAnsi"/>
        </w:rPr>
        <w:t xml:space="preserve"> there will be </w:t>
      </w:r>
      <w:r>
        <w:rPr>
          <w:rFonts w:cstheme="minorHAnsi"/>
        </w:rPr>
        <w:t>23</w:t>
      </w:r>
      <w:r w:rsidRPr="00151881">
        <w:rPr>
          <w:rFonts w:cstheme="minorHAnsi"/>
        </w:rPr>
        <w:t xml:space="preserve"> state portions associated with 1</w:t>
      </w:r>
      <w:r>
        <w:rPr>
          <w:rFonts w:cstheme="minorHAnsi"/>
        </w:rPr>
        <w:t>9</w:t>
      </w:r>
      <w:r w:rsidRPr="00151881">
        <w:rPr>
          <w:rFonts w:cstheme="minorHAnsi"/>
        </w:rPr>
        <w:t xml:space="preserve"> nonattainment areas for which states may need to develop </w:t>
      </w:r>
      <w:r>
        <w:rPr>
          <w:rFonts w:cstheme="minorHAnsi"/>
        </w:rPr>
        <w:t>redesignations</w:t>
      </w:r>
      <w:r w:rsidRPr="00151881">
        <w:rPr>
          <w:rFonts w:cstheme="minorHAnsi"/>
        </w:rPr>
        <w:t xml:space="preserve"> to attainment requests.</w:t>
      </w:r>
    </w:p>
    <w:p w:rsidR="002B2E31" w:rsidRPr="007C25B1" w:rsidP="00587C1E" w14:paraId="4EB01299" w14:textId="77777777">
      <w:pPr>
        <w:rPr>
          <w:rFonts w:cstheme="minorHAnsi"/>
          <w:b/>
          <w:bCs/>
        </w:rPr>
      </w:pPr>
      <w:r w:rsidRPr="007C25B1">
        <w:rPr>
          <w:rFonts w:cstheme="minorHAnsi"/>
          <w:b/>
        </w:rPr>
        <w:t>Table 6.</w:t>
      </w:r>
      <w:r w:rsidRPr="00EE4D40">
        <w:rPr>
          <w:rFonts w:cstheme="minorHAnsi"/>
          <w:b/>
        </w:rPr>
        <w:t xml:space="preserve">  </w:t>
      </w:r>
      <w:r w:rsidRPr="007C25B1">
        <w:rPr>
          <w:rFonts w:cstheme="minorHAnsi"/>
          <w:b/>
          <w:bCs/>
        </w:rPr>
        <w:t xml:space="preserve">2008 </w:t>
      </w:r>
      <w:r>
        <w:rPr>
          <w:rFonts w:cstheme="minorHAnsi"/>
          <w:b/>
          <w:bCs/>
        </w:rPr>
        <w:t>Ozone</w:t>
      </w:r>
      <w:r w:rsidRPr="007C25B1">
        <w:rPr>
          <w:rFonts w:cstheme="minorHAnsi"/>
          <w:b/>
          <w:bCs/>
        </w:rPr>
        <w:t xml:space="preserve"> NAAQS Nonattainment Areas Eligible (or Expected to be Eligible) to Submit a Redesignation to Attainment Request.</w:t>
      </w:r>
    </w:p>
    <w:p w:rsidR="002B2E31" w:rsidP="002B2E31" w14:paraId="53C6480E" w14:textId="77777777">
      <w:pPr>
        <w:rPr>
          <w:rFonts w:cstheme="minorHAnsi"/>
        </w:rPr>
      </w:pPr>
    </w:p>
    <w:tbl>
      <w:tblPr>
        <w:tblStyle w:val="TableGrid"/>
        <w:tblW w:w="5000" w:type="pct"/>
        <w:tblLook w:val="04A0"/>
      </w:tblPr>
      <w:tblGrid>
        <w:gridCol w:w="3385"/>
        <w:gridCol w:w="1503"/>
        <w:gridCol w:w="2474"/>
        <w:gridCol w:w="1988"/>
      </w:tblGrid>
      <w:tr w14:paraId="7939FAD5" w14:textId="77777777" w:rsidTr="006D0304">
        <w:tblPrEx>
          <w:tblW w:w="5000" w:type="pct"/>
          <w:tblLook w:val="04A0"/>
        </w:tblPrEx>
        <w:trPr>
          <w:trHeight w:val="300"/>
        </w:trPr>
        <w:tc>
          <w:tcPr>
            <w:tcW w:w="2143" w:type="pct"/>
            <w:noWrap/>
            <w:hideMark/>
          </w:tcPr>
          <w:p w:rsidR="002B2E31" w:rsidRPr="00151881" w:rsidP="006D0304" w14:paraId="78C71E12" w14:textId="77777777">
            <w:pPr>
              <w:rPr>
                <w:rFonts w:cstheme="minorHAnsi"/>
                <w:color w:val="000000"/>
              </w:rPr>
            </w:pPr>
            <w:r w:rsidRPr="00151881">
              <w:rPr>
                <w:rFonts w:cstheme="minorHAnsi"/>
                <w:color w:val="000000"/>
              </w:rPr>
              <w:t>Area Name</w:t>
            </w:r>
          </w:p>
        </w:tc>
        <w:tc>
          <w:tcPr>
            <w:tcW w:w="677" w:type="pct"/>
            <w:noWrap/>
            <w:hideMark/>
          </w:tcPr>
          <w:p w:rsidR="002B2E31" w:rsidRPr="00151881" w:rsidP="006D0304" w14:paraId="09D98257" w14:textId="77777777">
            <w:pPr>
              <w:jc w:val="center"/>
              <w:rPr>
                <w:rFonts w:cstheme="minorHAnsi"/>
                <w:color w:val="000000"/>
              </w:rPr>
            </w:pPr>
            <w:r w:rsidRPr="00151881">
              <w:rPr>
                <w:rFonts w:cstheme="minorHAnsi"/>
                <w:color w:val="000000"/>
              </w:rPr>
              <w:t>Current Classification</w:t>
            </w:r>
          </w:p>
        </w:tc>
        <w:tc>
          <w:tcPr>
            <w:tcW w:w="1381" w:type="pct"/>
            <w:noWrap/>
            <w:hideMark/>
          </w:tcPr>
          <w:p w:rsidR="002B2E31" w:rsidRPr="00151881" w:rsidP="006D0304" w14:paraId="786A095C" w14:textId="77777777">
            <w:pPr>
              <w:jc w:val="center"/>
              <w:rPr>
                <w:rFonts w:cstheme="minorHAnsi"/>
                <w:color w:val="000000"/>
              </w:rPr>
            </w:pPr>
            <w:r w:rsidRPr="00151881">
              <w:rPr>
                <w:rFonts w:cstheme="minorHAnsi"/>
                <w:color w:val="000000"/>
              </w:rPr>
              <w:t>Preliminary 2021 - 2023 Design Value</w:t>
            </w:r>
          </w:p>
        </w:tc>
        <w:tc>
          <w:tcPr>
            <w:tcW w:w="799" w:type="pct"/>
            <w:noWrap/>
            <w:hideMark/>
          </w:tcPr>
          <w:p w:rsidR="002B2E31" w:rsidRPr="00151881" w:rsidP="006D0304" w14:paraId="16F612C0" w14:textId="77777777">
            <w:pPr>
              <w:jc w:val="center"/>
              <w:rPr>
                <w:rFonts w:cstheme="minorHAnsi"/>
                <w:color w:val="000000"/>
              </w:rPr>
            </w:pPr>
            <w:r w:rsidRPr="00151881">
              <w:rPr>
                <w:rFonts w:cstheme="minorHAnsi"/>
                <w:color w:val="000000"/>
              </w:rPr>
              <w:t>Meets NAAQS Determination</w:t>
            </w:r>
          </w:p>
        </w:tc>
      </w:tr>
      <w:tr w14:paraId="77B6E4A8" w14:textId="77777777" w:rsidTr="006D0304">
        <w:tblPrEx>
          <w:tblW w:w="5000" w:type="pct"/>
          <w:tblLook w:val="04A0"/>
        </w:tblPrEx>
        <w:trPr>
          <w:trHeight w:val="300"/>
        </w:trPr>
        <w:tc>
          <w:tcPr>
            <w:tcW w:w="2143" w:type="pct"/>
            <w:noWrap/>
            <w:hideMark/>
          </w:tcPr>
          <w:p w:rsidR="002B2E31" w:rsidRPr="00151881" w:rsidP="006D0304" w14:paraId="4058A83A" w14:textId="77777777">
            <w:pPr>
              <w:rPr>
                <w:rFonts w:cstheme="minorHAnsi"/>
                <w:color w:val="000000"/>
              </w:rPr>
            </w:pPr>
            <w:r w:rsidRPr="00151881">
              <w:rPr>
                <w:rFonts w:cstheme="minorHAnsi"/>
                <w:color w:val="000000"/>
              </w:rPr>
              <w:t>Allentown-Bethlehem-Easton, PA</w:t>
            </w:r>
          </w:p>
        </w:tc>
        <w:tc>
          <w:tcPr>
            <w:tcW w:w="677" w:type="pct"/>
            <w:noWrap/>
            <w:hideMark/>
          </w:tcPr>
          <w:p w:rsidR="002B2E31" w:rsidRPr="00151881" w:rsidP="006D0304" w14:paraId="243A93C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764544C3" w14:textId="77777777">
            <w:pPr>
              <w:jc w:val="center"/>
              <w:rPr>
                <w:rFonts w:cstheme="minorHAnsi"/>
                <w:color w:val="000000"/>
              </w:rPr>
            </w:pPr>
            <w:r>
              <w:rPr>
                <w:rFonts w:cstheme="minorHAnsi"/>
                <w:color w:val="000000"/>
              </w:rPr>
              <w:t>.0</w:t>
            </w:r>
            <w:r w:rsidRPr="00151881">
              <w:rPr>
                <w:rFonts w:cstheme="minorHAnsi"/>
                <w:color w:val="000000"/>
              </w:rPr>
              <w:t>67</w:t>
            </w:r>
          </w:p>
        </w:tc>
        <w:tc>
          <w:tcPr>
            <w:tcW w:w="799" w:type="pct"/>
            <w:noWrap/>
            <w:hideMark/>
          </w:tcPr>
          <w:p w:rsidR="002B2E31" w:rsidRPr="00151881" w:rsidP="006D0304" w14:paraId="5A6BE180" w14:textId="77777777">
            <w:pPr>
              <w:jc w:val="center"/>
              <w:rPr>
                <w:rFonts w:cstheme="minorHAnsi"/>
                <w:color w:val="000000"/>
              </w:rPr>
            </w:pPr>
            <w:r w:rsidRPr="00151881">
              <w:rPr>
                <w:rFonts w:cstheme="minorHAnsi"/>
                <w:color w:val="000000"/>
              </w:rPr>
              <w:t>Yes</w:t>
            </w:r>
          </w:p>
        </w:tc>
      </w:tr>
      <w:tr w14:paraId="5997C970" w14:textId="77777777" w:rsidTr="006D0304">
        <w:tblPrEx>
          <w:tblW w:w="5000" w:type="pct"/>
          <w:tblLook w:val="04A0"/>
        </w:tblPrEx>
        <w:trPr>
          <w:trHeight w:val="300"/>
        </w:trPr>
        <w:tc>
          <w:tcPr>
            <w:tcW w:w="2143" w:type="pct"/>
            <w:noWrap/>
            <w:hideMark/>
          </w:tcPr>
          <w:p w:rsidR="002B2E31" w:rsidRPr="00151881" w:rsidP="006D0304" w14:paraId="3E6EF638" w14:textId="77777777">
            <w:pPr>
              <w:rPr>
                <w:rFonts w:cstheme="minorHAnsi"/>
                <w:color w:val="000000"/>
              </w:rPr>
            </w:pPr>
            <w:r w:rsidRPr="00151881">
              <w:rPr>
                <w:rFonts w:cstheme="minorHAnsi"/>
                <w:color w:val="000000"/>
              </w:rPr>
              <w:t>Baltimore, MD</w:t>
            </w:r>
          </w:p>
        </w:tc>
        <w:tc>
          <w:tcPr>
            <w:tcW w:w="677" w:type="pct"/>
            <w:noWrap/>
            <w:hideMark/>
          </w:tcPr>
          <w:p w:rsidR="002B2E31" w:rsidRPr="00151881" w:rsidP="006D0304" w14:paraId="41E89F7B" w14:textId="77777777">
            <w:pPr>
              <w:jc w:val="center"/>
              <w:rPr>
                <w:rFonts w:cstheme="minorHAnsi"/>
                <w:color w:val="000000"/>
              </w:rPr>
            </w:pPr>
            <w:r w:rsidRPr="00151881">
              <w:rPr>
                <w:rFonts w:cstheme="minorHAnsi"/>
                <w:color w:val="000000"/>
              </w:rPr>
              <w:t>Moderate</w:t>
            </w:r>
          </w:p>
        </w:tc>
        <w:tc>
          <w:tcPr>
            <w:tcW w:w="1381" w:type="pct"/>
            <w:noWrap/>
            <w:hideMark/>
          </w:tcPr>
          <w:p w:rsidR="002B2E31" w:rsidRPr="00151881" w:rsidP="006D0304" w14:paraId="143B030F"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36F113F7" w14:textId="77777777">
            <w:pPr>
              <w:jc w:val="center"/>
              <w:rPr>
                <w:rFonts w:cstheme="minorHAnsi"/>
                <w:color w:val="000000"/>
              </w:rPr>
            </w:pPr>
            <w:r w:rsidRPr="00151881">
              <w:rPr>
                <w:rFonts w:cstheme="minorHAnsi"/>
                <w:color w:val="000000"/>
              </w:rPr>
              <w:t>Yes</w:t>
            </w:r>
          </w:p>
        </w:tc>
      </w:tr>
      <w:tr w14:paraId="526B2516" w14:textId="77777777" w:rsidTr="006D0304">
        <w:tblPrEx>
          <w:tblW w:w="5000" w:type="pct"/>
          <w:tblLook w:val="04A0"/>
        </w:tblPrEx>
        <w:trPr>
          <w:trHeight w:val="300"/>
        </w:trPr>
        <w:tc>
          <w:tcPr>
            <w:tcW w:w="2143" w:type="pct"/>
            <w:noWrap/>
            <w:hideMark/>
          </w:tcPr>
          <w:p w:rsidR="002B2E31" w:rsidRPr="00151881" w:rsidP="006D0304" w14:paraId="2F17BE4E" w14:textId="77777777">
            <w:pPr>
              <w:rPr>
                <w:rFonts w:cstheme="minorHAnsi"/>
                <w:color w:val="000000"/>
              </w:rPr>
            </w:pPr>
            <w:r w:rsidRPr="00151881">
              <w:rPr>
                <w:rFonts w:cstheme="minorHAnsi"/>
                <w:color w:val="000000"/>
              </w:rPr>
              <w:t>Calaveras County, CA</w:t>
            </w:r>
          </w:p>
        </w:tc>
        <w:tc>
          <w:tcPr>
            <w:tcW w:w="677" w:type="pct"/>
            <w:noWrap/>
            <w:hideMark/>
          </w:tcPr>
          <w:p w:rsidR="002B2E31" w:rsidRPr="00151881" w:rsidP="006D0304" w14:paraId="3CEC9066"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5A6C7FA1" w14:textId="77777777">
            <w:pPr>
              <w:jc w:val="center"/>
              <w:rPr>
                <w:rFonts w:cstheme="minorHAnsi"/>
                <w:color w:val="000000"/>
              </w:rPr>
            </w:pPr>
            <w:r>
              <w:rPr>
                <w:rFonts w:cstheme="minorHAnsi"/>
                <w:color w:val="000000"/>
              </w:rPr>
              <w:t>.0</w:t>
            </w:r>
            <w:r w:rsidRPr="00151881">
              <w:rPr>
                <w:rFonts w:cstheme="minorHAnsi"/>
                <w:color w:val="000000"/>
              </w:rPr>
              <w:t>66</w:t>
            </w:r>
          </w:p>
        </w:tc>
        <w:tc>
          <w:tcPr>
            <w:tcW w:w="799" w:type="pct"/>
            <w:noWrap/>
            <w:hideMark/>
          </w:tcPr>
          <w:p w:rsidR="002B2E31" w:rsidRPr="00151881" w:rsidP="006D0304" w14:paraId="0F6936E2" w14:textId="77777777">
            <w:pPr>
              <w:jc w:val="center"/>
              <w:rPr>
                <w:rFonts w:cstheme="minorHAnsi"/>
                <w:color w:val="000000"/>
              </w:rPr>
            </w:pPr>
            <w:r w:rsidRPr="00151881">
              <w:rPr>
                <w:rFonts w:cstheme="minorHAnsi"/>
                <w:color w:val="000000"/>
              </w:rPr>
              <w:t>Yes</w:t>
            </w:r>
          </w:p>
        </w:tc>
      </w:tr>
      <w:tr w14:paraId="22798403" w14:textId="77777777" w:rsidTr="006D0304">
        <w:tblPrEx>
          <w:tblW w:w="5000" w:type="pct"/>
          <w:tblLook w:val="04A0"/>
        </w:tblPrEx>
        <w:trPr>
          <w:trHeight w:val="300"/>
        </w:trPr>
        <w:tc>
          <w:tcPr>
            <w:tcW w:w="2143" w:type="pct"/>
            <w:noWrap/>
            <w:hideMark/>
          </w:tcPr>
          <w:p w:rsidR="002B2E31" w:rsidRPr="00151881" w:rsidP="006D0304" w14:paraId="737AA48A" w14:textId="77777777">
            <w:pPr>
              <w:rPr>
                <w:rFonts w:cstheme="minorHAnsi"/>
                <w:color w:val="000000"/>
              </w:rPr>
            </w:pPr>
            <w:r w:rsidRPr="00151881">
              <w:rPr>
                <w:rFonts w:cstheme="minorHAnsi"/>
                <w:color w:val="000000"/>
              </w:rPr>
              <w:t>Chico (Butte County), CA</w:t>
            </w:r>
          </w:p>
        </w:tc>
        <w:tc>
          <w:tcPr>
            <w:tcW w:w="677" w:type="pct"/>
            <w:noWrap/>
            <w:hideMark/>
          </w:tcPr>
          <w:p w:rsidR="002B2E31" w:rsidRPr="00151881" w:rsidP="006D0304" w14:paraId="43074362"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08B0ED2F" w14:textId="77777777">
            <w:pPr>
              <w:jc w:val="center"/>
              <w:rPr>
                <w:rFonts w:cstheme="minorHAnsi"/>
                <w:color w:val="000000"/>
              </w:rPr>
            </w:pPr>
            <w:r>
              <w:rPr>
                <w:rFonts w:cstheme="minorHAnsi"/>
                <w:color w:val="000000"/>
              </w:rPr>
              <w:t>.0</w:t>
            </w:r>
            <w:r w:rsidRPr="00151881">
              <w:rPr>
                <w:rFonts w:cstheme="minorHAnsi"/>
                <w:color w:val="000000"/>
              </w:rPr>
              <w:t>67</w:t>
            </w:r>
          </w:p>
        </w:tc>
        <w:tc>
          <w:tcPr>
            <w:tcW w:w="799" w:type="pct"/>
            <w:noWrap/>
            <w:hideMark/>
          </w:tcPr>
          <w:p w:rsidR="002B2E31" w:rsidRPr="00151881" w:rsidP="006D0304" w14:paraId="0687CABE" w14:textId="77777777">
            <w:pPr>
              <w:jc w:val="center"/>
              <w:rPr>
                <w:rFonts w:cstheme="minorHAnsi"/>
                <w:color w:val="000000"/>
              </w:rPr>
            </w:pPr>
            <w:r w:rsidRPr="00151881">
              <w:rPr>
                <w:rFonts w:cstheme="minorHAnsi"/>
                <w:color w:val="000000"/>
              </w:rPr>
              <w:t>Yes</w:t>
            </w:r>
          </w:p>
        </w:tc>
      </w:tr>
      <w:tr w14:paraId="4F9E4A9A" w14:textId="77777777" w:rsidTr="006D0304">
        <w:tblPrEx>
          <w:tblW w:w="5000" w:type="pct"/>
          <w:tblLook w:val="04A0"/>
        </w:tblPrEx>
        <w:trPr>
          <w:trHeight w:val="300"/>
        </w:trPr>
        <w:tc>
          <w:tcPr>
            <w:tcW w:w="2143" w:type="pct"/>
            <w:noWrap/>
            <w:hideMark/>
          </w:tcPr>
          <w:p w:rsidR="002B2E31" w:rsidRPr="00151881" w:rsidP="006D0304" w14:paraId="2ACA2847" w14:textId="77777777">
            <w:pPr>
              <w:rPr>
                <w:rFonts w:cstheme="minorHAnsi"/>
                <w:color w:val="000000"/>
              </w:rPr>
            </w:pPr>
            <w:r w:rsidRPr="00151881">
              <w:rPr>
                <w:rFonts w:cstheme="minorHAnsi"/>
                <w:color w:val="000000"/>
              </w:rPr>
              <w:t>Dukes County, MA</w:t>
            </w:r>
          </w:p>
        </w:tc>
        <w:tc>
          <w:tcPr>
            <w:tcW w:w="677" w:type="pct"/>
            <w:noWrap/>
            <w:hideMark/>
          </w:tcPr>
          <w:p w:rsidR="002B2E31" w:rsidRPr="00151881" w:rsidP="006D0304" w14:paraId="287806A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1FA527B7" w14:textId="77777777">
            <w:pPr>
              <w:jc w:val="center"/>
              <w:rPr>
                <w:rFonts w:cstheme="minorHAnsi"/>
                <w:color w:val="000000"/>
              </w:rPr>
            </w:pPr>
            <w:r>
              <w:rPr>
                <w:rFonts w:cstheme="minorHAnsi"/>
                <w:color w:val="000000"/>
              </w:rPr>
              <w:t>.0</w:t>
            </w:r>
            <w:r w:rsidRPr="00151881">
              <w:rPr>
                <w:rFonts w:cstheme="minorHAnsi"/>
                <w:color w:val="000000"/>
              </w:rPr>
              <w:t>67</w:t>
            </w:r>
          </w:p>
        </w:tc>
        <w:tc>
          <w:tcPr>
            <w:tcW w:w="799" w:type="pct"/>
            <w:noWrap/>
            <w:hideMark/>
          </w:tcPr>
          <w:p w:rsidR="002B2E31" w:rsidRPr="00151881" w:rsidP="006D0304" w14:paraId="1DF15D8A" w14:textId="77777777">
            <w:pPr>
              <w:jc w:val="center"/>
              <w:rPr>
                <w:rFonts w:cstheme="minorHAnsi"/>
                <w:color w:val="000000"/>
              </w:rPr>
            </w:pPr>
            <w:r w:rsidRPr="00151881">
              <w:rPr>
                <w:rFonts w:cstheme="minorHAnsi"/>
                <w:color w:val="000000"/>
              </w:rPr>
              <w:t>Yes</w:t>
            </w:r>
          </w:p>
        </w:tc>
      </w:tr>
      <w:tr w14:paraId="0EAD907B" w14:textId="77777777" w:rsidTr="006D0304">
        <w:tblPrEx>
          <w:tblW w:w="5000" w:type="pct"/>
          <w:tblLook w:val="04A0"/>
        </w:tblPrEx>
        <w:trPr>
          <w:trHeight w:val="300"/>
        </w:trPr>
        <w:tc>
          <w:tcPr>
            <w:tcW w:w="2143" w:type="pct"/>
            <w:noWrap/>
            <w:hideMark/>
          </w:tcPr>
          <w:p w:rsidR="002B2E31" w:rsidRPr="00151881" w:rsidP="006D0304" w14:paraId="06A0DD20" w14:textId="77777777">
            <w:pPr>
              <w:rPr>
                <w:rFonts w:cstheme="minorHAnsi"/>
                <w:color w:val="000000"/>
              </w:rPr>
            </w:pPr>
            <w:r w:rsidRPr="00151881">
              <w:rPr>
                <w:rFonts w:cstheme="minorHAnsi"/>
                <w:color w:val="000000"/>
              </w:rPr>
              <w:t>Greater Connecticut, CT</w:t>
            </w:r>
          </w:p>
        </w:tc>
        <w:tc>
          <w:tcPr>
            <w:tcW w:w="677" w:type="pct"/>
            <w:noWrap/>
            <w:hideMark/>
          </w:tcPr>
          <w:p w:rsidR="002B2E31" w:rsidRPr="00151881" w:rsidP="006D0304" w14:paraId="644FCCAB" w14:textId="77777777">
            <w:pPr>
              <w:jc w:val="center"/>
              <w:rPr>
                <w:rFonts w:cstheme="minorHAnsi"/>
                <w:color w:val="000000"/>
              </w:rPr>
            </w:pPr>
            <w:r w:rsidRPr="00151881">
              <w:rPr>
                <w:rFonts w:cstheme="minorHAnsi"/>
                <w:color w:val="000000"/>
              </w:rPr>
              <w:t>Serious</w:t>
            </w:r>
          </w:p>
        </w:tc>
        <w:tc>
          <w:tcPr>
            <w:tcW w:w="1381" w:type="pct"/>
            <w:noWrap/>
            <w:hideMark/>
          </w:tcPr>
          <w:p w:rsidR="002B2E31" w:rsidRPr="00151881" w:rsidP="006D0304" w14:paraId="646BB73A"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1361169F" w14:textId="77777777">
            <w:pPr>
              <w:jc w:val="center"/>
              <w:rPr>
                <w:rFonts w:cstheme="minorHAnsi"/>
                <w:color w:val="000000"/>
              </w:rPr>
            </w:pPr>
            <w:r w:rsidRPr="00151881">
              <w:rPr>
                <w:rFonts w:cstheme="minorHAnsi"/>
                <w:color w:val="000000"/>
              </w:rPr>
              <w:t>Yes</w:t>
            </w:r>
          </w:p>
        </w:tc>
      </w:tr>
      <w:tr w14:paraId="5A3A4E71" w14:textId="77777777" w:rsidTr="006D0304">
        <w:tblPrEx>
          <w:tblW w:w="5000" w:type="pct"/>
          <w:tblLook w:val="04A0"/>
        </w:tblPrEx>
        <w:trPr>
          <w:trHeight w:val="300"/>
        </w:trPr>
        <w:tc>
          <w:tcPr>
            <w:tcW w:w="2143" w:type="pct"/>
            <w:noWrap/>
            <w:hideMark/>
          </w:tcPr>
          <w:p w:rsidR="002B2E31" w:rsidRPr="00151881" w:rsidP="006D0304" w14:paraId="338C736F" w14:textId="77777777">
            <w:pPr>
              <w:rPr>
                <w:rFonts w:cstheme="minorHAnsi"/>
                <w:color w:val="000000"/>
              </w:rPr>
            </w:pPr>
            <w:r w:rsidRPr="00151881">
              <w:rPr>
                <w:rFonts w:cstheme="minorHAnsi"/>
                <w:color w:val="000000"/>
              </w:rPr>
              <w:t>Jamestown, NY</w:t>
            </w:r>
          </w:p>
        </w:tc>
        <w:tc>
          <w:tcPr>
            <w:tcW w:w="677" w:type="pct"/>
            <w:noWrap/>
            <w:hideMark/>
          </w:tcPr>
          <w:p w:rsidR="002B2E31" w:rsidRPr="00151881" w:rsidP="006D0304" w14:paraId="2E353E5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4BA67C35" w14:textId="77777777">
            <w:pPr>
              <w:jc w:val="center"/>
              <w:rPr>
                <w:rFonts w:cstheme="minorHAnsi"/>
                <w:color w:val="000000"/>
              </w:rPr>
            </w:pPr>
            <w:r>
              <w:rPr>
                <w:rFonts w:cstheme="minorHAnsi"/>
                <w:color w:val="000000"/>
              </w:rPr>
              <w:t>.0</w:t>
            </w:r>
            <w:r w:rsidRPr="00151881">
              <w:rPr>
                <w:rFonts w:cstheme="minorHAnsi"/>
                <w:color w:val="000000"/>
              </w:rPr>
              <w:t>69</w:t>
            </w:r>
          </w:p>
        </w:tc>
        <w:tc>
          <w:tcPr>
            <w:tcW w:w="799" w:type="pct"/>
            <w:noWrap/>
            <w:hideMark/>
          </w:tcPr>
          <w:p w:rsidR="002B2E31" w:rsidRPr="00151881" w:rsidP="006D0304" w14:paraId="4CF7D1D9" w14:textId="77777777">
            <w:pPr>
              <w:jc w:val="center"/>
              <w:rPr>
                <w:rFonts w:cstheme="minorHAnsi"/>
                <w:color w:val="000000"/>
              </w:rPr>
            </w:pPr>
            <w:r w:rsidRPr="00151881">
              <w:rPr>
                <w:rFonts w:cstheme="minorHAnsi"/>
                <w:color w:val="000000"/>
              </w:rPr>
              <w:t>Yes</w:t>
            </w:r>
          </w:p>
        </w:tc>
      </w:tr>
      <w:tr w14:paraId="4698DEA6" w14:textId="77777777" w:rsidTr="006D0304">
        <w:tblPrEx>
          <w:tblW w:w="5000" w:type="pct"/>
          <w:tblLook w:val="04A0"/>
        </w:tblPrEx>
        <w:trPr>
          <w:trHeight w:val="300"/>
        </w:trPr>
        <w:tc>
          <w:tcPr>
            <w:tcW w:w="2143" w:type="pct"/>
            <w:noWrap/>
            <w:hideMark/>
          </w:tcPr>
          <w:p w:rsidR="002B2E31" w:rsidRPr="00151881" w:rsidP="006D0304" w14:paraId="09E03260" w14:textId="77777777">
            <w:pPr>
              <w:rPr>
                <w:rFonts w:cstheme="minorHAnsi"/>
                <w:color w:val="000000"/>
              </w:rPr>
            </w:pPr>
            <w:r w:rsidRPr="00151881">
              <w:rPr>
                <w:rFonts w:cstheme="minorHAnsi"/>
                <w:color w:val="000000"/>
              </w:rPr>
              <w:t>Kern County (Eastern Kern), CA</w:t>
            </w:r>
          </w:p>
        </w:tc>
        <w:tc>
          <w:tcPr>
            <w:tcW w:w="677" w:type="pct"/>
            <w:noWrap/>
            <w:hideMark/>
          </w:tcPr>
          <w:p w:rsidR="002B2E31" w:rsidRPr="00151881" w:rsidP="006D0304" w14:paraId="78F940DF" w14:textId="77777777">
            <w:pPr>
              <w:jc w:val="center"/>
              <w:rPr>
                <w:rFonts w:cstheme="minorHAnsi"/>
                <w:color w:val="000000"/>
              </w:rPr>
            </w:pPr>
            <w:r w:rsidRPr="00151881">
              <w:rPr>
                <w:rFonts w:cstheme="minorHAnsi"/>
                <w:color w:val="000000"/>
              </w:rPr>
              <w:t>Sever 15</w:t>
            </w:r>
          </w:p>
        </w:tc>
        <w:tc>
          <w:tcPr>
            <w:tcW w:w="1381" w:type="pct"/>
            <w:noWrap/>
            <w:hideMark/>
          </w:tcPr>
          <w:p w:rsidR="002B2E31" w:rsidRPr="00151881" w:rsidP="006D0304" w14:paraId="0D3AAD77" w14:textId="77777777">
            <w:pPr>
              <w:jc w:val="center"/>
              <w:rPr>
                <w:rFonts w:cstheme="minorHAnsi"/>
                <w:color w:val="000000"/>
              </w:rPr>
            </w:pPr>
            <w:r>
              <w:rPr>
                <w:rFonts w:cstheme="minorHAnsi"/>
                <w:color w:val="000000"/>
              </w:rPr>
              <w:t>.0</w:t>
            </w:r>
            <w:r w:rsidRPr="00151881">
              <w:rPr>
                <w:rFonts w:cstheme="minorHAnsi"/>
                <w:color w:val="000000"/>
              </w:rPr>
              <w:t>64</w:t>
            </w:r>
          </w:p>
        </w:tc>
        <w:tc>
          <w:tcPr>
            <w:tcW w:w="799" w:type="pct"/>
            <w:noWrap/>
            <w:hideMark/>
          </w:tcPr>
          <w:p w:rsidR="002B2E31" w:rsidRPr="00151881" w:rsidP="006D0304" w14:paraId="1F1D6ADA" w14:textId="77777777">
            <w:pPr>
              <w:jc w:val="center"/>
              <w:rPr>
                <w:rFonts w:cstheme="minorHAnsi"/>
                <w:color w:val="000000"/>
              </w:rPr>
            </w:pPr>
            <w:r w:rsidRPr="00151881">
              <w:rPr>
                <w:rFonts w:cstheme="minorHAnsi"/>
                <w:color w:val="000000"/>
              </w:rPr>
              <w:t>Yes</w:t>
            </w:r>
          </w:p>
        </w:tc>
      </w:tr>
      <w:tr w14:paraId="1890E96B" w14:textId="77777777" w:rsidTr="006D0304">
        <w:tblPrEx>
          <w:tblW w:w="5000" w:type="pct"/>
          <w:tblLook w:val="04A0"/>
        </w:tblPrEx>
        <w:trPr>
          <w:trHeight w:val="300"/>
        </w:trPr>
        <w:tc>
          <w:tcPr>
            <w:tcW w:w="2143" w:type="pct"/>
            <w:noWrap/>
            <w:hideMark/>
          </w:tcPr>
          <w:p w:rsidR="002B2E31" w:rsidRPr="00151881" w:rsidP="006D0304" w14:paraId="71A25BA5" w14:textId="77777777">
            <w:pPr>
              <w:rPr>
                <w:rFonts w:cstheme="minorHAnsi"/>
                <w:color w:val="000000"/>
              </w:rPr>
            </w:pPr>
            <w:r w:rsidRPr="00151881">
              <w:rPr>
                <w:rFonts w:cstheme="minorHAnsi"/>
                <w:color w:val="000000"/>
              </w:rPr>
              <w:t>Lancaster, PA</w:t>
            </w:r>
          </w:p>
        </w:tc>
        <w:tc>
          <w:tcPr>
            <w:tcW w:w="677" w:type="pct"/>
            <w:noWrap/>
            <w:hideMark/>
          </w:tcPr>
          <w:p w:rsidR="002B2E31" w:rsidRPr="00151881" w:rsidP="006D0304" w14:paraId="7CA2C4D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0B6789A3" w14:textId="77777777">
            <w:pPr>
              <w:jc w:val="center"/>
              <w:rPr>
                <w:rFonts w:cstheme="minorHAnsi"/>
                <w:color w:val="000000"/>
              </w:rPr>
            </w:pPr>
            <w:r>
              <w:rPr>
                <w:rFonts w:cstheme="minorHAnsi"/>
                <w:color w:val="000000"/>
              </w:rPr>
              <w:t>.0</w:t>
            </w:r>
            <w:r w:rsidRPr="00151881">
              <w:rPr>
                <w:rFonts w:cstheme="minorHAnsi"/>
                <w:color w:val="000000"/>
              </w:rPr>
              <w:t>64</w:t>
            </w:r>
          </w:p>
        </w:tc>
        <w:tc>
          <w:tcPr>
            <w:tcW w:w="799" w:type="pct"/>
            <w:noWrap/>
            <w:hideMark/>
          </w:tcPr>
          <w:p w:rsidR="002B2E31" w:rsidRPr="00151881" w:rsidP="006D0304" w14:paraId="1E17F7FA" w14:textId="77777777">
            <w:pPr>
              <w:jc w:val="center"/>
              <w:rPr>
                <w:rFonts w:cstheme="minorHAnsi"/>
                <w:color w:val="000000"/>
              </w:rPr>
            </w:pPr>
            <w:r w:rsidRPr="00151881">
              <w:rPr>
                <w:rFonts w:cstheme="minorHAnsi"/>
                <w:color w:val="000000"/>
              </w:rPr>
              <w:t>Yes</w:t>
            </w:r>
          </w:p>
        </w:tc>
      </w:tr>
      <w:tr w14:paraId="37846C38" w14:textId="77777777" w:rsidTr="006D0304">
        <w:tblPrEx>
          <w:tblW w:w="5000" w:type="pct"/>
          <w:tblLook w:val="04A0"/>
        </w:tblPrEx>
        <w:trPr>
          <w:trHeight w:val="300"/>
        </w:trPr>
        <w:tc>
          <w:tcPr>
            <w:tcW w:w="2143" w:type="pct"/>
            <w:noWrap/>
            <w:hideMark/>
          </w:tcPr>
          <w:p w:rsidR="002B2E31" w:rsidRPr="00151881" w:rsidP="006D0304" w14:paraId="0A577F2C" w14:textId="77777777">
            <w:pPr>
              <w:rPr>
                <w:rFonts w:cstheme="minorHAnsi"/>
                <w:color w:val="000000"/>
              </w:rPr>
            </w:pPr>
            <w:r w:rsidRPr="00151881">
              <w:rPr>
                <w:rFonts w:cstheme="minorHAnsi"/>
                <w:color w:val="000000"/>
              </w:rPr>
              <w:t>Mariposa County, CA</w:t>
            </w:r>
          </w:p>
        </w:tc>
        <w:tc>
          <w:tcPr>
            <w:tcW w:w="677" w:type="pct"/>
            <w:noWrap/>
            <w:hideMark/>
          </w:tcPr>
          <w:p w:rsidR="002B2E31" w:rsidRPr="00151881" w:rsidP="006D0304" w14:paraId="59B67188" w14:textId="77777777">
            <w:pPr>
              <w:jc w:val="center"/>
              <w:rPr>
                <w:rFonts w:cstheme="minorHAnsi"/>
                <w:color w:val="000000"/>
              </w:rPr>
            </w:pPr>
            <w:r w:rsidRPr="00151881">
              <w:rPr>
                <w:rFonts w:cstheme="minorHAnsi"/>
                <w:color w:val="000000"/>
              </w:rPr>
              <w:t>Moderate</w:t>
            </w:r>
          </w:p>
        </w:tc>
        <w:tc>
          <w:tcPr>
            <w:tcW w:w="1381" w:type="pct"/>
            <w:noWrap/>
            <w:hideMark/>
          </w:tcPr>
          <w:p w:rsidR="002B2E31" w:rsidRPr="00151881" w:rsidP="006D0304" w14:paraId="472E513D"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56EF5B0A" w14:textId="77777777">
            <w:pPr>
              <w:jc w:val="center"/>
              <w:rPr>
                <w:rFonts w:cstheme="minorHAnsi"/>
                <w:color w:val="000000"/>
              </w:rPr>
            </w:pPr>
            <w:r w:rsidRPr="00151881">
              <w:rPr>
                <w:rFonts w:cstheme="minorHAnsi"/>
                <w:color w:val="000000"/>
              </w:rPr>
              <w:t>Yes</w:t>
            </w:r>
          </w:p>
        </w:tc>
      </w:tr>
      <w:tr w14:paraId="4D27043D" w14:textId="77777777" w:rsidTr="006D0304">
        <w:tblPrEx>
          <w:tblW w:w="5000" w:type="pct"/>
          <w:tblLook w:val="04A0"/>
        </w:tblPrEx>
        <w:trPr>
          <w:trHeight w:val="300"/>
        </w:trPr>
        <w:tc>
          <w:tcPr>
            <w:tcW w:w="2143" w:type="pct"/>
            <w:noWrap/>
            <w:hideMark/>
          </w:tcPr>
          <w:p w:rsidR="002B2E31" w:rsidRPr="00151881" w:rsidP="006D0304" w14:paraId="6E387529" w14:textId="77777777">
            <w:pPr>
              <w:rPr>
                <w:rFonts w:cstheme="minorHAnsi"/>
                <w:color w:val="000000"/>
              </w:rPr>
            </w:pPr>
            <w:r w:rsidRPr="00151881">
              <w:rPr>
                <w:rFonts w:cstheme="minorHAnsi"/>
                <w:color w:val="000000"/>
              </w:rPr>
              <w:t>Philadelphia-Wilmington-Atlantic City, PA-NJ-MD-DE</w:t>
            </w:r>
          </w:p>
        </w:tc>
        <w:tc>
          <w:tcPr>
            <w:tcW w:w="677" w:type="pct"/>
            <w:noWrap/>
            <w:hideMark/>
          </w:tcPr>
          <w:p w:rsidR="002B2E31" w:rsidRPr="00151881" w:rsidP="006D0304" w14:paraId="06F3976A"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4A04782D"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288338CE" w14:textId="77777777">
            <w:pPr>
              <w:jc w:val="center"/>
              <w:rPr>
                <w:rFonts w:cstheme="minorHAnsi"/>
                <w:color w:val="000000"/>
              </w:rPr>
            </w:pPr>
            <w:r w:rsidRPr="00151881">
              <w:rPr>
                <w:rFonts w:cstheme="minorHAnsi"/>
                <w:color w:val="000000"/>
              </w:rPr>
              <w:t>Yes</w:t>
            </w:r>
          </w:p>
        </w:tc>
      </w:tr>
      <w:tr w14:paraId="39527896" w14:textId="77777777" w:rsidTr="006D0304">
        <w:tblPrEx>
          <w:tblW w:w="5000" w:type="pct"/>
          <w:tblLook w:val="04A0"/>
        </w:tblPrEx>
        <w:trPr>
          <w:trHeight w:val="300"/>
        </w:trPr>
        <w:tc>
          <w:tcPr>
            <w:tcW w:w="2143" w:type="pct"/>
            <w:noWrap/>
            <w:hideMark/>
          </w:tcPr>
          <w:p w:rsidR="002B2E31" w:rsidRPr="00151881" w:rsidP="006D0304" w14:paraId="6CDA63FC" w14:textId="77777777">
            <w:pPr>
              <w:rPr>
                <w:rFonts w:cstheme="minorHAnsi"/>
                <w:color w:val="000000"/>
              </w:rPr>
            </w:pPr>
            <w:r w:rsidRPr="00151881">
              <w:rPr>
                <w:rFonts w:cstheme="minorHAnsi"/>
                <w:color w:val="000000"/>
              </w:rPr>
              <w:t>Philadelphia-Wilmington-Atlantic City, PA-NJ-MD-DE</w:t>
            </w:r>
          </w:p>
        </w:tc>
        <w:tc>
          <w:tcPr>
            <w:tcW w:w="677" w:type="pct"/>
            <w:noWrap/>
            <w:hideMark/>
          </w:tcPr>
          <w:p w:rsidR="002B2E31" w:rsidRPr="00151881" w:rsidP="006D0304" w14:paraId="113AB3DC"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1412B566"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2CC5BF8E" w14:textId="77777777">
            <w:pPr>
              <w:jc w:val="center"/>
              <w:rPr>
                <w:rFonts w:cstheme="minorHAnsi"/>
                <w:color w:val="000000"/>
              </w:rPr>
            </w:pPr>
            <w:r w:rsidRPr="00151881">
              <w:rPr>
                <w:rFonts w:cstheme="minorHAnsi"/>
                <w:color w:val="000000"/>
              </w:rPr>
              <w:t>Yes</w:t>
            </w:r>
          </w:p>
        </w:tc>
      </w:tr>
      <w:tr w14:paraId="07F94EB3" w14:textId="77777777" w:rsidTr="006D0304">
        <w:tblPrEx>
          <w:tblW w:w="5000" w:type="pct"/>
          <w:tblLook w:val="04A0"/>
        </w:tblPrEx>
        <w:trPr>
          <w:trHeight w:val="300"/>
        </w:trPr>
        <w:tc>
          <w:tcPr>
            <w:tcW w:w="2143" w:type="pct"/>
            <w:noWrap/>
            <w:hideMark/>
          </w:tcPr>
          <w:p w:rsidR="002B2E31" w:rsidRPr="00151881" w:rsidP="006D0304" w14:paraId="2BE8EFB4" w14:textId="77777777">
            <w:pPr>
              <w:rPr>
                <w:rFonts w:cstheme="minorHAnsi"/>
                <w:color w:val="000000"/>
              </w:rPr>
            </w:pPr>
            <w:r w:rsidRPr="00151881">
              <w:rPr>
                <w:rFonts w:cstheme="minorHAnsi"/>
                <w:color w:val="000000"/>
              </w:rPr>
              <w:t>Philadelphia-Wilmington-Atlantic City, PA-NJ-MD-DE</w:t>
            </w:r>
          </w:p>
        </w:tc>
        <w:tc>
          <w:tcPr>
            <w:tcW w:w="677" w:type="pct"/>
            <w:noWrap/>
            <w:hideMark/>
          </w:tcPr>
          <w:p w:rsidR="002B2E31" w:rsidRPr="00151881" w:rsidP="006D0304" w14:paraId="2240A4BC"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24FC79B2"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04D55A64" w14:textId="77777777">
            <w:pPr>
              <w:jc w:val="center"/>
              <w:rPr>
                <w:rFonts w:cstheme="minorHAnsi"/>
                <w:color w:val="000000"/>
              </w:rPr>
            </w:pPr>
            <w:r w:rsidRPr="00151881">
              <w:rPr>
                <w:rFonts w:cstheme="minorHAnsi"/>
                <w:color w:val="000000"/>
              </w:rPr>
              <w:t>Yes</w:t>
            </w:r>
          </w:p>
        </w:tc>
      </w:tr>
      <w:tr w14:paraId="10A89BE0" w14:textId="77777777" w:rsidTr="006D0304">
        <w:tblPrEx>
          <w:tblW w:w="5000" w:type="pct"/>
          <w:tblLook w:val="04A0"/>
        </w:tblPrEx>
        <w:trPr>
          <w:trHeight w:val="300"/>
        </w:trPr>
        <w:tc>
          <w:tcPr>
            <w:tcW w:w="2143" w:type="pct"/>
            <w:noWrap/>
            <w:hideMark/>
          </w:tcPr>
          <w:p w:rsidR="002B2E31" w:rsidRPr="00151881" w:rsidP="006D0304" w14:paraId="024CEE7D" w14:textId="77777777">
            <w:pPr>
              <w:rPr>
                <w:rFonts w:cstheme="minorHAnsi"/>
                <w:color w:val="000000"/>
              </w:rPr>
            </w:pPr>
            <w:r w:rsidRPr="00151881">
              <w:rPr>
                <w:rFonts w:cstheme="minorHAnsi"/>
                <w:color w:val="000000"/>
              </w:rPr>
              <w:t>Philadelphia-Wilmington-Atlantic City, PA-NJ-MD-DE</w:t>
            </w:r>
          </w:p>
        </w:tc>
        <w:tc>
          <w:tcPr>
            <w:tcW w:w="677" w:type="pct"/>
            <w:noWrap/>
            <w:hideMark/>
          </w:tcPr>
          <w:p w:rsidR="002B2E31" w:rsidRPr="00151881" w:rsidP="006D0304" w14:paraId="5C65F37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4E3B30EC" w14:textId="77777777">
            <w:pPr>
              <w:jc w:val="center"/>
              <w:rPr>
                <w:rFonts w:cstheme="minorHAnsi"/>
                <w:color w:val="000000"/>
              </w:rPr>
            </w:pPr>
            <w:r>
              <w:rPr>
                <w:rFonts w:cstheme="minorHAnsi"/>
                <w:color w:val="000000"/>
              </w:rPr>
              <w:t>.0</w:t>
            </w:r>
            <w:r w:rsidRPr="00151881">
              <w:rPr>
                <w:rFonts w:cstheme="minorHAnsi"/>
                <w:color w:val="000000"/>
              </w:rPr>
              <w:t>73</w:t>
            </w:r>
          </w:p>
        </w:tc>
        <w:tc>
          <w:tcPr>
            <w:tcW w:w="799" w:type="pct"/>
            <w:noWrap/>
            <w:hideMark/>
          </w:tcPr>
          <w:p w:rsidR="002B2E31" w:rsidRPr="00151881" w:rsidP="006D0304" w14:paraId="4FD099C9" w14:textId="77777777">
            <w:pPr>
              <w:jc w:val="center"/>
              <w:rPr>
                <w:rFonts w:cstheme="minorHAnsi"/>
                <w:color w:val="000000"/>
              </w:rPr>
            </w:pPr>
            <w:r w:rsidRPr="00151881">
              <w:rPr>
                <w:rFonts w:cstheme="minorHAnsi"/>
                <w:color w:val="000000"/>
              </w:rPr>
              <w:t>Yes</w:t>
            </w:r>
          </w:p>
        </w:tc>
      </w:tr>
      <w:tr w14:paraId="3BCFB955" w14:textId="77777777" w:rsidTr="006D0304">
        <w:tblPrEx>
          <w:tblW w:w="5000" w:type="pct"/>
          <w:tblLook w:val="04A0"/>
        </w:tblPrEx>
        <w:trPr>
          <w:trHeight w:val="300"/>
        </w:trPr>
        <w:tc>
          <w:tcPr>
            <w:tcW w:w="2143" w:type="pct"/>
            <w:noWrap/>
            <w:hideMark/>
          </w:tcPr>
          <w:p w:rsidR="002B2E31" w:rsidRPr="00151881" w:rsidP="006D0304" w14:paraId="2F708A69" w14:textId="77777777">
            <w:pPr>
              <w:rPr>
                <w:rFonts w:cstheme="minorHAnsi"/>
                <w:color w:val="000000"/>
              </w:rPr>
            </w:pPr>
            <w:r w:rsidRPr="00151881">
              <w:rPr>
                <w:rFonts w:cstheme="minorHAnsi"/>
                <w:color w:val="000000"/>
              </w:rPr>
              <w:t>Pittsburgh-Beaver Valley, PA</w:t>
            </w:r>
          </w:p>
        </w:tc>
        <w:tc>
          <w:tcPr>
            <w:tcW w:w="677" w:type="pct"/>
            <w:noWrap/>
            <w:hideMark/>
          </w:tcPr>
          <w:p w:rsidR="002B2E31" w:rsidRPr="00151881" w:rsidP="006D0304" w14:paraId="0B7AB42A"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7D5E76D0" w14:textId="77777777">
            <w:pPr>
              <w:jc w:val="center"/>
              <w:rPr>
                <w:rFonts w:cstheme="minorHAnsi"/>
                <w:color w:val="000000"/>
              </w:rPr>
            </w:pPr>
            <w:r>
              <w:rPr>
                <w:rFonts w:cstheme="minorHAnsi"/>
                <w:color w:val="000000"/>
              </w:rPr>
              <w:t>.0</w:t>
            </w:r>
            <w:r w:rsidRPr="00151881">
              <w:rPr>
                <w:rFonts w:cstheme="minorHAnsi"/>
                <w:color w:val="000000"/>
              </w:rPr>
              <w:t>67</w:t>
            </w:r>
          </w:p>
        </w:tc>
        <w:tc>
          <w:tcPr>
            <w:tcW w:w="799" w:type="pct"/>
            <w:noWrap/>
            <w:hideMark/>
          </w:tcPr>
          <w:p w:rsidR="002B2E31" w:rsidRPr="00151881" w:rsidP="006D0304" w14:paraId="2C00F550" w14:textId="77777777">
            <w:pPr>
              <w:jc w:val="center"/>
              <w:rPr>
                <w:rFonts w:cstheme="minorHAnsi"/>
                <w:color w:val="000000"/>
              </w:rPr>
            </w:pPr>
            <w:r w:rsidRPr="00151881">
              <w:rPr>
                <w:rFonts w:cstheme="minorHAnsi"/>
                <w:color w:val="000000"/>
              </w:rPr>
              <w:t>Yes</w:t>
            </w:r>
          </w:p>
        </w:tc>
      </w:tr>
      <w:tr w14:paraId="625BD808" w14:textId="77777777" w:rsidTr="006D0304">
        <w:tblPrEx>
          <w:tblW w:w="5000" w:type="pct"/>
          <w:tblLook w:val="04A0"/>
        </w:tblPrEx>
        <w:trPr>
          <w:trHeight w:val="300"/>
        </w:trPr>
        <w:tc>
          <w:tcPr>
            <w:tcW w:w="2143" w:type="pct"/>
            <w:noWrap/>
            <w:hideMark/>
          </w:tcPr>
          <w:p w:rsidR="002B2E31" w:rsidRPr="00151881" w:rsidP="006D0304" w14:paraId="2B05BF5B" w14:textId="77777777">
            <w:pPr>
              <w:rPr>
                <w:rFonts w:cstheme="minorHAnsi"/>
                <w:color w:val="000000"/>
              </w:rPr>
            </w:pPr>
            <w:r w:rsidRPr="00151881">
              <w:rPr>
                <w:rFonts w:cstheme="minorHAnsi"/>
                <w:color w:val="000000"/>
              </w:rPr>
              <w:t>Reading, PA</w:t>
            </w:r>
          </w:p>
        </w:tc>
        <w:tc>
          <w:tcPr>
            <w:tcW w:w="677" w:type="pct"/>
            <w:noWrap/>
            <w:hideMark/>
          </w:tcPr>
          <w:p w:rsidR="002B2E31" w:rsidRPr="00151881" w:rsidP="006D0304" w14:paraId="168AD8DB"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67AE1862" w14:textId="77777777">
            <w:pPr>
              <w:jc w:val="center"/>
              <w:rPr>
                <w:rFonts w:cstheme="minorHAnsi"/>
                <w:color w:val="000000"/>
              </w:rPr>
            </w:pPr>
            <w:r>
              <w:rPr>
                <w:rFonts w:cstheme="minorHAnsi"/>
                <w:color w:val="000000"/>
              </w:rPr>
              <w:t>.0</w:t>
            </w:r>
            <w:r w:rsidRPr="00151881">
              <w:rPr>
                <w:rFonts w:cstheme="minorHAnsi"/>
                <w:color w:val="000000"/>
              </w:rPr>
              <w:t>69</w:t>
            </w:r>
          </w:p>
        </w:tc>
        <w:tc>
          <w:tcPr>
            <w:tcW w:w="799" w:type="pct"/>
            <w:noWrap/>
            <w:hideMark/>
          </w:tcPr>
          <w:p w:rsidR="002B2E31" w:rsidRPr="00151881" w:rsidP="006D0304" w14:paraId="1CEA44BD" w14:textId="77777777">
            <w:pPr>
              <w:jc w:val="center"/>
              <w:rPr>
                <w:rFonts w:cstheme="minorHAnsi"/>
                <w:color w:val="000000"/>
              </w:rPr>
            </w:pPr>
            <w:r w:rsidRPr="00151881">
              <w:rPr>
                <w:rFonts w:cstheme="minorHAnsi"/>
                <w:color w:val="000000"/>
              </w:rPr>
              <w:t>Yes</w:t>
            </w:r>
          </w:p>
        </w:tc>
      </w:tr>
      <w:tr w14:paraId="07254315" w14:textId="77777777" w:rsidTr="006D0304">
        <w:tblPrEx>
          <w:tblW w:w="5000" w:type="pct"/>
          <w:tblLook w:val="04A0"/>
        </w:tblPrEx>
        <w:trPr>
          <w:trHeight w:val="300"/>
        </w:trPr>
        <w:tc>
          <w:tcPr>
            <w:tcW w:w="2143" w:type="pct"/>
            <w:noWrap/>
            <w:hideMark/>
          </w:tcPr>
          <w:p w:rsidR="002B2E31" w:rsidRPr="00151881" w:rsidP="006D0304" w14:paraId="787B8EC8" w14:textId="77777777">
            <w:pPr>
              <w:rPr>
                <w:rFonts w:cstheme="minorHAnsi"/>
                <w:color w:val="000000"/>
              </w:rPr>
            </w:pPr>
            <w:r w:rsidRPr="00151881">
              <w:rPr>
                <w:rFonts w:cstheme="minorHAnsi"/>
                <w:color w:val="000000"/>
              </w:rPr>
              <w:t>San Francisco Bay Area, CA</w:t>
            </w:r>
          </w:p>
        </w:tc>
        <w:tc>
          <w:tcPr>
            <w:tcW w:w="677" w:type="pct"/>
            <w:noWrap/>
            <w:hideMark/>
          </w:tcPr>
          <w:p w:rsidR="002B2E31" w:rsidRPr="00151881" w:rsidP="006D0304" w14:paraId="372193BB"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1E2D3731" w14:textId="77777777">
            <w:pPr>
              <w:jc w:val="center"/>
              <w:rPr>
                <w:rFonts w:cstheme="minorHAnsi"/>
                <w:color w:val="000000"/>
              </w:rPr>
            </w:pPr>
            <w:r>
              <w:rPr>
                <w:rFonts w:cstheme="minorHAnsi"/>
                <w:color w:val="000000"/>
              </w:rPr>
              <w:t>.0</w:t>
            </w:r>
            <w:r w:rsidRPr="00151881">
              <w:rPr>
                <w:rFonts w:cstheme="minorHAnsi"/>
                <w:color w:val="000000"/>
              </w:rPr>
              <w:t>70</w:t>
            </w:r>
          </w:p>
        </w:tc>
        <w:tc>
          <w:tcPr>
            <w:tcW w:w="799" w:type="pct"/>
            <w:noWrap/>
            <w:hideMark/>
          </w:tcPr>
          <w:p w:rsidR="002B2E31" w:rsidRPr="00151881" w:rsidP="006D0304" w14:paraId="47AB0680" w14:textId="77777777">
            <w:pPr>
              <w:jc w:val="center"/>
              <w:rPr>
                <w:rFonts w:cstheme="minorHAnsi"/>
                <w:color w:val="000000"/>
              </w:rPr>
            </w:pPr>
            <w:r w:rsidRPr="00151881">
              <w:rPr>
                <w:rFonts w:cstheme="minorHAnsi"/>
                <w:color w:val="000000"/>
              </w:rPr>
              <w:t>Yes</w:t>
            </w:r>
          </w:p>
        </w:tc>
      </w:tr>
      <w:tr w14:paraId="68C195A4" w14:textId="77777777" w:rsidTr="006D0304">
        <w:tblPrEx>
          <w:tblW w:w="5000" w:type="pct"/>
          <w:tblLook w:val="04A0"/>
        </w:tblPrEx>
        <w:trPr>
          <w:trHeight w:val="300"/>
        </w:trPr>
        <w:tc>
          <w:tcPr>
            <w:tcW w:w="2143" w:type="pct"/>
            <w:noWrap/>
            <w:hideMark/>
          </w:tcPr>
          <w:p w:rsidR="002B2E31" w:rsidRPr="00151881" w:rsidP="006D0304" w14:paraId="3B8B234B" w14:textId="77777777">
            <w:pPr>
              <w:rPr>
                <w:rFonts w:cstheme="minorHAnsi"/>
                <w:color w:val="000000"/>
              </w:rPr>
            </w:pPr>
            <w:r w:rsidRPr="00151881">
              <w:rPr>
                <w:rFonts w:cstheme="minorHAnsi"/>
                <w:color w:val="000000"/>
              </w:rPr>
              <w:t>San Luis Obispo (Eastern San Luis Obispo), CA</w:t>
            </w:r>
          </w:p>
        </w:tc>
        <w:tc>
          <w:tcPr>
            <w:tcW w:w="677" w:type="pct"/>
            <w:noWrap/>
            <w:hideMark/>
          </w:tcPr>
          <w:p w:rsidR="002B2E31" w:rsidRPr="00151881" w:rsidP="006D0304" w14:paraId="63D5C398"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1ABD85C6" w14:textId="77777777">
            <w:pPr>
              <w:jc w:val="center"/>
              <w:rPr>
                <w:rFonts w:cstheme="minorHAnsi"/>
                <w:color w:val="000000"/>
              </w:rPr>
            </w:pPr>
            <w:r>
              <w:rPr>
                <w:rFonts w:cstheme="minorHAnsi"/>
                <w:color w:val="000000"/>
              </w:rPr>
              <w:t>.0</w:t>
            </w:r>
            <w:r w:rsidRPr="00151881">
              <w:rPr>
                <w:rFonts w:cstheme="minorHAnsi"/>
                <w:color w:val="000000"/>
              </w:rPr>
              <w:t>70</w:t>
            </w:r>
          </w:p>
        </w:tc>
        <w:tc>
          <w:tcPr>
            <w:tcW w:w="799" w:type="pct"/>
            <w:noWrap/>
            <w:hideMark/>
          </w:tcPr>
          <w:p w:rsidR="002B2E31" w:rsidRPr="00151881" w:rsidP="006D0304" w14:paraId="73C1B174" w14:textId="77777777">
            <w:pPr>
              <w:jc w:val="center"/>
              <w:rPr>
                <w:rFonts w:cstheme="minorHAnsi"/>
                <w:color w:val="000000"/>
              </w:rPr>
            </w:pPr>
            <w:r w:rsidRPr="00151881">
              <w:rPr>
                <w:rFonts w:cstheme="minorHAnsi"/>
                <w:color w:val="000000"/>
              </w:rPr>
              <w:t>Yes</w:t>
            </w:r>
          </w:p>
        </w:tc>
      </w:tr>
      <w:tr w14:paraId="1A3C4491" w14:textId="77777777" w:rsidTr="006D0304">
        <w:tblPrEx>
          <w:tblW w:w="5000" w:type="pct"/>
          <w:tblLook w:val="04A0"/>
        </w:tblPrEx>
        <w:trPr>
          <w:trHeight w:val="300"/>
        </w:trPr>
        <w:tc>
          <w:tcPr>
            <w:tcW w:w="2143" w:type="pct"/>
            <w:noWrap/>
            <w:hideMark/>
          </w:tcPr>
          <w:p w:rsidR="002B2E31" w:rsidRPr="00151881" w:rsidP="006D0304" w14:paraId="6596A0FF" w14:textId="77777777">
            <w:pPr>
              <w:rPr>
                <w:rFonts w:cstheme="minorHAnsi"/>
                <w:color w:val="000000"/>
              </w:rPr>
            </w:pPr>
            <w:r w:rsidRPr="00151881">
              <w:rPr>
                <w:rFonts w:cstheme="minorHAnsi"/>
                <w:color w:val="000000"/>
              </w:rPr>
              <w:t>Seaford, DE</w:t>
            </w:r>
          </w:p>
        </w:tc>
        <w:tc>
          <w:tcPr>
            <w:tcW w:w="677" w:type="pct"/>
            <w:noWrap/>
            <w:hideMark/>
          </w:tcPr>
          <w:p w:rsidR="002B2E31" w:rsidRPr="00151881" w:rsidP="006D0304" w14:paraId="5EAB5078"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6D3AF2C4" w14:textId="77777777">
            <w:pPr>
              <w:jc w:val="center"/>
              <w:rPr>
                <w:rFonts w:cstheme="minorHAnsi"/>
                <w:color w:val="000000"/>
              </w:rPr>
            </w:pPr>
            <w:r>
              <w:rPr>
                <w:rFonts w:cstheme="minorHAnsi"/>
                <w:color w:val="000000"/>
              </w:rPr>
              <w:t>.0</w:t>
            </w:r>
            <w:r w:rsidRPr="00151881">
              <w:rPr>
                <w:rFonts w:cstheme="minorHAnsi"/>
                <w:color w:val="000000"/>
              </w:rPr>
              <w:t>62</w:t>
            </w:r>
          </w:p>
        </w:tc>
        <w:tc>
          <w:tcPr>
            <w:tcW w:w="799" w:type="pct"/>
            <w:noWrap/>
            <w:hideMark/>
          </w:tcPr>
          <w:p w:rsidR="002B2E31" w:rsidRPr="00151881" w:rsidP="006D0304" w14:paraId="09804DFB" w14:textId="77777777">
            <w:pPr>
              <w:jc w:val="center"/>
              <w:rPr>
                <w:rFonts w:cstheme="minorHAnsi"/>
                <w:color w:val="000000"/>
              </w:rPr>
            </w:pPr>
            <w:r w:rsidRPr="00151881">
              <w:rPr>
                <w:rFonts w:cstheme="minorHAnsi"/>
                <w:color w:val="000000"/>
              </w:rPr>
              <w:t>Yes</w:t>
            </w:r>
          </w:p>
        </w:tc>
      </w:tr>
      <w:tr w14:paraId="2BF87CD3" w14:textId="77777777" w:rsidTr="006D0304">
        <w:tblPrEx>
          <w:tblW w:w="5000" w:type="pct"/>
          <w:tblLook w:val="04A0"/>
        </w:tblPrEx>
        <w:trPr>
          <w:trHeight w:val="300"/>
        </w:trPr>
        <w:tc>
          <w:tcPr>
            <w:tcW w:w="2143" w:type="pct"/>
            <w:noWrap/>
            <w:hideMark/>
          </w:tcPr>
          <w:p w:rsidR="002B2E31" w:rsidRPr="00151881" w:rsidP="006D0304" w14:paraId="151F32DD" w14:textId="77777777">
            <w:pPr>
              <w:rPr>
                <w:rFonts w:cstheme="minorHAnsi"/>
                <w:color w:val="000000"/>
              </w:rPr>
            </w:pPr>
            <w:r w:rsidRPr="00151881">
              <w:rPr>
                <w:rFonts w:cstheme="minorHAnsi"/>
                <w:color w:val="000000"/>
              </w:rPr>
              <w:t>Tuscan Buttes, CA</w:t>
            </w:r>
          </w:p>
        </w:tc>
        <w:tc>
          <w:tcPr>
            <w:tcW w:w="677" w:type="pct"/>
            <w:noWrap/>
            <w:hideMark/>
          </w:tcPr>
          <w:p w:rsidR="002B2E31" w:rsidRPr="00151881" w:rsidP="006D0304" w14:paraId="68EF06FF"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34EC661D" w14:textId="77777777">
            <w:pPr>
              <w:jc w:val="center"/>
              <w:rPr>
                <w:rFonts w:cstheme="minorHAnsi"/>
                <w:color w:val="000000"/>
              </w:rPr>
            </w:pPr>
            <w:r>
              <w:rPr>
                <w:rFonts w:cstheme="minorHAnsi"/>
                <w:color w:val="000000"/>
              </w:rPr>
              <w:t>.0</w:t>
            </w:r>
            <w:r w:rsidRPr="00151881">
              <w:rPr>
                <w:rFonts w:cstheme="minorHAnsi"/>
                <w:color w:val="000000"/>
              </w:rPr>
              <w:t>71</w:t>
            </w:r>
          </w:p>
        </w:tc>
        <w:tc>
          <w:tcPr>
            <w:tcW w:w="799" w:type="pct"/>
            <w:noWrap/>
            <w:hideMark/>
          </w:tcPr>
          <w:p w:rsidR="002B2E31" w:rsidRPr="00151881" w:rsidP="006D0304" w14:paraId="6C163B94" w14:textId="77777777">
            <w:pPr>
              <w:jc w:val="center"/>
              <w:rPr>
                <w:rFonts w:cstheme="minorHAnsi"/>
                <w:color w:val="000000"/>
              </w:rPr>
            </w:pPr>
            <w:r w:rsidRPr="00151881">
              <w:rPr>
                <w:rFonts w:cstheme="minorHAnsi"/>
                <w:color w:val="000000"/>
              </w:rPr>
              <w:t>Yes</w:t>
            </w:r>
          </w:p>
        </w:tc>
      </w:tr>
      <w:tr w14:paraId="64CBCA41" w14:textId="77777777" w:rsidTr="006D0304">
        <w:tblPrEx>
          <w:tblW w:w="5000" w:type="pct"/>
          <w:tblLook w:val="04A0"/>
        </w:tblPrEx>
        <w:trPr>
          <w:trHeight w:val="300"/>
        </w:trPr>
        <w:tc>
          <w:tcPr>
            <w:tcW w:w="2143" w:type="pct"/>
            <w:noWrap/>
            <w:hideMark/>
          </w:tcPr>
          <w:p w:rsidR="002B2E31" w:rsidRPr="00151881" w:rsidP="006D0304" w14:paraId="76D97F65" w14:textId="77777777">
            <w:pPr>
              <w:rPr>
                <w:rFonts w:cstheme="minorHAnsi"/>
                <w:color w:val="000000"/>
              </w:rPr>
            </w:pPr>
            <w:r w:rsidRPr="00151881">
              <w:rPr>
                <w:rFonts w:cstheme="minorHAnsi"/>
                <w:color w:val="000000"/>
              </w:rPr>
              <w:t>Upper Green River Basin Area, WY</w:t>
            </w:r>
          </w:p>
        </w:tc>
        <w:tc>
          <w:tcPr>
            <w:tcW w:w="677" w:type="pct"/>
            <w:noWrap/>
            <w:hideMark/>
          </w:tcPr>
          <w:p w:rsidR="002B2E31" w:rsidRPr="00151881" w:rsidP="006D0304" w14:paraId="10F9303E" w14:textId="77777777">
            <w:pPr>
              <w:jc w:val="center"/>
              <w:rPr>
                <w:rFonts w:cstheme="minorHAnsi"/>
                <w:color w:val="000000"/>
              </w:rPr>
            </w:pPr>
            <w:r w:rsidRPr="00151881">
              <w:rPr>
                <w:rFonts w:cstheme="minorHAnsi"/>
                <w:color w:val="000000"/>
              </w:rPr>
              <w:t>Marginal</w:t>
            </w:r>
          </w:p>
        </w:tc>
        <w:tc>
          <w:tcPr>
            <w:tcW w:w="1381" w:type="pct"/>
            <w:noWrap/>
            <w:hideMark/>
          </w:tcPr>
          <w:p w:rsidR="002B2E31" w:rsidRPr="00151881" w:rsidP="006D0304" w14:paraId="42BC7963" w14:textId="77777777">
            <w:pPr>
              <w:jc w:val="center"/>
              <w:rPr>
                <w:rFonts w:cstheme="minorHAnsi"/>
                <w:color w:val="000000"/>
              </w:rPr>
            </w:pPr>
            <w:r>
              <w:rPr>
                <w:rFonts w:cstheme="minorHAnsi"/>
                <w:color w:val="000000"/>
              </w:rPr>
              <w:t>.0</w:t>
            </w:r>
            <w:r w:rsidRPr="00151881">
              <w:rPr>
                <w:rFonts w:cstheme="minorHAnsi"/>
                <w:color w:val="000000"/>
              </w:rPr>
              <w:t>68</w:t>
            </w:r>
          </w:p>
        </w:tc>
        <w:tc>
          <w:tcPr>
            <w:tcW w:w="799" w:type="pct"/>
            <w:noWrap/>
            <w:hideMark/>
          </w:tcPr>
          <w:p w:rsidR="002B2E31" w:rsidRPr="00151881" w:rsidP="006D0304" w14:paraId="5389B403" w14:textId="77777777">
            <w:pPr>
              <w:jc w:val="center"/>
              <w:rPr>
                <w:rFonts w:cstheme="minorHAnsi"/>
                <w:color w:val="000000"/>
              </w:rPr>
            </w:pPr>
            <w:r w:rsidRPr="00151881">
              <w:rPr>
                <w:rFonts w:cstheme="minorHAnsi"/>
                <w:color w:val="000000"/>
              </w:rPr>
              <w:t>Yes</w:t>
            </w:r>
          </w:p>
        </w:tc>
      </w:tr>
      <w:tr w14:paraId="78EC499B" w14:textId="77777777" w:rsidTr="006D0304">
        <w:tblPrEx>
          <w:tblW w:w="5000" w:type="pct"/>
          <w:tblLook w:val="04A0"/>
        </w:tblPrEx>
        <w:trPr>
          <w:trHeight w:val="300"/>
        </w:trPr>
        <w:tc>
          <w:tcPr>
            <w:tcW w:w="2143" w:type="pct"/>
            <w:noWrap/>
            <w:hideMark/>
          </w:tcPr>
          <w:p w:rsidR="002B2E31" w:rsidRPr="00151881" w:rsidP="006D0304" w14:paraId="791B006B" w14:textId="77777777">
            <w:pPr>
              <w:rPr>
                <w:rFonts w:cstheme="minorHAnsi"/>
                <w:color w:val="000000"/>
              </w:rPr>
            </w:pPr>
            <w:r w:rsidRPr="00151881">
              <w:rPr>
                <w:rFonts w:cstheme="minorHAnsi"/>
                <w:color w:val="000000"/>
              </w:rPr>
              <w:t>Ventura County, CA</w:t>
            </w:r>
          </w:p>
        </w:tc>
        <w:tc>
          <w:tcPr>
            <w:tcW w:w="677" w:type="pct"/>
            <w:noWrap/>
            <w:hideMark/>
          </w:tcPr>
          <w:p w:rsidR="002B2E31" w:rsidRPr="00151881" w:rsidP="006D0304" w14:paraId="1BEBFCCA" w14:textId="77777777">
            <w:pPr>
              <w:jc w:val="center"/>
              <w:rPr>
                <w:rFonts w:cstheme="minorHAnsi"/>
                <w:color w:val="000000"/>
              </w:rPr>
            </w:pPr>
            <w:r w:rsidRPr="00151881">
              <w:rPr>
                <w:rFonts w:cstheme="minorHAnsi"/>
                <w:color w:val="000000"/>
              </w:rPr>
              <w:t>Serious</w:t>
            </w:r>
          </w:p>
        </w:tc>
        <w:tc>
          <w:tcPr>
            <w:tcW w:w="1381" w:type="pct"/>
            <w:noWrap/>
            <w:hideMark/>
          </w:tcPr>
          <w:p w:rsidR="002B2E31" w:rsidRPr="00151881" w:rsidP="006D0304" w14:paraId="474D84DC" w14:textId="77777777">
            <w:pPr>
              <w:jc w:val="center"/>
              <w:rPr>
                <w:rFonts w:cstheme="minorHAnsi"/>
                <w:color w:val="000000"/>
              </w:rPr>
            </w:pPr>
            <w:r>
              <w:rPr>
                <w:rFonts w:cstheme="minorHAnsi"/>
                <w:color w:val="000000"/>
              </w:rPr>
              <w:t>.0</w:t>
            </w:r>
            <w:r w:rsidRPr="00151881">
              <w:rPr>
                <w:rFonts w:cstheme="minorHAnsi"/>
                <w:color w:val="000000"/>
              </w:rPr>
              <w:t>75</w:t>
            </w:r>
          </w:p>
        </w:tc>
        <w:tc>
          <w:tcPr>
            <w:tcW w:w="799" w:type="pct"/>
            <w:noWrap/>
            <w:hideMark/>
          </w:tcPr>
          <w:p w:rsidR="002B2E31" w:rsidRPr="00151881" w:rsidP="006D0304" w14:paraId="03EEBD99" w14:textId="77777777">
            <w:pPr>
              <w:jc w:val="center"/>
              <w:rPr>
                <w:rFonts w:cstheme="minorHAnsi"/>
                <w:color w:val="000000"/>
              </w:rPr>
            </w:pPr>
            <w:r w:rsidRPr="00151881">
              <w:rPr>
                <w:rFonts w:cstheme="minorHAnsi"/>
                <w:color w:val="000000"/>
              </w:rPr>
              <w:t>Yes</w:t>
            </w:r>
          </w:p>
        </w:tc>
      </w:tr>
    </w:tbl>
    <w:p w:rsidR="00587C1E" w:rsidP="00587C1E" w14:paraId="7D40A516" w14:textId="77777777">
      <w:pPr>
        <w:rPr>
          <w:rFonts w:cstheme="minorHAnsi"/>
        </w:rPr>
      </w:pPr>
    </w:p>
    <w:p w:rsidR="002B2E31" w:rsidRPr="00151881" w:rsidP="00587C1E" w14:paraId="0263D2BC" w14:textId="6F50790C">
      <w:pPr>
        <w:rPr>
          <w:rFonts w:cstheme="minorHAnsi"/>
        </w:rPr>
      </w:pPr>
      <w:r w:rsidRPr="00151881">
        <w:rPr>
          <w:rFonts w:cstheme="minorHAnsi"/>
        </w:rPr>
        <w:t xml:space="preserve">Table 7 lists the states with 2008 NAAQS maintenance areas required to submit </w:t>
      </w:r>
      <w:r>
        <w:rPr>
          <w:rFonts w:cstheme="minorHAnsi"/>
        </w:rPr>
        <w:t xml:space="preserve">a SIP revision in the form of a </w:t>
      </w:r>
      <w:r w:rsidRPr="00151881">
        <w:rPr>
          <w:rFonts w:cstheme="minorHAnsi"/>
        </w:rPr>
        <w:t xml:space="preserve">second 10-year maintenance plan. The second maintenance plan SIP revisions are due 8 years after the effective date of the first maintenance </w:t>
      </w:r>
      <w:r>
        <w:rPr>
          <w:rFonts w:cstheme="minorHAnsi"/>
        </w:rPr>
        <w:t xml:space="preserve">plan approval by the </w:t>
      </w:r>
      <w:r w:rsidRPr="00151881">
        <w:rPr>
          <w:rFonts w:cstheme="minorHAnsi"/>
        </w:rPr>
        <w:t xml:space="preserve">EPA. The SIP submission due dates fall during </w:t>
      </w:r>
      <w:r>
        <w:rPr>
          <w:rFonts w:cstheme="minorHAnsi"/>
        </w:rPr>
        <w:t>the 3 years</w:t>
      </w:r>
      <w:r w:rsidRPr="00151881">
        <w:rPr>
          <w:rFonts w:cstheme="minorHAnsi"/>
        </w:rPr>
        <w:t xml:space="preserve"> this proposed ICR renewal covers (Jan</w:t>
      </w:r>
      <w:r>
        <w:rPr>
          <w:rFonts w:cstheme="minorHAnsi"/>
        </w:rPr>
        <w:t>uary 2025 to January</w:t>
      </w:r>
      <w:r w:rsidRPr="00151881">
        <w:rPr>
          <w:rFonts w:cstheme="minorHAnsi"/>
        </w:rPr>
        <w:t xml:space="preserve"> 2028).</w:t>
      </w:r>
    </w:p>
    <w:p w:rsidR="002B2E31" w:rsidRPr="00151881" w:rsidP="00587C1E" w14:paraId="48BE572B" w14:textId="77777777">
      <w:pPr>
        <w:rPr>
          <w:rFonts w:cstheme="minorHAnsi"/>
          <w:b/>
          <w:bCs/>
        </w:rPr>
      </w:pPr>
      <w:r w:rsidRPr="00151881">
        <w:rPr>
          <w:rFonts w:cstheme="minorHAnsi"/>
          <w:b/>
        </w:rPr>
        <w:t>Table 7.</w:t>
      </w:r>
      <w:bookmarkStart w:id="27" w:name="_Hlk162374850"/>
      <w:r w:rsidRPr="00EE4D40">
        <w:rPr>
          <w:rFonts w:cstheme="minorHAnsi"/>
          <w:b/>
        </w:rPr>
        <w:t xml:space="preserve">  </w:t>
      </w:r>
      <w:r w:rsidRPr="00151881">
        <w:rPr>
          <w:rFonts w:cstheme="minorHAnsi"/>
          <w:b/>
        </w:rPr>
        <w:t xml:space="preserve">2008 </w:t>
      </w:r>
      <w:r>
        <w:rPr>
          <w:rFonts w:cstheme="minorHAnsi"/>
          <w:b/>
          <w:bCs/>
        </w:rPr>
        <w:t>Ozone</w:t>
      </w:r>
      <w:r w:rsidRPr="00151881">
        <w:rPr>
          <w:rFonts w:cstheme="minorHAnsi"/>
          <w:b/>
          <w:bCs/>
        </w:rPr>
        <w:t xml:space="preserve"> NAAQS Maintenance Areas with second maintenance plan (MP) submission due in the ICR period</w:t>
      </w:r>
      <w:bookmarkEnd w:id="27"/>
    </w:p>
    <w:tbl>
      <w:tblPr>
        <w:tblStyle w:val="TableGrid"/>
        <w:tblW w:w="8720" w:type="dxa"/>
        <w:jc w:val="center"/>
        <w:tblLook w:val="04A0"/>
      </w:tblPr>
      <w:tblGrid>
        <w:gridCol w:w="1530"/>
        <w:gridCol w:w="3609"/>
        <w:gridCol w:w="1903"/>
        <w:gridCol w:w="1678"/>
      </w:tblGrid>
      <w:tr w14:paraId="3A358A27" w14:textId="77777777" w:rsidTr="006D0304">
        <w:tblPrEx>
          <w:tblW w:w="8720" w:type="dxa"/>
          <w:jc w:val="center"/>
          <w:tblLook w:val="04A0"/>
        </w:tblPrEx>
        <w:trPr>
          <w:trHeight w:val="1275"/>
          <w:jc w:val="center"/>
        </w:trPr>
        <w:tc>
          <w:tcPr>
            <w:tcW w:w="1530" w:type="dxa"/>
            <w:hideMark/>
          </w:tcPr>
          <w:p w:rsidR="002B2E31" w:rsidRPr="00151881" w:rsidP="006D0304" w14:paraId="59076486" w14:textId="77777777">
            <w:pPr>
              <w:jc w:val="center"/>
              <w:rPr>
                <w:rFonts w:cstheme="minorHAnsi"/>
                <w:b/>
                <w:bCs/>
                <w:color w:val="000000"/>
              </w:rPr>
            </w:pPr>
            <w:r w:rsidRPr="00151881">
              <w:rPr>
                <w:rFonts w:cstheme="minorHAnsi"/>
                <w:b/>
                <w:bCs/>
                <w:color w:val="000000"/>
              </w:rPr>
              <w:t>State</w:t>
            </w:r>
          </w:p>
        </w:tc>
        <w:tc>
          <w:tcPr>
            <w:tcW w:w="3609" w:type="dxa"/>
            <w:hideMark/>
          </w:tcPr>
          <w:p w:rsidR="002B2E31" w:rsidRPr="00151881" w:rsidP="006D0304" w14:paraId="0BA84C1D" w14:textId="77777777">
            <w:pPr>
              <w:jc w:val="center"/>
              <w:rPr>
                <w:rFonts w:cstheme="minorHAnsi"/>
                <w:b/>
                <w:bCs/>
                <w:color w:val="000000"/>
              </w:rPr>
            </w:pPr>
            <w:r w:rsidRPr="00151881">
              <w:rPr>
                <w:rFonts w:cstheme="minorHAnsi"/>
                <w:b/>
                <w:bCs/>
                <w:color w:val="000000"/>
              </w:rPr>
              <w:t>Area Name with State(s)</w:t>
            </w:r>
          </w:p>
        </w:tc>
        <w:tc>
          <w:tcPr>
            <w:tcW w:w="1903" w:type="dxa"/>
            <w:hideMark/>
          </w:tcPr>
          <w:p w:rsidR="002B2E31" w:rsidRPr="00151881" w:rsidP="006D0304" w14:paraId="527CA96F" w14:textId="77777777">
            <w:pPr>
              <w:jc w:val="center"/>
              <w:rPr>
                <w:rFonts w:cstheme="minorHAnsi"/>
                <w:b/>
                <w:bCs/>
                <w:color w:val="000000"/>
              </w:rPr>
            </w:pPr>
            <w:r w:rsidRPr="00151881">
              <w:rPr>
                <w:rFonts w:cstheme="minorHAnsi"/>
                <w:b/>
                <w:bCs/>
                <w:color w:val="000000"/>
              </w:rPr>
              <w:t>Redesignation Effective Date</w:t>
            </w:r>
          </w:p>
        </w:tc>
        <w:tc>
          <w:tcPr>
            <w:tcW w:w="1678" w:type="dxa"/>
            <w:hideMark/>
          </w:tcPr>
          <w:p w:rsidR="002B2E31" w:rsidRPr="00151881" w:rsidP="006D0304" w14:paraId="137CEA4F" w14:textId="77777777">
            <w:pPr>
              <w:jc w:val="center"/>
              <w:rPr>
                <w:rFonts w:cstheme="minorHAnsi"/>
                <w:b/>
                <w:bCs/>
                <w:color w:val="000000"/>
              </w:rPr>
            </w:pPr>
            <w:r w:rsidRPr="00151881">
              <w:rPr>
                <w:rFonts w:cstheme="minorHAnsi"/>
                <w:b/>
                <w:bCs/>
                <w:color w:val="000000"/>
              </w:rPr>
              <w:t>2nd MP Due Date</w:t>
            </w:r>
          </w:p>
        </w:tc>
      </w:tr>
      <w:tr w14:paraId="24ACB831" w14:textId="77777777" w:rsidTr="006D0304">
        <w:tblPrEx>
          <w:tblW w:w="8720" w:type="dxa"/>
          <w:jc w:val="center"/>
          <w:tblLook w:val="04A0"/>
        </w:tblPrEx>
        <w:trPr>
          <w:trHeight w:val="255"/>
          <w:jc w:val="center"/>
        </w:trPr>
        <w:tc>
          <w:tcPr>
            <w:tcW w:w="1530" w:type="dxa"/>
            <w:noWrap/>
            <w:hideMark/>
          </w:tcPr>
          <w:p w:rsidR="002B2E31" w:rsidRPr="00151881" w:rsidP="006D0304" w14:paraId="3301CF83" w14:textId="77777777">
            <w:pPr>
              <w:rPr>
                <w:rFonts w:cstheme="minorHAnsi"/>
              </w:rPr>
            </w:pPr>
            <w:r w:rsidRPr="00151881">
              <w:rPr>
                <w:rFonts w:cstheme="minorHAnsi"/>
              </w:rPr>
              <w:t>GA</w:t>
            </w:r>
          </w:p>
        </w:tc>
        <w:tc>
          <w:tcPr>
            <w:tcW w:w="3609" w:type="dxa"/>
            <w:noWrap/>
            <w:hideMark/>
          </w:tcPr>
          <w:p w:rsidR="002B2E31" w:rsidRPr="00151881" w:rsidP="006D0304" w14:paraId="6782AA28" w14:textId="77777777">
            <w:pPr>
              <w:rPr>
                <w:rFonts w:cstheme="minorHAnsi"/>
              </w:rPr>
            </w:pPr>
            <w:r w:rsidRPr="00151881">
              <w:rPr>
                <w:rFonts w:cstheme="minorHAnsi"/>
              </w:rPr>
              <w:t>At</w:t>
            </w:r>
            <w:r w:rsidRPr="00EE4D40">
              <w:rPr>
                <w:rFonts w:cstheme="minorHAnsi"/>
              </w:rPr>
              <w:t>l</w:t>
            </w:r>
            <w:r w:rsidRPr="00151881">
              <w:rPr>
                <w:rFonts w:cstheme="minorHAnsi"/>
              </w:rPr>
              <w:t>anta, GA</w:t>
            </w:r>
          </w:p>
        </w:tc>
        <w:tc>
          <w:tcPr>
            <w:tcW w:w="1903" w:type="dxa"/>
            <w:noWrap/>
            <w:hideMark/>
          </w:tcPr>
          <w:p w:rsidR="002B2E31" w:rsidRPr="00151881" w:rsidP="006D0304" w14:paraId="1AC6AB02" w14:textId="77777777">
            <w:pPr>
              <w:jc w:val="right"/>
              <w:rPr>
                <w:rFonts w:cstheme="minorHAnsi"/>
              </w:rPr>
            </w:pPr>
            <w:r w:rsidRPr="00151881">
              <w:rPr>
                <w:rFonts w:cstheme="minorHAnsi"/>
              </w:rPr>
              <w:t>6/2/2017</w:t>
            </w:r>
          </w:p>
        </w:tc>
        <w:tc>
          <w:tcPr>
            <w:tcW w:w="1678" w:type="dxa"/>
            <w:noWrap/>
            <w:hideMark/>
          </w:tcPr>
          <w:p w:rsidR="002B2E31" w:rsidRPr="00151881" w:rsidP="006D0304" w14:paraId="529B2379" w14:textId="77777777">
            <w:pPr>
              <w:jc w:val="right"/>
              <w:rPr>
                <w:rFonts w:cstheme="minorHAnsi"/>
              </w:rPr>
            </w:pPr>
            <w:r w:rsidRPr="00151881">
              <w:rPr>
                <w:rFonts w:cstheme="minorHAnsi"/>
              </w:rPr>
              <w:t>6/2/2025</w:t>
            </w:r>
          </w:p>
        </w:tc>
      </w:tr>
      <w:tr w14:paraId="53F61D20" w14:textId="77777777" w:rsidTr="006D0304">
        <w:tblPrEx>
          <w:tblW w:w="8720" w:type="dxa"/>
          <w:jc w:val="center"/>
          <w:tblLook w:val="04A0"/>
        </w:tblPrEx>
        <w:trPr>
          <w:trHeight w:val="255"/>
          <w:jc w:val="center"/>
        </w:trPr>
        <w:tc>
          <w:tcPr>
            <w:tcW w:w="1530" w:type="dxa"/>
            <w:noWrap/>
            <w:hideMark/>
          </w:tcPr>
          <w:p w:rsidR="002B2E31" w:rsidRPr="00151881" w:rsidP="006D0304" w14:paraId="11230479" w14:textId="77777777">
            <w:pPr>
              <w:rPr>
                <w:rFonts w:cstheme="minorHAnsi"/>
              </w:rPr>
            </w:pPr>
            <w:r w:rsidRPr="00151881">
              <w:rPr>
                <w:rFonts w:cstheme="minorHAnsi"/>
              </w:rPr>
              <w:t>LA</w:t>
            </w:r>
          </w:p>
        </w:tc>
        <w:tc>
          <w:tcPr>
            <w:tcW w:w="3609" w:type="dxa"/>
            <w:noWrap/>
            <w:hideMark/>
          </w:tcPr>
          <w:p w:rsidR="002B2E31" w:rsidRPr="00151881" w:rsidP="006D0304" w14:paraId="076F532D" w14:textId="77777777">
            <w:pPr>
              <w:rPr>
                <w:rFonts w:cstheme="minorHAnsi"/>
              </w:rPr>
            </w:pPr>
            <w:r w:rsidRPr="00151881">
              <w:rPr>
                <w:rFonts w:cstheme="minorHAnsi"/>
              </w:rPr>
              <w:t>Baton Rouge</w:t>
            </w:r>
          </w:p>
        </w:tc>
        <w:tc>
          <w:tcPr>
            <w:tcW w:w="1903" w:type="dxa"/>
            <w:noWrap/>
            <w:hideMark/>
          </w:tcPr>
          <w:p w:rsidR="002B2E31" w:rsidRPr="00151881" w:rsidP="006D0304" w14:paraId="54D6A82F" w14:textId="77777777">
            <w:pPr>
              <w:jc w:val="right"/>
              <w:rPr>
                <w:rFonts w:cstheme="minorHAnsi"/>
              </w:rPr>
            </w:pPr>
            <w:r w:rsidRPr="00151881">
              <w:rPr>
                <w:rFonts w:cstheme="minorHAnsi"/>
              </w:rPr>
              <w:t>3/21/2017</w:t>
            </w:r>
          </w:p>
        </w:tc>
        <w:tc>
          <w:tcPr>
            <w:tcW w:w="1678" w:type="dxa"/>
            <w:noWrap/>
            <w:hideMark/>
          </w:tcPr>
          <w:p w:rsidR="002B2E31" w:rsidRPr="00151881" w:rsidP="006D0304" w14:paraId="49FEEDD0" w14:textId="77777777">
            <w:pPr>
              <w:jc w:val="right"/>
              <w:rPr>
                <w:rFonts w:cstheme="minorHAnsi"/>
              </w:rPr>
            </w:pPr>
            <w:r w:rsidRPr="00151881">
              <w:rPr>
                <w:rFonts w:cstheme="minorHAnsi"/>
              </w:rPr>
              <w:t>3/21/2025</w:t>
            </w:r>
          </w:p>
        </w:tc>
      </w:tr>
      <w:tr w14:paraId="58C14D19" w14:textId="77777777" w:rsidTr="006D0304">
        <w:tblPrEx>
          <w:tblW w:w="8720" w:type="dxa"/>
          <w:jc w:val="center"/>
          <w:tblLook w:val="04A0"/>
        </w:tblPrEx>
        <w:trPr>
          <w:trHeight w:val="255"/>
          <w:jc w:val="center"/>
        </w:trPr>
        <w:tc>
          <w:tcPr>
            <w:tcW w:w="1530" w:type="dxa"/>
            <w:noWrap/>
            <w:hideMark/>
          </w:tcPr>
          <w:p w:rsidR="002B2E31" w:rsidRPr="00151881" w:rsidP="006D0304" w14:paraId="23C8494A" w14:textId="77777777">
            <w:pPr>
              <w:rPr>
                <w:rFonts w:cstheme="minorHAnsi"/>
              </w:rPr>
            </w:pPr>
            <w:r w:rsidRPr="00151881">
              <w:rPr>
                <w:rFonts w:cstheme="minorHAnsi"/>
              </w:rPr>
              <w:t>IN</w:t>
            </w:r>
          </w:p>
        </w:tc>
        <w:tc>
          <w:tcPr>
            <w:tcW w:w="3609" w:type="dxa"/>
            <w:noWrap/>
            <w:hideMark/>
          </w:tcPr>
          <w:p w:rsidR="002B2E31" w:rsidRPr="00151881" w:rsidP="006D0304" w14:paraId="55B06E9A" w14:textId="77777777">
            <w:pPr>
              <w:rPr>
                <w:rFonts w:cstheme="minorHAnsi"/>
              </w:rPr>
            </w:pPr>
            <w:r w:rsidRPr="00151881">
              <w:rPr>
                <w:rFonts w:cstheme="minorHAnsi"/>
              </w:rPr>
              <w:t>Cincinnati, IN-KY</w:t>
            </w:r>
          </w:p>
        </w:tc>
        <w:tc>
          <w:tcPr>
            <w:tcW w:w="1903" w:type="dxa"/>
            <w:noWrap/>
            <w:hideMark/>
          </w:tcPr>
          <w:p w:rsidR="002B2E31" w:rsidRPr="00151881" w:rsidP="006D0304" w14:paraId="6C8FF82A" w14:textId="77777777">
            <w:pPr>
              <w:jc w:val="right"/>
              <w:rPr>
                <w:rFonts w:cstheme="minorHAnsi"/>
              </w:rPr>
            </w:pPr>
            <w:r w:rsidRPr="00151881">
              <w:rPr>
                <w:rFonts w:cstheme="minorHAnsi"/>
              </w:rPr>
              <w:t>4/7/2017</w:t>
            </w:r>
          </w:p>
        </w:tc>
        <w:tc>
          <w:tcPr>
            <w:tcW w:w="1678" w:type="dxa"/>
            <w:noWrap/>
            <w:hideMark/>
          </w:tcPr>
          <w:p w:rsidR="002B2E31" w:rsidRPr="00151881" w:rsidP="006D0304" w14:paraId="6A304483" w14:textId="77777777">
            <w:pPr>
              <w:jc w:val="right"/>
              <w:rPr>
                <w:rFonts w:cstheme="minorHAnsi"/>
              </w:rPr>
            </w:pPr>
            <w:r w:rsidRPr="00151881">
              <w:rPr>
                <w:rFonts w:cstheme="minorHAnsi"/>
              </w:rPr>
              <w:t>4/7/2025</w:t>
            </w:r>
          </w:p>
        </w:tc>
      </w:tr>
      <w:tr w14:paraId="0FFD24CB" w14:textId="77777777" w:rsidTr="006D0304">
        <w:tblPrEx>
          <w:tblW w:w="8720" w:type="dxa"/>
          <w:jc w:val="center"/>
          <w:tblLook w:val="04A0"/>
        </w:tblPrEx>
        <w:trPr>
          <w:trHeight w:val="255"/>
          <w:jc w:val="center"/>
        </w:trPr>
        <w:tc>
          <w:tcPr>
            <w:tcW w:w="1530" w:type="dxa"/>
            <w:noWrap/>
            <w:hideMark/>
          </w:tcPr>
          <w:p w:rsidR="002B2E31" w:rsidRPr="00151881" w:rsidP="006D0304" w14:paraId="0AB7AD6C" w14:textId="77777777">
            <w:pPr>
              <w:rPr>
                <w:rFonts w:cstheme="minorHAnsi"/>
              </w:rPr>
            </w:pPr>
            <w:r w:rsidRPr="00151881">
              <w:rPr>
                <w:rFonts w:cstheme="minorHAnsi"/>
              </w:rPr>
              <w:t>KY</w:t>
            </w:r>
          </w:p>
        </w:tc>
        <w:tc>
          <w:tcPr>
            <w:tcW w:w="3609" w:type="dxa"/>
            <w:noWrap/>
            <w:hideMark/>
          </w:tcPr>
          <w:p w:rsidR="002B2E31" w:rsidRPr="00151881" w:rsidP="006D0304" w14:paraId="4384CCF2" w14:textId="77777777">
            <w:pPr>
              <w:rPr>
                <w:rFonts w:cstheme="minorHAnsi"/>
              </w:rPr>
            </w:pPr>
            <w:r w:rsidRPr="00151881">
              <w:rPr>
                <w:rFonts w:cstheme="minorHAnsi"/>
              </w:rPr>
              <w:t>Cincinnati, IN-KY</w:t>
            </w:r>
          </w:p>
        </w:tc>
        <w:tc>
          <w:tcPr>
            <w:tcW w:w="1903" w:type="dxa"/>
            <w:noWrap/>
            <w:hideMark/>
          </w:tcPr>
          <w:p w:rsidR="002B2E31" w:rsidRPr="00151881" w:rsidP="006D0304" w14:paraId="58B7290B" w14:textId="77777777">
            <w:pPr>
              <w:jc w:val="right"/>
              <w:rPr>
                <w:rFonts w:cstheme="minorHAnsi"/>
              </w:rPr>
            </w:pPr>
            <w:r w:rsidRPr="00151881">
              <w:rPr>
                <w:rFonts w:cstheme="minorHAnsi"/>
              </w:rPr>
              <w:t>7/5/2017</w:t>
            </w:r>
          </w:p>
        </w:tc>
        <w:tc>
          <w:tcPr>
            <w:tcW w:w="1678" w:type="dxa"/>
            <w:noWrap/>
            <w:hideMark/>
          </w:tcPr>
          <w:p w:rsidR="002B2E31" w:rsidRPr="00151881" w:rsidP="006D0304" w14:paraId="05AE6FA1" w14:textId="77777777">
            <w:pPr>
              <w:jc w:val="right"/>
              <w:rPr>
                <w:rFonts w:cstheme="minorHAnsi"/>
              </w:rPr>
            </w:pPr>
            <w:r w:rsidRPr="00151881">
              <w:rPr>
                <w:rFonts w:cstheme="minorHAnsi"/>
              </w:rPr>
              <w:t>7/5/2025</w:t>
            </w:r>
          </w:p>
        </w:tc>
      </w:tr>
      <w:tr w14:paraId="12A2D764" w14:textId="77777777" w:rsidTr="006D0304">
        <w:tblPrEx>
          <w:tblW w:w="8720" w:type="dxa"/>
          <w:jc w:val="center"/>
          <w:tblLook w:val="04A0"/>
        </w:tblPrEx>
        <w:trPr>
          <w:trHeight w:val="255"/>
          <w:jc w:val="center"/>
        </w:trPr>
        <w:tc>
          <w:tcPr>
            <w:tcW w:w="1530" w:type="dxa"/>
            <w:noWrap/>
            <w:hideMark/>
          </w:tcPr>
          <w:p w:rsidR="002B2E31" w:rsidRPr="00151881" w:rsidP="006D0304" w14:paraId="7D794726" w14:textId="77777777">
            <w:pPr>
              <w:rPr>
                <w:rFonts w:cstheme="minorHAnsi"/>
              </w:rPr>
            </w:pPr>
            <w:r w:rsidRPr="00151881">
              <w:rPr>
                <w:rFonts w:cstheme="minorHAnsi"/>
              </w:rPr>
              <w:t>OH</w:t>
            </w:r>
          </w:p>
        </w:tc>
        <w:tc>
          <w:tcPr>
            <w:tcW w:w="3609" w:type="dxa"/>
            <w:noWrap/>
            <w:hideMark/>
          </w:tcPr>
          <w:p w:rsidR="002B2E31" w:rsidRPr="00151881" w:rsidP="006D0304" w14:paraId="30AB80FB" w14:textId="77777777">
            <w:pPr>
              <w:rPr>
                <w:rFonts w:cstheme="minorHAnsi"/>
              </w:rPr>
            </w:pPr>
            <w:r w:rsidRPr="00EE4D40">
              <w:rPr>
                <w:rFonts w:cstheme="minorHAnsi"/>
              </w:rPr>
              <w:t>Cleveland</w:t>
            </w:r>
            <w:r w:rsidRPr="00151881">
              <w:rPr>
                <w:rFonts w:cstheme="minorHAnsi"/>
              </w:rPr>
              <w:t>-Akron-Lorain, OH</w:t>
            </w:r>
          </w:p>
        </w:tc>
        <w:tc>
          <w:tcPr>
            <w:tcW w:w="1903" w:type="dxa"/>
            <w:noWrap/>
            <w:hideMark/>
          </w:tcPr>
          <w:p w:rsidR="002B2E31" w:rsidRPr="00151881" w:rsidP="006D0304" w14:paraId="3E7FE08B" w14:textId="77777777">
            <w:pPr>
              <w:jc w:val="right"/>
              <w:rPr>
                <w:rFonts w:cstheme="minorHAnsi"/>
              </w:rPr>
            </w:pPr>
            <w:r w:rsidRPr="00151881">
              <w:rPr>
                <w:rFonts w:cstheme="minorHAnsi"/>
              </w:rPr>
              <w:t>1/6/2017</w:t>
            </w:r>
          </w:p>
        </w:tc>
        <w:tc>
          <w:tcPr>
            <w:tcW w:w="1678" w:type="dxa"/>
            <w:noWrap/>
            <w:hideMark/>
          </w:tcPr>
          <w:p w:rsidR="002B2E31" w:rsidRPr="00151881" w:rsidP="006D0304" w14:paraId="4AD619A6" w14:textId="77777777">
            <w:pPr>
              <w:jc w:val="right"/>
              <w:rPr>
                <w:rFonts w:cstheme="minorHAnsi"/>
              </w:rPr>
            </w:pPr>
            <w:r w:rsidRPr="00151881">
              <w:rPr>
                <w:rFonts w:cstheme="minorHAnsi"/>
              </w:rPr>
              <w:t>1/6/2025</w:t>
            </w:r>
          </w:p>
        </w:tc>
      </w:tr>
      <w:tr w14:paraId="7A4BA5F7" w14:textId="77777777" w:rsidTr="006D0304">
        <w:tblPrEx>
          <w:tblW w:w="8720" w:type="dxa"/>
          <w:jc w:val="center"/>
          <w:tblLook w:val="04A0"/>
        </w:tblPrEx>
        <w:trPr>
          <w:trHeight w:val="255"/>
          <w:jc w:val="center"/>
        </w:trPr>
        <w:tc>
          <w:tcPr>
            <w:tcW w:w="1530" w:type="dxa"/>
            <w:noWrap/>
            <w:hideMark/>
          </w:tcPr>
          <w:p w:rsidR="002B2E31" w:rsidRPr="00151881" w:rsidP="006D0304" w14:paraId="0C2DC1E4" w14:textId="77777777">
            <w:pPr>
              <w:rPr>
                <w:rFonts w:cstheme="minorHAnsi"/>
              </w:rPr>
            </w:pPr>
            <w:r w:rsidRPr="00151881">
              <w:rPr>
                <w:rFonts w:cstheme="minorHAnsi"/>
              </w:rPr>
              <w:t>IL</w:t>
            </w:r>
          </w:p>
        </w:tc>
        <w:tc>
          <w:tcPr>
            <w:tcW w:w="3609" w:type="dxa"/>
            <w:noWrap/>
            <w:hideMark/>
          </w:tcPr>
          <w:p w:rsidR="002B2E31" w:rsidRPr="00151881" w:rsidP="006D0304" w14:paraId="527401E6" w14:textId="77777777">
            <w:pPr>
              <w:rPr>
                <w:rFonts w:cstheme="minorHAnsi"/>
              </w:rPr>
            </w:pPr>
            <w:r w:rsidRPr="00151881">
              <w:rPr>
                <w:rFonts w:cstheme="minorHAnsi"/>
              </w:rPr>
              <w:t>St. Louis-St. Charles-Farmington, IL-MO</w:t>
            </w:r>
          </w:p>
        </w:tc>
        <w:tc>
          <w:tcPr>
            <w:tcW w:w="1903" w:type="dxa"/>
            <w:noWrap/>
            <w:hideMark/>
          </w:tcPr>
          <w:p w:rsidR="002B2E31" w:rsidRPr="00151881" w:rsidP="006D0304" w14:paraId="4779A5A1" w14:textId="77777777">
            <w:pPr>
              <w:jc w:val="right"/>
              <w:rPr>
                <w:rFonts w:cstheme="minorHAnsi"/>
              </w:rPr>
            </w:pPr>
            <w:r w:rsidRPr="00151881">
              <w:rPr>
                <w:rFonts w:cstheme="minorHAnsi"/>
              </w:rPr>
              <w:t>3/1/2018</w:t>
            </w:r>
          </w:p>
        </w:tc>
        <w:tc>
          <w:tcPr>
            <w:tcW w:w="1678" w:type="dxa"/>
            <w:noWrap/>
            <w:hideMark/>
          </w:tcPr>
          <w:p w:rsidR="002B2E31" w:rsidRPr="00151881" w:rsidP="006D0304" w14:paraId="20D3D97F" w14:textId="77777777">
            <w:pPr>
              <w:jc w:val="right"/>
              <w:rPr>
                <w:rFonts w:cstheme="minorHAnsi"/>
              </w:rPr>
            </w:pPr>
            <w:r w:rsidRPr="00151881">
              <w:rPr>
                <w:rFonts w:cstheme="minorHAnsi"/>
              </w:rPr>
              <w:t>3/1/2026</w:t>
            </w:r>
          </w:p>
        </w:tc>
      </w:tr>
      <w:tr w14:paraId="585EEEF7" w14:textId="77777777" w:rsidTr="006D0304">
        <w:tblPrEx>
          <w:tblW w:w="8720" w:type="dxa"/>
          <w:jc w:val="center"/>
          <w:tblLook w:val="04A0"/>
        </w:tblPrEx>
        <w:trPr>
          <w:trHeight w:val="255"/>
          <w:jc w:val="center"/>
        </w:trPr>
        <w:tc>
          <w:tcPr>
            <w:tcW w:w="1530" w:type="dxa"/>
            <w:noWrap/>
            <w:hideMark/>
          </w:tcPr>
          <w:p w:rsidR="002B2E31" w:rsidRPr="00151881" w:rsidP="006D0304" w14:paraId="432AE3D9" w14:textId="77777777">
            <w:pPr>
              <w:rPr>
                <w:rFonts w:cstheme="minorHAnsi"/>
              </w:rPr>
            </w:pPr>
            <w:r w:rsidRPr="00151881">
              <w:rPr>
                <w:rFonts w:cstheme="minorHAnsi"/>
              </w:rPr>
              <w:t>MO</w:t>
            </w:r>
          </w:p>
        </w:tc>
        <w:tc>
          <w:tcPr>
            <w:tcW w:w="3609" w:type="dxa"/>
            <w:noWrap/>
            <w:hideMark/>
          </w:tcPr>
          <w:p w:rsidR="002B2E31" w:rsidRPr="00151881" w:rsidP="006D0304" w14:paraId="5F73E40E" w14:textId="77777777">
            <w:pPr>
              <w:rPr>
                <w:rFonts w:cstheme="minorHAnsi"/>
              </w:rPr>
            </w:pPr>
            <w:r w:rsidRPr="00151881">
              <w:rPr>
                <w:rFonts w:cstheme="minorHAnsi"/>
              </w:rPr>
              <w:t>St. Louis-St. Charles-Farmington, IL-MO</w:t>
            </w:r>
          </w:p>
        </w:tc>
        <w:tc>
          <w:tcPr>
            <w:tcW w:w="1903" w:type="dxa"/>
            <w:noWrap/>
            <w:hideMark/>
          </w:tcPr>
          <w:p w:rsidR="002B2E31" w:rsidRPr="00151881" w:rsidP="006D0304" w14:paraId="7C00E053" w14:textId="77777777">
            <w:pPr>
              <w:jc w:val="right"/>
              <w:rPr>
                <w:rFonts w:cstheme="minorHAnsi"/>
              </w:rPr>
            </w:pPr>
            <w:r w:rsidRPr="00151881">
              <w:rPr>
                <w:rFonts w:cstheme="minorHAnsi"/>
              </w:rPr>
              <w:t>9/20/2018</w:t>
            </w:r>
          </w:p>
        </w:tc>
        <w:tc>
          <w:tcPr>
            <w:tcW w:w="1678" w:type="dxa"/>
            <w:noWrap/>
            <w:hideMark/>
          </w:tcPr>
          <w:p w:rsidR="002B2E31" w:rsidRPr="00151881" w:rsidP="006D0304" w14:paraId="48AAB7EE" w14:textId="77777777">
            <w:pPr>
              <w:jc w:val="right"/>
              <w:rPr>
                <w:rFonts w:cstheme="minorHAnsi"/>
              </w:rPr>
            </w:pPr>
            <w:r w:rsidRPr="00151881">
              <w:rPr>
                <w:rFonts w:cstheme="minorHAnsi"/>
              </w:rPr>
              <w:t>9/20/2026</w:t>
            </w:r>
          </w:p>
        </w:tc>
      </w:tr>
      <w:tr w14:paraId="5D11A16D" w14:textId="77777777" w:rsidTr="006D0304">
        <w:tblPrEx>
          <w:tblW w:w="8720" w:type="dxa"/>
          <w:jc w:val="center"/>
          <w:tblLook w:val="04A0"/>
        </w:tblPrEx>
        <w:trPr>
          <w:trHeight w:val="255"/>
          <w:jc w:val="center"/>
        </w:trPr>
        <w:tc>
          <w:tcPr>
            <w:tcW w:w="1530" w:type="dxa"/>
            <w:noWrap/>
            <w:hideMark/>
          </w:tcPr>
          <w:p w:rsidR="002B2E31" w:rsidRPr="00151881" w:rsidP="006D0304" w14:paraId="4D025AD6" w14:textId="77777777">
            <w:pPr>
              <w:rPr>
                <w:rFonts w:cstheme="minorHAnsi"/>
              </w:rPr>
            </w:pPr>
            <w:r w:rsidRPr="00151881">
              <w:rPr>
                <w:rFonts w:cstheme="minorHAnsi"/>
              </w:rPr>
              <w:t>DC</w:t>
            </w:r>
          </w:p>
        </w:tc>
        <w:tc>
          <w:tcPr>
            <w:tcW w:w="3609" w:type="dxa"/>
            <w:noWrap/>
            <w:hideMark/>
          </w:tcPr>
          <w:p w:rsidR="002B2E31" w:rsidRPr="00151881" w:rsidP="006D0304" w14:paraId="6E63AD2A" w14:textId="77777777">
            <w:pPr>
              <w:rPr>
                <w:rFonts w:cstheme="minorHAnsi"/>
              </w:rPr>
            </w:pPr>
            <w:r w:rsidRPr="00151881">
              <w:rPr>
                <w:rFonts w:cstheme="minorHAnsi"/>
              </w:rPr>
              <w:t>Washington, DC-MD-VA</w:t>
            </w:r>
          </w:p>
        </w:tc>
        <w:tc>
          <w:tcPr>
            <w:tcW w:w="1903" w:type="dxa"/>
            <w:noWrap/>
            <w:hideMark/>
          </w:tcPr>
          <w:p w:rsidR="002B2E31" w:rsidRPr="00151881" w:rsidP="006D0304" w14:paraId="00F713E8" w14:textId="77777777">
            <w:pPr>
              <w:jc w:val="right"/>
              <w:rPr>
                <w:rFonts w:cstheme="minorHAnsi"/>
              </w:rPr>
            </w:pPr>
            <w:r w:rsidRPr="00151881">
              <w:rPr>
                <w:rFonts w:cstheme="minorHAnsi"/>
              </w:rPr>
              <w:t>8/15/2019</w:t>
            </w:r>
          </w:p>
        </w:tc>
        <w:tc>
          <w:tcPr>
            <w:tcW w:w="1678" w:type="dxa"/>
            <w:noWrap/>
            <w:hideMark/>
          </w:tcPr>
          <w:p w:rsidR="002B2E31" w:rsidRPr="00151881" w:rsidP="006D0304" w14:paraId="21C35146" w14:textId="77777777">
            <w:pPr>
              <w:jc w:val="right"/>
              <w:rPr>
                <w:rFonts w:cstheme="minorHAnsi"/>
              </w:rPr>
            </w:pPr>
            <w:r w:rsidRPr="00151881">
              <w:rPr>
                <w:rFonts w:cstheme="minorHAnsi"/>
              </w:rPr>
              <w:t>8/15/2027</w:t>
            </w:r>
          </w:p>
        </w:tc>
      </w:tr>
      <w:tr w14:paraId="382F2FA2" w14:textId="77777777" w:rsidTr="006D0304">
        <w:tblPrEx>
          <w:tblW w:w="8720" w:type="dxa"/>
          <w:jc w:val="center"/>
          <w:tblLook w:val="04A0"/>
        </w:tblPrEx>
        <w:trPr>
          <w:trHeight w:val="255"/>
          <w:jc w:val="center"/>
        </w:trPr>
        <w:tc>
          <w:tcPr>
            <w:tcW w:w="1530" w:type="dxa"/>
            <w:noWrap/>
            <w:hideMark/>
          </w:tcPr>
          <w:p w:rsidR="002B2E31" w:rsidRPr="00151881" w:rsidP="006D0304" w14:paraId="086AC461" w14:textId="77777777">
            <w:pPr>
              <w:rPr>
                <w:rFonts w:cstheme="minorHAnsi"/>
              </w:rPr>
            </w:pPr>
            <w:r w:rsidRPr="00151881">
              <w:rPr>
                <w:rFonts w:cstheme="minorHAnsi"/>
              </w:rPr>
              <w:t>MD</w:t>
            </w:r>
          </w:p>
        </w:tc>
        <w:tc>
          <w:tcPr>
            <w:tcW w:w="3609" w:type="dxa"/>
            <w:noWrap/>
            <w:hideMark/>
          </w:tcPr>
          <w:p w:rsidR="002B2E31" w:rsidRPr="00151881" w:rsidP="006D0304" w14:paraId="02FC7D15" w14:textId="77777777">
            <w:pPr>
              <w:rPr>
                <w:rFonts w:cstheme="minorHAnsi"/>
              </w:rPr>
            </w:pPr>
            <w:r w:rsidRPr="00151881">
              <w:rPr>
                <w:rFonts w:cstheme="minorHAnsi"/>
              </w:rPr>
              <w:t>Washington, DC-MD-VA</w:t>
            </w:r>
          </w:p>
        </w:tc>
        <w:tc>
          <w:tcPr>
            <w:tcW w:w="1903" w:type="dxa"/>
            <w:noWrap/>
            <w:hideMark/>
          </w:tcPr>
          <w:p w:rsidR="002B2E31" w:rsidRPr="00151881" w:rsidP="006D0304" w14:paraId="2B5738D1" w14:textId="77777777">
            <w:pPr>
              <w:jc w:val="right"/>
              <w:rPr>
                <w:rFonts w:cstheme="minorHAnsi"/>
              </w:rPr>
            </w:pPr>
            <w:r w:rsidRPr="00151881">
              <w:rPr>
                <w:rFonts w:cstheme="minorHAnsi"/>
              </w:rPr>
              <w:t>5/15/2019</w:t>
            </w:r>
          </w:p>
        </w:tc>
        <w:tc>
          <w:tcPr>
            <w:tcW w:w="1678" w:type="dxa"/>
            <w:noWrap/>
            <w:hideMark/>
          </w:tcPr>
          <w:p w:rsidR="002B2E31" w:rsidRPr="00151881" w:rsidP="006D0304" w14:paraId="4C2B6785" w14:textId="77777777">
            <w:pPr>
              <w:jc w:val="right"/>
              <w:rPr>
                <w:rFonts w:cstheme="minorHAnsi"/>
              </w:rPr>
            </w:pPr>
            <w:r w:rsidRPr="00151881">
              <w:rPr>
                <w:rFonts w:cstheme="minorHAnsi"/>
              </w:rPr>
              <w:t>5/15/2027</w:t>
            </w:r>
          </w:p>
        </w:tc>
      </w:tr>
      <w:tr w14:paraId="2D0C484E" w14:textId="77777777" w:rsidTr="006D0304">
        <w:tblPrEx>
          <w:tblW w:w="8720" w:type="dxa"/>
          <w:jc w:val="center"/>
          <w:tblLook w:val="04A0"/>
        </w:tblPrEx>
        <w:trPr>
          <w:trHeight w:val="255"/>
          <w:jc w:val="center"/>
        </w:trPr>
        <w:tc>
          <w:tcPr>
            <w:tcW w:w="1530" w:type="dxa"/>
            <w:noWrap/>
            <w:hideMark/>
          </w:tcPr>
          <w:p w:rsidR="002B2E31" w:rsidRPr="00151881" w:rsidP="006D0304" w14:paraId="05433D49" w14:textId="77777777">
            <w:pPr>
              <w:rPr>
                <w:rFonts w:cstheme="minorHAnsi"/>
              </w:rPr>
            </w:pPr>
            <w:r w:rsidRPr="00151881">
              <w:rPr>
                <w:rFonts w:cstheme="minorHAnsi"/>
              </w:rPr>
              <w:t>VA</w:t>
            </w:r>
          </w:p>
        </w:tc>
        <w:tc>
          <w:tcPr>
            <w:tcW w:w="3609" w:type="dxa"/>
            <w:noWrap/>
            <w:hideMark/>
          </w:tcPr>
          <w:p w:rsidR="002B2E31" w:rsidRPr="00151881" w:rsidP="006D0304" w14:paraId="7F92CE6A" w14:textId="77777777">
            <w:pPr>
              <w:rPr>
                <w:rFonts w:cstheme="minorHAnsi"/>
              </w:rPr>
            </w:pPr>
            <w:r w:rsidRPr="00151881">
              <w:rPr>
                <w:rFonts w:cstheme="minorHAnsi"/>
              </w:rPr>
              <w:t>Washington, DC-MD-VA</w:t>
            </w:r>
          </w:p>
        </w:tc>
        <w:tc>
          <w:tcPr>
            <w:tcW w:w="1903" w:type="dxa"/>
            <w:noWrap/>
            <w:hideMark/>
          </w:tcPr>
          <w:p w:rsidR="002B2E31" w:rsidRPr="00151881" w:rsidP="006D0304" w14:paraId="3E05C1DA" w14:textId="77777777">
            <w:pPr>
              <w:jc w:val="right"/>
              <w:rPr>
                <w:rFonts w:cstheme="minorHAnsi"/>
              </w:rPr>
            </w:pPr>
            <w:r w:rsidRPr="00151881">
              <w:rPr>
                <w:rFonts w:cstheme="minorHAnsi"/>
              </w:rPr>
              <w:t>5/15/2019</w:t>
            </w:r>
          </w:p>
        </w:tc>
        <w:tc>
          <w:tcPr>
            <w:tcW w:w="1678" w:type="dxa"/>
            <w:noWrap/>
            <w:hideMark/>
          </w:tcPr>
          <w:p w:rsidR="002B2E31" w:rsidRPr="00151881" w:rsidP="006D0304" w14:paraId="7DEAA015" w14:textId="77777777">
            <w:pPr>
              <w:jc w:val="right"/>
              <w:rPr>
                <w:rFonts w:cstheme="minorHAnsi"/>
              </w:rPr>
            </w:pPr>
            <w:r w:rsidRPr="00151881">
              <w:rPr>
                <w:rFonts w:cstheme="minorHAnsi"/>
              </w:rPr>
              <w:t>5/15/2027</w:t>
            </w:r>
          </w:p>
        </w:tc>
      </w:tr>
    </w:tbl>
    <w:p w:rsidR="00BB3410" w:rsidRPr="00BB3410" w:rsidP="00854AAE" w14:paraId="0DA69975" w14:textId="2BE7C2DB">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bookmarkStart w:id="28" w:name="_Hlk167886152"/>
      <w:r w:rsidRPr="00163C69">
        <w:rPr>
          <w:rFonts w:cstheme="minorHAnsi"/>
          <w:b/>
          <w:bCs/>
        </w:rPr>
        <w:t xml:space="preserve">12b. </w:t>
      </w:r>
      <w:r w:rsidRPr="00163C69" w:rsidR="00BB7DA0">
        <w:rPr>
          <w:rFonts w:cstheme="minorHAnsi"/>
          <w:b/>
          <w:bCs/>
        </w:rPr>
        <w:t>Information Requested</w:t>
      </w:r>
      <w:bookmarkStart w:id="29" w:name="_Toc156593384"/>
      <w:bookmarkEnd w:id="22"/>
    </w:p>
    <w:bookmarkEnd w:id="28"/>
    <w:p w:rsidR="002B2E31" w:rsidP="002B2E31" w14:paraId="43BF7ACA" w14:textId="77777777">
      <w:pPr>
        <w:rPr>
          <w:rFonts w:cstheme="minorHAnsi"/>
        </w:rPr>
      </w:pPr>
    </w:p>
    <w:p w:rsidR="002B2E31" w:rsidRPr="00151881" w:rsidP="002B2E31" w14:paraId="730369A5" w14:textId="010BFB97">
      <w:pPr>
        <w:rPr>
          <w:rFonts w:cstheme="minorHAnsi"/>
        </w:rPr>
      </w:pPr>
      <w:r w:rsidRPr="00151881">
        <w:rPr>
          <w:rFonts w:cstheme="minorHAnsi"/>
        </w:rPr>
        <w:t xml:space="preserve">The information requested under this ICR, such as attainment demonstrations, RFP SIPs, RACT SIP submissions, and second 10-year maintenance plans, is prescribed in the CAA and implementing regulations for the 1997, 2008, and 2015 </w:t>
      </w:r>
      <w:r>
        <w:rPr>
          <w:rFonts w:cstheme="minorHAnsi"/>
        </w:rPr>
        <w:t>ozone</w:t>
      </w:r>
      <w:r w:rsidRPr="00151881">
        <w:rPr>
          <w:rFonts w:cstheme="minorHAnsi"/>
        </w:rPr>
        <w:t xml:space="preserve"> NAAQS.</w:t>
      </w:r>
      <w:r w:rsidRPr="00EE4D40">
        <w:rPr>
          <w:rFonts w:cstheme="minorHAnsi"/>
        </w:rPr>
        <w:t xml:space="preserve">  </w:t>
      </w:r>
      <w:r w:rsidRPr="00151881">
        <w:rPr>
          <w:rFonts w:cstheme="minorHAnsi"/>
        </w:rPr>
        <w:t>The implementation framework set forth in the regulations does not adopt a “</w:t>
      </w:r>
      <w:r>
        <w:rPr>
          <w:rFonts w:cstheme="minorHAnsi"/>
        </w:rPr>
        <w:t>one-size-fits-all</w:t>
      </w:r>
      <w:r w:rsidRPr="00151881">
        <w:rPr>
          <w:rFonts w:cstheme="minorHAnsi"/>
        </w:rPr>
        <w:t>” approach to meeting any of these required submissions.</w:t>
      </w:r>
      <w:r w:rsidRPr="00EE4D40">
        <w:rPr>
          <w:rFonts w:cstheme="minorHAnsi"/>
        </w:rPr>
        <w:t xml:space="preserve">  </w:t>
      </w:r>
      <w:r w:rsidRPr="00151881">
        <w:rPr>
          <w:rFonts w:cstheme="minorHAnsi"/>
        </w:rPr>
        <w:t xml:space="preserve">This flexibility enables states to customize, to the extent allowed by the CAA, their approach to attaining and maintaining any of the 8-hour </w:t>
      </w:r>
      <w:r>
        <w:rPr>
          <w:rFonts w:cstheme="minorHAnsi"/>
        </w:rPr>
        <w:t>ozone</w:t>
      </w:r>
      <w:r w:rsidRPr="00151881">
        <w:rPr>
          <w:rFonts w:cstheme="minorHAnsi"/>
        </w:rPr>
        <w:t xml:space="preserve"> NAAQS. In the context of reporting and recordkeeping burden, EPA considers this burden to reflect 100 percent reporting burden.</w:t>
      </w:r>
    </w:p>
    <w:p w:rsidR="002B2E31" w:rsidRPr="00151881" w:rsidP="002B2E31" w14:paraId="37651075" w14:textId="23D6744C">
      <w:pPr>
        <w:rPr>
          <w:rFonts w:cstheme="minorHAnsi"/>
        </w:rPr>
      </w:pPr>
      <w:bookmarkStart w:id="30" w:name="_Hlk17893667"/>
      <w:r w:rsidRPr="00151881">
        <w:rPr>
          <w:rFonts w:cstheme="minorHAnsi"/>
          <w:b/>
        </w:rPr>
        <w:t>Data Items.</w:t>
      </w:r>
      <w:r w:rsidRPr="00EE4D40">
        <w:rPr>
          <w:rFonts w:cstheme="minorHAnsi"/>
          <w:b/>
        </w:rPr>
        <w:t xml:space="preserve">  </w:t>
      </w:r>
      <w:r w:rsidRPr="00151881">
        <w:rPr>
          <w:rFonts w:cstheme="minorHAnsi"/>
        </w:rPr>
        <w:t xml:space="preserve">The emissions and control efficiency data required for the attainment demonstration, RFP SIP submission, and RACT SIP submission should have been collected as a result of reporting activities required by other </w:t>
      </w:r>
      <w:r>
        <w:rPr>
          <w:rFonts w:cstheme="minorHAnsi"/>
        </w:rPr>
        <w:t>OMB-approved</w:t>
      </w:r>
      <w:r w:rsidRPr="00151881">
        <w:rPr>
          <w:rFonts w:cstheme="minorHAnsi"/>
        </w:rPr>
        <w:t xml:space="preserve"> ICRs.</w:t>
      </w:r>
      <w:r w:rsidRPr="00EE4D40">
        <w:rPr>
          <w:rFonts w:cstheme="minorHAnsi"/>
        </w:rPr>
        <w:t xml:space="preserve">  </w:t>
      </w:r>
      <w:r w:rsidRPr="00151881">
        <w:rPr>
          <w:rFonts w:cstheme="minorHAnsi"/>
        </w:rPr>
        <w:t xml:space="preserve">For example, see the ICR associated with the Air Emissions Reporting Rule (AERR): </w:t>
      </w:r>
      <w:hyperlink r:id="rId12" w:history="1">
        <w:r w:rsidRPr="00151881">
          <w:rPr>
            <w:rStyle w:val="Hyperlink"/>
            <w:rFonts w:cstheme="minorHAnsi"/>
          </w:rPr>
          <w:t>https://www.epa.gov/air-emissions-inventories/air-emissions-reporting-requirements-aerr</w:t>
        </w:r>
      </w:hyperlink>
      <w:r w:rsidRPr="00151881">
        <w:rPr>
          <w:rFonts w:cstheme="minorHAnsi"/>
        </w:rPr>
        <w:t>.</w:t>
      </w:r>
      <w:r w:rsidRPr="00EE4D40">
        <w:rPr>
          <w:rFonts w:cstheme="minorHAnsi"/>
        </w:rPr>
        <w:t xml:space="preserve">  </w:t>
      </w:r>
      <w:r w:rsidRPr="00151881">
        <w:rPr>
          <w:rFonts w:cstheme="minorHAnsi"/>
        </w:rPr>
        <w:t>In addition, air pollutant concentration data is covered already by ICR 0940-22, OMB Control Number 2060-0084; the New Source Review provisions are covered by ICR 1230.23, OMB Control Number 2060-003; and the Reformulated Gasoline Requirements are covered ICR 1591.24, OMB Control Number 2060-0277.</w:t>
      </w:r>
    </w:p>
    <w:bookmarkEnd w:id="30"/>
    <w:p w:rsidR="00BB3410" w:rsidRPr="002B2E31" w:rsidP="002B2E31" w14:paraId="42074A5E" w14:textId="3D84DB46">
      <w:pPr>
        <w:rPr>
          <w:rFonts w:cstheme="minorHAnsi"/>
          <w:b/>
          <w:i/>
        </w:rPr>
      </w:pPr>
      <w:r>
        <w:rPr>
          <w:rFonts w:cstheme="minorHAnsi"/>
        </w:rPr>
        <w:t>States may use other data. For example, they may identify economic and population growth rates, federal rules that reduce future emissions of ozone precursors, and meteorological data. These data are currently</w:t>
      </w:r>
      <w:r w:rsidRPr="00151881">
        <w:rPr>
          <w:rFonts w:cstheme="minorHAnsi"/>
        </w:rPr>
        <w:t xml:space="preserve"> available.</w:t>
      </w:r>
      <w:r w:rsidRPr="00EE4D40">
        <w:rPr>
          <w:rFonts w:cstheme="minorHAnsi"/>
          <w:b/>
          <w:i/>
        </w:rPr>
        <w:t xml:space="preserve">  </w:t>
      </w:r>
    </w:p>
    <w:p w:rsidR="001172FE" w:rsidP="00854AAE" w14:paraId="7B8A0ACD" w14:textId="27119692">
      <w:pPr>
        <w:spacing w:before="120" w:after="0"/>
        <w:rPr>
          <w:rFonts w:cstheme="minorHAnsi"/>
          <w:b/>
          <w:bCs/>
        </w:rPr>
      </w:pPr>
      <w:bookmarkStart w:id="31" w:name="_Hlk167886290"/>
      <w:r w:rsidRPr="00163C69">
        <w:rPr>
          <w:rFonts w:cstheme="minorHAnsi"/>
          <w:b/>
          <w:bCs/>
        </w:rPr>
        <w:t xml:space="preserve">12c. </w:t>
      </w:r>
      <w:r w:rsidRPr="00163C69" w:rsidR="00DD718B">
        <w:rPr>
          <w:rFonts w:cstheme="minorHAnsi"/>
          <w:b/>
          <w:bCs/>
        </w:rPr>
        <w:t>Respondent Activities</w:t>
      </w:r>
      <w:bookmarkStart w:id="32" w:name="_Toc156593385"/>
      <w:bookmarkEnd w:id="29"/>
    </w:p>
    <w:p w:rsidR="00665026" w:rsidRPr="00151881" w:rsidP="00665026" w14:paraId="240D924D" w14:textId="77777777">
      <w:pPr>
        <w:rPr>
          <w:rFonts w:cstheme="minorHAnsi"/>
        </w:rPr>
      </w:pPr>
      <w:r w:rsidRPr="00151881">
        <w:rPr>
          <w:rFonts w:cstheme="minorHAnsi"/>
          <w:b/>
        </w:rPr>
        <w:t>States:</w:t>
      </w:r>
      <w:r w:rsidRPr="00EE4D40">
        <w:rPr>
          <w:rFonts w:cstheme="minorHAnsi"/>
          <w:b/>
        </w:rPr>
        <w:t xml:space="preserve">  </w:t>
      </w:r>
      <w:r w:rsidRPr="00151881">
        <w:rPr>
          <w:rFonts w:cstheme="minorHAnsi"/>
        </w:rPr>
        <w:t>State agencies’ activities include</w:t>
      </w:r>
      <w:r w:rsidRPr="00EE4D40">
        <w:rPr>
          <w:rFonts w:cstheme="minorHAnsi"/>
        </w:rPr>
        <w:t>:</w:t>
      </w:r>
      <w:r>
        <w:rPr>
          <w:rStyle w:val="FootnoteReference"/>
          <w:rFonts w:cstheme="minorHAnsi"/>
        </w:rPr>
        <w:footnoteReference w:id="18"/>
      </w:r>
    </w:p>
    <w:p w:rsidR="00665026" w:rsidRPr="00151881" w:rsidP="00665026" w14:paraId="4DF01280" w14:textId="77777777">
      <w:pPr>
        <w:numPr>
          <w:ilvl w:val="0"/>
          <w:numId w:val="13"/>
        </w:numPr>
        <w:spacing w:after="0" w:line="240" w:lineRule="auto"/>
        <w:rPr>
          <w:rFonts w:cstheme="minorHAnsi"/>
        </w:rPr>
      </w:pPr>
      <w:r w:rsidRPr="00151881">
        <w:rPr>
          <w:rFonts w:cstheme="minorHAnsi"/>
        </w:rPr>
        <w:t xml:space="preserve">Forecast baseline emissions, develop and evaluate emission reduction strategies where warranted, </w:t>
      </w:r>
      <w:r>
        <w:rPr>
          <w:rFonts w:cstheme="minorHAnsi"/>
        </w:rPr>
        <w:t xml:space="preserve">and </w:t>
      </w:r>
      <w:r w:rsidRPr="00151881">
        <w:rPr>
          <w:rFonts w:cstheme="minorHAnsi"/>
        </w:rPr>
        <w:t xml:space="preserve">conduct air quality modeling to verify maintenance and attainment of the relevant 8-hour </w:t>
      </w:r>
      <w:r>
        <w:rPr>
          <w:rFonts w:cstheme="minorHAnsi"/>
        </w:rPr>
        <w:t>ozone</w:t>
      </w:r>
      <w:r w:rsidRPr="00151881">
        <w:rPr>
          <w:rFonts w:cstheme="minorHAnsi"/>
        </w:rPr>
        <w:t xml:space="preserve"> NAAQS.</w:t>
      </w:r>
    </w:p>
    <w:p w:rsidR="00665026" w:rsidRPr="00151881" w:rsidP="00665026" w14:paraId="0E029424" w14:textId="77777777">
      <w:pPr>
        <w:numPr>
          <w:ilvl w:val="0"/>
          <w:numId w:val="13"/>
        </w:numPr>
        <w:spacing w:after="0" w:line="240" w:lineRule="auto"/>
        <w:rPr>
          <w:rFonts w:cstheme="minorHAnsi"/>
        </w:rPr>
      </w:pPr>
      <w:r w:rsidRPr="00151881">
        <w:rPr>
          <w:rFonts w:cstheme="minorHAnsi"/>
        </w:rPr>
        <w:t xml:space="preserve">Calculate the emission reductions necessary to fulfill RFP requirements, determine creditable emissions reductions, where necessary, </w:t>
      </w:r>
      <w:r>
        <w:rPr>
          <w:rFonts w:cstheme="minorHAnsi"/>
        </w:rPr>
        <w:t xml:space="preserve">and </w:t>
      </w:r>
      <w:r w:rsidRPr="00151881">
        <w:rPr>
          <w:rFonts w:cstheme="minorHAnsi"/>
        </w:rPr>
        <w:t>determine additional emissions reductions and compliance timing to meet RFP requirements.</w:t>
      </w:r>
      <w:r w:rsidRPr="00EE4D40">
        <w:rPr>
          <w:rFonts w:cstheme="minorHAnsi"/>
        </w:rPr>
        <w:t xml:space="preserve">  </w:t>
      </w:r>
      <w:r w:rsidRPr="00151881">
        <w:rPr>
          <w:rFonts w:cstheme="minorHAnsi"/>
        </w:rPr>
        <w:t xml:space="preserve">Draft findings, hold state </w:t>
      </w:r>
      <w:r w:rsidRPr="00151881">
        <w:rPr>
          <w:rFonts w:cstheme="minorHAnsi"/>
        </w:rPr>
        <w:t xml:space="preserve">hearings, </w:t>
      </w:r>
      <w:r>
        <w:rPr>
          <w:rFonts w:cstheme="minorHAnsi"/>
        </w:rPr>
        <w:t xml:space="preserve">and </w:t>
      </w:r>
      <w:r w:rsidRPr="00151881">
        <w:rPr>
          <w:rFonts w:cstheme="minorHAnsi"/>
        </w:rPr>
        <w:t>make revisions as warranted.</w:t>
      </w:r>
      <w:r w:rsidRPr="00EE4D40">
        <w:rPr>
          <w:rFonts w:cstheme="minorHAnsi"/>
        </w:rPr>
        <w:t xml:space="preserve">  </w:t>
      </w:r>
      <w:r w:rsidRPr="00151881">
        <w:rPr>
          <w:rFonts w:cstheme="minorHAnsi"/>
        </w:rPr>
        <w:t xml:space="preserve">Submit RFP SIP to </w:t>
      </w:r>
      <w:r>
        <w:rPr>
          <w:rFonts w:cstheme="minorHAnsi"/>
        </w:rPr>
        <w:t xml:space="preserve">the </w:t>
      </w:r>
      <w:r w:rsidRPr="00151881">
        <w:rPr>
          <w:rFonts w:cstheme="minorHAnsi"/>
        </w:rPr>
        <w:t>EPA Regional office.</w:t>
      </w:r>
      <w:r w:rsidRPr="00EE4D40">
        <w:rPr>
          <w:rFonts w:cstheme="minorHAnsi"/>
        </w:rPr>
        <w:t xml:space="preserve">  </w:t>
      </w:r>
      <w:r w:rsidRPr="00151881">
        <w:rPr>
          <w:rFonts w:cstheme="minorHAnsi"/>
        </w:rPr>
        <w:t xml:space="preserve">Have discussions with </w:t>
      </w:r>
      <w:r>
        <w:rPr>
          <w:rFonts w:cstheme="minorHAnsi"/>
        </w:rPr>
        <w:t xml:space="preserve">the </w:t>
      </w:r>
      <w:r w:rsidRPr="00151881">
        <w:rPr>
          <w:rFonts w:cstheme="minorHAnsi"/>
        </w:rPr>
        <w:t>EPA.</w:t>
      </w:r>
    </w:p>
    <w:p w:rsidR="00665026" w:rsidRPr="00151881" w:rsidP="00665026" w14:paraId="13F9E22D" w14:textId="77777777">
      <w:pPr>
        <w:numPr>
          <w:ilvl w:val="0"/>
          <w:numId w:val="13"/>
        </w:numPr>
        <w:spacing w:after="0" w:line="240" w:lineRule="auto"/>
        <w:rPr>
          <w:rFonts w:cstheme="minorHAnsi"/>
        </w:rPr>
      </w:pPr>
      <w:r w:rsidRPr="00151881">
        <w:rPr>
          <w:rFonts w:cstheme="minorHAnsi"/>
        </w:rPr>
        <w:t>Identify RACT applicable sources and their control measures under baseline and attainment conditions and evaluate alternatives.</w:t>
      </w:r>
      <w:r w:rsidRPr="00EE4D40">
        <w:rPr>
          <w:rFonts w:cstheme="minorHAnsi"/>
        </w:rPr>
        <w:t xml:space="preserve">  </w:t>
      </w:r>
      <w:r w:rsidRPr="00151881">
        <w:rPr>
          <w:rFonts w:cstheme="minorHAnsi"/>
        </w:rPr>
        <w:t xml:space="preserve">Draft findings, hold state hearings, </w:t>
      </w:r>
      <w:r>
        <w:rPr>
          <w:rFonts w:cstheme="minorHAnsi"/>
        </w:rPr>
        <w:t xml:space="preserve">and </w:t>
      </w:r>
      <w:r w:rsidRPr="00151881">
        <w:rPr>
          <w:rFonts w:cstheme="minorHAnsi"/>
        </w:rPr>
        <w:t>make revisions as warranted.</w:t>
      </w:r>
      <w:r w:rsidRPr="00EE4D40">
        <w:rPr>
          <w:rFonts w:cstheme="minorHAnsi"/>
        </w:rPr>
        <w:t xml:space="preserve">  </w:t>
      </w:r>
      <w:r w:rsidRPr="00151881">
        <w:rPr>
          <w:rFonts w:cstheme="minorHAnsi"/>
        </w:rPr>
        <w:t xml:space="preserve">Submit RACT SIP to </w:t>
      </w:r>
      <w:r>
        <w:rPr>
          <w:rFonts w:cstheme="minorHAnsi"/>
        </w:rPr>
        <w:t xml:space="preserve">the </w:t>
      </w:r>
      <w:r w:rsidRPr="00151881">
        <w:rPr>
          <w:rFonts w:cstheme="minorHAnsi"/>
        </w:rPr>
        <w:t>EPA Regional Office.</w:t>
      </w:r>
      <w:r w:rsidRPr="00EE4D40">
        <w:rPr>
          <w:rFonts w:cstheme="minorHAnsi"/>
        </w:rPr>
        <w:t xml:space="preserve">  </w:t>
      </w:r>
      <w:r w:rsidRPr="00151881">
        <w:rPr>
          <w:rFonts w:cstheme="minorHAnsi"/>
        </w:rPr>
        <w:t xml:space="preserve">Have discussions with </w:t>
      </w:r>
      <w:r>
        <w:rPr>
          <w:rFonts w:cstheme="minorHAnsi"/>
        </w:rPr>
        <w:t xml:space="preserve">the </w:t>
      </w:r>
      <w:r w:rsidRPr="00151881">
        <w:rPr>
          <w:rFonts w:cstheme="minorHAnsi"/>
        </w:rPr>
        <w:t>EPA.</w:t>
      </w:r>
    </w:p>
    <w:p w:rsidR="00665026" w:rsidRPr="00151881" w:rsidP="00665026" w14:paraId="74669B8E" w14:textId="77777777">
      <w:pPr>
        <w:numPr>
          <w:ilvl w:val="0"/>
          <w:numId w:val="13"/>
        </w:numPr>
        <w:spacing w:after="0" w:line="240" w:lineRule="auto"/>
        <w:rPr>
          <w:rFonts w:cstheme="minorHAnsi"/>
        </w:rPr>
      </w:pPr>
      <w:r w:rsidRPr="00151881">
        <w:rPr>
          <w:rFonts w:cstheme="minorHAnsi"/>
        </w:rPr>
        <w:t xml:space="preserve">Develop </w:t>
      </w:r>
      <w:r>
        <w:rPr>
          <w:rFonts w:cstheme="minorHAnsi"/>
        </w:rPr>
        <w:t>a maintenance plan, including projected emissions inventory and modeled maintenance demonstration. Hold state hearings and make revisions as warranted. Submit the plan to the EPA regional office and discuss it with the</w:t>
      </w:r>
      <w:r w:rsidRPr="00151881">
        <w:rPr>
          <w:rFonts w:cstheme="minorHAnsi"/>
        </w:rPr>
        <w:t xml:space="preserve"> EPA.</w:t>
      </w:r>
    </w:p>
    <w:p w:rsidR="00665026" w:rsidRPr="00163C69" w:rsidP="00854AAE" w14:paraId="71FD78BB" w14:textId="77777777">
      <w:pPr>
        <w:spacing w:before="120" w:after="0"/>
        <w:rPr>
          <w:rFonts w:cstheme="minorHAnsi"/>
          <w:b/>
          <w:bCs/>
        </w:rPr>
      </w:pPr>
    </w:p>
    <w:bookmarkEnd w:id="31"/>
    <w:p w:rsidR="002B2E31" w:rsidRPr="00151881" w:rsidP="002B2E31" w14:paraId="0F09A692" w14:textId="77777777">
      <w:pPr>
        <w:rPr>
          <w:rFonts w:cstheme="minorHAnsi"/>
          <w:bCs/>
        </w:rPr>
      </w:pPr>
      <w:r w:rsidRPr="00151881">
        <w:rPr>
          <w:rFonts w:cstheme="minorHAnsi"/>
          <w:bCs/>
        </w:rPr>
        <w:t>The states will compile and reference the data, set forth the methodology, conduct analyses, develop initial drafts, hold hearings, adopt rules, regulations, and programs, discuss with EPA staff as appropriate, refine the draft demonstration and RFP and RACT SIP submissions or second maintenance plans, as appropriate, adopt the SIP revisions, and forward them to EPA.</w:t>
      </w:r>
    </w:p>
    <w:p w:rsidR="00D92ED6" w:rsidP="00854AAE" w14:paraId="0B6BE1C2" w14:textId="3F49A8F0">
      <w:pPr>
        <w:spacing w:before="120" w:after="0"/>
        <w:rPr>
          <w:rFonts w:cstheme="minorHAnsi"/>
          <w:b/>
          <w:bCs/>
        </w:rPr>
      </w:pPr>
      <w:bookmarkStart w:id="33"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2"/>
      <w:r w:rsidRPr="00163C69" w:rsidR="00BB2B15">
        <w:rPr>
          <w:rFonts w:cstheme="minorHAnsi"/>
          <w:b/>
          <w:bCs/>
        </w:rPr>
        <w:t>Costs</w:t>
      </w:r>
    </w:p>
    <w:p w:rsidR="00EF3D9A" w:rsidRPr="00151881" w:rsidP="00EF3D9A" w14:paraId="05CD80CF" w14:textId="77777777">
      <w:pPr>
        <w:rPr>
          <w:rFonts w:cstheme="minorHAnsi"/>
        </w:rPr>
      </w:pPr>
      <w:r w:rsidRPr="00151881">
        <w:rPr>
          <w:rFonts w:cstheme="minorHAnsi"/>
        </w:rPr>
        <w:t>The estimated respondent burden is associated with the activities that result in the attainment demonstration, RFP SIP submission, RACT SIP submission, redesignation to attainment, and/or second 10-year maintenance plan submission.</w:t>
      </w:r>
      <w:r w:rsidRPr="00EE4D40">
        <w:rPr>
          <w:rFonts w:cstheme="minorHAnsi"/>
        </w:rPr>
        <w:t xml:space="preserve">  </w:t>
      </w:r>
    </w:p>
    <w:p w:rsidR="00EF3D9A" w:rsidRPr="00151881" w:rsidP="00EF3D9A" w14:paraId="3D3D9601" w14:textId="77777777">
      <w:pPr>
        <w:rPr>
          <w:rFonts w:cstheme="minorHAnsi"/>
        </w:rPr>
      </w:pPr>
      <w:r w:rsidRPr="00151881">
        <w:rPr>
          <w:rFonts w:cstheme="minorHAnsi"/>
        </w:rPr>
        <w:t>The estimated burden is incremental to that required by other EPA environmental reporting obligations.</w:t>
      </w:r>
      <w:r w:rsidRPr="00EE4D40">
        <w:rPr>
          <w:rFonts w:cstheme="minorHAnsi"/>
        </w:rPr>
        <w:t xml:space="preserve">  </w:t>
      </w:r>
      <w:r w:rsidRPr="00151881">
        <w:rPr>
          <w:rFonts w:cstheme="minorHAnsi"/>
        </w:rPr>
        <w:t>The incremental burden for some areas may be less than for others.</w:t>
      </w:r>
      <w:r w:rsidRPr="00EE4D40">
        <w:rPr>
          <w:rFonts w:cstheme="minorHAnsi"/>
        </w:rPr>
        <w:t xml:space="preserve">  </w:t>
      </w:r>
      <w:r w:rsidRPr="00151881">
        <w:rPr>
          <w:rFonts w:cstheme="minorHAnsi"/>
        </w:rPr>
        <w:t>There are several reasons for this disparity:</w:t>
      </w:r>
      <w:r w:rsidRPr="00EE4D40">
        <w:rPr>
          <w:rFonts w:cstheme="minorHAnsi"/>
        </w:rPr>
        <w:t xml:space="preserve">  </w:t>
      </w:r>
    </w:p>
    <w:p w:rsidR="00EF3D9A" w:rsidRPr="00151881" w:rsidP="00665026" w14:paraId="515CBFCA" w14:textId="77777777">
      <w:pPr>
        <w:numPr>
          <w:ilvl w:val="0"/>
          <w:numId w:val="11"/>
        </w:numPr>
        <w:spacing w:after="0" w:line="240" w:lineRule="auto"/>
        <w:rPr>
          <w:rFonts w:cstheme="minorHAnsi"/>
        </w:rPr>
      </w:pPr>
      <w:r w:rsidRPr="00151881">
        <w:rPr>
          <w:rFonts w:cstheme="minorHAnsi"/>
        </w:rPr>
        <w:t>The severity of the nonattainment problem varies among the designated areas</w:t>
      </w:r>
      <w:r w:rsidRPr="00EE4D40">
        <w:rPr>
          <w:rFonts w:cstheme="minorHAnsi"/>
        </w:rPr>
        <w:t>;</w:t>
      </w:r>
    </w:p>
    <w:p w:rsidR="00EF3D9A" w:rsidRPr="00151881" w:rsidP="00665026" w14:paraId="6E368C69" w14:textId="77777777">
      <w:pPr>
        <w:numPr>
          <w:ilvl w:val="0"/>
          <w:numId w:val="11"/>
        </w:numPr>
        <w:spacing w:after="0" w:line="240" w:lineRule="auto"/>
        <w:rPr>
          <w:rFonts w:cstheme="minorHAnsi"/>
        </w:rPr>
      </w:pPr>
      <w:r w:rsidRPr="00151881">
        <w:rPr>
          <w:rFonts w:cstheme="minorHAnsi"/>
        </w:rPr>
        <w:t>Certain areas or portions of areas may already have developed and implemented RACT requirements</w:t>
      </w:r>
      <w:r w:rsidRPr="00EE4D40">
        <w:rPr>
          <w:rFonts w:cstheme="minorHAnsi"/>
        </w:rPr>
        <w:t xml:space="preserve">; </w:t>
      </w:r>
    </w:p>
    <w:p w:rsidR="00EF3D9A" w:rsidRPr="00151881" w:rsidP="00665026" w14:paraId="3DB584CB" w14:textId="77777777">
      <w:pPr>
        <w:numPr>
          <w:ilvl w:val="0"/>
          <w:numId w:val="11"/>
        </w:numPr>
        <w:spacing w:after="0" w:line="240" w:lineRule="auto"/>
        <w:rPr>
          <w:rFonts w:cstheme="minorHAnsi"/>
        </w:rPr>
      </w:pPr>
      <w:r w:rsidRPr="00151881">
        <w:rPr>
          <w:rFonts w:cstheme="minorHAnsi"/>
        </w:rPr>
        <w:t xml:space="preserve">Some areas may have future predicted 8-hour </w:t>
      </w:r>
      <w:r>
        <w:rPr>
          <w:rFonts w:cstheme="minorHAnsi"/>
        </w:rPr>
        <w:t>ozone</w:t>
      </w:r>
      <w:r w:rsidRPr="00151881">
        <w:rPr>
          <w:rFonts w:cstheme="minorHAnsi"/>
        </w:rPr>
        <w:t xml:space="preserve"> desi</w:t>
      </w:r>
      <w:r w:rsidRPr="00EE4D40">
        <w:rPr>
          <w:rFonts w:cstheme="minorHAnsi"/>
        </w:rPr>
        <w:t>gn values that demonstrate expeditious attainment within three years of designation under baseline con</w:t>
      </w:r>
      <w:r w:rsidRPr="00151881">
        <w:rPr>
          <w:rFonts w:cstheme="minorHAnsi"/>
        </w:rPr>
        <w:t>ditions</w:t>
      </w:r>
      <w:r w:rsidRPr="00EE4D40">
        <w:rPr>
          <w:rFonts w:cstheme="minorHAnsi"/>
        </w:rPr>
        <w:t>; and</w:t>
      </w:r>
    </w:p>
    <w:p w:rsidR="00EF3D9A" w:rsidRPr="00151881" w:rsidP="00665026" w14:paraId="77B421E8" w14:textId="77777777">
      <w:pPr>
        <w:numPr>
          <w:ilvl w:val="0"/>
          <w:numId w:val="10"/>
        </w:numPr>
        <w:tabs>
          <w:tab w:val="num" w:pos="1080"/>
        </w:tabs>
        <w:spacing w:after="0" w:line="240" w:lineRule="auto"/>
        <w:ind w:left="1080"/>
        <w:rPr>
          <w:rFonts w:cstheme="minorHAnsi"/>
        </w:rPr>
      </w:pPr>
      <w:r w:rsidRPr="00151881">
        <w:rPr>
          <w:rFonts w:cstheme="minorHAnsi"/>
        </w:rPr>
        <w:t xml:space="preserve">Some areas may fulfill the RFP requirement </w:t>
      </w:r>
      <w:r w:rsidRPr="008D0A3D">
        <w:rPr>
          <w:rFonts w:cstheme="minorHAnsi"/>
        </w:rPr>
        <w:t>because of</w:t>
      </w:r>
      <w:r w:rsidRPr="00151881">
        <w:rPr>
          <w:rFonts w:cstheme="minorHAnsi"/>
        </w:rPr>
        <w:t xml:space="preserve"> creditable emissions reductions resulting from federal rules that reduce </w:t>
      </w:r>
      <w:r>
        <w:rPr>
          <w:rFonts w:cstheme="minorHAnsi"/>
        </w:rPr>
        <w:t>ozone</w:t>
      </w:r>
      <w:r w:rsidRPr="00151881">
        <w:rPr>
          <w:rFonts w:cstheme="minorHAnsi"/>
        </w:rPr>
        <w:t xml:space="preserve"> precursor emissions.</w:t>
      </w:r>
    </w:p>
    <w:p w:rsidR="00587C1E" w:rsidP="00EF3D9A" w14:paraId="79FBC69E" w14:textId="77777777">
      <w:pPr>
        <w:rPr>
          <w:rFonts w:cstheme="minorHAnsi"/>
          <w:b/>
        </w:rPr>
      </w:pPr>
    </w:p>
    <w:p w:rsidR="00EF3D9A" w:rsidRPr="00151881" w:rsidP="00EF3D9A" w14:paraId="26D8CC59" w14:textId="000925CD">
      <w:pPr>
        <w:rPr>
          <w:rFonts w:cstheme="minorHAnsi"/>
        </w:rPr>
      </w:pPr>
      <w:r w:rsidRPr="00151881">
        <w:rPr>
          <w:rFonts w:cstheme="minorHAnsi"/>
          <w:b/>
        </w:rPr>
        <w:t xml:space="preserve">2008 </w:t>
      </w:r>
      <w:r>
        <w:rPr>
          <w:rFonts w:cstheme="minorHAnsi"/>
          <w:b/>
        </w:rPr>
        <w:t>Ozone</w:t>
      </w:r>
      <w:r w:rsidRPr="00151881">
        <w:rPr>
          <w:rFonts w:cstheme="minorHAnsi"/>
          <w:b/>
        </w:rPr>
        <w:t xml:space="preserve"> NAAQS</w:t>
      </w:r>
      <w:r w:rsidRPr="00151881">
        <w:rPr>
          <w:rFonts w:cstheme="minorHAnsi"/>
        </w:rPr>
        <w:t>. As of April 2024, there were 1</w:t>
      </w:r>
      <w:r>
        <w:rPr>
          <w:rFonts w:cstheme="minorHAnsi"/>
        </w:rPr>
        <w:t>9</w:t>
      </w:r>
      <w:r w:rsidRPr="00151881">
        <w:rPr>
          <w:rFonts w:cstheme="minorHAnsi"/>
        </w:rPr>
        <w:t xml:space="preserve"> nonattainment areas, </w:t>
      </w:r>
      <w:r>
        <w:rPr>
          <w:rFonts w:cstheme="minorHAnsi"/>
        </w:rPr>
        <w:t>25</w:t>
      </w:r>
      <w:r w:rsidRPr="00151881">
        <w:rPr>
          <w:rFonts w:cstheme="minorHAnsi"/>
        </w:rPr>
        <w:t xml:space="preserve"> total respondents, that are eligible or may be eligible for redesignation to attainment for the 2008 </w:t>
      </w:r>
      <w:r>
        <w:rPr>
          <w:rFonts w:cstheme="minorHAnsi"/>
        </w:rPr>
        <w:t>ozone</w:t>
      </w:r>
      <w:r w:rsidRPr="00151881">
        <w:rPr>
          <w:rFonts w:cstheme="minorHAnsi"/>
        </w:rPr>
        <w:t xml:space="preserve"> NAAQS</w:t>
      </w:r>
      <w:r>
        <w:rPr>
          <w:rFonts w:cstheme="minorHAnsi"/>
        </w:rPr>
        <w:t>. It</w:t>
      </w:r>
      <w:r w:rsidRPr="00151881">
        <w:rPr>
          <w:rFonts w:cstheme="minorHAnsi"/>
        </w:rPr>
        <w:t xml:space="preserve"> is the responsibility of the state to request redesignation to attainment. During the ICR renewal period, we anticipate that </w:t>
      </w:r>
      <w:r>
        <w:rPr>
          <w:rFonts w:cstheme="minorHAnsi"/>
        </w:rPr>
        <w:t xml:space="preserve">one Severe-15, </w:t>
      </w:r>
      <w:r w:rsidRPr="00151881">
        <w:rPr>
          <w:rFonts w:cstheme="minorHAnsi"/>
        </w:rPr>
        <w:t xml:space="preserve">two Serious, </w:t>
      </w:r>
      <w:r>
        <w:rPr>
          <w:rFonts w:cstheme="minorHAnsi"/>
        </w:rPr>
        <w:t>two</w:t>
      </w:r>
      <w:r w:rsidRPr="00151881">
        <w:rPr>
          <w:rFonts w:cstheme="minorHAnsi"/>
        </w:rPr>
        <w:t xml:space="preserve"> Moderate, and </w:t>
      </w:r>
      <w:r>
        <w:rPr>
          <w:rFonts w:cstheme="minorHAnsi"/>
        </w:rPr>
        <w:t>fourteen</w:t>
      </w:r>
      <w:r w:rsidRPr="00151881">
        <w:rPr>
          <w:rFonts w:cstheme="minorHAnsi"/>
        </w:rPr>
        <w:t xml:space="preserve"> Marginal areas with one multi-state area may attain the 2008 </w:t>
      </w:r>
      <w:r>
        <w:rPr>
          <w:rFonts w:cstheme="minorHAnsi"/>
        </w:rPr>
        <w:t>Ozone</w:t>
      </w:r>
      <w:r w:rsidRPr="00151881">
        <w:rPr>
          <w:rFonts w:cstheme="minorHAnsi"/>
        </w:rPr>
        <w:t xml:space="preserve"> NAAQS. These </w:t>
      </w:r>
      <w:r>
        <w:rPr>
          <w:rFonts w:cstheme="minorHAnsi"/>
        </w:rPr>
        <w:t>25</w:t>
      </w:r>
      <w:r w:rsidRPr="00151881">
        <w:rPr>
          <w:rFonts w:cstheme="minorHAnsi"/>
        </w:rPr>
        <w:t xml:space="preserve"> areas are listed in Table 6. The EPA </w:t>
      </w:r>
      <w:r>
        <w:rPr>
          <w:rFonts w:cstheme="minorHAnsi"/>
        </w:rPr>
        <w:t xml:space="preserve">estimates an additional state burden of 1,000 hours per area (or state portion of each area) to develop and submit the redesignation request, and </w:t>
      </w:r>
      <w:r w:rsidRPr="00151881">
        <w:rPr>
          <w:rFonts w:cstheme="minorHAnsi"/>
        </w:rPr>
        <w:t xml:space="preserve">these estimates are consistent with estimates from previous ICRs. </w:t>
      </w:r>
    </w:p>
    <w:p w:rsidR="00EF3D9A" w:rsidRPr="00151881" w:rsidP="00EF3D9A" w14:paraId="1965A757" w14:textId="77777777">
      <w:pPr>
        <w:rPr>
          <w:rFonts w:cstheme="minorHAnsi"/>
        </w:rPr>
      </w:pPr>
      <w:r w:rsidRPr="00151881">
        <w:rPr>
          <w:rFonts w:cstheme="minorHAnsi"/>
          <w:b/>
          <w:bCs/>
        </w:rPr>
        <w:t>2008 Second MPs.</w:t>
      </w:r>
      <w:r w:rsidRPr="00151881">
        <w:rPr>
          <w:rFonts w:cstheme="minorHAnsi"/>
        </w:rPr>
        <w:t xml:space="preserve"> Additionally, </w:t>
      </w:r>
      <w:r>
        <w:rPr>
          <w:rFonts w:cstheme="minorHAnsi"/>
        </w:rPr>
        <w:t>6 nonattainment areas, 3 multi-state areas, and 10 states total</w:t>
      </w:r>
      <w:r w:rsidRPr="00151881">
        <w:rPr>
          <w:rFonts w:cstheme="minorHAnsi"/>
        </w:rPr>
        <w:t xml:space="preserve"> have second maintenance plans due during this ICR period. The EPA is estimating an additional state burden of 100 hours per area (or state portion of each area) to develop and submit second maintenance plans.</w:t>
      </w:r>
    </w:p>
    <w:p w:rsidR="00EF3D9A" w:rsidRPr="00151881" w:rsidP="00EF3D9A" w14:paraId="5DC905D2" w14:textId="77777777">
      <w:pPr>
        <w:rPr>
          <w:rFonts w:cstheme="minorHAnsi"/>
        </w:rPr>
      </w:pPr>
      <w:r w:rsidRPr="00151881">
        <w:rPr>
          <w:rFonts w:cstheme="minorHAnsi"/>
          <w:b/>
        </w:rPr>
        <w:t xml:space="preserve">2015 </w:t>
      </w:r>
      <w:r>
        <w:rPr>
          <w:rFonts w:cstheme="minorHAnsi"/>
          <w:b/>
        </w:rPr>
        <w:t>Ozone</w:t>
      </w:r>
      <w:r w:rsidRPr="00151881">
        <w:rPr>
          <w:rFonts w:cstheme="minorHAnsi"/>
          <w:b/>
        </w:rPr>
        <w:t xml:space="preserve"> NAAQS.</w:t>
      </w:r>
      <w:r w:rsidRPr="00EE4D40">
        <w:rPr>
          <w:rFonts w:cstheme="minorHAnsi"/>
        </w:rPr>
        <w:t xml:space="preserve">  </w:t>
      </w:r>
      <w:r w:rsidRPr="00151881">
        <w:rPr>
          <w:rFonts w:cstheme="minorHAnsi"/>
        </w:rPr>
        <w:t xml:space="preserve">As of April 2024, </w:t>
      </w:r>
      <w:r w:rsidRPr="00EE4D40">
        <w:rPr>
          <w:rFonts w:cstheme="minorHAnsi"/>
        </w:rPr>
        <w:t xml:space="preserve">19 nonattainment areas were classified as Moderate </w:t>
      </w:r>
      <w:r w:rsidRPr="00151881">
        <w:rPr>
          <w:rFonts w:cstheme="minorHAnsi"/>
        </w:rPr>
        <w:t xml:space="preserve">for the 2015 </w:t>
      </w:r>
      <w:r>
        <w:rPr>
          <w:rFonts w:cstheme="minorHAnsi"/>
        </w:rPr>
        <w:t>Ozone</w:t>
      </w:r>
      <w:r w:rsidRPr="00151881">
        <w:rPr>
          <w:rFonts w:cstheme="minorHAnsi"/>
        </w:rPr>
        <w:t xml:space="preserve"> NAAQS. We anticipate that 26 state portions of those nonattainment areas may fail to attain the </w:t>
      </w:r>
      <w:r w:rsidRPr="00151881">
        <w:rPr>
          <w:rFonts w:cstheme="minorHAnsi"/>
        </w:rPr>
        <w:t xml:space="preserve">2015 </w:t>
      </w:r>
      <w:r>
        <w:rPr>
          <w:rFonts w:cstheme="minorHAnsi"/>
        </w:rPr>
        <w:t>ozone</w:t>
      </w:r>
      <w:r w:rsidRPr="00151881">
        <w:rPr>
          <w:rFonts w:cstheme="minorHAnsi"/>
        </w:rPr>
        <w:t xml:space="preserve"> standard by the Moderate attainment date of August 3, 2024. Those areas that fail to attain by the attainment date will be reclassified </w:t>
      </w:r>
      <w:r w:rsidRPr="00EE4D40">
        <w:rPr>
          <w:rFonts w:cstheme="minorHAnsi"/>
        </w:rPr>
        <w:t>as Serious, and those states will be responsible for developing</w:t>
      </w:r>
      <w:r w:rsidRPr="00151881">
        <w:rPr>
          <w:rFonts w:cstheme="minorHAnsi"/>
        </w:rPr>
        <w:t xml:space="preserve"> Serious area plans. Table 1 lists these areas, most of which have been working </w:t>
      </w:r>
      <w:r>
        <w:rPr>
          <w:rFonts w:cstheme="minorHAnsi"/>
        </w:rPr>
        <w:t xml:space="preserve">to improve ozone air quality for several years </w:t>
      </w:r>
      <w:r w:rsidRPr="00151881">
        <w:rPr>
          <w:rFonts w:cstheme="minorHAnsi"/>
        </w:rPr>
        <w:t>through state-enforceable rules. Thus, the programs and regulations already in place offer a starting point for states to develop additional control strategies to meet their Severe area requirements. We have estimated a state burden of 5,000 hours per area (or state portion of each area) for these areas to meet the additional Severe area requirements</w:t>
      </w:r>
      <w:r>
        <w:rPr>
          <w:rFonts w:cstheme="minorHAnsi"/>
        </w:rPr>
        <w:t>.</w:t>
      </w:r>
    </w:p>
    <w:p w:rsidR="00EF3D9A" w:rsidRPr="00151881" w:rsidP="00EF3D9A" w14:paraId="59A043D3" w14:textId="09CC4DCF">
      <w:pPr>
        <w:rPr>
          <w:rFonts w:cstheme="minorHAnsi"/>
        </w:rPr>
      </w:pPr>
      <w:r w:rsidRPr="00EE4D40">
        <w:rPr>
          <w:rFonts w:cstheme="minorHAnsi"/>
        </w:rPr>
        <w:t xml:space="preserve">In addition, </w:t>
      </w:r>
      <w:r>
        <w:rPr>
          <w:rFonts w:cstheme="minorHAnsi"/>
        </w:rPr>
        <w:t>8</w:t>
      </w:r>
      <w:r w:rsidRPr="00EE4D40">
        <w:rPr>
          <w:rFonts w:cstheme="minorHAnsi"/>
        </w:rPr>
        <w:t xml:space="preserve"> nonattainment areas across </w:t>
      </w:r>
      <w:r>
        <w:rPr>
          <w:rFonts w:cstheme="minorHAnsi"/>
        </w:rPr>
        <w:t>8</w:t>
      </w:r>
      <w:r w:rsidRPr="00EE4D40">
        <w:rPr>
          <w:rFonts w:cstheme="minorHAnsi"/>
        </w:rPr>
        <w:t xml:space="preserve"> states are</w:t>
      </w:r>
      <w:r w:rsidRPr="00151881">
        <w:rPr>
          <w:rFonts w:cstheme="minorHAnsi"/>
        </w:rPr>
        <w:t xml:space="preserve"> eligible or may become eligible for redesignation to attainment for the 2015 </w:t>
      </w:r>
      <w:r>
        <w:rPr>
          <w:rFonts w:cstheme="minorHAnsi"/>
        </w:rPr>
        <w:t>ozone</w:t>
      </w:r>
      <w:r w:rsidRPr="00151881">
        <w:rPr>
          <w:rFonts w:cstheme="minorHAnsi"/>
        </w:rPr>
        <w:t xml:space="preserve"> NAAQS</w:t>
      </w:r>
      <w:r>
        <w:rPr>
          <w:rFonts w:cstheme="minorHAnsi"/>
        </w:rPr>
        <w:t>; it</w:t>
      </w:r>
      <w:r w:rsidRPr="00151881">
        <w:rPr>
          <w:rFonts w:cstheme="minorHAnsi"/>
        </w:rPr>
        <w:t xml:space="preserve"> is the responsibility of each state to request redesignation to attainment. During the ICR renewal period, we anticipate that </w:t>
      </w:r>
      <w:r>
        <w:rPr>
          <w:rFonts w:cstheme="minorHAnsi"/>
        </w:rPr>
        <w:t>1 Serious and 7</w:t>
      </w:r>
      <w:r w:rsidRPr="00151881">
        <w:rPr>
          <w:rFonts w:cstheme="minorHAnsi"/>
        </w:rPr>
        <w:t xml:space="preserve"> Marginal nonattainment areas may attain the 2015 </w:t>
      </w:r>
      <w:r>
        <w:rPr>
          <w:rFonts w:cstheme="minorHAnsi"/>
        </w:rPr>
        <w:t>Ozone</w:t>
      </w:r>
      <w:r w:rsidRPr="00151881">
        <w:rPr>
          <w:rFonts w:cstheme="minorHAnsi"/>
        </w:rPr>
        <w:t xml:space="preserve"> NAAQS. These </w:t>
      </w:r>
      <w:r>
        <w:rPr>
          <w:rFonts w:cstheme="minorHAnsi"/>
        </w:rPr>
        <w:t>8</w:t>
      </w:r>
      <w:r w:rsidRPr="00151881">
        <w:rPr>
          <w:rFonts w:cstheme="minorHAnsi"/>
        </w:rPr>
        <w:t xml:space="preserve"> areas are listed in Table 5. The EPA </w:t>
      </w:r>
      <w:r>
        <w:rPr>
          <w:rFonts w:cstheme="minorHAnsi"/>
        </w:rPr>
        <w:t xml:space="preserve">estimates an additional state burden of 1,000 hours per area (or state portion of each area) to develop and submit the redesignation request, and </w:t>
      </w:r>
      <w:r w:rsidRPr="00151881">
        <w:rPr>
          <w:rFonts w:cstheme="minorHAnsi"/>
        </w:rPr>
        <w:t>these estimates are consistent with estimates from previous ICRs.</w:t>
      </w:r>
    </w:p>
    <w:p w:rsidR="00EF3D9A" w:rsidRPr="00EF3D9A" w:rsidP="00EF3D9A" w14:paraId="43EC8938" w14:textId="2F4851F8">
      <w:pPr>
        <w:rPr>
          <w:rFonts w:cstheme="minorHAnsi"/>
          <w:b/>
          <w:bCs/>
        </w:rPr>
      </w:pPr>
      <w:r w:rsidRPr="00151881">
        <w:rPr>
          <w:rFonts w:cstheme="minorHAnsi"/>
          <w:b/>
          <w:bCs/>
        </w:rPr>
        <w:t>Combined Estimated Burden.</w:t>
      </w:r>
      <w:r w:rsidRPr="00151881">
        <w:rPr>
          <w:rFonts w:cstheme="minorHAnsi"/>
        </w:rPr>
        <w:t xml:space="preserve"> Because of the front-loaded state burden to develop SIP revisions, </w:t>
      </w:r>
      <w:r>
        <w:rPr>
          <w:rFonts w:cstheme="minorHAnsi"/>
        </w:rPr>
        <w:t>r</w:t>
      </w:r>
      <w:r w:rsidRPr="00151881">
        <w:rPr>
          <w:rFonts w:cstheme="minorHAnsi"/>
        </w:rPr>
        <w:t>edesignation requests, and second maintenance plans</w:t>
      </w:r>
      <w:r>
        <w:rPr>
          <w:rFonts w:cstheme="minorHAnsi"/>
        </w:rPr>
        <w:t>, states often spend</w:t>
      </w:r>
      <w:r w:rsidRPr="00151881">
        <w:rPr>
          <w:rFonts w:cstheme="minorHAnsi"/>
        </w:rPr>
        <w:t xml:space="preserve"> 50% of the total estimated incremental burden in the 1</w:t>
      </w:r>
      <w:r w:rsidRPr="00151881">
        <w:rPr>
          <w:rFonts w:cstheme="minorHAnsi"/>
          <w:vertAlign w:val="superscript"/>
        </w:rPr>
        <w:t>st</w:t>
      </w:r>
      <w:r w:rsidRPr="00151881">
        <w:rPr>
          <w:rFonts w:cstheme="minorHAnsi"/>
        </w:rPr>
        <w:t xml:space="preserve"> year and 25% in the 2</w:t>
      </w:r>
      <w:r w:rsidRPr="00151881">
        <w:rPr>
          <w:rFonts w:cstheme="minorHAnsi"/>
          <w:vertAlign w:val="superscript"/>
        </w:rPr>
        <w:t>nd</w:t>
      </w:r>
      <w:r w:rsidRPr="00151881">
        <w:rPr>
          <w:rFonts w:cstheme="minorHAnsi"/>
        </w:rPr>
        <w:t xml:space="preserve"> and 3</w:t>
      </w:r>
      <w:r w:rsidRPr="00151881">
        <w:rPr>
          <w:rFonts w:cstheme="minorHAnsi"/>
          <w:vertAlign w:val="superscript"/>
        </w:rPr>
        <w:t>rd</w:t>
      </w:r>
      <w:r w:rsidRPr="00151881">
        <w:rPr>
          <w:rFonts w:cstheme="minorHAnsi"/>
        </w:rPr>
        <w:t xml:space="preserve"> years of the ICR period. Table 8 provides the estimated incremental burden for SIP revisions due from states for all of the listed 8-hour </w:t>
      </w:r>
      <w:r>
        <w:rPr>
          <w:rFonts w:cstheme="minorHAnsi"/>
        </w:rPr>
        <w:t>ozone</w:t>
      </w:r>
      <w:r w:rsidRPr="00151881">
        <w:rPr>
          <w:rFonts w:cstheme="minorHAnsi"/>
        </w:rPr>
        <w:t xml:space="preserve"> requirements.</w:t>
      </w:r>
      <w:r w:rsidRPr="00EE4D40">
        <w:rPr>
          <w:rFonts w:cstheme="minorHAnsi"/>
        </w:rPr>
        <w:t xml:space="preserve">  </w:t>
      </w:r>
      <w:r w:rsidRPr="00151881">
        <w:rPr>
          <w:rFonts w:cstheme="minorHAnsi"/>
        </w:rPr>
        <w:t>This estimated incremental burden is for each state to submit the required SIP revisions during the ICR period.</w:t>
      </w:r>
      <w:r w:rsidRPr="00EE4D40">
        <w:rPr>
          <w:rFonts w:cstheme="minorHAnsi"/>
        </w:rPr>
        <w:t xml:space="preserve">  </w:t>
      </w:r>
    </w:p>
    <w:p w:rsidR="00EF3D9A" w:rsidRPr="00151881" w:rsidP="00EF3D9A" w14:paraId="443286E3" w14:textId="77777777">
      <w:pPr>
        <w:rPr>
          <w:rFonts w:cstheme="minorHAnsi"/>
          <w:b/>
        </w:rPr>
      </w:pPr>
      <w:bookmarkStart w:id="34" w:name="RANGE!F4:K26"/>
      <w:bookmarkEnd w:id="34"/>
      <w:r w:rsidRPr="00151881">
        <w:rPr>
          <w:rFonts w:cstheme="minorHAnsi"/>
          <w:b/>
        </w:rPr>
        <w:t>Table 8.</w:t>
      </w:r>
      <w:r w:rsidRPr="00EE4D40">
        <w:rPr>
          <w:rFonts w:cstheme="minorHAnsi"/>
          <w:b/>
        </w:rPr>
        <w:t xml:space="preserve">  </w:t>
      </w:r>
      <w:r w:rsidRPr="00151881">
        <w:rPr>
          <w:rFonts w:cstheme="minorHAnsi"/>
          <w:b/>
        </w:rPr>
        <w:t xml:space="preserve">Estimated Incremental Burden for SIP revisions due from states for all of the listed 8-hour </w:t>
      </w:r>
      <w:r>
        <w:rPr>
          <w:rFonts w:cstheme="minorHAnsi"/>
          <w:b/>
        </w:rPr>
        <w:t>ozone</w:t>
      </w:r>
      <w:r w:rsidRPr="00151881">
        <w:rPr>
          <w:rFonts w:cstheme="minorHAnsi"/>
          <w:b/>
        </w:rPr>
        <w:t xml:space="preserve"> requirements. Including 2015 NAAQS Moderate to Serious reclassification, 2008 NAAQS second maintenance plans, and Affected States to Request Redesignation to Attainment.</w:t>
      </w:r>
    </w:p>
    <w:p w:rsidR="00EF3D9A" w:rsidRPr="00151881" w:rsidP="00EF3D9A" w14:paraId="616D87F5" w14:textId="77777777">
      <w:pPr>
        <w:ind w:left="720"/>
        <w:rPr>
          <w:rFonts w:cstheme="minorHAnsi"/>
          <w:b/>
        </w:rPr>
      </w:pPr>
    </w:p>
    <w:tbl>
      <w:tblPr>
        <w:tblStyle w:val="TableGrid"/>
        <w:tblW w:w="5000" w:type="pct"/>
        <w:tblLook w:val="04A0"/>
      </w:tblPr>
      <w:tblGrid>
        <w:gridCol w:w="819"/>
        <w:gridCol w:w="1257"/>
        <w:gridCol w:w="2738"/>
        <w:gridCol w:w="1608"/>
        <w:gridCol w:w="1464"/>
        <w:gridCol w:w="1464"/>
      </w:tblGrid>
      <w:tr w14:paraId="504434AB" w14:textId="77777777" w:rsidTr="006D0304">
        <w:tblPrEx>
          <w:tblW w:w="5000" w:type="pct"/>
          <w:tblLook w:val="04A0"/>
        </w:tblPrEx>
        <w:trPr>
          <w:trHeight w:val="593"/>
        </w:trPr>
        <w:tc>
          <w:tcPr>
            <w:tcW w:w="438" w:type="pct"/>
            <w:noWrap/>
            <w:hideMark/>
          </w:tcPr>
          <w:p w:rsidR="00EF3D9A" w:rsidP="006D0304" w14:paraId="4205A582" w14:textId="77777777">
            <w:pPr>
              <w:rPr>
                <w:b/>
                <w:bCs/>
              </w:rPr>
            </w:pPr>
            <w:r>
              <w:rPr>
                <w:b/>
                <w:bCs/>
              </w:rPr>
              <w:t>State</w:t>
            </w:r>
          </w:p>
        </w:tc>
        <w:tc>
          <w:tcPr>
            <w:tcW w:w="672" w:type="pct"/>
            <w:hideMark/>
          </w:tcPr>
          <w:p w:rsidR="00EF3D9A" w:rsidP="006D0304" w14:paraId="6DAB4E75" w14:textId="77777777">
            <w:pPr>
              <w:jc w:val="center"/>
              <w:rPr>
                <w:b/>
                <w:bCs/>
              </w:rPr>
            </w:pPr>
            <w:r>
              <w:rPr>
                <w:b/>
                <w:bCs/>
              </w:rPr>
              <w:t>EPA Region</w:t>
            </w:r>
          </w:p>
        </w:tc>
        <w:tc>
          <w:tcPr>
            <w:tcW w:w="1464" w:type="pct"/>
            <w:hideMark/>
          </w:tcPr>
          <w:p w:rsidR="00EF3D9A" w:rsidP="006D0304" w14:paraId="5FEDBD5D" w14:textId="77777777">
            <w:pPr>
              <w:jc w:val="center"/>
              <w:rPr>
                <w:b/>
                <w:bCs/>
                <w:sz w:val="20"/>
                <w:szCs w:val="20"/>
              </w:rPr>
            </w:pPr>
            <w:r>
              <w:rPr>
                <w:b/>
                <w:bCs/>
                <w:sz w:val="20"/>
                <w:szCs w:val="20"/>
              </w:rPr>
              <w:t>No. of Areas or Parts of Areas or OTR States</w:t>
            </w:r>
          </w:p>
        </w:tc>
        <w:tc>
          <w:tcPr>
            <w:tcW w:w="860" w:type="pct"/>
            <w:hideMark/>
          </w:tcPr>
          <w:p w:rsidR="00EF3D9A" w:rsidP="006D0304" w14:paraId="3E867120" w14:textId="77777777">
            <w:pPr>
              <w:jc w:val="center"/>
              <w:rPr>
                <w:b/>
                <w:bCs/>
                <w:sz w:val="20"/>
                <w:szCs w:val="20"/>
              </w:rPr>
            </w:pPr>
            <w:r>
              <w:rPr>
                <w:b/>
                <w:bCs/>
                <w:sz w:val="20"/>
                <w:szCs w:val="20"/>
              </w:rPr>
              <w:t>Additional hours Year 1</w:t>
            </w:r>
          </w:p>
        </w:tc>
        <w:tc>
          <w:tcPr>
            <w:tcW w:w="783" w:type="pct"/>
            <w:hideMark/>
          </w:tcPr>
          <w:p w:rsidR="00EF3D9A" w:rsidP="006D0304" w14:paraId="46AEB862" w14:textId="77777777">
            <w:pPr>
              <w:jc w:val="center"/>
              <w:rPr>
                <w:b/>
                <w:bCs/>
                <w:sz w:val="20"/>
                <w:szCs w:val="20"/>
              </w:rPr>
            </w:pPr>
            <w:r>
              <w:rPr>
                <w:b/>
                <w:bCs/>
                <w:sz w:val="20"/>
                <w:szCs w:val="20"/>
              </w:rPr>
              <w:t>Additional hours Year 2</w:t>
            </w:r>
          </w:p>
        </w:tc>
        <w:tc>
          <w:tcPr>
            <w:tcW w:w="783" w:type="pct"/>
            <w:hideMark/>
          </w:tcPr>
          <w:p w:rsidR="00EF3D9A" w:rsidP="006D0304" w14:paraId="37E466B0" w14:textId="77777777">
            <w:pPr>
              <w:jc w:val="center"/>
              <w:rPr>
                <w:b/>
                <w:bCs/>
                <w:sz w:val="20"/>
                <w:szCs w:val="20"/>
              </w:rPr>
            </w:pPr>
            <w:r>
              <w:rPr>
                <w:b/>
                <w:bCs/>
                <w:sz w:val="20"/>
                <w:szCs w:val="20"/>
              </w:rPr>
              <w:t>Additional hours Year 3</w:t>
            </w:r>
          </w:p>
        </w:tc>
      </w:tr>
      <w:tr w14:paraId="7F933A56" w14:textId="77777777" w:rsidTr="006D0304">
        <w:tblPrEx>
          <w:tblW w:w="5000" w:type="pct"/>
          <w:tblLook w:val="04A0"/>
        </w:tblPrEx>
        <w:trPr>
          <w:trHeight w:val="251"/>
        </w:trPr>
        <w:tc>
          <w:tcPr>
            <w:tcW w:w="438" w:type="pct"/>
            <w:noWrap/>
            <w:hideMark/>
          </w:tcPr>
          <w:p w:rsidR="00EF3D9A" w:rsidP="006D0304" w14:paraId="63A56FF1" w14:textId="77777777">
            <w:pPr>
              <w:rPr>
                <w:rFonts w:ascii="Calibri" w:hAnsi="Calibri" w:cs="Calibri"/>
                <w:color w:val="000000"/>
              </w:rPr>
            </w:pPr>
            <w:r>
              <w:rPr>
                <w:rFonts w:ascii="Calibri" w:hAnsi="Calibri" w:cs="Calibri"/>
                <w:color w:val="000000"/>
              </w:rPr>
              <w:t>AZ</w:t>
            </w:r>
          </w:p>
        </w:tc>
        <w:tc>
          <w:tcPr>
            <w:tcW w:w="672" w:type="pct"/>
            <w:noWrap/>
            <w:hideMark/>
          </w:tcPr>
          <w:p w:rsidR="00EF3D9A" w:rsidP="006D0304" w14:paraId="5CC45900" w14:textId="77777777">
            <w:pPr>
              <w:jc w:val="right"/>
              <w:rPr>
                <w:rFonts w:ascii="Calibri" w:hAnsi="Calibri" w:cs="Calibri"/>
                <w:color w:val="000000"/>
              </w:rPr>
            </w:pPr>
            <w:r>
              <w:rPr>
                <w:rFonts w:ascii="Calibri" w:hAnsi="Calibri" w:cs="Calibri"/>
                <w:color w:val="000000"/>
              </w:rPr>
              <w:t>9</w:t>
            </w:r>
          </w:p>
        </w:tc>
        <w:tc>
          <w:tcPr>
            <w:tcW w:w="1464" w:type="pct"/>
            <w:noWrap/>
            <w:hideMark/>
          </w:tcPr>
          <w:p w:rsidR="00EF3D9A" w:rsidP="006D0304" w14:paraId="739736C7" w14:textId="77777777">
            <w:pPr>
              <w:jc w:val="right"/>
              <w:rPr>
                <w:rFonts w:ascii="Calibri" w:hAnsi="Calibri" w:cs="Calibri"/>
                <w:color w:val="000000"/>
              </w:rPr>
            </w:pPr>
            <w:r>
              <w:rPr>
                <w:rFonts w:ascii="Calibri" w:hAnsi="Calibri" w:cs="Calibri"/>
                <w:color w:val="000000"/>
              </w:rPr>
              <w:t>2</w:t>
            </w:r>
          </w:p>
        </w:tc>
        <w:tc>
          <w:tcPr>
            <w:tcW w:w="860" w:type="pct"/>
            <w:noWrap/>
            <w:hideMark/>
          </w:tcPr>
          <w:p w:rsidR="00EF3D9A" w:rsidP="006D0304" w14:paraId="0B1D7213" w14:textId="77777777">
            <w:pPr>
              <w:jc w:val="right"/>
              <w:rPr>
                <w:rFonts w:ascii="Calibri" w:hAnsi="Calibri" w:cs="Calibri"/>
                <w:color w:val="000000"/>
              </w:rPr>
            </w:pPr>
            <w:r>
              <w:rPr>
                <w:rFonts w:ascii="Calibri" w:hAnsi="Calibri" w:cs="Calibri"/>
                <w:color w:val="000000"/>
              </w:rPr>
              <w:t>3,000</w:t>
            </w:r>
          </w:p>
        </w:tc>
        <w:tc>
          <w:tcPr>
            <w:tcW w:w="783" w:type="pct"/>
            <w:noWrap/>
            <w:hideMark/>
          </w:tcPr>
          <w:p w:rsidR="00EF3D9A" w:rsidP="006D0304" w14:paraId="03ADE719" w14:textId="77777777">
            <w:pPr>
              <w:jc w:val="right"/>
              <w:rPr>
                <w:rFonts w:ascii="Calibri" w:hAnsi="Calibri" w:cs="Calibri"/>
                <w:color w:val="000000"/>
              </w:rPr>
            </w:pPr>
            <w:r>
              <w:rPr>
                <w:rFonts w:ascii="Calibri" w:hAnsi="Calibri" w:cs="Calibri"/>
                <w:color w:val="000000"/>
              </w:rPr>
              <w:t>1,500</w:t>
            </w:r>
          </w:p>
        </w:tc>
        <w:tc>
          <w:tcPr>
            <w:tcW w:w="783" w:type="pct"/>
            <w:noWrap/>
            <w:hideMark/>
          </w:tcPr>
          <w:p w:rsidR="00EF3D9A" w:rsidP="006D0304" w14:paraId="4187534B" w14:textId="77777777">
            <w:pPr>
              <w:jc w:val="right"/>
              <w:rPr>
                <w:rFonts w:ascii="Calibri" w:hAnsi="Calibri" w:cs="Calibri"/>
                <w:color w:val="000000"/>
              </w:rPr>
            </w:pPr>
            <w:r>
              <w:rPr>
                <w:rFonts w:ascii="Calibri" w:hAnsi="Calibri" w:cs="Calibri"/>
                <w:color w:val="000000"/>
              </w:rPr>
              <w:t>1,500</w:t>
            </w:r>
          </w:p>
        </w:tc>
      </w:tr>
      <w:tr w14:paraId="1DFC535B" w14:textId="77777777" w:rsidTr="006D0304">
        <w:tblPrEx>
          <w:tblW w:w="5000" w:type="pct"/>
          <w:tblLook w:val="04A0"/>
        </w:tblPrEx>
        <w:trPr>
          <w:trHeight w:val="270"/>
        </w:trPr>
        <w:tc>
          <w:tcPr>
            <w:tcW w:w="438" w:type="pct"/>
            <w:noWrap/>
            <w:hideMark/>
          </w:tcPr>
          <w:p w:rsidR="00EF3D9A" w:rsidP="006D0304" w14:paraId="4E31EA21" w14:textId="77777777">
            <w:pPr>
              <w:rPr>
                <w:rFonts w:ascii="Calibri" w:hAnsi="Calibri" w:cs="Calibri"/>
                <w:color w:val="000000"/>
              </w:rPr>
            </w:pPr>
            <w:r>
              <w:rPr>
                <w:rFonts w:ascii="Calibri" w:hAnsi="Calibri" w:cs="Calibri"/>
                <w:color w:val="000000"/>
              </w:rPr>
              <w:t>CA</w:t>
            </w:r>
          </w:p>
        </w:tc>
        <w:tc>
          <w:tcPr>
            <w:tcW w:w="672" w:type="pct"/>
            <w:noWrap/>
            <w:hideMark/>
          </w:tcPr>
          <w:p w:rsidR="00EF3D9A" w:rsidP="006D0304" w14:paraId="6BEFDB9D" w14:textId="77777777">
            <w:pPr>
              <w:jc w:val="right"/>
              <w:rPr>
                <w:rFonts w:ascii="Calibri" w:hAnsi="Calibri" w:cs="Calibri"/>
                <w:color w:val="000000"/>
              </w:rPr>
            </w:pPr>
            <w:r>
              <w:rPr>
                <w:rFonts w:ascii="Calibri" w:hAnsi="Calibri" w:cs="Calibri"/>
                <w:color w:val="000000"/>
              </w:rPr>
              <w:t>9</w:t>
            </w:r>
          </w:p>
        </w:tc>
        <w:tc>
          <w:tcPr>
            <w:tcW w:w="1464" w:type="pct"/>
            <w:noWrap/>
            <w:hideMark/>
          </w:tcPr>
          <w:p w:rsidR="00EF3D9A" w:rsidP="006D0304" w14:paraId="6BC8F7E4" w14:textId="77777777">
            <w:pPr>
              <w:jc w:val="right"/>
              <w:rPr>
                <w:rFonts w:ascii="Calibri" w:hAnsi="Calibri" w:cs="Calibri"/>
                <w:color w:val="000000"/>
              </w:rPr>
            </w:pPr>
            <w:r>
              <w:rPr>
                <w:rFonts w:ascii="Calibri" w:hAnsi="Calibri" w:cs="Calibri"/>
                <w:color w:val="000000"/>
              </w:rPr>
              <w:t>16</w:t>
            </w:r>
          </w:p>
        </w:tc>
        <w:tc>
          <w:tcPr>
            <w:tcW w:w="860" w:type="pct"/>
            <w:noWrap/>
            <w:hideMark/>
          </w:tcPr>
          <w:p w:rsidR="00EF3D9A" w:rsidP="006D0304" w14:paraId="17DAC85D" w14:textId="77777777">
            <w:pPr>
              <w:jc w:val="right"/>
              <w:rPr>
                <w:rFonts w:ascii="Calibri" w:hAnsi="Calibri" w:cs="Calibri"/>
                <w:color w:val="000000"/>
              </w:rPr>
            </w:pPr>
            <w:r>
              <w:rPr>
                <w:rFonts w:ascii="Calibri" w:hAnsi="Calibri" w:cs="Calibri"/>
                <w:color w:val="000000"/>
              </w:rPr>
              <w:t>10,000</w:t>
            </w:r>
          </w:p>
        </w:tc>
        <w:tc>
          <w:tcPr>
            <w:tcW w:w="783" w:type="pct"/>
            <w:noWrap/>
            <w:hideMark/>
          </w:tcPr>
          <w:p w:rsidR="00EF3D9A" w:rsidP="006D0304" w14:paraId="3F4545DE" w14:textId="77777777">
            <w:pPr>
              <w:jc w:val="right"/>
              <w:rPr>
                <w:rFonts w:ascii="Calibri" w:hAnsi="Calibri" w:cs="Calibri"/>
                <w:color w:val="000000"/>
              </w:rPr>
            </w:pPr>
            <w:r>
              <w:rPr>
                <w:rFonts w:ascii="Calibri" w:hAnsi="Calibri" w:cs="Calibri"/>
                <w:color w:val="000000"/>
              </w:rPr>
              <w:t>5,000</w:t>
            </w:r>
          </w:p>
        </w:tc>
        <w:tc>
          <w:tcPr>
            <w:tcW w:w="783" w:type="pct"/>
            <w:noWrap/>
            <w:hideMark/>
          </w:tcPr>
          <w:p w:rsidR="00EF3D9A" w:rsidP="006D0304" w14:paraId="5F962452" w14:textId="77777777">
            <w:pPr>
              <w:jc w:val="right"/>
              <w:rPr>
                <w:rFonts w:ascii="Calibri" w:hAnsi="Calibri" w:cs="Calibri"/>
                <w:color w:val="000000"/>
              </w:rPr>
            </w:pPr>
            <w:r>
              <w:rPr>
                <w:rFonts w:ascii="Calibri" w:hAnsi="Calibri" w:cs="Calibri"/>
                <w:color w:val="000000"/>
              </w:rPr>
              <w:t>5,000</w:t>
            </w:r>
          </w:p>
        </w:tc>
      </w:tr>
      <w:tr w14:paraId="41943188" w14:textId="77777777" w:rsidTr="006D0304">
        <w:tblPrEx>
          <w:tblW w:w="5000" w:type="pct"/>
          <w:tblLook w:val="04A0"/>
        </w:tblPrEx>
        <w:trPr>
          <w:trHeight w:val="300"/>
        </w:trPr>
        <w:tc>
          <w:tcPr>
            <w:tcW w:w="438" w:type="pct"/>
            <w:noWrap/>
            <w:hideMark/>
          </w:tcPr>
          <w:p w:rsidR="00EF3D9A" w:rsidP="006D0304" w14:paraId="74167D4F" w14:textId="77777777">
            <w:pPr>
              <w:rPr>
                <w:rFonts w:ascii="Calibri" w:hAnsi="Calibri" w:cs="Calibri"/>
                <w:color w:val="000000"/>
              </w:rPr>
            </w:pPr>
            <w:r>
              <w:rPr>
                <w:rFonts w:ascii="Calibri" w:hAnsi="Calibri" w:cs="Calibri"/>
                <w:color w:val="000000"/>
              </w:rPr>
              <w:t>CO</w:t>
            </w:r>
          </w:p>
        </w:tc>
        <w:tc>
          <w:tcPr>
            <w:tcW w:w="672" w:type="pct"/>
            <w:noWrap/>
            <w:hideMark/>
          </w:tcPr>
          <w:p w:rsidR="00EF3D9A" w:rsidP="006D0304" w14:paraId="1DD222D5" w14:textId="77777777">
            <w:pPr>
              <w:jc w:val="right"/>
              <w:rPr>
                <w:rFonts w:ascii="Calibri" w:hAnsi="Calibri" w:cs="Calibri"/>
                <w:color w:val="000000"/>
              </w:rPr>
            </w:pPr>
            <w:r>
              <w:rPr>
                <w:rFonts w:ascii="Calibri" w:hAnsi="Calibri" w:cs="Calibri"/>
                <w:color w:val="000000"/>
              </w:rPr>
              <w:t>8</w:t>
            </w:r>
          </w:p>
        </w:tc>
        <w:tc>
          <w:tcPr>
            <w:tcW w:w="1464" w:type="pct"/>
            <w:noWrap/>
            <w:hideMark/>
          </w:tcPr>
          <w:p w:rsidR="00EF3D9A" w:rsidP="006D0304" w14:paraId="218F04D8"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06B9A68B" w14:textId="77777777">
            <w:pPr>
              <w:jc w:val="right"/>
              <w:rPr>
                <w:rFonts w:ascii="Calibri" w:hAnsi="Calibri" w:cs="Calibri"/>
                <w:color w:val="000000"/>
              </w:rPr>
            </w:pPr>
            <w:r>
              <w:rPr>
                <w:rFonts w:ascii="Calibri" w:hAnsi="Calibri" w:cs="Calibri"/>
                <w:color w:val="000000"/>
              </w:rPr>
              <w:t>2,500</w:t>
            </w:r>
          </w:p>
        </w:tc>
        <w:tc>
          <w:tcPr>
            <w:tcW w:w="783" w:type="pct"/>
            <w:noWrap/>
            <w:hideMark/>
          </w:tcPr>
          <w:p w:rsidR="00EF3D9A" w:rsidP="006D0304" w14:paraId="1B36CE55" w14:textId="77777777">
            <w:pPr>
              <w:jc w:val="right"/>
              <w:rPr>
                <w:rFonts w:ascii="Calibri" w:hAnsi="Calibri" w:cs="Calibri"/>
                <w:color w:val="000000"/>
              </w:rPr>
            </w:pPr>
            <w:r>
              <w:rPr>
                <w:rFonts w:ascii="Calibri" w:hAnsi="Calibri" w:cs="Calibri"/>
                <w:color w:val="000000"/>
              </w:rPr>
              <w:t>1,250</w:t>
            </w:r>
          </w:p>
        </w:tc>
        <w:tc>
          <w:tcPr>
            <w:tcW w:w="783" w:type="pct"/>
            <w:noWrap/>
            <w:hideMark/>
          </w:tcPr>
          <w:p w:rsidR="00EF3D9A" w:rsidP="006D0304" w14:paraId="20965053" w14:textId="77777777">
            <w:pPr>
              <w:jc w:val="right"/>
              <w:rPr>
                <w:rFonts w:ascii="Calibri" w:hAnsi="Calibri" w:cs="Calibri"/>
                <w:color w:val="000000"/>
              </w:rPr>
            </w:pPr>
            <w:r>
              <w:rPr>
                <w:rFonts w:ascii="Calibri" w:hAnsi="Calibri" w:cs="Calibri"/>
                <w:color w:val="000000"/>
              </w:rPr>
              <w:t>1,250</w:t>
            </w:r>
          </w:p>
        </w:tc>
      </w:tr>
      <w:tr w14:paraId="6173E601" w14:textId="77777777" w:rsidTr="006D0304">
        <w:tblPrEx>
          <w:tblW w:w="5000" w:type="pct"/>
          <w:tblLook w:val="04A0"/>
        </w:tblPrEx>
        <w:trPr>
          <w:trHeight w:val="300"/>
        </w:trPr>
        <w:tc>
          <w:tcPr>
            <w:tcW w:w="438" w:type="pct"/>
            <w:noWrap/>
            <w:hideMark/>
          </w:tcPr>
          <w:p w:rsidR="00EF3D9A" w:rsidP="006D0304" w14:paraId="6D3CFCC7" w14:textId="77777777">
            <w:pPr>
              <w:rPr>
                <w:rFonts w:ascii="Calibri" w:hAnsi="Calibri" w:cs="Calibri"/>
                <w:color w:val="000000"/>
              </w:rPr>
            </w:pPr>
            <w:r>
              <w:rPr>
                <w:rFonts w:ascii="Calibri" w:hAnsi="Calibri" w:cs="Calibri"/>
                <w:color w:val="000000"/>
              </w:rPr>
              <w:t>CT</w:t>
            </w:r>
          </w:p>
        </w:tc>
        <w:tc>
          <w:tcPr>
            <w:tcW w:w="672" w:type="pct"/>
            <w:noWrap/>
            <w:hideMark/>
          </w:tcPr>
          <w:p w:rsidR="00EF3D9A" w:rsidP="006D0304" w14:paraId="57BA5E58" w14:textId="77777777">
            <w:pPr>
              <w:jc w:val="right"/>
              <w:rPr>
                <w:rFonts w:ascii="Calibri" w:hAnsi="Calibri" w:cs="Calibri"/>
                <w:color w:val="000000"/>
              </w:rPr>
            </w:pPr>
            <w:r>
              <w:rPr>
                <w:rFonts w:ascii="Calibri" w:hAnsi="Calibri" w:cs="Calibri"/>
                <w:color w:val="000000"/>
              </w:rPr>
              <w:t>1</w:t>
            </w:r>
          </w:p>
        </w:tc>
        <w:tc>
          <w:tcPr>
            <w:tcW w:w="1464" w:type="pct"/>
            <w:noWrap/>
            <w:hideMark/>
          </w:tcPr>
          <w:p w:rsidR="00EF3D9A" w:rsidP="006D0304" w14:paraId="23C24025"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6E238DAD" w14:textId="77777777">
            <w:pPr>
              <w:jc w:val="right"/>
              <w:rPr>
                <w:rFonts w:ascii="Calibri" w:hAnsi="Calibri" w:cs="Calibri"/>
                <w:color w:val="000000"/>
              </w:rPr>
            </w:pPr>
            <w:r>
              <w:rPr>
                <w:rFonts w:ascii="Calibri" w:hAnsi="Calibri" w:cs="Calibri"/>
                <w:color w:val="000000"/>
              </w:rPr>
              <w:t>5,500</w:t>
            </w:r>
          </w:p>
        </w:tc>
        <w:tc>
          <w:tcPr>
            <w:tcW w:w="783" w:type="pct"/>
            <w:noWrap/>
            <w:hideMark/>
          </w:tcPr>
          <w:p w:rsidR="00EF3D9A" w:rsidP="006D0304" w14:paraId="64FF1590" w14:textId="77777777">
            <w:pPr>
              <w:jc w:val="right"/>
              <w:rPr>
                <w:rFonts w:ascii="Calibri" w:hAnsi="Calibri" w:cs="Calibri"/>
                <w:color w:val="000000"/>
              </w:rPr>
            </w:pPr>
            <w:r>
              <w:rPr>
                <w:rFonts w:ascii="Calibri" w:hAnsi="Calibri" w:cs="Calibri"/>
                <w:color w:val="000000"/>
              </w:rPr>
              <w:t>2,750</w:t>
            </w:r>
          </w:p>
        </w:tc>
        <w:tc>
          <w:tcPr>
            <w:tcW w:w="783" w:type="pct"/>
            <w:noWrap/>
            <w:hideMark/>
          </w:tcPr>
          <w:p w:rsidR="00EF3D9A" w:rsidP="006D0304" w14:paraId="28EB2EEC" w14:textId="77777777">
            <w:pPr>
              <w:jc w:val="right"/>
              <w:rPr>
                <w:rFonts w:ascii="Calibri" w:hAnsi="Calibri" w:cs="Calibri"/>
                <w:color w:val="000000"/>
              </w:rPr>
            </w:pPr>
            <w:r>
              <w:rPr>
                <w:rFonts w:ascii="Calibri" w:hAnsi="Calibri" w:cs="Calibri"/>
                <w:color w:val="000000"/>
              </w:rPr>
              <w:t>2,750</w:t>
            </w:r>
          </w:p>
        </w:tc>
      </w:tr>
      <w:tr w14:paraId="5616AE2D" w14:textId="77777777" w:rsidTr="006D0304">
        <w:tblPrEx>
          <w:tblW w:w="5000" w:type="pct"/>
          <w:tblLook w:val="04A0"/>
        </w:tblPrEx>
        <w:trPr>
          <w:trHeight w:val="300"/>
        </w:trPr>
        <w:tc>
          <w:tcPr>
            <w:tcW w:w="438" w:type="pct"/>
            <w:noWrap/>
            <w:hideMark/>
          </w:tcPr>
          <w:p w:rsidR="00EF3D9A" w:rsidP="006D0304" w14:paraId="364B9F23" w14:textId="77777777">
            <w:pPr>
              <w:rPr>
                <w:rFonts w:ascii="Calibri" w:hAnsi="Calibri" w:cs="Calibri"/>
                <w:color w:val="000000"/>
              </w:rPr>
            </w:pPr>
            <w:r>
              <w:rPr>
                <w:rFonts w:ascii="Calibri" w:hAnsi="Calibri" w:cs="Calibri"/>
                <w:color w:val="000000"/>
              </w:rPr>
              <w:t>DC</w:t>
            </w:r>
          </w:p>
        </w:tc>
        <w:tc>
          <w:tcPr>
            <w:tcW w:w="672" w:type="pct"/>
            <w:noWrap/>
            <w:hideMark/>
          </w:tcPr>
          <w:p w:rsidR="00EF3D9A" w:rsidP="006D0304" w14:paraId="0E24D557" w14:textId="77777777">
            <w:pPr>
              <w:jc w:val="right"/>
              <w:rPr>
                <w:rFonts w:ascii="Calibri" w:hAnsi="Calibri" w:cs="Calibri"/>
                <w:color w:val="000000"/>
              </w:rPr>
            </w:pPr>
            <w:r>
              <w:rPr>
                <w:rFonts w:ascii="Calibri" w:hAnsi="Calibri" w:cs="Calibri"/>
                <w:color w:val="000000"/>
              </w:rPr>
              <w:t>1</w:t>
            </w:r>
          </w:p>
        </w:tc>
        <w:tc>
          <w:tcPr>
            <w:tcW w:w="1464" w:type="pct"/>
            <w:noWrap/>
            <w:hideMark/>
          </w:tcPr>
          <w:p w:rsidR="00EF3D9A" w:rsidP="006D0304" w14:paraId="361912FE"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7AFA7070"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74B8748B"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635BDC13" w14:textId="77777777">
            <w:pPr>
              <w:jc w:val="right"/>
              <w:rPr>
                <w:rFonts w:ascii="Calibri" w:hAnsi="Calibri" w:cs="Calibri"/>
                <w:color w:val="000000"/>
              </w:rPr>
            </w:pPr>
            <w:r>
              <w:rPr>
                <w:rFonts w:ascii="Calibri" w:hAnsi="Calibri" w:cs="Calibri"/>
                <w:color w:val="000000"/>
              </w:rPr>
              <w:t>25</w:t>
            </w:r>
          </w:p>
        </w:tc>
      </w:tr>
      <w:tr w14:paraId="56D5F795" w14:textId="77777777" w:rsidTr="006D0304">
        <w:tblPrEx>
          <w:tblW w:w="5000" w:type="pct"/>
          <w:tblLook w:val="04A0"/>
        </w:tblPrEx>
        <w:trPr>
          <w:trHeight w:val="300"/>
        </w:trPr>
        <w:tc>
          <w:tcPr>
            <w:tcW w:w="438" w:type="pct"/>
            <w:noWrap/>
            <w:hideMark/>
          </w:tcPr>
          <w:p w:rsidR="00EF3D9A" w:rsidP="006D0304" w14:paraId="3F24D60E" w14:textId="77777777">
            <w:pPr>
              <w:rPr>
                <w:rFonts w:ascii="Calibri" w:hAnsi="Calibri" w:cs="Calibri"/>
                <w:color w:val="000000"/>
              </w:rPr>
            </w:pPr>
            <w:r>
              <w:rPr>
                <w:rFonts w:ascii="Calibri" w:hAnsi="Calibri" w:cs="Calibri"/>
                <w:color w:val="000000"/>
              </w:rPr>
              <w:t>DE</w:t>
            </w:r>
          </w:p>
        </w:tc>
        <w:tc>
          <w:tcPr>
            <w:tcW w:w="672" w:type="pct"/>
            <w:noWrap/>
            <w:hideMark/>
          </w:tcPr>
          <w:p w:rsidR="00EF3D9A" w:rsidP="006D0304" w14:paraId="0334AB89" w14:textId="77777777">
            <w:pPr>
              <w:jc w:val="right"/>
              <w:rPr>
                <w:rFonts w:ascii="Calibri" w:hAnsi="Calibri" w:cs="Calibri"/>
                <w:color w:val="000000"/>
              </w:rPr>
            </w:pPr>
            <w:r>
              <w:rPr>
                <w:rFonts w:ascii="Calibri" w:hAnsi="Calibri" w:cs="Calibri"/>
                <w:color w:val="000000"/>
              </w:rPr>
              <w:t>3</w:t>
            </w:r>
          </w:p>
        </w:tc>
        <w:tc>
          <w:tcPr>
            <w:tcW w:w="1464" w:type="pct"/>
            <w:noWrap/>
            <w:hideMark/>
          </w:tcPr>
          <w:p w:rsidR="00EF3D9A" w:rsidP="006D0304" w14:paraId="16A54F15"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5ED7A7D4" w14:textId="77777777">
            <w:pPr>
              <w:jc w:val="right"/>
              <w:rPr>
                <w:rFonts w:ascii="Calibri" w:hAnsi="Calibri" w:cs="Calibri"/>
                <w:color w:val="000000"/>
              </w:rPr>
            </w:pPr>
            <w:r>
              <w:rPr>
                <w:rFonts w:ascii="Calibri" w:hAnsi="Calibri" w:cs="Calibri"/>
                <w:color w:val="000000"/>
              </w:rPr>
              <w:t>3,500</w:t>
            </w:r>
          </w:p>
        </w:tc>
        <w:tc>
          <w:tcPr>
            <w:tcW w:w="783" w:type="pct"/>
            <w:noWrap/>
            <w:hideMark/>
          </w:tcPr>
          <w:p w:rsidR="00EF3D9A" w:rsidP="006D0304" w14:paraId="124E60A3" w14:textId="77777777">
            <w:pPr>
              <w:jc w:val="right"/>
              <w:rPr>
                <w:rFonts w:ascii="Calibri" w:hAnsi="Calibri" w:cs="Calibri"/>
                <w:color w:val="000000"/>
              </w:rPr>
            </w:pPr>
            <w:r>
              <w:rPr>
                <w:rFonts w:ascii="Calibri" w:hAnsi="Calibri" w:cs="Calibri"/>
                <w:color w:val="000000"/>
              </w:rPr>
              <w:t>1,750</w:t>
            </w:r>
          </w:p>
        </w:tc>
        <w:tc>
          <w:tcPr>
            <w:tcW w:w="783" w:type="pct"/>
            <w:noWrap/>
            <w:hideMark/>
          </w:tcPr>
          <w:p w:rsidR="00EF3D9A" w:rsidP="006D0304" w14:paraId="63DE00EA" w14:textId="77777777">
            <w:pPr>
              <w:jc w:val="right"/>
              <w:rPr>
                <w:rFonts w:ascii="Calibri" w:hAnsi="Calibri" w:cs="Calibri"/>
                <w:color w:val="000000"/>
              </w:rPr>
            </w:pPr>
            <w:r>
              <w:rPr>
                <w:rFonts w:ascii="Calibri" w:hAnsi="Calibri" w:cs="Calibri"/>
                <w:color w:val="000000"/>
              </w:rPr>
              <w:t>1,750</w:t>
            </w:r>
          </w:p>
        </w:tc>
      </w:tr>
      <w:tr w14:paraId="02DE3D23" w14:textId="77777777" w:rsidTr="006D0304">
        <w:tblPrEx>
          <w:tblW w:w="5000" w:type="pct"/>
          <w:tblLook w:val="04A0"/>
        </w:tblPrEx>
        <w:trPr>
          <w:trHeight w:val="300"/>
        </w:trPr>
        <w:tc>
          <w:tcPr>
            <w:tcW w:w="438" w:type="pct"/>
            <w:noWrap/>
            <w:hideMark/>
          </w:tcPr>
          <w:p w:rsidR="00EF3D9A" w:rsidP="006D0304" w14:paraId="69880284" w14:textId="77777777">
            <w:pPr>
              <w:rPr>
                <w:rFonts w:ascii="Calibri" w:hAnsi="Calibri" w:cs="Calibri"/>
                <w:color w:val="000000"/>
              </w:rPr>
            </w:pPr>
            <w:r>
              <w:rPr>
                <w:rFonts w:ascii="Calibri" w:hAnsi="Calibri" w:cs="Calibri"/>
                <w:color w:val="000000"/>
              </w:rPr>
              <w:t>GA</w:t>
            </w:r>
          </w:p>
        </w:tc>
        <w:tc>
          <w:tcPr>
            <w:tcW w:w="672" w:type="pct"/>
            <w:noWrap/>
            <w:hideMark/>
          </w:tcPr>
          <w:p w:rsidR="00EF3D9A" w:rsidP="006D0304" w14:paraId="21D577AB" w14:textId="77777777">
            <w:pPr>
              <w:jc w:val="right"/>
              <w:rPr>
                <w:rFonts w:ascii="Calibri" w:hAnsi="Calibri" w:cs="Calibri"/>
                <w:color w:val="000000"/>
              </w:rPr>
            </w:pPr>
            <w:r>
              <w:rPr>
                <w:rFonts w:ascii="Calibri" w:hAnsi="Calibri" w:cs="Calibri"/>
                <w:color w:val="000000"/>
              </w:rPr>
              <w:t>4</w:t>
            </w:r>
          </w:p>
        </w:tc>
        <w:tc>
          <w:tcPr>
            <w:tcW w:w="1464" w:type="pct"/>
            <w:noWrap/>
            <w:hideMark/>
          </w:tcPr>
          <w:p w:rsidR="00EF3D9A" w:rsidP="006D0304" w14:paraId="155C9C50"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1CE55D97"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264429FF"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200BE1B2" w14:textId="77777777">
            <w:pPr>
              <w:jc w:val="right"/>
              <w:rPr>
                <w:rFonts w:ascii="Calibri" w:hAnsi="Calibri" w:cs="Calibri"/>
                <w:color w:val="000000"/>
              </w:rPr>
            </w:pPr>
            <w:r>
              <w:rPr>
                <w:rFonts w:ascii="Calibri" w:hAnsi="Calibri" w:cs="Calibri"/>
                <w:color w:val="000000"/>
              </w:rPr>
              <w:t>25</w:t>
            </w:r>
          </w:p>
        </w:tc>
      </w:tr>
      <w:tr w14:paraId="23CCC1F4" w14:textId="77777777" w:rsidTr="006D0304">
        <w:tblPrEx>
          <w:tblW w:w="5000" w:type="pct"/>
          <w:tblLook w:val="04A0"/>
        </w:tblPrEx>
        <w:trPr>
          <w:trHeight w:val="300"/>
        </w:trPr>
        <w:tc>
          <w:tcPr>
            <w:tcW w:w="438" w:type="pct"/>
            <w:noWrap/>
            <w:hideMark/>
          </w:tcPr>
          <w:p w:rsidR="00EF3D9A" w:rsidP="006D0304" w14:paraId="22DC2888" w14:textId="77777777">
            <w:pPr>
              <w:rPr>
                <w:rFonts w:ascii="Calibri" w:hAnsi="Calibri" w:cs="Calibri"/>
                <w:color w:val="000000"/>
              </w:rPr>
            </w:pPr>
            <w:r>
              <w:rPr>
                <w:rFonts w:ascii="Calibri" w:hAnsi="Calibri" w:cs="Calibri"/>
                <w:color w:val="000000"/>
              </w:rPr>
              <w:t>IL</w:t>
            </w:r>
          </w:p>
        </w:tc>
        <w:tc>
          <w:tcPr>
            <w:tcW w:w="672" w:type="pct"/>
            <w:noWrap/>
            <w:hideMark/>
          </w:tcPr>
          <w:p w:rsidR="00EF3D9A" w:rsidP="006D0304" w14:paraId="730BA174" w14:textId="77777777">
            <w:pPr>
              <w:jc w:val="right"/>
              <w:rPr>
                <w:rFonts w:ascii="Calibri" w:hAnsi="Calibri" w:cs="Calibri"/>
                <w:color w:val="000000"/>
              </w:rPr>
            </w:pPr>
            <w:r>
              <w:rPr>
                <w:rFonts w:ascii="Calibri" w:hAnsi="Calibri" w:cs="Calibri"/>
                <w:color w:val="000000"/>
              </w:rPr>
              <w:t>5</w:t>
            </w:r>
          </w:p>
        </w:tc>
        <w:tc>
          <w:tcPr>
            <w:tcW w:w="1464" w:type="pct"/>
            <w:noWrap/>
            <w:hideMark/>
          </w:tcPr>
          <w:p w:rsidR="00EF3D9A" w:rsidP="006D0304" w14:paraId="203DCAE4" w14:textId="77777777">
            <w:pPr>
              <w:jc w:val="right"/>
              <w:rPr>
                <w:rFonts w:ascii="Calibri" w:hAnsi="Calibri" w:cs="Calibri"/>
                <w:color w:val="000000"/>
              </w:rPr>
            </w:pPr>
            <w:r>
              <w:rPr>
                <w:rFonts w:ascii="Calibri" w:hAnsi="Calibri" w:cs="Calibri"/>
                <w:color w:val="000000"/>
              </w:rPr>
              <w:t>2</w:t>
            </w:r>
          </w:p>
        </w:tc>
        <w:tc>
          <w:tcPr>
            <w:tcW w:w="860" w:type="pct"/>
            <w:noWrap/>
            <w:hideMark/>
          </w:tcPr>
          <w:p w:rsidR="00EF3D9A" w:rsidP="006D0304" w14:paraId="7D9D4818" w14:textId="77777777">
            <w:pPr>
              <w:jc w:val="right"/>
              <w:rPr>
                <w:rFonts w:ascii="Calibri" w:hAnsi="Calibri" w:cs="Calibri"/>
                <w:color w:val="000000"/>
              </w:rPr>
            </w:pPr>
            <w:r>
              <w:rPr>
                <w:rFonts w:ascii="Calibri" w:hAnsi="Calibri" w:cs="Calibri"/>
                <w:color w:val="000000"/>
              </w:rPr>
              <w:t>2,550</w:t>
            </w:r>
          </w:p>
        </w:tc>
        <w:tc>
          <w:tcPr>
            <w:tcW w:w="783" w:type="pct"/>
            <w:noWrap/>
            <w:hideMark/>
          </w:tcPr>
          <w:p w:rsidR="00EF3D9A" w:rsidP="006D0304" w14:paraId="15E3B490" w14:textId="77777777">
            <w:pPr>
              <w:jc w:val="right"/>
              <w:rPr>
                <w:rFonts w:ascii="Calibri" w:hAnsi="Calibri" w:cs="Calibri"/>
                <w:color w:val="000000"/>
              </w:rPr>
            </w:pPr>
            <w:r>
              <w:rPr>
                <w:rFonts w:ascii="Calibri" w:hAnsi="Calibri" w:cs="Calibri"/>
                <w:color w:val="000000"/>
              </w:rPr>
              <w:t>1,275</w:t>
            </w:r>
          </w:p>
        </w:tc>
        <w:tc>
          <w:tcPr>
            <w:tcW w:w="783" w:type="pct"/>
            <w:noWrap/>
            <w:hideMark/>
          </w:tcPr>
          <w:p w:rsidR="00EF3D9A" w:rsidP="006D0304" w14:paraId="5B92A4E5" w14:textId="77777777">
            <w:pPr>
              <w:jc w:val="right"/>
              <w:rPr>
                <w:rFonts w:ascii="Calibri" w:hAnsi="Calibri" w:cs="Calibri"/>
                <w:color w:val="000000"/>
              </w:rPr>
            </w:pPr>
            <w:r>
              <w:rPr>
                <w:rFonts w:ascii="Calibri" w:hAnsi="Calibri" w:cs="Calibri"/>
                <w:color w:val="000000"/>
              </w:rPr>
              <w:t>1,275</w:t>
            </w:r>
          </w:p>
        </w:tc>
      </w:tr>
      <w:tr w14:paraId="37318B3E" w14:textId="77777777" w:rsidTr="006D0304">
        <w:tblPrEx>
          <w:tblW w:w="5000" w:type="pct"/>
          <w:tblLook w:val="04A0"/>
        </w:tblPrEx>
        <w:trPr>
          <w:trHeight w:val="300"/>
        </w:trPr>
        <w:tc>
          <w:tcPr>
            <w:tcW w:w="438" w:type="pct"/>
            <w:noWrap/>
            <w:hideMark/>
          </w:tcPr>
          <w:p w:rsidR="00EF3D9A" w:rsidP="006D0304" w14:paraId="0139828A" w14:textId="77777777">
            <w:pPr>
              <w:rPr>
                <w:rFonts w:ascii="Calibri" w:hAnsi="Calibri" w:cs="Calibri"/>
                <w:color w:val="000000"/>
              </w:rPr>
            </w:pPr>
            <w:r>
              <w:rPr>
                <w:rFonts w:ascii="Calibri" w:hAnsi="Calibri" w:cs="Calibri"/>
                <w:color w:val="000000"/>
              </w:rPr>
              <w:t>IN</w:t>
            </w:r>
          </w:p>
        </w:tc>
        <w:tc>
          <w:tcPr>
            <w:tcW w:w="672" w:type="pct"/>
            <w:noWrap/>
            <w:hideMark/>
          </w:tcPr>
          <w:p w:rsidR="00EF3D9A" w:rsidP="006D0304" w14:paraId="165193E5" w14:textId="77777777">
            <w:pPr>
              <w:jc w:val="right"/>
              <w:rPr>
                <w:rFonts w:ascii="Calibri" w:hAnsi="Calibri" w:cs="Calibri"/>
                <w:color w:val="000000"/>
              </w:rPr>
            </w:pPr>
            <w:r>
              <w:rPr>
                <w:rFonts w:ascii="Calibri" w:hAnsi="Calibri" w:cs="Calibri"/>
                <w:color w:val="000000"/>
              </w:rPr>
              <w:t>5</w:t>
            </w:r>
          </w:p>
        </w:tc>
        <w:tc>
          <w:tcPr>
            <w:tcW w:w="1464" w:type="pct"/>
            <w:noWrap/>
            <w:hideMark/>
          </w:tcPr>
          <w:p w:rsidR="00EF3D9A" w:rsidP="006D0304" w14:paraId="52A36EAA" w14:textId="77777777">
            <w:pPr>
              <w:jc w:val="right"/>
              <w:rPr>
                <w:rFonts w:ascii="Calibri" w:hAnsi="Calibri" w:cs="Calibri"/>
                <w:color w:val="000000"/>
              </w:rPr>
            </w:pPr>
            <w:r>
              <w:rPr>
                <w:rFonts w:ascii="Calibri" w:hAnsi="Calibri" w:cs="Calibri"/>
                <w:color w:val="000000"/>
              </w:rPr>
              <w:t>2</w:t>
            </w:r>
          </w:p>
        </w:tc>
        <w:tc>
          <w:tcPr>
            <w:tcW w:w="860" w:type="pct"/>
            <w:noWrap/>
            <w:hideMark/>
          </w:tcPr>
          <w:p w:rsidR="00EF3D9A" w:rsidP="006D0304" w14:paraId="62D9571F" w14:textId="77777777">
            <w:pPr>
              <w:jc w:val="right"/>
              <w:rPr>
                <w:rFonts w:ascii="Calibri" w:hAnsi="Calibri" w:cs="Calibri"/>
                <w:color w:val="000000"/>
              </w:rPr>
            </w:pPr>
            <w:r>
              <w:rPr>
                <w:rFonts w:ascii="Calibri" w:hAnsi="Calibri" w:cs="Calibri"/>
                <w:color w:val="000000"/>
              </w:rPr>
              <w:t>2,550</w:t>
            </w:r>
          </w:p>
        </w:tc>
        <w:tc>
          <w:tcPr>
            <w:tcW w:w="783" w:type="pct"/>
            <w:noWrap/>
            <w:hideMark/>
          </w:tcPr>
          <w:p w:rsidR="00EF3D9A" w:rsidP="006D0304" w14:paraId="46F01CDF" w14:textId="77777777">
            <w:pPr>
              <w:jc w:val="right"/>
              <w:rPr>
                <w:rFonts w:ascii="Calibri" w:hAnsi="Calibri" w:cs="Calibri"/>
                <w:color w:val="000000"/>
              </w:rPr>
            </w:pPr>
            <w:r>
              <w:rPr>
                <w:rFonts w:ascii="Calibri" w:hAnsi="Calibri" w:cs="Calibri"/>
                <w:color w:val="000000"/>
              </w:rPr>
              <w:t>1,275</w:t>
            </w:r>
          </w:p>
        </w:tc>
        <w:tc>
          <w:tcPr>
            <w:tcW w:w="783" w:type="pct"/>
            <w:noWrap/>
            <w:hideMark/>
          </w:tcPr>
          <w:p w:rsidR="00EF3D9A" w:rsidP="006D0304" w14:paraId="04908456" w14:textId="77777777">
            <w:pPr>
              <w:jc w:val="right"/>
              <w:rPr>
                <w:rFonts w:ascii="Calibri" w:hAnsi="Calibri" w:cs="Calibri"/>
                <w:color w:val="000000"/>
              </w:rPr>
            </w:pPr>
            <w:r>
              <w:rPr>
                <w:rFonts w:ascii="Calibri" w:hAnsi="Calibri" w:cs="Calibri"/>
                <w:color w:val="000000"/>
              </w:rPr>
              <w:t>1,275</w:t>
            </w:r>
          </w:p>
        </w:tc>
      </w:tr>
      <w:tr w14:paraId="00C13F37" w14:textId="77777777" w:rsidTr="006D0304">
        <w:tblPrEx>
          <w:tblW w:w="5000" w:type="pct"/>
          <w:tblLook w:val="04A0"/>
        </w:tblPrEx>
        <w:trPr>
          <w:trHeight w:val="300"/>
        </w:trPr>
        <w:tc>
          <w:tcPr>
            <w:tcW w:w="438" w:type="pct"/>
            <w:noWrap/>
            <w:hideMark/>
          </w:tcPr>
          <w:p w:rsidR="00EF3D9A" w:rsidP="006D0304" w14:paraId="02B7A59D" w14:textId="77777777">
            <w:pPr>
              <w:rPr>
                <w:rFonts w:ascii="Calibri" w:hAnsi="Calibri" w:cs="Calibri"/>
                <w:color w:val="000000"/>
              </w:rPr>
            </w:pPr>
            <w:r>
              <w:rPr>
                <w:rFonts w:ascii="Calibri" w:hAnsi="Calibri" w:cs="Calibri"/>
                <w:color w:val="000000"/>
              </w:rPr>
              <w:t>KY</w:t>
            </w:r>
          </w:p>
        </w:tc>
        <w:tc>
          <w:tcPr>
            <w:tcW w:w="672" w:type="pct"/>
            <w:noWrap/>
            <w:hideMark/>
          </w:tcPr>
          <w:p w:rsidR="00EF3D9A" w:rsidP="006D0304" w14:paraId="5A593493" w14:textId="77777777">
            <w:pPr>
              <w:jc w:val="right"/>
              <w:rPr>
                <w:rFonts w:ascii="Calibri" w:hAnsi="Calibri" w:cs="Calibri"/>
                <w:color w:val="000000"/>
              </w:rPr>
            </w:pPr>
            <w:r>
              <w:rPr>
                <w:rFonts w:ascii="Calibri" w:hAnsi="Calibri" w:cs="Calibri"/>
                <w:color w:val="000000"/>
              </w:rPr>
              <w:t>4</w:t>
            </w:r>
          </w:p>
        </w:tc>
        <w:tc>
          <w:tcPr>
            <w:tcW w:w="1464" w:type="pct"/>
            <w:noWrap/>
            <w:hideMark/>
          </w:tcPr>
          <w:p w:rsidR="00EF3D9A" w:rsidP="006D0304" w14:paraId="2B42E29E"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3FFC9181"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5766CDFD"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1DF951BB" w14:textId="77777777">
            <w:pPr>
              <w:jc w:val="right"/>
              <w:rPr>
                <w:rFonts w:ascii="Calibri" w:hAnsi="Calibri" w:cs="Calibri"/>
                <w:color w:val="000000"/>
              </w:rPr>
            </w:pPr>
            <w:r>
              <w:rPr>
                <w:rFonts w:ascii="Calibri" w:hAnsi="Calibri" w:cs="Calibri"/>
                <w:color w:val="000000"/>
              </w:rPr>
              <w:t>25</w:t>
            </w:r>
          </w:p>
        </w:tc>
      </w:tr>
      <w:tr w14:paraId="527E9BCF" w14:textId="77777777" w:rsidTr="006D0304">
        <w:tblPrEx>
          <w:tblW w:w="5000" w:type="pct"/>
          <w:tblLook w:val="04A0"/>
        </w:tblPrEx>
        <w:trPr>
          <w:trHeight w:val="300"/>
        </w:trPr>
        <w:tc>
          <w:tcPr>
            <w:tcW w:w="438" w:type="pct"/>
            <w:noWrap/>
            <w:hideMark/>
          </w:tcPr>
          <w:p w:rsidR="00EF3D9A" w:rsidP="006D0304" w14:paraId="10A2D103" w14:textId="77777777">
            <w:pPr>
              <w:rPr>
                <w:rFonts w:ascii="Calibri" w:hAnsi="Calibri" w:cs="Calibri"/>
                <w:color w:val="000000"/>
              </w:rPr>
            </w:pPr>
            <w:r>
              <w:rPr>
                <w:rFonts w:ascii="Calibri" w:hAnsi="Calibri" w:cs="Calibri"/>
                <w:color w:val="000000"/>
              </w:rPr>
              <w:t>LA</w:t>
            </w:r>
          </w:p>
        </w:tc>
        <w:tc>
          <w:tcPr>
            <w:tcW w:w="672" w:type="pct"/>
            <w:noWrap/>
            <w:hideMark/>
          </w:tcPr>
          <w:p w:rsidR="00EF3D9A" w:rsidP="006D0304" w14:paraId="51392420" w14:textId="77777777">
            <w:pPr>
              <w:jc w:val="right"/>
              <w:rPr>
                <w:rFonts w:ascii="Calibri" w:hAnsi="Calibri" w:cs="Calibri"/>
                <w:color w:val="000000"/>
              </w:rPr>
            </w:pPr>
            <w:r>
              <w:rPr>
                <w:rFonts w:ascii="Calibri" w:hAnsi="Calibri" w:cs="Calibri"/>
                <w:color w:val="000000"/>
              </w:rPr>
              <w:t>6</w:t>
            </w:r>
          </w:p>
        </w:tc>
        <w:tc>
          <w:tcPr>
            <w:tcW w:w="1464" w:type="pct"/>
            <w:noWrap/>
            <w:hideMark/>
          </w:tcPr>
          <w:p w:rsidR="00EF3D9A" w:rsidP="006D0304" w14:paraId="182BC245"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61C89CBE"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68321065"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63ABD7B1" w14:textId="77777777">
            <w:pPr>
              <w:jc w:val="right"/>
              <w:rPr>
                <w:rFonts w:ascii="Calibri" w:hAnsi="Calibri" w:cs="Calibri"/>
                <w:color w:val="000000"/>
              </w:rPr>
            </w:pPr>
            <w:r>
              <w:rPr>
                <w:rFonts w:ascii="Calibri" w:hAnsi="Calibri" w:cs="Calibri"/>
                <w:color w:val="000000"/>
              </w:rPr>
              <w:t>25</w:t>
            </w:r>
          </w:p>
        </w:tc>
      </w:tr>
      <w:tr w14:paraId="5308A593" w14:textId="77777777" w:rsidTr="006D0304">
        <w:tblPrEx>
          <w:tblW w:w="5000" w:type="pct"/>
          <w:tblLook w:val="04A0"/>
        </w:tblPrEx>
        <w:trPr>
          <w:trHeight w:val="300"/>
        </w:trPr>
        <w:tc>
          <w:tcPr>
            <w:tcW w:w="438" w:type="pct"/>
            <w:noWrap/>
            <w:hideMark/>
          </w:tcPr>
          <w:p w:rsidR="00EF3D9A" w:rsidP="006D0304" w14:paraId="5E2C2D5D" w14:textId="77777777">
            <w:pPr>
              <w:rPr>
                <w:rFonts w:ascii="Calibri" w:hAnsi="Calibri" w:cs="Calibri"/>
                <w:color w:val="000000"/>
              </w:rPr>
            </w:pPr>
            <w:r>
              <w:rPr>
                <w:rFonts w:ascii="Calibri" w:hAnsi="Calibri" w:cs="Calibri"/>
                <w:color w:val="000000"/>
              </w:rPr>
              <w:t xml:space="preserve">MA </w:t>
            </w:r>
          </w:p>
        </w:tc>
        <w:tc>
          <w:tcPr>
            <w:tcW w:w="672" w:type="pct"/>
            <w:noWrap/>
            <w:hideMark/>
          </w:tcPr>
          <w:p w:rsidR="00EF3D9A" w:rsidP="006D0304" w14:paraId="5FD52878" w14:textId="77777777">
            <w:pPr>
              <w:jc w:val="right"/>
              <w:rPr>
                <w:rFonts w:ascii="Calibri" w:hAnsi="Calibri" w:cs="Calibri"/>
                <w:color w:val="000000"/>
              </w:rPr>
            </w:pPr>
            <w:r>
              <w:rPr>
                <w:rFonts w:ascii="Calibri" w:hAnsi="Calibri" w:cs="Calibri"/>
                <w:color w:val="000000"/>
              </w:rPr>
              <w:t>1</w:t>
            </w:r>
          </w:p>
        </w:tc>
        <w:tc>
          <w:tcPr>
            <w:tcW w:w="1464" w:type="pct"/>
            <w:noWrap/>
            <w:hideMark/>
          </w:tcPr>
          <w:p w:rsidR="00EF3D9A" w:rsidP="006D0304" w14:paraId="0F7E5BB6"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7D911FF8" w14:textId="77777777">
            <w:pPr>
              <w:jc w:val="right"/>
              <w:rPr>
                <w:rFonts w:ascii="Calibri" w:hAnsi="Calibri" w:cs="Calibri"/>
                <w:color w:val="000000"/>
              </w:rPr>
            </w:pPr>
            <w:r>
              <w:rPr>
                <w:rFonts w:ascii="Calibri" w:hAnsi="Calibri" w:cs="Calibri"/>
                <w:color w:val="000000"/>
              </w:rPr>
              <w:t>500</w:t>
            </w:r>
          </w:p>
        </w:tc>
        <w:tc>
          <w:tcPr>
            <w:tcW w:w="783" w:type="pct"/>
            <w:noWrap/>
            <w:hideMark/>
          </w:tcPr>
          <w:p w:rsidR="00EF3D9A" w:rsidP="006D0304" w14:paraId="4384588B" w14:textId="77777777">
            <w:pPr>
              <w:jc w:val="right"/>
              <w:rPr>
                <w:rFonts w:ascii="Calibri" w:hAnsi="Calibri" w:cs="Calibri"/>
                <w:color w:val="000000"/>
              </w:rPr>
            </w:pPr>
            <w:r>
              <w:rPr>
                <w:rFonts w:ascii="Calibri" w:hAnsi="Calibri" w:cs="Calibri"/>
                <w:color w:val="000000"/>
              </w:rPr>
              <w:t>250</w:t>
            </w:r>
          </w:p>
        </w:tc>
        <w:tc>
          <w:tcPr>
            <w:tcW w:w="783" w:type="pct"/>
            <w:noWrap/>
            <w:hideMark/>
          </w:tcPr>
          <w:p w:rsidR="00EF3D9A" w:rsidP="006D0304" w14:paraId="47459241" w14:textId="77777777">
            <w:pPr>
              <w:jc w:val="right"/>
              <w:rPr>
                <w:rFonts w:ascii="Calibri" w:hAnsi="Calibri" w:cs="Calibri"/>
                <w:color w:val="000000"/>
              </w:rPr>
            </w:pPr>
            <w:r>
              <w:rPr>
                <w:rFonts w:ascii="Calibri" w:hAnsi="Calibri" w:cs="Calibri"/>
                <w:color w:val="000000"/>
              </w:rPr>
              <w:t>250</w:t>
            </w:r>
          </w:p>
        </w:tc>
      </w:tr>
      <w:tr w14:paraId="1E63327A" w14:textId="77777777" w:rsidTr="006D0304">
        <w:tblPrEx>
          <w:tblW w:w="5000" w:type="pct"/>
          <w:tblLook w:val="04A0"/>
        </w:tblPrEx>
        <w:trPr>
          <w:trHeight w:val="300"/>
        </w:trPr>
        <w:tc>
          <w:tcPr>
            <w:tcW w:w="438" w:type="pct"/>
            <w:noWrap/>
            <w:hideMark/>
          </w:tcPr>
          <w:p w:rsidR="00EF3D9A" w:rsidP="006D0304" w14:paraId="0DC4C9B4" w14:textId="77777777">
            <w:pPr>
              <w:rPr>
                <w:rFonts w:ascii="Calibri" w:hAnsi="Calibri" w:cs="Calibri"/>
                <w:color w:val="000000"/>
              </w:rPr>
            </w:pPr>
            <w:r>
              <w:rPr>
                <w:rFonts w:ascii="Calibri" w:hAnsi="Calibri" w:cs="Calibri"/>
                <w:color w:val="000000"/>
              </w:rPr>
              <w:t>MD</w:t>
            </w:r>
          </w:p>
        </w:tc>
        <w:tc>
          <w:tcPr>
            <w:tcW w:w="672" w:type="pct"/>
            <w:noWrap/>
            <w:hideMark/>
          </w:tcPr>
          <w:p w:rsidR="00EF3D9A" w:rsidP="006D0304" w14:paraId="517AB4F0" w14:textId="77777777">
            <w:pPr>
              <w:jc w:val="right"/>
              <w:rPr>
                <w:rFonts w:ascii="Calibri" w:hAnsi="Calibri" w:cs="Calibri"/>
                <w:color w:val="000000"/>
              </w:rPr>
            </w:pPr>
            <w:r>
              <w:rPr>
                <w:rFonts w:ascii="Calibri" w:hAnsi="Calibri" w:cs="Calibri"/>
                <w:color w:val="000000"/>
              </w:rPr>
              <w:t>3</w:t>
            </w:r>
          </w:p>
        </w:tc>
        <w:tc>
          <w:tcPr>
            <w:tcW w:w="1464" w:type="pct"/>
            <w:noWrap/>
            <w:hideMark/>
          </w:tcPr>
          <w:p w:rsidR="00EF3D9A" w:rsidP="006D0304" w14:paraId="6B7C3E04" w14:textId="77777777">
            <w:pPr>
              <w:jc w:val="right"/>
              <w:rPr>
                <w:rFonts w:ascii="Calibri" w:hAnsi="Calibri" w:cs="Calibri"/>
                <w:color w:val="000000"/>
              </w:rPr>
            </w:pPr>
            <w:r>
              <w:rPr>
                <w:rFonts w:ascii="Calibri" w:hAnsi="Calibri" w:cs="Calibri"/>
                <w:color w:val="000000"/>
              </w:rPr>
              <w:t>5</w:t>
            </w:r>
          </w:p>
        </w:tc>
        <w:tc>
          <w:tcPr>
            <w:tcW w:w="860" w:type="pct"/>
            <w:noWrap/>
            <w:hideMark/>
          </w:tcPr>
          <w:p w:rsidR="00EF3D9A" w:rsidP="006D0304" w14:paraId="18640FB3" w14:textId="77777777">
            <w:pPr>
              <w:jc w:val="right"/>
              <w:rPr>
                <w:rFonts w:ascii="Calibri" w:hAnsi="Calibri" w:cs="Calibri"/>
                <w:color w:val="000000"/>
              </w:rPr>
            </w:pPr>
            <w:r>
              <w:rPr>
                <w:rFonts w:ascii="Calibri" w:hAnsi="Calibri" w:cs="Calibri"/>
                <w:color w:val="000000"/>
              </w:rPr>
              <w:t>6,050</w:t>
            </w:r>
          </w:p>
        </w:tc>
        <w:tc>
          <w:tcPr>
            <w:tcW w:w="783" w:type="pct"/>
            <w:noWrap/>
            <w:hideMark/>
          </w:tcPr>
          <w:p w:rsidR="00EF3D9A" w:rsidP="006D0304" w14:paraId="51BAFD66" w14:textId="77777777">
            <w:pPr>
              <w:jc w:val="right"/>
              <w:rPr>
                <w:rFonts w:ascii="Calibri" w:hAnsi="Calibri" w:cs="Calibri"/>
                <w:color w:val="000000"/>
              </w:rPr>
            </w:pPr>
            <w:r>
              <w:rPr>
                <w:rFonts w:ascii="Calibri" w:hAnsi="Calibri" w:cs="Calibri"/>
                <w:color w:val="000000"/>
              </w:rPr>
              <w:t>3,025</w:t>
            </w:r>
          </w:p>
        </w:tc>
        <w:tc>
          <w:tcPr>
            <w:tcW w:w="783" w:type="pct"/>
            <w:noWrap/>
            <w:hideMark/>
          </w:tcPr>
          <w:p w:rsidR="00EF3D9A" w:rsidP="006D0304" w14:paraId="0D9814D0" w14:textId="77777777">
            <w:pPr>
              <w:jc w:val="right"/>
              <w:rPr>
                <w:rFonts w:ascii="Calibri" w:hAnsi="Calibri" w:cs="Calibri"/>
                <w:color w:val="000000"/>
              </w:rPr>
            </w:pPr>
            <w:r>
              <w:rPr>
                <w:rFonts w:ascii="Calibri" w:hAnsi="Calibri" w:cs="Calibri"/>
                <w:color w:val="000000"/>
              </w:rPr>
              <w:t>3,025</w:t>
            </w:r>
          </w:p>
        </w:tc>
      </w:tr>
      <w:tr w14:paraId="7C1DA987" w14:textId="77777777" w:rsidTr="006D0304">
        <w:tblPrEx>
          <w:tblW w:w="5000" w:type="pct"/>
          <w:tblLook w:val="04A0"/>
        </w:tblPrEx>
        <w:trPr>
          <w:trHeight w:val="300"/>
        </w:trPr>
        <w:tc>
          <w:tcPr>
            <w:tcW w:w="438" w:type="pct"/>
            <w:noWrap/>
            <w:hideMark/>
          </w:tcPr>
          <w:p w:rsidR="00EF3D9A" w:rsidP="006D0304" w14:paraId="5E942DA9" w14:textId="77777777">
            <w:pPr>
              <w:rPr>
                <w:rFonts w:ascii="Calibri" w:hAnsi="Calibri" w:cs="Calibri"/>
                <w:color w:val="000000"/>
              </w:rPr>
            </w:pPr>
            <w:r>
              <w:rPr>
                <w:rFonts w:ascii="Calibri" w:hAnsi="Calibri" w:cs="Calibri"/>
                <w:color w:val="000000"/>
              </w:rPr>
              <w:t>MI</w:t>
            </w:r>
          </w:p>
        </w:tc>
        <w:tc>
          <w:tcPr>
            <w:tcW w:w="672" w:type="pct"/>
            <w:noWrap/>
            <w:hideMark/>
          </w:tcPr>
          <w:p w:rsidR="00EF3D9A" w:rsidP="006D0304" w14:paraId="75A8A733" w14:textId="77777777">
            <w:pPr>
              <w:jc w:val="right"/>
              <w:rPr>
                <w:rFonts w:ascii="Calibri" w:hAnsi="Calibri" w:cs="Calibri"/>
                <w:color w:val="000000"/>
              </w:rPr>
            </w:pPr>
            <w:r>
              <w:rPr>
                <w:rFonts w:ascii="Calibri" w:hAnsi="Calibri" w:cs="Calibri"/>
                <w:color w:val="000000"/>
              </w:rPr>
              <w:t>5</w:t>
            </w:r>
          </w:p>
        </w:tc>
        <w:tc>
          <w:tcPr>
            <w:tcW w:w="1464" w:type="pct"/>
            <w:noWrap/>
            <w:hideMark/>
          </w:tcPr>
          <w:p w:rsidR="00EF3D9A" w:rsidP="006D0304" w14:paraId="62234490"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7E0A3E05" w14:textId="77777777">
            <w:pPr>
              <w:jc w:val="right"/>
              <w:rPr>
                <w:rFonts w:ascii="Calibri" w:hAnsi="Calibri" w:cs="Calibri"/>
                <w:color w:val="000000"/>
              </w:rPr>
            </w:pPr>
            <w:r>
              <w:rPr>
                <w:rFonts w:ascii="Calibri" w:hAnsi="Calibri" w:cs="Calibri"/>
                <w:color w:val="000000"/>
              </w:rPr>
              <w:t>7,500</w:t>
            </w:r>
          </w:p>
        </w:tc>
        <w:tc>
          <w:tcPr>
            <w:tcW w:w="783" w:type="pct"/>
            <w:noWrap/>
            <w:hideMark/>
          </w:tcPr>
          <w:p w:rsidR="00EF3D9A" w:rsidP="006D0304" w14:paraId="69FA53BA" w14:textId="77777777">
            <w:pPr>
              <w:jc w:val="right"/>
              <w:rPr>
                <w:rFonts w:ascii="Calibri" w:hAnsi="Calibri" w:cs="Calibri"/>
                <w:color w:val="000000"/>
              </w:rPr>
            </w:pPr>
            <w:r>
              <w:rPr>
                <w:rFonts w:ascii="Calibri" w:hAnsi="Calibri" w:cs="Calibri"/>
                <w:color w:val="000000"/>
              </w:rPr>
              <w:t>3,750</w:t>
            </w:r>
          </w:p>
        </w:tc>
        <w:tc>
          <w:tcPr>
            <w:tcW w:w="783" w:type="pct"/>
            <w:noWrap/>
            <w:hideMark/>
          </w:tcPr>
          <w:p w:rsidR="00EF3D9A" w:rsidP="006D0304" w14:paraId="436B07F9" w14:textId="77777777">
            <w:pPr>
              <w:jc w:val="right"/>
              <w:rPr>
                <w:rFonts w:ascii="Calibri" w:hAnsi="Calibri" w:cs="Calibri"/>
                <w:color w:val="000000"/>
              </w:rPr>
            </w:pPr>
            <w:r>
              <w:rPr>
                <w:rFonts w:ascii="Calibri" w:hAnsi="Calibri" w:cs="Calibri"/>
                <w:color w:val="000000"/>
              </w:rPr>
              <w:t>3,750</w:t>
            </w:r>
          </w:p>
        </w:tc>
      </w:tr>
      <w:tr w14:paraId="33622083" w14:textId="77777777" w:rsidTr="006D0304">
        <w:tblPrEx>
          <w:tblW w:w="5000" w:type="pct"/>
          <w:tblLook w:val="04A0"/>
        </w:tblPrEx>
        <w:trPr>
          <w:trHeight w:val="300"/>
        </w:trPr>
        <w:tc>
          <w:tcPr>
            <w:tcW w:w="438" w:type="pct"/>
            <w:noWrap/>
            <w:hideMark/>
          </w:tcPr>
          <w:p w:rsidR="00EF3D9A" w:rsidP="006D0304" w14:paraId="18FDAA97" w14:textId="77777777">
            <w:pPr>
              <w:rPr>
                <w:rFonts w:ascii="Calibri" w:hAnsi="Calibri" w:cs="Calibri"/>
                <w:color w:val="000000"/>
              </w:rPr>
            </w:pPr>
            <w:r>
              <w:rPr>
                <w:rFonts w:ascii="Calibri" w:hAnsi="Calibri" w:cs="Calibri"/>
                <w:color w:val="000000"/>
              </w:rPr>
              <w:t>MO</w:t>
            </w:r>
          </w:p>
        </w:tc>
        <w:tc>
          <w:tcPr>
            <w:tcW w:w="672" w:type="pct"/>
            <w:noWrap/>
            <w:hideMark/>
          </w:tcPr>
          <w:p w:rsidR="00EF3D9A" w:rsidP="006D0304" w14:paraId="568610C9" w14:textId="77777777">
            <w:pPr>
              <w:jc w:val="right"/>
              <w:rPr>
                <w:rFonts w:ascii="Calibri" w:hAnsi="Calibri" w:cs="Calibri"/>
                <w:color w:val="000000"/>
              </w:rPr>
            </w:pPr>
            <w:r>
              <w:rPr>
                <w:rFonts w:ascii="Calibri" w:hAnsi="Calibri" w:cs="Calibri"/>
                <w:color w:val="000000"/>
              </w:rPr>
              <w:t>7</w:t>
            </w:r>
          </w:p>
        </w:tc>
        <w:tc>
          <w:tcPr>
            <w:tcW w:w="1464" w:type="pct"/>
            <w:noWrap/>
            <w:hideMark/>
          </w:tcPr>
          <w:p w:rsidR="00EF3D9A" w:rsidP="006D0304" w14:paraId="703ED61E"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35A93AB4"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383DE455"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396D5BA8" w14:textId="77777777">
            <w:pPr>
              <w:jc w:val="right"/>
              <w:rPr>
                <w:rFonts w:ascii="Calibri" w:hAnsi="Calibri" w:cs="Calibri"/>
                <w:color w:val="000000"/>
              </w:rPr>
            </w:pPr>
            <w:r>
              <w:rPr>
                <w:rFonts w:ascii="Calibri" w:hAnsi="Calibri" w:cs="Calibri"/>
                <w:color w:val="000000"/>
              </w:rPr>
              <w:t>25</w:t>
            </w:r>
          </w:p>
        </w:tc>
      </w:tr>
      <w:tr w14:paraId="25865530" w14:textId="77777777" w:rsidTr="006D0304">
        <w:tblPrEx>
          <w:tblW w:w="5000" w:type="pct"/>
          <w:tblLook w:val="04A0"/>
        </w:tblPrEx>
        <w:trPr>
          <w:trHeight w:val="300"/>
        </w:trPr>
        <w:tc>
          <w:tcPr>
            <w:tcW w:w="438" w:type="pct"/>
            <w:noWrap/>
            <w:hideMark/>
          </w:tcPr>
          <w:p w:rsidR="00EF3D9A" w:rsidP="006D0304" w14:paraId="56860B51" w14:textId="77777777">
            <w:pPr>
              <w:rPr>
                <w:rFonts w:ascii="Calibri" w:hAnsi="Calibri" w:cs="Calibri"/>
                <w:color w:val="000000"/>
              </w:rPr>
            </w:pPr>
            <w:r>
              <w:rPr>
                <w:rFonts w:ascii="Calibri" w:hAnsi="Calibri" w:cs="Calibri"/>
                <w:color w:val="000000"/>
              </w:rPr>
              <w:t>NJ</w:t>
            </w:r>
          </w:p>
        </w:tc>
        <w:tc>
          <w:tcPr>
            <w:tcW w:w="672" w:type="pct"/>
            <w:noWrap/>
            <w:hideMark/>
          </w:tcPr>
          <w:p w:rsidR="00EF3D9A" w:rsidP="006D0304" w14:paraId="6F6D186F" w14:textId="77777777">
            <w:pPr>
              <w:jc w:val="right"/>
              <w:rPr>
                <w:rFonts w:ascii="Calibri" w:hAnsi="Calibri" w:cs="Calibri"/>
                <w:color w:val="000000"/>
              </w:rPr>
            </w:pPr>
            <w:r>
              <w:rPr>
                <w:rFonts w:ascii="Calibri" w:hAnsi="Calibri" w:cs="Calibri"/>
                <w:color w:val="000000"/>
              </w:rPr>
              <w:t>2</w:t>
            </w:r>
          </w:p>
        </w:tc>
        <w:tc>
          <w:tcPr>
            <w:tcW w:w="1464" w:type="pct"/>
            <w:noWrap/>
            <w:hideMark/>
          </w:tcPr>
          <w:p w:rsidR="00EF3D9A" w:rsidP="006D0304" w14:paraId="474F5DC0"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4ACC594E" w14:textId="77777777">
            <w:pPr>
              <w:jc w:val="right"/>
              <w:rPr>
                <w:rFonts w:ascii="Calibri" w:hAnsi="Calibri" w:cs="Calibri"/>
                <w:color w:val="000000"/>
              </w:rPr>
            </w:pPr>
            <w:r>
              <w:rPr>
                <w:rFonts w:ascii="Calibri" w:hAnsi="Calibri" w:cs="Calibri"/>
                <w:color w:val="000000"/>
              </w:rPr>
              <w:t>5,500</w:t>
            </w:r>
          </w:p>
        </w:tc>
        <w:tc>
          <w:tcPr>
            <w:tcW w:w="783" w:type="pct"/>
            <w:noWrap/>
            <w:hideMark/>
          </w:tcPr>
          <w:p w:rsidR="00EF3D9A" w:rsidP="006D0304" w14:paraId="1C8AD4EA" w14:textId="77777777">
            <w:pPr>
              <w:jc w:val="right"/>
              <w:rPr>
                <w:rFonts w:ascii="Calibri" w:hAnsi="Calibri" w:cs="Calibri"/>
                <w:color w:val="000000"/>
              </w:rPr>
            </w:pPr>
            <w:r>
              <w:rPr>
                <w:rFonts w:ascii="Calibri" w:hAnsi="Calibri" w:cs="Calibri"/>
                <w:color w:val="000000"/>
              </w:rPr>
              <w:t>2,750</w:t>
            </w:r>
          </w:p>
        </w:tc>
        <w:tc>
          <w:tcPr>
            <w:tcW w:w="783" w:type="pct"/>
            <w:noWrap/>
            <w:hideMark/>
          </w:tcPr>
          <w:p w:rsidR="00EF3D9A" w:rsidP="006D0304" w14:paraId="1516C4BD" w14:textId="77777777">
            <w:pPr>
              <w:jc w:val="right"/>
              <w:rPr>
                <w:rFonts w:ascii="Calibri" w:hAnsi="Calibri" w:cs="Calibri"/>
                <w:color w:val="000000"/>
              </w:rPr>
            </w:pPr>
            <w:r>
              <w:rPr>
                <w:rFonts w:ascii="Calibri" w:hAnsi="Calibri" w:cs="Calibri"/>
                <w:color w:val="000000"/>
              </w:rPr>
              <w:t>2,750</w:t>
            </w:r>
          </w:p>
        </w:tc>
      </w:tr>
      <w:tr w14:paraId="62CAE8B8" w14:textId="77777777" w:rsidTr="006D0304">
        <w:tblPrEx>
          <w:tblW w:w="5000" w:type="pct"/>
          <w:tblLook w:val="04A0"/>
        </w:tblPrEx>
        <w:trPr>
          <w:trHeight w:val="300"/>
        </w:trPr>
        <w:tc>
          <w:tcPr>
            <w:tcW w:w="438" w:type="pct"/>
            <w:noWrap/>
            <w:hideMark/>
          </w:tcPr>
          <w:p w:rsidR="00EF3D9A" w:rsidP="006D0304" w14:paraId="2D7ED3B4" w14:textId="77777777">
            <w:pPr>
              <w:rPr>
                <w:rFonts w:ascii="Calibri" w:hAnsi="Calibri" w:cs="Calibri"/>
                <w:color w:val="000000"/>
              </w:rPr>
            </w:pPr>
            <w:r>
              <w:rPr>
                <w:rFonts w:ascii="Calibri" w:hAnsi="Calibri" w:cs="Calibri"/>
                <w:color w:val="000000"/>
              </w:rPr>
              <w:t>NV</w:t>
            </w:r>
          </w:p>
        </w:tc>
        <w:tc>
          <w:tcPr>
            <w:tcW w:w="672" w:type="pct"/>
            <w:noWrap/>
            <w:hideMark/>
          </w:tcPr>
          <w:p w:rsidR="00EF3D9A" w:rsidP="006D0304" w14:paraId="758C5BE1" w14:textId="77777777">
            <w:pPr>
              <w:jc w:val="right"/>
              <w:rPr>
                <w:rFonts w:ascii="Calibri" w:hAnsi="Calibri" w:cs="Calibri"/>
                <w:color w:val="000000"/>
              </w:rPr>
            </w:pPr>
            <w:r>
              <w:rPr>
                <w:rFonts w:ascii="Calibri" w:hAnsi="Calibri" w:cs="Calibri"/>
                <w:color w:val="000000"/>
              </w:rPr>
              <w:t>9</w:t>
            </w:r>
          </w:p>
        </w:tc>
        <w:tc>
          <w:tcPr>
            <w:tcW w:w="1464" w:type="pct"/>
            <w:noWrap/>
            <w:hideMark/>
          </w:tcPr>
          <w:p w:rsidR="00EF3D9A" w:rsidP="006D0304" w14:paraId="24ADCF7C"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3AFD8E8E" w14:textId="77777777">
            <w:pPr>
              <w:jc w:val="right"/>
              <w:rPr>
                <w:rFonts w:ascii="Calibri" w:hAnsi="Calibri" w:cs="Calibri"/>
                <w:color w:val="000000"/>
              </w:rPr>
            </w:pPr>
            <w:r>
              <w:rPr>
                <w:rFonts w:ascii="Calibri" w:hAnsi="Calibri" w:cs="Calibri"/>
                <w:color w:val="000000"/>
              </w:rPr>
              <w:t>2,500</w:t>
            </w:r>
          </w:p>
        </w:tc>
        <w:tc>
          <w:tcPr>
            <w:tcW w:w="783" w:type="pct"/>
            <w:noWrap/>
            <w:hideMark/>
          </w:tcPr>
          <w:p w:rsidR="00EF3D9A" w:rsidP="006D0304" w14:paraId="2C52B481" w14:textId="77777777">
            <w:pPr>
              <w:jc w:val="right"/>
              <w:rPr>
                <w:rFonts w:ascii="Calibri" w:hAnsi="Calibri" w:cs="Calibri"/>
                <w:color w:val="000000"/>
              </w:rPr>
            </w:pPr>
            <w:r>
              <w:rPr>
                <w:rFonts w:ascii="Calibri" w:hAnsi="Calibri" w:cs="Calibri"/>
                <w:color w:val="000000"/>
              </w:rPr>
              <w:t>1,250</w:t>
            </w:r>
          </w:p>
        </w:tc>
        <w:tc>
          <w:tcPr>
            <w:tcW w:w="783" w:type="pct"/>
            <w:noWrap/>
            <w:hideMark/>
          </w:tcPr>
          <w:p w:rsidR="00EF3D9A" w:rsidP="006D0304" w14:paraId="7BE3874F" w14:textId="77777777">
            <w:pPr>
              <w:jc w:val="right"/>
              <w:rPr>
                <w:rFonts w:ascii="Calibri" w:hAnsi="Calibri" w:cs="Calibri"/>
                <w:color w:val="000000"/>
              </w:rPr>
            </w:pPr>
            <w:r>
              <w:rPr>
                <w:rFonts w:ascii="Calibri" w:hAnsi="Calibri" w:cs="Calibri"/>
                <w:color w:val="000000"/>
              </w:rPr>
              <w:t>1,250</w:t>
            </w:r>
          </w:p>
        </w:tc>
      </w:tr>
      <w:tr w14:paraId="2AD346DF" w14:textId="77777777" w:rsidTr="006D0304">
        <w:tblPrEx>
          <w:tblW w:w="5000" w:type="pct"/>
          <w:tblLook w:val="04A0"/>
        </w:tblPrEx>
        <w:trPr>
          <w:trHeight w:val="300"/>
        </w:trPr>
        <w:tc>
          <w:tcPr>
            <w:tcW w:w="438" w:type="pct"/>
            <w:noWrap/>
            <w:hideMark/>
          </w:tcPr>
          <w:p w:rsidR="00EF3D9A" w:rsidP="006D0304" w14:paraId="1D4EC0F9" w14:textId="77777777">
            <w:pPr>
              <w:rPr>
                <w:rFonts w:ascii="Calibri" w:hAnsi="Calibri" w:cs="Calibri"/>
                <w:color w:val="000000"/>
              </w:rPr>
            </w:pPr>
            <w:r>
              <w:rPr>
                <w:rFonts w:ascii="Calibri" w:hAnsi="Calibri" w:cs="Calibri"/>
                <w:color w:val="000000"/>
              </w:rPr>
              <w:t>NY</w:t>
            </w:r>
          </w:p>
        </w:tc>
        <w:tc>
          <w:tcPr>
            <w:tcW w:w="672" w:type="pct"/>
            <w:noWrap/>
            <w:hideMark/>
          </w:tcPr>
          <w:p w:rsidR="00EF3D9A" w:rsidP="006D0304" w14:paraId="714DDA09" w14:textId="77777777">
            <w:pPr>
              <w:jc w:val="right"/>
              <w:rPr>
                <w:rFonts w:ascii="Calibri" w:hAnsi="Calibri" w:cs="Calibri"/>
                <w:color w:val="000000"/>
              </w:rPr>
            </w:pPr>
            <w:r>
              <w:rPr>
                <w:rFonts w:ascii="Calibri" w:hAnsi="Calibri" w:cs="Calibri"/>
                <w:color w:val="000000"/>
              </w:rPr>
              <w:t>2</w:t>
            </w:r>
          </w:p>
        </w:tc>
        <w:tc>
          <w:tcPr>
            <w:tcW w:w="1464" w:type="pct"/>
            <w:noWrap/>
            <w:hideMark/>
          </w:tcPr>
          <w:p w:rsidR="00EF3D9A" w:rsidP="006D0304" w14:paraId="52B27358" w14:textId="77777777">
            <w:pPr>
              <w:jc w:val="right"/>
              <w:rPr>
                <w:rFonts w:ascii="Calibri" w:hAnsi="Calibri" w:cs="Calibri"/>
                <w:color w:val="000000"/>
              </w:rPr>
            </w:pPr>
            <w:r>
              <w:rPr>
                <w:rFonts w:ascii="Calibri" w:hAnsi="Calibri" w:cs="Calibri"/>
                <w:color w:val="000000"/>
              </w:rPr>
              <w:t>2</w:t>
            </w:r>
          </w:p>
        </w:tc>
        <w:tc>
          <w:tcPr>
            <w:tcW w:w="860" w:type="pct"/>
            <w:noWrap/>
            <w:hideMark/>
          </w:tcPr>
          <w:p w:rsidR="00EF3D9A" w:rsidP="006D0304" w14:paraId="22FFDC59" w14:textId="77777777">
            <w:pPr>
              <w:jc w:val="right"/>
              <w:rPr>
                <w:rFonts w:ascii="Calibri" w:hAnsi="Calibri" w:cs="Calibri"/>
                <w:color w:val="000000"/>
              </w:rPr>
            </w:pPr>
            <w:r>
              <w:rPr>
                <w:rFonts w:ascii="Calibri" w:hAnsi="Calibri" w:cs="Calibri"/>
                <w:color w:val="000000"/>
              </w:rPr>
              <w:t>3,000</w:t>
            </w:r>
          </w:p>
        </w:tc>
        <w:tc>
          <w:tcPr>
            <w:tcW w:w="783" w:type="pct"/>
            <w:noWrap/>
            <w:hideMark/>
          </w:tcPr>
          <w:p w:rsidR="00EF3D9A" w:rsidP="006D0304" w14:paraId="4CB512F4" w14:textId="77777777">
            <w:pPr>
              <w:jc w:val="right"/>
              <w:rPr>
                <w:rFonts w:ascii="Calibri" w:hAnsi="Calibri" w:cs="Calibri"/>
                <w:color w:val="000000"/>
              </w:rPr>
            </w:pPr>
            <w:r>
              <w:rPr>
                <w:rFonts w:ascii="Calibri" w:hAnsi="Calibri" w:cs="Calibri"/>
                <w:color w:val="000000"/>
              </w:rPr>
              <w:t>1,500</w:t>
            </w:r>
          </w:p>
        </w:tc>
        <w:tc>
          <w:tcPr>
            <w:tcW w:w="783" w:type="pct"/>
            <w:noWrap/>
            <w:hideMark/>
          </w:tcPr>
          <w:p w:rsidR="00EF3D9A" w:rsidP="006D0304" w14:paraId="59A50590" w14:textId="77777777">
            <w:pPr>
              <w:jc w:val="right"/>
              <w:rPr>
                <w:rFonts w:ascii="Calibri" w:hAnsi="Calibri" w:cs="Calibri"/>
                <w:color w:val="000000"/>
              </w:rPr>
            </w:pPr>
            <w:r>
              <w:rPr>
                <w:rFonts w:ascii="Calibri" w:hAnsi="Calibri" w:cs="Calibri"/>
                <w:color w:val="000000"/>
              </w:rPr>
              <w:t>1,500</w:t>
            </w:r>
          </w:p>
        </w:tc>
      </w:tr>
      <w:tr w14:paraId="138FF7B0" w14:textId="77777777" w:rsidTr="006D0304">
        <w:tblPrEx>
          <w:tblW w:w="5000" w:type="pct"/>
          <w:tblLook w:val="04A0"/>
        </w:tblPrEx>
        <w:trPr>
          <w:trHeight w:val="300"/>
        </w:trPr>
        <w:tc>
          <w:tcPr>
            <w:tcW w:w="438" w:type="pct"/>
            <w:noWrap/>
            <w:hideMark/>
          </w:tcPr>
          <w:p w:rsidR="00EF3D9A" w:rsidP="006D0304" w14:paraId="06529F86" w14:textId="77777777">
            <w:pPr>
              <w:rPr>
                <w:rFonts w:ascii="Calibri" w:hAnsi="Calibri" w:cs="Calibri"/>
                <w:color w:val="000000"/>
              </w:rPr>
            </w:pPr>
            <w:r>
              <w:rPr>
                <w:rFonts w:ascii="Calibri" w:hAnsi="Calibri" w:cs="Calibri"/>
                <w:color w:val="000000"/>
              </w:rPr>
              <w:t>OH</w:t>
            </w:r>
          </w:p>
        </w:tc>
        <w:tc>
          <w:tcPr>
            <w:tcW w:w="672" w:type="pct"/>
            <w:noWrap/>
            <w:hideMark/>
          </w:tcPr>
          <w:p w:rsidR="00EF3D9A" w:rsidP="006D0304" w14:paraId="2ABE883C" w14:textId="77777777">
            <w:pPr>
              <w:jc w:val="right"/>
              <w:rPr>
                <w:rFonts w:ascii="Calibri" w:hAnsi="Calibri" w:cs="Calibri"/>
                <w:color w:val="000000"/>
              </w:rPr>
            </w:pPr>
            <w:r>
              <w:rPr>
                <w:rFonts w:ascii="Calibri" w:hAnsi="Calibri" w:cs="Calibri"/>
                <w:color w:val="000000"/>
              </w:rPr>
              <w:t>5</w:t>
            </w:r>
          </w:p>
        </w:tc>
        <w:tc>
          <w:tcPr>
            <w:tcW w:w="1464" w:type="pct"/>
            <w:noWrap/>
            <w:hideMark/>
          </w:tcPr>
          <w:p w:rsidR="00EF3D9A" w:rsidP="006D0304" w14:paraId="6A7D343F" w14:textId="77777777">
            <w:pPr>
              <w:jc w:val="right"/>
              <w:rPr>
                <w:rFonts w:ascii="Calibri" w:hAnsi="Calibri" w:cs="Calibri"/>
                <w:color w:val="000000"/>
              </w:rPr>
            </w:pPr>
            <w:r>
              <w:rPr>
                <w:rFonts w:ascii="Calibri" w:hAnsi="Calibri" w:cs="Calibri"/>
                <w:color w:val="000000"/>
              </w:rPr>
              <w:t>2</w:t>
            </w:r>
          </w:p>
        </w:tc>
        <w:tc>
          <w:tcPr>
            <w:tcW w:w="860" w:type="pct"/>
            <w:noWrap/>
            <w:hideMark/>
          </w:tcPr>
          <w:p w:rsidR="00EF3D9A" w:rsidP="006D0304" w14:paraId="604A358B" w14:textId="77777777">
            <w:pPr>
              <w:jc w:val="right"/>
              <w:rPr>
                <w:rFonts w:ascii="Calibri" w:hAnsi="Calibri" w:cs="Calibri"/>
                <w:color w:val="000000"/>
              </w:rPr>
            </w:pPr>
            <w:r>
              <w:rPr>
                <w:rFonts w:ascii="Calibri" w:hAnsi="Calibri" w:cs="Calibri"/>
                <w:color w:val="000000"/>
              </w:rPr>
              <w:t>2,550</w:t>
            </w:r>
          </w:p>
        </w:tc>
        <w:tc>
          <w:tcPr>
            <w:tcW w:w="783" w:type="pct"/>
            <w:noWrap/>
            <w:hideMark/>
          </w:tcPr>
          <w:p w:rsidR="00EF3D9A" w:rsidP="006D0304" w14:paraId="19F4FB7A" w14:textId="77777777">
            <w:pPr>
              <w:jc w:val="right"/>
              <w:rPr>
                <w:rFonts w:ascii="Calibri" w:hAnsi="Calibri" w:cs="Calibri"/>
                <w:color w:val="000000"/>
              </w:rPr>
            </w:pPr>
            <w:r>
              <w:rPr>
                <w:rFonts w:ascii="Calibri" w:hAnsi="Calibri" w:cs="Calibri"/>
                <w:color w:val="000000"/>
              </w:rPr>
              <w:t>1,275</w:t>
            </w:r>
          </w:p>
        </w:tc>
        <w:tc>
          <w:tcPr>
            <w:tcW w:w="783" w:type="pct"/>
            <w:noWrap/>
            <w:hideMark/>
          </w:tcPr>
          <w:p w:rsidR="00EF3D9A" w:rsidP="006D0304" w14:paraId="666032F6" w14:textId="77777777">
            <w:pPr>
              <w:jc w:val="right"/>
              <w:rPr>
                <w:rFonts w:ascii="Calibri" w:hAnsi="Calibri" w:cs="Calibri"/>
                <w:color w:val="000000"/>
              </w:rPr>
            </w:pPr>
            <w:r>
              <w:rPr>
                <w:rFonts w:ascii="Calibri" w:hAnsi="Calibri" w:cs="Calibri"/>
                <w:color w:val="000000"/>
              </w:rPr>
              <w:t>1,275</w:t>
            </w:r>
          </w:p>
        </w:tc>
      </w:tr>
      <w:tr w14:paraId="6921666D" w14:textId="77777777" w:rsidTr="006D0304">
        <w:tblPrEx>
          <w:tblW w:w="5000" w:type="pct"/>
          <w:tblLook w:val="04A0"/>
        </w:tblPrEx>
        <w:trPr>
          <w:trHeight w:val="300"/>
        </w:trPr>
        <w:tc>
          <w:tcPr>
            <w:tcW w:w="438" w:type="pct"/>
            <w:noWrap/>
            <w:hideMark/>
          </w:tcPr>
          <w:p w:rsidR="00EF3D9A" w:rsidP="006D0304" w14:paraId="151DD922" w14:textId="77777777">
            <w:pPr>
              <w:rPr>
                <w:rFonts w:ascii="Calibri" w:hAnsi="Calibri" w:cs="Calibri"/>
                <w:color w:val="000000"/>
              </w:rPr>
            </w:pPr>
            <w:r>
              <w:rPr>
                <w:rFonts w:ascii="Calibri" w:hAnsi="Calibri" w:cs="Calibri"/>
                <w:color w:val="000000"/>
              </w:rPr>
              <w:t>PA</w:t>
            </w:r>
          </w:p>
        </w:tc>
        <w:tc>
          <w:tcPr>
            <w:tcW w:w="672" w:type="pct"/>
            <w:noWrap/>
            <w:hideMark/>
          </w:tcPr>
          <w:p w:rsidR="00EF3D9A" w:rsidP="006D0304" w14:paraId="351F97B0" w14:textId="77777777">
            <w:pPr>
              <w:jc w:val="right"/>
              <w:rPr>
                <w:rFonts w:ascii="Calibri" w:hAnsi="Calibri" w:cs="Calibri"/>
                <w:color w:val="000000"/>
              </w:rPr>
            </w:pPr>
            <w:r>
              <w:rPr>
                <w:rFonts w:ascii="Calibri" w:hAnsi="Calibri" w:cs="Calibri"/>
                <w:color w:val="000000"/>
              </w:rPr>
              <w:t>3</w:t>
            </w:r>
          </w:p>
        </w:tc>
        <w:tc>
          <w:tcPr>
            <w:tcW w:w="1464" w:type="pct"/>
            <w:noWrap/>
            <w:hideMark/>
          </w:tcPr>
          <w:p w:rsidR="00EF3D9A" w:rsidP="006D0304" w14:paraId="180B0678" w14:textId="77777777">
            <w:pPr>
              <w:jc w:val="right"/>
              <w:rPr>
                <w:rFonts w:ascii="Calibri" w:hAnsi="Calibri" w:cs="Calibri"/>
                <w:color w:val="000000"/>
              </w:rPr>
            </w:pPr>
            <w:r>
              <w:rPr>
                <w:rFonts w:ascii="Calibri" w:hAnsi="Calibri" w:cs="Calibri"/>
                <w:color w:val="000000"/>
              </w:rPr>
              <w:t>6</w:t>
            </w:r>
          </w:p>
        </w:tc>
        <w:tc>
          <w:tcPr>
            <w:tcW w:w="860" w:type="pct"/>
            <w:noWrap/>
            <w:hideMark/>
          </w:tcPr>
          <w:p w:rsidR="00EF3D9A" w:rsidP="006D0304" w14:paraId="7A03E0AA" w14:textId="77777777">
            <w:pPr>
              <w:jc w:val="right"/>
              <w:rPr>
                <w:rFonts w:ascii="Calibri" w:hAnsi="Calibri" w:cs="Calibri"/>
                <w:color w:val="000000"/>
              </w:rPr>
            </w:pPr>
            <w:r>
              <w:rPr>
                <w:rFonts w:ascii="Calibri" w:hAnsi="Calibri" w:cs="Calibri"/>
                <w:color w:val="000000"/>
              </w:rPr>
              <w:t>5,000</w:t>
            </w:r>
          </w:p>
        </w:tc>
        <w:tc>
          <w:tcPr>
            <w:tcW w:w="783" w:type="pct"/>
            <w:noWrap/>
            <w:hideMark/>
          </w:tcPr>
          <w:p w:rsidR="00EF3D9A" w:rsidP="006D0304" w14:paraId="01CEC702" w14:textId="77777777">
            <w:pPr>
              <w:jc w:val="right"/>
              <w:rPr>
                <w:rFonts w:ascii="Calibri" w:hAnsi="Calibri" w:cs="Calibri"/>
                <w:color w:val="000000"/>
              </w:rPr>
            </w:pPr>
            <w:r>
              <w:rPr>
                <w:rFonts w:ascii="Calibri" w:hAnsi="Calibri" w:cs="Calibri"/>
                <w:color w:val="000000"/>
              </w:rPr>
              <w:t>2,500</w:t>
            </w:r>
          </w:p>
        </w:tc>
        <w:tc>
          <w:tcPr>
            <w:tcW w:w="783" w:type="pct"/>
            <w:noWrap/>
            <w:hideMark/>
          </w:tcPr>
          <w:p w:rsidR="00EF3D9A" w:rsidP="006D0304" w14:paraId="74B544E8" w14:textId="77777777">
            <w:pPr>
              <w:jc w:val="right"/>
              <w:rPr>
                <w:rFonts w:ascii="Calibri" w:hAnsi="Calibri" w:cs="Calibri"/>
                <w:color w:val="000000"/>
              </w:rPr>
            </w:pPr>
            <w:r>
              <w:rPr>
                <w:rFonts w:ascii="Calibri" w:hAnsi="Calibri" w:cs="Calibri"/>
                <w:color w:val="000000"/>
              </w:rPr>
              <w:t>2,500</w:t>
            </w:r>
          </w:p>
        </w:tc>
      </w:tr>
      <w:tr w14:paraId="5312B8AF" w14:textId="77777777" w:rsidTr="006D0304">
        <w:tblPrEx>
          <w:tblW w:w="5000" w:type="pct"/>
          <w:tblLook w:val="04A0"/>
        </w:tblPrEx>
        <w:trPr>
          <w:trHeight w:val="300"/>
        </w:trPr>
        <w:tc>
          <w:tcPr>
            <w:tcW w:w="438" w:type="pct"/>
            <w:noWrap/>
            <w:hideMark/>
          </w:tcPr>
          <w:p w:rsidR="00EF3D9A" w:rsidP="006D0304" w14:paraId="416354F7" w14:textId="77777777">
            <w:pPr>
              <w:rPr>
                <w:rFonts w:ascii="Calibri" w:hAnsi="Calibri" w:cs="Calibri"/>
                <w:color w:val="000000"/>
              </w:rPr>
            </w:pPr>
            <w:r>
              <w:rPr>
                <w:rFonts w:ascii="Calibri" w:hAnsi="Calibri" w:cs="Calibri"/>
                <w:color w:val="000000"/>
              </w:rPr>
              <w:t>TX</w:t>
            </w:r>
          </w:p>
        </w:tc>
        <w:tc>
          <w:tcPr>
            <w:tcW w:w="672" w:type="pct"/>
            <w:noWrap/>
            <w:hideMark/>
          </w:tcPr>
          <w:p w:rsidR="00EF3D9A" w:rsidP="006D0304" w14:paraId="1ABF5AC1" w14:textId="77777777">
            <w:pPr>
              <w:jc w:val="right"/>
              <w:rPr>
                <w:rFonts w:ascii="Calibri" w:hAnsi="Calibri" w:cs="Calibri"/>
                <w:color w:val="000000"/>
              </w:rPr>
            </w:pPr>
            <w:r>
              <w:rPr>
                <w:rFonts w:ascii="Calibri" w:hAnsi="Calibri" w:cs="Calibri"/>
                <w:color w:val="000000"/>
              </w:rPr>
              <w:t>6</w:t>
            </w:r>
          </w:p>
        </w:tc>
        <w:tc>
          <w:tcPr>
            <w:tcW w:w="1464" w:type="pct"/>
            <w:noWrap/>
            <w:hideMark/>
          </w:tcPr>
          <w:p w:rsidR="00EF3D9A" w:rsidP="006D0304" w14:paraId="3A095B7B"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14074E76" w14:textId="77777777">
            <w:pPr>
              <w:jc w:val="right"/>
              <w:rPr>
                <w:rFonts w:ascii="Calibri" w:hAnsi="Calibri" w:cs="Calibri"/>
                <w:color w:val="000000"/>
              </w:rPr>
            </w:pPr>
            <w:r>
              <w:rPr>
                <w:rFonts w:ascii="Calibri" w:hAnsi="Calibri" w:cs="Calibri"/>
                <w:color w:val="000000"/>
              </w:rPr>
              <w:t>7,500</w:t>
            </w:r>
          </w:p>
        </w:tc>
        <w:tc>
          <w:tcPr>
            <w:tcW w:w="783" w:type="pct"/>
            <w:noWrap/>
            <w:hideMark/>
          </w:tcPr>
          <w:p w:rsidR="00EF3D9A" w:rsidP="006D0304" w14:paraId="7759B0FF" w14:textId="77777777">
            <w:pPr>
              <w:jc w:val="right"/>
              <w:rPr>
                <w:rFonts w:ascii="Calibri" w:hAnsi="Calibri" w:cs="Calibri"/>
                <w:color w:val="000000"/>
              </w:rPr>
            </w:pPr>
            <w:r>
              <w:rPr>
                <w:rFonts w:ascii="Calibri" w:hAnsi="Calibri" w:cs="Calibri"/>
                <w:color w:val="000000"/>
              </w:rPr>
              <w:t>3,750</w:t>
            </w:r>
          </w:p>
        </w:tc>
        <w:tc>
          <w:tcPr>
            <w:tcW w:w="783" w:type="pct"/>
            <w:noWrap/>
            <w:hideMark/>
          </w:tcPr>
          <w:p w:rsidR="00EF3D9A" w:rsidP="006D0304" w14:paraId="46E82650" w14:textId="77777777">
            <w:pPr>
              <w:jc w:val="right"/>
              <w:rPr>
                <w:rFonts w:ascii="Calibri" w:hAnsi="Calibri" w:cs="Calibri"/>
                <w:color w:val="000000"/>
              </w:rPr>
            </w:pPr>
            <w:r>
              <w:rPr>
                <w:rFonts w:ascii="Calibri" w:hAnsi="Calibri" w:cs="Calibri"/>
                <w:color w:val="000000"/>
              </w:rPr>
              <w:t>3,750</w:t>
            </w:r>
          </w:p>
        </w:tc>
      </w:tr>
      <w:tr w14:paraId="46055C85" w14:textId="77777777" w:rsidTr="006D0304">
        <w:tblPrEx>
          <w:tblW w:w="5000" w:type="pct"/>
          <w:tblLook w:val="04A0"/>
        </w:tblPrEx>
        <w:trPr>
          <w:trHeight w:val="300"/>
        </w:trPr>
        <w:tc>
          <w:tcPr>
            <w:tcW w:w="438" w:type="pct"/>
            <w:noWrap/>
            <w:hideMark/>
          </w:tcPr>
          <w:p w:rsidR="00EF3D9A" w:rsidP="006D0304" w14:paraId="1043E173" w14:textId="77777777">
            <w:pPr>
              <w:rPr>
                <w:rFonts w:ascii="Calibri" w:hAnsi="Calibri" w:cs="Calibri"/>
                <w:color w:val="000000"/>
              </w:rPr>
            </w:pPr>
            <w:r>
              <w:rPr>
                <w:rFonts w:ascii="Calibri" w:hAnsi="Calibri" w:cs="Calibri"/>
                <w:color w:val="000000"/>
              </w:rPr>
              <w:t>UT</w:t>
            </w:r>
          </w:p>
        </w:tc>
        <w:tc>
          <w:tcPr>
            <w:tcW w:w="672" w:type="pct"/>
            <w:noWrap/>
            <w:hideMark/>
          </w:tcPr>
          <w:p w:rsidR="00EF3D9A" w:rsidP="006D0304" w14:paraId="172CC462" w14:textId="77777777">
            <w:pPr>
              <w:jc w:val="right"/>
              <w:rPr>
                <w:rFonts w:ascii="Calibri" w:hAnsi="Calibri" w:cs="Calibri"/>
                <w:color w:val="000000"/>
              </w:rPr>
            </w:pPr>
            <w:r>
              <w:rPr>
                <w:rFonts w:ascii="Calibri" w:hAnsi="Calibri" w:cs="Calibri"/>
                <w:color w:val="000000"/>
              </w:rPr>
              <w:t>8</w:t>
            </w:r>
          </w:p>
        </w:tc>
        <w:tc>
          <w:tcPr>
            <w:tcW w:w="1464" w:type="pct"/>
            <w:noWrap/>
            <w:hideMark/>
          </w:tcPr>
          <w:p w:rsidR="00EF3D9A" w:rsidP="006D0304" w14:paraId="2B76A1A5"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0123F9B5" w14:textId="77777777">
            <w:pPr>
              <w:jc w:val="right"/>
              <w:rPr>
                <w:rFonts w:ascii="Calibri" w:hAnsi="Calibri" w:cs="Calibri"/>
                <w:color w:val="000000"/>
              </w:rPr>
            </w:pPr>
            <w:r>
              <w:rPr>
                <w:rFonts w:ascii="Calibri" w:hAnsi="Calibri" w:cs="Calibri"/>
                <w:color w:val="000000"/>
              </w:rPr>
              <w:t>2,500</w:t>
            </w:r>
          </w:p>
        </w:tc>
        <w:tc>
          <w:tcPr>
            <w:tcW w:w="783" w:type="pct"/>
            <w:noWrap/>
            <w:hideMark/>
          </w:tcPr>
          <w:p w:rsidR="00EF3D9A" w:rsidP="006D0304" w14:paraId="5C2F4229" w14:textId="77777777">
            <w:pPr>
              <w:jc w:val="right"/>
              <w:rPr>
                <w:rFonts w:ascii="Calibri" w:hAnsi="Calibri" w:cs="Calibri"/>
                <w:color w:val="000000"/>
              </w:rPr>
            </w:pPr>
            <w:r>
              <w:rPr>
                <w:rFonts w:ascii="Calibri" w:hAnsi="Calibri" w:cs="Calibri"/>
                <w:color w:val="000000"/>
              </w:rPr>
              <w:t>1,250</w:t>
            </w:r>
          </w:p>
        </w:tc>
        <w:tc>
          <w:tcPr>
            <w:tcW w:w="783" w:type="pct"/>
            <w:noWrap/>
            <w:hideMark/>
          </w:tcPr>
          <w:p w:rsidR="00EF3D9A" w:rsidP="006D0304" w14:paraId="1C09FB96" w14:textId="77777777">
            <w:pPr>
              <w:jc w:val="right"/>
              <w:rPr>
                <w:rFonts w:ascii="Calibri" w:hAnsi="Calibri" w:cs="Calibri"/>
                <w:color w:val="000000"/>
              </w:rPr>
            </w:pPr>
            <w:r>
              <w:rPr>
                <w:rFonts w:ascii="Calibri" w:hAnsi="Calibri" w:cs="Calibri"/>
                <w:color w:val="000000"/>
              </w:rPr>
              <w:t>1,250</w:t>
            </w:r>
          </w:p>
        </w:tc>
      </w:tr>
      <w:tr w14:paraId="31B34836" w14:textId="77777777" w:rsidTr="006D0304">
        <w:tblPrEx>
          <w:tblW w:w="5000" w:type="pct"/>
          <w:tblLook w:val="04A0"/>
        </w:tblPrEx>
        <w:trPr>
          <w:trHeight w:val="300"/>
        </w:trPr>
        <w:tc>
          <w:tcPr>
            <w:tcW w:w="438" w:type="pct"/>
            <w:noWrap/>
            <w:hideMark/>
          </w:tcPr>
          <w:p w:rsidR="00EF3D9A" w:rsidP="006D0304" w14:paraId="56BB288A" w14:textId="77777777">
            <w:pPr>
              <w:rPr>
                <w:rFonts w:ascii="Calibri" w:hAnsi="Calibri" w:cs="Calibri"/>
                <w:color w:val="000000"/>
              </w:rPr>
            </w:pPr>
            <w:r>
              <w:rPr>
                <w:rFonts w:ascii="Calibri" w:hAnsi="Calibri" w:cs="Calibri"/>
                <w:color w:val="000000"/>
              </w:rPr>
              <w:t>VA</w:t>
            </w:r>
          </w:p>
        </w:tc>
        <w:tc>
          <w:tcPr>
            <w:tcW w:w="672" w:type="pct"/>
            <w:noWrap/>
            <w:hideMark/>
          </w:tcPr>
          <w:p w:rsidR="00EF3D9A" w:rsidP="006D0304" w14:paraId="650F283F" w14:textId="77777777">
            <w:pPr>
              <w:jc w:val="right"/>
              <w:rPr>
                <w:rFonts w:ascii="Calibri" w:hAnsi="Calibri" w:cs="Calibri"/>
                <w:color w:val="000000"/>
              </w:rPr>
            </w:pPr>
            <w:r>
              <w:rPr>
                <w:rFonts w:ascii="Calibri" w:hAnsi="Calibri" w:cs="Calibri"/>
                <w:color w:val="000000"/>
              </w:rPr>
              <w:t>3</w:t>
            </w:r>
          </w:p>
        </w:tc>
        <w:tc>
          <w:tcPr>
            <w:tcW w:w="1464" w:type="pct"/>
            <w:noWrap/>
            <w:hideMark/>
          </w:tcPr>
          <w:p w:rsidR="00EF3D9A" w:rsidP="006D0304" w14:paraId="1187EB3B"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2657F0F4" w14:textId="77777777">
            <w:pPr>
              <w:jc w:val="right"/>
              <w:rPr>
                <w:rFonts w:ascii="Calibri" w:hAnsi="Calibri" w:cs="Calibri"/>
                <w:color w:val="000000"/>
              </w:rPr>
            </w:pPr>
            <w:r>
              <w:rPr>
                <w:rFonts w:ascii="Calibri" w:hAnsi="Calibri" w:cs="Calibri"/>
                <w:color w:val="000000"/>
              </w:rPr>
              <w:t>50</w:t>
            </w:r>
          </w:p>
        </w:tc>
        <w:tc>
          <w:tcPr>
            <w:tcW w:w="783" w:type="pct"/>
            <w:noWrap/>
            <w:hideMark/>
          </w:tcPr>
          <w:p w:rsidR="00EF3D9A" w:rsidP="006D0304" w14:paraId="16C3952A" w14:textId="77777777">
            <w:pPr>
              <w:jc w:val="right"/>
              <w:rPr>
                <w:rFonts w:ascii="Calibri" w:hAnsi="Calibri" w:cs="Calibri"/>
                <w:color w:val="000000"/>
              </w:rPr>
            </w:pPr>
            <w:r>
              <w:rPr>
                <w:rFonts w:ascii="Calibri" w:hAnsi="Calibri" w:cs="Calibri"/>
                <w:color w:val="000000"/>
              </w:rPr>
              <w:t>25</w:t>
            </w:r>
          </w:p>
        </w:tc>
        <w:tc>
          <w:tcPr>
            <w:tcW w:w="783" w:type="pct"/>
            <w:noWrap/>
            <w:hideMark/>
          </w:tcPr>
          <w:p w:rsidR="00EF3D9A" w:rsidP="006D0304" w14:paraId="683E1B89" w14:textId="77777777">
            <w:pPr>
              <w:jc w:val="right"/>
              <w:rPr>
                <w:rFonts w:ascii="Calibri" w:hAnsi="Calibri" w:cs="Calibri"/>
                <w:color w:val="000000"/>
              </w:rPr>
            </w:pPr>
            <w:r>
              <w:rPr>
                <w:rFonts w:ascii="Calibri" w:hAnsi="Calibri" w:cs="Calibri"/>
                <w:color w:val="000000"/>
              </w:rPr>
              <w:t>25</w:t>
            </w:r>
          </w:p>
        </w:tc>
      </w:tr>
      <w:tr w14:paraId="5FEFF4D9" w14:textId="77777777" w:rsidTr="006D0304">
        <w:tblPrEx>
          <w:tblW w:w="5000" w:type="pct"/>
          <w:tblLook w:val="04A0"/>
        </w:tblPrEx>
        <w:trPr>
          <w:trHeight w:val="300"/>
        </w:trPr>
        <w:tc>
          <w:tcPr>
            <w:tcW w:w="438" w:type="pct"/>
            <w:noWrap/>
            <w:hideMark/>
          </w:tcPr>
          <w:p w:rsidR="00EF3D9A" w:rsidP="006D0304" w14:paraId="45E6199B" w14:textId="77777777">
            <w:pPr>
              <w:rPr>
                <w:rFonts w:ascii="Calibri" w:hAnsi="Calibri" w:cs="Calibri"/>
                <w:color w:val="000000"/>
              </w:rPr>
            </w:pPr>
            <w:r>
              <w:rPr>
                <w:rFonts w:ascii="Calibri" w:hAnsi="Calibri" w:cs="Calibri"/>
                <w:color w:val="000000"/>
              </w:rPr>
              <w:t>WI</w:t>
            </w:r>
          </w:p>
        </w:tc>
        <w:tc>
          <w:tcPr>
            <w:tcW w:w="672" w:type="pct"/>
            <w:noWrap/>
            <w:hideMark/>
          </w:tcPr>
          <w:p w:rsidR="00EF3D9A" w:rsidP="006D0304" w14:paraId="27712EEB" w14:textId="77777777">
            <w:pPr>
              <w:jc w:val="right"/>
              <w:rPr>
                <w:rFonts w:ascii="Calibri" w:hAnsi="Calibri" w:cs="Calibri"/>
                <w:color w:val="000000"/>
              </w:rPr>
            </w:pPr>
            <w:r>
              <w:rPr>
                <w:rFonts w:ascii="Calibri" w:hAnsi="Calibri" w:cs="Calibri"/>
                <w:color w:val="000000"/>
              </w:rPr>
              <w:t>5</w:t>
            </w:r>
          </w:p>
        </w:tc>
        <w:tc>
          <w:tcPr>
            <w:tcW w:w="1464" w:type="pct"/>
            <w:noWrap/>
            <w:hideMark/>
          </w:tcPr>
          <w:p w:rsidR="00EF3D9A" w:rsidP="006D0304" w14:paraId="3C21BE85" w14:textId="77777777">
            <w:pPr>
              <w:jc w:val="right"/>
              <w:rPr>
                <w:rFonts w:ascii="Calibri" w:hAnsi="Calibri" w:cs="Calibri"/>
                <w:color w:val="000000"/>
              </w:rPr>
            </w:pPr>
            <w:r>
              <w:rPr>
                <w:rFonts w:ascii="Calibri" w:hAnsi="Calibri" w:cs="Calibri"/>
                <w:color w:val="000000"/>
              </w:rPr>
              <w:t>3</w:t>
            </w:r>
          </w:p>
        </w:tc>
        <w:tc>
          <w:tcPr>
            <w:tcW w:w="860" w:type="pct"/>
            <w:noWrap/>
            <w:hideMark/>
          </w:tcPr>
          <w:p w:rsidR="00EF3D9A" w:rsidP="006D0304" w14:paraId="7596C34A" w14:textId="77777777">
            <w:pPr>
              <w:jc w:val="right"/>
              <w:rPr>
                <w:rFonts w:ascii="Calibri" w:hAnsi="Calibri" w:cs="Calibri"/>
                <w:color w:val="000000"/>
              </w:rPr>
            </w:pPr>
            <w:r>
              <w:rPr>
                <w:rFonts w:ascii="Calibri" w:hAnsi="Calibri" w:cs="Calibri"/>
                <w:color w:val="000000"/>
              </w:rPr>
              <w:t>7,500</w:t>
            </w:r>
          </w:p>
        </w:tc>
        <w:tc>
          <w:tcPr>
            <w:tcW w:w="783" w:type="pct"/>
            <w:noWrap/>
            <w:hideMark/>
          </w:tcPr>
          <w:p w:rsidR="00EF3D9A" w:rsidP="006D0304" w14:paraId="33CED8F5" w14:textId="77777777">
            <w:pPr>
              <w:jc w:val="right"/>
              <w:rPr>
                <w:rFonts w:ascii="Calibri" w:hAnsi="Calibri" w:cs="Calibri"/>
                <w:color w:val="000000"/>
              </w:rPr>
            </w:pPr>
            <w:r>
              <w:rPr>
                <w:rFonts w:ascii="Calibri" w:hAnsi="Calibri" w:cs="Calibri"/>
                <w:color w:val="000000"/>
              </w:rPr>
              <w:t>3,750</w:t>
            </w:r>
          </w:p>
        </w:tc>
        <w:tc>
          <w:tcPr>
            <w:tcW w:w="783" w:type="pct"/>
            <w:noWrap/>
            <w:hideMark/>
          </w:tcPr>
          <w:p w:rsidR="00EF3D9A" w:rsidP="006D0304" w14:paraId="2165F836" w14:textId="77777777">
            <w:pPr>
              <w:jc w:val="right"/>
              <w:rPr>
                <w:rFonts w:ascii="Calibri" w:hAnsi="Calibri" w:cs="Calibri"/>
                <w:color w:val="000000"/>
              </w:rPr>
            </w:pPr>
            <w:r>
              <w:rPr>
                <w:rFonts w:ascii="Calibri" w:hAnsi="Calibri" w:cs="Calibri"/>
                <w:color w:val="000000"/>
              </w:rPr>
              <w:t>3,750</w:t>
            </w:r>
          </w:p>
        </w:tc>
      </w:tr>
      <w:tr w14:paraId="21354D27" w14:textId="77777777" w:rsidTr="006D0304">
        <w:tblPrEx>
          <w:tblW w:w="5000" w:type="pct"/>
          <w:tblLook w:val="04A0"/>
        </w:tblPrEx>
        <w:trPr>
          <w:trHeight w:val="300"/>
        </w:trPr>
        <w:tc>
          <w:tcPr>
            <w:tcW w:w="438" w:type="pct"/>
            <w:noWrap/>
            <w:hideMark/>
          </w:tcPr>
          <w:p w:rsidR="00EF3D9A" w:rsidP="006D0304" w14:paraId="139122BE" w14:textId="77777777">
            <w:pPr>
              <w:rPr>
                <w:rFonts w:ascii="Calibri" w:hAnsi="Calibri" w:cs="Calibri"/>
                <w:color w:val="000000"/>
              </w:rPr>
            </w:pPr>
            <w:r>
              <w:rPr>
                <w:rFonts w:ascii="Calibri" w:hAnsi="Calibri" w:cs="Calibri"/>
                <w:color w:val="000000"/>
              </w:rPr>
              <w:t>WY</w:t>
            </w:r>
          </w:p>
        </w:tc>
        <w:tc>
          <w:tcPr>
            <w:tcW w:w="672" w:type="pct"/>
            <w:noWrap/>
            <w:hideMark/>
          </w:tcPr>
          <w:p w:rsidR="00EF3D9A" w:rsidP="006D0304" w14:paraId="41EE9ACE" w14:textId="77777777">
            <w:pPr>
              <w:jc w:val="right"/>
              <w:rPr>
                <w:rFonts w:ascii="Calibri" w:hAnsi="Calibri" w:cs="Calibri"/>
                <w:color w:val="000000"/>
              </w:rPr>
            </w:pPr>
            <w:r>
              <w:rPr>
                <w:rFonts w:ascii="Calibri" w:hAnsi="Calibri" w:cs="Calibri"/>
                <w:color w:val="000000"/>
              </w:rPr>
              <w:t>8</w:t>
            </w:r>
          </w:p>
        </w:tc>
        <w:tc>
          <w:tcPr>
            <w:tcW w:w="1464" w:type="pct"/>
            <w:noWrap/>
            <w:hideMark/>
          </w:tcPr>
          <w:p w:rsidR="00EF3D9A" w:rsidP="006D0304" w14:paraId="79B5AB1F" w14:textId="77777777">
            <w:pPr>
              <w:jc w:val="right"/>
              <w:rPr>
                <w:rFonts w:ascii="Calibri" w:hAnsi="Calibri" w:cs="Calibri"/>
                <w:color w:val="000000"/>
              </w:rPr>
            </w:pPr>
            <w:r>
              <w:rPr>
                <w:rFonts w:ascii="Calibri" w:hAnsi="Calibri" w:cs="Calibri"/>
                <w:color w:val="000000"/>
              </w:rPr>
              <w:t>1</w:t>
            </w:r>
          </w:p>
        </w:tc>
        <w:tc>
          <w:tcPr>
            <w:tcW w:w="860" w:type="pct"/>
            <w:noWrap/>
            <w:hideMark/>
          </w:tcPr>
          <w:p w:rsidR="00EF3D9A" w:rsidP="006D0304" w14:paraId="4972BFBE" w14:textId="77777777">
            <w:pPr>
              <w:jc w:val="right"/>
              <w:rPr>
                <w:rFonts w:ascii="Calibri" w:hAnsi="Calibri" w:cs="Calibri"/>
                <w:color w:val="000000"/>
              </w:rPr>
            </w:pPr>
            <w:r>
              <w:rPr>
                <w:rFonts w:ascii="Calibri" w:hAnsi="Calibri" w:cs="Calibri"/>
                <w:color w:val="000000"/>
              </w:rPr>
              <w:t>500</w:t>
            </w:r>
          </w:p>
        </w:tc>
        <w:tc>
          <w:tcPr>
            <w:tcW w:w="783" w:type="pct"/>
            <w:noWrap/>
            <w:hideMark/>
          </w:tcPr>
          <w:p w:rsidR="00EF3D9A" w:rsidP="006D0304" w14:paraId="5232C30D" w14:textId="77777777">
            <w:pPr>
              <w:jc w:val="right"/>
              <w:rPr>
                <w:rFonts w:ascii="Calibri" w:hAnsi="Calibri" w:cs="Calibri"/>
                <w:color w:val="000000"/>
              </w:rPr>
            </w:pPr>
            <w:r>
              <w:rPr>
                <w:rFonts w:ascii="Calibri" w:hAnsi="Calibri" w:cs="Calibri"/>
                <w:color w:val="000000"/>
              </w:rPr>
              <w:t>250</w:t>
            </w:r>
          </w:p>
        </w:tc>
        <w:tc>
          <w:tcPr>
            <w:tcW w:w="783" w:type="pct"/>
            <w:noWrap/>
            <w:hideMark/>
          </w:tcPr>
          <w:p w:rsidR="00EF3D9A" w:rsidP="006D0304" w14:paraId="00719A33" w14:textId="77777777">
            <w:pPr>
              <w:jc w:val="right"/>
              <w:rPr>
                <w:rFonts w:ascii="Calibri" w:hAnsi="Calibri" w:cs="Calibri"/>
                <w:color w:val="000000"/>
              </w:rPr>
            </w:pPr>
            <w:r>
              <w:rPr>
                <w:rFonts w:ascii="Calibri" w:hAnsi="Calibri" w:cs="Calibri"/>
                <w:color w:val="000000"/>
              </w:rPr>
              <w:t>250</w:t>
            </w:r>
          </w:p>
        </w:tc>
      </w:tr>
      <w:tr w14:paraId="68879B76" w14:textId="77777777" w:rsidTr="006D0304">
        <w:tblPrEx>
          <w:tblW w:w="5000" w:type="pct"/>
          <w:tblLook w:val="04A0"/>
        </w:tblPrEx>
        <w:trPr>
          <w:trHeight w:val="255"/>
        </w:trPr>
        <w:tc>
          <w:tcPr>
            <w:tcW w:w="438" w:type="pct"/>
            <w:noWrap/>
            <w:hideMark/>
          </w:tcPr>
          <w:p w:rsidR="00EF3D9A" w:rsidRPr="00151881" w:rsidP="006D0304" w14:paraId="14DD949C" w14:textId="77777777">
            <w:pPr>
              <w:jc w:val="right"/>
              <w:rPr>
                <w:rFonts w:ascii="Calibri" w:hAnsi="Calibri" w:cs="Calibri"/>
                <w:b/>
                <w:bCs/>
                <w:color w:val="000000"/>
              </w:rPr>
            </w:pPr>
            <w:r w:rsidRPr="00151881">
              <w:rPr>
                <w:rFonts w:ascii="Calibri" w:hAnsi="Calibri" w:cs="Calibri"/>
                <w:b/>
                <w:bCs/>
                <w:color w:val="000000"/>
              </w:rPr>
              <w:t>Totals</w:t>
            </w:r>
          </w:p>
        </w:tc>
        <w:tc>
          <w:tcPr>
            <w:tcW w:w="672" w:type="pct"/>
            <w:noWrap/>
            <w:hideMark/>
          </w:tcPr>
          <w:p w:rsidR="00EF3D9A" w:rsidRPr="00151881" w:rsidP="006D0304" w14:paraId="139ACF92" w14:textId="77777777">
            <w:pPr>
              <w:rPr>
                <w:b/>
                <w:bCs/>
                <w:sz w:val="20"/>
                <w:szCs w:val="20"/>
              </w:rPr>
            </w:pPr>
          </w:p>
        </w:tc>
        <w:tc>
          <w:tcPr>
            <w:tcW w:w="1464" w:type="pct"/>
            <w:noWrap/>
            <w:hideMark/>
          </w:tcPr>
          <w:p w:rsidR="00EF3D9A" w:rsidRPr="00151881" w:rsidP="006D0304" w14:paraId="3519DA49" w14:textId="77777777">
            <w:pPr>
              <w:jc w:val="right"/>
              <w:rPr>
                <w:rFonts w:ascii="Arial" w:hAnsi="Arial" w:cs="Arial"/>
                <w:b/>
                <w:bCs/>
                <w:sz w:val="20"/>
                <w:szCs w:val="20"/>
              </w:rPr>
            </w:pPr>
            <w:r w:rsidRPr="00151881">
              <w:rPr>
                <w:rFonts w:ascii="Arial" w:hAnsi="Arial" w:cs="Arial"/>
                <w:b/>
                <w:bCs/>
                <w:sz w:val="20"/>
                <w:szCs w:val="20"/>
              </w:rPr>
              <w:t>66</w:t>
            </w:r>
          </w:p>
        </w:tc>
        <w:tc>
          <w:tcPr>
            <w:tcW w:w="860" w:type="pct"/>
            <w:noWrap/>
            <w:hideMark/>
          </w:tcPr>
          <w:p w:rsidR="00EF3D9A" w:rsidRPr="00151881" w:rsidP="006D0304" w14:paraId="3BD7F43B" w14:textId="77777777">
            <w:pPr>
              <w:jc w:val="right"/>
              <w:rPr>
                <w:rFonts w:ascii="Arial" w:hAnsi="Arial" w:cs="Arial"/>
                <w:b/>
                <w:bCs/>
                <w:sz w:val="20"/>
                <w:szCs w:val="20"/>
              </w:rPr>
            </w:pPr>
            <w:r w:rsidRPr="00151881">
              <w:rPr>
                <w:rFonts w:ascii="Arial" w:hAnsi="Arial" w:cs="Arial"/>
                <w:b/>
                <w:bCs/>
                <w:sz w:val="20"/>
                <w:szCs w:val="20"/>
              </w:rPr>
              <w:t>80,500</w:t>
            </w:r>
          </w:p>
        </w:tc>
        <w:tc>
          <w:tcPr>
            <w:tcW w:w="783" w:type="pct"/>
            <w:noWrap/>
            <w:hideMark/>
          </w:tcPr>
          <w:p w:rsidR="00EF3D9A" w:rsidRPr="00151881" w:rsidP="006D0304" w14:paraId="66C14520" w14:textId="77777777">
            <w:pPr>
              <w:jc w:val="right"/>
              <w:rPr>
                <w:rFonts w:ascii="Arial" w:hAnsi="Arial" w:cs="Arial"/>
                <w:b/>
                <w:bCs/>
                <w:sz w:val="20"/>
                <w:szCs w:val="20"/>
              </w:rPr>
            </w:pPr>
            <w:r w:rsidRPr="00151881">
              <w:rPr>
                <w:rFonts w:ascii="Arial" w:hAnsi="Arial" w:cs="Arial"/>
                <w:b/>
                <w:bCs/>
                <w:sz w:val="20"/>
                <w:szCs w:val="20"/>
              </w:rPr>
              <w:t>40,250</w:t>
            </w:r>
          </w:p>
        </w:tc>
        <w:tc>
          <w:tcPr>
            <w:tcW w:w="783" w:type="pct"/>
            <w:noWrap/>
            <w:hideMark/>
          </w:tcPr>
          <w:p w:rsidR="00EF3D9A" w:rsidRPr="00151881" w:rsidP="006D0304" w14:paraId="1F85BBF0" w14:textId="77777777">
            <w:pPr>
              <w:jc w:val="right"/>
              <w:rPr>
                <w:rFonts w:ascii="Arial" w:hAnsi="Arial" w:cs="Arial"/>
                <w:b/>
                <w:bCs/>
                <w:sz w:val="20"/>
                <w:szCs w:val="20"/>
              </w:rPr>
            </w:pPr>
            <w:r w:rsidRPr="00151881">
              <w:rPr>
                <w:rFonts w:ascii="Arial" w:hAnsi="Arial" w:cs="Arial"/>
                <w:b/>
                <w:bCs/>
                <w:sz w:val="20"/>
                <w:szCs w:val="20"/>
              </w:rPr>
              <w:t>40,250</w:t>
            </w:r>
          </w:p>
        </w:tc>
      </w:tr>
    </w:tbl>
    <w:p w:rsidR="00EF3D9A" w:rsidRPr="00163C69" w:rsidP="00854AAE" w14:paraId="0D1FE472" w14:textId="77777777">
      <w:pPr>
        <w:spacing w:before="120" w:after="0"/>
        <w:rPr>
          <w:rFonts w:cstheme="minorHAnsi"/>
          <w:b/>
          <w:bCs/>
        </w:rPr>
      </w:pPr>
    </w:p>
    <w:bookmarkEnd w:id="33"/>
    <w:p w:rsidR="00EF3D9A" w:rsidRPr="00151881" w:rsidP="00EF3D9A" w14:paraId="407B4F13" w14:textId="20606911">
      <w:pPr>
        <w:rPr>
          <w:rFonts w:cstheme="minorHAnsi"/>
        </w:rPr>
      </w:pPr>
      <w:r w:rsidRPr="00151881">
        <w:rPr>
          <w:rFonts w:cstheme="minorHAnsi"/>
        </w:rPr>
        <w:t>Labor costs are estimated for state governments using the total of projected additional hours for the states listed in Table 8.</w:t>
      </w:r>
      <w:r w:rsidRPr="00EE4D40">
        <w:rPr>
          <w:rFonts w:cstheme="minorHAnsi"/>
        </w:rPr>
        <w:t xml:space="preserve">  </w:t>
      </w:r>
      <w:r w:rsidRPr="00151881">
        <w:rPr>
          <w:rFonts w:cstheme="minorHAnsi"/>
        </w:rPr>
        <w:t>These estimates do not reflect staff experience and economies of scale.</w:t>
      </w:r>
      <w:r w:rsidRPr="00EE4D40">
        <w:rPr>
          <w:rFonts w:cstheme="minorHAnsi"/>
        </w:rPr>
        <w:t xml:space="preserve">  </w:t>
      </w:r>
      <w:r w:rsidRPr="00151881">
        <w:rPr>
          <w:rFonts w:cstheme="minorHAnsi"/>
        </w:rPr>
        <w:t xml:space="preserve">The hourly rates </w:t>
      </w:r>
      <w:r>
        <w:rPr>
          <w:rFonts w:cstheme="minorHAnsi"/>
        </w:rPr>
        <w:t>result from</w:t>
      </w:r>
      <w:r w:rsidRPr="00151881">
        <w:rPr>
          <w:rFonts w:cstheme="minorHAnsi"/>
        </w:rPr>
        <w:t xml:space="preserve"> estimated directed and indirect </w:t>
      </w:r>
      <w:r>
        <w:rPr>
          <w:rFonts w:cstheme="minorHAnsi"/>
        </w:rPr>
        <w:t>costs</w:t>
      </w:r>
      <w:r w:rsidRPr="00151881">
        <w:rPr>
          <w:rFonts w:cstheme="minorHAnsi"/>
        </w:rPr>
        <w:t xml:space="preserve"> per employee.</w:t>
      </w:r>
      <w:r w:rsidRPr="00EE4D40">
        <w:rPr>
          <w:rFonts w:cstheme="minorHAnsi"/>
        </w:rPr>
        <w:t xml:space="preserve">  </w:t>
      </w:r>
      <w:r w:rsidRPr="00151881">
        <w:rPr>
          <w:rFonts w:cstheme="minorHAnsi"/>
        </w:rPr>
        <w:t xml:space="preserve">The main source of the information is </w:t>
      </w:r>
      <w:r>
        <w:fldChar w:fldCharType="begin"/>
      </w:r>
      <w:r w:rsidRPr="00151881">
        <w:rPr>
          <w:rStyle w:val="Hyperlink"/>
          <w:rFonts w:cstheme="minorHAnsi"/>
        </w:rPr>
        <w:instrText xml:space="preserve"> HYPERLINK "http://www.opm.gov/oca/payrates/index.htm" </w:instrText>
      </w:r>
      <w:r>
        <w:fldChar w:fldCharType="separate"/>
      </w:r>
      <w:r w:rsidRPr="00151881">
        <w:rPr>
          <w:rStyle w:val="Hyperlink"/>
          <w:rFonts w:cstheme="minorHAnsi"/>
        </w:rPr>
        <w:t>http://www.opm.gov/oca/payrates/index.htm</w:t>
      </w:r>
      <w:r>
        <w:fldChar w:fldCharType="end"/>
      </w:r>
      <w:r w:rsidRPr="00151881">
        <w:rPr>
          <w:rFonts w:cstheme="minorHAnsi"/>
        </w:rPr>
        <w:t>.</w:t>
      </w:r>
    </w:p>
    <w:p w:rsidR="00EF3D9A" w:rsidRPr="00151881" w:rsidP="00EF3D9A" w14:paraId="5CAF9B40" w14:textId="2DAB7224">
      <w:pPr>
        <w:rPr>
          <w:rFonts w:cstheme="minorHAnsi"/>
        </w:rPr>
      </w:pPr>
      <w:r w:rsidRPr="00151881">
        <w:rPr>
          <w:rFonts w:cstheme="minorHAnsi"/>
        </w:rPr>
        <w:t xml:space="preserve">The </w:t>
      </w:r>
      <w:bookmarkStart w:id="35" w:name="_Hlk42094895"/>
      <w:r w:rsidRPr="00151881">
        <w:rPr>
          <w:rFonts w:cstheme="minorHAnsi"/>
        </w:rPr>
        <w:t>estimated weighted direct salary cost per employee is $53.54 per hour</w:t>
      </w:r>
      <w:bookmarkEnd w:id="35"/>
      <w:r>
        <w:rPr>
          <w:rFonts w:cstheme="minorHAnsi"/>
        </w:rPr>
        <w:t>, based on the</w:t>
      </w:r>
      <w:r w:rsidRPr="00151881">
        <w:rPr>
          <w:rFonts w:cstheme="minorHAnsi"/>
        </w:rPr>
        <w:t xml:space="preserve"> summation of the professional, managerial, and support staff components.</w:t>
      </w:r>
      <w:r w:rsidRPr="00EE4D40">
        <w:rPr>
          <w:rFonts w:cstheme="minorHAnsi"/>
        </w:rPr>
        <w:t xml:space="preserve">  </w:t>
      </w:r>
    </w:p>
    <w:p w:rsidR="00EF3D9A" w:rsidRPr="00151881" w:rsidP="00665026" w14:paraId="587236D6" w14:textId="77777777">
      <w:pPr>
        <w:numPr>
          <w:ilvl w:val="0"/>
          <w:numId w:val="8"/>
        </w:numPr>
        <w:spacing w:after="0" w:line="240" w:lineRule="auto"/>
        <w:rPr>
          <w:rFonts w:cstheme="minorHAnsi"/>
        </w:rPr>
      </w:pPr>
      <w:bookmarkStart w:id="36" w:name="_Hlk42094748"/>
      <w:r w:rsidRPr="00151881">
        <w:rPr>
          <w:rFonts w:cstheme="minorHAnsi"/>
        </w:rPr>
        <w:t>Hourly equivalent 2024 Salary of Permanent Professional Staff at GS 11, Step 3 is $44.38.</w:t>
      </w:r>
      <w:r w:rsidRPr="00EE4D40">
        <w:rPr>
          <w:rFonts w:cstheme="minorHAnsi"/>
        </w:rPr>
        <w:t xml:space="preserve">  </w:t>
      </w:r>
      <w:r>
        <w:rPr>
          <w:rFonts w:cstheme="minorHAnsi"/>
        </w:rPr>
        <w:t>These are the average hourly equivalent rates for the San Francisco, CA, and Washington, D.C.,</w:t>
      </w:r>
      <w:r w:rsidRPr="00151881">
        <w:rPr>
          <w:rFonts w:cstheme="minorHAnsi"/>
        </w:rPr>
        <w:t xml:space="preserve"> areas.</w:t>
      </w:r>
    </w:p>
    <w:p w:rsidR="00EF3D9A" w:rsidRPr="00151881" w:rsidP="00665026" w14:paraId="30AE8AC8" w14:textId="77777777">
      <w:pPr>
        <w:numPr>
          <w:ilvl w:val="0"/>
          <w:numId w:val="8"/>
        </w:numPr>
        <w:spacing w:after="0" w:line="240" w:lineRule="auto"/>
        <w:rPr>
          <w:rFonts w:cstheme="minorHAnsi"/>
        </w:rPr>
      </w:pPr>
      <w:r w:rsidRPr="00151881">
        <w:rPr>
          <w:rFonts w:cstheme="minorHAnsi"/>
        </w:rPr>
        <w:t>To account for permanent managerial staff, 1/11 or 9.1% of the hourly rate for GS 13, Step 3 is added to the professional staff hourly rates.</w:t>
      </w:r>
      <w:r w:rsidRPr="00EE4D40">
        <w:rPr>
          <w:rFonts w:cstheme="minorHAnsi"/>
        </w:rPr>
        <w:t xml:space="preserve">  </w:t>
      </w:r>
      <w:r w:rsidRPr="00151881">
        <w:rPr>
          <w:rFonts w:cstheme="minorHAnsi"/>
        </w:rPr>
        <w:t>The average hourly equivalent rate for GS-13 using rates for San Francisco, CA</w:t>
      </w:r>
      <w:r>
        <w:rPr>
          <w:rFonts w:cstheme="minorHAnsi"/>
        </w:rPr>
        <w:t>, and Washington, D.C.,</w:t>
      </w:r>
      <w:r w:rsidRPr="00151881">
        <w:rPr>
          <w:rFonts w:cstheme="minorHAnsi"/>
        </w:rPr>
        <w:t xml:space="preserve"> is $60.25.</w:t>
      </w:r>
      <w:r w:rsidRPr="00EE4D40">
        <w:rPr>
          <w:rFonts w:cstheme="minorHAnsi"/>
        </w:rPr>
        <w:t xml:space="preserve">  </w:t>
      </w:r>
      <w:r w:rsidRPr="00151881">
        <w:rPr>
          <w:rFonts w:cstheme="minorHAnsi"/>
        </w:rPr>
        <w:t>The 9.1 percent estimate of that is $5.48.</w:t>
      </w:r>
    </w:p>
    <w:p w:rsidR="00EF3D9A" w:rsidRPr="00151881" w:rsidP="00665026" w14:paraId="330EE8BC" w14:textId="77777777">
      <w:pPr>
        <w:numPr>
          <w:ilvl w:val="0"/>
          <w:numId w:val="8"/>
        </w:numPr>
        <w:spacing w:after="0" w:line="240" w:lineRule="auto"/>
        <w:rPr>
          <w:rFonts w:cstheme="minorHAnsi"/>
        </w:rPr>
      </w:pPr>
      <w:r w:rsidRPr="00151881">
        <w:rPr>
          <w:rFonts w:cstheme="minorHAnsi"/>
        </w:rPr>
        <w:t>To account for permanent support staff at GS-6, Step 6, 1/8 or 12.5% of the hourly rate is also added to the professional staff hourly rates.</w:t>
      </w:r>
      <w:r w:rsidRPr="00EE4D40">
        <w:rPr>
          <w:rFonts w:cstheme="minorHAnsi"/>
        </w:rPr>
        <w:t xml:space="preserve">  </w:t>
      </w:r>
      <w:r w:rsidRPr="00151881">
        <w:rPr>
          <w:rFonts w:cstheme="minorHAnsi"/>
        </w:rPr>
        <w:t>The average hourly equivalent rate for GS-6, Step 6</w:t>
      </w:r>
      <w:r>
        <w:rPr>
          <w:rFonts w:cstheme="minorHAnsi"/>
        </w:rPr>
        <w:t>, using rates for San Francisco, CA, and Washington, D.C.,</w:t>
      </w:r>
      <w:r w:rsidRPr="00151881">
        <w:rPr>
          <w:rFonts w:cstheme="minorHAnsi"/>
        </w:rPr>
        <w:t xml:space="preserve"> is $29.52.</w:t>
      </w:r>
      <w:r w:rsidRPr="00EE4D40">
        <w:rPr>
          <w:rFonts w:cstheme="minorHAnsi"/>
        </w:rPr>
        <w:t xml:space="preserve">  </w:t>
      </w:r>
      <w:r w:rsidRPr="00151881">
        <w:rPr>
          <w:rFonts w:cstheme="minorHAnsi"/>
        </w:rPr>
        <w:t xml:space="preserve">The 12.5 percent estimate of that is $3.69. </w:t>
      </w:r>
    </w:p>
    <w:bookmarkEnd w:id="36"/>
    <w:p w:rsidR="00EF3D9A" w:rsidP="00EF3D9A" w14:paraId="748A67CA" w14:textId="77777777">
      <w:pPr>
        <w:rPr>
          <w:rFonts w:cstheme="minorHAnsi"/>
        </w:rPr>
      </w:pPr>
    </w:p>
    <w:p w:rsidR="00EF3D9A" w:rsidRPr="00151881" w:rsidP="00EF3D9A" w14:paraId="3BA656C1" w14:textId="1C228D10">
      <w:pPr>
        <w:rPr>
          <w:rFonts w:cstheme="minorHAnsi"/>
        </w:rPr>
      </w:pPr>
      <w:r w:rsidRPr="00151881">
        <w:rPr>
          <w:rFonts w:cstheme="minorHAnsi"/>
        </w:rPr>
        <w:t>The estimated hourly indirect cost per employee is $31.05</w:t>
      </w:r>
      <w:r>
        <w:rPr>
          <w:rFonts w:cstheme="minorHAnsi"/>
        </w:rPr>
        <w:t xml:space="preserve">. </w:t>
      </w:r>
      <w:r w:rsidRPr="00151881">
        <w:rPr>
          <w:rFonts w:cstheme="minorHAnsi"/>
        </w:rPr>
        <w:t>This amount is the sum of the following:</w:t>
      </w:r>
    </w:p>
    <w:p w:rsidR="00EF3D9A" w:rsidRPr="00151881" w:rsidP="00665026" w14:paraId="7AA4EE72" w14:textId="77777777">
      <w:pPr>
        <w:numPr>
          <w:ilvl w:val="0"/>
          <w:numId w:val="9"/>
        </w:numPr>
        <w:spacing w:after="0" w:line="240" w:lineRule="auto"/>
        <w:rPr>
          <w:rFonts w:cstheme="minorHAnsi"/>
        </w:rPr>
      </w:pPr>
      <w:r w:rsidRPr="00151881">
        <w:rPr>
          <w:rFonts w:cstheme="minorHAnsi"/>
        </w:rPr>
        <w:t>Benefits at 16% of the weighted direct hourly equivalent salary cost per employee or $8.57.</w:t>
      </w:r>
    </w:p>
    <w:p w:rsidR="00EF3D9A" w:rsidRPr="00151881" w:rsidP="00665026" w14:paraId="245C8A6B" w14:textId="77777777">
      <w:pPr>
        <w:numPr>
          <w:ilvl w:val="0"/>
          <w:numId w:val="9"/>
        </w:numPr>
        <w:spacing w:after="0" w:line="240" w:lineRule="auto"/>
        <w:rPr>
          <w:rFonts w:cstheme="minorHAnsi"/>
        </w:rPr>
      </w:pPr>
      <w:r w:rsidRPr="00151881">
        <w:rPr>
          <w:rFonts w:cstheme="minorHAnsi"/>
        </w:rPr>
        <w:t>Sick and annual leave at 10% of the weighted direct hourly equivalent salary cost per employee or $5.35.</w:t>
      </w:r>
    </w:p>
    <w:p w:rsidR="00EF3D9A" w:rsidRPr="00151881" w:rsidP="00665026" w14:paraId="0D370038" w14:textId="77777777">
      <w:pPr>
        <w:numPr>
          <w:ilvl w:val="0"/>
          <w:numId w:val="9"/>
        </w:numPr>
        <w:spacing w:after="0" w:line="240" w:lineRule="auto"/>
        <w:rPr>
          <w:rFonts w:cstheme="minorHAnsi"/>
        </w:rPr>
      </w:pPr>
      <w:r w:rsidRPr="00151881">
        <w:rPr>
          <w:rFonts w:cstheme="minorHAnsi"/>
        </w:rPr>
        <w:t xml:space="preserve">General overhead at 32% of the </w:t>
      </w:r>
      <w:r>
        <w:rPr>
          <w:rFonts w:cstheme="minorHAnsi"/>
        </w:rPr>
        <w:t>weighted</w:t>
      </w:r>
      <w:r w:rsidRPr="00151881">
        <w:rPr>
          <w:rFonts w:cstheme="minorHAnsi"/>
        </w:rPr>
        <w:t xml:space="preserve"> direct hourly equivalent salary cost per employee or $17.13.</w:t>
      </w:r>
    </w:p>
    <w:p w:rsidR="00587C1E" w:rsidP="00587C1E" w14:paraId="781ADE01" w14:textId="77777777">
      <w:pPr>
        <w:rPr>
          <w:rFonts w:cstheme="minorHAnsi"/>
        </w:rPr>
      </w:pPr>
    </w:p>
    <w:p w:rsidR="00EF3D9A" w:rsidRPr="00151881" w:rsidP="00587C1E" w14:paraId="0DCACC56" w14:textId="283AF021">
      <w:pPr>
        <w:rPr>
          <w:rFonts w:cstheme="minorHAnsi"/>
        </w:rPr>
      </w:pPr>
      <w:r w:rsidRPr="00151881">
        <w:rPr>
          <w:rFonts w:cstheme="minorHAnsi"/>
        </w:rPr>
        <w:t xml:space="preserve">The </w:t>
      </w:r>
      <w:bookmarkStart w:id="37" w:name="OLE_LINK3"/>
      <w:r w:rsidRPr="00151881">
        <w:rPr>
          <w:rFonts w:cstheme="minorHAnsi"/>
        </w:rPr>
        <w:t>estimated total weighted direct and indirect hourly equivalent salary</w:t>
      </w:r>
      <w:bookmarkEnd w:id="37"/>
      <w:r w:rsidRPr="00151881">
        <w:rPr>
          <w:rFonts w:cstheme="minorHAnsi"/>
        </w:rPr>
        <w:t xml:space="preserve"> cost per employee is $84.60</w:t>
      </w:r>
      <w:r>
        <w:rPr>
          <w:rFonts w:cstheme="minorHAnsi"/>
        </w:rPr>
        <w:t>. Table 9 provides the estimated total incremental respondent burden for states to submit the required SIP revisions during the ICR period</w:t>
      </w:r>
      <w:r w:rsidRPr="00151881">
        <w:rPr>
          <w:rFonts w:cstheme="minorHAnsi"/>
        </w:rPr>
        <w:t>.</w:t>
      </w:r>
    </w:p>
    <w:p w:rsidR="00EF3D9A" w:rsidRPr="00151881" w:rsidP="00587C1E" w14:paraId="0131E726" w14:textId="77777777">
      <w:pPr>
        <w:rPr>
          <w:rFonts w:cstheme="minorHAnsi"/>
          <w:b/>
        </w:rPr>
      </w:pPr>
      <w:r w:rsidRPr="00151881">
        <w:rPr>
          <w:rFonts w:cstheme="minorHAnsi"/>
          <w:b/>
        </w:rPr>
        <w:t>Table 9.</w:t>
      </w:r>
      <w:r w:rsidRPr="00EE4D40">
        <w:rPr>
          <w:rFonts w:cstheme="minorHAnsi"/>
          <w:b/>
        </w:rPr>
        <w:t xml:space="preserve">  </w:t>
      </w:r>
      <w:r w:rsidRPr="00151881">
        <w:rPr>
          <w:rFonts w:cstheme="minorHAnsi"/>
          <w:b/>
        </w:rPr>
        <w:t xml:space="preserve">Estimated Total Incremental Cost and Hour Burden for the States (Respondents) to Fulfill Listed 8-Hour </w:t>
      </w:r>
      <w:r>
        <w:rPr>
          <w:rFonts w:cstheme="minorHAnsi"/>
          <w:b/>
        </w:rPr>
        <w:t>Ozone</w:t>
      </w:r>
      <w:r w:rsidRPr="00151881">
        <w:rPr>
          <w:rFonts w:cstheme="minorHAnsi"/>
          <w:b/>
        </w:rPr>
        <w:t xml:space="preserve"> NAAQS Implementation Tasks</w:t>
      </w:r>
    </w:p>
    <w:p w:rsidR="00EF3D9A" w:rsidRPr="00151881" w:rsidP="00EF3D9A" w14:paraId="727D4B1C" w14:textId="77777777">
      <w:pPr>
        <w:ind w:left="720"/>
        <w:rPr>
          <w:rFonts w:cstheme="minorHAnsi"/>
        </w:rPr>
      </w:pPr>
    </w:p>
    <w:tbl>
      <w:tblPr>
        <w:tblStyle w:val="TableGrid"/>
        <w:tblW w:w="5000" w:type="pct"/>
        <w:jc w:val="center"/>
        <w:tblLook w:val="04A0"/>
      </w:tblPr>
      <w:tblGrid>
        <w:gridCol w:w="2933"/>
        <w:gridCol w:w="1689"/>
        <w:gridCol w:w="1502"/>
        <w:gridCol w:w="1451"/>
        <w:gridCol w:w="1775"/>
      </w:tblGrid>
      <w:tr w14:paraId="177CFAD1" w14:textId="77777777" w:rsidTr="006D0304">
        <w:tblPrEx>
          <w:tblW w:w="5000" w:type="pct"/>
          <w:jc w:val="center"/>
          <w:tblLook w:val="04A0"/>
        </w:tblPrEx>
        <w:trPr>
          <w:trHeight w:val="645"/>
          <w:jc w:val="center"/>
        </w:trPr>
        <w:tc>
          <w:tcPr>
            <w:tcW w:w="1569" w:type="pct"/>
            <w:hideMark/>
          </w:tcPr>
          <w:p w:rsidR="00EF3D9A" w:rsidRPr="00151881" w:rsidP="006D0304" w14:paraId="4BB754C1" w14:textId="77777777">
            <w:pPr>
              <w:jc w:val="center"/>
              <w:rPr>
                <w:rFonts w:cstheme="minorHAnsi"/>
                <w:b/>
                <w:bCs/>
              </w:rPr>
            </w:pPr>
            <w:r w:rsidRPr="00151881">
              <w:rPr>
                <w:rFonts w:cstheme="minorHAnsi"/>
                <w:b/>
                <w:bCs/>
              </w:rPr>
              <w:t>No. of Areas or Parts of Areas or OTR states</w:t>
            </w:r>
          </w:p>
        </w:tc>
        <w:tc>
          <w:tcPr>
            <w:tcW w:w="903" w:type="pct"/>
            <w:hideMark/>
          </w:tcPr>
          <w:p w:rsidR="00EF3D9A" w:rsidRPr="00151881" w:rsidP="006D0304" w14:paraId="533B3E90" w14:textId="77777777">
            <w:pPr>
              <w:jc w:val="center"/>
              <w:rPr>
                <w:rFonts w:cstheme="minorHAnsi"/>
                <w:b/>
                <w:bCs/>
              </w:rPr>
            </w:pPr>
            <w:r w:rsidRPr="00151881">
              <w:rPr>
                <w:rFonts w:cstheme="minorHAnsi"/>
                <w:b/>
                <w:bCs/>
              </w:rPr>
              <w:t>Additional Cost for Year 1</w:t>
            </w:r>
          </w:p>
        </w:tc>
        <w:tc>
          <w:tcPr>
            <w:tcW w:w="803" w:type="pct"/>
            <w:hideMark/>
          </w:tcPr>
          <w:p w:rsidR="00EF3D9A" w:rsidRPr="00151881" w:rsidP="006D0304" w14:paraId="22DBFAF9" w14:textId="77777777">
            <w:pPr>
              <w:jc w:val="center"/>
              <w:rPr>
                <w:rFonts w:cstheme="minorHAnsi"/>
                <w:b/>
                <w:bCs/>
              </w:rPr>
            </w:pPr>
            <w:r w:rsidRPr="00151881">
              <w:rPr>
                <w:rFonts w:cstheme="minorHAnsi"/>
                <w:b/>
                <w:bCs/>
              </w:rPr>
              <w:t>Additional Cost for Year 2</w:t>
            </w:r>
          </w:p>
        </w:tc>
        <w:tc>
          <w:tcPr>
            <w:tcW w:w="776" w:type="pct"/>
            <w:hideMark/>
          </w:tcPr>
          <w:p w:rsidR="00EF3D9A" w:rsidRPr="00151881" w:rsidP="006D0304" w14:paraId="6C37E212" w14:textId="77777777">
            <w:pPr>
              <w:jc w:val="center"/>
              <w:rPr>
                <w:rFonts w:cstheme="minorHAnsi"/>
                <w:b/>
                <w:bCs/>
              </w:rPr>
            </w:pPr>
            <w:r w:rsidRPr="00151881">
              <w:rPr>
                <w:rFonts w:cstheme="minorHAnsi"/>
                <w:b/>
                <w:bCs/>
              </w:rPr>
              <w:t>Additional Cost for Year 3</w:t>
            </w:r>
          </w:p>
        </w:tc>
        <w:tc>
          <w:tcPr>
            <w:tcW w:w="949" w:type="pct"/>
            <w:hideMark/>
          </w:tcPr>
          <w:p w:rsidR="00EF3D9A" w:rsidRPr="00151881" w:rsidP="006D0304" w14:paraId="36E8AE8C" w14:textId="77777777">
            <w:pPr>
              <w:jc w:val="center"/>
              <w:rPr>
                <w:rFonts w:cstheme="minorHAnsi"/>
                <w:b/>
                <w:bCs/>
              </w:rPr>
            </w:pPr>
            <w:r w:rsidRPr="00151881">
              <w:rPr>
                <w:rFonts w:cstheme="minorHAnsi"/>
                <w:b/>
                <w:bCs/>
              </w:rPr>
              <w:t>Burden for the 3-year ICR period</w:t>
            </w:r>
          </w:p>
        </w:tc>
      </w:tr>
      <w:tr w14:paraId="558D42DA" w14:textId="77777777" w:rsidTr="006D0304">
        <w:tblPrEx>
          <w:tblW w:w="5000" w:type="pct"/>
          <w:jc w:val="center"/>
          <w:tblLook w:val="04A0"/>
        </w:tblPrEx>
        <w:trPr>
          <w:trHeight w:val="615"/>
          <w:jc w:val="center"/>
        </w:trPr>
        <w:tc>
          <w:tcPr>
            <w:tcW w:w="1569" w:type="pct"/>
            <w:hideMark/>
          </w:tcPr>
          <w:p w:rsidR="00EF3D9A" w:rsidRPr="00151881" w:rsidP="006D0304" w14:paraId="30AEE21E" w14:textId="77777777">
            <w:pPr>
              <w:jc w:val="center"/>
              <w:rPr>
                <w:rFonts w:cstheme="minorHAnsi"/>
                <w:b/>
                <w:bCs/>
              </w:rPr>
            </w:pPr>
            <w:r w:rsidRPr="00151881">
              <w:rPr>
                <w:rFonts w:cstheme="minorHAnsi"/>
                <w:b/>
                <w:bCs/>
              </w:rPr>
              <w:t>6</w:t>
            </w:r>
            <w:r>
              <w:rPr>
                <w:rFonts w:cstheme="minorHAnsi"/>
                <w:b/>
                <w:bCs/>
              </w:rPr>
              <w:t>6</w:t>
            </w:r>
          </w:p>
        </w:tc>
        <w:tc>
          <w:tcPr>
            <w:tcW w:w="903" w:type="pct"/>
            <w:hideMark/>
          </w:tcPr>
          <w:p w:rsidR="00EF3D9A" w:rsidRPr="00151881" w:rsidP="006D0304" w14:paraId="40256999" w14:textId="77777777">
            <w:pPr>
              <w:jc w:val="center"/>
              <w:rPr>
                <w:rFonts w:cstheme="minorHAnsi"/>
              </w:rPr>
            </w:pPr>
            <w:r w:rsidRPr="00151881">
              <w:rPr>
                <w:rFonts w:cstheme="minorHAnsi"/>
              </w:rPr>
              <w:t>$6,8</w:t>
            </w:r>
            <w:r>
              <w:rPr>
                <w:rFonts w:cstheme="minorHAnsi"/>
              </w:rPr>
              <w:t>10,300</w:t>
            </w:r>
          </w:p>
        </w:tc>
        <w:tc>
          <w:tcPr>
            <w:tcW w:w="803" w:type="pct"/>
            <w:hideMark/>
          </w:tcPr>
          <w:p w:rsidR="00EF3D9A" w:rsidRPr="00151881" w:rsidP="006D0304" w14:paraId="7650DE1B" w14:textId="77777777">
            <w:pPr>
              <w:jc w:val="center"/>
              <w:rPr>
                <w:rFonts w:cstheme="minorHAnsi"/>
              </w:rPr>
            </w:pPr>
            <w:r w:rsidRPr="00151881">
              <w:rPr>
                <w:rFonts w:cstheme="minorHAnsi"/>
              </w:rPr>
              <w:t>$3,4</w:t>
            </w:r>
            <w:r>
              <w:rPr>
                <w:rFonts w:cstheme="minorHAnsi"/>
              </w:rPr>
              <w:t>05,150</w:t>
            </w:r>
            <w:r w:rsidRPr="00151881">
              <w:rPr>
                <w:rFonts w:cstheme="minorHAnsi"/>
              </w:rPr>
              <w:t xml:space="preserve"> </w:t>
            </w:r>
          </w:p>
        </w:tc>
        <w:tc>
          <w:tcPr>
            <w:tcW w:w="776" w:type="pct"/>
            <w:noWrap/>
            <w:hideMark/>
          </w:tcPr>
          <w:p w:rsidR="00EF3D9A" w:rsidRPr="00151881" w:rsidP="006D0304" w14:paraId="1765B59C" w14:textId="77777777">
            <w:pPr>
              <w:jc w:val="center"/>
              <w:rPr>
                <w:rFonts w:cstheme="minorHAnsi"/>
              </w:rPr>
            </w:pPr>
            <w:r w:rsidRPr="00151881">
              <w:rPr>
                <w:rFonts w:cstheme="minorHAnsi"/>
              </w:rPr>
              <w:t>$3,4</w:t>
            </w:r>
            <w:r>
              <w:rPr>
                <w:rFonts w:cstheme="minorHAnsi"/>
              </w:rPr>
              <w:t>05,150</w:t>
            </w:r>
            <w:r w:rsidRPr="00151881">
              <w:rPr>
                <w:rFonts w:cstheme="minorHAnsi"/>
              </w:rPr>
              <w:t xml:space="preserve"> </w:t>
            </w:r>
          </w:p>
        </w:tc>
        <w:tc>
          <w:tcPr>
            <w:tcW w:w="949" w:type="pct"/>
            <w:hideMark/>
          </w:tcPr>
          <w:p w:rsidR="00EF3D9A" w:rsidRPr="00151881" w:rsidP="006D0304" w14:paraId="33F4E8A1" w14:textId="77777777">
            <w:pPr>
              <w:jc w:val="center"/>
              <w:rPr>
                <w:rFonts w:cstheme="minorHAnsi"/>
              </w:rPr>
            </w:pPr>
            <w:r w:rsidRPr="00151881">
              <w:rPr>
                <w:rFonts w:cstheme="minorHAnsi"/>
              </w:rPr>
              <w:t>16</w:t>
            </w:r>
            <w:r>
              <w:rPr>
                <w:rFonts w:cstheme="minorHAnsi"/>
              </w:rPr>
              <w:t>1</w:t>
            </w:r>
            <w:r w:rsidRPr="00EE4D40">
              <w:rPr>
                <w:rFonts w:cstheme="minorHAnsi"/>
              </w:rPr>
              <w:t>,000</w:t>
            </w:r>
          </w:p>
        </w:tc>
      </w:tr>
    </w:tbl>
    <w:p w:rsidR="00587C1E" w:rsidRPr="00587C1E" w:rsidP="00587C1E" w14:paraId="45ADFC6C" w14:textId="77777777">
      <w:pPr>
        <w:pStyle w:val="ListParagraph"/>
        <w:spacing w:before="240" w:after="0"/>
        <w:ind w:left="360"/>
        <w:rPr>
          <w:rFonts w:cstheme="minorHAnsi"/>
          <w:b/>
          <w:bCs/>
          <w:caps/>
        </w:rPr>
      </w:pPr>
      <w:bookmarkStart w:id="38" w:name="_Toc156593386"/>
      <w:bookmarkStart w:id="39" w:name="_Hlk167886580"/>
    </w:p>
    <w:p w:rsidR="00BB2B15" w:rsidRPr="00163C69" w:rsidP="00665026" w14:paraId="5D1B71A2" w14:textId="7384B8AF">
      <w:pPr>
        <w:pStyle w:val="ListParagraph"/>
        <w:numPr>
          <w:ilvl w:val="0"/>
          <w:numId w:val="2"/>
        </w:numPr>
        <w:spacing w:before="240" w:after="0"/>
        <w:rPr>
          <w:rFonts w:cstheme="minorHAnsi"/>
          <w:b/>
          <w:bCs/>
          <w:caps/>
        </w:rPr>
      </w:pPr>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9"/>
    <w:p w:rsidR="00BB3410" w:rsidRPr="00BB3410" w:rsidP="00854AAE" w14:paraId="678BA42F" w14:textId="2D9EC305">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Not applicable.</w:t>
      </w:r>
    </w:p>
    <w:p w:rsidR="00023EFE" w:rsidRPr="00163C69" w:rsidP="00665026" w14:paraId="7D2BF7DE" w14:textId="77777777">
      <w:pPr>
        <w:pStyle w:val="ListParagraph"/>
        <w:numPr>
          <w:ilvl w:val="0"/>
          <w:numId w:val="2"/>
        </w:numPr>
        <w:pBdr>
          <w:bottom w:val="single" w:sz="4" w:space="1" w:color="auto"/>
        </w:pBdr>
        <w:spacing w:before="240" w:after="0"/>
        <w:rPr>
          <w:rFonts w:cstheme="minorHAnsi"/>
          <w:b/>
          <w:bCs/>
        </w:rPr>
      </w:pPr>
      <w:bookmarkStart w:id="40" w:name="_Toc156593387"/>
      <w:bookmarkStart w:id="41" w:name="_Hlk167886706"/>
      <w:r w:rsidRPr="4BDBF0A0">
        <w:rPr>
          <w:b/>
          <w:bCs/>
        </w:rPr>
        <w:t xml:space="preserve">AGENCY </w:t>
      </w:r>
      <w:bookmarkStart w:id="42" w:name="_Toc156593388"/>
      <w:bookmarkEnd w:id="40"/>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P="00854AAE" w14:paraId="1D8BBDEC" w14:textId="7D3333D9">
      <w:pPr>
        <w:spacing w:before="120" w:after="0"/>
        <w:rPr>
          <w:rFonts w:eastAsiaTheme="majorEastAsia"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3873B6" w:rsidP="003873B6" w14:paraId="5151C1D5" w14:textId="77777777">
      <w:pPr>
        <w:rPr>
          <w:rFonts w:cstheme="minorHAnsi"/>
          <w:b/>
        </w:rPr>
      </w:pPr>
    </w:p>
    <w:p w:rsidR="003873B6" w:rsidRPr="00151881" w:rsidP="003873B6" w14:paraId="111B638B" w14:textId="52102B16">
      <w:pPr>
        <w:rPr>
          <w:rFonts w:cstheme="minorHAnsi"/>
        </w:rPr>
      </w:pPr>
      <w:r w:rsidRPr="00151881">
        <w:rPr>
          <w:rFonts w:cstheme="minorHAnsi"/>
          <w:b/>
        </w:rPr>
        <w:t>EPA Regional Offices.</w:t>
      </w:r>
      <w:r w:rsidRPr="00EE4D40">
        <w:rPr>
          <w:rFonts w:cstheme="minorHAnsi"/>
          <w:b/>
        </w:rPr>
        <w:t xml:space="preserve">  </w:t>
      </w:r>
      <w:r w:rsidRPr="00151881">
        <w:rPr>
          <w:rFonts w:cstheme="minorHAnsi"/>
        </w:rPr>
        <w:t>The regional office activities include:</w:t>
      </w:r>
    </w:p>
    <w:p w:rsidR="003873B6" w:rsidRPr="00151881" w:rsidP="00665026" w14:paraId="73D6D591" w14:textId="77777777">
      <w:pPr>
        <w:numPr>
          <w:ilvl w:val="0"/>
          <w:numId w:val="14"/>
        </w:numPr>
        <w:spacing w:after="0" w:line="240" w:lineRule="auto"/>
        <w:rPr>
          <w:rFonts w:cstheme="minorHAnsi"/>
        </w:rPr>
      </w:pPr>
      <w:r w:rsidRPr="00151881">
        <w:rPr>
          <w:rFonts w:cstheme="minorHAnsi"/>
        </w:rPr>
        <w:t>Answering inquiries put forth by the states.</w:t>
      </w:r>
    </w:p>
    <w:p w:rsidR="003873B6" w:rsidRPr="00151881" w:rsidP="00665026" w14:paraId="13CC1B35" w14:textId="77777777">
      <w:pPr>
        <w:numPr>
          <w:ilvl w:val="0"/>
          <w:numId w:val="14"/>
        </w:numPr>
        <w:spacing w:after="0" w:line="240" w:lineRule="auto"/>
        <w:rPr>
          <w:rFonts w:cstheme="minorHAnsi"/>
        </w:rPr>
      </w:pPr>
      <w:r>
        <w:rPr>
          <w:rFonts w:cstheme="minorHAnsi"/>
        </w:rPr>
        <w:t xml:space="preserve">Review data, analysis, </w:t>
      </w:r>
      <w:r w:rsidRPr="00151881">
        <w:rPr>
          <w:rFonts w:cstheme="minorHAnsi"/>
        </w:rPr>
        <w:t>attainment demonstrations, RFP SIPs and RACT SIPs, and second 10-year maintenance plans.</w:t>
      </w:r>
    </w:p>
    <w:p w:rsidR="003873B6" w:rsidRPr="00151881" w:rsidP="00665026" w14:paraId="183C79BA" w14:textId="77777777">
      <w:pPr>
        <w:numPr>
          <w:ilvl w:val="0"/>
          <w:numId w:val="14"/>
        </w:numPr>
        <w:spacing w:after="0" w:line="240" w:lineRule="auto"/>
        <w:rPr>
          <w:rFonts w:cstheme="minorHAnsi"/>
        </w:rPr>
      </w:pPr>
      <w:r w:rsidRPr="00151881">
        <w:rPr>
          <w:rFonts w:cstheme="minorHAnsi"/>
        </w:rPr>
        <w:t>Rulemaking actions approving or disapproving the SIP submissions.</w:t>
      </w:r>
    </w:p>
    <w:p w:rsidR="003873B6" w:rsidRPr="00151881" w:rsidP="00665026" w14:paraId="63169442" w14:textId="77777777">
      <w:pPr>
        <w:numPr>
          <w:ilvl w:val="0"/>
          <w:numId w:val="14"/>
        </w:numPr>
        <w:spacing w:after="0" w:line="240" w:lineRule="auto"/>
        <w:rPr>
          <w:rFonts w:cstheme="minorHAnsi"/>
        </w:rPr>
      </w:pPr>
      <w:r w:rsidRPr="00151881">
        <w:rPr>
          <w:rFonts w:cstheme="minorHAnsi"/>
        </w:rPr>
        <w:t>Develop SIP requirements for nonattainment areas on Tribal land.</w:t>
      </w:r>
    </w:p>
    <w:p w:rsidR="003873B6" w:rsidRPr="00151881" w:rsidP="003873B6" w14:paraId="744290F3" w14:textId="77777777">
      <w:pPr>
        <w:ind w:left="360"/>
        <w:rPr>
          <w:rFonts w:cstheme="minorHAnsi"/>
        </w:rPr>
      </w:pPr>
    </w:p>
    <w:p w:rsidR="003873B6" w:rsidRPr="00151881" w:rsidP="003873B6" w14:paraId="38BFA679" w14:textId="41BD7357">
      <w:pPr>
        <w:ind w:left="360"/>
        <w:rPr>
          <w:rFonts w:cstheme="minorHAnsi"/>
        </w:rPr>
      </w:pPr>
      <w:r w:rsidRPr="00151881">
        <w:rPr>
          <w:rFonts w:cstheme="minorHAnsi"/>
          <w:b/>
        </w:rPr>
        <w:t>EPA Headquarters.</w:t>
      </w:r>
      <w:r w:rsidRPr="00EE4D40">
        <w:rPr>
          <w:rFonts w:cstheme="minorHAnsi"/>
        </w:rPr>
        <w:t xml:space="preserve"> </w:t>
      </w:r>
      <w:r w:rsidRPr="00151881">
        <w:rPr>
          <w:rFonts w:cstheme="minorHAnsi"/>
        </w:rPr>
        <w:t xml:space="preserve"> The EPA headquarters office activities include:</w:t>
      </w:r>
    </w:p>
    <w:p w:rsidR="003873B6" w:rsidRPr="00151881" w:rsidP="00665026" w14:paraId="765F55A3" w14:textId="77777777">
      <w:pPr>
        <w:numPr>
          <w:ilvl w:val="0"/>
          <w:numId w:val="15"/>
        </w:numPr>
        <w:spacing w:after="0" w:line="240" w:lineRule="auto"/>
        <w:rPr>
          <w:rFonts w:cstheme="minorHAnsi"/>
        </w:rPr>
      </w:pPr>
      <w:r w:rsidRPr="00151881">
        <w:rPr>
          <w:rFonts w:cstheme="minorHAnsi"/>
        </w:rPr>
        <w:t xml:space="preserve">Facilitating information flow and </w:t>
      </w:r>
      <w:r>
        <w:rPr>
          <w:rFonts w:cstheme="minorHAnsi"/>
        </w:rPr>
        <w:t>problem-solving</w:t>
      </w:r>
      <w:r w:rsidRPr="00151881">
        <w:rPr>
          <w:rFonts w:cstheme="minorHAnsi"/>
        </w:rPr>
        <w:t xml:space="preserve"> amongst the regions regarding demonstrations and submittals from the states to address novel issues and ensure nationally consistent approaches.</w:t>
      </w:r>
    </w:p>
    <w:p w:rsidR="003873B6" w:rsidRPr="001F0E17" w:rsidP="00665026" w14:paraId="426551DD" w14:textId="77777777">
      <w:pPr>
        <w:numPr>
          <w:ilvl w:val="0"/>
          <w:numId w:val="15"/>
        </w:numPr>
        <w:spacing w:after="0" w:line="240" w:lineRule="auto"/>
        <w:rPr>
          <w:rFonts w:cstheme="minorHAnsi"/>
        </w:rPr>
      </w:pPr>
      <w:r w:rsidRPr="00151881">
        <w:rPr>
          <w:rFonts w:cstheme="minorHAnsi"/>
        </w:rPr>
        <w:t xml:space="preserve">Answering questions regarding </w:t>
      </w:r>
      <w:r>
        <w:rPr>
          <w:rFonts w:cstheme="minorHAnsi"/>
        </w:rPr>
        <w:t xml:space="preserve">the </w:t>
      </w:r>
      <w:r w:rsidRPr="00151881">
        <w:rPr>
          <w:rFonts w:cstheme="minorHAnsi"/>
        </w:rPr>
        <w:t xml:space="preserve">application and interpretation of salient rule </w:t>
      </w:r>
      <w:r w:rsidRPr="00151881">
        <w:rPr>
          <w:rFonts w:cstheme="minorHAnsi"/>
        </w:rPr>
        <w:t>provisi</w:t>
      </w:r>
    </w:p>
    <w:p w:rsidR="003873B6" w:rsidRPr="00163C69" w:rsidP="00854AAE" w14:paraId="16584F09" w14:textId="77777777">
      <w:pPr>
        <w:spacing w:before="120" w:after="0"/>
        <w:rPr>
          <w:rFonts w:cstheme="minorHAnsi"/>
          <w:b/>
          <w:bCs/>
        </w:rPr>
      </w:pPr>
    </w:p>
    <w:p w:rsidR="002B2E31" w:rsidRPr="00151881" w:rsidP="002B2E31" w14:paraId="6245ECF9" w14:textId="0225A710">
      <w:pPr>
        <w:rPr>
          <w:rFonts w:cstheme="minorHAnsi"/>
        </w:rPr>
      </w:pPr>
      <w:r w:rsidRPr="00151881">
        <w:rPr>
          <w:rFonts w:cstheme="minorHAnsi"/>
        </w:rPr>
        <w:t xml:space="preserve">EPA staff in the regional offices may facilitate timely submission of the attainment demonstration, RFP SIP submission, RACT submission, and/or second maintenance plan by reviewing draft materials and answering questions from the states regarding requirements, potential data sources, analysis tools, the draft attainment </w:t>
      </w:r>
      <w:r w:rsidRPr="008F7DE6">
        <w:rPr>
          <w:rFonts w:cstheme="minorHAnsi"/>
        </w:rPr>
        <w:t>demonstration,</w:t>
      </w:r>
      <w:r w:rsidRPr="00151881">
        <w:rPr>
          <w:rFonts w:cstheme="minorHAnsi"/>
        </w:rPr>
        <w:t xml:space="preserve"> and other submissions. Upon official submission from the state, the EPA Regional Offices will evaluate the SIP submissions and take rulemaking actions to approve or disapprove the SIP revisions. </w:t>
      </w:r>
    </w:p>
    <w:p w:rsidR="009F1E00" w:rsidRPr="00BB3410" w:rsidP="002B2E31" w14:paraId="647FDC77" w14:textId="71DA1B90">
      <w:pPr>
        <w:rPr>
          <w:rFonts w:cstheme="minorHAnsi"/>
        </w:rPr>
      </w:pPr>
      <w:r w:rsidRPr="00151881">
        <w:rPr>
          <w:rFonts w:cstheme="minorHAnsi"/>
        </w:rPr>
        <w:t>EPA headquarters staff will provide guidance to EPA regional offices and states during the development phase of states’ SIP revisions and after their official submission, assisting in resolving issues of national policy importance to foster timely submission and action on submissions.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EF3D9A" w:rsidRPr="00151881" w:rsidP="00EF3D9A" w14:paraId="441F290F" w14:textId="77777777">
      <w:pPr>
        <w:rPr>
          <w:rFonts w:cstheme="minorHAnsi"/>
        </w:rPr>
      </w:pPr>
      <w:r w:rsidRPr="00151881">
        <w:rPr>
          <w:rFonts w:cstheme="minorHAnsi"/>
        </w:rPr>
        <w:t xml:space="preserve">The estimated agency burden is derived from the burden estimates for the respondents based on historical input from regional office staff. The original draft estimates were developed by EPA headquarters staff </w:t>
      </w:r>
      <w:r>
        <w:rPr>
          <w:rFonts w:cstheme="minorHAnsi"/>
        </w:rPr>
        <w:t>and reviewed by regional office staff. Subsequent refinement of the Agency burden and cost estimates is based on “rules of thumb” for estimating time spent reviewing and processing</w:t>
      </w:r>
      <w:r w:rsidRPr="00151881">
        <w:rPr>
          <w:rFonts w:cstheme="minorHAnsi"/>
        </w:rPr>
        <w:t xml:space="preserve"> SIP submissions. </w:t>
      </w:r>
    </w:p>
    <w:p w:rsidR="00EF3D9A" w:rsidRPr="00151881" w:rsidP="00EF3D9A" w14:paraId="44C38F00" w14:textId="77777777">
      <w:pPr>
        <w:rPr>
          <w:rFonts w:cstheme="minorHAnsi"/>
        </w:rPr>
      </w:pPr>
      <w:r w:rsidRPr="00151881">
        <w:rPr>
          <w:rFonts w:cstheme="minorHAnsi"/>
        </w:rPr>
        <w:t>The respondent burden was summed for each EPA regional office</w:t>
      </w:r>
      <w:r>
        <w:rPr>
          <w:rFonts w:cstheme="minorHAnsi"/>
        </w:rPr>
        <w:t>,</w:t>
      </w:r>
      <w:r w:rsidRPr="00151881">
        <w:rPr>
          <w:rFonts w:cstheme="minorHAnsi"/>
        </w:rPr>
        <w:t xml:space="preserve"> and a percentage was applied to the overall yearly burden estimate to reflect regional office activities related to SIP preview and processing. Once yearly burdens were estimated for the agency’s regional offices, a percentage of those amounts was used to derive estimates for the EPA’s headquarters office burden. </w:t>
      </w:r>
    </w:p>
    <w:p w:rsidR="00EF3D9A" w:rsidRPr="00151881" w:rsidP="00EF3D9A" w14:paraId="64EA3443" w14:textId="77777777">
      <w:pPr>
        <w:rPr>
          <w:rFonts w:cstheme="minorHAnsi"/>
        </w:rPr>
      </w:pPr>
      <w:r w:rsidRPr="00151881">
        <w:rPr>
          <w:rFonts w:cstheme="minorHAnsi"/>
          <w:b/>
        </w:rPr>
        <w:t>Agency Regional Office Burden.</w:t>
      </w:r>
      <w:r w:rsidRPr="00EE4D40">
        <w:rPr>
          <w:rFonts w:cstheme="minorHAnsi"/>
          <w:b/>
        </w:rPr>
        <w:t xml:space="preserve">  </w:t>
      </w:r>
      <w:r w:rsidRPr="00151881">
        <w:rPr>
          <w:rFonts w:cstheme="minorHAnsi"/>
        </w:rPr>
        <w:t xml:space="preserve">Table 10 summarizes </w:t>
      </w:r>
      <w:r>
        <w:rPr>
          <w:rFonts w:cstheme="minorHAnsi"/>
        </w:rPr>
        <w:t xml:space="preserve">the total incremental respondent burden by the EPA regional office and provides estimates of the </w:t>
      </w:r>
      <w:r w:rsidRPr="00151881">
        <w:rPr>
          <w:rFonts w:cstheme="minorHAnsi"/>
        </w:rPr>
        <w:t xml:space="preserve">total incremental agency regional office burden. The summary of </w:t>
      </w:r>
      <w:r>
        <w:rPr>
          <w:rFonts w:cstheme="minorHAnsi"/>
        </w:rPr>
        <w:t xml:space="preserve">the </w:t>
      </w:r>
      <w:r w:rsidRPr="00151881">
        <w:rPr>
          <w:rFonts w:cstheme="minorHAnsi"/>
        </w:rPr>
        <w:t xml:space="preserve">total incremental respondent burden comes from Tables 4 and 5. The agency regional office burden is presumed to be 10% of the estimated total incremental burden for </w:t>
      </w:r>
      <w:r>
        <w:rPr>
          <w:rFonts w:cstheme="minorHAnsi"/>
        </w:rPr>
        <w:t xml:space="preserve">respondents by the </w:t>
      </w:r>
      <w:r w:rsidRPr="00151881">
        <w:rPr>
          <w:rFonts w:cstheme="minorHAnsi"/>
        </w:rPr>
        <w:t xml:space="preserve">EPA regional office except for the Tribal area in Region 9. The EPA Region 9 will develop the SIP </w:t>
      </w:r>
      <w:r w:rsidRPr="00151881">
        <w:rPr>
          <w:rFonts w:cstheme="minorHAnsi"/>
        </w:rPr>
        <w:t>requirements for the Tribal nonattainment area. Table 10 has a separate line item for the Region 9 respondent burden for the Tribal area</w:t>
      </w:r>
      <w:r>
        <w:rPr>
          <w:rFonts w:cstheme="minorHAnsi"/>
        </w:rPr>
        <w:t>,</w:t>
      </w:r>
      <w:r w:rsidRPr="00151881">
        <w:rPr>
          <w:rFonts w:cstheme="minorHAnsi"/>
        </w:rPr>
        <w:t xml:space="preserve"> </w:t>
      </w:r>
      <w:r>
        <w:rPr>
          <w:rFonts w:cstheme="minorHAnsi"/>
        </w:rPr>
        <w:t>with</w:t>
      </w:r>
      <w:r w:rsidRPr="00151881">
        <w:rPr>
          <w:rFonts w:cstheme="minorHAnsi"/>
        </w:rPr>
        <w:t xml:space="preserve"> 100% of the burden for responding under Region 9 instead of the 10% presumption. The total incremental burden allocation for the agency regional offices in Table 8 is 50% in year 1, 25% in year 2, and 25% in year 3.</w:t>
      </w:r>
    </w:p>
    <w:p w:rsidR="00EF3D9A" w:rsidRPr="00151881" w:rsidP="00EF3D9A" w14:paraId="48A01D17" w14:textId="77777777">
      <w:pPr>
        <w:rPr>
          <w:rFonts w:cstheme="minorHAnsi"/>
          <w:b/>
        </w:rPr>
      </w:pPr>
      <w:r w:rsidRPr="00151881">
        <w:rPr>
          <w:rFonts w:cstheme="minorHAnsi"/>
        </w:rPr>
        <w:t>In discussions with agency regional office staff, they indicated that the total incremental burden estimates were rough estimates.</w:t>
      </w:r>
      <w:r w:rsidRPr="00EE4D40">
        <w:rPr>
          <w:rFonts w:cstheme="minorHAnsi"/>
        </w:rPr>
        <w:t xml:space="preserve">  </w:t>
      </w:r>
      <w:r w:rsidRPr="00151881">
        <w:rPr>
          <w:rFonts w:cstheme="minorHAnsi"/>
        </w:rPr>
        <w:t>However, some regional office staff felt that a more reasonable allocation of total incremental agency regional office burden would be 37.5% in year 1, 37.5% in year 2, and 25% in year 3.</w:t>
      </w:r>
      <w:r w:rsidRPr="00EE4D40">
        <w:rPr>
          <w:rFonts w:cstheme="minorHAnsi"/>
        </w:rPr>
        <w:t xml:space="preserve">  </w:t>
      </w:r>
      <w:r w:rsidRPr="00151881">
        <w:rPr>
          <w:rFonts w:cstheme="minorHAnsi"/>
        </w:rPr>
        <w:t>If that allocation were used, the corresponding agency regional office burden estimates in years 1, 2, and 3 would be 7,950, 7,950, and</w:t>
      </w:r>
      <w:r>
        <w:rPr>
          <w:rFonts w:cstheme="minorHAnsi"/>
        </w:rPr>
        <w:t xml:space="preserve"> 5,300,</w:t>
      </w:r>
      <w:r w:rsidRPr="00151881">
        <w:rPr>
          <w:rFonts w:cstheme="minorHAnsi"/>
        </w:rPr>
        <w:t xml:space="preserve"> respectively.</w:t>
      </w:r>
      <w:r w:rsidRPr="00EE4D40">
        <w:rPr>
          <w:rFonts w:cstheme="minorHAnsi"/>
        </w:rPr>
        <w:t xml:space="preserve">  </w:t>
      </w:r>
    </w:p>
    <w:p w:rsidR="00EF3D9A" w:rsidP="00EF3D9A" w14:paraId="38E93687" w14:textId="77777777">
      <w:pPr>
        <w:rPr>
          <w:rFonts w:cstheme="minorHAnsi"/>
          <w:b/>
        </w:rPr>
      </w:pPr>
      <w:r w:rsidRPr="00151881">
        <w:rPr>
          <w:rFonts w:cstheme="minorHAnsi"/>
          <w:b/>
        </w:rPr>
        <w:t>Table 10.</w:t>
      </w:r>
      <w:r w:rsidRPr="00EE4D40">
        <w:rPr>
          <w:rFonts w:cstheme="minorHAnsi"/>
          <w:b/>
        </w:rPr>
        <w:t xml:space="preserve">  </w:t>
      </w:r>
      <w:r w:rsidRPr="00151881">
        <w:rPr>
          <w:rFonts w:cstheme="minorHAnsi"/>
          <w:b/>
        </w:rPr>
        <w:t>Estimated Agency Regional Office Burden Derived by Taking 10% of Regional Respondent Burden Total for Years 1, 2, and 3 with the Region 9 Tribal burden estimate added.</w:t>
      </w:r>
    </w:p>
    <w:tbl>
      <w:tblPr>
        <w:tblStyle w:val="TableGrid"/>
        <w:tblW w:w="0" w:type="auto"/>
        <w:tblLook w:val="04A0"/>
      </w:tblPr>
      <w:tblGrid>
        <w:gridCol w:w="1665"/>
        <w:gridCol w:w="2024"/>
        <w:gridCol w:w="1887"/>
        <w:gridCol w:w="1887"/>
        <w:gridCol w:w="1887"/>
      </w:tblGrid>
      <w:tr w14:paraId="71F25D8B" w14:textId="77777777" w:rsidTr="006D0304">
        <w:tblPrEx>
          <w:tblW w:w="0" w:type="auto"/>
          <w:tblLook w:val="04A0"/>
        </w:tblPrEx>
        <w:trPr>
          <w:trHeight w:val="1035"/>
        </w:trPr>
        <w:tc>
          <w:tcPr>
            <w:tcW w:w="0" w:type="auto"/>
            <w:hideMark/>
          </w:tcPr>
          <w:p w:rsidR="00EF3D9A" w:rsidRPr="000B1BFD" w:rsidP="006D0304" w14:paraId="0380ACA9" w14:textId="77777777">
            <w:pPr>
              <w:rPr>
                <w:rFonts w:cstheme="minorHAnsi"/>
              </w:rPr>
            </w:pPr>
            <w:r w:rsidRPr="000B1BFD">
              <w:rPr>
                <w:rFonts w:cstheme="minorHAnsi"/>
              </w:rPr>
              <w:t>EPA Regional Office</w:t>
            </w:r>
          </w:p>
        </w:tc>
        <w:tc>
          <w:tcPr>
            <w:tcW w:w="0" w:type="auto"/>
            <w:hideMark/>
          </w:tcPr>
          <w:p w:rsidR="00EF3D9A" w:rsidRPr="000B1BFD" w:rsidP="006D0304" w14:paraId="7A6C7647" w14:textId="77777777">
            <w:pPr>
              <w:rPr>
                <w:rFonts w:cstheme="minorHAnsi"/>
              </w:rPr>
            </w:pPr>
            <w:r w:rsidRPr="000B1BFD">
              <w:rPr>
                <w:rFonts w:cstheme="minorHAnsi"/>
              </w:rPr>
              <w:t>Total State Respondents' Burden</w:t>
            </w:r>
          </w:p>
        </w:tc>
        <w:tc>
          <w:tcPr>
            <w:tcW w:w="0" w:type="auto"/>
            <w:hideMark/>
          </w:tcPr>
          <w:p w:rsidR="00EF3D9A" w:rsidRPr="000B1BFD" w:rsidP="006D0304" w14:paraId="2E028C69" w14:textId="77777777">
            <w:pPr>
              <w:rPr>
                <w:rFonts w:cstheme="minorHAnsi"/>
              </w:rPr>
            </w:pPr>
            <w:r w:rsidRPr="000B1BFD">
              <w:rPr>
                <w:rFonts w:cstheme="minorHAnsi"/>
              </w:rPr>
              <w:t>Year 1 Agency Regional Office Burden</w:t>
            </w:r>
          </w:p>
        </w:tc>
        <w:tc>
          <w:tcPr>
            <w:tcW w:w="0" w:type="auto"/>
            <w:hideMark/>
          </w:tcPr>
          <w:p w:rsidR="00EF3D9A" w:rsidRPr="000B1BFD" w:rsidP="006D0304" w14:paraId="32D1737C" w14:textId="77777777">
            <w:pPr>
              <w:rPr>
                <w:rFonts w:cstheme="minorHAnsi"/>
              </w:rPr>
            </w:pPr>
            <w:r w:rsidRPr="000B1BFD">
              <w:rPr>
                <w:rFonts w:cstheme="minorHAnsi"/>
              </w:rPr>
              <w:t>Year 2 Agency Regional Office Burden</w:t>
            </w:r>
          </w:p>
        </w:tc>
        <w:tc>
          <w:tcPr>
            <w:tcW w:w="0" w:type="auto"/>
            <w:hideMark/>
          </w:tcPr>
          <w:p w:rsidR="00EF3D9A" w:rsidRPr="000B1BFD" w:rsidP="006D0304" w14:paraId="28481FA2" w14:textId="77777777">
            <w:pPr>
              <w:rPr>
                <w:rFonts w:cstheme="minorHAnsi"/>
              </w:rPr>
            </w:pPr>
            <w:r w:rsidRPr="000B1BFD">
              <w:rPr>
                <w:rFonts w:cstheme="minorHAnsi"/>
              </w:rPr>
              <w:t>Year 3 Agency Regional Office Burden</w:t>
            </w:r>
          </w:p>
        </w:tc>
      </w:tr>
      <w:tr w14:paraId="2B1A5825" w14:textId="77777777" w:rsidTr="006D0304">
        <w:tblPrEx>
          <w:tblW w:w="0" w:type="auto"/>
          <w:tblLook w:val="04A0"/>
        </w:tblPrEx>
        <w:trPr>
          <w:trHeight w:val="330"/>
        </w:trPr>
        <w:tc>
          <w:tcPr>
            <w:tcW w:w="0" w:type="auto"/>
            <w:noWrap/>
            <w:hideMark/>
          </w:tcPr>
          <w:p w:rsidR="00EF3D9A" w:rsidRPr="000B1BFD" w:rsidP="006D0304" w14:paraId="79FB9993" w14:textId="77777777">
            <w:pPr>
              <w:rPr>
                <w:rFonts w:cstheme="minorHAnsi"/>
              </w:rPr>
            </w:pPr>
            <w:r w:rsidRPr="000B1BFD">
              <w:rPr>
                <w:rFonts w:cstheme="minorHAnsi"/>
              </w:rPr>
              <w:t>1</w:t>
            </w:r>
          </w:p>
        </w:tc>
        <w:tc>
          <w:tcPr>
            <w:tcW w:w="0" w:type="auto"/>
            <w:hideMark/>
          </w:tcPr>
          <w:p w:rsidR="00EF3D9A" w:rsidRPr="000B1BFD" w:rsidP="006D0304" w14:paraId="443F94D0" w14:textId="77777777">
            <w:pPr>
              <w:jc w:val="right"/>
              <w:rPr>
                <w:rFonts w:cstheme="minorHAnsi"/>
                <w:color w:val="000000"/>
              </w:rPr>
            </w:pPr>
            <w:r w:rsidRPr="000B1BFD">
              <w:rPr>
                <w:rFonts w:cstheme="minorHAnsi"/>
                <w:color w:val="000000"/>
              </w:rPr>
              <w:t xml:space="preserve">              12,100 </w:t>
            </w:r>
          </w:p>
        </w:tc>
        <w:tc>
          <w:tcPr>
            <w:tcW w:w="0" w:type="auto"/>
            <w:noWrap/>
            <w:hideMark/>
          </w:tcPr>
          <w:p w:rsidR="00EF3D9A" w:rsidRPr="000B1BFD" w:rsidP="006D0304" w14:paraId="563CC581" w14:textId="77777777">
            <w:pPr>
              <w:jc w:val="right"/>
              <w:rPr>
                <w:rFonts w:cstheme="minorHAnsi"/>
              </w:rPr>
            </w:pPr>
            <w:r w:rsidRPr="000B1BFD">
              <w:rPr>
                <w:rFonts w:cstheme="minorHAnsi"/>
              </w:rPr>
              <w:t>605</w:t>
            </w:r>
          </w:p>
        </w:tc>
        <w:tc>
          <w:tcPr>
            <w:tcW w:w="0" w:type="auto"/>
            <w:noWrap/>
            <w:hideMark/>
          </w:tcPr>
          <w:p w:rsidR="00EF3D9A" w:rsidRPr="000B1BFD" w:rsidP="006D0304" w14:paraId="7471CCD0" w14:textId="77777777">
            <w:pPr>
              <w:jc w:val="right"/>
              <w:rPr>
                <w:rFonts w:cstheme="minorHAnsi"/>
              </w:rPr>
            </w:pPr>
            <w:r w:rsidRPr="000B1BFD">
              <w:rPr>
                <w:rFonts w:cstheme="minorHAnsi"/>
              </w:rPr>
              <w:t>303</w:t>
            </w:r>
          </w:p>
        </w:tc>
        <w:tc>
          <w:tcPr>
            <w:tcW w:w="0" w:type="auto"/>
            <w:noWrap/>
            <w:hideMark/>
          </w:tcPr>
          <w:p w:rsidR="00EF3D9A" w:rsidRPr="000B1BFD" w:rsidP="006D0304" w14:paraId="4CCB376E" w14:textId="77777777">
            <w:pPr>
              <w:jc w:val="right"/>
              <w:rPr>
                <w:rFonts w:cstheme="minorHAnsi"/>
              </w:rPr>
            </w:pPr>
            <w:r w:rsidRPr="000B1BFD">
              <w:rPr>
                <w:rFonts w:cstheme="minorHAnsi"/>
              </w:rPr>
              <w:t>303</w:t>
            </w:r>
          </w:p>
        </w:tc>
      </w:tr>
      <w:tr w14:paraId="377E0B67" w14:textId="77777777" w:rsidTr="006D0304">
        <w:tblPrEx>
          <w:tblW w:w="0" w:type="auto"/>
          <w:tblLook w:val="04A0"/>
        </w:tblPrEx>
        <w:trPr>
          <w:trHeight w:val="330"/>
        </w:trPr>
        <w:tc>
          <w:tcPr>
            <w:tcW w:w="0" w:type="auto"/>
            <w:noWrap/>
            <w:hideMark/>
          </w:tcPr>
          <w:p w:rsidR="00EF3D9A" w:rsidRPr="000B1BFD" w:rsidP="006D0304" w14:paraId="2CB44D79" w14:textId="77777777">
            <w:pPr>
              <w:rPr>
                <w:rFonts w:cstheme="minorHAnsi"/>
              </w:rPr>
            </w:pPr>
            <w:r w:rsidRPr="000B1BFD">
              <w:rPr>
                <w:rFonts w:cstheme="minorHAnsi"/>
              </w:rPr>
              <w:t>2</w:t>
            </w:r>
          </w:p>
        </w:tc>
        <w:tc>
          <w:tcPr>
            <w:tcW w:w="0" w:type="auto"/>
            <w:hideMark/>
          </w:tcPr>
          <w:p w:rsidR="00EF3D9A" w:rsidRPr="000B1BFD" w:rsidP="006D0304" w14:paraId="1C0CE01E" w14:textId="77777777">
            <w:pPr>
              <w:jc w:val="right"/>
              <w:rPr>
                <w:rFonts w:cstheme="minorHAnsi"/>
                <w:color w:val="000000"/>
              </w:rPr>
            </w:pPr>
            <w:r w:rsidRPr="000B1BFD">
              <w:rPr>
                <w:rFonts w:cstheme="minorHAnsi"/>
                <w:color w:val="000000"/>
              </w:rPr>
              <w:t xml:space="preserve">              17,000 </w:t>
            </w:r>
          </w:p>
        </w:tc>
        <w:tc>
          <w:tcPr>
            <w:tcW w:w="0" w:type="auto"/>
            <w:noWrap/>
            <w:hideMark/>
          </w:tcPr>
          <w:p w:rsidR="00EF3D9A" w:rsidRPr="000B1BFD" w:rsidP="006D0304" w14:paraId="34FEAB7A" w14:textId="77777777">
            <w:pPr>
              <w:jc w:val="right"/>
              <w:rPr>
                <w:rFonts w:cstheme="minorHAnsi"/>
              </w:rPr>
            </w:pPr>
            <w:r w:rsidRPr="000B1BFD">
              <w:rPr>
                <w:rFonts w:cstheme="minorHAnsi"/>
              </w:rPr>
              <w:t>850</w:t>
            </w:r>
          </w:p>
        </w:tc>
        <w:tc>
          <w:tcPr>
            <w:tcW w:w="0" w:type="auto"/>
            <w:noWrap/>
            <w:hideMark/>
          </w:tcPr>
          <w:p w:rsidR="00EF3D9A" w:rsidRPr="000B1BFD" w:rsidP="006D0304" w14:paraId="29053339" w14:textId="77777777">
            <w:pPr>
              <w:jc w:val="right"/>
              <w:rPr>
                <w:rFonts w:cstheme="minorHAnsi"/>
              </w:rPr>
            </w:pPr>
            <w:r w:rsidRPr="000B1BFD">
              <w:rPr>
                <w:rFonts w:cstheme="minorHAnsi"/>
              </w:rPr>
              <w:t>425</w:t>
            </w:r>
          </w:p>
        </w:tc>
        <w:tc>
          <w:tcPr>
            <w:tcW w:w="0" w:type="auto"/>
            <w:noWrap/>
            <w:hideMark/>
          </w:tcPr>
          <w:p w:rsidR="00EF3D9A" w:rsidRPr="000B1BFD" w:rsidP="006D0304" w14:paraId="478AEB9F" w14:textId="77777777">
            <w:pPr>
              <w:jc w:val="right"/>
              <w:rPr>
                <w:rFonts w:cstheme="minorHAnsi"/>
              </w:rPr>
            </w:pPr>
            <w:r w:rsidRPr="000B1BFD">
              <w:rPr>
                <w:rFonts w:cstheme="minorHAnsi"/>
              </w:rPr>
              <w:t>425</w:t>
            </w:r>
          </w:p>
        </w:tc>
      </w:tr>
      <w:tr w14:paraId="05A81AE9" w14:textId="77777777" w:rsidTr="006D0304">
        <w:tblPrEx>
          <w:tblW w:w="0" w:type="auto"/>
          <w:tblLook w:val="04A0"/>
        </w:tblPrEx>
        <w:trPr>
          <w:trHeight w:val="330"/>
        </w:trPr>
        <w:tc>
          <w:tcPr>
            <w:tcW w:w="0" w:type="auto"/>
            <w:noWrap/>
            <w:hideMark/>
          </w:tcPr>
          <w:p w:rsidR="00EF3D9A" w:rsidRPr="000B1BFD" w:rsidP="006D0304" w14:paraId="798843AF" w14:textId="77777777">
            <w:pPr>
              <w:rPr>
                <w:rFonts w:cstheme="minorHAnsi"/>
              </w:rPr>
            </w:pPr>
            <w:r w:rsidRPr="000B1BFD">
              <w:rPr>
                <w:rFonts w:cstheme="minorHAnsi"/>
              </w:rPr>
              <w:t>3</w:t>
            </w:r>
          </w:p>
        </w:tc>
        <w:tc>
          <w:tcPr>
            <w:tcW w:w="0" w:type="auto"/>
            <w:hideMark/>
          </w:tcPr>
          <w:p w:rsidR="00EF3D9A" w:rsidRPr="000B1BFD" w:rsidP="006D0304" w14:paraId="7B998589" w14:textId="77777777">
            <w:pPr>
              <w:jc w:val="right"/>
              <w:rPr>
                <w:rFonts w:cstheme="minorHAnsi"/>
                <w:color w:val="000000"/>
              </w:rPr>
            </w:pPr>
            <w:r w:rsidRPr="000B1BFD">
              <w:rPr>
                <w:rFonts w:cstheme="minorHAnsi"/>
                <w:color w:val="000000"/>
              </w:rPr>
              <w:t xml:space="preserve">              29,200 </w:t>
            </w:r>
          </w:p>
        </w:tc>
        <w:tc>
          <w:tcPr>
            <w:tcW w:w="0" w:type="auto"/>
            <w:noWrap/>
            <w:hideMark/>
          </w:tcPr>
          <w:p w:rsidR="00EF3D9A" w:rsidRPr="000B1BFD" w:rsidP="006D0304" w14:paraId="4BA4C770" w14:textId="77777777">
            <w:pPr>
              <w:jc w:val="right"/>
              <w:rPr>
                <w:rFonts w:cstheme="minorHAnsi"/>
              </w:rPr>
            </w:pPr>
            <w:r w:rsidRPr="000B1BFD">
              <w:rPr>
                <w:rFonts w:cstheme="minorHAnsi"/>
              </w:rPr>
              <w:t>1,460</w:t>
            </w:r>
          </w:p>
        </w:tc>
        <w:tc>
          <w:tcPr>
            <w:tcW w:w="0" w:type="auto"/>
            <w:noWrap/>
            <w:hideMark/>
          </w:tcPr>
          <w:p w:rsidR="00EF3D9A" w:rsidRPr="000B1BFD" w:rsidP="006D0304" w14:paraId="0B83F878" w14:textId="77777777">
            <w:pPr>
              <w:jc w:val="right"/>
              <w:rPr>
                <w:rFonts w:cstheme="minorHAnsi"/>
              </w:rPr>
            </w:pPr>
            <w:r w:rsidRPr="000B1BFD">
              <w:rPr>
                <w:rFonts w:cstheme="minorHAnsi"/>
              </w:rPr>
              <w:t>730</w:t>
            </w:r>
          </w:p>
        </w:tc>
        <w:tc>
          <w:tcPr>
            <w:tcW w:w="0" w:type="auto"/>
            <w:noWrap/>
            <w:hideMark/>
          </w:tcPr>
          <w:p w:rsidR="00EF3D9A" w:rsidRPr="000B1BFD" w:rsidP="006D0304" w14:paraId="60DFD2D5" w14:textId="77777777">
            <w:pPr>
              <w:jc w:val="right"/>
              <w:rPr>
                <w:rFonts w:cstheme="minorHAnsi"/>
              </w:rPr>
            </w:pPr>
            <w:r w:rsidRPr="000B1BFD">
              <w:rPr>
                <w:rFonts w:cstheme="minorHAnsi"/>
              </w:rPr>
              <w:t>730</w:t>
            </w:r>
          </w:p>
        </w:tc>
      </w:tr>
      <w:tr w14:paraId="4E59FCAE" w14:textId="77777777" w:rsidTr="006D0304">
        <w:tblPrEx>
          <w:tblW w:w="0" w:type="auto"/>
          <w:tblLook w:val="04A0"/>
        </w:tblPrEx>
        <w:trPr>
          <w:trHeight w:val="315"/>
        </w:trPr>
        <w:tc>
          <w:tcPr>
            <w:tcW w:w="0" w:type="auto"/>
            <w:noWrap/>
            <w:hideMark/>
          </w:tcPr>
          <w:p w:rsidR="00EF3D9A" w:rsidRPr="000B1BFD" w:rsidP="006D0304" w14:paraId="1D1D14D8" w14:textId="77777777">
            <w:pPr>
              <w:rPr>
                <w:rFonts w:cstheme="minorHAnsi"/>
              </w:rPr>
            </w:pPr>
            <w:r w:rsidRPr="000B1BFD">
              <w:rPr>
                <w:rFonts w:cstheme="minorHAnsi"/>
              </w:rPr>
              <w:t>4</w:t>
            </w:r>
          </w:p>
        </w:tc>
        <w:tc>
          <w:tcPr>
            <w:tcW w:w="0" w:type="auto"/>
            <w:hideMark/>
          </w:tcPr>
          <w:p w:rsidR="00EF3D9A" w:rsidRPr="000B1BFD" w:rsidP="006D0304" w14:paraId="7FB55EC8" w14:textId="77777777">
            <w:pPr>
              <w:jc w:val="right"/>
              <w:rPr>
                <w:rFonts w:cstheme="minorHAnsi"/>
                <w:color w:val="000000"/>
              </w:rPr>
            </w:pPr>
            <w:r w:rsidRPr="000B1BFD">
              <w:rPr>
                <w:rFonts w:cstheme="minorHAnsi"/>
                <w:color w:val="000000"/>
              </w:rPr>
              <w:t xml:space="preserve">                    200 </w:t>
            </w:r>
          </w:p>
        </w:tc>
        <w:tc>
          <w:tcPr>
            <w:tcW w:w="0" w:type="auto"/>
            <w:noWrap/>
            <w:hideMark/>
          </w:tcPr>
          <w:p w:rsidR="00EF3D9A" w:rsidRPr="000B1BFD" w:rsidP="006D0304" w14:paraId="6C022753" w14:textId="77777777">
            <w:pPr>
              <w:jc w:val="right"/>
              <w:rPr>
                <w:rFonts w:cstheme="minorHAnsi"/>
              </w:rPr>
            </w:pPr>
            <w:r w:rsidRPr="000B1BFD">
              <w:rPr>
                <w:rFonts w:cstheme="minorHAnsi"/>
              </w:rPr>
              <w:t>10</w:t>
            </w:r>
          </w:p>
        </w:tc>
        <w:tc>
          <w:tcPr>
            <w:tcW w:w="0" w:type="auto"/>
            <w:noWrap/>
            <w:hideMark/>
          </w:tcPr>
          <w:p w:rsidR="00EF3D9A" w:rsidRPr="000B1BFD" w:rsidP="006D0304" w14:paraId="29AB80FB" w14:textId="77777777">
            <w:pPr>
              <w:jc w:val="right"/>
              <w:rPr>
                <w:rFonts w:cstheme="minorHAnsi"/>
              </w:rPr>
            </w:pPr>
            <w:r w:rsidRPr="000B1BFD">
              <w:rPr>
                <w:rFonts w:cstheme="minorHAnsi"/>
              </w:rPr>
              <w:t>5</w:t>
            </w:r>
          </w:p>
        </w:tc>
        <w:tc>
          <w:tcPr>
            <w:tcW w:w="0" w:type="auto"/>
            <w:noWrap/>
            <w:hideMark/>
          </w:tcPr>
          <w:p w:rsidR="00EF3D9A" w:rsidRPr="000B1BFD" w:rsidP="006D0304" w14:paraId="337FF154" w14:textId="77777777">
            <w:pPr>
              <w:jc w:val="right"/>
              <w:rPr>
                <w:rFonts w:cstheme="minorHAnsi"/>
              </w:rPr>
            </w:pPr>
            <w:r w:rsidRPr="000B1BFD">
              <w:rPr>
                <w:rFonts w:cstheme="minorHAnsi"/>
              </w:rPr>
              <w:t>5</w:t>
            </w:r>
          </w:p>
        </w:tc>
      </w:tr>
      <w:tr w14:paraId="4102F4D1" w14:textId="77777777" w:rsidTr="006D0304">
        <w:tblPrEx>
          <w:tblW w:w="0" w:type="auto"/>
          <w:tblLook w:val="04A0"/>
        </w:tblPrEx>
        <w:trPr>
          <w:trHeight w:val="300"/>
        </w:trPr>
        <w:tc>
          <w:tcPr>
            <w:tcW w:w="0" w:type="auto"/>
            <w:noWrap/>
            <w:hideMark/>
          </w:tcPr>
          <w:p w:rsidR="00EF3D9A" w:rsidRPr="000B1BFD" w:rsidP="006D0304" w14:paraId="6D3F7EE4" w14:textId="77777777">
            <w:pPr>
              <w:rPr>
                <w:rFonts w:cstheme="minorHAnsi"/>
              </w:rPr>
            </w:pPr>
            <w:r w:rsidRPr="000B1BFD">
              <w:rPr>
                <w:rFonts w:cstheme="minorHAnsi"/>
              </w:rPr>
              <w:t>5</w:t>
            </w:r>
          </w:p>
        </w:tc>
        <w:tc>
          <w:tcPr>
            <w:tcW w:w="0" w:type="auto"/>
            <w:hideMark/>
          </w:tcPr>
          <w:p w:rsidR="00EF3D9A" w:rsidRPr="000B1BFD" w:rsidP="006D0304" w14:paraId="37F3EF4F" w14:textId="77777777">
            <w:pPr>
              <w:jc w:val="right"/>
              <w:rPr>
                <w:rFonts w:cstheme="minorHAnsi"/>
                <w:color w:val="000000"/>
              </w:rPr>
            </w:pPr>
            <w:r w:rsidRPr="000B1BFD">
              <w:rPr>
                <w:rFonts w:cstheme="minorHAnsi"/>
                <w:color w:val="000000"/>
              </w:rPr>
              <w:t xml:space="preserve">              45,300 </w:t>
            </w:r>
          </w:p>
        </w:tc>
        <w:tc>
          <w:tcPr>
            <w:tcW w:w="0" w:type="auto"/>
            <w:noWrap/>
            <w:hideMark/>
          </w:tcPr>
          <w:p w:rsidR="00EF3D9A" w:rsidRPr="000B1BFD" w:rsidP="006D0304" w14:paraId="2430748E" w14:textId="77777777">
            <w:pPr>
              <w:jc w:val="right"/>
              <w:rPr>
                <w:rFonts w:cstheme="minorHAnsi"/>
              </w:rPr>
            </w:pPr>
            <w:r w:rsidRPr="000B1BFD">
              <w:rPr>
                <w:rFonts w:cstheme="minorHAnsi"/>
              </w:rPr>
              <w:t>2,265</w:t>
            </w:r>
          </w:p>
        </w:tc>
        <w:tc>
          <w:tcPr>
            <w:tcW w:w="0" w:type="auto"/>
            <w:noWrap/>
            <w:hideMark/>
          </w:tcPr>
          <w:p w:rsidR="00EF3D9A" w:rsidRPr="000B1BFD" w:rsidP="006D0304" w14:paraId="71F430AB" w14:textId="77777777">
            <w:pPr>
              <w:jc w:val="right"/>
              <w:rPr>
                <w:rFonts w:cstheme="minorHAnsi"/>
              </w:rPr>
            </w:pPr>
            <w:r w:rsidRPr="000B1BFD">
              <w:rPr>
                <w:rFonts w:cstheme="minorHAnsi"/>
              </w:rPr>
              <w:t>1,133</w:t>
            </w:r>
          </w:p>
        </w:tc>
        <w:tc>
          <w:tcPr>
            <w:tcW w:w="0" w:type="auto"/>
            <w:noWrap/>
            <w:hideMark/>
          </w:tcPr>
          <w:p w:rsidR="00EF3D9A" w:rsidRPr="000B1BFD" w:rsidP="006D0304" w14:paraId="3FFBFC18" w14:textId="77777777">
            <w:pPr>
              <w:jc w:val="right"/>
              <w:rPr>
                <w:rFonts w:cstheme="minorHAnsi"/>
              </w:rPr>
            </w:pPr>
            <w:r w:rsidRPr="000B1BFD">
              <w:rPr>
                <w:rFonts w:cstheme="minorHAnsi"/>
              </w:rPr>
              <w:t>1,133</w:t>
            </w:r>
          </w:p>
        </w:tc>
      </w:tr>
      <w:tr w14:paraId="27B38022" w14:textId="77777777" w:rsidTr="006D0304">
        <w:tblPrEx>
          <w:tblW w:w="0" w:type="auto"/>
          <w:tblLook w:val="04A0"/>
        </w:tblPrEx>
        <w:trPr>
          <w:trHeight w:val="300"/>
        </w:trPr>
        <w:tc>
          <w:tcPr>
            <w:tcW w:w="0" w:type="auto"/>
            <w:noWrap/>
            <w:hideMark/>
          </w:tcPr>
          <w:p w:rsidR="00EF3D9A" w:rsidRPr="000B1BFD" w:rsidP="006D0304" w14:paraId="2976D66F" w14:textId="77777777">
            <w:pPr>
              <w:rPr>
                <w:rFonts w:cstheme="minorHAnsi"/>
              </w:rPr>
            </w:pPr>
            <w:r w:rsidRPr="000B1BFD">
              <w:rPr>
                <w:rFonts w:cstheme="minorHAnsi"/>
              </w:rPr>
              <w:t>6</w:t>
            </w:r>
          </w:p>
        </w:tc>
        <w:tc>
          <w:tcPr>
            <w:tcW w:w="0" w:type="auto"/>
            <w:hideMark/>
          </w:tcPr>
          <w:p w:rsidR="00EF3D9A" w:rsidRPr="000B1BFD" w:rsidP="006D0304" w14:paraId="4F0D385D" w14:textId="77777777">
            <w:pPr>
              <w:jc w:val="right"/>
              <w:rPr>
                <w:rFonts w:cstheme="minorHAnsi"/>
                <w:color w:val="000000"/>
              </w:rPr>
            </w:pPr>
            <w:r w:rsidRPr="000B1BFD">
              <w:rPr>
                <w:rFonts w:cstheme="minorHAnsi"/>
                <w:color w:val="000000"/>
              </w:rPr>
              <w:t xml:space="preserve">              15,100 </w:t>
            </w:r>
          </w:p>
        </w:tc>
        <w:tc>
          <w:tcPr>
            <w:tcW w:w="0" w:type="auto"/>
            <w:noWrap/>
            <w:hideMark/>
          </w:tcPr>
          <w:p w:rsidR="00EF3D9A" w:rsidRPr="000B1BFD" w:rsidP="006D0304" w14:paraId="49383209" w14:textId="77777777">
            <w:pPr>
              <w:jc w:val="right"/>
              <w:rPr>
                <w:rFonts w:cstheme="minorHAnsi"/>
              </w:rPr>
            </w:pPr>
            <w:r w:rsidRPr="000B1BFD">
              <w:rPr>
                <w:rFonts w:cstheme="minorHAnsi"/>
              </w:rPr>
              <w:t>755</w:t>
            </w:r>
          </w:p>
        </w:tc>
        <w:tc>
          <w:tcPr>
            <w:tcW w:w="0" w:type="auto"/>
            <w:noWrap/>
            <w:hideMark/>
          </w:tcPr>
          <w:p w:rsidR="00EF3D9A" w:rsidRPr="000B1BFD" w:rsidP="006D0304" w14:paraId="0BE44C7A" w14:textId="77777777">
            <w:pPr>
              <w:jc w:val="right"/>
              <w:rPr>
                <w:rFonts w:cstheme="minorHAnsi"/>
              </w:rPr>
            </w:pPr>
            <w:r w:rsidRPr="000B1BFD">
              <w:rPr>
                <w:rFonts w:cstheme="minorHAnsi"/>
              </w:rPr>
              <w:t>378</w:t>
            </w:r>
          </w:p>
        </w:tc>
        <w:tc>
          <w:tcPr>
            <w:tcW w:w="0" w:type="auto"/>
            <w:noWrap/>
            <w:hideMark/>
          </w:tcPr>
          <w:p w:rsidR="00EF3D9A" w:rsidRPr="000B1BFD" w:rsidP="006D0304" w14:paraId="5056A98E" w14:textId="77777777">
            <w:pPr>
              <w:jc w:val="right"/>
              <w:rPr>
                <w:rFonts w:cstheme="minorHAnsi"/>
              </w:rPr>
            </w:pPr>
            <w:r w:rsidRPr="000B1BFD">
              <w:rPr>
                <w:rFonts w:cstheme="minorHAnsi"/>
              </w:rPr>
              <w:t>378</w:t>
            </w:r>
          </w:p>
        </w:tc>
      </w:tr>
      <w:tr w14:paraId="3965ABEB" w14:textId="77777777" w:rsidTr="006D0304">
        <w:tblPrEx>
          <w:tblW w:w="0" w:type="auto"/>
          <w:tblLook w:val="04A0"/>
        </w:tblPrEx>
        <w:trPr>
          <w:trHeight w:val="300"/>
        </w:trPr>
        <w:tc>
          <w:tcPr>
            <w:tcW w:w="0" w:type="auto"/>
            <w:noWrap/>
            <w:hideMark/>
          </w:tcPr>
          <w:p w:rsidR="00EF3D9A" w:rsidRPr="000B1BFD" w:rsidP="006D0304" w14:paraId="2C476022" w14:textId="77777777">
            <w:pPr>
              <w:rPr>
                <w:rFonts w:cstheme="minorHAnsi"/>
              </w:rPr>
            </w:pPr>
            <w:r w:rsidRPr="000B1BFD">
              <w:rPr>
                <w:rFonts w:cstheme="minorHAnsi"/>
              </w:rPr>
              <w:t>7</w:t>
            </w:r>
          </w:p>
        </w:tc>
        <w:tc>
          <w:tcPr>
            <w:tcW w:w="0" w:type="auto"/>
            <w:hideMark/>
          </w:tcPr>
          <w:p w:rsidR="00EF3D9A" w:rsidRPr="000B1BFD" w:rsidP="006D0304" w14:paraId="493FD2A4" w14:textId="77777777">
            <w:pPr>
              <w:jc w:val="right"/>
              <w:rPr>
                <w:rFonts w:cstheme="minorHAnsi"/>
                <w:color w:val="000000"/>
              </w:rPr>
            </w:pPr>
            <w:r w:rsidRPr="000B1BFD">
              <w:rPr>
                <w:rFonts w:cstheme="minorHAnsi"/>
                <w:color w:val="000000"/>
              </w:rPr>
              <w:t xml:space="preserve">                    100 </w:t>
            </w:r>
          </w:p>
        </w:tc>
        <w:tc>
          <w:tcPr>
            <w:tcW w:w="0" w:type="auto"/>
            <w:noWrap/>
            <w:hideMark/>
          </w:tcPr>
          <w:p w:rsidR="00EF3D9A" w:rsidRPr="000B1BFD" w:rsidP="006D0304" w14:paraId="3080B2B3" w14:textId="77777777">
            <w:pPr>
              <w:jc w:val="right"/>
              <w:rPr>
                <w:rFonts w:cstheme="minorHAnsi"/>
              </w:rPr>
            </w:pPr>
            <w:r w:rsidRPr="000B1BFD">
              <w:rPr>
                <w:rFonts w:cstheme="minorHAnsi"/>
              </w:rPr>
              <w:t>5</w:t>
            </w:r>
          </w:p>
        </w:tc>
        <w:tc>
          <w:tcPr>
            <w:tcW w:w="0" w:type="auto"/>
            <w:noWrap/>
            <w:hideMark/>
          </w:tcPr>
          <w:p w:rsidR="00EF3D9A" w:rsidRPr="000B1BFD" w:rsidP="006D0304" w14:paraId="54543DB1" w14:textId="77777777">
            <w:pPr>
              <w:jc w:val="right"/>
              <w:rPr>
                <w:rFonts w:cstheme="minorHAnsi"/>
              </w:rPr>
            </w:pPr>
            <w:r w:rsidRPr="000B1BFD">
              <w:rPr>
                <w:rFonts w:cstheme="minorHAnsi"/>
              </w:rPr>
              <w:t>3</w:t>
            </w:r>
          </w:p>
        </w:tc>
        <w:tc>
          <w:tcPr>
            <w:tcW w:w="0" w:type="auto"/>
            <w:noWrap/>
            <w:hideMark/>
          </w:tcPr>
          <w:p w:rsidR="00EF3D9A" w:rsidRPr="000B1BFD" w:rsidP="006D0304" w14:paraId="3ECF7FC6" w14:textId="77777777">
            <w:pPr>
              <w:jc w:val="right"/>
              <w:rPr>
                <w:rFonts w:cstheme="minorHAnsi"/>
              </w:rPr>
            </w:pPr>
            <w:r w:rsidRPr="000B1BFD">
              <w:rPr>
                <w:rFonts w:cstheme="minorHAnsi"/>
              </w:rPr>
              <w:t>3</w:t>
            </w:r>
          </w:p>
        </w:tc>
      </w:tr>
      <w:tr w14:paraId="3BA119F9" w14:textId="77777777" w:rsidTr="006D0304">
        <w:tblPrEx>
          <w:tblW w:w="0" w:type="auto"/>
          <w:tblLook w:val="04A0"/>
        </w:tblPrEx>
        <w:trPr>
          <w:trHeight w:val="300"/>
        </w:trPr>
        <w:tc>
          <w:tcPr>
            <w:tcW w:w="0" w:type="auto"/>
            <w:noWrap/>
            <w:hideMark/>
          </w:tcPr>
          <w:p w:rsidR="00EF3D9A" w:rsidRPr="000B1BFD" w:rsidP="006D0304" w14:paraId="0C8119CF" w14:textId="77777777">
            <w:pPr>
              <w:rPr>
                <w:rFonts w:cstheme="minorHAnsi"/>
              </w:rPr>
            </w:pPr>
            <w:r w:rsidRPr="000B1BFD">
              <w:rPr>
                <w:rFonts w:cstheme="minorHAnsi"/>
              </w:rPr>
              <w:t>8</w:t>
            </w:r>
          </w:p>
        </w:tc>
        <w:tc>
          <w:tcPr>
            <w:tcW w:w="0" w:type="auto"/>
            <w:hideMark/>
          </w:tcPr>
          <w:p w:rsidR="00EF3D9A" w:rsidRPr="000B1BFD" w:rsidP="006D0304" w14:paraId="4FC7DFF5" w14:textId="77777777">
            <w:pPr>
              <w:jc w:val="right"/>
              <w:rPr>
                <w:rFonts w:cstheme="minorHAnsi"/>
                <w:color w:val="000000"/>
              </w:rPr>
            </w:pPr>
            <w:r w:rsidRPr="000B1BFD">
              <w:rPr>
                <w:rFonts w:cstheme="minorHAnsi"/>
                <w:color w:val="000000"/>
              </w:rPr>
              <w:t xml:space="preserve">              11,000 </w:t>
            </w:r>
          </w:p>
        </w:tc>
        <w:tc>
          <w:tcPr>
            <w:tcW w:w="0" w:type="auto"/>
            <w:noWrap/>
            <w:hideMark/>
          </w:tcPr>
          <w:p w:rsidR="00EF3D9A" w:rsidRPr="000B1BFD" w:rsidP="006D0304" w14:paraId="41E797F7" w14:textId="77777777">
            <w:pPr>
              <w:jc w:val="right"/>
              <w:rPr>
                <w:rFonts w:cstheme="minorHAnsi"/>
              </w:rPr>
            </w:pPr>
            <w:r w:rsidRPr="000B1BFD">
              <w:rPr>
                <w:rFonts w:cstheme="minorHAnsi"/>
              </w:rPr>
              <w:t>550</w:t>
            </w:r>
          </w:p>
        </w:tc>
        <w:tc>
          <w:tcPr>
            <w:tcW w:w="0" w:type="auto"/>
            <w:noWrap/>
            <w:hideMark/>
          </w:tcPr>
          <w:p w:rsidR="00EF3D9A" w:rsidRPr="000B1BFD" w:rsidP="006D0304" w14:paraId="6CBDB006" w14:textId="77777777">
            <w:pPr>
              <w:jc w:val="right"/>
              <w:rPr>
                <w:rFonts w:cstheme="minorHAnsi"/>
              </w:rPr>
            </w:pPr>
            <w:r w:rsidRPr="000B1BFD">
              <w:rPr>
                <w:rFonts w:cstheme="minorHAnsi"/>
              </w:rPr>
              <w:t>275</w:t>
            </w:r>
          </w:p>
        </w:tc>
        <w:tc>
          <w:tcPr>
            <w:tcW w:w="0" w:type="auto"/>
            <w:noWrap/>
            <w:hideMark/>
          </w:tcPr>
          <w:p w:rsidR="00EF3D9A" w:rsidRPr="000B1BFD" w:rsidP="006D0304" w14:paraId="4416D974" w14:textId="77777777">
            <w:pPr>
              <w:jc w:val="right"/>
              <w:rPr>
                <w:rFonts w:cstheme="minorHAnsi"/>
              </w:rPr>
            </w:pPr>
            <w:r w:rsidRPr="000B1BFD">
              <w:rPr>
                <w:rFonts w:cstheme="minorHAnsi"/>
              </w:rPr>
              <w:t>275</w:t>
            </w:r>
          </w:p>
        </w:tc>
      </w:tr>
      <w:tr w14:paraId="647AB34A" w14:textId="77777777" w:rsidTr="006D0304">
        <w:tblPrEx>
          <w:tblW w:w="0" w:type="auto"/>
          <w:tblLook w:val="04A0"/>
        </w:tblPrEx>
        <w:trPr>
          <w:trHeight w:val="300"/>
        </w:trPr>
        <w:tc>
          <w:tcPr>
            <w:tcW w:w="0" w:type="auto"/>
            <w:noWrap/>
            <w:hideMark/>
          </w:tcPr>
          <w:p w:rsidR="00EF3D9A" w:rsidRPr="000B1BFD" w:rsidP="006D0304" w14:paraId="2E6E2F56" w14:textId="77777777">
            <w:pPr>
              <w:rPr>
                <w:rFonts w:cstheme="minorHAnsi"/>
              </w:rPr>
            </w:pPr>
            <w:r w:rsidRPr="000B1BFD">
              <w:rPr>
                <w:rFonts w:cstheme="minorHAnsi"/>
              </w:rPr>
              <w:t>9</w:t>
            </w:r>
          </w:p>
        </w:tc>
        <w:tc>
          <w:tcPr>
            <w:tcW w:w="0" w:type="auto"/>
            <w:hideMark/>
          </w:tcPr>
          <w:p w:rsidR="00EF3D9A" w:rsidRPr="000B1BFD" w:rsidP="006D0304" w14:paraId="541AD3D4" w14:textId="77777777">
            <w:pPr>
              <w:jc w:val="right"/>
              <w:rPr>
                <w:rFonts w:cstheme="minorHAnsi"/>
                <w:color w:val="000000"/>
              </w:rPr>
            </w:pPr>
            <w:r w:rsidRPr="000B1BFD">
              <w:rPr>
                <w:rFonts w:cstheme="minorHAnsi"/>
                <w:color w:val="000000"/>
              </w:rPr>
              <w:t xml:space="preserve">              31,000 </w:t>
            </w:r>
          </w:p>
        </w:tc>
        <w:tc>
          <w:tcPr>
            <w:tcW w:w="0" w:type="auto"/>
            <w:noWrap/>
            <w:hideMark/>
          </w:tcPr>
          <w:p w:rsidR="00EF3D9A" w:rsidRPr="000B1BFD" w:rsidP="006D0304" w14:paraId="243D40D6" w14:textId="77777777">
            <w:pPr>
              <w:jc w:val="right"/>
              <w:rPr>
                <w:rFonts w:cstheme="minorHAnsi"/>
              </w:rPr>
            </w:pPr>
            <w:r w:rsidRPr="000B1BFD">
              <w:rPr>
                <w:rFonts w:cstheme="minorHAnsi"/>
              </w:rPr>
              <w:t>1,550</w:t>
            </w:r>
          </w:p>
        </w:tc>
        <w:tc>
          <w:tcPr>
            <w:tcW w:w="0" w:type="auto"/>
            <w:noWrap/>
            <w:hideMark/>
          </w:tcPr>
          <w:p w:rsidR="00EF3D9A" w:rsidRPr="000B1BFD" w:rsidP="006D0304" w14:paraId="5CED1CE5" w14:textId="77777777">
            <w:pPr>
              <w:jc w:val="right"/>
              <w:rPr>
                <w:rFonts w:cstheme="minorHAnsi"/>
              </w:rPr>
            </w:pPr>
            <w:r w:rsidRPr="000B1BFD">
              <w:rPr>
                <w:rFonts w:cstheme="minorHAnsi"/>
              </w:rPr>
              <w:t>775</w:t>
            </w:r>
          </w:p>
        </w:tc>
        <w:tc>
          <w:tcPr>
            <w:tcW w:w="0" w:type="auto"/>
            <w:noWrap/>
            <w:hideMark/>
          </w:tcPr>
          <w:p w:rsidR="00EF3D9A" w:rsidRPr="000B1BFD" w:rsidP="006D0304" w14:paraId="0F7A5E27" w14:textId="77777777">
            <w:pPr>
              <w:jc w:val="right"/>
              <w:rPr>
                <w:rFonts w:cstheme="minorHAnsi"/>
              </w:rPr>
            </w:pPr>
            <w:r w:rsidRPr="000B1BFD">
              <w:rPr>
                <w:rFonts w:cstheme="minorHAnsi"/>
              </w:rPr>
              <w:t>775</w:t>
            </w:r>
          </w:p>
        </w:tc>
      </w:tr>
      <w:tr w14:paraId="06A5F4C3" w14:textId="77777777" w:rsidTr="006D0304">
        <w:tblPrEx>
          <w:tblW w:w="0" w:type="auto"/>
          <w:tblLook w:val="04A0"/>
        </w:tblPrEx>
        <w:trPr>
          <w:trHeight w:val="255"/>
        </w:trPr>
        <w:tc>
          <w:tcPr>
            <w:tcW w:w="0" w:type="auto"/>
            <w:noWrap/>
            <w:hideMark/>
          </w:tcPr>
          <w:p w:rsidR="00EF3D9A" w:rsidRPr="000B1BFD" w:rsidP="006D0304" w14:paraId="523D15C4" w14:textId="77777777">
            <w:pPr>
              <w:rPr>
                <w:rFonts w:cstheme="minorHAnsi"/>
              </w:rPr>
            </w:pPr>
            <w:r w:rsidRPr="000B1BFD">
              <w:rPr>
                <w:rFonts w:cstheme="minorHAnsi"/>
              </w:rPr>
              <w:t>10</w:t>
            </w:r>
          </w:p>
        </w:tc>
        <w:tc>
          <w:tcPr>
            <w:tcW w:w="0" w:type="auto"/>
            <w:noWrap/>
            <w:hideMark/>
          </w:tcPr>
          <w:p w:rsidR="00EF3D9A" w:rsidRPr="000B1BFD" w:rsidP="006D0304" w14:paraId="0C78F206" w14:textId="77777777">
            <w:pPr>
              <w:jc w:val="right"/>
              <w:rPr>
                <w:rFonts w:cstheme="minorHAnsi"/>
              </w:rPr>
            </w:pPr>
            <w:r w:rsidRPr="000B1BFD">
              <w:rPr>
                <w:rFonts w:cstheme="minorHAnsi"/>
              </w:rPr>
              <w:t>0</w:t>
            </w:r>
          </w:p>
        </w:tc>
        <w:tc>
          <w:tcPr>
            <w:tcW w:w="0" w:type="auto"/>
            <w:noWrap/>
            <w:hideMark/>
          </w:tcPr>
          <w:p w:rsidR="00EF3D9A" w:rsidRPr="000B1BFD" w:rsidP="006D0304" w14:paraId="16E98049" w14:textId="77777777">
            <w:pPr>
              <w:jc w:val="right"/>
              <w:rPr>
                <w:rFonts w:cstheme="minorHAnsi"/>
              </w:rPr>
            </w:pPr>
            <w:r w:rsidRPr="000B1BFD">
              <w:rPr>
                <w:rFonts w:cstheme="minorHAnsi"/>
              </w:rPr>
              <w:t>0</w:t>
            </w:r>
          </w:p>
        </w:tc>
        <w:tc>
          <w:tcPr>
            <w:tcW w:w="0" w:type="auto"/>
            <w:noWrap/>
            <w:hideMark/>
          </w:tcPr>
          <w:p w:rsidR="00EF3D9A" w:rsidRPr="000B1BFD" w:rsidP="006D0304" w14:paraId="16EB3B87" w14:textId="77777777">
            <w:pPr>
              <w:jc w:val="right"/>
              <w:rPr>
                <w:rFonts w:cstheme="minorHAnsi"/>
              </w:rPr>
            </w:pPr>
            <w:r w:rsidRPr="000B1BFD">
              <w:rPr>
                <w:rFonts w:cstheme="minorHAnsi"/>
              </w:rPr>
              <w:t>0</w:t>
            </w:r>
          </w:p>
        </w:tc>
        <w:tc>
          <w:tcPr>
            <w:tcW w:w="0" w:type="auto"/>
            <w:noWrap/>
            <w:hideMark/>
          </w:tcPr>
          <w:p w:rsidR="00EF3D9A" w:rsidRPr="000B1BFD" w:rsidP="006D0304" w14:paraId="595756B3" w14:textId="77777777">
            <w:pPr>
              <w:jc w:val="right"/>
              <w:rPr>
                <w:rFonts w:cstheme="minorHAnsi"/>
              </w:rPr>
            </w:pPr>
            <w:r w:rsidRPr="000B1BFD">
              <w:rPr>
                <w:rFonts w:cstheme="minorHAnsi"/>
              </w:rPr>
              <w:t>0</w:t>
            </w:r>
          </w:p>
        </w:tc>
      </w:tr>
      <w:tr w14:paraId="04E46C51" w14:textId="77777777" w:rsidTr="006D0304">
        <w:tblPrEx>
          <w:tblW w:w="0" w:type="auto"/>
          <w:tblLook w:val="04A0"/>
        </w:tblPrEx>
        <w:trPr>
          <w:trHeight w:val="255"/>
        </w:trPr>
        <w:tc>
          <w:tcPr>
            <w:tcW w:w="0" w:type="auto"/>
            <w:noWrap/>
            <w:hideMark/>
          </w:tcPr>
          <w:p w:rsidR="00EF3D9A" w:rsidRPr="000B1BFD" w:rsidP="006D0304" w14:paraId="27AB8740" w14:textId="77777777">
            <w:pPr>
              <w:rPr>
                <w:rFonts w:cstheme="minorHAnsi"/>
              </w:rPr>
            </w:pPr>
            <w:r w:rsidRPr="000B1BFD">
              <w:rPr>
                <w:rFonts w:cstheme="minorHAnsi"/>
              </w:rPr>
              <w:t>R9 tribal areas</w:t>
            </w:r>
          </w:p>
        </w:tc>
        <w:tc>
          <w:tcPr>
            <w:tcW w:w="0" w:type="auto"/>
            <w:noWrap/>
            <w:hideMark/>
          </w:tcPr>
          <w:p w:rsidR="00EF3D9A" w:rsidRPr="000B1BFD" w:rsidP="006D0304" w14:paraId="7A7074BE" w14:textId="77777777">
            <w:pPr>
              <w:jc w:val="right"/>
              <w:rPr>
                <w:rFonts w:cstheme="minorHAnsi"/>
              </w:rPr>
            </w:pPr>
            <w:r w:rsidRPr="000B1BFD">
              <w:rPr>
                <w:rFonts w:cstheme="minorHAnsi"/>
              </w:rPr>
              <w:t> </w:t>
            </w:r>
          </w:p>
        </w:tc>
        <w:tc>
          <w:tcPr>
            <w:tcW w:w="0" w:type="auto"/>
            <w:noWrap/>
            <w:hideMark/>
          </w:tcPr>
          <w:p w:rsidR="00EF3D9A" w:rsidRPr="000B1BFD" w:rsidP="006D0304" w14:paraId="473B9CB3" w14:textId="77777777">
            <w:pPr>
              <w:jc w:val="right"/>
              <w:rPr>
                <w:rFonts w:cstheme="minorHAnsi"/>
              </w:rPr>
            </w:pPr>
            <w:r w:rsidRPr="000B1BFD">
              <w:rPr>
                <w:rFonts w:cstheme="minorHAnsi"/>
              </w:rPr>
              <w:t>0</w:t>
            </w:r>
          </w:p>
        </w:tc>
        <w:tc>
          <w:tcPr>
            <w:tcW w:w="0" w:type="auto"/>
            <w:noWrap/>
            <w:hideMark/>
          </w:tcPr>
          <w:p w:rsidR="00EF3D9A" w:rsidRPr="000B1BFD" w:rsidP="006D0304" w14:paraId="54F76CA5" w14:textId="77777777">
            <w:pPr>
              <w:jc w:val="right"/>
              <w:rPr>
                <w:rFonts w:cstheme="minorHAnsi"/>
              </w:rPr>
            </w:pPr>
            <w:r w:rsidRPr="000B1BFD">
              <w:rPr>
                <w:rFonts w:cstheme="minorHAnsi"/>
              </w:rPr>
              <w:t>0</w:t>
            </w:r>
          </w:p>
        </w:tc>
        <w:tc>
          <w:tcPr>
            <w:tcW w:w="0" w:type="auto"/>
            <w:noWrap/>
            <w:hideMark/>
          </w:tcPr>
          <w:p w:rsidR="00EF3D9A" w:rsidRPr="000B1BFD" w:rsidP="006D0304" w14:paraId="330FEC2E" w14:textId="77777777">
            <w:pPr>
              <w:jc w:val="right"/>
              <w:rPr>
                <w:rFonts w:cstheme="minorHAnsi"/>
              </w:rPr>
            </w:pPr>
            <w:r w:rsidRPr="000B1BFD">
              <w:rPr>
                <w:rFonts w:cstheme="minorHAnsi"/>
              </w:rPr>
              <w:t>0</w:t>
            </w:r>
          </w:p>
        </w:tc>
      </w:tr>
      <w:tr w14:paraId="778FF2AA" w14:textId="77777777" w:rsidTr="006D0304">
        <w:tblPrEx>
          <w:tblW w:w="0" w:type="auto"/>
          <w:tblLook w:val="04A0"/>
        </w:tblPrEx>
        <w:trPr>
          <w:trHeight w:val="255"/>
        </w:trPr>
        <w:tc>
          <w:tcPr>
            <w:tcW w:w="0" w:type="auto"/>
            <w:noWrap/>
            <w:hideMark/>
          </w:tcPr>
          <w:p w:rsidR="00EF3D9A" w:rsidRPr="000B1BFD" w:rsidP="006D0304" w14:paraId="4A1C1D77" w14:textId="77777777">
            <w:pPr>
              <w:rPr>
                <w:rFonts w:cstheme="minorHAnsi"/>
                <w:b/>
                <w:bCs/>
              </w:rPr>
            </w:pPr>
            <w:r w:rsidRPr="000B1BFD">
              <w:rPr>
                <w:rFonts w:cstheme="minorHAnsi"/>
                <w:b/>
                <w:bCs/>
              </w:rPr>
              <w:t>Grand Total</w:t>
            </w:r>
          </w:p>
        </w:tc>
        <w:tc>
          <w:tcPr>
            <w:tcW w:w="0" w:type="auto"/>
            <w:noWrap/>
            <w:hideMark/>
          </w:tcPr>
          <w:p w:rsidR="00EF3D9A" w:rsidRPr="000B1BFD" w:rsidP="006D0304" w14:paraId="33A3475B" w14:textId="77777777">
            <w:pPr>
              <w:jc w:val="right"/>
              <w:rPr>
                <w:rFonts w:cstheme="minorHAnsi"/>
                <w:b/>
                <w:bCs/>
              </w:rPr>
            </w:pPr>
            <w:r w:rsidRPr="000B1BFD">
              <w:rPr>
                <w:rFonts w:cstheme="minorHAnsi"/>
                <w:b/>
                <w:bCs/>
              </w:rPr>
              <w:t>161,000</w:t>
            </w:r>
          </w:p>
        </w:tc>
        <w:tc>
          <w:tcPr>
            <w:tcW w:w="0" w:type="auto"/>
            <w:noWrap/>
            <w:hideMark/>
          </w:tcPr>
          <w:p w:rsidR="00EF3D9A" w:rsidRPr="000B1BFD" w:rsidP="006D0304" w14:paraId="19F541D5" w14:textId="77777777">
            <w:pPr>
              <w:jc w:val="right"/>
              <w:rPr>
                <w:rFonts w:cstheme="minorHAnsi"/>
                <w:b/>
                <w:bCs/>
              </w:rPr>
            </w:pPr>
            <w:r w:rsidRPr="000B1BFD">
              <w:rPr>
                <w:rFonts w:cstheme="minorHAnsi"/>
                <w:b/>
                <w:bCs/>
              </w:rPr>
              <w:t>8,050</w:t>
            </w:r>
          </w:p>
        </w:tc>
        <w:tc>
          <w:tcPr>
            <w:tcW w:w="0" w:type="auto"/>
            <w:noWrap/>
            <w:hideMark/>
          </w:tcPr>
          <w:p w:rsidR="00EF3D9A" w:rsidRPr="000B1BFD" w:rsidP="006D0304" w14:paraId="70EB3EB3" w14:textId="77777777">
            <w:pPr>
              <w:jc w:val="right"/>
              <w:rPr>
                <w:rFonts w:cstheme="minorHAnsi"/>
                <w:b/>
                <w:bCs/>
              </w:rPr>
            </w:pPr>
            <w:r w:rsidRPr="000B1BFD">
              <w:rPr>
                <w:rFonts w:cstheme="minorHAnsi"/>
                <w:b/>
                <w:bCs/>
              </w:rPr>
              <w:t>4,025</w:t>
            </w:r>
          </w:p>
        </w:tc>
        <w:tc>
          <w:tcPr>
            <w:tcW w:w="0" w:type="auto"/>
            <w:noWrap/>
            <w:hideMark/>
          </w:tcPr>
          <w:p w:rsidR="00EF3D9A" w:rsidRPr="000B1BFD" w:rsidP="006D0304" w14:paraId="0BD14D52" w14:textId="77777777">
            <w:pPr>
              <w:jc w:val="right"/>
              <w:rPr>
                <w:rFonts w:cstheme="minorHAnsi"/>
                <w:b/>
                <w:bCs/>
              </w:rPr>
            </w:pPr>
            <w:r w:rsidRPr="000B1BFD">
              <w:rPr>
                <w:rFonts w:cstheme="minorHAnsi"/>
                <w:b/>
                <w:bCs/>
              </w:rPr>
              <w:t>4,025</w:t>
            </w:r>
          </w:p>
        </w:tc>
      </w:tr>
    </w:tbl>
    <w:p w:rsidR="00EF3D9A" w:rsidP="00EF3D9A" w14:paraId="31FE9B49" w14:textId="77777777">
      <w:pPr>
        <w:rPr>
          <w:rFonts w:cstheme="minorHAnsi"/>
          <w:b/>
        </w:rPr>
      </w:pPr>
    </w:p>
    <w:p w:rsidR="00EF3D9A" w:rsidRPr="00151881" w:rsidP="00EF3D9A" w14:paraId="11D62A49" w14:textId="7207D837">
      <w:pPr>
        <w:rPr>
          <w:rFonts w:cstheme="minorHAnsi"/>
        </w:rPr>
      </w:pPr>
      <w:r w:rsidRPr="00151881">
        <w:rPr>
          <w:rFonts w:cstheme="minorHAnsi"/>
          <w:b/>
        </w:rPr>
        <w:t>Agency Headquarters Burden.</w:t>
      </w:r>
      <w:r w:rsidRPr="00EE4D40">
        <w:rPr>
          <w:rFonts w:cstheme="minorHAnsi"/>
          <w:b/>
        </w:rPr>
        <w:t xml:space="preserve"> </w:t>
      </w:r>
      <w:r w:rsidRPr="00381196">
        <w:rPr>
          <w:rFonts w:cstheme="minorHAnsi"/>
          <w:bCs/>
        </w:rPr>
        <w:t xml:space="preserve">The Regional Office burden estimates for years 1, 2, and 3 are the State respondents' total multiplied by 10% to </w:t>
      </w:r>
      <w:r>
        <w:rPr>
          <w:rFonts w:cstheme="minorHAnsi"/>
          <w:bCs/>
        </w:rPr>
        <w:t>estimate</w:t>
      </w:r>
      <w:r w:rsidRPr="00381196">
        <w:rPr>
          <w:rFonts w:cstheme="minorHAnsi"/>
          <w:bCs/>
        </w:rPr>
        <w:t xml:space="preserve"> the Headquarters burden for the same 3 years. The resulting hours for year 1 are</w:t>
      </w:r>
      <w:r w:rsidRPr="00151881">
        <w:rPr>
          <w:rFonts w:cstheme="minorHAnsi"/>
        </w:rPr>
        <w:t xml:space="preserve"> 1,060 and 530 for years 2 and 3.</w:t>
      </w:r>
    </w:p>
    <w:p w:rsidR="00EF3D9A" w:rsidRPr="00151881" w:rsidP="00EF3D9A" w14:paraId="6BAAFC35" w14:textId="77777777">
      <w:pPr>
        <w:rPr>
          <w:rFonts w:cstheme="minorHAnsi"/>
        </w:rPr>
      </w:pPr>
      <w:r w:rsidRPr="00151881">
        <w:rPr>
          <w:rFonts w:cstheme="minorHAnsi"/>
          <w:b/>
        </w:rPr>
        <w:t>Total Incremental Burden for the Agency.</w:t>
      </w:r>
      <w:r w:rsidRPr="00EE4D40">
        <w:rPr>
          <w:rFonts w:cstheme="minorHAnsi"/>
          <w:b/>
        </w:rPr>
        <w:t xml:space="preserve">  </w:t>
      </w:r>
      <w:r w:rsidRPr="00151881">
        <w:rPr>
          <w:rFonts w:cstheme="minorHAnsi"/>
        </w:rPr>
        <w:t>The regional and headquarters office burden estimate for year 1 is 11,660 hours.</w:t>
      </w:r>
      <w:r w:rsidRPr="00EE4D40">
        <w:rPr>
          <w:rFonts w:cstheme="minorHAnsi"/>
        </w:rPr>
        <w:t xml:space="preserve">  </w:t>
      </w:r>
      <w:r w:rsidRPr="00151881">
        <w:rPr>
          <w:rFonts w:cstheme="minorHAnsi"/>
        </w:rPr>
        <w:t>The estimates for years 2 and 3 are 5830 hours each year.</w:t>
      </w:r>
    </w:p>
    <w:p w:rsidR="00EF3D9A" w:rsidRPr="00151881" w:rsidP="00EF3D9A" w14:paraId="55C06F5A" w14:textId="77777777">
      <w:pPr>
        <w:rPr>
          <w:rFonts w:cstheme="minorHAnsi"/>
        </w:rPr>
      </w:pPr>
      <w:r w:rsidRPr="00151881">
        <w:rPr>
          <w:rFonts w:cstheme="minorHAnsi"/>
          <w:b/>
        </w:rPr>
        <w:t>Total Cost for the Agency.</w:t>
      </w:r>
      <w:r w:rsidRPr="00EE4D40">
        <w:rPr>
          <w:rFonts w:cstheme="minorHAnsi"/>
          <w:b/>
        </w:rPr>
        <w:t xml:space="preserve">  </w:t>
      </w:r>
      <w:r w:rsidRPr="00151881">
        <w:rPr>
          <w:rFonts w:cstheme="minorHAnsi"/>
        </w:rPr>
        <w:t>Using the weighted direct and indirect salary equivalent hour rate derived in section 6(b), the total incremental burden hours are multiplied by that rate.</w:t>
      </w:r>
      <w:r w:rsidRPr="00EE4D40">
        <w:rPr>
          <w:rFonts w:cstheme="minorHAnsi"/>
        </w:rPr>
        <w:t xml:space="preserve">  </w:t>
      </w:r>
      <w:r w:rsidRPr="00151881">
        <w:rPr>
          <w:rFonts w:cstheme="minorHAnsi"/>
        </w:rPr>
        <w:t>The result is the total cost estimate for the Agency; see Table 11.</w:t>
      </w:r>
    </w:p>
    <w:p w:rsidR="00EF3D9A" w:rsidRPr="00151881" w:rsidP="00EF3D9A" w14:paraId="1577C7D0" w14:textId="77777777">
      <w:pPr>
        <w:outlineLvl w:val="0"/>
        <w:rPr>
          <w:rFonts w:cstheme="minorHAnsi"/>
          <w:b/>
        </w:rPr>
      </w:pPr>
      <w:bookmarkStart w:id="43" w:name="_Toc170222549"/>
      <w:r w:rsidRPr="00151881">
        <w:rPr>
          <w:rFonts w:cstheme="minorHAnsi"/>
          <w:b/>
        </w:rPr>
        <w:t>Table 11.</w:t>
      </w:r>
      <w:r w:rsidRPr="00EE4D40">
        <w:rPr>
          <w:rFonts w:cstheme="minorHAnsi"/>
          <w:b/>
        </w:rPr>
        <w:t xml:space="preserve">  </w:t>
      </w:r>
      <w:r w:rsidRPr="00151881">
        <w:rPr>
          <w:rFonts w:cstheme="minorHAnsi"/>
          <w:b/>
        </w:rPr>
        <w:t>Total Cost Estimate for the Agency</w:t>
      </w:r>
      <w:bookmarkEnd w:id="43"/>
    </w:p>
    <w:tbl>
      <w:tblPr>
        <w:tblStyle w:val="TableGrid"/>
        <w:tblW w:w="8100" w:type="dxa"/>
        <w:jc w:val="center"/>
        <w:tblLook w:val="04A0"/>
      </w:tblPr>
      <w:tblGrid>
        <w:gridCol w:w="2140"/>
        <w:gridCol w:w="1500"/>
        <w:gridCol w:w="2140"/>
        <w:gridCol w:w="2320"/>
      </w:tblGrid>
      <w:tr w14:paraId="1BB5720F" w14:textId="77777777" w:rsidTr="006D0304">
        <w:tblPrEx>
          <w:tblW w:w="8100" w:type="dxa"/>
          <w:jc w:val="center"/>
          <w:tblLook w:val="04A0"/>
        </w:tblPrEx>
        <w:trPr>
          <w:trHeight w:val="1035"/>
          <w:jc w:val="center"/>
        </w:trPr>
        <w:tc>
          <w:tcPr>
            <w:tcW w:w="2140" w:type="dxa"/>
            <w:hideMark/>
          </w:tcPr>
          <w:p w:rsidR="00EF3D9A" w:rsidP="006D0304" w14:paraId="402566C3" w14:textId="77777777">
            <w:pPr>
              <w:jc w:val="center"/>
              <w:rPr>
                <w:b/>
                <w:bCs/>
                <w:u w:val="single"/>
              </w:rPr>
            </w:pPr>
            <w:r>
              <w:rPr>
                <w:b/>
                <w:bCs/>
                <w:u w:val="single"/>
              </w:rPr>
              <w:t>Entity</w:t>
            </w:r>
          </w:p>
        </w:tc>
        <w:tc>
          <w:tcPr>
            <w:tcW w:w="1500" w:type="dxa"/>
            <w:hideMark/>
          </w:tcPr>
          <w:p w:rsidR="00EF3D9A" w:rsidP="006D0304" w14:paraId="75E4101E" w14:textId="77777777">
            <w:pPr>
              <w:jc w:val="center"/>
              <w:rPr>
                <w:b/>
                <w:bCs/>
                <w:u w:val="single"/>
              </w:rPr>
            </w:pPr>
            <w:r>
              <w:rPr>
                <w:b/>
                <w:bCs/>
                <w:u w:val="single"/>
              </w:rPr>
              <w:t>Year 1</w:t>
            </w:r>
          </w:p>
        </w:tc>
        <w:tc>
          <w:tcPr>
            <w:tcW w:w="2140" w:type="dxa"/>
            <w:hideMark/>
          </w:tcPr>
          <w:p w:rsidR="00EF3D9A" w:rsidP="006D0304" w14:paraId="494B4177" w14:textId="77777777">
            <w:pPr>
              <w:jc w:val="center"/>
              <w:rPr>
                <w:b/>
                <w:bCs/>
                <w:u w:val="single"/>
              </w:rPr>
            </w:pPr>
            <w:r>
              <w:rPr>
                <w:b/>
                <w:bCs/>
                <w:u w:val="single"/>
              </w:rPr>
              <w:t>Year 2</w:t>
            </w:r>
          </w:p>
        </w:tc>
        <w:tc>
          <w:tcPr>
            <w:tcW w:w="2320" w:type="dxa"/>
            <w:hideMark/>
          </w:tcPr>
          <w:p w:rsidR="00EF3D9A" w:rsidP="006D0304" w14:paraId="671B41BA" w14:textId="77777777">
            <w:pPr>
              <w:jc w:val="center"/>
              <w:rPr>
                <w:b/>
                <w:bCs/>
                <w:u w:val="single"/>
              </w:rPr>
            </w:pPr>
            <w:r>
              <w:rPr>
                <w:b/>
                <w:bCs/>
                <w:u w:val="single"/>
              </w:rPr>
              <w:t>Year 3</w:t>
            </w:r>
          </w:p>
        </w:tc>
      </w:tr>
      <w:tr w14:paraId="6F7960A2" w14:textId="77777777" w:rsidTr="006D0304">
        <w:tblPrEx>
          <w:tblW w:w="8100" w:type="dxa"/>
          <w:jc w:val="center"/>
          <w:tblLook w:val="04A0"/>
        </w:tblPrEx>
        <w:trPr>
          <w:trHeight w:val="330"/>
          <w:jc w:val="center"/>
        </w:trPr>
        <w:tc>
          <w:tcPr>
            <w:tcW w:w="2140" w:type="dxa"/>
            <w:hideMark/>
          </w:tcPr>
          <w:p w:rsidR="00EF3D9A" w:rsidP="006D0304" w14:paraId="1AE57C19" w14:textId="77777777">
            <w:r>
              <w:t>Regional Office</w:t>
            </w:r>
          </w:p>
        </w:tc>
        <w:tc>
          <w:tcPr>
            <w:tcW w:w="1500" w:type="dxa"/>
            <w:hideMark/>
          </w:tcPr>
          <w:p w:rsidR="00EF3D9A" w:rsidP="006D0304" w14:paraId="70D68BF8" w14:textId="77777777">
            <w:pPr>
              <w:jc w:val="center"/>
            </w:pPr>
            <w:r>
              <w:t>$681,030.00</w:t>
            </w:r>
          </w:p>
        </w:tc>
        <w:tc>
          <w:tcPr>
            <w:tcW w:w="2140" w:type="dxa"/>
            <w:hideMark/>
          </w:tcPr>
          <w:p w:rsidR="00EF3D9A" w:rsidP="006D0304" w14:paraId="71C48E78" w14:textId="77777777">
            <w:pPr>
              <w:jc w:val="center"/>
            </w:pPr>
            <w:r>
              <w:t>$340,515.00</w:t>
            </w:r>
          </w:p>
        </w:tc>
        <w:tc>
          <w:tcPr>
            <w:tcW w:w="2320" w:type="dxa"/>
            <w:hideMark/>
          </w:tcPr>
          <w:p w:rsidR="00EF3D9A" w:rsidP="006D0304" w14:paraId="1C9A88A8" w14:textId="77777777">
            <w:pPr>
              <w:jc w:val="center"/>
            </w:pPr>
            <w:r>
              <w:t>$340,515.00</w:t>
            </w:r>
          </w:p>
        </w:tc>
      </w:tr>
      <w:tr w14:paraId="7CDFB53A" w14:textId="77777777" w:rsidTr="006D0304">
        <w:tblPrEx>
          <w:tblW w:w="8100" w:type="dxa"/>
          <w:jc w:val="center"/>
          <w:tblLook w:val="04A0"/>
        </w:tblPrEx>
        <w:trPr>
          <w:trHeight w:val="330"/>
          <w:jc w:val="center"/>
        </w:trPr>
        <w:tc>
          <w:tcPr>
            <w:tcW w:w="2140" w:type="dxa"/>
            <w:hideMark/>
          </w:tcPr>
          <w:p w:rsidR="00EF3D9A" w:rsidP="006D0304" w14:paraId="1E7D0B42" w14:textId="77777777">
            <w:r>
              <w:t>Headquarters Office</w:t>
            </w:r>
          </w:p>
        </w:tc>
        <w:tc>
          <w:tcPr>
            <w:tcW w:w="1500" w:type="dxa"/>
            <w:hideMark/>
          </w:tcPr>
          <w:p w:rsidR="00EF3D9A" w:rsidP="006D0304" w14:paraId="3E25A5BD" w14:textId="77777777">
            <w:pPr>
              <w:jc w:val="center"/>
            </w:pPr>
            <w:r>
              <w:t>$68,103.00</w:t>
            </w:r>
          </w:p>
        </w:tc>
        <w:tc>
          <w:tcPr>
            <w:tcW w:w="2140" w:type="dxa"/>
            <w:hideMark/>
          </w:tcPr>
          <w:p w:rsidR="00EF3D9A" w:rsidP="006D0304" w14:paraId="4554176E" w14:textId="77777777">
            <w:pPr>
              <w:jc w:val="center"/>
            </w:pPr>
            <w:r>
              <w:t>$34,051.50</w:t>
            </w:r>
          </w:p>
        </w:tc>
        <w:tc>
          <w:tcPr>
            <w:tcW w:w="2320" w:type="dxa"/>
            <w:hideMark/>
          </w:tcPr>
          <w:p w:rsidR="00EF3D9A" w:rsidP="006D0304" w14:paraId="4613B3A6" w14:textId="77777777">
            <w:pPr>
              <w:jc w:val="center"/>
            </w:pPr>
            <w:r>
              <w:t>$34,051.50</w:t>
            </w:r>
          </w:p>
        </w:tc>
      </w:tr>
      <w:tr w14:paraId="0247B26B" w14:textId="77777777" w:rsidTr="006D0304">
        <w:tblPrEx>
          <w:tblW w:w="8100" w:type="dxa"/>
          <w:jc w:val="center"/>
          <w:tblLook w:val="04A0"/>
        </w:tblPrEx>
        <w:trPr>
          <w:trHeight w:val="330"/>
          <w:jc w:val="center"/>
        </w:trPr>
        <w:tc>
          <w:tcPr>
            <w:tcW w:w="2140" w:type="dxa"/>
            <w:hideMark/>
          </w:tcPr>
          <w:p w:rsidR="00EF3D9A" w:rsidRPr="00381196" w:rsidP="006D0304" w14:paraId="2D386EAD" w14:textId="77777777">
            <w:r w:rsidRPr="00381196">
              <w:t>Total Agency Cost</w:t>
            </w:r>
          </w:p>
        </w:tc>
        <w:tc>
          <w:tcPr>
            <w:tcW w:w="1500" w:type="dxa"/>
            <w:hideMark/>
          </w:tcPr>
          <w:p w:rsidR="00EF3D9A" w:rsidRPr="00381196" w:rsidP="006D0304" w14:paraId="68FABF62" w14:textId="77777777">
            <w:pPr>
              <w:jc w:val="center"/>
            </w:pPr>
            <w:r w:rsidRPr="00381196">
              <w:t>$749,133.00</w:t>
            </w:r>
          </w:p>
        </w:tc>
        <w:tc>
          <w:tcPr>
            <w:tcW w:w="2140" w:type="dxa"/>
            <w:hideMark/>
          </w:tcPr>
          <w:p w:rsidR="00EF3D9A" w:rsidRPr="00381196" w:rsidP="006D0304" w14:paraId="768CF8F3" w14:textId="77777777">
            <w:pPr>
              <w:jc w:val="center"/>
            </w:pPr>
            <w:r w:rsidRPr="00381196">
              <w:t>$374,566.50</w:t>
            </w:r>
          </w:p>
        </w:tc>
        <w:tc>
          <w:tcPr>
            <w:tcW w:w="2320" w:type="dxa"/>
            <w:hideMark/>
          </w:tcPr>
          <w:p w:rsidR="00EF3D9A" w:rsidRPr="00381196" w:rsidP="006D0304" w14:paraId="19378721" w14:textId="77777777">
            <w:pPr>
              <w:jc w:val="center"/>
            </w:pPr>
            <w:r w:rsidRPr="00381196">
              <w:t>$374,566.50</w:t>
            </w:r>
          </w:p>
        </w:tc>
      </w:tr>
    </w:tbl>
    <w:p w:rsidR="004620CA" w:rsidRPr="00163C69" w:rsidP="00665026" w14:paraId="3144CC9D" w14:textId="72F4E703">
      <w:pPr>
        <w:pStyle w:val="ListParagraph"/>
        <w:numPr>
          <w:ilvl w:val="0"/>
          <w:numId w:val="3"/>
        </w:numPr>
        <w:spacing w:before="240" w:after="0"/>
        <w:rPr>
          <w:b/>
          <w:bCs/>
        </w:rPr>
      </w:pPr>
      <w:bookmarkStart w:id="44" w:name="_Hlk167887167"/>
      <w:bookmarkEnd w:id="41"/>
      <w:r w:rsidRPr="4BDBF0A0">
        <w:rPr>
          <w:b/>
          <w:bCs/>
        </w:rPr>
        <w:t xml:space="preserve">REASONS FOR </w:t>
      </w:r>
      <w:r w:rsidRPr="4BDBF0A0" w:rsidR="00AD46F7">
        <w:rPr>
          <w:b/>
          <w:bCs/>
        </w:rPr>
        <w:t>CHANGE IN BURDEN</w:t>
      </w:r>
      <w:bookmarkEnd w:id="4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F3D9A" w:rsidRPr="00151881" w:rsidP="00EF3D9A" w14:paraId="21A7F1A7" w14:textId="0E269644">
      <w:pPr>
        <w:rPr>
          <w:rFonts w:cstheme="minorHAnsi"/>
        </w:rPr>
      </w:pPr>
      <w:r>
        <w:rPr>
          <w:rFonts w:cstheme="minorHAnsi"/>
        </w:rPr>
        <w:t xml:space="preserve">There is a </w:t>
      </w:r>
      <w:r w:rsidRPr="00151881">
        <w:rPr>
          <w:rFonts w:cstheme="minorHAnsi"/>
        </w:rPr>
        <w:t xml:space="preserve">decrease in </w:t>
      </w:r>
      <w:r w:rsidRPr="00EE4D40">
        <w:rPr>
          <w:rFonts w:cstheme="minorHAnsi"/>
        </w:rPr>
        <w:t xml:space="preserve">the </w:t>
      </w:r>
      <w:r w:rsidRPr="00151881">
        <w:rPr>
          <w:rFonts w:cstheme="minorHAnsi"/>
        </w:rPr>
        <w:t>annual burden of</w:t>
      </w:r>
      <w:r w:rsidRPr="00EE4D40">
        <w:rPr>
          <w:rFonts w:cstheme="minorHAnsi"/>
        </w:rPr>
        <w:t xml:space="preserve"> </w:t>
      </w:r>
      <w:r>
        <w:rPr>
          <w:rFonts w:cstheme="minorHAnsi"/>
        </w:rPr>
        <w:t>65,466</w:t>
      </w:r>
      <w:r w:rsidRPr="00151881">
        <w:rPr>
          <w:rFonts w:cstheme="minorHAnsi"/>
        </w:rPr>
        <w:t xml:space="preserve"> hours below the</w:t>
      </w:r>
      <w:r w:rsidRPr="00EE4D40">
        <w:rPr>
          <w:rFonts w:cstheme="minorHAnsi"/>
        </w:rPr>
        <w:t xml:space="preserve"> 119,133</w:t>
      </w:r>
      <w:r w:rsidRPr="00151881">
        <w:rPr>
          <w:rFonts w:cstheme="minorHAnsi"/>
        </w:rPr>
        <w:t xml:space="preserve"> hours estimated from the last approved ICR for 8-hour </w:t>
      </w:r>
      <w:r>
        <w:rPr>
          <w:rFonts w:cstheme="minorHAnsi"/>
        </w:rPr>
        <w:t>ozone</w:t>
      </w:r>
      <w:r w:rsidRPr="00151881">
        <w:rPr>
          <w:rFonts w:cstheme="minorHAnsi"/>
        </w:rPr>
        <w:t xml:space="preserve"> NAAQS implementation.</w:t>
      </w:r>
      <w:r w:rsidRPr="00EE4D40">
        <w:rPr>
          <w:rFonts w:cstheme="minorHAnsi"/>
        </w:rPr>
        <w:t xml:space="preserve">  </w:t>
      </w:r>
      <w:r w:rsidRPr="00151881">
        <w:rPr>
          <w:rFonts w:cstheme="minorHAnsi"/>
        </w:rPr>
        <w:t xml:space="preserve">The primary reason for this decrease is that the previous ICR accounted for some respondents continuing to submit information for the 2008 NAAQS, </w:t>
      </w:r>
      <w:r w:rsidRPr="00EE4D40">
        <w:rPr>
          <w:rFonts w:cstheme="minorHAnsi"/>
        </w:rPr>
        <w:t xml:space="preserve">respondents continuing to report on the revoked 1997 NAAQS, and </w:t>
      </w:r>
      <w:r w:rsidRPr="00151881">
        <w:rPr>
          <w:rFonts w:cstheme="minorHAnsi"/>
        </w:rPr>
        <w:t>respondents submitting initial information for all 52 nonattainment areas for the 2015 NAAQS. For this reason, it is difficult to compare the prior 2008 NAAQS, 1997 NAAQS, and initial 2015 NAAQS burden estimate directly to this combined 2008/2015 NAAQS estimate. The estimates provided in this supporting statement differ from the prior 2015/2008/1997 combined NAAQS estimate due to the following</w:t>
      </w:r>
      <w:r>
        <w:rPr>
          <w:rFonts w:cstheme="minorHAnsi"/>
        </w:rPr>
        <w:t>.</w:t>
      </w:r>
    </w:p>
    <w:p w:rsidR="00EF3D9A" w:rsidRPr="00151881" w:rsidP="00665026" w14:paraId="4E175AFA" w14:textId="77777777">
      <w:pPr>
        <w:numPr>
          <w:ilvl w:val="0"/>
          <w:numId w:val="7"/>
        </w:numPr>
        <w:spacing w:after="0" w:line="240" w:lineRule="auto"/>
        <w:rPr>
          <w:rFonts w:cstheme="minorHAnsi"/>
        </w:rPr>
      </w:pPr>
      <w:r w:rsidRPr="00151881">
        <w:rPr>
          <w:rFonts w:cstheme="minorHAnsi"/>
          <w:color w:val="000000"/>
        </w:rPr>
        <w:t xml:space="preserve">A decrease resulting from the </w:t>
      </w:r>
      <w:r>
        <w:rPr>
          <w:rFonts w:cstheme="minorHAnsi"/>
          <w:color w:val="000000"/>
        </w:rPr>
        <w:t>total state respondents reduced</w:t>
      </w:r>
      <w:r w:rsidRPr="00151881">
        <w:rPr>
          <w:rFonts w:cstheme="minorHAnsi"/>
          <w:color w:val="000000"/>
        </w:rPr>
        <w:t xml:space="preserve"> from 96 </w:t>
      </w:r>
      <w:r w:rsidRPr="00EE4D40">
        <w:rPr>
          <w:rFonts w:cstheme="minorHAnsi"/>
          <w:color w:val="000000"/>
        </w:rPr>
        <w:t>NAAs</w:t>
      </w:r>
      <w:r w:rsidRPr="00151881">
        <w:rPr>
          <w:rFonts w:cstheme="minorHAnsi"/>
          <w:color w:val="000000"/>
        </w:rPr>
        <w:t xml:space="preserve"> for the 2015/2008/1997 </w:t>
      </w:r>
      <w:r>
        <w:rPr>
          <w:rFonts w:cstheme="minorHAnsi"/>
          <w:color w:val="000000"/>
        </w:rPr>
        <w:t>ozone</w:t>
      </w:r>
      <w:r w:rsidRPr="00151881">
        <w:rPr>
          <w:rFonts w:cstheme="minorHAnsi"/>
          <w:color w:val="000000"/>
        </w:rPr>
        <w:t xml:space="preserve"> NAAQS to 6</w:t>
      </w:r>
      <w:r>
        <w:rPr>
          <w:rFonts w:cstheme="minorHAnsi"/>
          <w:color w:val="000000"/>
        </w:rPr>
        <w:t>6</w:t>
      </w:r>
      <w:r w:rsidRPr="00151881">
        <w:rPr>
          <w:rFonts w:cstheme="minorHAnsi"/>
          <w:color w:val="000000"/>
        </w:rPr>
        <w:t xml:space="preserve"> </w:t>
      </w:r>
      <w:r w:rsidRPr="00EE4D40">
        <w:rPr>
          <w:rFonts w:cstheme="minorHAnsi"/>
          <w:color w:val="000000"/>
        </w:rPr>
        <w:t>NAAs</w:t>
      </w:r>
      <w:r w:rsidRPr="00151881">
        <w:rPr>
          <w:rFonts w:cstheme="minorHAnsi"/>
          <w:color w:val="000000"/>
        </w:rPr>
        <w:t xml:space="preserve"> for the combined 2008 and 2015 </w:t>
      </w:r>
      <w:r>
        <w:rPr>
          <w:rFonts w:cstheme="minorHAnsi"/>
          <w:color w:val="000000"/>
        </w:rPr>
        <w:t>ozone</w:t>
      </w:r>
      <w:r w:rsidRPr="00151881">
        <w:rPr>
          <w:rFonts w:cstheme="minorHAnsi"/>
          <w:color w:val="000000"/>
        </w:rPr>
        <w:t xml:space="preserve"> NAAQS.</w:t>
      </w:r>
    </w:p>
    <w:p w:rsidR="00EF3D9A" w:rsidRPr="00151881" w:rsidP="00665026" w14:paraId="710A15C3" w14:textId="77777777">
      <w:pPr>
        <w:numPr>
          <w:ilvl w:val="0"/>
          <w:numId w:val="7"/>
        </w:numPr>
        <w:spacing w:after="0" w:line="240" w:lineRule="auto"/>
        <w:rPr>
          <w:rFonts w:cstheme="minorHAnsi"/>
        </w:rPr>
      </w:pPr>
      <w:r w:rsidRPr="00151881">
        <w:rPr>
          <w:rFonts w:cstheme="minorHAnsi"/>
          <w:color w:val="000000"/>
        </w:rPr>
        <w:t xml:space="preserve">A decrease </w:t>
      </w:r>
      <w:r w:rsidRPr="00EE4D40">
        <w:rPr>
          <w:rFonts w:cstheme="minorHAnsi"/>
          <w:color w:val="000000"/>
        </w:rPr>
        <w:t>resulting from the</w:t>
      </w:r>
      <w:r w:rsidRPr="00151881">
        <w:rPr>
          <w:rFonts w:cstheme="minorHAnsi"/>
          <w:color w:val="000000"/>
        </w:rPr>
        <w:t xml:space="preserve"> previous </w:t>
      </w:r>
      <w:r>
        <w:rPr>
          <w:rFonts w:cstheme="minorHAnsi"/>
          <w:color w:val="000000"/>
        </w:rPr>
        <w:t>ozone</w:t>
      </w:r>
      <w:r w:rsidRPr="00151881">
        <w:rPr>
          <w:rFonts w:cstheme="minorHAnsi"/>
          <w:color w:val="000000"/>
        </w:rPr>
        <w:t xml:space="preserve"> ICR included the burden estimate for the states in the </w:t>
      </w:r>
      <w:r>
        <w:rPr>
          <w:rFonts w:cstheme="minorHAnsi"/>
          <w:color w:val="000000"/>
        </w:rPr>
        <w:t>Ozone</w:t>
      </w:r>
      <w:r w:rsidRPr="00151881">
        <w:rPr>
          <w:rFonts w:cstheme="minorHAnsi"/>
          <w:color w:val="000000"/>
        </w:rPr>
        <w:t xml:space="preserve"> Transport Regions to certify the current state SIPs meet CAA section 184(b)(1)(B) RACT requirements. A burden estimate </w:t>
      </w:r>
      <w:r w:rsidRPr="00EE4D40">
        <w:rPr>
          <w:rFonts w:cstheme="minorHAnsi"/>
          <w:color w:val="000000"/>
        </w:rPr>
        <w:t xml:space="preserve">that is </w:t>
      </w:r>
      <w:r w:rsidRPr="00151881">
        <w:rPr>
          <w:rFonts w:cstheme="minorHAnsi"/>
          <w:color w:val="000000"/>
        </w:rPr>
        <w:t>not duplicated in this ICR.</w:t>
      </w:r>
    </w:p>
    <w:p w:rsidR="00EF3D9A" w:rsidRPr="00151881" w:rsidP="00665026" w14:paraId="2AF1DE17" w14:textId="77777777">
      <w:pPr>
        <w:numPr>
          <w:ilvl w:val="0"/>
          <w:numId w:val="7"/>
        </w:numPr>
        <w:spacing w:after="0" w:line="240" w:lineRule="auto"/>
        <w:rPr>
          <w:rFonts w:cstheme="minorHAnsi"/>
        </w:rPr>
      </w:pPr>
      <w:r w:rsidRPr="00151881">
        <w:rPr>
          <w:rFonts w:cstheme="minorHAnsi"/>
          <w:color w:val="000000"/>
        </w:rPr>
        <w:t xml:space="preserve">A decrease </w:t>
      </w:r>
      <w:r>
        <w:rPr>
          <w:rFonts w:cstheme="minorHAnsi"/>
          <w:color w:val="000000"/>
        </w:rPr>
        <w:t>because</w:t>
      </w:r>
      <w:r w:rsidRPr="00EE4D40">
        <w:rPr>
          <w:rFonts w:cstheme="minorHAnsi"/>
          <w:color w:val="000000"/>
        </w:rPr>
        <w:t xml:space="preserve"> the</w:t>
      </w:r>
      <w:r w:rsidRPr="00151881">
        <w:rPr>
          <w:rFonts w:cstheme="minorHAnsi"/>
          <w:color w:val="000000"/>
        </w:rPr>
        <w:t xml:space="preserve"> previous </w:t>
      </w:r>
      <w:r>
        <w:rPr>
          <w:rFonts w:cstheme="minorHAnsi"/>
          <w:color w:val="000000"/>
        </w:rPr>
        <w:t>ozone</w:t>
      </w:r>
      <w:r w:rsidRPr="00151881">
        <w:rPr>
          <w:rFonts w:cstheme="minorHAnsi"/>
          <w:color w:val="000000"/>
        </w:rPr>
        <w:t xml:space="preserve"> ICR includ</w:t>
      </w:r>
      <w:r>
        <w:rPr>
          <w:rFonts w:cstheme="minorHAnsi"/>
          <w:color w:val="000000"/>
        </w:rPr>
        <w:t>ed</w:t>
      </w:r>
      <w:r w:rsidRPr="00151881">
        <w:rPr>
          <w:rFonts w:cstheme="minorHAnsi"/>
          <w:color w:val="000000"/>
        </w:rPr>
        <w:t xml:space="preserve"> the burden estimate for the states to develop second 10-year maintenance plans for the 1997 8-Hour </w:t>
      </w:r>
      <w:r>
        <w:rPr>
          <w:rFonts w:cstheme="minorHAnsi"/>
          <w:color w:val="000000"/>
        </w:rPr>
        <w:t>ozone</w:t>
      </w:r>
      <w:r w:rsidRPr="00151881">
        <w:rPr>
          <w:rFonts w:cstheme="minorHAnsi"/>
          <w:color w:val="000000"/>
        </w:rPr>
        <w:t xml:space="preserve">. No 1997 8-hour </w:t>
      </w:r>
      <w:r>
        <w:rPr>
          <w:rFonts w:cstheme="minorHAnsi"/>
          <w:color w:val="000000"/>
        </w:rPr>
        <w:t>ozone</w:t>
      </w:r>
      <w:r w:rsidRPr="00151881">
        <w:rPr>
          <w:rFonts w:cstheme="minorHAnsi"/>
          <w:color w:val="000000"/>
        </w:rPr>
        <w:t xml:space="preserve"> second maintenance plans were due during this ICR period.</w:t>
      </w:r>
    </w:p>
    <w:p w:rsidR="00EF3D9A" w:rsidRPr="00151881" w:rsidP="00665026" w14:paraId="1BE1E2C3" w14:textId="3BEEBB4B">
      <w:pPr>
        <w:numPr>
          <w:ilvl w:val="0"/>
          <w:numId w:val="7"/>
        </w:numPr>
        <w:spacing w:after="0" w:line="240" w:lineRule="auto"/>
        <w:rPr>
          <w:rFonts w:cstheme="minorHAnsi"/>
        </w:rPr>
      </w:pPr>
      <w:r w:rsidRPr="00151881">
        <w:rPr>
          <w:rFonts w:cstheme="minorHAnsi"/>
          <w:color w:val="000000"/>
        </w:rPr>
        <w:t xml:space="preserve">A decrease resulting from no 2008 8-hour </w:t>
      </w:r>
      <w:r>
        <w:rPr>
          <w:rFonts w:cstheme="minorHAnsi"/>
          <w:color w:val="000000"/>
        </w:rPr>
        <w:t>ozone</w:t>
      </w:r>
      <w:r w:rsidRPr="00151881">
        <w:rPr>
          <w:rFonts w:cstheme="minorHAnsi"/>
          <w:color w:val="000000"/>
        </w:rPr>
        <w:t xml:space="preserve"> NAAQS needing to be reclassified to a higher class. Compared to the previous ICR</w:t>
      </w:r>
      <w:r>
        <w:rPr>
          <w:rFonts w:cstheme="minorHAnsi"/>
          <w:color w:val="000000"/>
        </w:rPr>
        <w:t>, where 8 Serious NAAs were reclassified as Severe-15</w:t>
      </w:r>
      <w:r w:rsidR="004C2552">
        <w:rPr>
          <w:rFonts w:cstheme="minorHAnsi"/>
          <w:color w:val="000000"/>
        </w:rPr>
        <w:t>.</w:t>
      </w:r>
    </w:p>
    <w:p w:rsidR="00ED57A4" w:rsidRPr="00BB3410" w:rsidP="00854AAE" w14:paraId="18F76AB6" w14:textId="28F387A8">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163C69" w:rsidP="00665026" w14:paraId="3604F417" w14:textId="5D0F3160">
      <w:pPr>
        <w:pStyle w:val="ListParagraph"/>
        <w:numPr>
          <w:ilvl w:val="0"/>
          <w:numId w:val="3"/>
        </w:numPr>
        <w:spacing w:before="240" w:after="0"/>
        <w:rPr>
          <w:b/>
          <w:bCs/>
        </w:rPr>
      </w:pPr>
      <w:bookmarkStart w:id="45" w:name="_Toc156593389"/>
      <w:r w:rsidRPr="4BDBF0A0">
        <w:rPr>
          <w:b/>
          <w:bCs/>
        </w:rPr>
        <w:t xml:space="preserve">PUBLICATION OF </w:t>
      </w:r>
      <w:bookmarkStart w:id="46" w:name="_Toc156593390"/>
      <w:bookmarkEnd w:id="45"/>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1CAA6229">
      <w:pPr>
        <w:pBdr>
          <w:top w:val="single" w:sz="6" w:space="0" w:color="FFFFFF"/>
          <w:left w:val="single" w:sz="6" w:space="0" w:color="FFFFFF"/>
          <w:bottom w:val="single" w:sz="6" w:space="0" w:color="FFFFFF"/>
          <w:right w:val="single" w:sz="6" w:space="0" w:color="FFFFFF"/>
        </w:pBdr>
      </w:pPr>
      <w:r>
        <w:t>Not applicable.</w:t>
      </w:r>
    </w:p>
    <w:bookmarkEnd w:id="44"/>
    <w:p w:rsidR="00627768" w:rsidRPr="00163C69" w:rsidP="00665026" w14:paraId="54E9D2D0" w14:textId="67124984">
      <w:pPr>
        <w:pStyle w:val="ListParagraph"/>
        <w:numPr>
          <w:ilvl w:val="0"/>
          <w:numId w:val="3"/>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46"/>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41A9F660">
      <w:pPr>
        <w:pBdr>
          <w:top w:val="single" w:sz="6" w:space="0" w:color="FFFFFF"/>
          <w:left w:val="single" w:sz="6" w:space="0" w:color="FFFFFF"/>
          <w:bottom w:val="single" w:sz="6" w:space="0" w:color="FFFFFF"/>
          <w:right w:val="single" w:sz="6" w:space="0" w:color="FFFFFF"/>
        </w:pBdr>
      </w:pPr>
      <w:r>
        <w:t>Not applicable.</w:t>
      </w:r>
    </w:p>
    <w:p w:rsidR="00691828" w:rsidRPr="00163C69" w:rsidP="00665026" w14:paraId="7CCB26DD" w14:textId="4CB12282">
      <w:pPr>
        <w:pStyle w:val="ListParagraph"/>
        <w:numPr>
          <w:ilvl w:val="0"/>
          <w:numId w:val="3"/>
        </w:numPr>
        <w:spacing w:before="240" w:after="0"/>
        <w:rPr>
          <w:rFonts w:cstheme="minorHAnsi"/>
          <w:b/>
          <w:bCs/>
        </w:rPr>
      </w:pPr>
      <w:bookmarkStart w:id="47" w:name="_Toc156593391"/>
      <w:r w:rsidRPr="00163C69">
        <w:rPr>
          <w:rFonts w:cstheme="minorHAnsi"/>
          <w:b/>
          <w:bCs/>
        </w:rPr>
        <w:t>CERTIFICATION STATEMENT</w:t>
      </w:r>
      <w:bookmarkEnd w:id="47"/>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4E5882F3">
      <w:pPr>
        <w:pBdr>
          <w:top w:val="single" w:sz="6" w:space="0" w:color="FFFFFF"/>
          <w:left w:val="single" w:sz="6" w:space="0" w:color="FFFFFF"/>
          <w:bottom w:val="single" w:sz="6" w:space="0" w:color="FFFFFF"/>
          <w:right w:val="single" w:sz="6" w:space="0" w:color="FFFFFF"/>
        </w:pBdr>
      </w:pPr>
      <w:r>
        <w:t>Not applicable.</w:t>
      </w:r>
    </w:p>
    <w:p w:rsidR="00BB3410" w:rsidRPr="00BB3410" w:rsidP="00BB3410" w14:paraId="0F10E677" w14:textId="43CACB1D">
      <w:pPr>
        <w:rPr>
          <w:rFonts w:cstheme="minorHAnsi"/>
          <w:color w:val="000000"/>
          <w:shd w:val="clear" w:color="auto" w:fill="FFFFFF"/>
        </w:rPr>
        <w:sectPr>
          <w:footerReference w:type="default" r:id="rId13"/>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2B2E31" w:rsidP="002B2E31" w14:paraId="4B3EA9C8" w14:textId="77777777">
      <w:pPr>
        <w:pStyle w:val="FootnoteText"/>
      </w:pPr>
      <w:r>
        <w:rPr>
          <w:rStyle w:val="FootnoteReference"/>
        </w:rPr>
        <w:footnoteRef/>
      </w:r>
      <w:r>
        <w:t xml:space="preserve"> The inclusion or omission of named ozone nonattainment areas in this document in no way pre-judges the outcome of any EPA regulatory action via notice and comment rulemaking, such as for a determination of attainment by the attainment date and/or reclassification (in the event an area is determined to have failed to timely attain). Areas are listed for illustrative purposes and to provide a basis for EPA’s burden estimate associated with respondents fulfilling specific planning requirements.</w:t>
      </w:r>
    </w:p>
  </w:footnote>
  <w:footnote w:id="4">
    <w:p w:rsidR="002B2E31" w:rsidP="002B2E31" w14:paraId="3E044881" w14:textId="77777777">
      <w:pPr>
        <w:pStyle w:val="FootnoteText"/>
      </w:pPr>
      <w:r>
        <w:rPr>
          <w:rStyle w:val="FootnoteReference"/>
        </w:rPr>
        <w:footnoteRef/>
      </w:r>
      <w:r>
        <w:t xml:space="preserve"> The SIP submission due dates for any reclassified 2015 ozone Serious nonattainment areas will be set forth in the reclassification action.</w:t>
      </w:r>
    </w:p>
  </w:footnote>
  <w:footnote w:id="5">
    <w:p w:rsidR="002B2E31" w:rsidP="002B2E31" w14:paraId="455E5774" w14:textId="77777777">
      <w:pPr>
        <w:pStyle w:val="FootnoteText"/>
      </w:pPr>
      <w:r>
        <w:rPr>
          <w:rStyle w:val="FootnoteReference"/>
        </w:rPr>
        <w:footnoteRef/>
      </w:r>
      <w:r>
        <w:t xml:space="preserve"> T</w:t>
      </w:r>
      <w:r w:rsidRPr="006F537A">
        <w:t xml:space="preserve">ribes are not required to </w:t>
      </w:r>
      <w:r>
        <w:t>develop</w:t>
      </w:r>
      <w:r w:rsidRPr="006F537A">
        <w:t xml:space="preserve"> attainment demonstrations or submit RFP or RACT SIPs. </w:t>
      </w:r>
      <w:r>
        <w:t>The burden to develop required SIPs for the two listed tribal areas is included in the Agency burden hours.</w:t>
      </w:r>
    </w:p>
  </w:footnote>
  <w:footnote w:id="6">
    <w:p w:rsidR="002B2E31" w:rsidP="002B2E31" w14:paraId="4F4DC7C5" w14:textId="77777777">
      <w:r w:rsidRPr="0006222F">
        <w:rPr>
          <w:rStyle w:val="FootnoteReference"/>
          <w:sz w:val="20"/>
          <w:szCs w:val="20"/>
        </w:rPr>
        <w:footnoteRef/>
      </w:r>
      <w:r w:rsidRPr="0006222F">
        <w:rPr>
          <w:sz w:val="20"/>
          <w:szCs w:val="20"/>
        </w:rPr>
        <w:t xml:space="preserve"> </w:t>
      </w:r>
      <w:r w:rsidRPr="00D2088A">
        <w:rPr>
          <w:sz w:val="20"/>
          <w:szCs w:val="20"/>
        </w:rPr>
        <w:t>Section 179B(a) of the Clean Air Act provides that in lieu of the attainment demonstration requirement, a state may choose to demonstrate that the plan would be adequate to attain and maintain the NAAQS but for emissions emanating outside the United States.</w:t>
      </w:r>
      <w:r>
        <w:rPr>
          <w:sz w:val="20"/>
          <w:szCs w:val="20"/>
        </w:rPr>
        <w:t xml:space="preserve">  </w:t>
      </w:r>
      <w:r w:rsidRPr="00D2088A">
        <w:rPr>
          <w:sz w:val="20"/>
          <w:szCs w:val="20"/>
        </w:rPr>
        <w:t xml:space="preserve">For the purposes of this ICR, the burden of such a demonstration under 179B is assumed to be comparable to </w:t>
      </w:r>
      <w:r>
        <w:rPr>
          <w:sz w:val="20"/>
          <w:szCs w:val="20"/>
        </w:rPr>
        <w:t xml:space="preserve">that associated with developing an </w:t>
      </w:r>
      <w:r w:rsidRPr="00D2088A">
        <w:rPr>
          <w:sz w:val="20"/>
          <w:szCs w:val="20"/>
        </w:rPr>
        <w:t>attainment demonstration.</w:t>
      </w:r>
    </w:p>
  </w:footnote>
  <w:footnote w:id="7">
    <w:p w:rsidR="002B2E31" w:rsidRPr="00133BD1" w:rsidP="002B2E31" w14:paraId="75F5A71B" w14:textId="77777777">
      <w:pPr>
        <w:pStyle w:val="FootnoteText"/>
      </w:pPr>
      <w:r>
        <w:rPr>
          <w:rStyle w:val="FootnoteReference"/>
        </w:rPr>
        <w:footnoteRef/>
      </w:r>
      <w:r>
        <w:t xml:space="preserve"> See </w:t>
      </w:r>
      <w:hyperlink r:id="rId1" w:history="1">
        <w:r w:rsidRPr="000F7DD4">
          <w:rPr>
            <w:rStyle w:val="Hyperlink"/>
          </w:rPr>
          <w:t>https://www3.epa.gov/airquality/greenbook/jbtc.html</w:t>
        </w:r>
      </w:hyperlink>
      <w:r>
        <w:t>, not all nonattainment areas are included in this ICR estimate as they don’t have SIP revisions coming due.</w:t>
      </w:r>
    </w:p>
  </w:footnote>
  <w:footnote w:id="8">
    <w:p w:rsidR="002B2E31" w:rsidP="002B2E31" w14:paraId="6C18AF24" w14:textId="77777777">
      <w:pPr>
        <w:pStyle w:val="FootnoteText"/>
      </w:pPr>
      <w:r>
        <w:rPr>
          <w:rStyle w:val="FootnoteReference"/>
        </w:rPr>
        <w:footnoteRef/>
      </w:r>
      <w:r>
        <w:t xml:space="preserve"> Was redesignated from Marginal to Moderate in 87 FR 60897, effective date November 7, 2022. Once reclassified as Moderate, these areas will be required to attain the standard ‘‘as expeditiously as practicable’’ but no later than 6 years after the initial designation as nonattainment, which in this case would be no later than August 3, 2024. </w:t>
      </w:r>
    </w:p>
  </w:footnote>
  <w:footnote w:id="9">
    <w:p w:rsidR="002B2E31" w:rsidP="002B2E31" w14:paraId="0A03ED7F" w14:textId="77777777">
      <w:pPr>
        <w:pStyle w:val="FootnoteText"/>
      </w:pPr>
      <w:r>
        <w:rPr>
          <w:rStyle w:val="FootnoteReference"/>
        </w:rPr>
        <w:footnoteRef/>
      </w:r>
      <w:r>
        <w:t xml:space="preserve"> On November 3, 2023 the Northern Kentucky portion of the Cincinnati, OH-KY 2015 8-Hour Ozone nonattainment area was redesignated to attainment, 88 FR 68471</w:t>
      </w:r>
    </w:p>
  </w:footnote>
  <w:footnote w:id="10">
    <w:p w:rsidR="002B2E31" w:rsidP="002B2E31" w14:paraId="53BAC686" w14:textId="77777777">
      <w:pPr>
        <w:pStyle w:val="FootnoteText"/>
      </w:pPr>
      <w:r>
        <w:rPr>
          <w:rStyle w:val="FootnoteReference"/>
        </w:rPr>
        <w:footnoteRef/>
      </w:r>
      <w:r>
        <w:t xml:space="preserve"> On May 19, 2023</w:t>
      </w:r>
      <w:r w:rsidRPr="00585BC1">
        <w:t xml:space="preserve"> , the Detroit, MI 2015 8-Hour </w:t>
      </w:r>
      <w:r>
        <w:t>Ozone</w:t>
      </w:r>
      <w:r w:rsidRPr="00585BC1">
        <w:t xml:space="preserve"> nonattainment</w:t>
      </w:r>
      <w:r>
        <w:t xml:space="preserve"> area was redesignated to attainment, 88 FR 32594.</w:t>
      </w:r>
    </w:p>
  </w:footnote>
  <w:footnote w:id="11">
    <w:p w:rsidR="002B2E31" w:rsidP="002B2E31" w14:paraId="3F5EF505" w14:textId="77777777">
      <w:pPr>
        <w:pStyle w:val="FootnoteText"/>
      </w:pPr>
      <w:r>
        <w:rPr>
          <w:rStyle w:val="FootnoteReference"/>
        </w:rPr>
        <w:footnoteRef/>
      </w:r>
      <w:r>
        <w:t xml:space="preserve"> On November 7, 2023 the Atlanta, GA 2015 8-Hour Ozone nonattainment are was redesignated to attainment, 87 FR 35104.</w:t>
      </w:r>
    </w:p>
  </w:footnote>
  <w:footnote w:id="12">
    <w:p w:rsidR="002B2E31" w:rsidP="002B2E31" w14:paraId="38EAA1B3" w14:textId="77777777">
      <w:pPr>
        <w:pStyle w:val="FootnoteText"/>
      </w:pPr>
      <w:r>
        <w:rPr>
          <w:rStyle w:val="FootnoteReference"/>
        </w:rPr>
        <w:footnoteRef/>
      </w:r>
      <w:r>
        <w:t xml:space="preserve"> On June 9, 2022 the</w:t>
      </w:r>
      <w:r w:rsidRPr="00B72178">
        <w:t xml:space="preserve"> Ohio Portion of the Cincinnati, O</w:t>
      </w:r>
      <w:r>
        <w:t>H-KY 2015 8-Hour ozone nonattainment</w:t>
      </w:r>
      <w:r w:rsidRPr="00B72178">
        <w:t xml:space="preserve"> </w:t>
      </w:r>
      <w:r>
        <w:t>a</w:t>
      </w:r>
      <w:r w:rsidRPr="00B72178">
        <w:t>rea</w:t>
      </w:r>
      <w:r>
        <w:t xml:space="preserve"> was redesignated</w:t>
      </w:r>
      <w:r w:rsidRPr="00B72178">
        <w:t xml:space="preserve"> to </w:t>
      </w:r>
      <w:r>
        <w:t>a</w:t>
      </w:r>
      <w:r w:rsidRPr="00B72178">
        <w:t>ttainment</w:t>
      </w:r>
      <w:r>
        <w:t>, 87 FR 35104.</w:t>
      </w:r>
    </w:p>
  </w:footnote>
  <w:footnote w:id="13">
    <w:p w:rsidR="002B2E31" w:rsidP="002B2E31" w14:paraId="1C4A248D" w14:textId="77777777">
      <w:pPr>
        <w:pStyle w:val="FootnoteText"/>
      </w:pPr>
      <w:r>
        <w:rPr>
          <w:rStyle w:val="FootnoteReference"/>
        </w:rPr>
        <w:footnoteRef/>
      </w:r>
      <w:r>
        <w:t xml:space="preserve"> On August 21, 2019 the Columbus, OH 2015 8-Hour ozone nonattainment area was redesignated to attainment, 84 FR 43508</w:t>
      </w:r>
    </w:p>
  </w:footnote>
  <w:footnote w:id="14">
    <w:p w:rsidR="002B2E31" w:rsidP="002B2E31" w14:paraId="6368E480" w14:textId="77777777">
      <w:pPr>
        <w:pStyle w:val="FootnoteText"/>
      </w:pPr>
      <w:r>
        <w:rPr>
          <w:rStyle w:val="FootnoteReference"/>
        </w:rPr>
        <w:footnoteRef/>
      </w:r>
      <w:r>
        <w:t xml:space="preserve"> On July 5, 2022 the Indiana portion of the Louisville, IN-KY 2015 8-Hour ozone nonattainment area was redesignated to attainment, 87 FR 39750.</w:t>
      </w:r>
    </w:p>
  </w:footnote>
  <w:footnote w:id="15">
    <w:p w:rsidR="002B2E31" w:rsidP="002B2E31" w14:paraId="4A12F3F1" w14:textId="77777777">
      <w:pPr>
        <w:pStyle w:val="FootnoteText"/>
      </w:pPr>
      <w:r>
        <w:rPr>
          <w:rStyle w:val="FootnoteReference"/>
        </w:rPr>
        <w:footnoteRef/>
      </w:r>
      <w:r>
        <w:t xml:space="preserve"> On February 2, 2022 the Manitowoc, WI 2015 8-Hour ozone nonattainment area was redesignated to attainment, 87 FR 5438</w:t>
      </w:r>
    </w:p>
  </w:footnote>
  <w:footnote w:id="16">
    <w:p w:rsidR="002B2E31" w:rsidP="002B2E31" w14:paraId="54253E8A" w14:textId="77777777">
      <w:pPr>
        <w:pStyle w:val="FootnoteText"/>
      </w:pPr>
      <w:r>
        <w:rPr>
          <w:rStyle w:val="FootnoteReference"/>
        </w:rPr>
        <w:footnoteRef/>
      </w:r>
      <w:r>
        <w:t xml:space="preserve"> On June 10, 2020, The </w:t>
      </w:r>
      <w:r w:rsidRPr="00015E45">
        <w:t>Newport State Park Area in Door County</w:t>
      </w:r>
      <w:r>
        <w:t>, WI, 2015 8-Hour Ozone Nonattainment area was redesignated to attainment, 85 FR 35377.</w:t>
      </w:r>
    </w:p>
  </w:footnote>
  <w:footnote w:id="17">
    <w:p w:rsidR="002B2E31" w:rsidP="002B2E31" w14:paraId="33DD13BE" w14:textId="77777777">
      <w:pPr>
        <w:pStyle w:val="FootnoteText"/>
      </w:pPr>
      <w:r>
        <w:rPr>
          <w:rStyle w:val="FootnoteReference"/>
        </w:rPr>
        <w:footnoteRef/>
      </w:r>
      <w:r>
        <w:t xml:space="preserve"> On April 29, 2022 the </w:t>
      </w:r>
      <w:r w:rsidRPr="00015E45">
        <w:t>Revised Door County</w:t>
      </w:r>
      <w:r>
        <w:t>, WI</w:t>
      </w:r>
      <w:r w:rsidRPr="00015E45">
        <w:t xml:space="preserve"> (Partial)</w:t>
      </w:r>
      <w:r>
        <w:t xml:space="preserve"> 2015 8-Hour ozone nonattainment area was redesignated to attainment, 87 FR 25410. </w:t>
      </w:r>
    </w:p>
  </w:footnote>
  <w:footnote w:id="18">
    <w:p w:rsidR="00665026" w:rsidP="00665026" w14:paraId="1F6A942B" w14:textId="77777777">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listed activities.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B178F"/>
    <w:multiLevelType w:val="hybridMultilevel"/>
    <w:tmpl w:val="FE7C96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18424CF"/>
    <w:multiLevelType w:val="hybridMultilevel"/>
    <w:tmpl w:val="8ECE1C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43B5BA8"/>
    <w:multiLevelType w:val="hybridMultilevel"/>
    <w:tmpl w:val="9D80A6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FF327F"/>
    <w:multiLevelType w:val="hybridMultilevel"/>
    <w:tmpl w:val="F7949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052FBF"/>
    <w:multiLevelType w:val="hybridMultilevel"/>
    <w:tmpl w:val="BF3869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EB01419"/>
    <w:multiLevelType w:val="hybridMultilevel"/>
    <w:tmpl w:val="6166F2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2410A94"/>
    <w:multiLevelType w:val="hybridMultilevel"/>
    <w:tmpl w:val="E7A40F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0D36C51"/>
    <w:multiLevelType w:val="hybridMultilevel"/>
    <w:tmpl w:val="74DCA3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266169"/>
    <w:multiLevelType w:val="hybridMultilevel"/>
    <w:tmpl w:val="9AB0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E3905FA"/>
    <w:multiLevelType w:val="hybridMultilevel"/>
    <w:tmpl w:val="FF10CC0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0991CFD"/>
    <w:multiLevelType w:val="hybridMultilevel"/>
    <w:tmpl w:val="98269A14"/>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360"/>
        </w:tabs>
        <w:ind w:left="-360" w:hanging="360"/>
      </w:pPr>
      <w:rPr>
        <w:rFonts w:ascii="Symbol" w:hAnsi="Symbol" w:hint="default"/>
      </w:rPr>
    </w:lvl>
    <w:lvl w:ilvl="4" w:tentative="1">
      <w:start w:val="1"/>
      <w:numFmt w:val="bullet"/>
      <w:lvlText w:val="o"/>
      <w:lvlJc w:val="left"/>
      <w:pPr>
        <w:tabs>
          <w:tab w:val="num" w:pos="360"/>
        </w:tabs>
        <w:ind w:left="360" w:hanging="360"/>
      </w:pPr>
      <w:rPr>
        <w:rFonts w:ascii="Courier New" w:hAnsi="Courier New" w:hint="default"/>
      </w:rPr>
    </w:lvl>
    <w:lvl w:ilvl="5" w:tentative="1">
      <w:start w:val="1"/>
      <w:numFmt w:val="bullet"/>
      <w:lvlText w:val=""/>
      <w:lvlJc w:val="left"/>
      <w:pPr>
        <w:tabs>
          <w:tab w:val="num" w:pos="1080"/>
        </w:tabs>
        <w:ind w:left="1080" w:hanging="360"/>
      </w:pPr>
      <w:rPr>
        <w:rFonts w:ascii="Wingdings" w:hAnsi="Wingdings" w:hint="default"/>
      </w:rPr>
    </w:lvl>
    <w:lvl w:ilvl="6" w:tentative="1">
      <w:start w:val="1"/>
      <w:numFmt w:val="bullet"/>
      <w:lvlText w:val=""/>
      <w:lvlJc w:val="left"/>
      <w:pPr>
        <w:tabs>
          <w:tab w:val="num" w:pos="1800"/>
        </w:tabs>
        <w:ind w:left="1800" w:hanging="360"/>
      </w:pPr>
      <w:rPr>
        <w:rFonts w:ascii="Symbol" w:hAnsi="Symbol" w:hint="default"/>
      </w:rPr>
    </w:lvl>
    <w:lvl w:ilvl="7" w:tentative="1">
      <w:start w:val="1"/>
      <w:numFmt w:val="bullet"/>
      <w:lvlText w:val="o"/>
      <w:lvlJc w:val="left"/>
      <w:pPr>
        <w:tabs>
          <w:tab w:val="num" w:pos="2520"/>
        </w:tabs>
        <w:ind w:left="2520" w:hanging="360"/>
      </w:pPr>
      <w:rPr>
        <w:rFonts w:ascii="Courier New" w:hAnsi="Courier New" w:hint="default"/>
      </w:rPr>
    </w:lvl>
    <w:lvl w:ilvl="8" w:tentative="1">
      <w:start w:val="1"/>
      <w:numFmt w:val="bullet"/>
      <w:lvlText w:val=""/>
      <w:lvlJc w:val="left"/>
      <w:pPr>
        <w:tabs>
          <w:tab w:val="num" w:pos="3240"/>
        </w:tabs>
        <w:ind w:left="3240" w:hanging="360"/>
      </w:pPr>
      <w:rPr>
        <w:rFonts w:ascii="Wingdings" w:hAnsi="Wingdings" w:hint="default"/>
      </w:rPr>
    </w:lvl>
  </w:abstractNum>
  <w:abstractNum w:abstractNumId="13">
    <w:nsid w:val="695F28CD"/>
    <w:multiLevelType w:val="hybridMultilevel"/>
    <w:tmpl w:val="1CBE01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9490726">
    <w:abstractNumId w:val="5"/>
  </w:num>
  <w:num w:numId="2" w16cid:durableId="258569098">
    <w:abstractNumId w:val="8"/>
  </w:num>
  <w:num w:numId="3" w16cid:durableId="1015961391">
    <w:abstractNumId w:val="14"/>
  </w:num>
  <w:num w:numId="4" w16cid:durableId="1883054281">
    <w:abstractNumId w:val="3"/>
  </w:num>
  <w:num w:numId="5" w16cid:durableId="1775974939">
    <w:abstractNumId w:val="9"/>
  </w:num>
  <w:num w:numId="6" w16cid:durableId="1453741116">
    <w:abstractNumId w:val="13"/>
  </w:num>
  <w:num w:numId="7" w16cid:durableId="355468970">
    <w:abstractNumId w:val="4"/>
  </w:num>
  <w:num w:numId="8" w16cid:durableId="561142866">
    <w:abstractNumId w:val="1"/>
  </w:num>
  <w:num w:numId="9" w16cid:durableId="576744572">
    <w:abstractNumId w:val="0"/>
  </w:num>
  <w:num w:numId="10" w16cid:durableId="1932816039">
    <w:abstractNumId w:val="12"/>
  </w:num>
  <w:num w:numId="11" w16cid:durableId="1131938925">
    <w:abstractNumId w:val="2"/>
  </w:num>
  <w:num w:numId="12" w16cid:durableId="739835965">
    <w:abstractNumId w:val="10"/>
  </w:num>
  <w:num w:numId="13" w16cid:durableId="103965705">
    <w:abstractNumId w:val="6"/>
  </w:num>
  <w:num w:numId="14" w16cid:durableId="477721089">
    <w:abstractNumId w:val="7"/>
  </w:num>
  <w:num w:numId="15" w16cid:durableId="14938361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E45"/>
    <w:rsid w:val="00015FF6"/>
    <w:rsid w:val="0001637F"/>
    <w:rsid w:val="00017B90"/>
    <w:rsid w:val="00020791"/>
    <w:rsid w:val="00023EFE"/>
    <w:rsid w:val="000267E1"/>
    <w:rsid w:val="00030670"/>
    <w:rsid w:val="0003166C"/>
    <w:rsid w:val="00032552"/>
    <w:rsid w:val="00033219"/>
    <w:rsid w:val="00036CF2"/>
    <w:rsid w:val="00037107"/>
    <w:rsid w:val="00042F77"/>
    <w:rsid w:val="000440A6"/>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222F"/>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1BFD"/>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0F7DD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3BD1"/>
    <w:rsid w:val="00135EAD"/>
    <w:rsid w:val="00136237"/>
    <w:rsid w:val="00137EB8"/>
    <w:rsid w:val="00145DAE"/>
    <w:rsid w:val="00147B68"/>
    <w:rsid w:val="0015084F"/>
    <w:rsid w:val="00151881"/>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0E17"/>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2E31"/>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196"/>
    <w:rsid w:val="0038330C"/>
    <w:rsid w:val="003856DC"/>
    <w:rsid w:val="003873B6"/>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2E48"/>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236C"/>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2552"/>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5BC1"/>
    <w:rsid w:val="0058662D"/>
    <w:rsid w:val="00587C1E"/>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026"/>
    <w:rsid w:val="00665EAF"/>
    <w:rsid w:val="00666566"/>
    <w:rsid w:val="006665A9"/>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304"/>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0441"/>
    <w:rsid w:val="006F1F1D"/>
    <w:rsid w:val="006F4946"/>
    <w:rsid w:val="006F537A"/>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418"/>
    <w:rsid w:val="007167A3"/>
    <w:rsid w:val="00716971"/>
    <w:rsid w:val="00716CE1"/>
    <w:rsid w:val="00716D1D"/>
    <w:rsid w:val="00722C47"/>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5B1"/>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77180"/>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0A3D"/>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8F7DE6"/>
    <w:rsid w:val="00900E6F"/>
    <w:rsid w:val="00901C53"/>
    <w:rsid w:val="00902767"/>
    <w:rsid w:val="00902BB7"/>
    <w:rsid w:val="009048BF"/>
    <w:rsid w:val="00907638"/>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12EC"/>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178"/>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088A"/>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633D"/>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4D40"/>
    <w:rsid w:val="00EE5AC9"/>
    <w:rsid w:val="00EE68B7"/>
    <w:rsid w:val="00EE7609"/>
    <w:rsid w:val="00EE782C"/>
    <w:rsid w:val="00EF2E9D"/>
    <w:rsid w:val="00EF3B34"/>
    <w:rsid w:val="00EF3D9A"/>
    <w:rsid w:val="00EF71E8"/>
    <w:rsid w:val="00EF7A31"/>
    <w:rsid w:val="00EF7B2E"/>
    <w:rsid w:val="00F0015C"/>
    <w:rsid w:val="00F02003"/>
    <w:rsid w:val="00F0705E"/>
    <w:rsid w:val="00F071BE"/>
    <w:rsid w:val="00F10CF0"/>
    <w:rsid w:val="00F13918"/>
    <w:rsid w:val="00F14161"/>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99"/>
    <w:qFormat/>
    <w:pPr>
      <w:ind w:left="720"/>
      <w:contextualSpacing/>
    </w:pPr>
  </w:style>
  <w:style w:type="paragraph" w:styleId="CommentSubject">
    <w:name w:val="annotation subject"/>
    <w:basedOn w:val="CommentText"/>
    <w:next w:val="CommentText"/>
    <w:link w:val="CommentSubjectChar"/>
    <w:uiPriority w:val="99"/>
    <w:unhideWhenUsed/>
    <w:rsid w:val="00427079"/>
    <w:rPr>
      <w:b/>
      <w:bCs/>
    </w:rPr>
  </w:style>
  <w:style w:type="character" w:customStyle="1" w:styleId="CommentSubjectChar">
    <w:name w:val="Comment Subject Char"/>
    <w:basedOn w:val="CommentTextChar"/>
    <w:link w:val="CommentSubject"/>
    <w:uiPriority w:val="99"/>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PageNumber">
    <w:name w:val="page number"/>
    <w:basedOn w:val="DefaultParagraphFont"/>
    <w:uiPriority w:val="99"/>
    <w:rsid w:val="002B2E31"/>
    <w:rPr>
      <w:rFonts w:cs="Times New Roman"/>
    </w:rPr>
  </w:style>
  <w:style w:type="paragraph" w:styleId="HTMLPreformatted">
    <w:name w:val="HTML Preformatted"/>
    <w:basedOn w:val="Normal"/>
    <w:link w:val="HTMLPreformattedChar"/>
    <w:uiPriority w:val="99"/>
    <w:rsid w:val="002B2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2B2E31"/>
    <w:rPr>
      <w:rFonts w:ascii="Courier New" w:eastAsia="Times New Roman" w:hAnsi="Courier New" w:cs="Courier New"/>
      <w:color w:val="000000"/>
      <w:sz w:val="20"/>
      <w:szCs w:val="20"/>
    </w:rPr>
  </w:style>
  <w:style w:type="paragraph" w:styleId="DocumentMap">
    <w:name w:val="Document Map"/>
    <w:basedOn w:val="Normal"/>
    <w:link w:val="DocumentMapChar"/>
    <w:uiPriority w:val="99"/>
    <w:semiHidden/>
    <w:rsid w:val="002B2E3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2B2E31"/>
    <w:rPr>
      <w:rFonts w:ascii="Tahoma" w:eastAsia="Times New Roman" w:hAnsi="Tahoma" w:cs="Tahoma"/>
      <w:sz w:val="20"/>
      <w:szCs w:val="20"/>
      <w:shd w:val="clear" w:color="auto" w:fill="000080"/>
    </w:rPr>
  </w:style>
  <w:style w:type="paragraph" w:customStyle="1" w:styleId="Level11">
    <w:name w:val="Level 11"/>
    <w:basedOn w:val="Normal"/>
    <w:uiPriority w:val="99"/>
    <w:rsid w:val="002B2E31"/>
    <w:pPr>
      <w:widowControl w:val="0"/>
      <w:autoSpaceDE w:val="0"/>
      <w:autoSpaceDN w:val="0"/>
      <w:adjustRightInd w:val="0"/>
      <w:spacing w:after="0" w:line="240" w:lineRule="auto"/>
      <w:ind w:left="402" w:right="-90" w:hanging="402"/>
    </w:pPr>
    <w:rPr>
      <w:rFonts w:ascii="Times New Roman" w:eastAsia="Times New Roman" w:hAnsi="Times New Roman" w:cs="Times New Roman"/>
      <w:sz w:val="24"/>
      <w:szCs w:val="24"/>
    </w:rPr>
  </w:style>
  <w:style w:type="paragraph" w:styleId="PlainText">
    <w:name w:val="Plain Text"/>
    <w:basedOn w:val="Normal"/>
    <w:link w:val="PlainTextChar"/>
    <w:uiPriority w:val="99"/>
    <w:rsid w:val="002B2E31"/>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B2E31"/>
    <w:rPr>
      <w:rFonts w:ascii="Calibri" w:eastAsia="Times New Roman" w:hAnsi="Calibri" w:cs="Times New Roman"/>
      <w:szCs w:val="21"/>
    </w:rPr>
  </w:style>
  <w:style w:type="paragraph" w:styleId="EndnoteText">
    <w:name w:val="endnote text"/>
    <w:basedOn w:val="Normal"/>
    <w:link w:val="EndnoteTextChar"/>
    <w:uiPriority w:val="99"/>
    <w:semiHidden/>
    <w:unhideWhenUsed/>
    <w:rsid w:val="002B2E3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B2E3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2E31"/>
    <w:rPr>
      <w:vertAlign w:val="superscript"/>
    </w:rPr>
  </w:style>
  <w:style w:type="character" w:styleId="Mention">
    <w:name w:val="Mention"/>
    <w:basedOn w:val="DefaultParagraphFont"/>
    <w:uiPriority w:val="99"/>
    <w:unhideWhenUsed/>
    <w:rsid w:val="002B2E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fr/80/12264" TargetMode="External" /><Relationship Id="rId11" Type="http://schemas.openxmlformats.org/officeDocument/2006/relationships/hyperlink" Target="https://www.govinfo.gov/link/fr/83/62998" TargetMode="External" /><Relationship Id="rId12" Type="http://schemas.openxmlformats.org/officeDocument/2006/relationships/hyperlink" Target="https://www.epa.gov/air-emissions-inventories/air-emissions-reporting-requirements-aer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3.epa.gov/airquality/greenbook/jbt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infopath/2007/PartnerControls"/>
    <ds:schemaRef ds:uri="http://schemas.openxmlformats.org/package/2006/metadata/core-properties"/>
    <ds:schemaRef ds:uri="96fc5250-dc30-4f01-945b-7e46a880eeb3"/>
    <ds:schemaRef ds:uri="02fe02c4-dc41-46ff-9d52-90c0a1b1f611"/>
    <ds:schemaRef ds:uri="http://schemas.microsoft.com/sharepoint/v3/fields"/>
    <ds:schemaRef ds:uri="http://schemas.microsoft.com/sharepoint.v3"/>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4ffa91fb-a0ff-4ac5-b2db-65c790d184a4"/>
    <ds:schemaRef ds:uri="http://schemas.microsoft.com/sharepoint/v3"/>
    <ds:schemaRef ds:uri="http://purl.org/dc/terms/"/>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9691</Words>
  <Characters>54712</Characters>
  <Application>Microsoft Office Word</Application>
  <DocSecurity>0</DocSecurity>
  <Lines>3039</Lines>
  <Paragraphs>1951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2025-01-17T01:50:00Z</dcterms:created>
  <dcterms:modified xsi:type="dcterms:W3CDTF">2025-01-17T01:50:00Z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