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2089" w:rsidRPr="005E34ED" w:rsidP="00E52089" w14:paraId="1F19EAF7" w14:textId="77777777">
      <w:pPr>
        <w:pStyle w:val="Heading2"/>
        <w:tabs>
          <w:tab w:val="left" w:pos="900"/>
        </w:tabs>
        <w:ind w:right="-180"/>
        <w:rPr>
          <w:color w:val="auto"/>
        </w:rPr>
      </w:pPr>
      <w:r w:rsidRPr="005E34ED">
        <w:rPr>
          <w:color w:val="auto"/>
          <w:sz w:val="28"/>
        </w:rPr>
        <w:t>Request for Approval under the “Generic Clearance for the Collection of Routine Customer Feedback” (OMB Control Number: 1525-0012)</w:t>
      </w:r>
    </w:p>
    <w:p w:rsidR="00E52089" w:rsidRPr="009239AA" w:rsidP="00E52089" w14:paraId="4057D42E"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A2719E">
        <w:t>Retail store visitor survey data</w:t>
      </w:r>
    </w:p>
    <w:p w:rsidR="00E52089" w:rsidP="00E52089" w14:paraId="0473C95F" w14:textId="77777777"/>
    <w:p w:rsidR="00E52089" w:rsidP="00E52089" w14:paraId="69010120" w14:textId="77777777">
      <w:r>
        <w:rPr>
          <w:b/>
        </w:rPr>
        <w:t>PURPOSE</w:t>
      </w:r>
      <w:r w:rsidRPr="009239AA">
        <w:rPr>
          <w:b/>
        </w:rPr>
        <w:t xml:space="preserve">:  </w:t>
      </w:r>
    </w:p>
    <w:p w:rsidR="00E52089" w:rsidP="00E52089" w14:paraId="66950AA1" w14:textId="77777777"/>
    <w:p w:rsidR="00D85F1D" w:rsidP="00A2719E" w14:paraId="7EC5B2CD" w14:textId="77777777">
      <w:pPr>
        <w:ind w:left="720"/>
      </w:pPr>
      <w:r>
        <w:t xml:space="preserve">The United States Mint </w:t>
      </w:r>
      <w:r w:rsidR="00A2719E">
        <w:t xml:space="preserve">will be conducting </w:t>
      </w:r>
      <w:r w:rsidRPr="00A2719E" w:rsidR="00A2719E">
        <w:t xml:space="preserve">research </w:t>
      </w:r>
      <w:r w:rsidR="00A2719E">
        <w:t xml:space="preserve">which </w:t>
      </w:r>
      <w:r w:rsidRPr="00A2719E" w:rsidR="00A2719E">
        <w:t xml:space="preserve">focuses on capturing insights from attendees at various conventions to understand their motivations for visiting the US Mint booth, satisfaction levels, purchase behaviors, and interests in a variety of potential engagement drivers.  The goal is to use this information to enhance booth performance and increase engagement.  </w:t>
      </w:r>
    </w:p>
    <w:p w:rsidR="00A2719E" w:rsidP="00A2719E" w14:paraId="01696D65" w14:textId="77777777">
      <w:pPr>
        <w:ind w:left="720"/>
      </w:pPr>
    </w:p>
    <w:p w:rsidR="003E250E" w:rsidP="003E250E" w14:paraId="4496662D" w14:textId="77777777">
      <w:pPr>
        <w:ind w:left="720"/>
      </w:pPr>
      <w:r>
        <w:t>This instrument will collect data for a</w:t>
      </w:r>
      <w:r w:rsidR="00A2719E">
        <w:t>n unspecified period of time</w:t>
      </w:r>
      <w:r>
        <w:t xml:space="preserve"> </w:t>
      </w:r>
      <w:r w:rsidR="00A2719E">
        <w:t xml:space="preserve">beginning in December 2024 or January 2025. </w:t>
      </w:r>
    </w:p>
    <w:p w:rsidR="003E250E" w:rsidP="00E52089" w14:paraId="58DAA5D0" w14:textId="77777777">
      <w:pPr>
        <w:ind w:left="720"/>
      </w:pPr>
    </w:p>
    <w:p w:rsidR="00E52089" w:rsidP="00E52089" w14:paraId="5717FD38" w14:textId="77777777">
      <w:pPr>
        <w:ind w:left="720"/>
      </w:pPr>
      <w:r>
        <w:t>Part of the United States Mint’s mission is to produce numismatic coins.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This online poll is one of these instruments.</w:t>
      </w:r>
    </w:p>
    <w:p w:rsidR="00E52089" w:rsidP="00E52089" w14:paraId="4E5A3352" w14:textId="77777777">
      <w:pPr>
        <w:ind w:left="720"/>
      </w:pPr>
    </w:p>
    <w:p w:rsidR="00E52089" w:rsidRPr="00E94C2A" w:rsidP="00E52089" w14:paraId="756FB2CB" w14:textId="77777777">
      <w:pPr>
        <w:ind w:left="720"/>
      </w:pPr>
      <w:r>
        <w:t xml:space="preserve">The consequences of not performing this ad hoc poll are the United States Mint’s diminished ability to produce numismatic coin products that the public is interested in. The guidance received from the public through this poll will directly influence design and manufacturing decisions and priorities.  </w:t>
      </w:r>
      <w:r w:rsidRPr="00E94C2A">
        <w:t xml:space="preserve"> </w:t>
      </w:r>
    </w:p>
    <w:p w:rsidR="00E52089" w:rsidRPr="00E94C2A" w:rsidP="00E52089" w14:paraId="592B0610" w14:textId="77777777">
      <w:pPr>
        <w:pStyle w:val="Header"/>
        <w:tabs>
          <w:tab w:val="clear" w:pos="4320"/>
          <w:tab w:val="clear" w:pos="8640"/>
        </w:tabs>
        <w:rPr>
          <w:b/>
        </w:rPr>
      </w:pPr>
    </w:p>
    <w:p w:rsidR="00E52089" w:rsidRPr="00E94C2A" w:rsidP="00E52089" w14:paraId="62947870" w14:textId="77777777">
      <w:pPr>
        <w:pStyle w:val="Header"/>
        <w:tabs>
          <w:tab w:val="clear" w:pos="4320"/>
          <w:tab w:val="clear" w:pos="8640"/>
        </w:tabs>
        <w:rPr>
          <w:b/>
        </w:rPr>
      </w:pPr>
    </w:p>
    <w:p w:rsidR="00E52089" w:rsidRPr="00E94C2A" w:rsidP="00E52089" w14:paraId="74DD5EB7" w14:textId="77777777">
      <w:pPr>
        <w:pStyle w:val="Header"/>
        <w:tabs>
          <w:tab w:val="clear" w:pos="4320"/>
          <w:tab w:val="clear" w:pos="8640"/>
        </w:tabs>
        <w:rPr>
          <w:i/>
          <w:snapToGrid/>
        </w:rPr>
      </w:pPr>
      <w:r w:rsidRPr="00E94C2A">
        <w:rPr>
          <w:b/>
        </w:rPr>
        <w:t>DESCRIPTION OF RESPONDENTS</w:t>
      </w:r>
      <w:r w:rsidRPr="00E94C2A">
        <w:t xml:space="preserve">: </w:t>
      </w:r>
    </w:p>
    <w:p w:rsidR="00E52089" w:rsidRPr="00E94C2A" w:rsidP="00E52089" w14:paraId="6B878040" w14:textId="77777777"/>
    <w:p w:rsidR="00E52089" w:rsidP="00E52089" w14:paraId="484FF523" w14:textId="77777777">
      <w:pPr>
        <w:pStyle w:val="ListParagraph"/>
        <w:numPr>
          <w:ilvl w:val="0"/>
          <w:numId w:val="5"/>
        </w:numPr>
      </w:pPr>
      <w:r>
        <w:t xml:space="preserve">This poll will be open to anyone who visits </w:t>
      </w:r>
      <w:r w:rsidR="00A2719E">
        <w:t>a United State Mint retail store</w:t>
      </w:r>
      <w:r>
        <w:t xml:space="preserve">. </w:t>
      </w:r>
    </w:p>
    <w:p w:rsidR="00E52089" w:rsidRPr="00E94C2A" w:rsidP="00E52089" w14:paraId="3E7C0A1E" w14:textId="77777777">
      <w:pPr>
        <w:ind w:left="720"/>
      </w:pPr>
    </w:p>
    <w:p w:rsidR="00E52089" w:rsidRPr="00E94C2A" w:rsidP="00E52089" w14:paraId="379D08E6" w14:textId="77777777">
      <w:pPr>
        <w:rPr>
          <w:b/>
        </w:rPr>
      </w:pPr>
    </w:p>
    <w:p w:rsidR="00E52089" w:rsidRPr="00E94C2A" w:rsidP="00E52089" w14:paraId="1E6B3DE4" w14:textId="77777777">
      <w:pPr>
        <w:rPr>
          <w:b/>
        </w:rPr>
      </w:pPr>
      <w:r w:rsidRPr="00E94C2A">
        <w:rPr>
          <w:b/>
        </w:rPr>
        <w:t>TYPE OF COLLECTION:</w:t>
      </w:r>
      <w:r w:rsidRPr="00E94C2A">
        <w:t xml:space="preserve"> (Check one)</w:t>
      </w:r>
    </w:p>
    <w:p w:rsidR="00E52089" w:rsidRPr="00E94C2A" w:rsidP="00E52089" w14:paraId="1332219B" w14:textId="77777777">
      <w:pPr>
        <w:pStyle w:val="BodyTextIndent"/>
        <w:tabs>
          <w:tab w:val="left" w:pos="360"/>
        </w:tabs>
        <w:ind w:left="0"/>
        <w:rPr>
          <w:bCs/>
          <w:sz w:val="16"/>
          <w:szCs w:val="16"/>
        </w:rPr>
      </w:pPr>
    </w:p>
    <w:p w:rsidR="00E52089" w:rsidRPr="00E94C2A" w:rsidP="00E52089" w14:paraId="053FFF9E" w14:textId="77777777">
      <w:pPr>
        <w:pStyle w:val="BodyTextIndent"/>
        <w:tabs>
          <w:tab w:val="left" w:pos="360"/>
        </w:tabs>
        <w:ind w:left="0"/>
        <w:rPr>
          <w:bCs/>
          <w:sz w:val="24"/>
        </w:rPr>
      </w:pPr>
      <w:r w:rsidRPr="00E94C2A">
        <w:rPr>
          <w:bCs/>
          <w:sz w:val="24"/>
        </w:rPr>
        <w:t xml:space="preserve">[ ] Customer Comment Card/Complaint Form </w:t>
      </w:r>
      <w:r w:rsidRPr="00E94C2A">
        <w:rPr>
          <w:bCs/>
          <w:sz w:val="24"/>
        </w:rPr>
        <w:tab/>
        <w:t xml:space="preserve">[ ] Customer Satisfaction Survey    </w:t>
      </w:r>
    </w:p>
    <w:p w:rsidR="00E52089" w:rsidRPr="00E94C2A" w:rsidP="00E52089" w14:paraId="033E0EBE" w14:textId="77777777">
      <w:pPr>
        <w:pStyle w:val="BodyTextIndent"/>
        <w:tabs>
          <w:tab w:val="left" w:pos="360"/>
        </w:tabs>
        <w:ind w:left="0"/>
        <w:rPr>
          <w:bCs/>
          <w:sz w:val="24"/>
        </w:rPr>
      </w:pPr>
      <w:r w:rsidRPr="00E94C2A">
        <w:rPr>
          <w:bCs/>
          <w:sz w:val="24"/>
        </w:rPr>
        <w:t>[ ] Usability Testing (e.g., Website or Software</w:t>
      </w:r>
      <w:r w:rsidRPr="00E94C2A">
        <w:rPr>
          <w:bCs/>
          <w:sz w:val="24"/>
        </w:rPr>
        <w:tab/>
        <w:t>[ ] Small Discussion Group</w:t>
      </w:r>
    </w:p>
    <w:p w:rsidR="00E52089" w:rsidRPr="00E94C2A" w:rsidP="00E52089" w14:paraId="7EC8474B" w14:textId="77777777">
      <w:pPr>
        <w:pStyle w:val="BodyTextIndent"/>
        <w:tabs>
          <w:tab w:val="left" w:pos="360"/>
        </w:tabs>
        <w:ind w:left="5040" w:hanging="5040"/>
        <w:rPr>
          <w:bCs/>
          <w:sz w:val="24"/>
        </w:rPr>
      </w:pPr>
      <w:r w:rsidRPr="00E94C2A">
        <w:rPr>
          <w:bCs/>
          <w:sz w:val="24"/>
        </w:rPr>
        <w:t xml:space="preserve">[ ] Focus Group  </w:t>
      </w:r>
      <w:r w:rsidRPr="00E94C2A">
        <w:rPr>
          <w:bCs/>
          <w:sz w:val="24"/>
        </w:rPr>
        <w:tab/>
        <w:t xml:space="preserve">[X] Other: </w:t>
      </w:r>
      <w:r>
        <w:rPr>
          <w:bCs/>
          <w:sz w:val="24"/>
        </w:rPr>
        <w:t>Online voting</w:t>
      </w:r>
      <w:r w:rsidRPr="00E94C2A">
        <w:rPr>
          <w:bCs/>
          <w:sz w:val="24"/>
          <w:u w:val="single"/>
        </w:rPr>
        <w:t xml:space="preserve"> </w:t>
      </w:r>
    </w:p>
    <w:p w:rsidR="00E52089" w:rsidRPr="00E94C2A" w:rsidP="00E52089" w14:paraId="6463F1E5" w14:textId="77777777">
      <w:pPr>
        <w:pStyle w:val="Header"/>
        <w:tabs>
          <w:tab w:val="clear" w:pos="4320"/>
          <w:tab w:val="clear" w:pos="8640"/>
        </w:tabs>
      </w:pPr>
    </w:p>
    <w:p w:rsidR="00A2719E" w:rsidP="00E52089" w14:paraId="6943D374" w14:textId="77777777">
      <w:pPr>
        <w:rPr>
          <w:b/>
        </w:rPr>
      </w:pPr>
    </w:p>
    <w:p w:rsidR="00A2719E" w:rsidP="00E52089" w14:paraId="6A13ED3E" w14:textId="77777777">
      <w:pPr>
        <w:rPr>
          <w:b/>
        </w:rPr>
      </w:pPr>
    </w:p>
    <w:p w:rsidR="00A2719E" w:rsidP="00E52089" w14:paraId="19815724" w14:textId="77777777">
      <w:pPr>
        <w:rPr>
          <w:b/>
        </w:rPr>
      </w:pPr>
    </w:p>
    <w:p w:rsidR="00A2719E" w:rsidP="00E52089" w14:paraId="11F8BDF9" w14:textId="77777777">
      <w:pPr>
        <w:rPr>
          <w:b/>
        </w:rPr>
      </w:pPr>
    </w:p>
    <w:p w:rsidR="00E52089" w:rsidRPr="00E94C2A" w:rsidP="00E52089" w14:paraId="0E9CAE49" w14:textId="77777777">
      <w:pPr>
        <w:rPr>
          <w:b/>
        </w:rPr>
      </w:pPr>
      <w:r w:rsidRPr="00E94C2A">
        <w:rPr>
          <w:b/>
        </w:rPr>
        <w:t>CERTIFICATION:</w:t>
      </w:r>
    </w:p>
    <w:p w:rsidR="00E52089" w:rsidRPr="00E94C2A" w:rsidP="00E52089" w14:paraId="2BD6DC2B" w14:textId="77777777">
      <w:pPr>
        <w:rPr>
          <w:sz w:val="16"/>
          <w:szCs w:val="16"/>
        </w:rPr>
      </w:pPr>
    </w:p>
    <w:p w:rsidR="00E52089" w:rsidRPr="00E94C2A" w:rsidP="00E52089" w14:paraId="6CC9398E" w14:textId="77777777">
      <w:r w:rsidRPr="00E94C2A">
        <w:t xml:space="preserve">I certify the following to be true: </w:t>
      </w:r>
    </w:p>
    <w:p w:rsidR="00E52089" w:rsidRPr="00E94C2A" w:rsidP="00E52089" w14:paraId="7EB1F7EA" w14:textId="77777777">
      <w:pPr>
        <w:pStyle w:val="ListParagraph"/>
        <w:numPr>
          <w:ilvl w:val="0"/>
          <w:numId w:val="1"/>
        </w:numPr>
      </w:pPr>
      <w:r w:rsidRPr="00E94C2A">
        <w:t xml:space="preserve">The collection is voluntary. </w:t>
      </w:r>
    </w:p>
    <w:p w:rsidR="00E52089" w:rsidRPr="00E94C2A" w:rsidP="00E52089" w14:paraId="0C80CB9D" w14:textId="77777777">
      <w:pPr>
        <w:pStyle w:val="ListParagraph"/>
        <w:numPr>
          <w:ilvl w:val="0"/>
          <w:numId w:val="1"/>
        </w:numPr>
      </w:pPr>
      <w:r w:rsidRPr="00E94C2A">
        <w:t>The collection is low-burden for respondents and low-cost for the Federal Government.</w:t>
      </w:r>
    </w:p>
    <w:p w:rsidR="00E52089" w:rsidRPr="00E94C2A" w:rsidP="00E52089" w14:paraId="44100666" w14:textId="77777777">
      <w:pPr>
        <w:pStyle w:val="ListParagraph"/>
        <w:numPr>
          <w:ilvl w:val="0"/>
          <w:numId w:val="1"/>
        </w:numPr>
      </w:pPr>
      <w:r w:rsidRPr="00E94C2A">
        <w:t xml:space="preserve">The collection is non-controversial and does </w:t>
      </w:r>
      <w:r w:rsidRPr="00E94C2A">
        <w:rPr>
          <w:u w:val="single"/>
        </w:rPr>
        <w:t>not</w:t>
      </w:r>
      <w:r w:rsidRPr="00E94C2A">
        <w:t xml:space="preserve"> raise issues of concern to other federal agencies.</w:t>
      </w:r>
      <w:r w:rsidRPr="00E94C2A">
        <w:tab/>
      </w:r>
      <w:r w:rsidRPr="00E94C2A">
        <w:tab/>
      </w:r>
      <w:r w:rsidRPr="00E94C2A">
        <w:tab/>
      </w:r>
      <w:r w:rsidRPr="00E94C2A">
        <w:tab/>
      </w:r>
      <w:r w:rsidRPr="00E94C2A">
        <w:tab/>
      </w:r>
      <w:r w:rsidRPr="00E94C2A">
        <w:tab/>
      </w:r>
      <w:r w:rsidRPr="00E94C2A">
        <w:tab/>
      </w:r>
      <w:r w:rsidRPr="00E94C2A">
        <w:tab/>
      </w:r>
      <w:r w:rsidRPr="00E94C2A">
        <w:tab/>
      </w:r>
    </w:p>
    <w:p w:rsidR="00E52089" w:rsidP="00E52089" w14:paraId="35D25205" w14:textId="77777777">
      <w:pPr>
        <w:pStyle w:val="ListParagraph"/>
        <w:numPr>
          <w:ilvl w:val="0"/>
          <w:numId w:val="1"/>
        </w:numPr>
      </w:pPr>
      <w:r w:rsidRPr="00E94C2A">
        <w:t xml:space="preserve">The results are </w:t>
      </w:r>
      <w:r w:rsidRPr="00E94C2A">
        <w:rPr>
          <w:u w:val="single"/>
        </w:rPr>
        <w:t>not</w:t>
      </w:r>
      <w:r w:rsidRPr="00E94C2A">
        <w:t xml:space="preserve"> intended to</w:t>
      </w:r>
      <w:r>
        <w:t xml:space="preserve"> be disseminated to the public.</w:t>
      </w:r>
    </w:p>
    <w:p w:rsidR="00E52089" w:rsidP="00E52089" w14:paraId="60A150EC" w14:textId="77777777">
      <w:pPr>
        <w:pStyle w:val="ListParagraph"/>
        <w:numPr>
          <w:ilvl w:val="1"/>
          <w:numId w:val="1"/>
        </w:numPr>
      </w:pPr>
      <w:r>
        <w:t>Notes:</w:t>
      </w:r>
    </w:p>
    <w:p w:rsidR="00E52089" w:rsidP="00E52089" w14:paraId="27AA5609" w14:textId="77777777">
      <w:pPr>
        <w:pStyle w:val="ListParagraph"/>
        <w:numPr>
          <w:ilvl w:val="2"/>
          <w:numId w:val="1"/>
        </w:numPr>
      </w:pPr>
      <w:r>
        <w:t xml:space="preserve">Aggregate results may be made available to the public through newsletters and other Mint communications. </w:t>
      </w:r>
    </w:p>
    <w:p w:rsidR="00E52089" w:rsidRPr="00E94C2A" w:rsidP="00E52089" w14:paraId="4CB36B1D" w14:textId="77777777">
      <w:pPr>
        <w:pStyle w:val="ListParagraph"/>
        <w:numPr>
          <w:ilvl w:val="2"/>
          <w:numId w:val="1"/>
        </w:numPr>
      </w:pPr>
      <w:r>
        <w:t>The public will be able to at least partially determine the results of this survey by observing which of the proposed characters is selected for this coin program.</w:t>
      </w:r>
    </w:p>
    <w:p w:rsidR="00E52089" w:rsidRPr="00E94C2A" w:rsidP="00E52089" w14:paraId="1A211B31" w14:textId="77777777">
      <w:pPr>
        <w:pStyle w:val="ListParagraph"/>
        <w:numPr>
          <w:ilvl w:val="0"/>
          <w:numId w:val="1"/>
        </w:numPr>
      </w:pPr>
      <w:r w:rsidRPr="00E94C2A">
        <w:t xml:space="preserve">Information gathered will not be used for the purpose of </w:t>
      </w:r>
      <w:r w:rsidRPr="00E94C2A">
        <w:rPr>
          <w:u w:val="single"/>
        </w:rPr>
        <w:t>substantially</w:t>
      </w:r>
      <w:r w:rsidRPr="00E94C2A">
        <w:t xml:space="preserve"> informing </w:t>
      </w:r>
      <w:r w:rsidRPr="00E94C2A">
        <w:rPr>
          <w:u w:val="single"/>
        </w:rPr>
        <w:t xml:space="preserve">influential </w:t>
      </w:r>
      <w:r w:rsidRPr="00E94C2A">
        <w:t xml:space="preserve">policy decisions. </w:t>
      </w:r>
    </w:p>
    <w:p w:rsidR="00E52089" w:rsidRPr="00E94C2A" w:rsidP="00E52089" w14:paraId="031CF09C" w14:textId="77777777">
      <w:pPr>
        <w:pStyle w:val="ListParagraph"/>
        <w:numPr>
          <w:ilvl w:val="0"/>
          <w:numId w:val="1"/>
        </w:numPr>
      </w:pPr>
      <w:r w:rsidRPr="00E94C2A">
        <w:t>The collection is targeted to the solicitation of opinions from respondents who have experience with the program or may have experience with the program in the future.</w:t>
      </w:r>
    </w:p>
    <w:p w:rsidR="00E52089" w:rsidRPr="00E94C2A" w:rsidP="00E52089" w14:paraId="084740EE" w14:textId="77777777"/>
    <w:p w:rsidR="00E52089" w:rsidRPr="00E94C2A" w:rsidP="00E52089" w14:paraId="30929D0B" w14:textId="77777777">
      <w:r w:rsidRPr="00E94C2A">
        <w:t xml:space="preserve">Name:  </w:t>
      </w:r>
    </w:p>
    <w:p w:rsidR="00E52089" w:rsidP="00E52089" w14:paraId="039F6A69" w14:textId="77777777">
      <w:pPr>
        <w:rPr>
          <w:rStyle w:val="Hyperlink"/>
        </w:rPr>
      </w:pPr>
    </w:p>
    <w:p w:rsidR="0006437E" w:rsidP="0006437E" w14:paraId="15C1E3F3" w14:textId="77777777">
      <w:r w:rsidRPr="00354339">
        <w:tab/>
      </w:r>
      <w:r>
        <w:t>Chad LaCalamita</w:t>
      </w:r>
    </w:p>
    <w:p w:rsidR="0006437E" w:rsidP="0006437E" w14:paraId="4A529A09" w14:textId="77777777">
      <w:r>
        <w:tab/>
        <w:t>202-570-5118</w:t>
      </w:r>
    </w:p>
    <w:p w:rsidR="0006437E" w:rsidP="0006437E" w14:paraId="5DEC28AB" w14:textId="77777777">
      <w:r>
        <w:tab/>
      </w:r>
      <w:r w:rsidRPr="0006437E">
        <w:t>Chad.LaCalamita@usmint.treas.gov</w:t>
      </w:r>
    </w:p>
    <w:p w:rsidR="0006437E" w:rsidP="0006437E" w14:paraId="47E0FEBD" w14:textId="77777777"/>
    <w:p w:rsidR="0006437E" w:rsidP="0006437E" w14:paraId="1D99719A" w14:textId="77777777">
      <w:r>
        <w:tab/>
      </w:r>
    </w:p>
    <w:p w:rsidR="0006437E" w:rsidP="0006437E" w14:paraId="22A7EBBA" w14:textId="77777777">
      <w:r>
        <w:tab/>
        <w:t>Tivon Johnson</w:t>
      </w:r>
    </w:p>
    <w:p w:rsidR="0006437E" w:rsidP="0006437E" w14:paraId="1F0AFCB0" w14:textId="77777777">
      <w:r>
        <w:tab/>
        <w:t>202-365-6693</w:t>
      </w:r>
    </w:p>
    <w:p w:rsidR="0006437E" w:rsidP="0006437E" w14:paraId="038CB5AC" w14:textId="77777777">
      <w:r>
        <w:tab/>
      </w:r>
      <w:r w:rsidRPr="0006437E">
        <w:t>Tivon.Johnson@usmint.treas.gov</w:t>
      </w:r>
      <w:r>
        <w:t xml:space="preserve"> </w:t>
      </w:r>
    </w:p>
    <w:p w:rsidR="0006437E" w:rsidP="0006437E" w14:paraId="482230C5" w14:textId="77777777"/>
    <w:p w:rsidR="00E52089" w:rsidRPr="00354339" w:rsidP="0006437E" w14:paraId="62B5D2A0" w14:textId="77777777">
      <w:r>
        <w:t xml:space="preserve"> </w:t>
      </w:r>
    </w:p>
    <w:p w:rsidR="00E52089" w:rsidRPr="00E94C2A" w:rsidP="00E52089" w14:paraId="745E34E4" w14:textId="77777777"/>
    <w:p w:rsidR="00E52089" w:rsidRPr="00E94C2A" w:rsidP="00E52089" w14:paraId="5D1FF6D4" w14:textId="77777777">
      <w:pPr>
        <w:pStyle w:val="ListParagraph"/>
        <w:ind w:left="360"/>
      </w:pPr>
    </w:p>
    <w:p w:rsidR="00E52089" w:rsidRPr="00E94C2A" w:rsidP="00E52089" w14:paraId="2E4D015A" w14:textId="77777777">
      <w:r w:rsidRPr="00E94C2A">
        <w:t>To assist review, please provide answers to the following question:</w:t>
      </w:r>
    </w:p>
    <w:p w:rsidR="00E52089" w:rsidRPr="00E94C2A" w:rsidP="00E52089" w14:paraId="5B39A778" w14:textId="77777777">
      <w:pPr>
        <w:pStyle w:val="ListParagraph"/>
        <w:ind w:left="360"/>
      </w:pPr>
    </w:p>
    <w:p w:rsidR="00E52089" w:rsidRPr="00E94C2A" w:rsidP="00E52089" w14:paraId="4DDA9543" w14:textId="77777777">
      <w:pPr>
        <w:rPr>
          <w:b/>
        </w:rPr>
      </w:pPr>
      <w:r w:rsidRPr="00E94C2A">
        <w:rPr>
          <w:b/>
        </w:rPr>
        <w:t>Personally Identifiable Information:</w:t>
      </w:r>
    </w:p>
    <w:p w:rsidR="00E52089" w:rsidP="00E52089" w14:paraId="559D100B" w14:textId="77777777">
      <w:pPr>
        <w:pStyle w:val="ListParagraph"/>
        <w:numPr>
          <w:ilvl w:val="0"/>
          <w:numId w:val="4"/>
        </w:numPr>
      </w:pPr>
      <w:r w:rsidRPr="00E94C2A">
        <w:t>Is personally identifiable information (PII) collected?  [  ] Yes  [</w:t>
      </w:r>
      <w:r w:rsidR="00A2719E">
        <w:t>x</w:t>
      </w:r>
      <w:r w:rsidRPr="00E94C2A">
        <w:t xml:space="preserve">]  No </w:t>
      </w:r>
    </w:p>
    <w:p w:rsidR="00E52089" w:rsidP="00E52089" w14:paraId="057D54A2" w14:textId="77777777">
      <w:pPr>
        <w:pStyle w:val="ListParagraph"/>
        <w:numPr>
          <w:ilvl w:val="0"/>
          <w:numId w:val="4"/>
        </w:numPr>
      </w:pPr>
      <w:r w:rsidRPr="00E94C2A">
        <w:t xml:space="preserve">If Yes, will any information that is collected be included in records that are subject to the Privacy Act of 1974?   [  ] Yes [  ] No   </w:t>
      </w:r>
    </w:p>
    <w:p w:rsidR="00E52089" w:rsidRPr="00E94C2A" w:rsidP="00E52089" w14:paraId="34248E23" w14:textId="77777777">
      <w:pPr>
        <w:pStyle w:val="ListParagraph"/>
        <w:numPr>
          <w:ilvl w:val="1"/>
          <w:numId w:val="4"/>
        </w:numPr>
      </w:pPr>
      <w:r>
        <w:t>Email addresses will be stored in SalesForce Marketing Cloud (formerly called ExactTarget), which is our system of record for customer mailing lists.</w:t>
      </w:r>
    </w:p>
    <w:p w:rsidR="00E52089" w:rsidRPr="00E94C2A" w:rsidP="00E52089" w14:paraId="796DB2E6" w14:textId="77777777">
      <w:pPr>
        <w:pStyle w:val="ListParagraph"/>
        <w:numPr>
          <w:ilvl w:val="0"/>
          <w:numId w:val="4"/>
        </w:numPr>
      </w:pPr>
      <w:r w:rsidRPr="00E94C2A">
        <w:t xml:space="preserve">If Yes, has an up-to-date System of Records Notice (SORN) been published?  [  </w:t>
      </w:r>
      <w:r>
        <w:t xml:space="preserve"> </w:t>
      </w:r>
      <w:r w:rsidRPr="00E94C2A">
        <w:t xml:space="preserve">] Yes  [ ] </w:t>
      </w:r>
      <w:r>
        <w:t xml:space="preserve">Storing email addresses associated with mailing lists is already covered under our existing OMS-II SORN. </w:t>
      </w:r>
    </w:p>
    <w:p w:rsidR="00E52089" w:rsidRPr="00E94C2A" w:rsidP="00E52089" w14:paraId="007507C3" w14:textId="77777777">
      <w:pPr>
        <w:pStyle w:val="ListParagraph"/>
        <w:ind w:left="0"/>
        <w:rPr>
          <w:b/>
        </w:rPr>
      </w:pPr>
    </w:p>
    <w:p w:rsidR="00E52089" w:rsidRPr="00E94C2A" w:rsidP="00E52089" w14:paraId="24B76E07" w14:textId="77777777">
      <w:pPr>
        <w:pStyle w:val="ListParagraph"/>
        <w:ind w:left="0"/>
        <w:rPr>
          <w:b/>
        </w:rPr>
      </w:pPr>
      <w:r w:rsidRPr="00E94C2A">
        <w:rPr>
          <w:b/>
        </w:rPr>
        <w:t>Gifts or Payments:</w:t>
      </w:r>
    </w:p>
    <w:p w:rsidR="00E52089" w:rsidRPr="00E94C2A" w:rsidP="00E52089" w14:paraId="2C04C023" w14:textId="77777777">
      <w:r w:rsidRPr="00E94C2A">
        <w:t xml:space="preserve">Is an incentive (e.g., money or reimbursement of expenses, token of appreciation) provided to participants?  [  ] Yes [ X ] No  </w:t>
      </w:r>
    </w:p>
    <w:p w:rsidR="00E52089" w:rsidRPr="00E94C2A" w:rsidP="00E52089" w14:paraId="4D4BC988" w14:textId="77777777">
      <w:pPr>
        <w:rPr>
          <w:b/>
        </w:rPr>
      </w:pPr>
    </w:p>
    <w:p w:rsidR="00E52089" w:rsidRPr="00E94C2A" w:rsidP="00E52089" w14:paraId="6F7F3B2F" w14:textId="77777777">
      <w:pPr>
        <w:rPr>
          <w:b/>
        </w:rPr>
      </w:pPr>
    </w:p>
    <w:p w:rsidR="00E52089" w:rsidRPr="00E94C2A" w:rsidP="00E52089" w14:paraId="7F0E7B3F" w14:textId="77777777">
      <w:pPr>
        <w:rPr>
          <w:i/>
        </w:rPr>
      </w:pPr>
      <w:r w:rsidRPr="00E94C2A">
        <w:rPr>
          <w:b/>
        </w:rPr>
        <w:t>BURDEN HOURS</w:t>
      </w:r>
      <w:r w:rsidRPr="00E94C2A">
        <w:t xml:space="preserve"> </w:t>
      </w:r>
    </w:p>
    <w:p w:rsidR="00E52089" w:rsidRPr="00E94C2A" w:rsidP="00E52089" w14:paraId="699B25C8" w14:textId="77777777">
      <w:pPr>
        <w:keepNext/>
        <w:keepLines/>
        <w:rPr>
          <w: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5"/>
        <w:gridCol w:w="2250"/>
        <w:gridCol w:w="2160"/>
        <w:gridCol w:w="1890"/>
      </w:tblGrid>
      <w:tr w14:paraId="3B3C0AA2" w14:textId="77777777" w:rsidTr="00BE1A64">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595" w:type="dxa"/>
          </w:tcPr>
          <w:p w:rsidR="00E52089" w:rsidRPr="00E94C2A" w:rsidP="00BE1A64" w14:paraId="00055A47" w14:textId="77777777">
            <w:pPr>
              <w:rPr>
                <w:b/>
              </w:rPr>
            </w:pPr>
            <w:r w:rsidRPr="00E94C2A">
              <w:rPr>
                <w:b/>
              </w:rPr>
              <w:t xml:space="preserve">Category of Respondent </w:t>
            </w:r>
          </w:p>
        </w:tc>
        <w:tc>
          <w:tcPr>
            <w:tcW w:w="2250" w:type="dxa"/>
          </w:tcPr>
          <w:p w:rsidR="00E52089" w:rsidRPr="00E94C2A" w:rsidP="00BE1A64" w14:paraId="6865097E" w14:textId="77777777">
            <w:pPr>
              <w:rPr>
                <w:b/>
              </w:rPr>
            </w:pPr>
            <w:r w:rsidRPr="00E94C2A">
              <w:rPr>
                <w:b/>
              </w:rPr>
              <w:t>No. of Respondents</w:t>
            </w:r>
          </w:p>
        </w:tc>
        <w:tc>
          <w:tcPr>
            <w:tcW w:w="2160" w:type="dxa"/>
          </w:tcPr>
          <w:p w:rsidR="00E52089" w:rsidRPr="00E94C2A" w:rsidP="00BE1A64" w14:paraId="072A0D5B" w14:textId="77777777">
            <w:pPr>
              <w:rPr>
                <w:b/>
              </w:rPr>
            </w:pPr>
            <w:r w:rsidRPr="00E94C2A">
              <w:rPr>
                <w:b/>
              </w:rPr>
              <w:t>Participation Time</w:t>
            </w:r>
          </w:p>
        </w:tc>
        <w:tc>
          <w:tcPr>
            <w:tcW w:w="1890" w:type="dxa"/>
          </w:tcPr>
          <w:p w:rsidR="00E52089" w:rsidRPr="00E94C2A" w:rsidP="00BE1A64" w14:paraId="734F1095" w14:textId="77777777">
            <w:pPr>
              <w:rPr>
                <w:b/>
              </w:rPr>
            </w:pPr>
            <w:r w:rsidRPr="00E94C2A">
              <w:rPr>
                <w:b/>
              </w:rPr>
              <w:t xml:space="preserve">Burden </w:t>
            </w:r>
            <w:r w:rsidRPr="00E94C2A">
              <w:rPr>
                <w:b/>
              </w:rPr>
              <w:br/>
              <w:t>(in hours)</w:t>
            </w:r>
          </w:p>
        </w:tc>
      </w:tr>
      <w:tr w14:paraId="247A5ECA" w14:textId="77777777" w:rsidTr="00BE1A64">
        <w:tblPrEx>
          <w:tblW w:w="9895" w:type="dxa"/>
          <w:tblLayout w:type="fixed"/>
          <w:tblLook w:val="01E0"/>
        </w:tblPrEx>
        <w:trPr>
          <w:trHeight w:val="386"/>
        </w:trPr>
        <w:tc>
          <w:tcPr>
            <w:tcW w:w="3595" w:type="dxa"/>
          </w:tcPr>
          <w:p w:rsidR="00E52089" w:rsidRPr="00E94C2A" w:rsidP="00BE1A64" w14:paraId="0970AEEA" w14:textId="77777777">
            <w:r>
              <w:t>Retail store visitors</w:t>
            </w:r>
          </w:p>
        </w:tc>
        <w:tc>
          <w:tcPr>
            <w:tcW w:w="2250" w:type="dxa"/>
            <w:vAlign w:val="center"/>
          </w:tcPr>
          <w:p w:rsidR="00E52089" w:rsidRPr="00E94C2A" w:rsidP="00BE1A64" w14:paraId="42F2F41D" w14:textId="77777777">
            <w:pPr>
              <w:jc w:val="center"/>
            </w:pPr>
            <w:r>
              <w:t>5000</w:t>
            </w:r>
          </w:p>
        </w:tc>
        <w:tc>
          <w:tcPr>
            <w:tcW w:w="2160" w:type="dxa"/>
            <w:vAlign w:val="center"/>
          </w:tcPr>
          <w:p w:rsidR="00E52089" w:rsidRPr="00E94C2A" w:rsidP="00BE1A64" w14:paraId="7D8BE3B5" w14:textId="77777777">
            <w:pPr>
              <w:jc w:val="center"/>
            </w:pPr>
            <w:r>
              <w:rPr>
                <w:color w:val="000000"/>
              </w:rPr>
              <w:t>3</w:t>
            </w:r>
            <w:r w:rsidRPr="00E94C2A">
              <w:rPr>
                <w:color w:val="000000"/>
              </w:rPr>
              <w:t xml:space="preserve"> minutes</w:t>
            </w:r>
          </w:p>
        </w:tc>
        <w:tc>
          <w:tcPr>
            <w:tcW w:w="1890" w:type="dxa"/>
            <w:vAlign w:val="center"/>
          </w:tcPr>
          <w:p w:rsidR="00E52089" w:rsidRPr="00E94C2A" w:rsidP="00BE1A64" w14:paraId="7AAB9B86" w14:textId="41F58506">
            <w:pPr>
              <w:jc w:val="center"/>
            </w:pPr>
            <w:r>
              <w:t>250</w:t>
            </w:r>
          </w:p>
        </w:tc>
      </w:tr>
      <w:tr w14:paraId="151A56D6" w14:textId="77777777" w:rsidTr="00BE1A64">
        <w:tblPrEx>
          <w:tblW w:w="9895" w:type="dxa"/>
          <w:tblLayout w:type="fixed"/>
          <w:tblLook w:val="01E0"/>
        </w:tblPrEx>
        <w:trPr>
          <w:trHeight w:val="289"/>
        </w:trPr>
        <w:tc>
          <w:tcPr>
            <w:tcW w:w="3595" w:type="dxa"/>
          </w:tcPr>
          <w:p w:rsidR="00E52089" w:rsidRPr="00E94C2A" w:rsidP="00BE1A64" w14:paraId="05932FA5" w14:textId="77777777">
            <w:pPr>
              <w:rPr>
                <w:b/>
              </w:rPr>
            </w:pPr>
            <w:r w:rsidRPr="00E94C2A">
              <w:rPr>
                <w:b/>
              </w:rPr>
              <w:t>Totals</w:t>
            </w:r>
          </w:p>
        </w:tc>
        <w:tc>
          <w:tcPr>
            <w:tcW w:w="2250" w:type="dxa"/>
          </w:tcPr>
          <w:p w:rsidR="00E52089" w:rsidRPr="00E94C2A" w:rsidP="00BE1A64" w14:paraId="7A97929F" w14:textId="77777777">
            <w:pPr>
              <w:jc w:val="center"/>
              <w:rPr>
                <w:b/>
              </w:rPr>
            </w:pPr>
            <w:r>
              <w:rPr>
                <w:b/>
              </w:rPr>
              <w:t>5000</w:t>
            </w:r>
          </w:p>
        </w:tc>
        <w:tc>
          <w:tcPr>
            <w:tcW w:w="2160" w:type="dxa"/>
          </w:tcPr>
          <w:p w:rsidR="00E52089" w:rsidRPr="00E94C2A" w:rsidP="00BE1A64" w14:paraId="23E0DB1E" w14:textId="77777777">
            <w:pPr>
              <w:rPr>
                <w:b/>
              </w:rPr>
            </w:pPr>
            <w:r>
              <w:rPr>
                <w:b/>
              </w:rPr>
              <w:t xml:space="preserve">         3 minutes</w:t>
            </w:r>
          </w:p>
        </w:tc>
        <w:tc>
          <w:tcPr>
            <w:tcW w:w="1890" w:type="dxa"/>
          </w:tcPr>
          <w:p w:rsidR="00E52089" w:rsidRPr="00A2719E" w:rsidP="00BE1A64" w14:paraId="0442E365" w14:textId="0894DB01">
            <w:pPr>
              <w:jc w:val="center"/>
              <w:rPr>
                <w:b/>
                <w:bCs/>
                <w:color w:val="000000"/>
              </w:rPr>
            </w:pPr>
            <w:r>
              <w:rPr>
                <w:b/>
                <w:bCs/>
              </w:rPr>
              <w:t>250</w:t>
            </w:r>
          </w:p>
        </w:tc>
      </w:tr>
    </w:tbl>
    <w:p w:rsidR="00E52089" w:rsidRPr="00E94C2A" w:rsidP="00E52089" w14:paraId="2E820B9C" w14:textId="77777777">
      <w:pPr>
        <w:rPr>
          <w:b/>
        </w:rPr>
      </w:pPr>
    </w:p>
    <w:p w:rsidR="00E52089" w:rsidRPr="00E94C2A" w:rsidP="00E52089" w14:paraId="4E043E88" w14:textId="77777777">
      <w:pPr>
        <w:rPr>
          <w:b/>
        </w:rPr>
      </w:pPr>
      <w:r w:rsidRPr="00E94C2A">
        <w:rPr>
          <w:b/>
        </w:rPr>
        <w:t xml:space="preserve">FEDERAL COST:  </w:t>
      </w:r>
      <w:r w:rsidRPr="00E94C2A">
        <w:t xml:space="preserve">The estimated annual cost to the Federal government is </w:t>
      </w:r>
      <w:r w:rsidRPr="006D7800">
        <w:rPr>
          <w:b/>
        </w:rPr>
        <w:t>___$</w:t>
      </w:r>
      <w:r w:rsidR="00A2719E">
        <w:rPr>
          <w:b/>
        </w:rPr>
        <w:t>1</w:t>
      </w:r>
      <w:r>
        <w:rPr>
          <w:b/>
        </w:rPr>
        <w:t xml:space="preserve">0,000 </w:t>
      </w:r>
      <w:r w:rsidRPr="006D7800">
        <w:rPr>
          <w:b/>
        </w:rPr>
        <w:t>___</w:t>
      </w:r>
    </w:p>
    <w:p w:rsidR="00E52089" w:rsidRPr="00E94C2A" w:rsidP="00E52089" w14:paraId="13DFBF9A" w14:textId="77777777">
      <w:pPr>
        <w:rPr>
          <w:b/>
          <w:bCs/>
          <w:u w:val="single"/>
        </w:rPr>
      </w:pPr>
    </w:p>
    <w:p w:rsidR="00E52089" w:rsidRPr="00E94C2A" w:rsidP="00E52089" w14:paraId="09C62268" w14:textId="77777777">
      <w:pPr>
        <w:rPr>
          <w:b/>
        </w:rPr>
      </w:pPr>
      <w:r w:rsidRPr="00E94C2A">
        <w:rPr>
          <w:b/>
          <w:bCs/>
          <w:u w:val="single"/>
        </w:rPr>
        <w:t>If you are conducting a focus group, survey, or plan to employ statistical methods, please provide answers to the following questions:</w:t>
      </w:r>
    </w:p>
    <w:p w:rsidR="00E52089" w:rsidRPr="00E94C2A" w:rsidP="00E52089" w14:paraId="1122B0BF" w14:textId="77777777">
      <w:pPr>
        <w:rPr>
          <w:b/>
        </w:rPr>
      </w:pPr>
    </w:p>
    <w:p w:rsidR="00E52089" w:rsidRPr="00E94C2A" w:rsidP="00E52089" w14:paraId="7AE3555E" w14:textId="77777777">
      <w:pPr>
        <w:rPr>
          <w:b/>
        </w:rPr>
      </w:pPr>
      <w:r w:rsidRPr="00E94C2A">
        <w:rPr>
          <w:b/>
        </w:rPr>
        <w:t>The selection of your targeted respondents</w:t>
      </w:r>
    </w:p>
    <w:p w:rsidR="00E52089" w:rsidRPr="00E94C2A" w:rsidP="00E52089" w14:paraId="7E4EEA03" w14:textId="77777777">
      <w:pPr>
        <w:pStyle w:val="ListParagraph"/>
        <w:numPr>
          <w:ilvl w:val="0"/>
          <w:numId w:val="2"/>
        </w:numPr>
      </w:pPr>
      <w:r w:rsidRPr="00E94C2A">
        <w:t>Do you have a customer list or something similar that defines the universe of potential respondents and do you have a sampling plan for selecting from this universe?</w:t>
      </w:r>
      <w:r w:rsidRPr="00E94C2A">
        <w:tab/>
      </w:r>
      <w:r w:rsidRPr="00E94C2A">
        <w:tab/>
      </w:r>
      <w:r w:rsidRPr="00E94C2A">
        <w:tab/>
      </w:r>
      <w:r w:rsidRPr="00E94C2A">
        <w:tab/>
      </w:r>
      <w:r w:rsidRPr="00E94C2A">
        <w:tab/>
      </w:r>
      <w:r w:rsidRPr="00E94C2A">
        <w:tab/>
      </w:r>
      <w:r w:rsidRPr="00E94C2A">
        <w:tab/>
      </w:r>
      <w:r w:rsidRPr="00E94C2A">
        <w:tab/>
      </w:r>
      <w:r w:rsidRPr="00E94C2A">
        <w:tab/>
      </w:r>
      <w:r w:rsidRPr="00E94C2A">
        <w:tab/>
      </w:r>
      <w:r w:rsidRPr="00E94C2A">
        <w:tab/>
        <w:t>[</w:t>
      </w:r>
      <w:r>
        <w:t xml:space="preserve"> </w:t>
      </w:r>
      <w:r w:rsidRPr="00E94C2A">
        <w:t xml:space="preserve"> ] Yes</w:t>
      </w:r>
      <w:r w:rsidRPr="00E94C2A">
        <w:tab/>
        <w:t xml:space="preserve">[ </w:t>
      </w:r>
      <w:r w:rsidR="00A2719E">
        <w:t>X</w:t>
      </w:r>
      <w:r w:rsidRPr="00E94C2A">
        <w:t>] No</w:t>
      </w:r>
    </w:p>
    <w:p w:rsidR="00E52089" w:rsidRPr="00E94C2A" w:rsidP="00E52089" w14:paraId="34746077" w14:textId="77777777">
      <w:pPr>
        <w:pStyle w:val="ListParagraph"/>
      </w:pPr>
    </w:p>
    <w:p w:rsidR="00E52089" w:rsidP="00E52089" w14:paraId="6FA573F1" w14:textId="77777777">
      <w:r w:rsidRPr="00E94C2A">
        <w:t>If the answer is yes, please provide a description of both below (or attach the sampling plan)?   If the answer is no, please provide a description of how you plan to identify your potential group of respondents and how you will select them?</w:t>
      </w:r>
    </w:p>
    <w:p w:rsidR="00E52089" w:rsidP="00E52089" w14:paraId="395DE607" w14:textId="77777777"/>
    <w:p w:rsidR="00E52089" w:rsidP="00E52089" w14:paraId="624E6F96" w14:textId="77777777"/>
    <w:p w:rsidR="00E52089" w:rsidRPr="00E94C2A" w:rsidP="00E52089" w14:paraId="761BAD8C" w14:textId="77777777">
      <w:pPr>
        <w:ind w:left="720"/>
      </w:pPr>
    </w:p>
    <w:p w:rsidR="00E52089" w:rsidRPr="00E94C2A" w:rsidP="00E52089" w14:paraId="1EDDCED2" w14:textId="77777777">
      <w:pPr>
        <w:rPr>
          <w:b/>
        </w:rPr>
      </w:pPr>
      <w:r w:rsidRPr="00E94C2A">
        <w:rPr>
          <w:b/>
        </w:rPr>
        <w:t>Administration of the Instrument</w:t>
      </w:r>
    </w:p>
    <w:p w:rsidR="00E52089" w:rsidRPr="00E94C2A" w:rsidP="00E52089" w14:paraId="3E54049D" w14:textId="77777777">
      <w:pPr>
        <w:pStyle w:val="ListParagraph"/>
        <w:numPr>
          <w:ilvl w:val="0"/>
          <w:numId w:val="3"/>
        </w:numPr>
      </w:pPr>
      <w:r w:rsidRPr="00E94C2A">
        <w:t>How will you collect the information? (Check all that apply)</w:t>
      </w:r>
    </w:p>
    <w:p w:rsidR="00E52089" w:rsidRPr="00E94C2A" w:rsidP="00E52089" w14:paraId="3841C8F6" w14:textId="77777777">
      <w:pPr>
        <w:ind w:left="720"/>
      </w:pPr>
      <w:r w:rsidRPr="00E94C2A">
        <w:t xml:space="preserve">[ X ] Web-based or other forms of Social Media </w:t>
      </w:r>
    </w:p>
    <w:p w:rsidR="00E52089" w:rsidRPr="00E94C2A" w:rsidP="00E52089" w14:paraId="4EC75B9C" w14:textId="77777777">
      <w:pPr>
        <w:ind w:left="720"/>
      </w:pPr>
      <w:r w:rsidRPr="00E94C2A">
        <w:t>[  ] Telephone</w:t>
      </w:r>
      <w:r w:rsidRPr="00E94C2A">
        <w:tab/>
      </w:r>
    </w:p>
    <w:p w:rsidR="00E52089" w:rsidRPr="00E94C2A" w:rsidP="00E52089" w14:paraId="51124C22" w14:textId="77777777">
      <w:pPr>
        <w:ind w:left="720"/>
      </w:pPr>
      <w:r w:rsidRPr="00E94C2A">
        <w:t>[  ] In-person</w:t>
      </w:r>
      <w:r w:rsidRPr="00E94C2A">
        <w:tab/>
      </w:r>
    </w:p>
    <w:p w:rsidR="00E52089" w:rsidRPr="00E94C2A" w:rsidP="00E52089" w14:paraId="45FF93BC" w14:textId="77777777">
      <w:pPr>
        <w:ind w:left="720"/>
      </w:pPr>
      <w:r w:rsidRPr="00E94C2A">
        <w:t xml:space="preserve">[  ] Mail </w:t>
      </w:r>
    </w:p>
    <w:p w:rsidR="00E52089" w:rsidRPr="00E94C2A" w:rsidP="00E52089" w14:paraId="78D375E6" w14:textId="77777777">
      <w:pPr>
        <w:ind w:left="720"/>
      </w:pPr>
      <w:r w:rsidRPr="00E94C2A">
        <w:t xml:space="preserve">[ </w:t>
      </w:r>
      <w:r w:rsidR="00A2719E">
        <w:t>X</w:t>
      </w:r>
      <w:r w:rsidRPr="00E94C2A">
        <w:t xml:space="preserve"> ] Other, Explain</w:t>
      </w:r>
      <w:r w:rsidR="00A2719E">
        <w:t xml:space="preserve">: Survey respondents will scan a QR code in the retail store which will take them to the web-based survey in Qualtrics.. </w:t>
      </w:r>
    </w:p>
    <w:p w:rsidR="00E52089" w:rsidRPr="00E94C2A" w:rsidP="00E52089" w14:paraId="635EFA41" w14:textId="77777777">
      <w:pPr>
        <w:pStyle w:val="ListParagraph"/>
        <w:numPr>
          <w:ilvl w:val="0"/>
          <w:numId w:val="3"/>
        </w:numPr>
      </w:pPr>
      <w:r w:rsidRPr="00E94C2A">
        <w:t>Will interviewers or facilitators be used?  [  ] Yes [ X ] No</w:t>
      </w:r>
    </w:p>
    <w:p w:rsidR="00E52089" w:rsidRPr="00E94C2A" w:rsidP="00E52089" w14:paraId="4DB379A3" w14:textId="77777777">
      <w:pPr>
        <w:pStyle w:val="ListParagraph"/>
        <w:ind w:left="360"/>
      </w:pPr>
      <w:r w:rsidRPr="00E94C2A">
        <w:t xml:space="preserve"> </w:t>
      </w:r>
    </w:p>
    <w:p w:rsidR="00E52089" w:rsidP="00E52089" w14:paraId="794E3CE0" w14:textId="77777777">
      <w:pPr>
        <w:rPr>
          <w:b/>
        </w:rPr>
      </w:pPr>
      <w:r w:rsidRPr="00E94C2A">
        <w:rPr>
          <w:b/>
        </w:rPr>
        <w:t>Please make sure that all instruments, instructions, and scripts are submitted with the request.</w:t>
      </w:r>
    </w:p>
    <w:sectPr w:rsidSect="00E52089">
      <w:headerReference w:type="even" r:id="rId4"/>
      <w:headerReference w:type="default" r:id="rId5"/>
      <w:footerReference w:type="even" r:id="rId6"/>
      <w:footerReference w:type="default" r:id="rId7"/>
      <w:headerReference w:type="first" r:id="rId8"/>
      <w:footerReference w:type="firs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61D" w14:paraId="10A0A6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61D" w14:paraId="5E951D09" w14:textId="77777777">
    <w:pPr>
      <w:pStyle w:val="Footer"/>
      <w:tabs>
        <w:tab w:val="clear" w:pos="8640"/>
        <w:tab w:val="right" w:pos="9000"/>
      </w:tabs>
      <w:jc w:val="center"/>
      <w:rPr>
        <w:iCs/>
        <w:sz w:val="20"/>
        <w:szCs w:val="20"/>
      </w:rPr>
    </w:pPr>
    <w:r>
      <w:rPr>
        <w:rStyle w:val="PageNumber"/>
        <w:rFonts w:eastAsiaTheme="majorEastAsia"/>
        <w:sz w:val="20"/>
        <w:szCs w:val="20"/>
      </w:rPr>
      <w:fldChar w:fldCharType="begin"/>
    </w:r>
    <w:r>
      <w:rPr>
        <w:rStyle w:val="PageNumber"/>
        <w:rFonts w:eastAsiaTheme="majorEastAsia"/>
        <w:sz w:val="20"/>
        <w:szCs w:val="20"/>
      </w:rPr>
      <w:instrText xml:space="preserve"> PAGE </w:instrText>
    </w:r>
    <w:r>
      <w:rPr>
        <w:rStyle w:val="PageNumber"/>
        <w:rFonts w:eastAsiaTheme="majorEastAsia"/>
        <w:sz w:val="20"/>
        <w:szCs w:val="20"/>
      </w:rPr>
      <w:fldChar w:fldCharType="separate"/>
    </w:r>
    <w:r>
      <w:rPr>
        <w:rStyle w:val="PageNumber"/>
        <w:rFonts w:eastAsiaTheme="majorEastAsia"/>
        <w:noProof/>
        <w:sz w:val="20"/>
        <w:szCs w:val="20"/>
      </w:rPr>
      <w:t>3</w:t>
    </w:r>
    <w:r>
      <w:rPr>
        <w:rStyle w:val="PageNumber"/>
        <w:rFonts w:eastAsiaTheme="majorEastAsi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61D" w14:paraId="4B64AF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61D" w14:paraId="6F54DD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61D" w14:paraId="6C6F4EE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61D" w14:paraId="0B41E2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D0D41"/>
    <w:multiLevelType w:val="hybridMultilevel"/>
    <w:tmpl w:val="30FC95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0386558">
    <w:abstractNumId w:val="4"/>
  </w:num>
  <w:num w:numId="2" w16cid:durableId="1648902296">
    <w:abstractNumId w:val="3"/>
  </w:num>
  <w:num w:numId="3" w16cid:durableId="1218738195">
    <w:abstractNumId w:val="1"/>
  </w:num>
  <w:num w:numId="4" w16cid:durableId="820076890">
    <w:abstractNumId w:val="2"/>
  </w:num>
  <w:num w:numId="5" w16cid:durableId="182349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89"/>
    <w:rsid w:val="00026712"/>
    <w:rsid w:val="00033426"/>
    <w:rsid w:val="0006437E"/>
    <w:rsid w:val="0016611D"/>
    <w:rsid w:val="001967B8"/>
    <w:rsid w:val="00267194"/>
    <w:rsid w:val="00354339"/>
    <w:rsid w:val="0035661D"/>
    <w:rsid w:val="003D2BB4"/>
    <w:rsid w:val="003E250E"/>
    <w:rsid w:val="00434E33"/>
    <w:rsid w:val="005C458C"/>
    <w:rsid w:val="005E34ED"/>
    <w:rsid w:val="006D7800"/>
    <w:rsid w:val="008C6507"/>
    <w:rsid w:val="009239AA"/>
    <w:rsid w:val="00972216"/>
    <w:rsid w:val="00A0543C"/>
    <w:rsid w:val="00A2719E"/>
    <w:rsid w:val="00AF3F55"/>
    <w:rsid w:val="00BA7318"/>
    <w:rsid w:val="00BE1A64"/>
    <w:rsid w:val="00C22E92"/>
    <w:rsid w:val="00C238E5"/>
    <w:rsid w:val="00CE6F83"/>
    <w:rsid w:val="00D5618C"/>
    <w:rsid w:val="00D85F1D"/>
    <w:rsid w:val="00DC1525"/>
    <w:rsid w:val="00E52089"/>
    <w:rsid w:val="00E94C2A"/>
    <w:rsid w:val="00EC5B6B"/>
    <w:rsid w:val="00EE27BC"/>
    <w:rsid w:val="00F102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6ABEA1"/>
  <w15:chartTrackingRefBased/>
  <w15:docId w15:val="{02261CD2-CBA8-44E5-9BF1-6E8A1288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08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52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52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0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0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0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0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089"/>
    <w:rPr>
      <w:rFonts w:eastAsiaTheme="majorEastAsia" w:cstheme="majorBidi"/>
      <w:color w:val="272727" w:themeColor="text1" w:themeTint="D8"/>
    </w:rPr>
  </w:style>
  <w:style w:type="paragraph" w:styleId="Title">
    <w:name w:val="Title"/>
    <w:basedOn w:val="Normal"/>
    <w:next w:val="Normal"/>
    <w:link w:val="TitleChar"/>
    <w:uiPriority w:val="10"/>
    <w:qFormat/>
    <w:rsid w:val="00E520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089"/>
    <w:pPr>
      <w:spacing w:before="160"/>
      <w:jc w:val="center"/>
    </w:pPr>
    <w:rPr>
      <w:i/>
      <w:iCs/>
      <w:color w:val="404040" w:themeColor="text1" w:themeTint="BF"/>
    </w:rPr>
  </w:style>
  <w:style w:type="character" w:customStyle="1" w:styleId="QuoteChar">
    <w:name w:val="Quote Char"/>
    <w:basedOn w:val="DefaultParagraphFont"/>
    <w:link w:val="Quote"/>
    <w:uiPriority w:val="29"/>
    <w:rsid w:val="00E52089"/>
    <w:rPr>
      <w:i/>
      <w:iCs/>
      <w:color w:val="404040" w:themeColor="text1" w:themeTint="BF"/>
    </w:rPr>
  </w:style>
  <w:style w:type="paragraph" w:styleId="ListParagraph">
    <w:name w:val="List Paragraph"/>
    <w:basedOn w:val="Normal"/>
    <w:uiPriority w:val="34"/>
    <w:qFormat/>
    <w:rsid w:val="00E52089"/>
    <w:pPr>
      <w:ind w:left="720"/>
      <w:contextualSpacing/>
    </w:pPr>
  </w:style>
  <w:style w:type="character" w:styleId="IntenseEmphasis">
    <w:name w:val="Intense Emphasis"/>
    <w:basedOn w:val="DefaultParagraphFont"/>
    <w:uiPriority w:val="21"/>
    <w:qFormat/>
    <w:rsid w:val="00E52089"/>
    <w:rPr>
      <w:i/>
      <w:iCs/>
      <w:color w:val="0F4761" w:themeColor="accent1" w:themeShade="BF"/>
    </w:rPr>
  </w:style>
  <w:style w:type="paragraph" w:styleId="IntenseQuote">
    <w:name w:val="Intense Quote"/>
    <w:basedOn w:val="Normal"/>
    <w:next w:val="Normal"/>
    <w:link w:val="IntenseQuoteChar"/>
    <w:uiPriority w:val="30"/>
    <w:qFormat/>
    <w:rsid w:val="00E52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089"/>
    <w:rPr>
      <w:i/>
      <w:iCs/>
      <w:color w:val="0F4761" w:themeColor="accent1" w:themeShade="BF"/>
    </w:rPr>
  </w:style>
  <w:style w:type="character" w:styleId="IntenseReference">
    <w:name w:val="Intense Reference"/>
    <w:basedOn w:val="DefaultParagraphFont"/>
    <w:uiPriority w:val="32"/>
    <w:qFormat/>
    <w:rsid w:val="00E52089"/>
    <w:rPr>
      <w:b/>
      <w:bCs/>
      <w:smallCaps/>
      <w:color w:val="0F4761" w:themeColor="accent1" w:themeShade="BF"/>
      <w:spacing w:val="5"/>
    </w:rPr>
  </w:style>
  <w:style w:type="paragraph" w:styleId="Header">
    <w:name w:val="header"/>
    <w:basedOn w:val="Normal"/>
    <w:link w:val="HeaderChar"/>
    <w:rsid w:val="00E52089"/>
    <w:pPr>
      <w:widowControl w:val="0"/>
      <w:tabs>
        <w:tab w:val="center" w:pos="4320"/>
        <w:tab w:val="right" w:pos="8640"/>
      </w:tabs>
    </w:pPr>
    <w:rPr>
      <w:snapToGrid w:val="0"/>
    </w:rPr>
  </w:style>
  <w:style w:type="character" w:customStyle="1" w:styleId="HeaderChar">
    <w:name w:val="Header Char"/>
    <w:basedOn w:val="DefaultParagraphFont"/>
    <w:link w:val="Header"/>
    <w:rsid w:val="00E52089"/>
    <w:rPr>
      <w:rFonts w:ascii="Times New Roman" w:eastAsia="Times New Roman" w:hAnsi="Times New Roman" w:cs="Times New Roman"/>
      <w:snapToGrid w:val="0"/>
      <w:kern w:val="0"/>
      <w14:ligatures w14:val="none"/>
    </w:rPr>
  </w:style>
  <w:style w:type="paragraph" w:styleId="Footer">
    <w:name w:val="footer"/>
    <w:basedOn w:val="Normal"/>
    <w:link w:val="FooterChar"/>
    <w:rsid w:val="00E52089"/>
    <w:pPr>
      <w:tabs>
        <w:tab w:val="center" w:pos="4320"/>
        <w:tab w:val="right" w:pos="8640"/>
      </w:tabs>
    </w:pPr>
  </w:style>
  <w:style w:type="character" w:customStyle="1" w:styleId="FooterChar">
    <w:name w:val="Footer Char"/>
    <w:basedOn w:val="DefaultParagraphFont"/>
    <w:link w:val="Footer"/>
    <w:rsid w:val="00E52089"/>
    <w:rPr>
      <w:rFonts w:ascii="Times New Roman" w:eastAsia="Times New Roman" w:hAnsi="Times New Roman" w:cs="Times New Roman"/>
      <w:kern w:val="0"/>
      <w14:ligatures w14:val="none"/>
    </w:rPr>
  </w:style>
  <w:style w:type="character" w:styleId="PageNumber">
    <w:name w:val="page number"/>
    <w:basedOn w:val="DefaultParagraphFont"/>
    <w:rsid w:val="00E52089"/>
  </w:style>
  <w:style w:type="paragraph" w:styleId="BodyTextIndent">
    <w:name w:val="Body Text Indent"/>
    <w:basedOn w:val="Normal"/>
    <w:link w:val="BodyTextIndentChar"/>
    <w:rsid w:val="00E52089"/>
    <w:pPr>
      <w:ind w:left="288"/>
    </w:pPr>
    <w:rPr>
      <w:sz w:val="20"/>
      <w:szCs w:val="20"/>
      <w:lang w:eastAsia="zh-CN"/>
    </w:rPr>
  </w:style>
  <w:style w:type="character" w:customStyle="1" w:styleId="BodyTextIndentChar">
    <w:name w:val="Body Text Indent Char"/>
    <w:basedOn w:val="DefaultParagraphFont"/>
    <w:link w:val="BodyTextIndent"/>
    <w:rsid w:val="00E52089"/>
    <w:rPr>
      <w:rFonts w:ascii="Times New Roman" w:eastAsia="Times New Roman" w:hAnsi="Times New Roman" w:cs="Times New Roman"/>
      <w:kern w:val="0"/>
      <w:sz w:val="20"/>
      <w:szCs w:val="20"/>
      <w:lang w:eastAsia="zh-CN"/>
      <w14:ligatures w14:val="none"/>
    </w:rPr>
  </w:style>
  <w:style w:type="character" w:styleId="Hyperlink">
    <w:name w:val="Hyperlink"/>
    <w:basedOn w:val="DefaultParagraphFont"/>
    <w:rsid w:val="00E52089"/>
    <w:rPr>
      <w:color w:val="467886" w:themeColor="hyperlink"/>
      <w:u w:val="single"/>
    </w:rPr>
  </w:style>
  <w:style w:type="character" w:styleId="UnresolvedMention">
    <w:name w:val="Unresolved Mention"/>
    <w:basedOn w:val="DefaultParagraphFont"/>
    <w:uiPriority w:val="99"/>
    <w:semiHidden/>
    <w:unhideWhenUsed/>
    <w:rsid w:val="00064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Yancy, Richard</dc:creator>
  <cp:lastModifiedBy>Braswell, Melody</cp:lastModifiedBy>
  <cp:revision>2</cp:revision>
  <dcterms:created xsi:type="dcterms:W3CDTF">2025-03-27T11:50:00Z</dcterms:created>
  <dcterms:modified xsi:type="dcterms:W3CDTF">2025-03-27T11:50:00Z</dcterms:modified>
</cp:coreProperties>
</file>