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ACA" w:rsidP="00B05ACA" w:rsidRDefault="00B05ACA" w14:paraId="25660E40"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w:t>
      </w:r>
      <w:r w:rsidR="005638DF">
        <w:rPr>
          <w:sz w:val="28"/>
        </w:rPr>
        <w:t xml:space="preserve"> </w:t>
      </w:r>
      <w:r w:rsidR="00E83EFC">
        <w:rPr>
          <w:sz w:val="28"/>
        </w:rPr>
        <w:t>0935-0179</w:t>
      </w:r>
      <w:r>
        <w:rPr>
          <w:sz w:val="28"/>
        </w:rPr>
        <w:t>)</w:t>
      </w:r>
    </w:p>
    <w:p w:rsidRPr="00953DC6" w:rsidR="00B05ACA" w:rsidP="00B05ACA" w:rsidRDefault="002D4D11" w14:paraId="573D6838" w14:textId="77777777">
      <w:pPr>
        <w:rPr>
          <w:rFonts w:ascii="Times New Roman" w:hAnsi="Times New Roman" w:cs="Times New Roman"/>
          <w:sz w:val="24"/>
          <w:szCs w:val="24"/>
        </w:rPr>
      </w:pPr>
      <w:r w:rsidRPr="00953DC6">
        <w:rPr>
          <w:rFonts w:ascii="Times New Roman" w:hAnsi="Times New Roman" w:cs="Times New Roman"/>
          <w:b/>
          <w:noProof/>
          <w:sz w:val="24"/>
          <w:szCs w:val="24"/>
        </w:rPr>
        <mc:AlternateContent>
          <mc:Choice Requires="wps">
            <w:drawing>
              <wp:anchor distT="0" distB="0" distL="114300" distR="114300" simplePos="0" relativeHeight="251657216" behindDoc="0" locked="0" layoutInCell="0" allowOverlap="1" wp14:editId="30AAD423" wp14:anchorId="6227EC8D">
                <wp:simplePos x="0" y="0"/>
                <wp:positionH relativeFrom="column">
                  <wp:posOffset>0</wp:posOffset>
                </wp:positionH>
                <wp:positionV relativeFrom="paragraph">
                  <wp:posOffset>0</wp:posOffset>
                </wp:positionV>
                <wp:extent cx="5943600" cy="0"/>
                <wp:effectExtent l="9525" t="18415" r="9525"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2"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151C5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w:pict>
          </mc:Fallback>
        </mc:AlternateContent>
      </w:r>
      <w:r w:rsidRPr="00953DC6" w:rsidR="00B05ACA">
        <w:rPr>
          <w:rFonts w:ascii="Times New Roman" w:hAnsi="Times New Roman" w:cs="Times New Roman"/>
          <w:b/>
          <w:sz w:val="24"/>
          <w:szCs w:val="24"/>
        </w:rPr>
        <w:t>TITLE OF INFORMATION COLLECTION:</w:t>
      </w:r>
      <w:r w:rsidRPr="00953DC6" w:rsidR="00B05ACA">
        <w:rPr>
          <w:rFonts w:ascii="Times New Roman" w:hAnsi="Times New Roman" w:cs="Times New Roman"/>
          <w:sz w:val="24"/>
          <w:szCs w:val="24"/>
        </w:rPr>
        <w:t xml:space="preserve">  </w:t>
      </w:r>
    </w:p>
    <w:p w:rsidRPr="000367AB" w:rsidR="00C632F1" w:rsidP="00B05ACA" w:rsidRDefault="00C632F1" w14:paraId="69D4044F" w14:textId="5C46E95C">
      <w:pPr>
        <w:rPr>
          <w:rFonts w:ascii="Times New Roman" w:hAnsi="Times New Roman" w:cs="Times New Roman"/>
          <w:b/>
          <w:sz w:val="24"/>
          <w:szCs w:val="24"/>
        </w:rPr>
      </w:pPr>
      <w:bookmarkStart w:name="_GoBack" w:id="0"/>
      <w:r w:rsidRPr="000367AB">
        <w:rPr>
          <w:rFonts w:ascii="Times New Roman" w:hAnsi="Times New Roman" w:cs="Times New Roman"/>
          <w:sz w:val="24"/>
          <w:szCs w:val="24"/>
        </w:rPr>
        <w:t xml:space="preserve">Information </w:t>
      </w:r>
      <w:r w:rsidRPr="000367AB" w:rsidR="005C0CEC">
        <w:rPr>
          <w:rFonts w:ascii="Times New Roman" w:hAnsi="Times New Roman" w:cs="Times New Roman"/>
          <w:sz w:val="24"/>
          <w:szCs w:val="24"/>
        </w:rPr>
        <w:t xml:space="preserve">Gathering and Usability Testing </w:t>
      </w:r>
      <w:bookmarkEnd w:id="0"/>
      <w:r w:rsidR="009D48A8">
        <w:rPr>
          <w:rFonts w:ascii="Times New Roman" w:hAnsi="Times New Roman" w:cs="Times New Roman"/>
          <w:sz w:val="24"/>
          <w:szCs w:val="24"/>
        </w:rPr>
        <w:t>for</w:t>
      </w:r>
      <w:r w:rsidRPr="000367AB" w:rsidR="005C0CEC">
        <w:rPr>
          <w:rFonts w:ascii="Times New Roman" w:hAnsi="Times New Roman" w:cs="Times New Roman"/>
          <w:sz w:val="24"/>
          <w:szCs w:val="24"/>
        </w:rPr>
        <w:t xml:space="preserve"> AHRQ D</w:t>
      </w:r>
      <w:r w:rsidRPr="000367AB">
        <w:rPr>
          <w:rFonts w:ascii="Times New Roman" w:hAnsi="Times New Roman" w:cs="Times New Roman"/>
          <w:sz w:val="24"/>
          <w:szCs w:val="24"/>
        </w:rPr>
        <w:t xml:space="preserve">ata </w:t>
      </w:r>
      <w:r w:rsidRPr="000367AB" w:rsidR="005C0CEC">
        <w:rPr>
          <w:rFonts w:ascii="Times New Roman" w:hAnsi="Times New Roman" w:cs="Times New Roman"/>
          <w:sz w:val="24"/>
          <w:szCs w:val="24"/>
        </w:rPr>
        <w:t>T</w:t>
      </w:r>
      <w:r w:rsidRPr="000367AB">
        <w:rPr>
          <w:rFonts w:ascii="Times New Roman" w:hAnsi="Times New Roman" w:cs="Times New Roman"/>
          <w:sz w:val="24"/>
          <w:szCs w:val="24"/>
        </w:rPr>
        <w:t>ools</w:t>
      </w:r>
      <w:r w:rsidR="009D48A8">
        <w:rPr>
          <w:rFonts w:ascii="Times New Roman" w:hAnsi="Times New Roman" w:cs="Times New Roman"/>
          <w:sz w:val="24"/>
          <w:szCs w:val="24"/>
        </w:rPr>
        <w:t xml:space="preserve"> Platform Development and Maintenance</w:t>
      </w:r>
    </w:p>
    <w:p w:rsidR="00414DDC" w:rsidP="00B05ACA" w:rsidRDefault="00C076D9" w14:paraId="05B62DFC" w14:textId="77777777">
      <w:r>
        <w:t xml:space="preserve"> </w:t>
      </w:r>
    </w:p>
    <w:p w:rsidRPr="00953DC6" w:rsidR="00B05ACA" w:rsidP="00B05ACA" w:rsidRDefault="00B05ACA" w14:paraId="390EC383" w14:textId="77777777">
      <w:pPr>
        <w:rPr>
          <w:rFonts w:ascii="Times New Roman" w:hAnsi="Times New Roman" w:cs="Times New Roman"/>
          <w:b/>
          <w:sz w:val="24"/>
          <w:szCs w:val="24"/>
        </w:rPr>
      </w:pPr>
      <w:r w:rsidRPr="00953DC6">
        <w:rPr>
          <w:rFonts w:ascii="Times New Roman" w:hAnsi="Times New Roman" w:cs="Times New Roman"/>
          <w:b/>
          <w:sz w:val="24"/>
          <w:szCs w:val="24"/>
        </w:rPr>
        <w:t xml:space="preserve">PURPOSE:  </w:t>
      </w:r>
    </w:p>
    <w:p w:rsidRPr="00953DC6" w:rsidR="00C632F1" w:rsidP="00B05ACA" w:rsidRDefault="00C632F1" w14:paraId="066F3D74" w14:textId="77777777">
      <w:r w:rsidRPr="00953DC6">
        <w:t>AHRQ has a number of data tools online that allow users with little to no programming experience to use data.  These include MEPS tables and MEPSnet (Household and Insurance Component), the Healthcare Cost and Use Project (HCUPnet and FastStats), the Quality and Disparities Reports and tables from the CAHPS user database.</w:t>
      </w:r>
    </w:p>
    <w:p w:rsidRPr="00953DC6" w:rsidR="00C632F1" w:rsidP="00B05ACA" w:rsidRDefault="00C632F1" w14:paraId="74953BD7" w14:textId="77777777">
      <w:r w:rsidRPr="00953DC6">
        <w:t xml:space="preserve">This project will interview users (up to 10 for each tool) in order to assess needed improvements and identify ways that the tools could be harmonized across data sources to improve the user experience and reduce AHRQ’s total cost of developing and maintaining these tools.  This collection is one of several </w:t>
      </w:r>
      <w:r w:rsidRPr="00953DC6" w:rsidR="005C0CEC">
        <w:t>activities</w:t>
      </w:r>
      <w:r w:rsidRPr="00953DC6">
        <w:t xml:space="preserve"> feeding into this assessment.</w:t>
      </w:r>
    </w:p>
    <w:p w:rsidRPr="00953DC6" w:rsidR="00C632F1" w:rsidP="00B05ACA" w:rsidRDefault="00C632F1" w14:paraId="1C25A9DC" w14:textId="77777777">
      <w:r w:rsidRPr="00953DC6">
        <w:t>This collection is entirely for AHRQ’s review of the tools and improving our service to customers.  It is in no way related to a scientific or policy decision</w:t>
      </w:r>
    </w:p>
    <w:p w:rsidRPr="00E44CC0" w:rsidR="008174DD" w:rsidP="00E44CC0" w:rsidRDefault="00C076D9" w14:paraId="6BF20F0C" w14:textId="77777777">
      <w:pPr>
        <w:pStyle w:val="NoSpacing"/>
        <w:rPr>
          <w:rFonts w:asciiTheme="minorHAnsi" w:hAnsiTheme="minorHAnsi"/>
        </w:rPr>
      </w:pPr>
      <w:r>
        <w:rPr>
          <w:rFonts w:asciiTheme="minorHAnsi" w:hAnsiTheme="minorHAnsi"/>
        </w:rPr>
        <w:lastRenderedPageBreak/>
        <w:t xml:space="preserve"> </w:t>
      </w:r>
    </w:p>
    <w:p w:rsidR="008174DD" w:rsidP="0063676A" w:rsidRDefault="008174DD" w14:paraId="40382D0E" w14:textId="77777777">
      <w:pPr>
        <w:pStyle w:val="NoSpacing"/>
        <w:rPr>
          <w:rFonts w:asciiTheme="minorHAnsi" w:hAnsiTheme="minorHAnsi"/>
        </w:rPr>
      </w:pPr>
    </w:p>
    <w:p w:rsidR="00B05ACA" w:rsidP="00B05ACA" w:rsidRDefault="00B05ACA" w14:paraId="462548EE" w14:textId="77777777">
      <w:pPr>
        <w:pStyle w:val="Header"/>
        <w:tabs>
          <w:tab w:val="clear" w:pos="4320"/>
          <w:tab w:val="clear" w:pos="8640"/>
        </w:tabs>
        <w:rPr>
          <w:b/>
        </w:rPr>
      </w:pPr>
    </w:p>
    <w:p w:rsidRPr="00434E33" w:rsidR="00B05ACA" w:rsidP="00DD6B05" w:rsidRDefault="00B05ACA" w14:paraId="1F6B99F2" w14:textId="77777777">
      <w:pPr>
        <w:pStyle w:val="Header"/>
        <w:tabs>
          <w:tab w:val="clear" w:pos="4320"/>
          <w:tab w:val="clear" w:pos="8640"/>
        </w:tabs>
        <w:spacing w:after="200"/>
        <w:rPr>
          <w:i/>
          <w:snapToGrid/>
        </w:rPr>
      </w:pPr>
      <w:r w:rsidRPr="00E44CC0">
        <w:rPr>
          <w:b/>
        </w:rPr>
        <w:t>DESCRIPTION OF RESPONDENTS</w:t>
      </w:r>
      <w:r w:rsidRPr="00E44CC0">
        <w:t>:</w:t>
      </w:r>
      <w:r>
        <w:t xml:space="preserve"> </w:t>
      </w:r>
    </w:p>
    <w:p w:rsidRPr="00C83F9C" w:rsidR="00E04316" w:rsidP="00E04316" w:rsidRDefault="00E04316" w14:paraId="7DFD9753" w14:textId="1B714BF8">
      <w:pPr>
        <w:rPr>
          <w:rFonts w:ascii="Times New Roman" w:hAnsi="Times New Roman" w:cs="Times New Roman"/>
          <w:sz w:val="24"/>
          <w:szCs w:val="24"/>
        </w:rPr>
      </w:pPr>
      <w:r w:rsidRPr="00C83F9C">
        <w:rPr>
          <w:rFonts w:ascii="Times New Roman" w:hAnsi="Times New Roman" w:cs="Times New Roman"/>
          <w:sz w:val="24"/>
          <w:szCs w:val="24"/>
        </w:rPr>
        <w:t>Targeted respondents are current or potential customers of AHRQ data tools. They are familiar with at least one AHRQ dataset or data tool and have previously engaged with AHRQ to learn more about AHRQ datasets or summary statistics. AHRQ employees will identify the respondents that they anticipate will be most enthusiastic to participate in an effort to improve AHRQ’s data tools.</w:t>
      </w:r>
    </w:p>
    <w:p w:rsidRPr="00C83F9C" w:rsidR="00B454FE" w:rsidP="00B05ACA" w:rsidRDefault="00B454FE" w14:paraId="04A3571F" w14:textId="77777777">
      <w:pPr>
        <w:rPr>
          <w:b/>
        </w:rPr>
      </w:pPr>
    </w:p>
    <w:p w:rsidRPr="00F06866" w:rsidR="00B05ACA" w:rsidP="00B05ACA" w:rsidRDefault="00B05ACA" w14:paraId="0951FF6E" w14:textId="77777777">
      <w:pPr>
        <w:rPr>
          <w:b/>
        </w:rPr>
      </w:pPr>
      <w:r w:rsidRPr="009C4D03">
        <w:rPr>
          <w:b/>
        </w:rPr>
        <w:t>TYPE OF COLLECTION:</w:t>
      </w:r>
      <w:r w:rsidRPr="009C4D03">
        <w:t xml:space="preserve"> (Check one)</w:t>
      </w:r>
    </w:p>
    <w:p w:rsidRPr="00F06866" w:rsidR="00B05ACA" w:rsidP="00B05ACA" w:rsidRDefault="00B05ACA" w14:paraId="29C0D729"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C076D9">
        <w:rPr>
          <w:bCs/>
          <w:sz w:val="24"/>
        </w:rPr>
        <w:t xml:space="preserve"> </w:t>
      </w:r>
      <w:r w:rsidRPr="00F06866">
        <w:rPr>
          <w:bCs/>
          <w:sz w:val="24"/>
        </w:rPr>
        <w:t xml:space="preserve">] Customer Satisfaction Survey    </w:t>
      </w:r>
    </w:p>
    <w:p w:rsidR="00B05ACA" w:rsidP="00B05ACA" w:rsidRDefault="00B05ACA" w14:paraId="660AFC36" w14:textId="77777777">
      <w:pPr>
        <w:pStyle w:val="BodyTextIndent"/>
        <w:tabs>
          <w:tab w:val="left" w:pos="360"/>
        </w:tabs>
        <w:ind w:left="0"/>
        <w:rPr>
          <w:bCs/>
          <w:sz w:val="24"/>
        </w:rPr>
      </w:pPr>
      <w:r w:rsidRPr="00F06866">
        <w:rPr>
          <w:bCs/>
          <w:sz w:val="24"/>
        </w:rPr>
        <w:t>[</w:t>
      </w:r>
      <w:proofErr w:type="gramStart"/>
      <w:r w:rsidR="00C632F1">
        <w:rPr>
          <w:bCs/>
          <w:sz w:val="24"/>
        </w:rPr>
        <w:t>x</w:t>
      </w:r>
      <w:r w:rsidRPr="00F06866">
        <w:rPr>
          <w:bCs/>
          <w:sz w:val="24"/>
        </w:rPr>
        <w:t xml:space="preserve"> ]</w:t>
      </w:r>
      <w:proofErr w:type="gramEnd"/>
      <w:r w:rsidRPr="00F06866">
        <w:rPr>
          <w:bCs/>
          <w:sz w:val="24"/>
        </w:rPr>
        <w:t xml:space="preserve"> Usability</w:t>
      </w:r>
      <w:r>
        <w:rPr>
          <w:bCs/>
          <w:sz w:val="24"/>
        </w:rPr>
        <w:t xml:space="preserve"> Testing (e.g., Website or Software</w:t>
      </w:r>
      <w:r>
        <w:rPr>
          <w:bCs/>
          <w:sz w:val="24"/>
        </w:rPr>
        <w:tab/>
        <w:t>[ ] Small Discussion Group</w:t>
      </w:r>
    </w:p>
    <w:p w:rsidRPr="00F06866" w:rsidR="00B05ACA" w:rsidP="00B05ACA" w:rsidRDefault="00B05ACA" w14:paraId="4E7A85EC" w14:textId="77777777">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Other:</w:t>
      </w:r>
      <w:r w:rsidRPr="00F06866">
        <w:rPr>
          <w:bCs/>
          <w:sz w:val="24"/>
          <w:u w:val="single"/>
        </w:rPr>
        <w:t xml:space="preserve"> </w:t>
      </w:r>
      <w:r w:rsidR="00C076D9">
        <w:rPr>
          <w:bCs/>
          <w:sz w:val="24"/>
          <w:u w:val="single"/>
        </w:rPr>
        <w:t xml:space="preserve"> </w:t>
      </w:r>
    </w:p>
    <w:p w:rsidR="00B05ACA" w:rsidP="00B05ACA" w:rsidRDefault="00B05ACA" w14:paraId="4D709490" w14:textId="77777777">
      <w:pPr>
        <w:pStyle w:val="Header"/>
        <w:tabs>
          <w:tab w:val="clear" w:pos="4320"/>
          <w:tab w:val="clear" w:pos="8640"/>
        </w:tabs>
      </w:pPr>
    </w:p>
    <w:p w:rsidR="00B05ACA" w:rsidP="00B05ACA" w:rsidRDefault="00B05ACA" w14:paraId="73002C61" w14:textId="77777777">
      <w:pPr>
        <w:rPr>
          <w:b/>
        </w:rPr>
      </w:pPr>
      <w:r w:rsidRPr="008865E5">
        <w:rPr>
          <w:b/>
        </w:rPr>
        <w:t>CERTIFICATION:</w:t>
      </w:r>
    </w:p>
    <w:p w:rsidRPr="009C13B9" w:rsidR="00B05ACA" w:rsidP="00B05ACA" w:rsidRDefault="00B05ACA" w14:paraId="68B37DCC" w14:textId="77777777">
      <w:r>
        <w:t xml:space="preserve">I certify the following to be true: </w:t>
      </w:r>
    </w:p>
    <w:p w:rsidR="00B05ACA" w:rsidP="00B05ACA" w:rsidRDefault="00B05ACA" w14:paraId="48EDDEFD" w14:textId="77777777">
      <w:pPr>
        <w:pStyle w:val="ListParagraph"/>
        <w:numPr>
          <w:ilvl w:val="0"/>
          <w:numId w:val="1"/>
        </w:numPr>
        <w:spacing w:after="0" w:line="240" w:lineRule="auto"/>
      </w:pPr>
      <w:r>
        <w:lastRenderedPageBreak/>
        <w:t>The collection is voluntary.</w:t>
      </w:r>
      <w:r w:rsidRPr="00C14CC4">
        <w:t xml:space="preserve"> </w:t>
      </w:r>
    </w:p>
    <w:p w:rsidR="00B05ACA" w:rsidP="00B05ACA" w:rsidRDefault="00B05ACA" w14:paraId="68906E9E" w14:textId="77777777">
      <w:pPr>
        <w:pStyle w:val="ListParagraph"/>
        <w:numPr>
          <w:ilvl w:val="0"/>
          <w:numId w:val="1"/>
        </w:numPr>
        <w:spacing w:after="0" w:line="240" w:lineRule="auto"/>
      </w:pPr>
      <w:r>
        <w:t>The</w:t>
      </w:r>
      <w:r w:rsidRPr="00C14CC4">
        <w:t xml:space="preserve"> collection </w:t>
      </w:r>
      <w:r>
        <w:t xml:space="preserve">is </w:t>
      </w:r>
      <w:r w:rsidRPr="00C14CC4">
        <w:t>low-burden for respondents and low-cost for the Federal Government</w:t>
      </w:r>
      <w:r>
        <w:t>.</w:t>
      </w:r>
    </w:p>
    <w:p w:rsidR="00B05ACA" w:rsidP="00B05ACA" w:rsidRDefault="00B05ACA" w14:paraId="07F09405" w14:textId="77777777">
      <w:pPr>
        <w:pStyle w:val="ListParagraph"/>
        <w:numPr>
          <w:ilvl w:val="0"/>
          <w:numId w:val="1"/>
        </w:numPr>
        <w:spacing w:after="0" w:line="240" w:lineRule="auto"/>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p>
    <w:p w:rsidR="00B05ACA" w:rsidP="00B05ACA" w:rsidRDefault="00B05ACA" w14:paraId="336B3785" w14:textId="77777777">
      <w:pPr>
        <w:pStyle w:val="ListParagraph"/>
        <w:numPr>
          <w:ilvl w:val="0"/>
          <w:numId w:val="1"/>
        </w:numPr>
        <w:spacing w:after="0" w:line="240" w:lineRule="auto"/>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05ACA" w:rsidP="00B05ACA" w:rsidRDefault="00B05ACA" w14:paraId="333DA988" w14:textId="77777777">
      <w:pPr>
        <w:pStyle w:val="ListParagraph"/>
        <w:numPr>
          <w:ilvl w:val="0"/>
          <w:numId w:val="1"/>
        </w:numPr>
        <w:spacing w:after="0" w:line="240" w:lineRule="auto"/>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Pr="002925A3" w:rsidR="00B05ACA" w:rsidP="00B05ACA" w:rsidRDefault="00B05ACA" w14:paraId="5F9D936E" w14:textId="77777777">
      <w:pPr>
        <w:pStyle w:val="ListParagraph"/>
        <w:numPr>
          <w:ilvl w:val="0"/>
          <w:numId w:val="1"/>
        </w:numPr>
        <w:spacing w:after="0" w:line="240" w:lineRule="auto"/>
      </w:pPr>
      <w:r w:rsidRPr="002925A3">
        <w:t>The collection is targeted to the solicitation of opinions from respondents who have experience with the program or may have experience with the program in the future.</w:t>
      </w:r>
    </w:p>
    <w:p w:rsidR="00B05ACA" w:rsidP="00B05ACA" w:rsidRDefault="00B05ACA" w14:paraId="3B2DD8AD" w14:textId="77777777"/>
    <w:p w:rsidR="00B05ACA" w:rsidP="00B05ACA" w:rsidRDefault="00B05ACA" w14:paraId="68DE2608" w14:textId="77777777">
      <w:r w:rsidRPr="000E3D16">
        <w:t>Name:____</w:t>
      </w:r>
      <w:r>
        <w:t>____________________________________________</w:t>
      </w:r>
    </w:p>
    <w:p w:rsidR="00B05ACA" w:rsidP="00B05ACA" w:rsidRDefault="00B05ACA" w14:paraId="2D660229" w14:textId="77777777">
      <w:pPr>
        <w:pStyle w:val="ListParagraph"/>
        <w:ind w:left="360"/>
      </w:pPr>
    </w:p>
    <w:p w:rsidR="00B05ACA" w:rsidP="00B05ACA" w:rsidRDefault="00B05ACA" w14:paraId="3D6D9F09" w14:textId="77777777">
      <w:r>
        <w:t>To assist review, please provide answers to the following question:</w:t>
      </w:r>
    </w:p>
    <w:p w:rsidRPr="00C86E91" w:rsidR="00B05ACA" w:rsidP="00B05ACA" w:rsidRDefault="00B05ACA" w14:paraId="317AE254" w14:textId="77777777">
      <w:pPr>
        <w:rPr>
          <w:b/>
        </w:rPr>
      </w:pPr>
      <w:r w:rsidRPr="008B7ADA">
        <w:rPr>
          <w:b/>
        </w:rPr>
        <w:t>Personally Identifiable Information:</w:t>
      </w:r>
    </w:p>
    <w:p w:rsidR="00B05ACA" w:rsidP="00B05ACA" w:rsidRDefault="00B05ACA" w14:paraId="524983FC" w14:textId="77777777">
      <w:pPr>
        <w:pStyle w:val="ListParagraph"/>
        <w:numPr>
          <w:ilvl w:val="0"/>
          <w:numId w:val="4"/>
        </w:numPr>
        <w:spacing w:after="0" w:line="240" w:lineRule="auto"/>
      </w:pPr>
      <w:r>
        <w:t>Is personally identifiable information (PII) collected?  [  ] Yes  [</w:t>
      </w:r>
      <w:r w:rsidR="00C632F1">
        <w:t>x</w:t>
      </w:r>
      <w:r>
        <w:t xml:space="preserve"> ]  No </w:t>
      </w:r>
    </w:p>
    <w:p w:rsidR="00B05ACA" w:rsidP="00B05ACA" w:rsidRDefault="00B05ACA" w14:paraId="695941B9" w14:textId="77777777">
      <w:pPr>
        <w:pStyle w:val="ListParagraph"/>
        <w:numPr>
          <w:ilvl w:val="0"/>
          <w:numId w:val="4"/>
        </w:numPr>
        <w:spacing w:after="0" w:line="240" w:lineRule="auto"/>
      </w:pPr>
      <w:r>
        <w:t xml:space="preserve">If Yes, is the information that will be collected included in records that are subject to the Privacy Act of 1974?   [  ] Yes [ </w:t>
      </w:r>
      <w:r w:rsidR="00C632F1">
        <w:t>x</w:t>
      </w:r>
      <w:r>
        <w:t xml:space="preserve"> ] No   </w:t>
      </w:r>
    </w:p>
    <w:p w:rsidR="00B05ACA" w:rsidP="00B05ACA" w:rsidRDefault="00B05ACA" w14:paraId="203B349E" w14:textId="77777777">
      <w:pPr>
        <w:pStyle w:val="ListParagraph"/>
        <w:numPr>
          <w:ilvl w:val="0"/>
          <w:numId w:val="4"/>
        </w:numPr>
        <w:spacing w:after="0" w:line="240" w:lineRule="auto"/>
      </w:pPr>
      <w:r>
        <w:t>If Applicable, has a System or Records Notice been published?  [  ] Yes  [</w:t>
      </w:r>
      <w:r w:rsidR="00661094">
        <w:t xml:space="preserve"> </w:t>
      </w:r>
      <w:r w:rsidR="00C632F1">
        <w:t>x</w:t>
      </w:r>
      <w:r>
        <w:t>] No</w:t>
      </w:r>
    </w:p>
    <w:p w:rsidR="00B05ACA" w:rsidP="00B05ACA" w:rsidRDefault="00B05ACA" w14:paraId="1A5E6625" w14:textId="77777777">
      <w:pPr>
        <w:pStyle w:val="ListParagraph"/>
        <w:ind w:left="0"/>
        <w:rPr>
          <w:b/>
        </w:rPr>
      </w:pPr>
    </w:p>
    <w:p w:rsidRPr="00C86E91" w:rsidR="00B05ACA" w:rsidP="00B05ACA" w:rsidRDefault="00B05ACA" w14:paraId="32815DA1" w14:textId="77777777">
      <w:pPr>
        <w:pStyle w:val="ListParagraph"/>
        <w:ind w:left="0"/>
        <w:rPr>
          <w:b/>
        </w:rPr>
      </w:pPr>
      <w:r w:rsidRPr="00606D93">
        <w:rPr>
          <w:b/>
        </w:rPr>
        <w:t>Gifts or Payments:</w:t>
      </w:r>
    </w:p>
    <w:p w:rsidR="00B05ACA" w:rsidP="00B05ACA" w:rsidRDefault="00B05ACA" w14:paraId="27F1A834" w14:textId="77777777">
      <w:r>
        <w:lastRenderedPageBreak/>
        <w:t xml:space="preserve">Is an incentive (e.g., money or reimbursement of expenses, token of appreciation) provided to participants?  [  ] Yes </w:t>
      </w:r>
      <w:proofErr w:type="gramStart"/>
      <w:r>
        <w:t xml:space="preserve">[  </w:t>
      </w:r>
      <w:r w:rsidR="0038312A">
        <w:t>X</w:t>
      </w:r>
      <w:proofErr w:type="gramEnd"/>
      <w:r>
        <w:t xml:space="preserve">] No  </w:t>
      </w:r>
    </w:p>
    <w:p w:rsidRPr="00650D8D" w:rsidR="00606D93" w:rsidP="00650D8D" w:rsidRDefault="00650D8D" w14:paraId="7CCEAE00" w14:textId="77777777">
      <w:pPr>
        <w:pStyle w:val="L1-FlLSp12"/>
        <w:rPr>
          <w:i/>
          <w:szCs w:val="24"/>
        </w:rPr>
      </w:pPr>
      <w:r w:rsidRPr="006003D7">
        <w:rPr>
          <w:b/>
          <w:szCs w:val="24"/>
        </w:rPr>
        <w:t>Category of Respondent:</w:t>
      </w:r>
      <w:r>
        <w:rPr>
          <w:szCs w:val="24"/>
        </w:rPr>
        <w:t xml:space="preserve"> </w:t>
      </w:r>
      <w:r w:rsidR="00613270">
        <w:rPr>
          <w:szCs w:val="24"/>
        </w:rPr>
        <w:t>Public and Private Sector</w:t>
      </w:r>
    </w:p>
    <w:p w:rsidR="00B56670" w:rsidP="00B05ACA" w:rsidRDefault="00B56670" w14:paraId="1FF63169" w14:textId="77777777">
      <w:pPr>
        <w:rPr>
          <w:b/>
        </w:rPr>
      </w:pPr>
    </w:p>
    <w:p w:rsidR="00B05ACA" w:rsidP="00B05ACA" w:rsidRDefault="00B05ACA" w14:paraId="42D242EA" w14:textId="77777777">
      <w:pPr>
        <w:rPr>
          <w:i/>
        </w:rPr>
      </w:pPr>
      <w:r w:rsidRPr="002570F6">
        <w:rPr>
          <w:b/>
        </w:rPr>
        <w:t>BURDEN HOURS</w:t>
      </w:r>
      <w:r>
        <w:t xml:space="preserve"> </w:t>
      </w:r>
    </w:p>
    <w:tbl>
      <w:tblPr>
        <w:tblStyle w:val="TableGrid"/>
        <w:tblW w:w="9661" w:type="dxa"/>
        <w:tblLayout w:type="fixed"/>
        <w:tblLook w:val="01E0" w:firstRow="1" w:lastRow="1" w:firstColumn="1" w:lastColumn="1" w:noHBand="0" w:noVBand="0"/>
      </w:tblPr>
      <w:tblGrid>
        <w:gridCol w:w="5418"/>
        <w:gridCol w:w="1530"/>
        <w:gridCol w:w="1710"/>
        <w:gridCol w:w="1003"/>
      </w:tblGrid>
      <w:tr w:rsidR="00B05ACA" w:rsidTr="007C5E28" w14:paraId="7322CC58" w14:textId="77777777">
        <w:trPr>
          <w:trHeight w:val="274"/>
        </w:trPr>
        <w:tc>
          <w:tcPr>
            <w:tcW w:w="5418" w:type="dxa"/>
          </w:tcPr>
          <w:p w:rsidRPr="00F6240A" w:rsidR="00B05ACA" w:rsidP="007C5E28" w:rsidRDefault="00B05ACA" w14:paraId="175DE693" w14:textId="77777777">
            <w:pPr>
              <w:rPr>
                <w:b/>
              </w:rPr>
            </w:pPr>
            <w:r>
              <w:rPr>
                <w:b/>
              </w:rPr>
              <w:t xml:space="preserve">Category of Respondent </w:t>
            </w:r>
          </w:p>
        </w:tc>
        <w:tc>
          <w:tcPr>
            <w:tcW w:w="1530" w:type="dxa"/>
          </w:tcPr>
          <w:p w:rsidRPr="00606D93" w:rsidR="00B05ACA" w:rsidP="007C5E28" w:rsidRDefault="00B05ACA" w14:paraId="08634788" w14:textId="77777777">
            <w:pPr>
              <w:rPr>
                <w:b/>
                <w:highlight w:val="yellow"/>
              </w:rPr>
            </w:pPr>
            <w:r w:rsidRPr="002570F6">
              <w:rPr>
                <w:b/>
              </w:rPr>
              <w:t>No. of Respondents</w:t>
            </w:r>
          </w:p>
        </w:tc>
        <w:tc>
          <w:tcPr>
            <w:tcW w:w="1710" w:type="dxa"/>
          </w:tcPr>
          <w:p w:rsidRPr="00F6240A" w:rsidR="00B05ACA" w:rsidP="007C5E28" w:rsidRDefault="00B05ACA" w14:paraId="63BBF3BC" w14:textId="77777777">
            <w:pPr>
              <w:rPr>
                <w:b/>
              </w:rPr>
            </w:pPr>
            <w:r w:rsidRPr="00F6240A">
              <w:rPr>
                <w:b/>
              </w:rPr>
              <w:t>Participation Time</w:t>
            </w:r>
          </w:p>
        </w:tc>
        <w:tc>
          <w:tcPr>
            <w:tcW w:w="1003" w:type="dxa"/>
          </w:tcPr>
          <w:p w:rsidRPr="00F6240A" w:rsidR="00B05ACA" w:rsidP="007C5E28" w:rsidRDefault="00B05ACA" w14:paraId="3C827081" w14:textId="77777777">
            <w:pPr>
              <w:rPr>
                <w:b/>
              </w:rPr>
            </w:pPr>
            <w:r w:rsidRPr="00F6240A">
              <w:rPr>
                <w:b/>
              </w:rPr>
              <w:t>Burden</w:t>
            </w:r>
          </w:p>
        </w:tc>
      </w:tr>
      <w:tr w:rsidR="00B05ACA" w:rsidTr="007C5E28" w14:paraId="5BF699C5" w14:textId="77777777">
        <w:trPr>
          <w:trHeight w:val="274"/>
        </w:trPr>
        <w:tc>
          <w:tcPr>
            <w:tcW w:w="5418" w:type="dxa"/>
          </w:tcPr>
          <w:p w:rsidR="00B05ACA" w:rsidP="007C5E28" w:rsidRDefault="00C076D9" w14:paraId="190630C0" w14:textId="77777777">
            <w:r>
              <w:t xml:space="preserve"> </w:t>
            </w:r>
            <w:r w:rsidR="00C632F1">
              <w:t>Users of MEPS tools</w:t>
            </w:r>
          </w:p>
        </w:tc>
        <w:tc>
          <w:tcPr>
            <w:tcW w:w="1530" w:type="dxa"/>
          </w:tcPr>
          <w:p w:rsidR="00B05ACA" w:rsidP="00985AFD" w:rsidRDefault="00C076D9" w14:paraId="1D88F511" w14:textId="77777777">
            <w:r>
              <w:t xml:space="preserve"> </w:t>
            </w:r>
            <w:r w:rsidR="00C632F1">
              <w:t>50</w:t>
            </w:r>
          </w:p>
        </w:tc>
        <w:tc>
          <w:tcPr>
            <w:tcW w:w="1710" w:type="dxa"/>
          </w:tcPr>
          <w:p w:rsidR="00B05ACA" w:rsidP="00606D93" w:rsidRDefault="00C076D9" w14:paraId="2A2E534F" w14:textId="77777777">
            <w:r>
              <w:t xml:space="preserve"> </w:t>
            </w:r>
            <w:r w:rsidR="00C632F1">
              <w:t>1 hour</w:t>
            </w:r>
          </w:p>
        </w:tc>
        <w:tc>
          <w:tcPr>
            <w:tcW w:w="1003" w:type="dxa"/>
          </w:tcPr>
          <w:p w:rsidR="00B05ACA" w:rsidP="007C5E28" w:rsidRDefault="00C076D9" w14:paraId="4E3ED823" w14:textId="77777777">
            <w:r>
              <w:t xml:space="preserve"> </w:t>
            </w:r>
            <w:r w:rsidR="00C632F1">
              <w:t>50</w:t>
            </w:r>
          </w:p>
        </w:tc>
      </w:tr>
      <w:tr w:rsidR="00B05ACA" w:rsidTr="007C5E28" w14:paraId="2A6E35F6" w14:textId="77777777">
        <w:trPr>
          <w:trHeight w:val="289"/>
        </w:trPr>
        <w:tc>
          <w:tcPr>
            <w:tcW w:w="5418" w:type="dxa"/>
          </w:tcPr>
          <w:p w:rsidRPr="00F6240A" w:rsidR="00B05ACA" w:rsidP="007C5E28" w:rsidRDefault="00B05ACA" w14:paraId="1E75F95A" w14:textId="77777777">
            <w:pPr>
              <w:rPr>
                <w:b/>
              </w:rPr>
            </w:pPr>
            <w:r>
              <w:rPr>
                <w:b/>
              </w:rPr>
              <w:t>Totals</w:t>
            </w:r>
          </w:p>
        </w:tc>
        <w:tc>
          <w:tcPr>
            <w:tcW w:w="1530" w:type="dxa"/>
          </w:tcPr>
          <w:p w:rsidRPr="00F6240A" w:rsidR="00B05ACA" w:rsidP="007C5E28" w:rsidRDefault="005C0CEC" w14:paraId="2EEBC2EB" w14:textId="77777777">
            <w:pPr>
              <w:rPr>
                <w:b/>
              </w:rPr>
            </w:pPr>
            <w:r>
              <w:rPr>
                <w:b/>
              </w:rPr>
              <w:t>50</w:t>
            </w:r>
          </w:p>
        </w:tc>
        <w:tc>
          <w:tcPr>
            <w:tcW w:w="1710" w:type="dxa"/>
          </w:tcPr>
          <w:p w:rsidR="00B05ACA" w:rsidP="007C5E28" w:rsidRDefault="00B05ACA" w14:paraId="25A18751" w14:textId="77777777"/>
        </w:tc>
        <w:tc>
          <w:tcPr>
            <w:tcW w:w="1003" w:type="dxa"/>
          </w:tcPr>
          <w:p w:rsidRPr="00F6240A" w:rsidR="00B05ACA" w:rsidP="007C5E28" w:rsidRDefault="005C0CEC" w14:paraId="40D0EF04" w14:textId="77777777">
            <w:pPr>
              <w:rPr>
                <w:b/>
              </w:rPr>
            </w:pPr>
            <w:r>
              <w:rPr>
                <w:b/>
              </w:rPr>
              <w:t>50</w:t>
            </w:r>
          </w:p>
        </w:tc>
      </w:tr>
    </w:tbl>
    <w:p w:rsidR="00B05ACA" w:rsidP="00B05ACA" w:rsidRDefault="00B05ACA" w14:paraId="6118D91C" w14:textId="77777777"/>
    <w:p w:rsidR="00B05ACA" w:rsidP="00B05ACA" w:rsidRDefault="00B05ACA" w14:paraId="114DF099" w14:textId="0BA395B8">
      <w:pPr>
        <w:rPr>
          <w:b/>
        </w:rPr>
      </w:pPr>
      <w:r w:rsidRPr="000E3D16">
        <w:rPr>
          <w:b/>
        </w:rPr>
        <w:t>FEDERAL COST:</w:t>
      </w:r>
      <w:r>
        <w:rPr>
          <w:b/>
        </w:rPr>
        <w:t xml:space="preserve">  </w:t>
      </w:r>
      <w:r>
        <w:t>The estimated annual co</w:t>
      </w:r>
      <w:r w:rsidR="0055478B">
        <w:t>st to the Federal government is</w:t>
      </w:r>
      <w:r>
        <w:t xml:space="preserve"> </w:t>
      </w:r>
      <w:r w:rsidR="002F5D1B">
        <w:t>$</w:t>
      </w:r>
      <w:r w:rsidR="0055478B">
        <w:rPr>
          <w:sz w:val="24"/>
          <w:szCs w:val="24"/>
        </w:rPr>
        <w:t>1,</w:t>
      </w:r>
      <w:r w:rsidR="0032366D">
        <w:rPr>
          <w:sz w:val="24"/>
          <w:szCs w:val="24"/>
        </w:rPr>
        <w:t>317.60</w:t>
      </w:r>
      <w:r>
        <w:t>________</w:t>
      </w:r>
    </w:p>
    <w:tbl>
      <w:tblPr>
        <w:tblStyle w:val="TableGrid"/>
        <w:tblW w:w="0" w:type="auto"/>
        <w:tblLook w:val="04A0" w:firstRow="1" w:lastRow="0" w:firstColumn="1" w:lastColumn="0" w:noHBand="0" w:noVBand="1"/>
      </w:tblPr>
      <w:tblGrid>
        <w:gridCol w:w="3370"/>
        <w:gridCol w:w="3346"/>
        <w:gridCol w:w="3354"/>
      </w:tblGrid>
      <w:tr w:rsidR="0014139C" w:rsidTr="0014139C" w14:paraId="630313D8" w14:textId="77777777">
        <w:tc>
          <w:tcPr>
            <w:tcW w:w="3432" w:type="dxa"/>
          </w:tcPr>
          <w:p w:rsidR="0014139C" w:rsidP="00B05ACA" w:rsidRDefault="0014139C" w14:paraId="7613E6DC" w14:textId="77777777">
            <w:pPr>
              <w:rPr>
                <w:b/>
                <w:bCs/>
                <w:u w:val="single"/>
              </w:rPr>
            </w:pPr>
            <w:r>
              <w:rPr>
                <w:b/>
                <w:bCs/>
                <w:u w:val="single"/>
              </w:rPr>
              <w:t>Grade</w:t>
            </w:r>
          </w:p>
        </w:tc>
        <w:tc>
          <w:tcPr>
            <w:tcW w:w="3432" w:type="dxa"/>
          </w:tcPr>
          <w:p w:rsidR="0014139C" w:rsidP="00B05ACA" w:rsidRDefault="0014139C" w14:paraId="748C787C" w14:textId="77777777">
            <w:pPr>
              <w:rPr>
                <w:b/>
                <w:bCs/>
                <w:u w:val="single"/>
              </w:rPr>
            </w:pPr>
            <w:r>
              <w:rPr>
                <w:b/>
                <w:bCs/>
                <w:u w:val="single"/>
              </w:rPr>
              <w:t>Number of Hours</w:t>
            </w:r>
          </w:p>
        </w:tc>
        <w:tc>
          <w:tcPr>
            <w:tcW w:w="3432" w:type="dxa"/>
          </w:tcPr>
          <w:p w:rsidR="0014139C" w:rsidP="00B05ACA" w:rsidRDefault="0014139C" w14:paraId="4BF722E9" w14:textId="77777777">
            <w:pPr>
              <w:rPr>
                <w:b/>
                <w:bCs/>
                <w:u w:val="single"/>
              </w:rPr>
            </w:pPr>
            <w:r>
              <w:rPr>
                <w:b/>
                <w:bCs/>
                <w:u w:val="single"/>
              </w:rPr>
              <w:t>Value</w:t>
            </w:r>
          </w:p>
        </w:tc>
      </w:tr>
      <w:tr w:rsidR="0014139C" w:rsidTr="0014139C" w14:paraId="376C9F89" w14:textId="77777777">
        <w:tc>
          <w:tcPr>
            <w:tcW w:w="3432" w:type="dxa"/>
          </w:tcPr>
          <w:p w:rsidR="0014139C" w:rsidP="00B05ACA" w:rsidRDefault="0055478B" w14:paraId="081D1F16" w14:textId="21A96588">
            <w:pPr>
              <w:rPr>
                <w:b/>
                <w:bCs/>
                <w:u w:val="single"/>
              </w:rPr>
            </w:pPr>
            <w:r w:rsidRPr="00E475A6">
              <w:t xml:space="preserve">Survey/Statistical Support: GS-14, </w:t>
            </w:r>
            <w:r w:rsidR="0032366D">
              <w:t xml:space="preserve">Basic Rates, </w:t>
            </w:r>
            <w:r w:rsidRPr="00E475A6">
              <w:t>Step 5 average</w:t>
            </w:r>
          </w:p>
        </w:tc>
        <w:tc>
          <w:tcPr>
            <w:tcW w:w="3432" w:type="dxa"/>
          </w:tcPr>
          <w:p w:rsidRPr="0032366D" w:rsidR="0014139C" w:rsidP="00B05ACA" w:rsidRDefault="00C632F1" w14:paraId="603E4BC2" w14:textId="77777777">
            <w:pPr>
              <w:rPr>
                <w:b/>
                <w:bCs/>
              </w:rPr>
            </w:pPr>
            <w:r w:rsidRPr="0032366D">
              <w:rPr>
                <w:b/>
                <w:bCs/>
              </w:rPr>
              <w:t>20</w:t>
            </w:r>
          </w:p>
        </w:tc>
        <w:tc>
          <w:tcPr>
            <w:tcW w:w="3432" w:type="dxa"/>
          </w:tcPr>
          <w:p w:rsidR="0014139C" w:rsidP="0055478B" w:rsidRDefault="0055478B" w14:paraId="50ED373A" w14:textId="1055E4DD">
            <w:pPr>
              <w:rPr>
                <w:b/>
                <w:bCs/>
                <w:u w:val="single"/>
              </w:rPr>
            </w:pPr>
            <w:r>
              <w:rPr>
                <w:sz w:val="24"/>
                <w:szCs w:val="24"/>
              </w:rPr>
              <w:t>$1,</w:t>
            </w:r>
            <w:r w:rsidR="0032366D">
              <w:rPr>
                <w:sz w:val="24"/>
                <w:szCs w:val="24"/>
              </w:rPr>
              <w:t>317.60</w:t>
            </w:r>
          </w:p>
        </w:tc>
      </w:tr>
      <w:tr w:rsidR="0014139C" w:rsidTr="0014139C" w14:paraId="6E4E191D" w14:textId="77777777">
        <w:tc>
          <w:tcPr>
            <w:tcW w:w="3432" w:type="dxa"/>
          </w:tcPr>
          <w:p w:rsidR="0014139C" w:rsidP="00B05ACA" w:rsidRDefault="0014139C" w14:paraId="5D312116" w14:textId="77777777">
            <w:pPr>
              <w:rPr>
                <w:b/>
                <w:bCs/>
                <w:u w:val="single"/>
              </w:rPr>
            </w:pPr>
          </w:p>
        </w:tc>
        <w:tc>
          <w:tcPr>
            <w:tcW w:w="3432" w:type="dxa"/>
          </w:tcPr>
          <w:p w:rsidR="0014139C" w:rsidP="00B05ACA" w:rsidRDefault="0014139C" w14:paraId="40CF2C6C" w14:textId="77777777">
            <w:pPr>
              <w:rPr>
                <w:b/>
                <w:bCs/>
                <w:u w:val="single"/>
              </w:rPr>
            </w:pPr>
          </w:p>
        </w:tc>
        <w:tc>
          <w:tcPr>
            <w:tcW w:w="3432" w:type="dxa"/>
          </w:tcPr>
          <w:p w:rsidR="0014139C" w:rsidP="00B05ACA" w:rsidRDefault="0014139C" w14:paraId="66E8067F" w14:textId="77777777">
            <w:pPr>
              <w:rPr>
                <w:b/>
                <w:bCs/>
                <w:u w:val="single"/>
              </w:rPr>
            </w:pPr>
          </w:p>
        </w:tc>
      </w:tr>
      <w:tr w:rsidR="0014139C" w:rsidTr="0014139C" w14:paraId="2B6392F8" w14:textId="77777777">
        <w:tc>
          <w:tcPr>
            <w:tcW w:w="3432" w:type="dxa"/>
          </w:tcPr>
          <w:p w:rsidR="0014139C" w:rsidP="00B05ACA" w:rsidRDefault="0014139C" w14:paraId="45266BB7" w14:textId="77777777">
            <w:pPr>
              <w:rPr>
                <w:b/>
                <w:bCs/>
                <w:u w:val="single"/>
              </w:rPr>
            </w:pPr>
          </w:p>
        </w:tc>
        <w:tc>
          <w:tcPr>
            <w:tcW w:w="3432" w:type="dxa"/>
          </w:tcPr>
          <w:p w:rsidR="0014139C" w:rsidP="00B05ACA" w:rsidRDefault="0014139C" w14:paraId="6DFF20D2" w14:textId="77777777">
            <w:pPr>
              <w:rPr>
                <w:b/>
                <w:bCs/>
                <w:u w:val="single"/>
              </w:rPr>
            </w:pPr>
          </w:p>
        </w:tc>
        <w:tc>
          <w:tcPr>
            <w:tcW w:w="3432" w:type="dxa"/>
          </w:tcPr>
          <w:p w:rsidR="0014139C" w:rsidP="00B05ACA" w:rsidRDefault="0014139C" w14:paraId="6F9B1438" w14:textId="77777777">
            <w:pPr>
              <w:rPr>
                <w:b/>
                <w:bCs/>
                <w:u w:val="single"/>
              </w:rPr>
            </w:pPr>
          </w:p>
        </w:tc>
      </w:tr>
      <w:tr w:rsidR="0014139C" w:rsidTr="0014139C" w14:paraId="2B5B42EE" w14:textId="77777777">
        <w:tc>
          <w:tcPr>
            <w:tcW w:w="3432" w:type="dxa"/>
          </w:tcPr>
          <w:p w:rsidR="0014139C" w:rsidP="00B05ACA" w:rsidRDefault="0014139C" w14:paraId="2609F9DB" w14:textId="77777777">
            <w:pPr>
              <w:rPr>
                <w:b/>
                <w:bCs/>
                <w:u w:val="single"/>
              </w:rPr>
            </w:pPr>
            <w:r>
              <w:rPr>
                <w:b/>
                <w:bCs/>
                <w:u w:val="single"/>
              </w:rPr>
              <w:t>Total</w:t>
            </w:r>
          </w:p>
        </w:tc>
        <w:tc>
          <w:tcPr>
            <w:tcW w:w="3432" w:type="dxa"/>
          </w:tcPr>
          <w:p w:rsidR="0014139C" w:rsidP="00B05ACA" w:rsidRDefault="0014139C" w14:paraId="67C2FE27" w14:textId="77777777">
            <w:pPr>
              <w:rPr>
                <w:b/>
                <w:bCs/>
                <w:u w:val="single"/>
              </w:rPr>
            </w:pPr>
          </w:p>
        </w:tc>
        <w:tc>
          <w:tcPr>
            <w:tcW w:w="3432" w:type="dxa"/>
          </w:tcPr>
          <w:p w:rsidR="0014139C" w:rsidP="00B05ACA" w:rsidRDefault="00613270" w14:paraId="3E9D15D4" w14:textId="2B829B35">
            <w:pPr>
              <w:rPr>
                <w:b/>
                <w:bCs/>
                <w:u w:val="single"/>
              </w:rPr>
            </w:pPr>
            <w:r>
              <w:rPr>
                <w:b/>
                <w:bCs/>
                <w:u w:val="single"/>
              </w:rPr>
              <w:t>$,1,</w:t>
            </w:r>
            <w:r w:rsidR="0032366D">
              <w:rPr>
                <w:b/>
                <w:bCs/>
                <w:u w:val="single"/>
              </w:rPr>
              <w:t>317.60</w:t>
            </w:r>
          </w:p>
        </w:tc>
      </w:tr>
    </w:tbl>
    <w:p w:rsidRPr="0032366D" w:rsidR="005C0CEC" w:rsidP="005C0CEC" w:rsidRDefault="00C076D9" w14:paraId="672360ED" w14:textId="386B86F1">
      <w:pPr>
        <w:rPr>
          <w:rFonts w:ascii="Times New Roman" w:hAnsi="Times New Roman" w:eastAsia="Times New Roman" w:cs="Times New Roman"/>
          <w:color w:val="0000FF"/>
          <w:sz w:val="20"/>
          <w:szCs w:val="20"/>
          <w:u w:val="single"/>
        </w:rPr>
      </w:pPr>
      <w:r w:rsidRPr="0032366D">
        <w:rPr>
          <w:u w:val="single"/>
        </w:rPr>
        <w:t xml:space="preserve"> </w:t>
      </w:r>
      <w:hyperlink w:history="1" r:id="rId5">
        <w:r w:rsidRPr="0032366D" w:rsidR="0032366D">
          <w:rPr>
            <w:color w:val="0000FF"/>
            <w:u w:val="single"/>
          </w:rPr>
          <w:t>https://www.opm.gov/policy-data-oversight/pay-leave/salaries-wages/salary-tables/pdf/2020/DCB_h.pdf</w:t>
        </w:r>
      </w:hyperlink>
    </w:p>
    <w:p w:rsidR="00B05ACA" w:rsidP="00B05ACA" w:rsidRDefault="00B05ACA" w14:paraId="534A5457" w14:textId="77777777">
      <w:pPr>
        <w:rPr>
          <w:b/>
          <w:bCs/>
          <w:u w:val="single"/>
        </w:rPr>
      </w:pPr>
    </w:p>
    <w:p w:rsidRPr="00F05FAC" w:rsidR="00B05ACA" w:rsidP="00B05ACA" w:rsidRDefault="00B05ACA" w14:paraId="65926B30" w14:textId="77777777">
      <w:pPr>
        <w:rPr>
          <w:b/>
        </w:rPr>
      </w:pPr>
      <w:r w:rsidRPr="00F05FAC">
        <w:rPr>
          <w:b/>
          <w:bCs/>
          <w:u w:val="single"/>
        </w:rPr>
        <w:t>If you are conducting a focus group, survey, or plan to employ statistical methods, please provide answers to the following questions:</w:t>
      </w:r>
    </w:p>
    <w:p w:rsidR="00B05ACA" w:rsidP="00B05ACA" w:rsidRDefault="00B05ACA" w14:paraId="3D270B9F" w14:textId="77777777">
      <w:pPr>
        <w:rPr>
          <w:b/>
        </w:rPr>
      </w:pPr>
      <w:r w:rsidRPr="00F05FAC">
        <w:rPr>
          <w:b/>
        </w:rPr>
        <w:t>The selection of your targeted respondents</w:t>
      </w:r>
    </w:p>
    <w:p w:rsidRPr="00953DC6" w:rsidR="00E04316" w:rsidP="00E04316" w:rsidRDefault="00E04316" w14:paraId="1DF59DEB" w14:textId="77777777">
      <w:pPr>
        <w:rPr>
          <w:rFonts w:ascii="Times New Roman" w:hAnsi="Times New Roman" w:cs="Times New Roman"/>
          <w:sz w:val="24"/>
          <w:szCs w:val="24"/>
        </w:rPr>
      </w:pPr>
      <w:r w:rsidRPr="00953DC6">
        <w:rPr>
          <w:rFonts w:ascii="Times New Roman" w:hAnsi="Times New Roman" w:cs="Times New Roman"/>
          <w:sz w:val="24"/>
          <w:szCs w:val="24"/>
        </w:rPr>
        <w:lastRenderedPageBreak/>
        <w:t>Targeted respondents are current or potential customers of AHRQ data tools. They are familiar with at least one AHRQ dataset or data tool and have previously engaged with AHRQ to learn more about AHRQ datasets or summary statistics. AHRQ employees will identify the respondents that they anticipate will be most enthusiastic to participate in an effort to improve AHRQ’s data tools.</w:t>
      </w:r>
    </w:p>
    <w:p w:rsidR="00C632F1" w:rsidP="00B05ACA" w:rsidRDefault="00C632F1" w14:paraId="72B7FAF6" w14:textId="77777777">
      <w:pPr>
        <w:rPr>
          <w:b/>
        </w:rPr>
      </w:pPr>
    </w:p>
    <w:p w:rsidR="00B05ACA" w:rsidP="00F05FAC" w:rsidRDefault="00B05ACA" w14:paraId="1723B139" w14:textId="77777777">
      <w:pPr>
        <w:pStyle w:val="ListParagraph"/>
        <w:numPr>
          <w:ilvl w:val="0"/>
          <w:numId w:val="2"/>
        </w:numPr>
        <w:spacing w:after="120" w:line="240" w:lineRule="auto"/>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w:t>
      </w:r>
      <w:r w:rsidR="00C632F1">
        <w:t>x</w:t>
      </w:r>
      <w:r>
        <w:t xml:space="preserve"> ] No</w:t>
      </w:r>
    </w:p>
    <w:p w:rsidR="00B05ACA" w:rsidP="00B05ACA" w:rsidRDefault="00B05ACA" w14:paraId="4F5282F1" w14:textId="77777777">
      <w:pPr>
        <w:pStyle w:val="ListParagraph"/>
      </w:pPr>
    </w:p>
    <w:p w:rsidR="00B05ACA" w:rsidP="00B05ACA" w:rsidRDefault="00B05ACA" w14:paraId="2B7629F9" w14:textId="7777777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6B70A1" w:rsidP="00B05ACA" w:rsidRDefault="006B70A1" w14:paraId="6F3507CD" w14:textId="77777777">
      <w:pPr>
        <w:rPr>
          <w:b/>
        </w:rPr>
      </w:pPr>
    </w:p>
    <w:p w:rsidR="006B70A1" w:rsidP="00B05ACA" w:rsidRDefault="006B70A1" w14:paraId="60793536" w14:textId="77777777">
      <w:pPr>
        <w:rPr>
          <w:b/>
        </w:rPr>
      </w:pPr>
    </w:p>
    <w:p w:rsidR="00B05ACA" w:rsidP="00B05ACA" w:rsidRDefault="00B05ACA" w14:paraId="24FB4EA2" w14:textId="77777777">
      <w:pPr>
        <w:rPr>
          <w:b/>
        </w:rPr>
      </w:pPr>
      <w:r w:rsidRPr="00CC2440">
        <w:rPr>
          <w:b/>
        </w:rPr>
        <w:t>Administration of the Instrument</w:t>
      </w:r>
    </w:p>
    <w:p w:rsidR="00B05ACA" w:rsidP="00B05ACA" w:rsidRDefault="00B05ACA" w14:paraId="5804538C" w14:textId="77777777">
      <w:pPr>
        <w:pStyle w:val="ListParagraph"/>
        <w:numPr>
          <w:ilvl w:val="0"/>
          <w:numId w:val="3"/>
        </w:numPr>
        <w:spacing w:after="0" w:line="240" w:lineRule="auto"/>
      </w:pPr>
      <w:r>
        <w:t>How will you collect the information? (Check all that apply)</w:t>
      </w:r>
    </w:p>
    <w:p w:rsidR="00B05ACA" w:rsidP="00B05ACA" w:rsidRDefault="00B05ACA" w14:paraId="390612A1" w14:textId="1F4075B0">
      <w:pPr>
        <w:ind w:left="720"/>
      </w:pPr>
      <w:proofErr w:type="gramStart"/>
      <w:r>
        <w:t xml:space="preserve">[ </w:t>
      </w:r>
      <w:r w:rsidR="004D6A1F">
        <w:t>X</w:t>
      </w:r>
      <w:proofErr w:type="gramEnd"/>
      <w:r>
        <w:t xml:space="preserve"> ] Web-based or other forms of Social Media </w:t>
      </w:r>
    </w:p>
    <w:p w:rsidR="00B05ACA" w:rsidP="00B05ACA" w:rsidRDefault="00B05ACA" w14:paraId="39056C20" w14:textId="50FEFF2B">
      <w:pPr>
        <w:ind w:left="720"/>
      </w:pPr>
      <w:proofErr w:type="gramStart"/>
      <w:r>
        <w:lastRenderedPageBreak/>
        <w:t xml:space="preserve">[ </w:t>
      </w:r>
      <w:r w:rsidR="004D6A1F">
        <w:t>X</w:t>
      </w:r>
      <w:proofErr w:type="gramEnd"/>
      <w:r w:rsidR="004D6A1F">
        <w:t xml:space="preserve"> </w:t>
      </w:r>
      <w:r>
        <w:t>] Telephone</w:t>
      </w:r>
      <w:r>
        <w:tab/>
      </w:r>
    </w:p>
    <w:p w:rsidR="00B05ACA" w:rsidP="00B05ACA" w:rsidRDefault="00B05ACA" w14:paraId="2011E5F6" w14:textId="02FA683A">
      <w:pPr>
        <w:ind w:left="720"/>
      </w:pPr>
      <w:r>
        <w:t>[</w:t>
      </w:r>
      <w:r w:rsidR="009D48A8">
        <w:t xml:space="preserve"> </w:t>
      </w:r>
      <w:r>
        <w:t>] In-person</w:t>
      </w:r>
      <w:r>
        <w:tab/>
      </w:r>
    </w:p>
    <w:p w:rsidR="00B05ACA" w:rsidP="00B05ACA" w:rsidRDefault="00B05ACA" w14:paraId="69AFDC24" w14:textId="77777777">
      <w:pPr>
        <w:ind w:left="720"/>
      </w:pPr>
      <w:r>
        <w:t xml:space="preserve">[  ] Mail </w:t>
      </w:r>
    </w:p>
    <w:p w:rsidR="009D48A8" w:rsidP="009D48A8" w:rsidRDefault="00B05ACA" w14:paraId="03875CFD" w14:textId="6520328F">
      <w:pPr>
        <w:ind w:left="720"/>
      </w:pPr>
      <w:r>
        <w:t>[  ] Other, Explai</w:t>
      </w:r>
      <w:r w:rsidR="009D48A8">
        <w:t>n</w:t>
      </w:r>
    </w:p>
    <w:p w:rsidR="00B05ACA" w:rsidP="00B05ACA" w:rsidRDefault="00B05ACA" w14:paraId="1DA36718" w14:textId="77777777">
      <w:pPr>
        <w:pStyle w:val="ListParagraph"/>
        <w:numPr>
          <w:ilvl w:val="0"/>
          <w:numId w:val="3"/>
        </w:numPr>
        <w:spacing w:after="0" w:line="240" w:lineRule="auto"/>
      </w:pPr>
      <w:r>
        <w:t>Will interviewers or facilitators be used?  [</w:t>
      </w:r>
      <w:r w:rsidR="00C632F1">
        <w:t>x</w:t>
      </w:r>
      <w:r>
        <w:t xml:space="preserve">  ] Yes [  ] No</w:t>
      </w:r>
    </w:p>
    <w:p w:rsidR="00B05ACA" w:rsidP="00B05ACA" w:rsidRDefault="00B05ACA" w14:paraId="20B6BBFE" w14:textId="77777777">
      <w:pPr>
        <w:pStyle w:val="ListParagraph"/>
        <w:ind w:left="360"/>
      </w:pPr>
      <w:r>
        <w:t xml:space="preserve"> </w:t>
      </w:r>
    </w:p>
    <w:p w:rsidR="00B05ACA" w:rsidP="00B05ACA" w:rsidRDefault="00B05ACA" w14:paraId="1D56C290" w14:textId="77777777">
      <w:pPr>
        <w:pStyle w:val="Heading2"/>
        <w:tabs>
          <w:tab w:val="left" w:pos="900"/>
        </w:tabs>
        <w:ind w:right="-180"/>
        <w:rPr>
          <w:sz w:val="28"/>
        </w:rPr>
      </w:pPr>
    </w:p>
    <w:p w:rsidR="00B05ACA" w:rsidRDefault="00B05ACA" w14:paraId="2472C623" w14:textId="77777777">
      <w:pPr>
        <w:rPr>
          <w:rFonts w:ascii="Times New Roman" w:hAnsi="Times New Roman" w:eastAsia="Times New Roman" w:cs="Times New Roman"/>
          <w:b/>
          <w:bCs/>
          <w:sz w:val="28"/>
          <w:szCs w:val="24"/>
        </w:rPr>
      </w:pPr>
    </w:p>
    <w:sectPr w:rsidR="00B05ACA" w:rsidSect="00B05AC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ACA"/>
    <w:rsid w:val="00016A11"/>
    <w:rsid w:val="000367AB"/>
    <w:rsid w:val="00060F2E"/>
    <w:rsid w:val="000B470D"/>
    <w:rsid w:val="000E3D16"/>
    <w:rsid w:val="00110B92"/>
    <w:rsid w:val="0014139C"/>
    <w:rsid w:val="001B2D35"/>
    <w:rsid w:val="001C64CB"/>
    <w:rsid w:val="00231DD6"/>
    <w:rsid w:val="002570F6"/>
    <w:rsid w:val="002925A3"/>
    <w:rsid w:val="002D4D11"/>
    <w:rsid w:val="002F5944"/>
    <w:rsid w:val="002F5D1B"/>
    <w:rsid w:val="0030165C"/>
    <w:rsid w:val="0032366D"/>
    <w:rsid w:val="00346362"/>
    <w:rsid w:val="00364144"/>
    <w:rsid w:val="0038312A"/>
    <w:rsid w:val="003C2D09"/>
    <w:rsid w:val="003C52FE"/>
    <w:rsid w:val="00414DDC"/>
    <w:rsid w:val="00441ACB"/>
    <w:rsid w:val="0045380E"/>
    <w:rsid w:val="004D6A1F"/>
    <w:rsid w:val="0050676C"/>
    <w:rsid w:val="0051590A"/>
    <w:rsid w:val="0055478B"/>
    <w:rsid w:val="005638DF"/>
    <w:rsid w:val="005C0CEC"/>
    <w:rsid w:val="005C59CA"/>
    <w:rsid w:val="00606D93"/>
    <w:rsid w:val="00613270"/>
    <w:rsid w:val="0063307A"/>
    <w:rsid w:val="0063676A"/>
    <w:rsid w:val="00650D8D"/>
    <w:rsid w:val="00661094"/>
    <w:rsid w:val="006B22D1"/>
    <w:rsid w:val="006B70A1"/>
    <w:rsid w:val="006D0EF3"/>
    <w:rsid w:val="00766212"/>
    <w:rsid w:val="00771C32"/>
    <w:rsid w:val="00786E99"/>
    <w:rsid w:val="007C5E28"/>
    <w:rsid w:val="007D6DBD"/>
    <w:rsid w:val="0080344F"/>
    <w:rsid w:val="008174DD"/>
    <w:rsid w:val="0083381A"/>
    <w:rsid w:val="00845202"/>
    <w:rsid w:val="00850A0E"/>
    <w:rsid w:val="0086037A"/>
    <w:rsid w:val="008865E5"/>
    <w:rsid w:val="008B7ADA"/>
    <w:rsid w:val="008C5BD9"/>
    <w:rsid w:val="0092781E"/>
    <w:rsid w:val="00944264"/>
    <w:rsid w:val="00953DC6"/>
    <w:rsid w:val="00985AFD"/>
    <w:rsid w:val="009A728D"/>
    <w:rsid w:val="009C4D03"/>
    <w:rsid w:val="009D48A8"/>
    <w:rsid w:val="00A1578F"/>
    <w:rsid w:val="00AA165D"/>
    <w:rsid w:val="00AC3C65"/>
    <w:rsid w:val="00AD50CD"/>
    <w:rsid w:val="00AD7164"/>
    <w:rsid w:val="00B05ACA"/>
    <w:rsid w:val="00B113E3"/>
    <w:rsid w:val="00B454FE"/>
    <w:rsid w:val="00B46590"/>
    <w:rsid w:val="00B56670"/>
    <w:rsid w:val="00B80CD6"/>
    <w:rsid w:val="00BB21C8"/>
    <w:rsid w:val="00BF7D4E"/>
    <w:rsid w:val="00C076D9"/>
    <w:rsid w:val="00C632F1"/>
    <w:rsid w:val="00C77626"/>
    <w:rsid w:val="00C83F9C"/>
    <w:rsid w:val="00CC2440"/>
    <w:rsid w:val="00CE3BBF"/>
    <w:rsid w:val="00D72F61"/>
    <w:rsid w:val="00DD6B05"/>
    <w:rsid w:val="00E04316"/>
    <w:rsid w:val="00E44CC0"/>
    <w:rsid w:val="00E77452"/>
    <w:rsid w:val="00E83EFC"/>
    <w:rsid w:val="00E87B99"/>
    <w:rsid w:val="00EC7B56"/>
    <w:rsid w:val="00EE229E"/>
    <w:rsid w:val="00F05FAC"/>
    <w:rsid w:val="00F24244"/>
    <w:rsid w:val="00F61B8E"/>
    <w:rsid w:val="00F83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D9604"/>
  <w15:docId w15:val="{3026A629-9997-42E2-8659-EEE76B13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D4D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05ACA"/>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5ACA"/>
    <w:rPr>
      <w:rFonts w:ascii="Times New Roman" w:eastAsia="Times New Roman" w:hAnsi="Times New Roman" w:cs="Times New Roman"/>
      <w:b/>
      <w:bCs/>
      <w:sz w:val="24"/>
      <w:szCs w:val="24"/>
    </w:rPr>
  </w:style>
  <w:style w:type="paragraph" w:styleId="ListParagraph">
    <w:name w:val="List Paragraph"/>
    <w:basedOn w:val="Normal"/>
    <w:uiPriority w:val="34"/>
    <w:qFormat/>
    <w:rsid w:val="00B05ACA"/>
    <w:pPr>
      <w:ind w:left="720"/>
      <w:contextualSpacing/>
    </w:pPr>
  </w:style>
  <w:style w:type="paragraph" w:styleId="BodyTextIndent">
    <w:name w:val="Body Text Indent"/>
    <w:basedOn w:val="Normal"/>
    <w:link w:val="BodyTextIndentChar"/>
    <w:uiPriority w:val="99"/>
    <w:semiHidden/>
    <w:unhideWhenUsed/>
    <w:rsid w:val="00B05ACA"/>
    <w:pPr>
      <w:spacing w:after="120"/>
      <w:ind w:left="360"/>
    </w:pPr>
  </w:style>
  <w:style w:type="character" w:customStyle="1" w:styleId="BodyTextIndentChar">
    <w:name w:val="Body Text Indent Char"/>
    <w:basedOn w:val="DefaultParagraphFont"/>
    <w:link w:val="BodyTextIndent"/>
    <w:uiPriority w:val="99"/>
    <w:semiHidden/>
    <w:rsid w:val="00B05ACA"/>
  </w:style>
  <w:style w:type="paragraph" w:styleId="Header">
    <w:name w:val="header"/>
    <w:basedOn w:val="Normal"/>
    <w:link w:val="HeaderChar"/>
    <w:rsid w:val="00B05ACA"/>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B05ACA"/>
    <w:rPr>
      <w:rFonts w:ascii="Times New Roman" w:eastAsia="Times New Roman" w:hAnsi="Times New Roman" w:cs="Times New Roman"/>
      <w:snapToGrid w:val="0"/>
      <w:sz w:val="24"/>
      <w:szCs w:val="24"/>
    </w:rPr>
  </w:style>
  <w:style w:type="table" w:styleId="TableGrid">
    <w:name w:val="Table Grid"/>
    <w:basedOn w:val="TableNormal"/>
    <w:rsid w:val="00B05A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rsid w:val="00650D8D"/>
    <w:pPr>
      <w:tabs>
        <w:tab w:val="left" w:pos="1152"/>
      </w:tabs>
      <w:spacing w:after="0" w:line="240" w:lineRule="atLeast"/>
    </w:pPr>
    <w:rPr>
      <w:rFonts w:ascii="Garamond" w:eastAsia="Times New Roman" w:hAnsi="Garamond" w:cs="Times New Roman"/>
      <w:sz w:val="24"/>
      <w:szCs w:val="20"/>
    </w:rPr>
  </w:style>
  <w:style w:type="paragraph" w:customStyle="1" w:styleId="p1">
    <w:name w:val="p1"/>
    <w:basedOn w:val="Normal"/>
    <w:rsid w:val="0038312A"/>
    <w:pPr>
      <w:spacing w:after="0" w:line="240" w:lineRule="auto"/>
    </w:pPr>
    <w:rPr>
      <w:rFonts w:ascii="Helvetica" w:hAnsi="Helvetica"/>
      <w:sz w:val="17"/>
      <w:szCs w:val="17"/>
    </w:rPr>
  </w:style>
  <w:style w:type="paragraph" w:styleId="BalloonText">
    <w:name w:val="Balloon Text"/>
    <w:basedOn w:val="Normal"/>
    <w:link w:val="BalloonTextChar"/>
    <w:uiPriority w:val="99"/>
    <w:semiHidden/>
    <w:unhideWhenUsed/>
    <w:rsid w:val="00383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12A"/>
    <w:rPr>
      <w:rFonts w:ascii="Tahoma" w:hAnsi="Tahoma" w:cs="Tahoma"/>
      <w:sz w:val="16"/>
      <w:szCs w:val="16"/>
    </w:rPr>
  </w:style>
  <w:style w:type="character" w:customStyle="1" w:styleId="Heading1Char">
    <w:name w:val="Heading 1 Char"/>
    <w:basedOn w:val="DefaultParagraphFont"/>
    <w:link w:val="Heading1"/>
    <w:uiPriority w:val="9"/>
    <w:rsid w:val="002D4D11"/>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2D4D11"/>
  </w:style>
  <w:style w:type="character" w:styleId="CommentReference">
    <w:name w:val="annotation reference"/>
    <w:basedOn w:val="DefaultParagraphFont"/>
    <w:uiPriority w:val="99"/>
    <w:semiHidden/>
    <w:unhideWhenUsed/>
    <w:rsid w:val="002D4D11"/>
    <w:rPr>
      <w:sz w:val="16"/>
      <w:szCs w:val="16"/>
    </w:rPr>
  </w:style>
  <w:style w:type="paragraph" w:styleId="CommentText">
    <w:name w:val="annotation text"/>
    <w:basedOn w:val="Normal"/>
    <w:link w:val="CommentTextChar"/>
    <w:uiPriority w:val="99"/>
    <w:semiHidden/>
    <w:unhideWhenUsed/>
    <w:rsid w:val="002D4D11"/>
    <w:pPr>
      <w:spacing w:line="240" w:lineRule="auto"/>
    </w:pPr>
    <w:rPr>
      <w:sz w:val="20"/>
      <w:szCs w:val="20"/>
    </w:rPr>
  </w:style>
  <w:style w:type="character" w:customStyle="1" w:styleId="CommentTextChar">
    <w:name w:val="Comment Text Char"/>
    <w:basedOn w:val="DefaultParagraphFont"/>
    <w:link w:val="CommentText"/>
    <w:uiPriority w:val="99"/>
    <w:semiHidden/>
    <w:rsid w:val="002D4D11"/>
    <w:rPr>
      <w:sz w:val="20"/>
      <w:szCs w:val="20"/>
    </w:rPr>
  </w:style>
  <w:style w:type="paragraph" w:styleId="CommentSubject">
    <w:name w:val="annotation subject"/>
    <w:basedOn w:val="CommentText"/>
    <w:next w:val="CommentText"/>
    <w:link w:val="CommentSubjectChar"/>
    <w:uiPriority w:val="99"/>
    <w:semiHidden/>
    <w:unhideWhenUsed/>
    <w:rsid w:val="002D4D11"/>
    <w:rPr>
      <w:b/>
      <w:bCs/>
    </w:rPr>
  </w:style>
  <w:style w:type="character" w:customStyle="1" w:styleId="CommentSubjectChar">
    <w:name w:val="Comment Subject Char"/>
    <w:basedOn w:val="CommentTextChar"/>
    <w:link w:val="CommentSubject"/>
    <w:uiPriority w:val="99"/>
    <w:semiHidden/>
    <w:rsid w:val="002D4D11"/>
    <w:rPr>
      <w:b/>
      <w:bCs/>
      <w:sz w:val="20"/>
      <w:szCs w:val="20"/>
    </w:rPr>
  </w:style>
  <w:style w:type="paragraph" w:styleId="NoSpacing">
    <w:name w:val="No Spacing"/>
    <w:basedOn w:val="Normal"/>
    <w:uiPriority w:val="1"/>
    <w:qFormat/>
    <w:rsid w:val="0063676A"/>
    <w:pPr>
      <w:spacing w:after="0" w:line="240" w:lineRule="auto"/>
    </w:pPr>
    <w:rPr>
      <w:rFonts w:ascii="Calibri" w:eastAsiaTheme="minorHAnsi" w:hAnsi="Calibri" w:cs="Times New Roman"/>
    </w:rPr>
  </w:style>
  <w:style w:type="character" w:styleId="Hyperlink">
    <w:name w:val="Hyperlink"/>
    <w:basedOn w:val="DefaultParagraphFont"/>
    <w:uiPriority w:val="99"/>
    <w:unhideWhenUsed/>
    <w:rsid w:val="008865E5"/>
    <w:rPr>
      <w:color w:val="0000FF" w:themeColor="hyperlink"/>
      <w:u w:val="single"/>
    </w:rPr>
  </w:style>
  <w:style w:type="paragraph" w:styleId="Revision">
    <w:name w:val="Revision"/>
    <w:hidden/>
    <w:uiPriority w:val="99"/>
    <w:semiHidden/>
    <w:rsid w:val="0032366D"/>
    <w:pPr>
      <w:spacing w:after="0" w:line="240" w:lineRule="auto"/>
    </w:pPr>
  </w:style>
  <w:style w:type="character" w:customStyle="1" w:styleId="UnresolvedMention">
    <w:name w:val="Unresolved Mention"/>
    <w:basedOn w:val="DefaultParagraphFont"/>
    <w:uiPriority w:val="99"/>
    <w:semiHidden/>
    <w:unhideWhenUsed/>
    <w:rsid w:val="0032366D"/>
    <w:rPr>
      <w:color w:val="605E5C"/>
      <w:shd w:val="clear" w:color="auto" w:fill="E1DFDD"/>
    </w:rPr>
  </w:style>
  <w:style w:type="character" w:styleId="FollowedHyperlink">
    <w:name w:val="FollowedHyperlink"/>
    <w:basedOn w:val="DefaultParagraphFont"/>
    <w:uiPriority w:val="99"/>
    <w:semiHidden/>
    <w:unhideWhenUsed/>
    <w:rsid w:val="003236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72262">
      <w:bodyDiv w:val="1"/>
      <w:marLeft w:val="0"/>
      <w:marRight w:val="0"/>
      <w:marTop w:val="0"/>
      <w:marBottom w:val="0"/>
      <w:divBdr>
        <w:top w:val="none" w:sz="0" w:space="0" w:color="auto"/>
        <w:left w:val="none" w:sz="0" w:space="0" w:color="auto"/>
        <w:bottom w:val="none" w:sz="0" w:space="0" w:color="auto"/>
        <w:right w:val="none" w:sz="0" w:space="0" w:color="auto"/>
      </w:divBdr>
    </w:div>
    <w:div w:id="1045328278">
      <w:bodyDiv w:val="1"/>
      <w:marLeft w:val="0"/>
      <w:marRight w:val="0"/>
      <w:marTop w:val="0"/>
      <w:marBottom w:val="0"/>
      <w:divBdr>
        <w:top w:val="none" w:sz="0" w:space="0" w:color="auto"/>
        <w:left w:val="none" w:sz="0" w:space="0" w:color="auto"/>
        <w:bottom w:val="none" w:sz="0" w:space="0" w:color="auto"/>
        <w:right w:val="none" w:sz="0" w:space="0" w:color="auto"/>
      </w:divBdr>
    </w:div>
    <w:div w:id="210333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pm.gov/policy-data-oversight/pay-leave/salaries-wages/salary-tables/pdf/2020/DCB_h.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727</Words>
  <Characters>4146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Brown, Erwin (AHRQ/CFACT)</cp:lastModifiedBy>
  <cp:revision>2</cp:revision>
  <cp:lastPrinted>2017-12-13T18:50:00Z</cp:lastPrinted>
  <dcterms:created xsi:type="dcterms:W3CDTF">2020-08-20T18:27:00Z</dcterms:created>
  <dcterms:modified xsi:type="dcterms:W3CDTF">2020-08-20T18:27:00Z</dcterms:modified>
</cp:coreProperties>
</file>