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70020E94" w14:textId="77777777">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519F8904"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7058469A"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05996E38" w14:textId="77777777">
                      <w:pPr>
                        <w:pStyle w:val="BasicParagraph"/>
                        <w:ind w:firstLine="540"/>
                        <w:rPr>
                          <w:rFonts w:ascii="Arial" w:hAnsi="Arial" w:cs="Arial"/>
                          <w:sz w:val="16"/>
                          <w:szCs w:val="16"/>
                        </w:rPr>
                      </w:pPr>
                    </w:p>
                    <w:p w:rsidR="0049775C" w:rsidP="0049775C" w14:paraId="6A261FF3"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53A4A3AA"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6E278A4B"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7DF161C5"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3040AC97"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C29F798"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19F62E8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146437D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63BE95B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21831F58" w14:textId="77777777">
      <w:pPr>
        <w:widowControl w:val="0"/>
        <w:autoSpaceDE w:val="0"/>
        <w:autoSpaceDN w:val="0"/>
        <w:adjustRightInd w:val="0"/>
        <w:ind w:right="-274"/>
        <w:rPr>
          <w:rFonts w:ascii="Times New Roman" w:hAnsi="Times New Roman" w:cs="Times New Roman"/>
          <w:sz w:val="24"/>
          <w:szCs w:val="24"/>
        </w:rPr>
      </w:pPr>
    </w:p>
    <w:p w:rsidR="009753E8" w:rsidP="009753E8" w14:paraId="3E5648D6" w14:textId="52654DB4">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w:t>
      </w:r>
      <w:r w:rsidR="00674681">
        <w:rPr>
          <w:rFonts w:ascii="Times New Roman" w:hAnsi="Times New Roman" w:cs="Times New Roman"/>
          <w:sz w:val="24"/>
          <w:szCs w:val="24"/>
        </w:rPr>
        <w:t>achelle Ragland-Greene</w:t>
      </w:r>
    </w:p>
    <w:p w:rsidR="009753E8" w:rsidRPr="009753E8" w:rsidP="009753E8" w14:paraId="0F3519BB" w14:textId="141D3D6D">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009753E8" w:rsidRPr="009753E8" w:rsidP="009753E8" w14:paraId="0328C23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P="009753E8" w14:paraId="4DAED8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RPr="009753E8" w:rsidP="009753E8" w14:paraId="47C3B624" w14:textId="77777777">
      <w:pPr>
        <w:widowControl w:val="0"/>
        <w:autoSpaceDE w:val="0"/>
        <w:autoSpaceDN w:val="0"/>
        <w:adjustRightInd w:val="0"/>
        <w:ind w:left="720" w:right="-274" w:firstLine="720"/>
        <w:rPr>
          <w:rFonts w:ascii="Times New Roman" w:hAnsi="Times New Roman" w:cs="Times New Roman"/>
          <w:sz w:val="24"/>
          <w:szCs w:val="24"/>
        </w:rPr>
      </w:pPr>
    </w:p>
    <w:p w:rsidR="009753E8" w:rsidRPr="009753E8" w:rsidP="009753E8" w14:paraId="3A2F519B"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Jamia Franklin</w:t>
      </w:r>
    </w:p>
    <w:p w:rsidR="009753E8" w:rsidRPr="009753E8" w:rsidP="009753E8" w14:paraId="445A689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9753E8" w:rsidRPr="009753E8" w:rsidP="009753E8" w14:paraId="5B6A8A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OPS/Planning and Regulatory Affairs Office</w:t>
      </w:r>
    </w:p>
    <w:p w:rsidR="009753E8" w:rsidP="009753E8" w14:paraId="215F559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6162AED5" w14:textId="77777777">
      <w:pPr>
        <w:widowControl w:val="0"/>
        <w:autoSpaceDE w:val="0"/>
        <w:autoSpaceDN w:val="0"/>
        <w:adjustRightInd w:val="0"/>
        <w:ind w:right="-274"/>
        <w:rPr>
          <w:rFonts w:ascii="Times New Roman" w:hAnsi="Times New Roman" w:cs="Times New Roman"/>
          <w:sz w:val="24"/>
          <w:szCs w:val="24"/>
        </w:rPr>
      </w:pPr>
    </w:p>
    <w:p w:rsidR="009753E8" w:rsidP="009753E8" w14:paraId="21DA17B1" w14:textId="7797222D">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DE31AB">
        <w:rPr>
          <w:rFonts w:ascii="Times New Roman" w:hAnsi="Times New Roman" w:cs="Times New Roman"/>
          <w:sz w:val="24"/>
          <w:szCs w:val="24"/>
        </w:rPr>
        <w:t>Michael Burke</w:t>
      </w:r>
    </w:p>
    <w:p w:rsidR="00EE52C0" w:rsidRPr="001A74EB" w:rsidP="00EE52C0" w14:paraId="46CBB3DF" w14:textId="77777777">
      <w:pPr>
        <w:widowControl w:val="0"/>
        <w:autoSpaceDE w:val="0"/>
        <w:autoSpaceDN w:val="0"/>
        <w:adjustRightInd w:val="0"/>
        <w:ind w:left="720" w:right="-274" w:firstLine="720"/>
        <w:rPr>
          <w:rFonts w:ascii="Times New Roman" w:hAnsi="Times New Roman" w:cs="Times New Roman"/>
          <w:sz w:val="24"/>
          <w:szCs w:val="24"/>
        </w:rPr>
      </w:pPr>
      <w:r w:rsidRPr="001A74EB">
        <w:rPr>
          <w:rFonts w:ascii="Times New Roman" w:hAnsi="Times New Roman" w:cs="Times New Roman"/>
          <w:sz w:val="24"/>
          <w:szCs w:val="24"/>
        </w:rPr>
        <w:t>SNAP Evaluation Branch</w:t>
      </w:r>
    </w:p>
    <w:p w:rsidR="009753E8" w:rsidRPr="001A74EB" w:rsidP="009753E8" w14:paraId="0FC0524C" w14:textId="77777777">
      <w:pPr>
        <w:widowControl w:val="0"/>
        <w:autoSpaceDE w:val="0"/>
        <w:autoSpaceDN w:val="0"/>
        <w:adjustRightInd w:val="0"/>
        <w:ind w:left="720" w:right="-274" w:firstLine="720"/>
        <w:rPr>
          <w:rFonts w:ascii="Times New Roman" w:hAnsi="Times New Roman" w:cs="Times New Roman"/>
          <w:sz w:val="24"/>
          <w:szCs w:val="24"/>
        </w:rPr>
      </w:pPr>
      <w:r w:rsidRPr="001A74EB">
        <w:rPr>
          <w:rFonts w:ascii="Times New Roman" w:hAnsi="Times New Roman" w:cs="Times New Roman"/>
          <w:sz w:val="24"/>
          <w:szCs w:val="24"/>
        </w:rPr>
        <w:t>OPS/SNAP Research and Analysis Division</w:t>
      </w:r>
    </w:p>
    <w:p w:rsidR="00EE52C0" w:rsidP="00EE52C0" w14:paraId="6021F0BE" w14:textId="77777777">
      <w:pPr>
        <w:widowControl w:val="0"/>
        <w:autoSpaceDE w:val="0"/>
        <w:autoSpaceDN w:val="0"/>
        <w:adjustRightInd w:val="0"/>
        <w:ind w:left="720" w:right="-274" w:firstLine="720"/>
        <w:rPr>
          <w:rFonts w:ascii="Times New Roman" w:hAnsi="Times New Roman" w:cs="Times New Roman"/>
          <w:sz w:val="24"/>
          <w:szCs w:val="24"/>
        </w:rPr>
      </w:pPr>
      <w:r w:rsidRPr="001A74EB">
        <w:rPr>
          <w:rFonts w:ascii="Times New Roman" w:hAnsi="Times New Roman" w:cs="Times New Roman"/>
          <w:sz w:val="24"/>
          <w:szCs w:val="24"/>
        </w:rPr>
        <w:t>Food and Nutrition Service (FNS)</w:t>
      </w:r>
    </w:p>
    <w:p w:rsidR="009753E8" w:rsidP="009753E8" w14:paraId="111D9FA3" w14:textId="77777777">
      <w:pPr>
        <w:widowControl w:val="0"/>
        <w:autoSpaceDE w:val="0"/>
        <w:autoSpaceDN w:val="0"/>
        <w:adjustRightInd w:val="0"/>
        <w:ind w:right="-274"/>
        <w:rPr>
          <w:rFonts w:ascii="Times New Roman" w:hAnsi="Times New Roman" w:cs="Times New Roman"/>
          <w:sz w:val="24"/>
          <w:szCs w:val="24"/>
        </w:rPr>
      </w:pPr>
    </w:p>
    <w:p w:rsidR="009753E8" w:rsidP="009753E8" w14:paraId="3881F84C" w14:textId="141DF43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674681">
        <w:rPr>
          <w:rFonts w:ascii="Times New Roman" w:hAnsi="Times New Roman" w:cs="Times New Roman"/>
          <w:sz w:val="24"/>
          <w:szCs w:val="24"/>
        </w:rPr>
        <w:t>April 9</w:t>
      </w:r>
      <w:r w:rsidRPr="001A74EB" w:rsidR="00DE31AB">
        <w:rPr>
          <w:rFonts w:ascii="Times New Roman" w:hAnsi="Times New Roman" w:cs="Times New Roman"/>
          <w:sz w:val="24"/>
          <w:szCs w:val="24"/>
        </w:rPr>
        <w:t>, 2024</w:t>
      </w:r>
    </w:p>
    <w:p w:rsidR="00EE52C0" w:rsidP="009753E8" w14:paraId="6D1F4B68" w14:textId="77777777">
      <w:pPr>
        <w:widowControl w:val="0"/>
        <w:autoSpaceDE w:val="0"/>
        <w:autoSpaceDN w:val="0"/>
        <w:adjustRightInd w:val="0"/>
        <w:ind w:right="-274"/>
        <w:rPr>
          <w:rFonts w:ascii="Times New Roman" w:hAnsi="Times New Roman" w:cs="Times New Roman"/>
          <w:sz w:val="24"/>
          <w:szCs w:val="24"/>
        </w:rPr>
      </w:pPr>
    </w:p>
    <w:p w:rsidR="00EE52C0" w:rsidP="00236DFB" w14:paraId="649CBFC7" w14:textId="4EF4ED19">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 xml:space="preserve">for </w:t>
      </w:r>
      <w:r w:rsidR="007C5449">
        <w:rPr>
          <w:rFonts w:ascii="Times New Roman" w:hAnsi="Times New Roman" w:cs="Times New Roman"/>
          <w:sz w:val="24"/>
          <w:szCs w:val="24"/>
        </w:rPr>
        <w:t xml:space="preserve">changes </w:t>
      </w:r>
      <w:r w:rsidRPr="00605B9A" w:rsidR="007C5449">
        <w:rPr>
          <w:rFonts w:ascii="Times New Roman" w:hAnsi="Times New Roman" w:cs="Times New Roman"/>
          <w:sz w:val="24"/>
          <w:szCs w:val="24"/>
        </w:rPr>
        <w:t xml:space="preserve">to </w:t>
      </w:r>
      <w:r w:rsidRPr="00605B9A" w:rsidR="00605B9A">
        <w:rPr>
          <w:rFonts w:ascii="Times New Roman" w:hAnsi="Times New Roman" w:cs="Times New Roman"/>
          <w:sz w:val="24"/>
          <w:szCs w:val="24"/>
        </w:rPr>
        <w:t>study</w:t>
      </w:r>
      <w:r w:rsidRPr="00605B9A" w:rsidR="00B61F93">
        <w:rPr>
          <w:rFonts w:ascii="Times New Roman" w:hAnsi="Times New Roman" w:cs="Times New Roman"/>
          <w:sz w:val="24"/>
          <w:szCs w:val="24"/>
        </w:rPr>
        <w:t xml:space="preserve"> materials</w:t>
      </w:r>
      <w:r w:rsidRPr="00605B9A" w:rsidR="0098676B">
        <w:rPr>
          <w:rFonts w:ascii="Times New Roman" w:hAnsi="Times New Roman" w:cs="Times New Roman"/>
          <w:sz w:val="24"/>
          <w:szCs w:val="24"/>
        </w:rPr>
        <w:t xml:space="preserve"> for</w:t>
      </w:r>
      <w:r w:rsidRPr="00605B9A">
        <w:rPr>
          <w:rFonts w:ascii="Times New Roman" w:hAnsi="Times New Roman" w:cs="Times New Roman"/>
          <w:sz w:val="24"/>
          <w:szCs w:val="24"/>
        </w:rPr>
        <w:t xml:space="preserve"> OM</w:t>
      </w:r>
      <w:r w:rsidRPr="00EE52C0">
        <w:rPr>
          <w:rFonts w:ascii="Times New Roman" w:hAnsi="Times New Roman" w:cs="Times New Roman"/>
          <w:sz w:val="24"/>
          <w:szCs w:val="24"/>
        </w:rPr>
        <w:t xml:space="preserve">B Control No: </w:t>
      </w:r>
      <w:r w:rsidRPr="00A852CE" w:rsidR="00A852CE">
        <w:rPr>
          <w:rFonts w:ascii="Times New Roman" w:hAnsi="Times New Roman" w:cs="Times New Roman"/>
          <w:sz w:val="24"/>
          <w:szCs w:val="24"/>
        </w:rPr>
        <w:t>0584-068</w:t>
      </w:r>
      <w:r w:rsidR="00DE31AB">
        <w:rPr>
          <w:rFonts w:ascii="Times New Roman" w:hAnsi="Times New Roman" w:cs="Times New Roman"/>
          <w:sz w:val="24"/>
          <w:szCs w:val="24"/>
        </w:rPr>
        <w:t>2</w:t>
      </w:r>
      <w:r w:rsidR="00A852CE">
        <w:rPr>
          <w:rFonts w:ascii="Times New Roman" w:hAnsi="Times New Roman" w:cs="Times New Roman"/>
          <w:sz w:val="24"/>
          <w:szCs w:val="24"/>
        </w:rPr>
        <w:t xml:space="preserve"> </w:t>
      </w:r>
      <w:r w:rsidR="00236DFB">
        <w:rPr>
          <w:rFonts w:ascii="Times New Roman" w:hAnsi="Times New Roman" w:cs="Times New Roman"/>
          <w:sz w:val="24"/>
          <w:szCs w:val="24"/>
        </w:rPr>
        <w:t>“</w:t>
      </w:r>
      <w:r w:rsidRPr="00DE31AB" w:rsidR="00DE31AB">
        <w:rPr>
          <w:rFonts w:ascii="Times New Roman" w:hAnsi="Times New Roman" w:cs="Times New Roman"/>
          <w:sz w:val="24"/>
          <w:szCs w:val="24"/>
        </w:rPr>
        <w:t>Understanding the Relationship Between Poverty, Well-Being, and Food Security</w:t>
      </w:r>
      <w:r w:rsidR="00236DFB">
        <w:rPr>
          <w:rFonts w:ascii="Times New Roman" w:hAnsi="Times New Roman" w:cs="Times New Roman"/>
          <w:sz w:val="24"/>
          <w:szCs w:val="24"/>
        </w:rPr>
        <w:t>”</w:t>
      </w:r>
      <w:r w:rsidR="00A852CE">
        <w:rPr>
          <w:rFonts w:ascii="Times New Roman" w:hAnsi="Times New Roman" w:cs="Times New Roman"/>
          <w:sz w:val="24"/>
          <w:szCs w:val="24"/>
        </w:rPr>
        <w:t>.</w:t>
      </w:r>
    </w:p>
    <w:p w:rsidR="0023662F" w:rsidP="00236DFB" w14:paraId="3F180377" w14:textId="77777777">
      <w:pPr>
        <w:widowControl w:val="0"/>
        <w:autoSpaceDE w:val="0"/>
        <w:autoSpaceDN w:val="0"/>
        <w:adjustRightInd w:val="0"/>
        <w:ind w:left="1440" w:right="-274" w:hanging="1440"/>
        <w:rPr>
          <w:rFonts w:ascii="Times New Roman" w:hAnsi="Times New Roman" w:cs="Times New Roman"/>
          <w:sz w:val="24"/>
          <w:szCs w:val="24"/>
        </w:rPr>
      </w:pPr>
    </w:p>
    <w:p w:rsidR="009753E8" w:rsidP="009753E8" w14:paraId="6C761DD1" w14:textId="77777777">
      <w:pPr>
        <w:widowControl w:val="0"/>
        <w:autoSpaceDE w:val="0"/>
        <w:autoSpaceDN w:val="0"/>
        <w:adjustRightInd w:val="0"/>
        <w:ind w:right="-274"/>
        <w:rPr>
          <w:rFonts w:ascii="Times New Roman" w:hAnsi="Times New Roman" w:cs="Times New Roman"/>
          <w:sz w:val="24"/>
          <w:szCs w:val="24"/>
        </w:rPr>
      </w:pPr>
    </w:p>
    <w:p w:rsidR="00295313" w:rsidP="00680FF1" w14:paraId="655D6E71" w14:textId="7100585B">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The Food and Nutrition Service (FNS) is requesting a non-substantive change to the</w:t>
      </w:r>
      <w:r w:rsidR="007C5449">
        <w:rPr>
          <w:rFonts w:ascii="Times New Roman" w:hAnsi="Times New Roman" w:cs="Times New Roman"/>
          <w:sz w:val="24"/>
          <w:szCs w:val="24"/>
        </w:rPr>
        <w:t xml:space="preserve"> </w:t>
      </w:r>
      <w:r w:rsidRPr="00DE31AB" w:rsidR="00DE31AB">
        <w:rPr>
          <w:rFonts w:ascii="Times New Roman" w:hAnsi="Times New Roman" w:cs="Times New Roman"/>
          <w:sz w:val="24"/>
          <w:szCs w:val="24"/>
        </w:rPr>
        <w:t>Understanding the Relationship Between Poverty, Well-Being, and Food Security</w:t>
      </w:r>
      <w:r w:rsidR="00DE31AB">
        <w:rPr>
          <w:rFonts w:ascii="Times New Roman" w:hAnsi="Times New Roman" w:cs="Times New Roman"/>
          <w:sz w:val="24"/>
          <w:szCs w:val="24"/>
        </w:rPr>
        <w:t xml:space="preserve"> study</w:t>
      </w:r>
      <w:r w:rsidRPr="00236DFB">
        <w:rPr>
          <w:rFonts w:ascii="Times New Roman" w:hAnsi="Times New Roman" w:cs="Times New Roman"/>
          <w:sz w:val="24"/>
          <w:szCs w:val="24"/>
        </w:rPr>
        <w:t xml:space="preserve">, approved under OMB Control No. </w:t>
      </w:r>
      <w:r w:rsidRPr="00A852CE" w:rsidR="00A852CE">
        <w:rPr>
          <w:rFonts w:ascii="Times New Roman" w:hAnsi="Times New Roman" w:cs="Times New Roman"/>
          <w:sz w:val="24"/>
          <w:szCs w:val="24"/>
        </w:rPr>
        <w:t>0584-068</w:t>
      </w:r>
      <w:r w:rsidR="00DE31AB">
        <w:rPr>
          <w:rFonts w:ascii="Times New Roman" w:hAnsi="Times New Roman" w:cs="Times New Roman"/>
          <w:sz w:val="24"/>
          <w:szCs w:val="24"/>
        </w:rPr>
        <w:t>2</w:t>
      </w:r>
      <w:r w:rsidRPr="00236DFB">
        <w:rPr>
          <w:rFonts w:ascii="Times New Roman" w:hAnsi="Times New Roman" w:cs="Times New Roman"/>
          <w:sz w:val="24"/>
          <w:szCs w:val="24"/>
        </w:rPr>
        <w:t xml:space="preserve">; expiration date of </w:t>
      </w:r>
      <w:r w:rsidR="00DE31AB">
        <w:rPr>
          <w:rFonts w:ascii="Times New Roman" w:hAnsi="Times New Roman" w:cs="Times New Roman"/>
          <w:sz w:val="24"/>
          <w:szCs w:val="24"/>
        </w:rPr>
        <w:t>April</w:t>
      </w:r>
      <w:r w:rsidR="00A852CE">
        <w:rPr>
          <w:rFonts w:ascii="Times New Roman" w:hAnsi="Times New Roman" w:cs="Times New Roman"/>
          <w:sz w:val="24"/>
          <w:szCs w:val="24"/>
        </w:rPr>
        <w:t xml:space="preserve"> 3</w:t>
      </w:r>
      <w:r w:rsidR="00DE31AB">
        <w:rPr>
          <w:rFonts w:ascii="Times New Roman" w:hAnsi="Times New Roman" w:cs="Times New Roman"/>
          <w:sz w:val="24"/>
          <w:szCs w:val="24"/>
        </w:rPr>
        <w:t>0</w:t>
      </w:r>
      <w:r w:rsidRPr="00236DFB">
        <w:rPr>
          <w:rFonts w:ascii="Times New Roman" w:hAnsi="Times New Roman" w:cs="Times New Roman"/>
          <w:sz w:val="24"/>
          <w:szCs w:val="24"/>
        </w:rPr>
        <w:t>, 202</w:t>
      </w:r>
      <w:r w:rsidR="00A852CE">
        <w:rPr>
          <w:rFonts w:ascii="Times New Roman" w:hAnsi="Times New Roman" w:cs="Times New Roman"/>
          <w:sz w:val="24"/>
          <w:szCs w:val="24"/>
        </w:rPr>
        <w:t>6</w:t>
      </w:r>
      <w:r>
        <w:rPr>
          <w:rFonts w:ascii="Times New Roman" w:hAnsi="Times New Roman" w:cs="Times New Roman"/>
          <w:sz w:val="24"/>
          <w:szCs w:val="24"/>
        </w:rPr>
        <w:t>.</w:t>
      </w:r>
      <w:r w:rsidR="00A852CE">
        <w:rPr>
          <w:rFonts w:ascii="Times New Roman" w:hAnsi="Times New Roman" w:cs="Times New Roman"/>
          <w:sz w:val="24"/>
          <w:szCs w:val="24"/>
        </w:rPr>
        <w:t xml:space="preserve"> </w:t>
      </w:r>
      <w:r w:rsidRPr="00236DFB">
        <w:rPr>
          <w:rFonts w:ascii="Times New Roman" w:hAnsi="Times New Roman" w:cs="Times New Roman"/>
          <w:sz w:val="24"/>
          <w:szCs w:val="24"/>
        </w:rPr>
        <w:t>FNS made non-substantive edits to</w:t>
      </w:r>
      <w:r>
        <w:rPr>
          <w:rFonts w:ascii="Times New Roman" w:hAnsi="Times New Roman" w:cs="Times New Roman"/>
          <w:sz w:val="24"/>
          <w:szCs w:val="24"/>
        </w:rPr>
        <w:t xml:space="preserve"> the </w:t>
      </w:r>
      <w:r w:rsidR="00B61F93">
        <w:rPr>
          <w:rFonts w:ascii="Times New Roman" w:hAnsi="Times New Roman" w:cs="Times New Roman"/>
          <w:sz w:val="24"/>
          <w:szCs w:val="24"/>
        </w:rPr>
        <w:t>survey</w:t>
      </w:r>
      <w:r>
        <w:rPr>
          <w:rFonts w:ascii="Times New Roman" w:hAnsi="Times New Roman" w:cs="Times New Roman"/>
          <w:sz w:val="24"/>
          <w:szCs w:val="24"/>
        </w:rPr>
        <w:t xml:space="preserve"> </w:t>
      </w:r>
      <w:r w:rsidR="00DE31AB">
        <w:rPr>
          <w:rFonts w:ascii="Times New Roman" w:hAnsi="Times New Roman" w:cs="Times New Roman"/>
          <w:sz w:val="24"/>
          <w:szCs w:val="24"/>
        </w:rPr>
        <w:t>questionnaire</w:t>
      </w:r>
      <w:r>
        <w:rPr>
          <w:rFonts w:ascii="Times New Roman" w:hAnsi="Times New Roman" w:cs="Times New Roman"/>
          <w:sz w:val="24"/>
          <w:szCs w:val="24"/>
        </w:rPr>
        <w:t xml:space="preserve"> </w:t>
      </w:r>
      <w:r w:rsidR="00BD377F">
        <w:rPr>
          <w:rFonts w:ascii="Times New Roman" w:hAnsi="Times New Roman" w:cs="Times New Roman"/>
          <w:sz w:val="24"/>
          <w:szCs w:val="24"/>
        </w:rPr>
        <w:t xml:space="preserve">(Appendix S1) </w:t>
      </w:r>
      <w:r>
        <w:rPr>
          <w:rFonts w:ascii="Times New Roman" w:hAnsi="Times New Roman" w:cs="Times New Roman"/>
          <w:sz w:val="24"/>
          <w:szCs w:val="24"/>
        </w:rPr>
        <w:t xml:space="preserve">that will be </w:t>
      </w:r>
      <w:r w:rsidR="00B61F93">
        <w:rPr>
          <w:rFonts w:ascii="Times New Roman" w:hAnsi="Times New Roman" w:cs="Times New Roman"/>
          <w:sz w:val="24"/>
          <w:szCs w:val="24"/>
        </w:rPr>
        <w:t>administered to</w:t>
      </w:r>
      <w:r w:rsidR="00DE31AB">
        <w:rPr>
          <w:rFonts w:ascii="Times New Roman" w:hAnsi="Times New Roman" w:cs="Times New Roman"/>
          <w:sz w:val="24"/>
          <w:szCs w:val="24"/>
        </w:rPr>
        <w:t xml:space="preserve"> respondents living at sampled addresses. Small changes were also made to </w:t>
      </w:r>
      <w:r w:rsidR="00F31208">
        <w:rPr>
          <w:rFonts w:ascii="Times New Roman" w:hAnsi="Times New Roman" w:cs="Times New Roman"/>
          <w:sz w:val="24"/>
          <w:szCs w:val="24"/>
        </w:rPr>
        <w:t xml:space="preserve">SSA, SSB, and Appendix U. Incentive Experiments to </w:t>
      </w:r>
      <w:r w:rsidR="00BD377F">
        <w:rPr>
          <w:rFonts w:ascii="Times New Roman" w:hAnsi="Times New Roman" w:cs="Times New Roman"/>
          <w:sz w:val="24"/>
          <w:szCs w:val="24"/>
        </w:rPr>
        <w:t xml:space="preserve">remove a </w:t>
      </w:r>
      <w:r w:rsidR="00F31208">
        <w:rPr>
          <w:rFonts w:ascii="Times New Roman" w:hAnsi="Times New Roman" w:cs="Times New Roman"/>
          <w:sz w:val="24"/>
          <w:szCs w:val="24"/>
        </w:rPr>
        <w:t xml:space="preserve">previously proposed </w:t>
      </w:r>
      <w:r w:rsidR="00BD377F">
        <w:rPr>
          <w:rFonts w:ascii="Times New Roman" w:hAnsi="Times New Roman" w:cs="Times New Roman"/>
          <w:sz w:val="24"/>
          <w:szCs w:val="24"/>
        </w:rPr>
        <w:t xml:space="preserve">notification experiment and </w:t>
      </w:r>
      <w:r w:rsidR="00F31208">
        <w:rPr>
          <w:rFonts w:ascii="Times New Roman" w:hAnsi="Times New Roman" w:cs="Times New Roman"/>
          <w:sz w:val="24"/>
          <w:szCs w:val="24"/>
        </w:rPr>
        <w:t xml:space="preserve">revise </w:t>
      </w:r>
      <w:r w:rsidR="00DE31AB">
        <w:rPr>
          <w:rFonts w:ascii="Times New Roman" w:hAnsi="Times New Roman" w:cs="Times New Roman"/>
          <w:sz w:val="24"/>
          <w:szCs w:val="24"/>
        </w:rPr>
        <w:t>sampling procedures.</w:t>
      </w:r>
    </w:p>
    <w:p w:rsidR="00295313" w:rsidP="00680FF1" w14:paraId="03E5DB22" w14:textId="77777777">
      <w:pPr>
        <w:widowControl w:val="0"/>
        <w:autoSpaceDE w:val="0"/>
        <w:autoSpaceDN w:val="0"/>
        <w:adjustRightInd w:val="0"/>
        <w:ind w:right="-274"/>
        <w:rPr>
          <w:rFonts w:ascii="Times New Roman" w:hAnsi="Times New Roman" w:cs="Times New Roman"/>
          <w:sz w:val="24"/>
          <w:szCs w:val="24"/>
        </w:rPr>
      </w:pPr>
    </w:p>
    <w:p w:rsidR="0023662F" w:rsidP="00295313" w14:paraId="7AE24BC8" w14:textId="28DE4081">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The following is a summary of the changes made:</w:t>
      </w:r>
    </w:p>
    <w:p w:rsidR="00F35C2B" w:rsidP="00295313" w14:paraId="25EBDA52" w14:textId="77777777">
      <w:pPr>
        <w:widowControl w:val="0"/>
        <w:autoSpaceDE w:val="0"/>
        <w:autoSpaceDN w:val="0"/>
        <w:adjustRightInd w:val="0"/>
        <w:ind w:right="-274"/>
        <w:rPr>
          <w:rFonts w:ascii="Times New Roman" w:hAnsi="Times New Roman" w:cs="Times New Roman"/>
          <w:sz w:val="24"/>
          <w:szCs w:val="24"/>
        </w:rPr>
      </w:pPr>
    </w:p>
    <w:p w:rsidR="00F31208" w:rsidP="00B61F93" w14:paraId="5F414F71" w14:textId="4536253A">
      <w:pPr>
        <w:pStyle w:val="ListParagraph"/>
        <w:numPr>
          <w:ilvl w:val="0"/>
          <w:numId w:val="17"/>
        </w:numPr>
        <w:ind w:right="-274"/>
        <w:rPr>
          <w:rFonts w:ascii="Times New Roman" w:hAnsi="Times New Roman" w:eastAsiaTheme="minorEastAsia"/>
          <w:b/>
          <w:bCs/>
          <w:color w:val="000000"/>
          <w:szCs w:val="24"/>
          <w:lang w:eastAsia="ja-JP"/>
        </w:rPr>
      </w:pPr>
      <w:r>
        <w:rPr>
          <w:rFonts w:ascii="Times New Roman" w:hAnsi="Times New Roman" w:eastAsiaTheme="minorEastAsia"/>
          <w:b/>
          <w:bCs/>
          <w:color w:val="000000"/>
          <w:szCs w:val="24"/>
          <w:lang w:eastAsia="ja-JP"/>
        </w:rPr>
        <w:t>Final Selected Counties (SSA, SSB, and Survey)</w:t>
      </w:r>
    </w:p>
    <w:p w:rsidR="00F31208" w:rsidP="00F31208" w14:paraId="0D816BC8" w14:textId="3113F506">
      <w:pPr>
        <w:pStyle w:val="ListParagraph"/>
        <w:numPr>
          <w:ilvl w:val="1"/>
          <w:numId w:val="17"/>
        </w:numPr>
        <w:ind w:right="-274"/>
        <w:rPr>
          <w:rFonts w:ascii="Times New Roman" w:hAnsi="Times New Roman" w:eastAsiaTheme="minorEastAsia"/>
          <w:b/>
          <w:bCs/>
          <w:color w:val="000000"/>
          <w:szCs w:val="24"/>
          <w:lang w:eastAsia="ja-JP"/>
        </w:rPr>
      </w:pPr>
      <w:r>
        <w:rPr>
          <w:rFonts w:ascii="Times New Roman" w:hAnsi="Times New Roman" w:eastAsiaTheme="minorEastAsia"/>
          <w:color w:val="000000"/>
          <w:szCs w:val="24"/>
          <w:lang w:eastAsia="ja-JP"/>
        </w:rPr>
        <w:t xml:space="preserve">At the time of initial OMB submission, the six counties had not yet been recruited. We have updated the text to indicate that the final recruited counties </w:t>
      </w:r>
      <w:r>
        <w:rPr>
          <w:rFonts w:ascii="Times New Roman" w:hAnsi="Times New Roman" w:eastAsiaTheme="minorEastAsia"/>
          <w:color w:val="000000"/>
          <w:szCs w:val="24"/>
          <w:lang w:eastAsia="ja-JP"/>
        </w:rPr>
        <w:t>include:</w:t>
      </w:r>
      <w:r>
        <w:rPr>
          <w:rFonts w:ascii="Times New Roman" w:hAnsi="Times New Roman" w:eastAsiaTheme="minorEastAsia"/>
          <w:color w:val="000000"/>
          <w:szCs w:val="24"/>
          <w:lang w:eastAsia="ja-JP"/>
        </w:rPr>
        <w:t xml:space="preserve"> </w:t>
      </w:r>
      <w:r w:rsidRPr="00C05307" w:rsidR="00C05307">
        <w:rPr>
          <w:rFonts w:ascii="Times New Roman" w:hAnsi="Times New Roman" w:eastAsiaTheme="minorEastAsia"/>
          <w:color w:val="000000"/>
          <w:szCs w:val="24"/>
          <w:lang w:eastAsia="ja-JP"/>
        </w:rPr>
        <w:t xml:space="preserve">Dougherty County, GA; Estill County, KY; Bolivar County, MS; Ouachita Parish, LA; Dona Ana County, NM; </w:t>
      </w:r>
      <w:r w:rsidR="00C05307">
        <w:rPr>
          <w:rFonts w:ascii="Times New Roman" w:hAnsi="Times New Roman" w:eastAsiaTheme="minorEastAsia"/>
          <w:color w:val="000000"/>
          <w:szCs w:val="24"/>
          <w:lang w:eastAsia="ja-JP"/>
        </w:rPr>
        <w:t xml:space="preserve">and </w:t>
      </w:r>
      <w:r w:rsidRPr="00C05307" w:rsidR="00C05307">
        <w:rPr>
          <w:rFonts w:ascii="Times New Roman" w:hAnsi="Times New Roman" w:eastAsiaTheme="minorEastAsia"/>
          <w:color w:val="000000"/>
          <w:szCs w:val="24"/>
          <w:lang w:eastAsia="ja-JP"/>
        </w:rPr>
        <w:t>Dallas County, AL</w:t>
      </w:r>
      <w:r w:rsidR="00C05307">
        <w:rPr>
          <w:rFonts w:ascii="Times New Roman" w:hAnsi="Times New Roman" w:eastAsiaTheme="minorEastAsia"/>
          <w:color w:val="000000"/>
          <w:szCs w:val="24"/>
          <w:lang w:eastAsia="ja-JP"/>
        </w:rPr>
        <w:t>.</w:t>
      </w:r>
    </w:p>
    <w:p w:rsidR="00BD377F" w:rsidP="00B61F93" w14:paraId="15CC5AAA" w14:textId="1FF39900">
      <w:pPr>
        <w:pStyle w:val="ListParagraph"/>
        <w:numPr>
          <w:ilvl w:val="0"/>
          <w:numId w:val="17"/>
        </w:numPr>
        <w:ind w:right="-274"/>
        <w:rPr>
          <w:rFonts w:ascii="Times New Roman" w:hAnsi="Times New Roman" w:eastAsiaTheme="minorEastAsia"/>
          <w:b/>
          <w:bCs/>
          <w:color w:val="000000"/>
          <w:szCs w:val="24"/>
          <w:lang w:eastAsia="ja-JP"/>
        </w:rPr>
      </w:pPr>
      <w:r>
        <w:rPr>
          <w:rFonts w:ascii="Times New Roman" w:hAnsi="Times New Roman" w:eastAsiaTheme="minorEastAsia"/>
          <w:b/>
          <w:bCs/>
          <w:color w:val="000000"/>
          <w:szCs w:val="24"/>
          <w:lang w:eastAsia="ja-JP"/>
        </w:rPr>
        <w:t>Incentive Experiment (SSA and Appendix U)</w:t>
      </w:r>
    </w:p>
    <w:p w:rsidR="00BD377F" w:rsidRPr="0094605E" w:rsidP="0094605E" w14:paraId="71A72267" w14:textId="52A5CBDA">
      <w:pPr>
        <w:pStyle w:val="ListParagraph"/>
        <w:numPr>
          <w:ilvl w:val="1"/>
          <w:numId w:val="17"/>
        </w:numPr>
        <w:ind w:right="-274"/>
        <w:rPr>
          <w:rFonts w:ascii="Times New Roman" w:hAnsi="Times New Roman" w:eastAsiaTheme="minorEastAsia"/>
          <w:b/>
          <w:bCs/>
          <w:color w:val="000000"/>
          <w:szCs w:val="24"/>
          <w:lang w:eastAsia="ja-JP"/>
        </w:rPr>
      </w:pPr>
      <w:r w:rsidRPr="0094605E">
        <w:rPr>
          <w:rFonts w:ascii="Times New Roman" w:hAnsi="Times New Roman" w:eastAsiaTheme="minorEastAsia"/>
          <w:color w:val="000000"/>
          <w:szCs w:val="24"/>
          <w:lang w:eastAsia="ja-JP"/>
        </w:rPr>
        <w:t xml:space="preserve">The initial submission included an experiment with different presentations of the $5 pre-paid incentive in the advance letter mailing. </w:t>
      </w:r>
      <w:r w:rsidRPr="004D2D99" w:rsidR="0094605E">
        <w:rPr>
          <w:rFonts w:ascii="Times New Roman" w:hAnsi="Times New Roman" w:eastAsiaTheme="minorEastAsia"/>
          <w:color w:val="000000"/>
          <w:szCs w:val="24"/>
          <w:lang w:eastAsia="ja-JP"/>
        </w:rPr>
        <w:t>The experiment</w:t>
      </w:r>
      <w:r w:rsidR="0012078E">
        <w:rPr>
          <w:rFonts w:ascii="Times New Roman" w:hAnsi="Times New Roman" w:eastAsiaTheme="minorEastAsia"/>
          <w:color w:val="000000"/>
          <w:szCs w:val="24"/>
          <w:lang w:eastAsia="ja-JP"/>
        </w:rPr>
        <w:t>, which has not yet been fielded,</w:t>
      </w:r>
      <w:r w:rsidRPr="004D2D99" w:rsidR="0094605E">
        <w:rPr>
          <w:rFonts w:ascii="Times New Roman" w:hAnsi="Times New Roman" w:eastAsiaTheme="minorEastAsia"/>
          <w:color w:val="000000"/>
          <w:szCs w:val="24"/>
          <w:lang w:eastAsia="ja-JP"/>
        </w:rPr>
        <w:t xml:space="preserve"> </w:t>
      </w:r>
      <w:r w:rsidRPr="0094605E" w:rsidR="0094605E">
        <w:rPr>
          <w:rFonts w:ascii="Times New Roman" w:hAnsi="Times New Roman" w:eastAsiaTheme="minorEastAsia"/>
          <w:color w:val="000000"/>
          <w:szCs w:val="24"/>
          <w:lang w:eastAsia="ja-JP"/>
        </w:rPr>
        <w:t xml:space="preserve">proposed to provide the prepay incentive in three different ways: (1) prepaid cash visible with the $5 dollar value showing, (2) prepaid cash visible without the dollar value showing, and (3) prepaid cash not visible through the </w:t>
      </w:r>
      <w:r w:rsidRPr="0094605E" w:rsidR="0094605E">
        <w:rPr>
          <w:rFonts w:ascii="Times New Roman" w:hAnsi="Times New Roman" w:eastAsiaTheme="minorEastAsia"/>
          <w:color w:val="000000"/>
          <w:szCs w:val="24"/>
          <w:lang w:eastAsia="ja-JP"/>
        </w:rPr>
        <w:t xml:space="preserve">window. </w:t>
      </w:r>
      <w:r w:rsidRPr="0094605E" w:rsidR="00F31208">
        <w:rPr>
          <w:rFonts w:ascii="Times New Roman" w:hAnsi="Times New Roman" w:eastAsiaTheme="minorEastAsia"/>
          <w:color w:val="000000"/>
          <w:szCs w:val="24"/>
          <w:lang w:eastAsia="ja-JP"/>
        </w:rPr>
        <w:t>In the time since</w:t>
      </w:r>
      <w:r w:rsidRPr="0094605E">
        <w:rPr>
          <w:rFonts w:ascii="Times New Roman" w:hAnsi="Times New Roman" w:eastAsiaTheme="minorEastAsia"/>
          <w:color w:val="000000"/>
          <w:szCs w:val="24"/>
          <w:lang w:eastAsia="ja-JP"/>
        </w:rPr>
        <w:t xml:space="preserve"> </w:t>
      </w:r>
      <w:r w:rsidRPr="0094605E" w:rsidR="00CD2E6B">
        <w:rPr>
          <w:rFonts w:ascii="Times New Roman" w:hAnsi="Times New Roman" w:eastAsiaTheme="minorEastAsia"/>
          <w:color w:val="000000"/>
          <w:szCs w:val="24"/>
          <w:lang w:eastAsia="ja-JP"/>
        </w:rPr>
        <w:t xml:space="preserve">the OMB package was written and approved, the literature has </w:t>
      </w:r>
      <w:r w:rsidRPr="0094605E" w:rsidR="00D03589">
        <w:rPr>
          <w:rFonts w:ascii="Times New Roman" w:hAnsi="Times New Roman" w:eastAsiaTheme="minorEastAsia"/>
          <w:color w:val="000000"/>
          <w:szCs w:val="24"/>
          <w:lang w:eastAsia="ja-JP"/>
        </w:rPr>
        <w:t>more definitively</w:t>
      </w:r>
      <w:r w:rsidRPr="0094605E" w:rsidR="00CD2E6B">
        <w:rPr>
          <w:rFonts w:ascii="Times New Roman" w:hAnsi="Times New Roman" w:eastAsiaTheme="minorEastAsia"/>
          <w:color w:val="000000"/>
          <w:szCs w:val="24"/>
          <w:lang w:eastAsia="ja-JP"/>
        </w:rPr>
        <w:t xml:space="preserve"> shown that visible pre-pay incentives are more effective in soliciting survey response compared to not showing the incentive.</w:t>
      </w:r>
      <w:r>
        <w:rPr>
          <w:rStyle w:val="FootnoteReference"/>
          <w:rFonts w:ascii="Times New Roman" w:hAnsi="Times New Roman" w:eastAsiaTheme="minorEastAsia"/>
          <w:color w:val="000000"/>
          <w:szCs w:val="24"/>
          <w:lang w:eastAsia="ja-JP"/>
        </w:rPr>
        <w:footnoteReference w:id="2"/>
      </w:r>
      <w:r w:rsidRPr="0094605E" w:rsidR="00D03589">
        <w:rPr>
          <w:rFonts w:ascii="Times New Roman" w:hAnsi="Times New Roman" w:eastAsiaTheme="minorEastAsia"/>
          <w:color w:val="000000"/>
          <w:szCs w:val="24"/>
          <w:vertAlign w:val="superscript"/>
          <w:lang w:eastAsia="ja-JP"/>
        </w:rPr>
        <w:t>,</w:t>
      </w:r>
      <w:r>
        <w:rPr>
          <w:rStyle w:val="FootnoteReference"/>
          <w:rFonts w:ascii="Times New Roman" w:hAnsi="Times New Roman" w:eastAsiaTheme="minorEastAsia"/>
          <w:color w:val="000000"/>
          <w:szCs w:val="24"/>
          <w:lang w:eastAsia="ja-JP"/>
        </w:rPr>
        <w:footnoteReference w:id="3"/>
      </w:r>
      <w:r w:rsidRPr="0094605E" w:rsidR="00D03589">
        <w:rPr>
          <w:rFonts w:ascii="Times New Roman" w:hAnsi="Times New Roman" w:eastAsiaTheme="minorEastAsia"/>
          <w:color w:val="000000"/>
          <w:szCs w:val="24"/>
          <w:vertAlign w:val="superscript"/>
          <w:lang w:eastAsia="ja-JP"/>
        </w:rPr>
        <w:t>,</w:t>
      </w:r>
      <w:r>
        <w:rPr>
          <w:rStyle w:val="FootnoteReference"/>
          <w:rFonts w:ascii="Times New Roman" w:hAnsi="Times New Roman" w:eastAsiaTheme="minorEastAsia"/>
          <w:color w:val="000000"/>
          <w:szCs w:val="24"/>
          <w:lang w:eastAsia="ja-JP"/>
        </w:rPr>
        <w:footnoteReference w:id="4"/>
      </w:r>
      <w:r w:rsidRPr="0094605E" w:rsidR="00CD2E6B">
        <w:rPr>
          <w:rFonts w:ascii="Times New Roman" w:hAnsi="Times New Roman" w:eastAsiaTheme="minorEastAsia"/>
          <w:color w:val="000000"/>
          <w:szCs w:val="24"/>
          <w:lang w:eastAsia="ja-JP"/>
        </w:rPr>
        <w:t xml:space="preserve"> </w:t>
      </w:r>
      <w:r w:rsidRPr="0094605E" w:rsidR="0094605E">
        <w:rPr>
          <w:rFonts w:ascii="Times New Roman" w:hAnsi="Times New Roman" w:eastAsiaTheme="minorEastAsia"/>
          <w:color w:val="000000"/>
          <w:szCs w:val="24"/>
          <w:lang w:eastAsia="ja-JP"/>
        </w:rPr>
        <w:t xml:space="preserve">We do not feel that this experiment would add value to the literature at this point and that it is clear that we will achieve a higher response rate if the $5 prepay value </w:t>
      </w:r>
      <w:r w:rsidR="0012078E">
        <w:rPr>
          <w:rFonts w:ascii="Times New Roman" w:hAnsi="Times New Roman" w:eastAsiaTheme="minorEastAsia"/>
          <w:color w:val="000000"/>
          <w:szCs w:val="24"/>
          <w:lang w:eastAsia="ja-JP"/>
        </w:rPr>
        <w:t xml:space="preserve">is displayed </w:t>
      </w:r>
      <w:r w:rsidRPr="0094605E" w:rsidR="0094605E">
        <w:rPr>
          <w:rFonts w:ascii="Times New Roman" w:hAnsi="Times New Roman" w:eastAsiaTheme="minorEastAsia"/>
          <w:color w:val="000000"/>
          <w:szCs w:val="24"/>
          <w:lang w:eastAsia="ja-JP"/>
        </w:rPr>
        <w:t xml:space="preserve">through the envelope window. </w:t>
      </w:r>
      <w:r w:rsidRPr="00AB3F0D" w:rsidR="00AB3F0D">
        <w:rPr>
          <w:rFonts w:ascii="Times New Roman" w:hAnsi="Times New Roman" w:eastAsiaTheme="minorEastAsia"/>
          <w:color w:val="000000"/>
          <w:szCs w:val="24"/>
          <w:lang w:eastAsia="ja-JP"/>
        </w:rPr>
        <w:t>More specifically,</w:t>
      </w:r>
      <w:r w:rsidR="00AB3F0D">
        <w:rPr>
          <w:rFonts w:ascii="Times New Roman" w:hAnsi="Times New Roman" w:eastAsiaTheme="minorEastAsia"/>
          <w:color w:val="000000"/>
          <w:szCs w:val="24"/>
          <w:lang w:eastAsia="ja-JP"/>
        </w:rPr>
        <w:t xml:space="preserve"> a</w:t>
      </w:r>
      <w:r w:rsidRPr="00AB3F0D" w:rsidR="00AB3F0D">
        <w:rPr>
          <w:rFonts w:ascii="Times New Roman" w:hAnsi="Times New Roman" w:eastAsiaTheme="minorEastAsia"/>
          <w:color w:val="000000"/>
          <w:szCs w:val="24"/>
          <w:lang w:eastAsia="ja-JP"/>
        </w:rPr>
        <w:t xml:space="preserve"> 2023 study</w:t>
      </w:r>
      <w:r w:rsidR="00AB3F0D">
        <w:rPr>
          <w:rFonts w:ascii="Times New Roman" w:hAnsi="Times New Roman" w:eastAsiaTheme="minorEastAsia"/>
          <w:color w:val="000000"/>
          <w:szCs w:val="24"/>
          <w:lang w:eastAsia="ja-JP"/>
        </w:rPr>
        <w:t xml:space="preserve"> by Bilgen et al.</w:t>
      </w:r>
      <w:r w:rsidR="00AB3F0D">
        <w:rPr>
          <w:rFonts w:ascii="Times New Roman" w:hAnsi="Times New Roman" w:eastAsiaTheme="minorEastAsia"/>
          <w:color w:val="000000"/>
          <w:szCs w:val="24"/>
          <w:vertAlign w:val="superscript"/>
          <w:lang w:eastAsia="ja-JP"/>
        </w:rPr>
        <w:t>1</w:t>
      </w:r>
      <w:r w:rsidR="00AB3F0D">
        <w:rPr>
          <w:rFonts w:ascii="Times New Roman" w:hAnsi="Times New Roman" w:eastAsiaTheme="minorEastAsia"/>
          <w:color w:val="000000"/>
          <w:szCs w:val="24"/>
          <w:lang w:eastAsia="ja-JP"/>
        </w:rPr>
        <w:t xml:space="preserve"> </w:t>
      </w:r>
      <w:r w:rsidRPr="00AB3F0D" w:rsidR="00AB3F0D">
        <w:rPr>
          <w:rFonts w:ascii="Times New Roman" w:hAnsi="Times New Roman" w:eastAsiaTheme="minorEastAsia"/>
          <w:color w:val="000000"/>
          <w:szCs w:val="24"/>
          <w:lang w:eastAsia="ja-JP"/>
        </w:rPr>
        <w:t xml:space="preserve">tested showing the tender amount of the dollar bill compared to simply showing an image of the </w:t>
      </w:r>
      <w:r w:rsidRPr="00AB3F0D" w:rsidR="00AB3F0D">
        <w:rPr>
          <w:rFonts w:ascii="Times New Roman" w:hAnsi="Times New Roman" w:eastAsiaTheme="minorEastAsia"/>
          <w:color w:val="000000"/>
          <w:szCs w:val="24"/>
          <w:lang w:eastAsia="ja-JP"/>
        </w:rPr>
        <w:t>cash, and</w:t>
      </w:r>
      <w:r w:rsidRPr="00AB3F0D" w:rsidR="00AB3F0D">
        <w:rPr>
          <w:rFonts w:ascii="Times New Roman" w:hAnsi="Times New Roman" w:eastAsiaTheme="minorEastAsia"/>
          <w:color w:val="000000"/>
          <w:szCs w:val="24"/>
          <w:lang w:eastAsia="ja-JP"/>
        </w:rPr>
        <w:t xml:space="preserve"> found that showing the cash amount was more likely to improve recruitment rates. This is essentially the experiment we were going to conduct. </w:t>
      </w:r>
      <w:r w:rsidRPr="0094605E" w:rsidR="00CD2E6B">
        <w:rPr>
          <w:rFonts w:ascii="Times New Roman" w:hAnsi="Times New Roman" w:eastAsiaTheme="minorEastAsia"/>
          <w:color w:val="000000"/>
          <w:szCs w:val="24"/>
          <w:lang w:eastAsia="ja-JP"/>
        </w:rPr>
        <w:t xml:space="preserve">As such, we </w:t>
      </w:r>
      <w:r w:rsidR="0094605E">
        <w:rPr>
          <w:rFonts w:ascii="Times New Roman" w:hAnsi="Times New Roman" w:eastAsiaTheme="minorEastAsia"/>
          <w:color w:val="000000"/>
          <w:szCs w:val="24"/>
          <w:lang w:eastAsia="ja-JP"/>
        </w:rPr>
        <w:t>have revised the study protocols to</w:t>
      </w:r>
      <w:r w:rsidRPr="0094605E" w:rsidR="00F31208">
        <w:rPr>
          <w:rFonts w:ascii="Times New Roman" w:hAnsi="Times New Roman" w:eastAsiaTheme="minorEastAsia"/>
          <w:color w:val="000000"/>
          <w:szCs w:val="24"/>
          <w:lang w:eastAsia="ja-JP"/>
        </w:rPr>
        <w:t xml:space="preserve"> display the pre-pay incentive for all respondents and </w:t>
      </w:r>
      <w:r w:rsidRPr="0094605E" w:rsidR="00CD2E6B">
        <w:rPr>
          <w:rFonts w:ascii="Times New Roman" w:hAnsi="Times New Roman" w:eastAsiaTheme="minorEastAsia"/>
          <w:color w:val="000000"/>
          <w:szCs w:val="24"/>
          <w:lang w:eastAsia="ja-JP"/>
        </w:rPr>
        <w:t xml:space="preserve">have removed mention of this experiment from SSA and Appendix U: Incentive Experiments. </w:t>
      </w:r>
    </w:p>
    <w:p w:rsidR="00DE31AB" w:rsidP="00B61F93" w14:paraId="5EFCBE81" w14:textId="3047D46E">
      <w:pPr>
        <w:pStyle w:val="ListParagraph"/>
        <w:numPr>
          <w:ilvl w:val="0"/>
          <w:numId w:val="17"/>
        </w:numPr>
        <w:ind w:right="-274"/>
        <w:rPr>
          <w:rFonts w:ascii="Times New Roman" w:hAnsi="Times New Roman" w:eastAsiaTheme="minorEastAsia"/>
          <w:b/>
          <w:bCs/>
          <w:color w:val="000000"/>
          <w:szCs w:val="24"/>
          <w:lang w:eastAsia="ja-JP"/>
        </w:rPr>
      </w:pPr>
      <w:r>
        <w:rPr>
          <w:rFonts w:ascii="Times New Roman" w:hAnsi="Times New Roman" w:eastAsiaTheme="minorEastAsia"/>
          <w:b/>
          <w:bCs/>
          <w:color w:val="000000"/>
          <w:szCs w:val="24"/>
          <w:lang w:eastAsia="ja-JP"/>
        </w:rPr>
        <w:t>Sampling procedures</w:t>
      </w:r>
      <w:r w:rsidR="009B3B4A">
        <w:rPr>
          <w:rFonts w:ascii="Times New Roman" w:hAnsi="Times New Roman" w:eastAsiaTheme="minorEastAsia"/>
          <w:b/>
          <w:bCs/>
          <w:color w:val="000000"/>
          <w:szCs w:val="24"/>
          <w:lang w:eastAsia="ja-JP"/>
        </w:rPr>
        <w:t xml:space="preserve"> (SSB)</w:t>
      </w:r>
    </w:p>
    <w:p w:rsidR="00DE31AB" w:rsidRPr="00DE31AB" w:rsidP="00DE31AB" w14:paraId="63AC6F34" w14:textId="647EDE2C">
      <w:pPr>
        <w:pStyle w:val="ListParagraph"/>
        <w:numPr>
          <w:ilvl w:val="1"/>
          <w:numId w:val="17"/>
        </w:numPr>
        <w:ind w:right="-274"/>
        <w:rPr>
          <w:rFonts w:ascii="Times New Roman" w:hAnsi="Times New Roman" w:eastAsiaTheme="minorEastAsia"/>
          <w:b/>
          <w:bCs/>
          <w:color w:val="000000"/>
          <w:szCs w:val="24"/>
          <w:lang w:eastAsia="ja-JP"/>
        </w:rPr>
      </w:pPr>
      <w:r>
        <w:rPr>
          <w:rFonts w:ascii="Times New Roman" w:hAnsi="Times New Roman" w:eastAsiaTheme="minorEastAsia"/>
          <w:color w:val="000000"/>
          <w:szCs w:val="24"/>
          <w:lang w:eastAsia="ja-JP"/>
        </w:rPr>
        <w:t xml:space="preserve">We adjusted the sampling approach slightly to </w:t>
      </w:r>
      <w:r w:rsidR="00C93BA4">
        <w:rPr>
          <w:rFonts w:ascii="Times New Roman" w:hAnsi="Times New Roman" w:eastAsiaTheme="minorEastAsia"/>
          <w:color w:val="000000"/>
          <w:szCs w:val="24"/>
          <w:lang w:eastAsia="ja-JP"/>
        </w:rPr>
        <w:t xml:space="preserve">facilitate the identification of areas within each county with a higher probability of SNAP eligible non-participants while ensuring the sample is representative of the </w:t>
      </w:r>
      <w:r w:rsidR="00C93BA4">
        <w:rPr>
          <w:rFonts w:ascii="Times New Roman" w:hAnsi="Times New Roman" w:eastAsiaTheme="minorEastAsia"/>
          <w:color w:val="000000"/>
          <w:szCs w:val="24"/>
          <w:lang w:eastAsia="ja-JP"/>
        </w:rPr>
        <w:t>county as a whole</w:t>
      </w:r>
      <w:r w:rsidR="00C93BA4">
        <w:rPr>
          <w:rFonts w:ascii="Times New Roman" w:hAnsi="Times New Roman" w:eastAsiaTheme="minorEastAsia"/>
          <w:color w:val="000000"/>
          <w:szCs w:val="24"/>
          <w:lang w:eastAsia="ja-JP"/>
        </w:rPr>
        <w:t>. Our revised approach</w:t>
      </w:r>
      <w:r w:rsidR="00B0533F">
        <w:rPr>
          <w:rFonts w:ascii="Times New Roman" w:hAnsi="Times New Roman" w:eastAsiaTheme="minorEastAsia"/>
          <w:color w:val="000000"/>
          <w:szCs w:val="24"/>
          <w:lang w:eastAsia="ja-JP"/>
        </w:rPr>
        <w:t xml:space="preserve"> starts by pulling the full set of addresses in the county. We will then </w:t>
      </w:r>
      <w:r w:rsidR="003A1957">
        <w:rPr>
          <w:rFonts w:ascii="Times New Roman" w:hAnsi="Times New Roman" w:eastAsiaTheme="minorEastAsia"/>
          <w:color w:val="000000"/>
          <w:szCs w:val="24"/>
          <w:lang w:eastAsia="ja-JP"/>
        </w:rPr>
        <w:t xml:space="preserve">match the </w:t>
      </w:r>
      <w:r w:rsidR="001A74EB">
        <w:rPr>
          <w:rFonts w:ascii="Times New Roman" w:hAnsi="Times New Roman" w:eastAsiaTheme="minorEastAsia"/>
          <w:color w:val="000000"/>
          <w:szCs w:val="24"/>
          <w:lang w:eastAsia="ja-JP"/>
        </w:rPr>
        <w:t>S</w:t>
      </w:r>
      <w:r w:rsidR="003A1957">
        <w:rPr>
          <w:rFonts w:ascii="Times New Roman" w:hAnsi="Times New Roman" w:eastAsiaTheme="minorEastAsia"/>
          <w:color w:val="000000"/>
          <w:szCs w:val="24"/>
          <w:lang w:eastAsia="ja-JP"/>
        </w:rPr>
        <w:t xml:space="preserve">tate </w:t>
      </w:r>
      <w:r w:rsidR="00B0533F">
        <w:rPr>
          <w:rFonts w:ascii="Times New Roman" w:hAnsi="Times New Roman" w:eastAsiaTheme="minorEastAsia"/>
          <w:color w:val="000000"/>
          <w:szCs w:val="24"/>
          <w:lang w:eastAsia="ja-JP"/>
        </w:rPr>
        <w:t xml:space="preserve">administrative data </w:t>
      </w:r>
      <w:r w:rsidR="003A1957">
        <w:rPr>
          <w:rFonts w:ascii="Times New Roman" w:hAnsi="Times New Roman" w:eastAsiaTheme="minorEastAsia"/>
          <w:color w:val="000000"/>
          <w:szCs w:val="24"/>
          <w:lang w:eastAsia="ja-JP"/>
        </w:rPr>
        <w:t>to the list of all addresses in the county. We will use the density of SNAP p</w:t>
      </w:r>
      <w:r w:rsidR="001A74EB">
        <w:rPr>
          <w:rFonts w:ascii="Times New Roman" w:hAnsi="Times New Roman" w:eastAsiaTheme="minorEastAsia"/>
          <w:color w:val="000000"/>
          <w:szCs w:val="24"/>
          <w:lang w:eastAsia="ja-JP"/>
        </w:rPr>
        <w:t>a</w:t>
      </w:r>
      <w:r w:rsidR="003A1957">
        <w:rPr>
          <w:rFonts w:ascii="Times New Roman" w:hAnsi="Times New Roman" w:eastAsiaTheme="minorEastAsia"/>
          <w:color w:val="000000"/>
          <w:szCs w:val="24"/>
          <w:lang w:eastAsia="ja-JP"/>
        </w:rPr>
        <w:t xml:space="preserve">rticipants by census block to identify areas more likely to contain SNAP-eligible non-participants. </w:t>
      </w:r>
      <w:r w:rsidR="00B0533F">
        <w:rPr>
          <w:rFonts w:ascii="Times New Roman" w:hAnsi="Times New Roman" w:eastAsiaTheme="minorEastAsia"/>
          <w:color w:val="000000"/>
          <w:szCs w:val="24"/>
          <w:lang w:eastAsia="ja-JP"/>
        </w:rPr>
        <w:t xml:space="preserve">This is an improvement </w:t>
      </w:r>
      <w:r w:rsidR="00303576">
        <w:rPr>
          <w:rFonts w:ascii="Times New Roman" w:hAnsi="Times New Roman" w:eastAsiaTheme="minorEastAsia"/>
          <w:color w:val="000000"/>
          <w:szCs w:val="24"/>
          <w:lang w:eastAsia="ja-JP"/>
        </w:rPr>
        <w:t>from</w:t>
      </w:r>
      <w:r w:rsidR="00B0533F">
        <w:rPr>
          <w:rFonts w:ascii="Times New Roman" w:hAnsi="Times New Roman" w:eastAsiaTheme="minorEastAsia"/>
          <w:color w:val="000000"/>
          <w:szCs w:val="24"/>
          <w:lang w:eastAsia="ja-JP"/>
        </w:rPr>
        <w:t xml:space="preserve"> our previous approach, which </w:t>
      </w:r>
      <w:r w:rsidR="003A1957">
        <w:rPr>
          <w:rFonts w:ascii="Times New Roman" w:hAnsi="Times New Roman" w:eastAsiaTheme="minorEastAsia"/>
          <w:color w:val="000000"/>
          <w:szCs w:val="24"/>
          <w:lang w:eastAsia="ja-JP"/>
        </w:rPr>
        <w:t xml:space="preserve">used </w:t>
      </w:r>
      <w:r w:rsidR="00303576">
        <w:rPr>
          <w:rFonts w:ascii="Times New Roman" w:hAnsi="Times New Roman" w:eastAsiaTheme="minorEastAsia"/>
          <w:color w:val="000000"/>
          <w:szCs w:val="24"/>
          <w:lang w:eastAsia="ja-JP"/>
        </w:rPr>
        <w:t xml:space="preserve">ACS data </w:t>
      </w:r>
      <w:r w:rsidR="003A1957">
        <w:rPr>
          <w:rFonts w:ascii="Times New Roman" w:hAnsi="Times New Roman" w:eastAsiaTheme="minorEastAsia"/>
          <w:color w:val="000000"/>
          <w:szCs w:val="24"/>
          <w:lang w:eastAsia="ja-JP"/>
        </w:rPr>
        <w:t>to identify blocks more likely to contain eligible non-participants</w:t>
      </w:r>
      <w:r w:rsidR="00303576">
        <w:rPr>
          <w:rFonts w:ascii="Times New Roman" w:hAnsi="Times New Roman" w:eastAsiaTheme="minorEastAsia"/>
          <w:color w:val="000000"/>
          <w:szCs w:val="24"/>
          <w:lang w:eastAsia="ja-JP"/>
        </w:rPr>
        <w:t xml:space="preserve">. </w:t>
      </w:r>
      <w:r w:rsidR="003A1957">
        <w:rPr>
          <w:rFonts w:ascii="Times New Roman" w:hAnsi="Times New Roman" w:eastAsiaTheme="minorEastAsia"/>
          <w:color w:val="000000"/>
          <w:szCs w:val="24"/>
          <w:lang w:eastAsia="ja-JP"/>
        </w:rPr>
        <w:t xml:space="preserve">The ACS data contains estimates based on limited data as opposed to the </w:t>
      </w:r>
      <w:r w:rsidR="001A74EB">
        <w:rPr>
          <w:rFonts w:ascii="Times New Roman" w:hAnsi="Times New Roman" w:eastAsiaTheme="minorEastAsia"/>
          <w:color w:val="000000"/>
          <w:szCs w:val="24"/>
          <w:lang w:eastAsia="ja-JP"/>
        </w:rPr>
        <w:t>S</w:t>
      </w:r>
      <w:r w:rsidR="003A1957">
        <w:rPr>
          <w:rFonts w:ascii="Times New Roman" w:hAnsi="Times New Roman" w:eastAsiaTheme="minorEastAsia"/>
          <w:color w:val="000000"/>
          <w:szCs w:val="24"/>
          <w:lang w:eastAsia="ja-JP"/>
        </w:rPr>
        <w:t>tate admin</w:t>
      </w:r>
      <w:r w:rsidR="001A74EB">
        <w:rPr>
          <w:rFonts w:ascii="Times New Roman" w:hAnsi="Times New Roman" w:eastAsiaTheme="minorEastAsia"/>
          <w:color w:val="000000"/>
          <w:szCs w:val="24"/>
          <w:lang w:eastAsia="ja-JP"/>
        </w:rPr>
        <w:t>istrative</w:t>
      </w:r>
      <w:r w:rsidR="003A1957">
        <w:rPr>
          <w:rFonts w:ascii="Times New Roman" w:hAnsi="Times New Roman" w:eastAsiaTheme="minorEastAsia"/>
          <w:color w:val="000000"/>
          <w:szCs w:val="24"/>
          <w:lang w:eastAsia="ja-JP"/>
        </w:rPr>
        <w:t xml:space="preserve"> data which </w:t>
      </w:r>
      <w:r w:rsidR="008603F9">
        <w:rPr>
          <w:rFonts w:ascii="Times New Roman" w:hAnsi="Times New Roman" w:eastAsiaTheme="minorEastAsia"/>
          <w:color w:val="000000"/>
          <w:szCs w:val="24"/>
          <w:lang w:eastAsia="ja-JP"/>
        </w:rPr>
        <w:t>contains all current SNAP participants.</w:t>
      </w:r>
    </w:p>
    <w:p w:rsidR="00B61F93" w:rsidRPr="00B61F93" w:rsidP="00B61F93" w14:paraId="3B392544" w14:textId="665BD398">
      <w:pPr>
        <w:pStyle w:val="ListParagraph"/>
        <w:numPr>
          <w:ilvl w:val="0"/>
          <w:numId w:val="17"/>
        </w:numPr>
        <w:ind w:right="-274"/>
        <w:rPr>
          <w:rFonts w:ascii="Times New Roman" w:hAnsi="Times New Roman" w:eastAsiaTheme="minorEastAsia"/>
          <w:b/>
          <w:bCs/>
          <w:color w:val="000000"/>
          <w:szCs w:val="24"/>
          <w:lang w:eastAsia="ja-JP"/>
        </w:rPr>
      </w:pPr>
      <w:r w:rsidRPr="00B61F93">
        <w:rPr>
          <w:rFonts w:ascii="Times New Roman" w:hAnsi="Times New Roman" w:eastAsiaTheme="minorEastAsia"/>
          <w:b/>
          <w:bCs/>
          <w:szCs w:val="24"/>
        </w:rPr>
        <w:t>Survey</w:t>
      </w:r>
      <w:r w:rsidR="00AF10A6">
        <w:rPr>
          <w:rFonts w:ascii="Times New Roman" w:hAnsi="Times New Roman" w:eastAsiaTheme="minorEastAsia"/>
          <w:b/>
          <w:bCs/>
          <w:szCs w:val="24"/>
        </w:rPr>
        <w:t xml:space="preserve">. </w:t>
      </w:r>
      <w:r w:rsidR="00AF10A6">
        <w:rPr>
          <w:rFonts w:ascii="Times New Roman" w:hAnsi="Times New Roman" w:eastAsiaTheme="minorEastAsia"/>
          <w:szCs w:val="24"/>
        </w:rPr>
        <w:t xml:space="preserve">We made some small revisions, dropped several </w:t>
      </w:r>
      <w:r w:rsidR="00AF10A6">
        <w:rPr>
          <w:rFonts w:ascii="Times New Roman" w:hAnsi="Times New Roman" w:eastAsiaTheme="minorEastAsia"/>
          <w:szCs w:val="24"/>
        </w:rPr>
        <w:t>questions</w:t>
      </w:r>
      <w:r w:rsidR="00AF10A6">
        <w:rPr>
          <w:rFonts w:ascii="Times New Roman" w:hAnsi="Times New Roman" w:eastAsiaTheme="minorEastAsia"/>
          <w:szCs w:val="24"/>
        </w:rPr>
        <w:t xml:space="preserve"> and added some others. The questions that were dropped offset the burden of added questions, so burden estimates remain unchanged. </w:t>
      </w:r>
    </w:p>
    <w:p w:rsidR="00B61F93" w:rsidRPr="00B61F93" w:rsidP="00B61F93" w14:paraId="1A577E51" w14:textId="5C24CB12">
      <w:pPr>
        <w:pStyle w:val="ListParagraph"/>
        <w:numPr>
          <w:ilvl w:val="1"/>
          <w:numId w:val="17"/>
        </w:numPr>
        <w:ind w:right="-274"/>
        <w:rPr>
          <w:rFonts w:ascii="Times New Roman" w:hAnsi="Times New Roman" w:eastAsiaTheme="minorEastAsia"/>
          <w:szCs w:val="24"/>
        </w:rPr>
      </w:pPr>
      <w:r>
        <w:rPr>
          <w:rFonts w:ascii="Times New Roman" w:hAnsi="Times New Roman" w:eastAsiaTheme="minorEastAsia"/>
          <w:b/>
          <w:bCs/>
          <w:szCs w:val="24"/>
        </w:rPr>
        <w:t>Updated fills</w:t>
      </w:r>
      <w:r w:rsidR="00C93BA4">
        <w:rPr>
          <w:rFonts w:ascii="Times New Roman" w:hAnsi="Times New Roman" w:eastAsiaTheme="minorEastAsia"/>
          <w:b/>
          <w:bCs/>
          <w:szCs w:val="24"/>
        </w:rPr>
        <w:t xml:space="preserve"> and transition text</w:t>
      </w:r>
      <w:r w:rsidRPr="00B61F93">
        <w:rPr>
          <w:rFonts w:ascii="Times New Roman" w:hAnsi="Times New Roman" w:eastAsiaTheme="minorEastAsia"/>
          <w:szCs w:val="24"/>
        </w:rPr>
        <w:t xml:space="preserve">. We made small updates to the </w:t>
      </w:r>
      <w:r>
        <w:rPr>
          <w:rFonts w:ascii="Times New Roman" w:hAnsi="Times New Roman" w:eastAsiaTheme="minorEastAsia"/>
          <w:szCs w:val="24"/>
        </w:rPr>
        <w:t xml:space="preserve">programmatic fills throughout the instrument to 1) account for our </w:t>
      </w:r>
      <w:r w:rsidR="00F31208">
        <w:rPr>
          <w:rFonts w:ascii="Times New Roman" w:hAnsi="Times New Roman" w:eastAsiaTheme="minorEastAsia"/>
          <w:szCs w:val="24"/>
        </w:rPr>
        <w:t>final set of selected</w:t>
      </w:r>
      <w:r>
        <w:rPr>
          <w:rFonts w:ascii="Times New Roman" w:hAnsi="Times New Roman" w:eastAsiaTheme="minorEastAsia"/>
          <w:szCs w:val="24"/>
        </w:rPr>
        <w:t xml:space="preserve"> counties, or 2) facilitate respondent understanding and readability. </w:t>
      </w:r>
    </w:p>
    <w:p w:rsidR="00B61F93" w:rsidRPr="00B61F93" w:rsidP="00B61F93" w14:paraId="2995B062" w14:textId="17E9093C">
      <w:pPr>
        <w:pStyle w:val="ListParagraph"/>
        <w:numPr>
          <w:ilvl w:val="1"/>
          <w:numId w:val="17"/>
        </w:numPr>
        <w:ind w:right="-274"/>
        <w:rPr>
          <w:rFonts w:ascii="Times New Roman" w:hAnsi="Times New Roman" w:eastAsiaTheme="minorEastAsia"/>
          <w:szCs w:val="24"/>
        </w:rPr>
      </w:pPr>
      <w:r w:rsidRPr="00B61F93">
        <w:rPr>
          <w:rFonts w:ascii="Times New Roman" w:hAnsi="Times New Roman" w:eastAsiaTheme="minorEastAsia"/>
          <w:b/>
          <w:bCs/>
          <w:szCs w:val="24"/>
        </w:rPr>
        <w:t>Survey</w:t>
      </w:r>
      <w:r w:rsidR="00EC504E">
        <w:rPr>
          <w:rFonts w:ascii="Times New Roman" w:hAnsi="Times New Roman" w:eastAsiaTheme="minorEastAsia"/>
          <w:b/>
          <w:bCs/>
          <w:szCs w:val="24"/>
        </w:rPr>
        <w:t xml:space="preserve"> Screening Section</w:t>
      </w:r>
      <w:r w:rsidRPr="00B61F93">
        <w:rPr>
          <w:rFonts w:ascii="Times New Roman" w:hAnsi="Times New Roman" w:eastAsiaTheme="minorEastAsia"/>
          <w:b/>
          <w:bCs/>
          <w:szCs w:val="24"/>
        </w:rPr>
        <w:t xml:space="preserve"> </w:t>
      </w:r>
      <w:r w:rsidR="00EC504E">
        <w:rPr>
          <w:rFonts w:ascii="Times New Roman" w:hAnsi="Times New Roman" w:eastAsiaTheme="minorEastAsia"/>
          <w:b/>
          <w:bCs/>
          <w:szCs w:val="24"/>
        </w:rPr>
        <w:t>[S]</w:t>
      </w:r>
      <w:r w:rsidRPr="00B61F93">
        <w:rPr>
          <w:rFonts w:ascii="Times New Roman" w:hAnsi="Times New Roman" w:eastAsiaTheme="minorEastAsia"/>
          <w:szCs w:val="24"/>
        </w:rPr>
        <w:t xml:space="preserve">. </w:t>
      </w:r>
      <w:r w:rsidR="00EC504E">
        <w:rPr>
          <w:rFonts w:ascii="Times New Roman" w:hAnsi="Times New Roman" w:eastAsiaTheme="minorEastAsia"/>
          <w:szCs w:val="24"/>
        </w:rPr>
        <w:t xml:space="preserve">This section will </w:t>
      </w:r>
      <w:r w:rsidR="00C05307">
        <w:rPr>
          <w:rFonts w:ascii="Times New Roman" w:hAnsi="Times New Roman" w:eastAsiaTheme="minorEastAsia"/>
          <w:szCs w:val="24"/>
        </w:rPr>
        <w:t xml:space="preserve">allow the study team to </w:t>
      </w:r>
      <w:r w:rsidR="00EC504E">
        <w:rPr>
          <w:rFonts w:ascii="Times New Roman" w:hAnsi="Times New Roman" w:eastAsiaTheme="minorEastAsia"/>
          <w:szCs w:val="24"/>
        </w:rPr>
        <w:t>screen respondents out</w:t>
      </w:r>
      <w:r w:rsidR="000F1C93">
        <w:rPr>
          <w:rFonts w:ascii="Times New Roman" w:hAnsi="Times New Roman" w:eastAsiaTheme="minorEastAsia"/>
          <w:szCs w:val="24"/>
        </w:rPr>
        <w:t xml:space="preserve"> of the second and third sample releases </w:t>
      </w:r>
      <w:r w:rsidR="00EC504E">
        <w:rPr>
          <w:rFonts w:ascii="Times New Roman" w:hAnsi="Times New Roman" w:eastAsiaTheme="minorEastAsia"/>
          <w:szCs w:val="24"/>
        </w:rPr>
        <w:t>if</w:t>
      </w:r>
      <w:r w:rsidR="00C05307">
        <w:rPr>
          <w:rFonts w:ascii="Times New Roman" w:hAnsi="Times New Roman" w:eastAsiaTheme="minorEastAsia"/>
          <w:szCs w:val="24"/>
        </w:rPr>
        <w:t xml:space="preserve"> necessary</w:t>
      </w:r>
      <w:r w:rsidR="00EC504E">
        <w:rPr>
          <w:rFonts w:ascii="Times New Roman" w:hAnsi="Times New Roman" w:eastAsiaTheme="minorEastAsia"/>
          <w:szCs w:val="24"/>
        </w:rPr>
        <w:t xml:space="preserve"> </w:t>
      </w:r>
      <w:r w:rsidR="00C05307">
        <w:rPr>
          <w:rFonts w:ascii="Times New Roman" w:hAnsi="Times New Roman" w:eastAsiaTheme="minorEastAsia"/>
          <w:szCs w:val="24"/>
        </w:rPr>
        <w:t>(screening process described in SSB)</w:t>
      </w:r>
      <w:r w:rsidR="000F1C93">
        <w:rPr>
          <w:rFonts w:ascii="Times New Roman" w:hAnsi="Times New Roman" w:eastAsiaTheme="minorEastAsia"/>
          <w:szCs w:val="24"/>
        </w:rPr>
        <w:t xml:space="preserve">. Because three of the selected counties (Estill County, KY; Dallas County, AL; Dougherty County, GA) use different income thresholds based on household disability status, we have added two questions to collect this information. We use disability status to inform the income thresholds presented to the respondent </w:t>
      </w:r>
      <w:r w:rsidR="00945DB2">
        <w:rPr>
          <w:rFonts w:ascii="Times New Roman" w:hAnsi="Times New Roman" w:eastAsiaTheme="minorEastAsia"/>
          <w:szCs w:val="24"/>
        </w:rPr>
        <w:t xml:space="preserve">in these counties </w:t>
      </w:r>
      <w:r w:rsidR="000F1C93">
        <w:rPr>
          <w:rFonts w:ascii="Times New Roman" w:hAnsi="Times New Roman" w:eastAsiaTheme="minorEastAsia"/>
          <w:szCs w:val="24"/>
        </w:rPr>
        <w:t xml:space="preserve">at question S3. </w:t>
      </w:r>
    </w:p>
    <w:p w:rsidR="00DD3E91" w:rsidRPr="00DD3E91" w:rsidP="00B61F93" w14:paraId="6B78E1F1" w14:textId="00DC3590">
      <w:pPr>
        <w:pStyle w:val="ListParagraph"/>
        <w:numPr>
          <w:ilvl w:val="1"/>
          <w:numId w:val="17"/>
        </w:numPr>
        <w:ind w:right="-274"/>
        <w:rPr>
          <w:rFonts w:ascii="Times New Roman" w:hAnsi="Times New Roman" w:eastAsiaTheme="minorEastAsia"/>
          <w:szCs w:val="24"/>
        </w:rPr>
      </w:pPr>
      <w:r>
        <w:rPr>
          <w:rFonts w:ascii="Times New Roman" w:hAnsi="Times New Roman" w:eastAsiaTheme="minorEastAsia"/>
          <w:b/>
          <w:bCs/>
          <w:szCs w:val="24"/>
        </w:rPr>
        <w:t xml:space="preserve">Dropped questions: </w:t>
      </w:r>
      <w:r>
        <w:rPr>
          <w:rFonts w:ascii="Times New Roman" w:hAnsi="Times New Roman" w:eastAsiaTheme="minorEastAsia"/>
          <w:szCs w:val="24"/>
        </w:rPr>
        <w:t>We removed three questions in section RFE (RFE6a, RFE6d, and RFE6f) to reduce respondent burden.</w:t>
      </w:r>
      <w:r w:rsidR="00332110">
        <w:rPr>
          <w:rFonts w:ascii="Times New Roman" w:hAnsi="Times New Roman" w:eastAsiaTheme="minorEastAsia"/>
          <w:szCs w:val="24"/>
        </w:rPr>
        <w:t xml:space="preserve"> Questions RC9a, RC9d, and RC10, which collected information about race and ethnicity, were combined into one question to </w:t>
      </w:r>
      <w:r w:rsidR="00332110">
        <w:rPr>
          <w:rFonts w:ascii="Times New Roman" w:hAnsi="Times New Roman" w:eastAsiaTheme="minorEastAsia"/>
          <w:szCs w:val="24"/>
        </w:rPr>
        <w:t>align with the OMB revised race/ethnicity standards.</w:t>
      </w:r>
      <w:r>
        <w:rPr>
          <w:rStyle w:val="FootnoteReference"/>
          <w:rFonts w:ascii="Times New Roman" w:hAnsi="Times New Roman" w:eastAsiaTheme="minorEastAsia"/>
          <w:szCs w:val="24"/>
        </w:rPr>
        <w:footnoteReference w:id="5"/>
      </w:r>
      <w:r w:rsidR="00332110">
        <w:rPr>
          <w:rFonts w:ascii="Times New Roman" w:hAnsi="Times New Roman" w:eastAsiaTheme="minorEastAsia"/>
          <w:szCs w:val="24"/>
        </w:rPr>
        <w:t xml:space="preserve"> </w:t>
      </w:r>
    </w:p>
    <w:p w:rsidR="00B61F93" w:rsidP="00B61F93" w14:paraId="6E9C79F6" w14:textId="756CD6C9">
      <w:pPr>
        <w:pStyle w:val="ListParagraph"/>
        <w:numPr>
          <w:ilvl w:val="1"/>
          <w:numId w:val="17"/>
        </w:numPr>
        <w:ind w:right="-274"/>
        <w:rPr>
          <w:rFonts w:ascii="Times New Roman" w:hAnsi="Times New Roman" w:eastAsiaTheme="minorEastAsia"/>
          <w:szCs w:val="24"/>
        </w:rPr>
      </w:pPr>
      <w:r>
        <w:rPr>
          <w:rFonts w:ascii="Times New Roman" w:hAnsi="Times New Roman" w:eastAsiaTheme="minorEastAsia"/>
          <w:b/>
          <w:bCs/>
          <w:szCs w:val="24"/>
        </w:rPr>
        <w:t xml:space="preserve">Added questions: </w:t>
      </w:r>
      <w:r>
        <w:rPr>
          <w:rFonts w:ascii="Times New Roman" w:hAnsi="Times New Roman" w:eastAsiaTheme="minorEastAsia"/>
          <w:szCs w:val="24"/>
        </w:rPr>
        <w:t>We added the following questions to the survey</w:t>
      </w:r>
      <w:r w:rsidR="006173C2">
        <w:rPr>
          <w:rFonts w:ascii="Times New Roman" w:hAnsi="Times New Roman" w:eastAsiaTheme="minorEastAsia"/>
          <w:szCs w:val="24"/>
        </w:rPr>
        <w:t xml:space="preserve"> to collect important study data, or to facilitate logical skips that will reduce survey burden for some respondents:</w:t>
      </w:r>
    </w:p>
    <w:p w:rsidR="00B017C9" w:rsidP="00B017C9" w14:paraId="36B2AB8D" w14:textId="32E6F0F9">
      <w:pPr>
        <w:pStyle w:val="ListParagraph"/>
        <w:numPr>
          <w:ilvl w:val="2"/>
          <w:numId w:val="17"/>
        </w:numPr>
        <w:ind w:right="-274"/>
        <w:rPr>
          <w:rFonts w:ascii="Times New Roman" w:hAnsi="Times New Roman" w:eastAsiaTheme="minorEastAsia"/>
          <w:szCs w:val="24"/>
        </w:rPr>
      </w:pPr>
      <w:r w:rsidRPr="00B017C9">
        <w:rPr>
          <w:rFonts w:ascii="Times New Roman" w:hAnsi="Times New Roman" w:eastAsiaTheme="minorEastAsia"/>
          <w:b/>
          <w:bCs/>
          <w:szCs w:val="24"/>
        </w:rPr>
        <w:t>RC18 – RC19</w:t>
      </w:r>
      <w:r>
        <w:rPr>
          <w:rFonts w:ascii="Times New Roman" w:hAnsi="Times New Roman" w:eastAsiaTheme="minorEastAsia"/>
          <w:szCs w:val="24"/>
        </w:rPr>
        <w:t xml:space="preserve">: </w:t>
      </w:r>
      <w:r w:rsidR="006173C2">
        <w:rPr>
          <w:rFonts w:ascii="Times New Roman" w:hAnsi="Times New Roman" w:eastAsiaTheme="minorEastAsia"/>
          <w:szCs w:val="24"/>
        </w:rPr>
        <w:t>T</w:t>
      </w:r>
      <w:r>
        <w:rPr>
          <w:rFonts w:ascii="Times New Roman" w:hAnsi="Times New Roman" w:eastAsiaTheme="minorEastAsia"/>
          <w:szCs w:val="24"/>
        </w:rPr>
        <w:t xml:space="preserve">hese questions were added to collect additional information from respondents who are not currently working. They will only be asked if the respondent reports not working last week. </w:t>
      </w:r>
    </w:p>
    <w:p w:rsidR="00B017C9" w:rsidP="00B017C9" w14:paraId="5DFCD530" w14:textId="750A2789">
      <w:pPr>
        <w:pStyle w:val="ListParagraph"/>
        <w:numPr>
          <w:ilvl w:val="2"/>
          <w:numId w:val="17"/>
        </w:numPr>
        <w:ind w:right="-274"/>
        <w:rPr>
          <w:rFonts w:ascii="Times New Roman" w:hAnsi="Times New Roman" w:eastAsiaTheme="minorEastAsia"/>
          <w:szCs w:val="24"/>
        </w:rPr>
      </w:pPr>
      <w:r>
        <w:rPr>
          <w:rFonts w:ascii="Times New Roman" w:hAnsi="Times New Roman" w:eastAsiaTheme="minorEastAsia"/>
          <w:b/>
          <w:bCs/>
          <w:szCs w:val="24"/>
        </w:rPr>
        <w:t>FS2</w:t>
      </w:r>
      <w:r w:rsidRPr="00B017C9">
        <w:rPr>
          <w:rFonts w:ascii="Times New Roman" w:hAnsi="Times New Roman" w:eastAsiaTheme="minorEastAsia"/>
          <w:szCs w:val="24"/>
        </w:rPr>
        <w:t>:</w:t>
      </w:r>
      <w:r>
        <w:rPr>
          <w:rFonts w:ascii="Times New Roman" w:hAnsi="Times New Roman" w:eastAsiaTheme="minorEastAsia"/>
          <w:szCs w:val="24"/>
        </w:rPr>
        <w:t xml:space="preserve"> </w:t>
      </w:r>
      <w:r w:rsidR="006173C2">
        <w:rPr>
          <w:rFonts w:ascii="Times New Roman" w:hAnsi="Times New Roman" w:eastAsiaTheme="minorEastAsia"/>
          <w:szCs w:val="24"/>
        </w:rPr>
        <w:t>T</w:t>
      </w:r>
      <w:r>
        <w:rPr>
          <w:rFonts w:ascii="Times New Roman" w:hAnsi="Times New Roman" w:eastAsiaTheme="minorEastAsia"/>
          <w:szCs w:val="24"/>
        </w:rPr>
        <w:t xml:space="preserve">his question, that asks about household food security, was added to facilitate screening some households out of the food security module (FS4 – FS21). If </w:t>
      </w:r>
      <w:r w:rsidR="006173C2">
        <w:rPr>
          <w:rFonts w:ascii="Times New Roman" w:hAnsi="Times New Roman" w:eastAsiaTheme="minorEastAsia"/>
          <w:szCs w:val="24"/>
        </w:rPr>
        <w:t>responses to FS2 and FS3</w:t>
      </w:r>
      <w:r>
        <w:rPr>
          <w:rFonts w:ascii="Times New Roman" w:hAnsi="Times New Roman" w:eastAsiaTheme="minorEastAsia"/>
          <w:szCs w:val="24"/>
        </w:rPr>
        <w:t xml:space="preserve"> </w:t>
      </w:r>
      <w:r w:rsidRPr="006173C2" w:rsidR="006173C2">
        <w:rPr>
          <w:rFonts w:ascii="Times New Roman" w:hAnsi="Times New Roman" w:eastAsiaTheme="minorEastAsia"/>
          <w:szCs w:val="24"/>
        </w:rPr>
        <w:t xml:space="preserve">indicate </w:t>
      </w:r>
      <w:r w:rsidR="006173C2">
        <w:rPr>
          <w:rFonts w:ascii="Times New Roman" w:hAnsi="Times New Roman" w:eastAsiaTheme="minorEastAsia"/>
          <w:szCs w:val="24"/>
        </w:rPr>
        <w:t xml:space="preserve">a high degree of food security, </w:t>
      </w:r>
      <w:r w:rsidRPr="006173C2" w:rsidR="006173C2">
        <w:rPr>
          <w:rFonts w:ascii="Times New Roman" w:hAnsi="Times New Roman" w:eastAsiaTheme="minorEastAsia"/>
          <w:szCs w:val="24"/>
        </w:rPr>
        <w:t xml:space="preserve">and </w:t>
      </w:r>
      <w:r w:rsidR="006173C2">
        <w:rPr>
          <w:rFonts w:ascii="Times New Roman" w:hAnsi="Times New Roman" w:eastAsiaTheme="minorEastAsia"/>
          <w:szCs w:val="24"/>
        </w:rPr>
        <w:t xml:space="preserve">respondents </w:t>
      </w:r>
      <w:r w:rsidRPr="006173C2" w:rsidR="006173C2">
        <w:rPr>
          <w:rFonts w:ascii="Times New Roman" w:hAnsi="Times New Roman" w:eastAsiaTheme="minorEastAsia"/>
          <w:szCs w:val="24"/>
        </w:rPr>
        <w:t>are at or above 185% FPL,</w:t>
      </w:r>
      <w:r w:rsidR="006173C2">
        <w:rPr>
          <w:rFonts w:ascii="Times New Roman" w:hAnsi="Times New Roman" w:eastAsiaTheme="minorEastAsia"/>
          <w:szCs w:val="24"/>
        </w:rPr>
        <w:t xml:space="preserve"> they will now skip out of the food security module (FS4 – FS21). This mirrors the approach taken by the Current Population Survey (</w:t>
      </w:r>
      <w:r w:rsidRPr="006173C2" w:rsidR="006173C2">
        <w:rPr>
          <w:rFonts w:ascii="Times New Roman" w:hAnsi="Times New Roman" w:eastAsiaTheme="minorEastAsia"/>
          <w:szCs w:val="24"/>
        </w:rPr>
        <w:t>CPS</w:t>
      </w:r>
      <w:r w:rsidR="006173C2">
        <w:rPr>
          <w:rFonts w:ascii="Times New Roman" w:hAnsi="Times New Roman" w:eastAsiaTheme="minorEastAsia"/>
          <w:szCs w:val="24"/>
        </w:rPr>
        <w:t>)</w:t>
      </w:r>
      <w:r w:rsidRPr="006173C2" w:rsidR="006173C2">
        <w:rPr>
          <w:rFonts w:ascii="Times New Roman" w:hAnsi="Times New Roman" w:eastAsiaTheme="minorEastAsia"/>
          <w:szCs w:val="24"/>
        </w:rPr>
        <w:t>.</w:t>
      </w:r>
    </w:p>
    <w:p w:rsidR="00CD2E6B" w:rsidP="00B017C9" w14:paraId="161466FF" w14:textId="6A1D49CE">
      <w:pPr>
        <w:pStyle w:val="ListParagraph"/>
        <w:numPr>
          <w:ilvl w:val="2"/>
          <w:numId w:val="17"/>
        </w:numPr>
        <w:ind w:right="-274"/>
        <w:rPr>
          <w:rFonts w:ascii="Times New Roman" w:hAnsi="Times New Roman" w:eastAsiaTheme="minorEastAsia"/>
          <w:szCs w:val="24"/>
        </w:rPr>
      </w:pPr>
      <w:r>
        <w:rPr>
          <w:rFonts w:ascii="Times New Roman" w:hAnsi="Times New Roman" w:eastAsiaTheme="minorEastAsia"/>
          <w:b/>
          <w:bCs/>
          <w:szCs w:val="24"/>
        </w:rPr>
        <w:t>FS</w:t>
      </w:r>
      <w:r w:rsidR="00710B64">
        <w:rPr>
          <w:rFonts w:ascii="Times New Roman" w:hAnsi="Times New Roman" w:eastAsiaTheme="minorEastAsia"/>
          <w:b/>
          <w:bCs/>
          <w:szCs w:val="24"/>
        </w:rPr>
        <w:t>22</w:t>
      </w:r>
      <w:r w:rsidR="00AF3EA7">
        <w:rPr>
          <w:rFonts w:ascii="Times New Roman" w:hAnsi="Times New Roman" w:eastAsiaTheme="minorEastAsia"/>
          <w:b/>
          <w:bCs/>
          <w:szCs w:val="24"/>
        </w:rPr>
        <w:t xml:space="preserve"> and FS</w:t>
      </w:r>
      <w:r w:rsidR="00710B64">
        <w:rPr>
          <w:rFonts w:ascii="Times New Roman" w:hAnsi="Times New Roman" w:eastAsiaTheme="minorEastAsia"/>
          <w:b/>
          <w:bCs/>
          <w:szCs w:val="24"/>
        </w:rPr>
        <w:t>2</w:t>
      </w:r>
      <w:r w:rsidR="00AF3EA7">
        <w:rPr>
          <w:rFonts w:ascii="Times New Roman" w:hAnsi="Times New Roman" w:eastAsiaTheme="minorEastAsia"/>
          <w:b/>
          <w:bCs/>
          <w:szCs w:val="24"/>
        </w:rPr>
        <w:t>3</w:t>
      </w:r>
      <w:r w:rsidRPr="00CD2E6B">
        <w:rPr>
          <w:rFonts w:ascii="Times New Roman" w:hAnsi="Times New Roman" w:eastAsiaTheme="minorEastAsia"/>
          <w:szCs w:val="24"/>
        </w:rPr>
        <w:t>:</w:t>
      </w:r>
      <w:r>
        <w:rPr>
          <w:rFonts w:ascii="Times New Roman" w:hAnsi="Times New Roman" w:eastAsiaTheme="minorEastAsia"/>
          <w:szCs w:val="24"/>
        </w:rPr>
        <w:t xml:space="preserve"> </w:t>
      </w:r>
      <w:r w:rsidR="00AF3EA7">
        <w:rPr>
          <w:rFonts w:ascii="Times New Roman" w:hAnsi="Times New Roman" w:eastAsiaTheme="minorEastAsia"/>
          <w:szCs w:val="24"/>
        </w:rPr>
        <w:t>These questions were added to collect information about perceptions of social unacceptability as it relates to food security.</w:t>
      </w:r>
    </w:p>
    <w:p w:rsidR="006173C2" w:rsidRPr="00B61F93" w:rsidP="00B017C9" w14:paraId="22147B27" w14:textId="3CAC01A4">
      <w:pPr>
        <w:pStyle w:val="ListParagraph"/>
        <w:numPr>
          <w:ilvl w:val="2"/>
          <w:numId w:val="17"/>
        </w:numPr>
        <w:ind w:right="-274"/>
        <w:rPr>
          <w:rFonts w:ascii="Times New Roman" w:hAnsi="Times New Roman" w:eastAsiaTheme="minorEastAsia"/>
          <w:szCs w:val="24"/>
        </w:rPr>
      </w:pPr>
      <w:r>
        <w:rPr>
          <w:rFonts w:ascii="Times New Roman" w:hAnsi="Times New Roman" w:eastAsiaTheme="minorEastAsia"/>
          <w:b/>
          <w:bCs/>
          <w:szCs w:val="24"/>
        </w:rPr>
        <w:t>FAP5b</w:t>
      </w:r>
      <w:r w:rsidRPr="006173C2">
        <w:rPr>
          <w:rFonts w:ascii="Times New Roman" w:hAnsi="Times New Roman" w:eastAsiaTheme="minorEastAsia"/>
          <w:szCs w:val="24"/>
        </w:rPr>
        <w:t>:</w:t>
      </w:r>
      <w:r>
        <w:rPr>
          <w:rFonts w:ascii="Times New Roman" w:hAnsi="Times New Roman" w:eastAsiaTheme="minorEastAsia"/>
          <w:szCs w:val="24"/>
        </w:rPr>
        <w:t xml:space="preserve"> This question collects the amount of SNAP benefits last received, if the respondent reports receiving SNAP benefits.</w:t>
      </w:r>
    </w:p>
    <w:p w:rsidR="00B26B2A" w:rsidP="00295313" w14:paraId="3D269454" w14:textId="77777777">
      <w:pPr>
        <w:widowControl w:val="0"/>
        <w:autoSpaceDE w:val="0"/>
        <w:autoSpaceDN w:val="0"/>
        <w:adjustRightInd w:val="0"/>
        <w:ind w:right="-274"/>
        <w:rPr>
          <w:rFonts w:ascii="Times New Roman" w:hAnsi="Times New Roman" w:cs="Times New Roman"/>
          <w:sz w:val="24"/>
          <w:szCs w:val="24"/>
        </w:rPr>
      </w:pPr>
    </w:p>
    <w:p w:rsidR="00F35C2B" w:rsidP="00295313" w14:paraId="52E8C58D" w14:textId="77777777">
      <w:pPr>
        <w:widowControl w:val="0"/>
        <w:autoSpaceDE w:val="0"/>
        <w:autoSpaceDN w:val="0"/>
        <w:adjustRightInd w:val="0"/>
        <w:ind w:right="-274"/>
        <w:rPr>
          <w:rFonts w:ascii="Times New Roman" w:hAnsi="Times New Roman" w:cs="Times New Roman"/>
          <w:sz w:val="24"/>
          <w:szCs w:val="24"/>
        </w:rPr>
      </w:pPr>
    </w:p>
    <w:p w:rsidR="00E57338" w:rsidP="00295313" w14:paraId="5A6807BC" w14:textId="31B98900">
      <w:pPr>
        <w:widowControl w:val="0"/>
        <w:autoSpaceDE w:val="0"/>
        <w:autoSpaceDN w:val="0"/>
        <w:adjustRightInd w:val="0"/>
        <w:ind w:right="-274"/>
        <w:rPr>
          <w:rFonts w:ascii="Times New Roman" w:hAnsi="Times New Roman" w:cs="Times New Roman"/>
          <w:sz w:val="24"/>
          <w:szCs w:val="24"/>
        </w:rPr>
      </w:pPr>
      <w:bookmarkStart w:id="0" w:name="_Hlk161414316"/>
      <w:r>
        <w:rPr>
          <w:rFonts w:ascii="Times New Roman" w:hAnsi="Times New Roman" w:cs="Times New Roman"/>
          <w:sz w:val="24"/>
          <w:szCs w:val="24"/>
        </w:rPr>
        <w:t>The following is a</w:t>
      </w:r>
      <w:r w:rsidR="00F35C2B">
        <w:rPr>
          <w:rFonts w:ascii="Times New Roman" w:hAnsi="Times New Roman" w:cs="Times New Roman"/>
          <w:sz w:val="24"/>
          <w:szCs w:val="24"/>
        </w:rPr>
        <w:t xml:space="preserve"> detailed</w:t>
      </w:r>
      <w:r>
        <w:rPr>
          <w:rFonts w:ascii="Times New Roman" w:hAnsi="Times New Roman" w:cs="Times New Roman"/>
          <w:sz w:val="24"/>
          <w:szCs w:val="24"/>
        </w:rPr>
        <w:t xml:space="preserve"> description of the changes made</w:t>
      </w:r>
      <w:r w:rsidR="00637E07">
        <w:rPr>
          <w:rFonts w:ascii="Times New Roman" w:hAnsi="Times New Roman" w:cs="Times New Roman"/>
          <w:sz w:val="24"/>
          <w:szCs w:val="24"/>
        </w:rPr>
        <w:t xml:space="preserve"> to the survey instrument (Appendix S1)</w:t>
      </w:r>
      <w:r>
        <w:rPr>
          <w:rFonts w:ascii="Times New Roman" w:hAnsi="Times New Roman" w:cs="Times New Roman"/>
          <w:sz w:val="24"/>
          <w:szCs w:val="24"/>
        </w:rPr>
        <w:t>:</w:t>
      </w:r>
    </w:p>
    <w:p w:rsidR="00F35C2B" w:rsidP="00295313" w14:paraId="375FD847" w14:textId="77777777">
      <w:pPr>
        <w:widowControl w:val="0"/>
        <w:autoSpaceDE w:val="0"/>
        <w:autoSpaceDN w:val="0"/>
        <w:adjustRightInd w:val="0"/>
        <w:ind w:right="-274"/>
        <w:rPr>
          <w:rFonts w:ascii="Times New Roman" w:hAnsi="Times New Roman" w:cs="Times New Roman"/>
          <w:sz w:val="24"/>
          <w:szCs w:val="24"/>
        </w:rPr>
      </w:pPr>
    </w:p>
    <w:p w:rsidR="00637E07" w:rsidRPr="00637E07" w:rsidP="00637E07" w14:paraId="0D0FD703" w14:textId="77777777">
      <w:pPr>
        <w:keepNext/>
        <w:keepLines/>
        <w:spacing w:before="40" w:after="40"/>
        <w:rPr>
          <w:rFonts w:eastAsia="Garamond" w:cs="Times New Roman"/>
          <w:b/>
          <w:sz w:val="20"/>
          <w:lang w:eastAsia="en-US"/>
        </w:rPr>
      </w:pPr>
      <w:r w:rsidRPr="00637E07">
        <w:rPr>
          <w:rFonts w:eastAsia="Garamond" w:cs="Times New Roman"/>
          <w:b/>
          <w:sz w:val="20"/>
          <w:lang w:eastAsia="en-US"/>
        </w:rPr>
        <w:t>Table 1. Survey Instrument Updates</w:t>
      </w:r>
    </w:p>
    <w:tbl>
      <w:tblPr>
        <w:tblStyle w:val="BaseTable"/>
        <w:tblW w:w="0" w:type="auto"/>
        <w:tblLook w:val="04A0"/>
      </w:tblPr>
      <w:tblGrid>
        <w:gridCol w:w="1620"/>
        <w:gridCol w:w="3150"/>
        <w:gridCol w:w="4140"/>
      </w:tblGrid>
      <w:tr w14:paraId="6684EFDF" w14:textId="77777777" w:rsidTr="00E06409">
        <w:tblPrEx>
          <w:tblW w:w="0" w:type="auto"/>
          <w:tblLook w:val="04A0"/>
        </w:tblPrEx>
        <w:trPr>
          <w:trHeight w:val="210"/>
          <w:tblHeader/>
        </w:trPr>
        <w:tc>
          <w:tcPr>
            <w:tcW w:w="1620" w:type="dxa"/>
          </w:tcPr>
          <w:p w:rsidR="00637E07" w:rsidRPr="00637E07" w:rsidP="00637E07" w14:paraId="33B83D4C" w14:textId="77777777">
            <w:pPr>
              <w:keepNext/>
              <w:spacing w:after="20"/>
              <w:rPr>
                <w:rFonts w:eastAsia="Garamond" w:cs="Times New Roman"/>
                <w:color w:val="FFFFFF"/>
                <w:lang w:eastAsia="en-US"/>
              </w:rPr>
            </w:pPr>
            <w:r w:rsidRPr="00637E07">
              <w:rPr>
                <w:rFonts w:eastAsia="Garamond" w:cs="Times New Roman"/>
                <w:color w:val="FFFFFF"/>
                <w:lang w:eastAsia="en-US"/>
              </w:rPr>
              <w:t>Question</w:t>
            </w:r>
          </w:p>
        </w:tc>
        <w:tc>
          <w:tcPr>
            <w:tcW w:w="3150" w:type="dxa"/>
          </w:tcPr>
          <w:p w:rsidR="00637E07" w:rsidRPr="00637E07" w:rsidP="00637E07" w14:paraId="3E1450B8" w14:textId="77777777">
            <w:pPr>
              <w:keepNext/>
              <w:spacing w:after="20"/>
              <w:jc w:val="center"/>
              <w:rPr>
                <w:rFonts w:eastAsia="Garamond" w:cs="Times New Roman"/>
                <w:color w:val="FFFFFF"/>
                <w:lang w:eastAsia="en-US"/>
              </w:rPr>
            </w:pPr>
            <w:r w:rsidRPr="00637E07">
              <w:rPr>
                <w:rFonts w:eastAsia="Garamond" w:cs="Times New Roman"/>
                <w:color w:val="FFFFFF"/>
                <w:lang w:eastAsia="en-US"/>
              </w:rPr>
              <w:t>Update</w:t>
            </w:r>
          </w:p>
        </w:tc>
        <w:tc>
          <w:tcPr>
            <w:tcW w:w="4140" w:type="dxa"/>
          </w:tcPr>
          <w:p w:rsidR="00637E07" w:rsidRPr="00637E07" w:rsidP="00637E07" w14:paraId="2C6980F5" w14:textId="77777777">
            <w:pPr>
              <w:keepNext/>
              <w:spacing w:after="20"/>
              <w:jc w:val="center"/>
              <w:rPr>
                <w:rFonts w:eastAsia="Garamond" w:cs="Times New Roman"/>
                <w:color w:val="FFFFFF"/>
                <w:lang w:eastAsia="en-US"/>
              </w:rPr>
            </w:pPr>
            <w:r w:rsidRPr="00637E07">
              <w:rPr>
                <w:rFonts w:eastAsia="Garamond" w:cs="Times New Roman"/>
                <w:color w:val="FFFFFF"/>
                <w:lang w:eastAsia="en-US"/>
              </w:rPr>
              <w:t>Details/Rationale</w:t>
            </w:r>
          </w:p>
        </w:tc>
      </w:tr>
      <w:tr w14:paraId="51E03E93" w14:textId="77777777" w:rsidTr="00637E07">
        <w:tblPrEx>
          <w:tblW w:w="0" w:type="auto"/>
          <w:tblLook w:val="04A0"/>
        </w:tblPrEx>
        <w:trPr>
          <w:trHeight w:val="210"/>
        </w:trPr>
        <w:tc>
          <w:tcPr>
            <w:tcW w:w="8910" w:type="dxa"/>
            <w:gridSpan w:val="3"/>
            <w:shd w:val="clear" w:color="auto" w:fill="E0D4B5"/>
          </w:tcPr>
          <w:p w:rsidR="00637E07" w:rsidRPr="00637E07" w:rsidP="00637E07" w14:paraId="14F3390C" w14:textId="77777777">
            <w:pPr>
              <w:spacing w:after="20"/>
              <w:rPr>
                <w:rFonts w:eastAsia="Garamond" w:cs="Times New Roman"/>
                <w:b/>
                <w:bCs/>
                <w:lang w:eastAsia="en-US"/>
              </w:rPr>
            </w:pPr>
            <w:r w:rsidRPr="00637E07">
              <w:rPr>
                <w:rFonts w:eastAsia="Garamond" w:cs="Times New Roman"/>
                <w:b/>
                <w:bCs/>
                <w:color w:val="auto"/>
                <w:lang w:eastAsia="en-US"/>
              </w:rPr>
              <w:t>Overall updates</w:t>
            </w:r>
          </w:p>
        </w:tc>
      </w:tr>
      <w:tr w14:paraId="210EE961" w14:textId="77777777" w:rsidTr="00E06409">
        <w:tblPrEx>
          <w:tblW w:w="0" w:type="auto"/>
          <w:tblLook w:val="04A0"/>
        </w:tblPrEx>
        <w:trPr>
          <w:trHeight w:val="60"/>
        </w:trPr>
        <w:tc>
          <w:tcPr>
            <w:tcW w:w="1620" w:type="dxa"/>
          </w:tcPr>
          <w:p w:rsidR="00637E07" w:rsidRPr="00637E07" w:rsidP="00637E07" w14:paraId="22CD769B" w14:textId="77777777">
            <w:pPr>
              <w:spacing w:after="20"/>
              <w:rPr>
                <w:rFonts w:eastAsia="Garamond" w:cs="Times New Roman"/>
                <w:lang w:eastAsia="en-US"/>
              </w:rPr>
            </w:pPr>
            <w:r w:rsidRPr="00637E07">
              <w:rPr>
                <w:rFonts w:eastAsia="Garamond" w:cs="Times New Roman"/>
                <w:lang w:eastAsia="en-US"/>
              </w:rPr>
              <w:t>County fills</w:t>
            </w:r>
          </w:p>
        </w:tc>
        <w:tc>
          <w:tcPr>
            <w:tcW w:w="3150" w:type="dxa"/>
          </w:tcPr>
          <w:p w:rsidR="00637E07" w:rsidRPr="00637E07" w:rsidP="00637E07" w14:paraId="3F4BCCAF" w14:textId="77777777">
            <w:pPr>
              <w:spacing w:after="20"/>
              <w:rPr>
                <w:rFonts w:eastAsia="Garamond" w:cs="Times New Roman"/>
                <w:lang w:eastAsia="en-US"/>
              </w:rPr>
            </w:pPr>
            <w:r w:rsidRPr="00637E07">
              <w:rPr>
                <w:rFonts w:eastAsia="Garamond" w:cs="Times New Roman"/>
                <w:lang w:eastAsia="en-US"/>
              </w:rPr>
              <w:t>Revised to include the final set of selected counties</w:t>
            </w:r>
          </w:p>
        </w:tc>
        <w:tc>
          <w:tcPr>
            <w:tcW w:w="4140" w:type="dxa"/>
            <w:vMerge w:val="restart"/>
            <w:vAlign w:val="center"/>
          </w:tcPr>
          <w:p w:rsidR="00637E07" w:rsidRPr="00637E07" w:rsidP="00637E07" w14:paraId="59F82E23" w14:textId="77777777">
            <w:pPr>
              <w:numPr>
                <w:ilvl w:val="0"/>
                <w:numId w:val="20"/>
              </w:numPr>
              <w:spacing w:after="20"/>
              <w:ind w:left="391"/>
              <w:rPr>
                <w:rFonts w:eastAsia="Garamond" w:cs="Times New Roman"/>
                <w:lang w:eastAsia="en-US"/>
              </w:rPr>
            </w:pPr>
            <w:r w:rsidRPr="00637E07">
              <w:rPr>
                <w:rFonts w:eastAsia="Garamond" w:cs="Times New Roman"/>
                <w:lang w:eastAsia="en-US"/>
              </w:rPr>
              <w:t>Removed Cocke County, Maverick County, and Pitt County and added in Ouachita Parish, Dona Ana County, and Dallas County</w:t>
            </w:r>
          </w:p>
        </w:tc>
      </w:tr>
      <w:tr w14:paraId="403340BA" w14:textId="77777777" w:rsidTr="00E06409">
        <w:tblPrEx>
          <w:tblW w:w="0" w:type="auto"/>
          <w:tblLook w:val="04A0"/>
        </w:tblPrEx>
        <w:trPr>
          <w:trHeight w:val="210"/>
        </w:trPr>
        <w:tc>
          <w:tcPr>
            <w:tcW w:w="1620" w:type="dxa"/>
          </w:tcPr>
          <w:p w:rsidR="00637E07" w:rsidRPr="00637E07" w:rsidP="00637E07" w14:paraId="541C00F5" w14:textId="77777777">
            <w:pPr>
              <w:spacing w:after="20"/>
              <w:rPr>
                <w:rFonts w:eastAsia="Garamond" w:cs="Times New Roman"/>
                <w:lang w:eastAsia="en-US"/>
              </w:rPr>
            </w:pPr>
            <w:r w:rsidRPr="00637E07">
              <w:rPr>
                <w:rFonts w:eastAsia="Garamond" w:cs="Times New Roman"/>
                <w:lang w:eastAsia="en-US"/>
              </w:rPr>
              <w:t>TANF fills</w:t>
            </w:r>
          </w:p>
        </w:tc>
        <w:tc>
          <w:tcPr>
            <w:tcW w:w="3150" w:type="dxa"/>
          </w:tcPr>
          <w:p w:rsidR="00637E07" w:rsidRPr="00637E07" w:rsidP="00637E07" w14:paraId="515DA539" w14:textId="77777777">
            <w:pPr>
              <w:spacing w:after="20"/>
              <w:rPr>
                <w:rFonts w:eastAsia="Garamond" w:cs="Times New Roman"/>
                <w:lang w:eastAsia="en-US"/>
              </w:rPr>
            </w:pPr>
            <w:r w:rsidRPr="00637E07">
              <w:rPr>
                <w:rFonts w:eastAsia="Garamond" w:cs="Times New Roman"/>
                <w:lang w:eastAsia="en-US"/>
              </w:rPr>
              <w:t>Revised for final counties and readability</w:t>
            </w:r>
          </w:p>
        </w:tc>
        <w:tc>
          <w:tcPr>
            <w:tcW w:w="4140" w:type="dxa"/>
            <w:vMerge/>
          </w:tcPr>
          <w:p w:rsidR="00637E07" w:rsidRPr="00637E07" w:rsidP="00637E07" w14:paraId="10985CF8" w14:textId="77777777">
            <w:pPr>
              <w:numPr>
                <w:ilvl w:val="0"/>
                <w:numId w:val="20"/>
              </w:numPr>
              <w:spacing w:after="20"/>
              <w:ind w:left="391"/>
              <w:rPr>
                <w:rFonts w:eastAsia="Garamond" w:cs="Times New Roman"/>
                <w:lang w:eastAsia="en-US"/>
              </w:rPr>
            </w:pPr>
          </w:p>
        </w:tc>
      </w:tr>
      <w:tr w14:paraId="49E9D75A" w14:textId="77777777" w:rsidTr="00E06409">
        <w:tblPrEx>
          <w:tblW w:w="0" w:type="auto"/>
          <w:tblLook w:val="04A0"/>
        </w:tblPrEx>
        <w:trPr>
          <w:trHeight w:val="210"/>
        </w:trPr>
        <w:tc>
          <w:tcPr>
            <w:tcW w:w="1620" w:type="dxa"/>
          </w:tcPr>
          <w:p w:rsidR="00637E07" w:rsidRPr="00637E07" w:rsidP="00637E07" w14:paraId="094706FA" w14:textId="77777777">
            <w:pPr>
              <w:spacing w:after="20"/>
              <w:rPr>
                <w:rFonts w:eastAsia="Garamond" w:cs="Times New Roman"/>
                <w:lang w:eastAsia="en-US"/>
              </w:rPr>
            </w:pPr>
            <w:r w:rsidRPr="00637E07">
              <w:rPr>
                <w:rFonts w:eastAsia="Garamond" w:cs="Times New Roman"/>
                <w:lang w:eastAsia="en-US"/>
              </w:rPr>
              <w:t>SNAP fills</w:t>
            </w:r>
          </w:p>
        </w:tc>
        <w:tc>
          <w:tcPr>
            <w:tcW w:w="3150" w:type="dxa"/>
          </w:tcPr>
          <w:p w:rsidR="00637E07" w:rsidRPr="00637E07" w:rsidP="00637E07" w14:paraId="04E34B6A" w14:textId="77777777">
            <w:pPr>
              <w:spacing w:after="20"/>
              <w:rPr>
                <w:rFonts w:eastAsia="Garamond" w:cs="Times New Roman"/>
                <w:lang w:eastAsia="en-US"/>
              </w:rPr>
            </w:pPr>
            <w:r w:rsidRPr="00637E07">
              <w:rPr>
                <w:rFonts w:eastAsia="Garamond" w:cs="Times New Roman"/>
                <w:lang w:eastAsia="en-US"/>
              </w:rPr>
              <w:t>Revised for final counties and readability</w:t>
            </w:r>
          </w:p>
        </w:tc>
        <w:tc>
          <w:tcPr>
            <w:tcW w:w="4140" w:type="dxa"/>
            <w:vMerge/>
          </w:tcPr>
          <w:p w:rsidR="00637E07" w:rsidRPr="00637E07" w:rsidP="00637E07" w14:paraId="1ED0C387" w14:textId="77777777">
            <w:pPr>
              <w:numPr>
                <w:ilvl w:val="0"/>
                <w:numId w:val="20"/>
              </w:numPr>
              <w:spacing w:after="20"/>
              <w:ind w:left="391"/>
              <w:rPr>
                <w:rFonts w:eastAsia="Garamond" w:cs="Times New Roman"/>
                <w:lang w:eastAsia="en-US"/>
              </w:rPr>
            </w:pPr>
          </w:p>
        </w:tc>
      </w:tr>
      <w:tr w14:paraId="1B4F4D41" w14:textId="77777777" w:rsidTr="00E06409">
        <w:tblPrEx>
          <w:tblW w:w="0" w:type="auto"/>
          <w:tblLook w:val="04A0"/>
        </w:tblPrEx>
        <w:trPr>
          <w:trHeight w:val="210"/>
        </w:trPr>
        <w:tc>
          <w:tcPr>
            <w:tcW w:w="1620" w:type="dxa"/>
          </w:tcPr>
          <w:p w:rsidR="00637E07" w:rsidRPr="00637E07" w:rsidP="00637E07" w14:paraId="2AF77236" w14:textId="77777777">
            <w:pPr>
              <w:spacing w:after="20"/>
              <w:rPr>
                <w:rFonts w:eastAsia="Garamond" w:cs="Times New Roman"/>
                <w:lang w:eastAsia="en-US"/>
              </w:rPr>
            </w:pPr>
            <w:r w:rsidRPr="00637E07">
              <w:rPr>
                <w:rFonts w:eastAsia="Garamond" w:cs="Times New Roman"/>
                <w:lang w:eastAsia="en-US"/>
              </w:rPr>
              <w:t>Income thresholds</w:t>
            </w:r>
          </w:p>
        </w:tc>
        <w:tc>
          <w:tcPr>
            <w:tcW w:w="3150" w:type="dxa"/>
          </w:tcPr>
          <w:p w:rsidR="00637E07" w:rsidRPr="00637E07" w:rsidP="00637E07" w14:paraId="71E54546" w14:textId="77777777">
            <w:pPr>
              <w:spacing w:after="20"/>
              <w:rPr>
                <w:rFonts w:eastAsia="Garamond" w:cs="Times New Roman"/>
                <w:lang w:eastAsia="en-US"/>
              </w:rPr>
            </w:pPr>
            <w:r w:rsidRPr="00637E07">
              <w:rPr>
                <w:rFonts w:eastAsia="Garamond" w:cs="Times New Roman"/>
                <w:lang w:eastAsia="en-US"/>
              </w:rPr>
              <w:t>Revised using 2024 thresholds</w:t>
            </w:r>
          </w:p>
        </w:tc>
        <w:tc>
          <w:tcPr>
            <w:tcW w:w="4140" w:type="dxa"/>
          </w:tcPr>
          <w:p w:rsidR="00637E07" w:rsidRPr="00637E07" w:rsidP="00637E07" w14:paraId="039F8F76" w14:textId="77777777">
            <w:pPr>
              <w:numPr>
                <w:ilvl w:val="0"/>
                <w:numId w:val="20"/>
              </w:numPr>
              <w:spacing w:after="20"/>
              <w:ind w:left="391"/>
              <w:rPr>
                <w:rFonts w:eastAsia="Garamond" w:cs="Times New Roman"/>
                <w:lang w:eastAsia="en-US"/>
              </w:rPr>
            </w:pPr>
            <w:r w:rsidRPr="00637E07">
              <w:rPr>
                <w:rFonts w:eastAsia="Garamond" w:cs="Times New Roman"/>
                <w:lang w:eastAsia="en-US"/>
              </w:rPr>
              <w:t>Updated household income thresholds based on the HHS Poverty Guidelines for 2024</w:t>
            </w:r>
          </w:p>
        </w:tc>
      </w:tr>
      <w:tr w14:paraId="3813DAC7"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4C53709B" w14:textId="77777777">
            <w:pPr>
              <w:spacing w:after="20"/>
              <w:rPr>
                <w:rFonts w:eastAsia="Garamond" w:cs="Times New Roman"/>
                <w:b/>
                <w:bCs/>
                <w:lang w:eastAsia="en-US"/>
              </w:rPr>
            </w:pPr>
            <w:r w:rsidRPr="00637E07">
              <w:rPr>
                <w:rFonts w:eastAsia="Garamond" w:cs="Times New Roman"/>
                <w:b/>
                <w:bCs/>
                <w:color w:val="auto"/>
                <w:lang w:eastAsia="en-US"/>
              </w:rPr>
              <w:t>Introduction Section [I]</w:t>
            </w:r>
          </w:p>
        </w:tc>
      </w:tr>
      <w:tr w14:paraId="55E3AD07" w14:textId="77777777" w:rsidTr="00E06409">
        <w:tblPrEx>
          <w:tblW w:w="0" w:type="auto"/>
          <w:tblLook w:val="04A0"/>
        </w:tblPrEx>
        <w:trPr>
          <w:trHeight w:val="210"/>
        </w:trPr>
        <w:tc>
          <w:tcPr>
            <w:tcW w:w="1620" w:type="dxa"/>
          </w:tcPr>
          <w:p w:rsidR="00637E07" w:rsidRPr="00637E07" w:rsidP="00637E07" w14:paraId="6CBCD06B" w14:textId="77777777">
            <w:pPr>
              <w:spacing w:after="20"/>
              <w:rPr>
                <w:rFonts w:eastAsia="Garamond" w:cs="Times New Roman"/>
                <w:lang w:eastAsia="en-US"/>
              </w:rPr>
            </w:pPr>
            <w:r w:rsidRPr="00637E07">
              <w:rPr>
                <w:rFonts w:eastAsia="Garamond" w:cs="Times New Roman"/>
                <w:lang w:eastAsia="en-US"/>
              </w:rPr>
              <w:t>Section I</w:t>
            </w:r>
          </w:p>
        </w:tc>
        <w:tc>
          <w:tcPr>
            <w:tcW w:w="3150" w:type="dxa"/>
          </w:tcPr>
          <w:p w:rsidR="00637E07" w:rsidRPr="00637E07" w:rsidP="00637E07" w14:paraId="229487B1" w14:textId="77777777">
            <w:pPr>
              <w:spacing w:after="20"/>
              <w:rPr>
                <w:rFonts w:eastAsia="Garamond" w:cs="Times New Roman"/>
                <w:lang w:eastAsia="en-US"/>
              </w:rPr>
            </w:pPr>
            <w:r w:rsidRPr="00637E07">
              <w:rPr>
                <w:rFonts w:eastAsia="Garamond" w:cs="Times New Roman"/>
                <w:lang w:eastAsia="en-US"/>
              </w:rPr>
              <w:t>Revised “your household” with the sampled address</w:t>
            </w:r>
          </w:p>
        </w:tc>
        <w:tc>
          <w:tcPr>
            <w:tcW w:w="4140" w:type="dxa"/>
          </w:tcPr>
          <w:p w:rsidR="00637E07" w:rsidRPr="00637E07" w:rsidP="00637E07" w14:paraId="37265DA7"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for respondent clarity</w:t>
            </w:r>
          </w:p>
        </w:tc>
      </w:tr>
      <w:tr w14:paraId="1AA50ECF"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1A71CBD3" w14:textId="77777777">
            <w:pPr>
              <w:spacing w:after="20"/>
              <w:rPr>
                <w:rFonts w:eastAsia="Garamond" w:cs="Times New Roman"/>
                <w:b/>
                <w:bCs/>
                <w:lang w:eastAsia="en-US"/>
              </w:rPr>
            </w:pPr>
            <w:r w:rsidRPr="00637E07">
              <w:rPr>
                <w:rFonts w:eastAsia="Garamond" w:cs="Times New Roman"/>
                <w:b/>
                <w:bCs/>
                <w:color w:val="auto"/>
                <w:lang w:eastAsia="en-US"/>
              </w:rPr>
              <w:t>Screener Section [S]</w:t>
            </w:r>
          </w:p>
        </w:tc>
      </w:tr>
      <w:tr w14:paraId="4A217D33" w14:textId="77777777" w:rsidTr="00E06409">
        <w:tblPrEx>
          <w:tblW w:w="0" w:type="auto"/>
          <w:tblLook w:val="04A0"/>
        </w:tblPrEx>
        <w:trPr>
          <w:trHeight w:val="210"/>
        </w:trPr>
        <w:tc>
          <w:tcPr>
            <w:tcW w:w="1620" w:type="dxa"/>
          </w:tcPr>
          <w:p w:rsidR="00637E07" w:rsidRPr="00637E07" w:rsidP="00637E07" w14:paraId="4935D4AB" w14:textId="77777777">
            <w:pPr>
              <w:spacing w:after="20"/>
              <w:rPr>
                <w:rFonts w:eastAsia="Garamond" w:cs="Times New Roman"/>
                <w:lang w:eastAsia="en-US"/>
              </w:rPr>
            </w:pPr>
            <w:r w:rsidRPr="00637E07">
              <w:rPr>
                <w:rFonts w:eastAsia="Garamond" w:cs="Times New Roman"/>
                <w:lang w:eastAsia="en-US"/>
              </w:rPr>
              <w:t>S2a and S2b</w:t>
            </w:r>
          </w:p>
        </w:tc>
        <w:tc>
          <w:tcPr>
            <w:tcW w:w="3150" w:type="dxa"/>
          </w:tcPr>
          <w:p w:rsidR="00637E07" w:rsidRPr="00637E07" w:rsidP="00637E07" w14:paraId="312C8A2D" w14:textId="77777777">
            <w:pPr>
              <w:spacing w:after="20"/>
              <w:rPr>
                <w:rFonts w:eastAsia="Garamond" w:cs="Times New Roman"/>
                <w:lang w:eastAsia="en-US"/>
              </w:rPr>
            </w:pPr>
            <w:r w:rsidRPr="00637E07">
              <w:rPr>
                <w:rFonts w:eastAsia="Garamond" w:cs="Times New Roman"/>
                <w:lang w:eastAsia="en-US"/>
              </w:rPr>
              <w:t>Added questions to determine if anyone in the household has a disability, to facilitate the screen out process</w:t>
            </w:r>
          </w:p>
        </w:tc>
        <w:tc>
          <w:tcPr>
            <w:tcW w:w="4140" w:type="dxa"/>
          </w:tcPr>
          <w:p w:rsidR="00637E07" w:rsidRPr="00637E07" w:rsidP="00637E07" w14:paraId="14BDA2F6" w14:textId="28DA3E14">
            <w:pPr>
              <w:numPr>
                <w:ilvl w:val="0"/>
                <w:numId w:val="20"/>
              </w:numPr>
              <w:spacing w:after="20"/>
              <w:ind w:left="391"/>
              <w:rPr>
                <w:rFonts w:eastAsia="Garamond" w:cs="Times New Roman"/>
                <w:lang w:eastAsia="en-US"/>
              </w:rPr>
            </w:pPr>
            <w:r>
              <w:rPr>
                <w:rFonts w:eastAsia="Garamond" w:cs="Times New Roman"/>
                <w:lang w:eastAsia="en-US"/>
              </w:rPr>
              <w:t>We a</w:t>
            </w:r>
            <w:r w:rsidRPr="00637E07">
              <w:rPr>
                <w:rFonts w:eastAsia="Garamond" w:cs="Times New Roman"/>
                <w:lang w:eastAsia="en-US"/>
              </w:rPr>
              <w:t xml:space="preserve">dded questions to </w:t>
            </w:r>
            <w:r>
              <w:rPr>
                <w:rFonts w:eastAsia="Garamond" w:cs="Times New Roman"/>
                <w:lang w:eastAsia="en-US"/>
              </w:rPr>
              <w:t xml:space="preserve">collect household </w:t>
            </w:r>
            <w:r w:rsidRPr="00637E07">
              <w:rPr>
                <w:rFonts w:eastAsia="Garamond" w:cs="Times New Roman"/>
                <w:lang w:eastAsia="en-US"/>
              </w:rPr>
              <w:t xml:space="preserve">disability status in States where that impacts income </w:t>
            </w:r>
            <w:r>
              <w:rPr>
                <w:rFonts w:eastAsia="Garamond" w:cs="Times New Roman"/>
                <w:lang w:eastAsia="en-US"/>
              </w:rPr>
              <w:t xml:space="preserve">thresholds for SNAP </w:t>
            </w:r>
            <w:r w:rsidRPr="00637E07">
              <w:rPr>
                <w:rFonts w:eastAsia="Garamond" w:cs="Times New Roman"/>
                <w:lang w:eastAsia="en-US"/>
              </w:rPr>
              <w:t xml:space="preserve">eligibility </w:t>
            </w:r>
            <w:r w:rsidRPr="00390C17">
              <w:rPr>
                <w:rFonts w:eastAsia="Garamond" w:cs="Times New Roman"/>
                <w:lang w:eastAsia="en-US"/>
              </w:rPr>
              <w:t>(Kentucky, Alabama, and Georgia)</w:t>
            </w:r>
          </w:p>
        </w:tc>
      </w:tr>
      <w:tr w14:paraId="4CE2FF59" w14:textId="77777777" w:rsidTr="00E06409">
        <w:tblPrEx>
          <w:tblW w:w="0" w:type="auto"/>
          <w:tblLook w:val="04A0"/>
        </w:tblPrEx>
        <w:trPr>
          <w:trHeight w:val="210"/>
        </w:trPr>
        <w:tc>
          <w:tcPr>
            <w:tcW w:w="1620" w:type="dxa"/>
          </w:tcPr>
          <w:p w:rsidR="00637E07" w:rsidRPr="00637E07" w:rsidP="00637E07" w14:paraId="01CCF276" w14:textId="77777777">
            <w:pPr>
              <w:spacing w:after="20"/>
              <w:rPr>
                <w:rFonts w:eastAsia="Garamond" w:cs="Times New Roman"/>
                <w:lang w:eastAsia="en-US"/>
              </w:rPr>
            </w:pPr>
            <w:r w:rsidRPr="00637E07">
              <w:rPr>
                <w:rFonts w:eastAsia="Garamond" w:cs="Times New Roman"/>
                <w:lang w:eastAsia="en-US"/>
              </w:rPr>
              <w:t>S3</w:t>
            </w:r>
          </w:p>
        </w:tc>
        <w:tc>
          <w:tcPr>
            <w:tcW w:w="3150" w:type="dxa"/>
          </w:tcPr>
          <w:p w:rsidR="00637E07" w:rsidRPr="00637E07" w:rsidP="00637E07" w14:paraId="2E7E3FAE" w14:textId="77777777">
            <w:pPr>
              <w:spacing w:after="20"/>
              <w:rPr>
                <w:rFonts w:eastAsia="Garamond" w:cs="Times New Roman"/>
                <w:lang w:eastAsia="en-US"/>
              </w:rPr>
            </w:pPr>
            <w:r w:rsidRPr="00637E07">
              <w:rPr>
                <w:rFonts w:eastAsia="Garamond" w:cs="Times New Roman"/>
                <w:lang w:eastAsia="en-US"/>
              </w:rPr>
              <w:t>Revised response options</w:t>
            </w:r>
          </w:p>
        </w:tc>
        <w:tc>
          <w:tcPr>
            <w:tcW w:w="4140" w:type="dxa"/>
          </w:tcPr>
          <w:p w:rsidR="00637E07" w:rsidRPr="00637E07" w:rsidP="00637E07" w14:paraId="3C5DD380" w14:textId="77777777">
            <w:pPr>
              <w:numPr>
                <w:ilvl w:val="0"/>
                <w:numId w:val="20"/>
              </w:numPr>
              <w:spacing w:after="20"/>
              <w:ind w:left="391"/>
              <w:rPr>
                <w:rFonts w:eastAsia="Garamond" w:cs="Times New Roman"/>
                <w:lang w:eastAsia="en-US"/>
              </w:rPr>
            </w:pPr>
            <w:r w:rsidRPr="00637E07">
              <w:rPr>
                <w:rFonts w:eastAsia="Garamond" w:cs="Times New Roman"/>
                <w:lang w:eastAsia="en-US"/>
              </w:rPr>
              <w:t>Updated the question to have two response options, not three.</w:t>
            </w:r>
          </w:p>
          <w:p w:rsidR="00637E07" w:rsidRPr="00637E07" w:rsidP="00637E07" w14:paraId="7687A572" w14:textId="77777777">
            <w:pPr>
              <w:numPr>
                <w:ilvl w:val="0"/>
                <w:numId w:val="20"/>
              </w:numPr>
              <w:spacing w:after="20"/>
              <w:ind w:left="391"/>
              <w:rPr>
                <w:rFonts w:eastAsia="Garamond" w:cs="Times New Roman"/>
                <w:lang w:eastAsia="en-US"/>
              </w:rPr>
            </w:pPr>
            <w:r w:rsidRPr="00637E07">
              <w:rPr>
                <w:rFonts w:eastAsia="Garamond" w:cs="Times New Roman"/>
                <w:lang w:eastAsia="en-US"/>
              </w:rPr>
              <w:t>Updated the thresholds that fill (see programmer box S3 thresholds) to account for different SNAP eligibility criteria by state</w:t>
            </w:r>
          </w:p>
        </w:tc>
      </w:tr>
      <w:tr w14:paraId="0D310547"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3B6AD9C4" w14:textId="77777777">
            <w:pPr>
              <w:spacing w:after="20"/>
              <w:rPr>
                <w:rFonts w:eastAsia="Garamond" w:cs="Times New Roman"/>
                <w:b/>
                <w:bCs/>
                <w:lang w:eastAsia="en-US"/>
              </w:rPr>
            </w:pPr>
            <w:r w:rsidRPr="00637E07">
              <w:rPr>
                <w:rFonts w:eastAsia="Garamond" w:cs="Times New Roman"/>
                <w:b/>
                <w:bCs/>
                <w:color w:val="auto"/>
                <w:lang w:eastAsia="en-US"/>
              </w:rPr>
              <w:t>Respondent and Household Characteristics [RC and HHC]</w:t>
            </w:r>
          </w:p>
        </w:tc>
      </w:tr>
      <w:tr w14:paraId="6964C481" w14:textId="77777777" w:rsidTr="00E06409">
        <w:tblPrEx>
          <w:tblW w:w="0" w:type="auto"/>
          <w:tblLook w:val="04A0"/>
        </w:tblPrEx>
        <w:trPr>
          <w:trHeight w:val="210"/>
        </w:trPr>
        <w:tc>
          <w:tcPr>
            <w:tcW w:w="1620" w:type="dxa"/>
          </w:tcPr>
          <w:p w:rsidR="00637E07" w:rsidRPr="00637E07" w:rsidP="00637E07" w14:paraId="2CA43CCD" w14:textId="77777777">
            <w:pPr>
              <w:spacing w:after="20"/>
              <w:rPr>
                <w:rFonts w:eastAsia="Garamond" w:cs="Times New Roman"/>
                <w:lang w:eastAsia="en-US"/>
              </w:rPr>
            </w:pPr>
            <w:r w:rsidRPr="00637E07">
              <w:rPr>
                <w:rFonts w:eastAsia="Garamond" w:cs="Times New Roman"/>
                <w:lang w:eastAsia="en-US"/>
              </w:rPr>
              <w:t>RC5 &amp; HHC5</w:t>
            </w:r>
          </w:p>
        </w:tc>
        <w:tc>
          <w:tcPr>
            <w:tcW w:w="3150" w:type="dxa"/>
          </w:tcPr>
          <w:p w:rsidR="00637E07" w:rsidRPr="00637E07" w:rsidP="00637E07" w14:paraId="33BD4D4E" w14:textId="77777777">
            <w:pPr>
              <w:spacing w:after="20"/>
              <w:rPr>
                <w:rFonts w:eastAsia="Garamond" w:cs="Times New Roman"/>
                <w:lang w:eastAsia="en-US"/>
              </w:rPr>
            </w:pPr>
            <w:r w:rsidRPr="00637E07">
              <w:rPr>
                <w:rFonts w:eastAsia="Garamond" w:cs="Times New Roman"/>
                <w:lang w:eastAsia="en-US"/>
              </w:rPr>
              <w:t>Revised question to ask a yes/no question about whether they were born in the US, rather than asking where they were born (with US and Outside the US as response options)</w:t>
            </w:r>
          </w:p>
        </w:tc>
        <w:tc>
          <w:tcPr>
            <w:tcW w:w="4140" w:type="dxa"/>
          </w:tcPr>
          <w:p w:rsidR="00637E07" w:rsidRPr="00637E07" w:rsidP="00637E07" w14:paraId="004B7218" w14:textId="77777777">
            <w:pPr>
              <w:numPr>
                <w:ilvl w:val="0"/>
                <w:numId w:val="20"/>
              </w:numPr>
              <w:spacing w:after="20"/>
              <w:ind w:left="391"/>
              <w:rPr>
                <w:rFonts w:eastAsia="Garamond" w:cs="Times New Roman"/>
                <w:lang w:eastAsia="en-US"/>
              </w:rPr>
            </w:pPr>
            <w:r w:rsidRPr="00637E07">
              <w:rPr>
                <w:rFonts w:eastAsia="Garamond" w:cs="Times New Roman"/>
                <w:lang w:eastAsia="en-US"/>
              </w:rPr>
              <w:t xml:space="preserve">Edited to reduce respondent burden and to </w:t>
            </w:r>
            <w:r w:rsidRPr="00637E07">
              <w:rPr>
                <w:rFonts w:eastAsia="Garamond" w:cs="Times New Roman"/>
                <w:lang w:eastAsia="en-US"/>
              </w:rPr>
              <w:t>more directly get at the question</w:t>
            </w:r>
            <w:r w:rsidRPr="00637E07">
              <w:rPr>
                <w:rFonts w:eastAsia="Garamond" w:cs="Times New Roman"/>
                <w:lang w:eastAsia="en-US"/>
              </w:rPr>
              <w:t xml:space="preserve"> we care about</w:t>
            </w:r>
          </w:p>
        </w:tc>
      </w:tr>
      <w:tr w14:paraId="6CEF2669" w14:textId="77777777" w:rsidTr="00E06409">
        <w:tblPrEx>
          <w:tblW w:w="0" w:type="auto"/>
          <w:tblLook w:val="04A0"/>
        </w:tblPrEx>
        <w:trPr>
          <w:trHeight w:val="210"/>
        </w:trPr>
        <w:tc>
          <w:tcPr>
            <w:tcW w:w="1620" w:type="dxa"/>
          </w:tcPr>
          <w:p w:rsidR="00E06409" w:rsidP="00637E07" w14:paraId="2C3952A1" w14:textId="77777777">
            <w:pPr>
              <w:spacing w:after="20"/>
              <w:rPr>
                <w:rFonts w:eastAsia="Garamond" w:cs="Times New Roman"/>
                <w:lang w:eastAsia="en-US"/>
              </w:rPr>
            </w:pPr>
            <w:r>
              <w:rPr>
                <w:rFonts w:eastAsia="Garamond" w:cs="Times New Roman"/>
                <w:lang w:eastAsia="en-US"/>
              </w:rPr>
              <w:t>RC9a, RC9d, RC10</w:t>
            </w:r>
          </w:p>
          <w:p w:rsidR="00E06409" w:rsidRPr="00637E07" w:rsidP="00637E07" w14:paraId="1BA370EC" w14:textId="10016D8D">
            <w:pPr>
              <w:spacing w:after="20"/>
              <w:rPr>
                <w:rFonts w:eastAsia="Garamond" w:cs="Times New Roman"/>
                <w:lang w:eastAsia="en-US"/>
              </w:rPr>
            </w:pPr>
            <w:r>
              <w:rPr>
                <w:rFonts w:eastAsia="Garamond" w:cs="Times New Roman"/>
                <w:lang w:eastAsia="en-US"/>
              </w:rPr>
              <w:t>HHC9a*, HHC9b*, HHC10*</w:t>
            </w:r>
          </w:p>
        </w:tc>
        <w:tc>
          <w:tcPr>
            <w:tcW w:w="3150" w:type="dxa"/>
          </w:tcPr>
          <w:p w:rsidR="00E06409" w:rsidRPr="00637E07" w:rsidP="00637E07" w14:paraId="682FC27B" w14:textId="501CFE27">
            <w:pPr>
              <w:spacing w:after="20"/>
              <w:rPr>
                <w:rFonts w:eastAsia="Garamond" w:cs="Times New Roman"/>
                <w:lang w:eastAsia="en-US"/>
              </w:rPr>
            </w:pPr>
            <w:r>
              <w:rPr>
                <w:rFonts w:eastAsia="Garamond" w:cs="Times New Roman"/>
                <w:lang w:eastAsia="en-US"/>
              </w:rPr>
              <w:t>Collapsed race/ethnicity questions into one item, per re</w:t>
            </w:r>
            <w:r w:rsidR="00B12D14">
              <w:rPr>
                <w:rFonts w:eastAsia="Garamond" w:cs="Times New Roman"/>
                <w:lang w:eastAsia="en-US"/>
              </w:rPr>
              <w:t>v</w:t>
            </w:r>
            <w:r>
              <w:rPr>
                <w:rFonts w:eastAsia="Garamond" w:cs="Times New Roman"/>
                <w:lang w:eastAsia="en-US"/>
              </w:rPr>
              <w:t>ised OMB guidance</w:t>
            </w:r>
            <w:r>
              <w:rPr>
                <w:rStyle w:val="FootnoteReference"/>
                <w:rFonts w:eastAsia="Garamond" w:cs="Times New Roman"/>
                <w:lang w:eastAsia="en-US"/>
              </w:rPr>
              <w:footnoteReference w:id="6"/>
            </w:r>
          </w:p>
        </w:tc>
        <w:tc>
          <w:tcPr>
            <w:tcW w:w="4140" w:type="dxa"/>
          </w:tcPr>
          <w:p w:rsidR="00E06409" w:rsidRPr="00637E07" w:rsidP="00637E07" w14:paraId="0B44E418" w14:textId="4FC38122">
            <w:pPr>
              <w:numPr>
                <w:ilvl w:val="0"/>
                <w:numId w:val="20"/>
              </w:numPr>
              <w:spacing w:after="20"/>
              <w:ind w:left="391"/>
              <w:rPr>
                <w:rFonts w:eastAsia="Garamond" w:cs="Times New Roman"/>
                <w:lang w:eastAsia="en-US"/>
              </w:rPr>
            </w:pPr>
            <w:r>
              <w:rPr>
                <w:rFonts w:eastAsia="Garamond" w:cs="Times New Roman"/>
                <w:lang w:eastAsia="en-US"/>
              </w:rPr>
              <w:t xml:space="preserve">Revised to align with updated guidelines </w:t>
            </w:r>
          </w:p>
        </w:tc>
      </w:tr>
      <w:tr w14:paraId="66EB4600" w14:textId="77777777" w:rsidTr="00E06409">
        <w:tblPrEx>
          <w:tblW w:w="0" w:type="auto"/>
          <w:tblLook w:val="04A0"/>
        </w:tblPrEx>
        <w:trPr>
          <w:trHeight w:val="210"/>
        </w:trPr>
        <w:tc>
          <w:tcPr>
            <w:tcW w:w="1620" w:type="dxa"/>
          </w:tcPr>
          <w:p w:rsidR="00637E07" w:rsidRPr="00637E07" w:rsidP="00637E07" w14:paraId="59D37523" w14:textId="77777777">
            <w:pPr>
              <w:spacing w:after="20"/>
              <w:rPr>
                <w:rFonts w:eastAsia="Garamond" w:cs="Times New Roman"/>
                <w:lang w:eastAsia="en-US"/>
              </w:rPr>
            </w:pPr>
            <w:r w:rsidRPr="00637E07">
              <w:rPr>
                <w:rFonts w:eastAsia="Garamond" w:cs="Times New Roman"/>
                <w:lang w:eastAsia="en-US"/>
              </w:rPr>
              <w:t>RC18 – RC19</w:t>
            </w:r>
          </w:p>
        </w:tc>
        <w:tc>
          <w:tcPr>
            <w:tcW w:w="3150" w:type="dxa"/>
          </w:tcPr>
          <w:p w:rsidR="00637E07" w:rsidRPr="00637E07" w:rsidP="00637E07" w14:paraId="204193A3" w14:textId="77777777">
            <w:pPr>
              <w:spacing w:after="20"/>
              <w:rPr>
                <w:rFonts w:eastAsia="Garamond" w:cs="Times New Roman"/>
                <w:lang w:eastAsia="en-US"/>
              </w:rPr>
            </w:pPr>
            <w:r w:rsidRPr="00637E07">
              <w:rPr>
                <w:rFonts w:eastAsia="Garamond" w:cs="Times New Roman"/>
                <w:lang w:eastAsia="en-US"/>
              </w:rPr>
              <w:t>Added questions</w:t>
            </w:r>
          </w:p>
        </w:tc>
        <w:tc>
          <w:tcPr>
            <w:tcW w:w="4140" w:type="dxa"/>
          </w:tcPr>
          <w:p w:rsidR="00637E07" w:rsidRPr="00637E07" w:rsidP="00637E07" w14:paraId="0EC9987A" w14:textId="77777777">
            <w:pPr>
              <w:numPr>
                <w:ilvl w:val="0"/>
                <w:numId w:val="20"/>
              </w:numPr>
              <w:spacing w:after="20"/>
              <w:ind w:left="391"/>
              <w:rPr>
                <w:rFonts w:eastAsia="Garamond" w:cs="Times New Roman"/>
                <w:lang w:eastAsia="en-US"/>
              </w:rPr>
            </w:pPr>
            <w:r w:rsidRPr="00637E07">
              <w:rPr>
                <w:rFonts w:eastAsia="Garamond" w:cs="Times New Roman"/>
                <w:lang w:eastAsia="en-US"/>
              </w:rPr>
              <w:t>Added questions to collect information from people who say they are not working</w:t>
            </w:r>
          </w:p>
        </w:tc>
      </w:tr>
      <w:tr w14:paraId="125D1AEA" w14:textId="77777777" w:rsidTr="00E06409">
        <w:tblPrEx>
          <w:tblW w:w="0" w:type="auto"/>
          <w:tblLook w:val="04A0"/>
        </w:tblPrEx>
        <w:trPr>
          <w:trHeight w:val="210"/>
        </w:trPr>
        <w:tc>
          <w:tcPr>
            <w:tcW w:w="1620" w:type="dxa"/>
          </w:tcPr>
          <w:p w:rsidR="00637E07" w:rsidRPr="00637E07" w:rsidP="00637E07" w14:paraId="6AE96B5A" w14:textId="77777777">
            <w:pPr>
              <w:spacing w:after="20"/>
              <w:rPr>
                <w:rFonts w:eastAsia="Garamond" w:cs="Times New Roman"/>
                <w:lang w:eastAsia="en-US"/>
              </w:rPr>
            </w:pPr>
            <w:r w:rsidRPr="00637E07">
              <w:rPr>
                <w:rFonts w:eastAsia="Garamond" w:cs="Times New Roman"/>
                <w:lang w:eastAsia="en-US"/>
              </w:rPr>
              <w:t>HHC2</w:t>
            </w:r>
          </w:p>
        </w:tc>
        <w:tc>
          <w:tcPr>
            <w:tcW w:w="3150" w:type="dxa"/>
          </w:tcPr>
          <w:p w:rsidR="00637E07" w:rsidRPr="00637E07" w:rsidP="00637E07" w14:paraId="17C8577B" w14:textId="77777777">
            <w:pPr>
              <w:spacing w:after="20"/>
              <w:rPr>
                <w:rFonts w:eastAsia="Garamond" w:cs="Times New Roman"/>
                <w:lang w:eastAsia="en-US"/>
              </w:rPr>
            </w:pPr>
            <w:r w:rsidRPr="00637E07">
              <w:rPr>
                <w:rFonts w:eastAsia="Garamond" w:cs="Times New Roman"/>
                <w:lang w:eastAsia="en-US"/>
              </w:rPr>
              <w:t>Revised question wording</w:t>
            </w:r>
          </w:p>
        </w:tc>
        <w:tc>
          <w:tcPr>
            <w:tcW w:w="4140" w:type="dxa"/>
          </w:tcPr>
          <w:p w:rsidR="00637E07" w:rsidRPr="00637E07" w:rsidP="00637E07" w14:paraId="7BD0BFDA"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the phrasing of the question collecting gender to be consistent with earlier questions</w:t>
            </w:r>
          </w:p>
        </w:tc>
      </w:tr>
      <w:tr w14:paraId="2094FC72"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18DE3B48" w14:textId="77777777">
            <w:pPr>
              <w:spacing w:after="20"/>
              <w:rPr>
                <w:rFonts w:eastAsia="Garamond" w:cs="Times New Roman"/>
                <w:b/>
                <w:bCs/>
                <w:lang w:eastAsia="en-US"/>
              </w:rPr>
            </w:pPr>
            <w:r w:rsidRPr="00637E07">
              <w:rPr>
                <w:rFonts w:eastAsia="Garamond" w:cs="Times New Roman"/>
                <w:b/>
                <w:bCs/>
                <w:color w:val="auto"/>
                <w:lang w:eastAsia="en-US"/>
              </w:rPr>
              <w:t>Income [IN]</w:t>
            </w:r>
          </w:p>
        </w:tc>
      </w:tr>
      <w:tr w14:paraId="30F02FE4" w14:textId="77777777" w:rsidTr="00E06409">
        <w:tblPrEx>
          <w:tblW w:w="0" w:type="auto"/>
          <w:tblLook w:val="04A0"/>
        </w:tblPrEx>
        <w:trPr>
          <w:trHeight w:val="210"/>
        </w:trPr>
        <w:tc>
          <w:tcPr>
            <w:tcW w:w="1620" w:type="dxa"/>
          </w:tcPr>
          <w:p w:rsidR="00637E07" w:rsidRPr="00637E07" w:rsidP="00637E07" w14:paraId="0EA5593D" w14:textId="77777777">
            <w:pPr>
              <w:spacing w:after="20"/>
              <w:rPr>
                <w:rFonts w:eastAsia="Garamond" w:cs="Times New Roman"/>
                <w:lang w:eastAsia="en-US"/>
              </w:rPr>
            </w:pPr>
            <w:r w:rsidRPr="00637E07">
              <w:rPr>
                <w:rFonts w:eastAsia="Garamond" w:cs="Times New Roman"/>
                <w:lang w:eastAsia="en-US"/>
              </w:rPr>
              <w:t>IN0</w:t>
            </w:r>
          </w:p>
        </w:tc>
        <w:tc>
          <w:tcPr>
            <w:tcW w:w="3150" w:type="dxa"/>
          </w:tcPr>
          <w:p w:rsidR="00637E07" w:rsidRPr="00637E07" w:rsidP="00637E07" w14:paraId="785D38FF" w14:textId="77777777">
            <w:pPr>
              <w:spacing w:after="20"/>
              <w:rPr>
                <w:rFonts w:eastAsia="Garamond" w:cs="Times New Roman"/>
                <w:lang w:eastAsia="en-US"/>
              </w:rPr>
            </w:pPr>
            <w:r w:rsidRPr="00637E07">
              <w:rPr>
                <w:rFonts w:eastAsia="Garamond" w:cs="Times New Roman"/>
                <w:lang w:eastAsia="en-US"/>
              </w:rPr>
              <w:t xml:space="preserve">Revised intro language to notify respondents that we will ask about several income categories. Removed language about income being reported at the person-level.  </w:t>
            </w:r>
          </w:p>
        </w:tc>
        <w:tc>
          <w:tcPr>
            <w:tcW w:w="4140" w:type="dxa"/>
          </w:tcPr>
          <w:p w:rsidR="00637E07" w:rsidRPr="00637E07" w:rsidP="00637E07" w14:paraId="2B60858D"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tr w14:paraId="10E08505" w14:textId="77777777" w:rsidTr="00E06409">
        <w:tblPrEx>
          <w:tblW w:w="0" w:type="auto"/>
          <w:tblLook w:val="04A0"/>
        </w:tblPrEx>
        <w:trPr>
          <w:trHeight w:val="210"/>
        </w:trPr>
        <w:tc>
          <w:tcPr>
            <w:tcW w:w="1620" w:type="dxa"/>
          </w:tcPr>
          <w:p w:rsidR="00637E07" w:rsidRPr="00637E07" w:rsidP="00637E07" w14:paraId="096A041D" w14:textId="77777777">
            <w:pPr>
              <w:spacing w:after="20"/>
              <w:rPr>
                <w:rFonts w:eastAsia="Garamond" w:cs="Times New Roman"/>
                <w:lang w:eastAsia="en-US"/>
              </w:rPr>
            </w:pPr>
            <w:r w:rsidRPr="00637E07">
              <w:rPr>
                <w:rFonts w:eastAsia="Garamond" w:cs="Times New Roman"/>
                <w:lang w:eastAsia="en-US"/>
              </w:rPr>
              <w:t>IN1a</w:t>
            </w:r>
          </w:p>
        </w:tc>
        <w:tc>
          <w:tcPr>
            <w:tcW w:w="3150" w:type="dxa"/>
          </w:tcPr>
          <w:p w:rsidR="00637E07" w:rsidRPr="00637E07" w:rsidP="00637E07" w14:paraId="432C8E8C" w14:textId="77777777">
            <w:pPr>
              <w:spacing w:after="20"/>
              <w:rPr>
                <w:rFonts w:eastAsia="Garamond" w:cs="Times New Roman"/>
                <w:lang w:eastAsia="en-US"/>
              </w:rPr>
            </w:pPr>
            <w:r w:rsidRPr="00637E07">
              <w:rPr>
                <w:rFonts w:eastAsia="Garamond" w:cs="Times New Roman"/>
                <w:lang w:eastAsia="en-US"/>
              </w:rPr>
              <w:t>Added line to let respondents know not to include income from self-owned businesses or farms.</w:t>
            </w:r>
          </w:p>
        </w:tc>
        <w:tc>
          <w:tcPr>
            <w:tcW w:w="4140" w:type="dxa"/>
          </w:tcPr>
          <w:p w:rsidR="00637E07" w:rsidRPr="00637E07" w:rsidP="00637E07" w14:paraId="1F656BAD"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tr w14:paraId="0E769682" w14:textId="77777777" w:rsidTr="00E06409">
        <w:tblPrEx>
          <w:tblW w:w="0" w:type="auto"/>
          <w:tblLook w:val="04A0"/>
        </w:tblPrEx>
        <w:trPr>
          <w:trHeight w:val="210"/>
        </w:trPr>
        <w:tc>
          <w:tcPr>
            <w:tcW w:w="1620" w:type="dxa"/>
          </w:tcPr>
          <w:p w:rsidR="00637E07" w:rsidRPr="00637E07" w:rsidP="00637E07" w14:paraId="105BDB00" w14:textId="77777777">
            <w:pPr>
              <w:spacing w:after="20"/>
              <w:rPr>
                <w:rFonts w:eastAsia="Garamond" w:cs="Times New Roman"/>
                <w:lang w:eastAsia="en-US"/>
              </w:rPr>
            </w:pPr>
            <w:r w:rsidRPr="00637E07">
              <w:rPr>
                <w:rFonts w:eastAsia="Garamond" w:cs="Times New Roman"/>
                <w:lang w:eastAsia="en-US"/>
              </w:rPr>
              <w:t>IN4a, IN4c, IN5a</w:t>
            </w:r>
          </w:p>
        </w:tc>
        <w:tc>
          <w:tcPr>
            <w:tcW w:w="3150" w:type="dxa"/>
          </w:tcPr>
          <w:p w:rsidR="00637E07" w:rsidRPr="00637E07" w:rsidP="00637E07" w14:paraId="2EED3BBC" w14:textId="77777777">
            <w:pPr>
              <w:spacing w:after="20"/>
              <w:rPr>
                <w:rFonts w:eastAsia="Garamond" w:cs="Times New Roman"/>
                <w:lang w:eastAsia="en-US"/>
              </w:rPr>
            </w:pPr>
            <w:r w:rsidRPr="00637E07">
              <w:rPr>
                <w:rFonts w:eastAsia="Garamond" w:cs="Times New Roman"/>
                <w:lang w:eastAsia="en-US"/>
              </w:rPr>
              <w:t>Revised “Social Security” to “Social Security retirement benefits”</w:t>
            </w:r>
          </w:p>
        </w:tc>
        <w:tc>
          <w:tcPr>
            <w:tcW w:w="4140" w:type="dxa"/>
          </w:tcPr>
          <w:p w:rsidR="00637E07" w:rsidRPr="00637E07" w:rsidP="00637E07" w14:paraId="5E195FA1"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tr w14:paraId="031AF822" w14:textId="77777777" w:rsidTr="00E06409">
        <w:tblPrEx>
          <w:tblW w:w="0" w:type="auto"/>
          <w:tblLook w:val="04A0"/>
        </w:tblPrEx>
        <w:trPr>
          <w:trHeight w:val="210"/>
        </w:trPr>
        <w:tc>
          <w:tcPr>
            <w:tcW w:w="1620" w:type="dxa"/>
          </w:tcPr>
          <w:p w:rsidR="00637E07" w:rsidRPr="00637E07" w:rsidP="00637E07" w14:paraId="7678A5BB" w14:textId="77777777">
            <w:pPr>
              <w:spacing w:after="20"/>
              <w:rPr>
                <w:rFonts w:eastAsia="Garamond" w:cs="Times New Roman"/>
                <w:lang w:eastAsia="en-US"/>
              </w:rPr>
            </w:pPr>
            <w:r w:rsidRPr="00637E07">
              <w:rPr>
                <w:rFonts w:eastAsia="Garamond" w:cs="Times New Roman"/>
                <w:lang w:eastAsia="en-US"/>
              </w:rPr>
              <w:t>IN9c</w:t>
            </w:r>
          </w:p>
        </w:tc>
        <w:tc>
          <w:tcPr>
            <w:tcW w:w="3150" w:type="dxa"/>
          </w:tcPr>
          <w:p w:rsidR="00637E07" w:rsidRPr="00637E07" w:rsidP="00637E07" w14:paraId="0D7AF318" w14:textId="77777777">
            <w:pPr>
              <w:spacing w:after="20"/>
              <w:rPr>
                <w:rFonts w:eastAsia="Garamond" w:cs="Times New Roman"/>
                <w:lang w:eastAsia="en-US"/>
              </w:rPr>
            </w:pPr>
            <w:r w:rsidRPr="00637E07">
              <w:rPr>
                <w:rFonts w:eastAsia="Garamond" w:cs="Times New Roman"/>
                <w:lang w:eastAsia="en-US"/>
              </w:rPr>
              <w:t>Final thresholds entered instead of placeholder fills</w:t>
            </w:r>
          </w:p>
        </w:tc>
        <w:tc>
          <w:tcPr>
            <w:tcW w:w="4140" w:type="dxa"/>
          </w:tcPr>
          <w:p w:rsidR="00637E07" w:rsidRPr="00637E07" w:rsidP="00637E07" w14:paraId="40CC9272" w14:textId="77777777">
            <w:pPr>
              <w:numPr>
                <w:ilvl w:val="0"/>
                <w:numId w:val="20"/>
              </w:numPr>
              <w:spacing w:after="20"/>
              <w:ind w:left="391"/>
              <w:rPr>
                <w:rFonts w:eastAsia="Garamond" w:cs="Times New Roman"/>
                <w:lang w:eastAsia="en-US"/>
              </w:rPr>
            </w:pPr>
            <w:r w:rsidRPr="00637E07">
              <w:rPr>
                <w:rFonts w:eastAsia="Garamond" w:cs="Times New Roman"/>
                <w:lang w:eastAsia="en-US"/>
              </w:rPr>
              <w:t>Categories finalized upon review of 2024 data</w:t>
            </w:r>
          </w:p>
        </w:tc>
      </w:tr>
      <w:tr w14:paraId="7666098C"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3CADE63A" w14:textId="77777777">
            <w:pPr>
              <w:spacing w:after="20"/>
              <w:rPr>
                <w:rFonts w:eastAsia="Garamond" w:cs="Times New Roman"/>
                <w:b/>
                <w:bCs/>
                <w:lang w:eastAsia="en-US"/>
              </w:rPr>
            </w:pPr>
            <w:r w:rsidRPr="00637E07">
              <w:rPr>
                <w:rFonts w:eastAsia="Garamond" w:cs="Times New Roman"/>
                <w:b/>
                <w:bCs/>
                <w:lang w:eastAsia="en-US"/>
              </w:rPr>
              <w:t>Food Security [FS]</w:t>
            </w:r>
          </w:p>
        </w:tc>
      </w:tr>
      <w:tr w14:paraId="6D0C1B86" w14:textId="77777777" w:rsidTr="00E06409">
        <w:tblPrEx>
          <w:tblW w:w="0" w:type="auto"/>
          <w:tblLook w:val="04A0"/>
        </w:tblPrEx>
        <w:trPr>
          <w:trHeight w:val="210"/>
        </w:trPr>
        <w:tc>
          <w:tcPr>
            <w:tcW w:w="1620" w:type="dxa"/>
          </w:tcPr>
          <w:p w:rsidR="00637E07" w:rsidRPr="00637E07" w:rsidP="00637E07" w14:paraId="438945D5" w14:textId="4030CD6F">
            <w:pPr>
              <w:spacing w:after="20"/>
              <w:rPr>
                <w:rFonts w:eastAsia="Garamond" w:cs="Times New Roman"/>
                <w:lang w:eastAsia="en-US"/>
              </w:rPr>
            </w:pPr>
            <w:r>
              <w:rPr>
                <w:rFonts w:eastAsia="Garamond" w:cs="Times New Roman"/>
                <w:lang w:eastAsia="en-US"/>
              </w:rPr>
              <w:t>FS0</w:t>
            </w:r>
          </w:p>
        </w:tc>
        <w:tc>
          <w:tcPr>
            <w:tcW w:w="3150" w:type="dxa"/>
          </w:tcPr>
          <w:p w:rsidR="00637E07" w:rsidRPr="00637E07" w:rsidP="00637E07" w14:paraId="0448CD88" w14:textId="3A1BD33F">
            <w:pPr>
              <w:spacing w:after="20"/>
              <w:rPr>
                <w:rFonts w:eastAsia="Garamond" w:cs="Times New Roman"/>
                <w:lang w:eastAsia="en-US"/>
              </w:rPr>
            </w:pPr>
            <w:r>
              <w:rPr>
                <w:rFonts w:eastAsia="Garamond" w:cs="Times New Roman"/>
                <w:lang w:eastAsia="en-US"/>
              </w:rPr>
              <w:t>Section transition sentence added</w:t>
            </w:r>
          </w:p>
        </w:tc>
        <w:tc>
          <w:tcPr>
            <w:tcW w:w="4140" w:type="dxa"/>
          </w:tcPr>
          <w:p w:rsidR="00637E07" w:rsidRPr="00637E07" w:rsidP="00637E07" w14:paraId="78018304" w14:textId="586A436A">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tr w14:paraId="278C1CC5" w14:textId="77777777" w:rsidTr="00E06409">
        <w:tblPrEx>
          <w:tblW w:w="0" w:type="auto"/>
          <w:tblLook w:val="04A0"/>
        </w:tblPrEx>
        <w:trPr>
          <w:trHeight w:val="210"/>
        </w:trPr>
        <w:tc>
          <w:tcPr>
            <w:tcW w:w="1620" w:type="dxa"/>
          </w:tcPr>
          <w:p w:rsidR="00DD3E91" w:rsidRPr="00637E07" w:rsidP="00DD3E91" w14:paraId="5F7533F6" w14:textId="08198976">
            <w:pPr>
              <w:spacing w:after="20"/>
              <w:rPr>
                <w:rFonts w:eastAsia="Garamond" w:cs="Times New Roman"/>
                <w:lang w:eastAsia="en-US"/>
              </w:rPr>
            </w:pPr>
            <w:r w:rsidRPr="00637E07">
              <w:rPr>
                <w:rFonts w:eastAsia="Garamond" w:cs="Times New Roman"/>
                <w:lang w:eastAsia="en-US"/>
              </w:rPr>
              <w:t>FS2</w:t>
            </w:r>
          </w:p>
        </w:tc>
        <w:tc>
          <w:tcPr>
            <w:tcW w:w="3150" w:type="dxa"/>
          </w:tcPr>
          <w:p w:rsidR="00DD3E91" w:rsidRPr="00637E07" w:rsidP="00DD3E91" w14:paraId="2E573BF6" w14:textId="56BB259E">
            <w:pPr>
              <w:spacing w:after="20"/>
              <w:rPr>
                <w:rFonts w:eastAsia="Garamond" w:cs="Times New Roman"/>
                <w:lang w:eastAsia="en-US"/>
              </w:rPr>
            </w:pPr>
            <w:r w:rsidRPr="00637E07">
              <w:rPr>
                <w:rFonts w:eastAsia="Garamond" w:cs="Times New Roman"/>
                <w:lang w:eastAsia="en-US"/>
              </w:rPr>
              <w:t>Added to facilitate screening people out of the food security section if they meet certain thresholds (indicate food secure status at FS2 and FS3 and are at or above 185% FPL), following the CPS model.</w:t>
            </w:r>
          </w:p>
        </w:tc>
        <w:tc>
          <w:tcPr>
            <w:tcW w:w="4140" w:type="dxa"/>
          </w:tcPr>
          <w:p w:rsidR="00DD3E91" w:rsidRPr="00637E07" w:rsidP="00DD3E91" w14:paraId="63A40CCE" w14:textId="649F0F9D">
            <w:pPr>
              <w:numPr>
                <w:ilvl w:val="0"/>
                <w:numId w:val="20"/>
              </w:numPr>
              <w:spacing w:after="20"/>
              <w:ind w:left="391"/>
              <w:rPr>
                <w:rFonts w:eastAsia="Garamond" w:cs="Times New Roman"/>
                <w:lang w:eastAsia="en-US"/>
              </w:rPr>
            </w:pPr>
            <w:r w:rsidRPr="00637E07">
              <w:rPr>
                <w:rFonts w:eastAsia="Garamond" w:cs="Times New Roman"/>
                <w:lang w:eastAsia="en-US"/>
              </w:rPr>
              <w:t>Reduce respondent burden</w:t>
            </w:r>
          </w:p>
        </w:tc>
      </w:tr>
      <w:tr w14:paraId="48D7D47E" w14:textId="77777777" w:rsidTr="00E06409">
        <w:tblPrEx>
          <w:tblW w:w="0" w:type="auto"/>
          <w:tblLook w:val="04A0"/>
        </w:tblPrEx>
        <w:trPr>
          <w:trHeight w:val="210"/>
        </w:trPr>
        <w:tc>
          <w:tcPr>
            <w:tcW w:w="1620" w:type="dxa"/>
          </w:tcPr>
          <w:p w:rsidR="00637E07" w:rsidRPr="00637E07" w:rsidP="00637E07" w14:paraId="0488D340" w14:textId="77777777">
            <w:pPr>
              <w:spacing w:after="20"/>
              <w:rPr>
                <w:rFonts w:eastAsia="Garamond" w:cs="Times New Roman"/>
                <w:lang w:eastAsia="en-US"/>
              </w:rPr>
            </w:pPr>
            <w:r w:rsidRPr="00637E07">
              <w:rPr>
                <w:rFonts w:eastAsia="Garamond" w:cs="Times New Roman"/>
                <w:lang w:eastAsia="en-US"/>
              </w:rPr>
              <w:t>FS4-6</w:t>
            </w:r>
          </w:p>
          <w:p w:rsidR="00637E07" w:rsidRPr="00637E07" w:rsidP="00637E07" w14:paraId="101D0390" w14:textId="77777777">
            <w:pPr>
              <w:spacing w:after="20"/>
              <w:rPr>
                <w:rFonts w:eastAsia="Garamond" w:cs="Times New Roman"/>
                <w:lang w:eastAsia="en-US"/>
              </w:rPr>
            </w:pPr>
            <w:r w:rsidRPr="00637E07">
              <w:rPr>
                <w:rFonts w:eastAsia="Garamond" w:cs="Times New Roman"/>
                <w:lang w:eastAsia="en-US"/>
              </w:rPr>
              <w:t>FS14-FS16</w:t>
            </w:r>
          </w:p>
        </w:tc>
        <w:tc>
          <w:tcPr>
            <w:tcW w:w="3150" w:type="dxa"/>
          </w:tcPr>
          <w:p w:rsidR="00637E07" w:rsidRPr="00637E07" w:rsidP="00637E07" w14:paraId="441E5F76" w14:textId="77777777">
            <w:pPr>
              <w:spacing w:after="20"/>
              <w:rPr>
                <w:rFonts w:eastAsia="Garamond" w:cs="Times New Roman"/>
                <w:lang w:eastAsia="en-US"/>
              </w:rPr>
            </w:pPr>
            <w:r w:rsidRPr="00637E07">
              <w:rPr>
                <w:rFonts w:eastAsia="Garamond" w:cs="Times New Roman"/>
                <w:lang w:eastAsia="en-US"/>
              </w:rPr>
              <w:t>Revised skip logic to skip households out if they indicate high food security at FS2, FS3 and are above 185% FPL.</w:t>
            </w:r>
          </w:p>
        </w:tc>
        <w:tc>
          <w:tcPr>
            <w:tcW w:w="4140" w:type="dxa"/>
          </w:tcPr>
          <w:p w:rsidR="00637E07" w:rsidRPr="00637E07" w:rsidP="00637E07" w14:paraId="5C411BE4" w14:textId="77777777">
            <w:pPr>
              <w:numPr>
                <w:ilvl w:val="0"/>
                <w:numId w:val="20"/>
              </w:numPr>
              <w:spacing w:after="20"/>
              <w:ind w:left="391"/>
              <w:rPr>
                <w:rFonts w:eastAsia="Garamond" w:cs="Times New Roman"/>
                <w:lang w:eastAsia="en-US"/>
              </w:rPr>
            </w:pPr>
            <w:r w:rsidRPr="00637E07">
              <w:rPr>
                <w:rFonts w:eastAsia="Garamond" w:cs="Times New Roman"/>
                <w:lang w:eastAsia="en-US"/>
              </w:rPr>
              <w:t>Reduce respondent burden</w:t>
            </w:r>
          </w:p>
        </w:tc>
      </w:tr>
      <w:tr w14:paraId="625C97D5" w14:textId="77777777" w:rsidTr="00E06409">
        <w:tblPrEx>
          <w:tblW w:w="0" w:type="auto"/>
          <w:tblLook w:val="04A0"/>
        </w:tblPrEx>
        <w:trPr>
          <w:trHeight w:val="210"/>
        </w:trPr>
        <w:tc>
          <w:tcPr>
            <w:tcW w:w="1620" w:type="dxa"/>
          </w:tcPr>
          <w:p w:rsidR="008F4179" w:rsidRPr="00637E07" w:rsidP="00637E07" w14:paraId="1A070E37" w14:textId="4E37B524">
            <w:pPr>
              <w:spacing w:after="20"/>
              <w:rPr>
                <w:rFonts w:eastAsia="Garamond" w:cs="Times New Roman"/>
                <w:lang w:eastAsia="en-US"/>
              </w:rPr>
            </w:pPr>
            <w:r>
              <w:rPr>
                <w:rFonts w:eastAsia="Garamond" w:cs="Times New Roman"/>
                <w:lang w:eastAsia="en-US"/>
              </w:rPr>
              <w:t>FS16, FS18</w:t>
            </w:r>
          </w:p>
        </w:tc>
        <w:tc>
          <w:tcPr>
            <w:tcW w:w="3150" w:type="dxa"/>
          </w:tcPr>
          <w:p w:rsidR="008F4179" w:rsidRPr="00637E07" w:rsidP="00637E07" w14:paraId="1BB9104D" w14:textId="6266AF69">
            <w:pPr>
              <w:spacing w:after="20"/>
              <w:rPr>
                <w:rFonts w:eastAsia="Garamond" w:cs="Times New Roman"/>
                <w:lang w:eastAsia="en-US"/>
              </w:rPr>
            </w:pPr>
            <w:r>
              <w:rPr>
                <w:rFonts w:eastAsia="Garamond" w:cs="Times New Roman"/>
                <w:lang w:eastAsia="en-US"/>
              </w:rPr>
              <w:t xml:space="preserve">Changed question wording from “couldn’t afford </w:t>
            </w:r>
            <w:r w:rsidR="00BF5ED3">
              <w:rPr>
                <w:rFonts w:eastAsia="Garamond" w:cs="Times New Roman"/>
                <w:lang w:eastAsia="en-US"/>
              </w:rPr>
              <w:t>more/enough</w:t>
            </w:r>
            <w:r>
              <w:rPr>
                <w:rFonts w:eastAsia="Garamond" w:cs="Times New Roman"/>
                <w:lang w:eastAsia="en-US"/>
              </w:rPr>
              <w:t xml:space="preserve"> food” to “wasn’t enough money for food”</w:t>
            </w:r>
          </w:p>
        </w:tc>
        <w:tc>
          <w:tcPr>
            <w:tcW w:w="4140" w:type="dxa"/>
          </w:tcPr>
          <w:p w:rsidR="008F4179" w:rsidRPr="00637E07" w:rsidP="00637E07" w14:paraId="25B315EB" w14:textId="5F0CA550">
            <w:pPr>
              <w:numPr>
                <w:ilvl w:val="0"/>
                <w:numId w:val="20"/>
              </w:numPr>
              <w:spacing w:after="20"/>
              <w:ind w:left="391"/>
              <w:rPr>
                <w:rFonts w:eastAsia="Garamond" w:cs="Times New Roman"/>
                <w:lang w:eastAsia="en-US"/>
              </w:rPr>
            </w:pPr>
            <w:r>
              <w:rPr>
                <w:rFonts w:eastAsia="Garamond" w:cs="Times New Roman"/>
                <w:lang w:eastAsia="en-US"/>
              </w:rPr>
              <w:t xml:space="preserve">Revised to align with 2023 CPS FSS </w:t>
            </w:r>
            <w:r w:rsidR="00BF5ED3">
              <w:rPr>
                <w:rFonts w:eastAsia="Garamond" w:cs="Times New Roman"/>
                <w:lang w:eastAsia="en-US"/>
              </w:rPr>
              <w:t>recommendations</w:t>
            </w:r>
            <w:r>
              <w:rPr>
                <w:rStyle w:val="FootnoteReference"/>
                <w:rFonts w:eastAsia="Garamond" w:cs="Times New Roman"/>
                <w:lang w:eastAsia="en-US"/>
              </w:rPr>
              <w:footnoteReference w:id="7"/>
            </w:r>
          </w:p>
        </w:tc>
      </w:tr>
      <w:tr w14:paraId="317FD54C" w14:textId="77777777" w:rsidTr="00E06409">
        <w:tblPrEx>
          <w:tblW w:w="0" w:type="auto"/>
          <w:tblLook w:val="04A0"/>
        </w:tblPrEx>
        <w:trPr>
          <w:trHeight w:val="210"/>
        </w:trPr>
        <w:tc>
          <w:tcPr>
            <w:tcW w:w="1620" w:type="dxa"/>
          </w:tcPr>
          <w:p w:rsidR="008F4179" w:rsidRPr="00637E07" w:rsidP="00637E07" w14:paraId="7845993D" w14:textId="324C71A8">
            <w:pPr>
              <w:spacing w:after="20"/>
              <w:rPr>
                <w:rFonts w:eastAsia="Garamond" w:cs="Times New Roman"/>
                <w:lang w:eastAsia="en-US"/>
              </w:rPr>
            </w:pPr>
            <w:r>
              <w:rPr>
                <w:rFonts w:eastAsia="Garamond" w:cs="Times New Roman"/>
                <w:lang w:eastAsia="en-US"/>
              </w:rPr>
              <w:t>FS18 – FS20</w:t>
            </w:r>
          </w:p>
        </w:tc>
        <w:tc>
          <w:tcPr>
            <w:tcW w:w="3150" w:type="dxa"/>
          </w:tcPr>
          <w:p w:rsidR="008F4179" w:rsidRPr="00637E07" w:rsidP="00637E07" w14:paraId="2114B851" w14:textId="544EB2FA">
            <w:pPr>
              <w:spacing w:after="20"/>
              <w:rPr>
                <w:rFonts w:eastAsia="Garamond" w:cs="Times New Roman"/>
                <w:lang w:eastAsia="en-US"/>
              </w:rPr>
            </w:pPr>
            <w:r>
              <w:rPr>
                <w:rFonts w:eastAsia="Garamond" w:cs="Times New Roman"/>
                <w:lang w:eastAsia="en-US"/>
              </w:rPr>
              <w:t>Questions reordered to match CPS FSS</w:t>
            </w:r>
          </w:p>
        </w:tc>
        <w:tc>
          <w:tcPr>
            <w:tcW w:w="4140" w:type="dxa"/>
          </w:tcPr>
          <w:p w:rsidR="008F4179" w:rsidRPr="00637E07" w:rsidP="00637E07" w14:paraId="32EFB858" w14:textId="077191A0">
            <w:pPr>
              <w:numPr>
                <w:ilvl w:val="0"/>
                <w:numId w:val="20"/>
              </w:numPr>
              <w:spacing w:after="20"/>
              <w:ind w:left="391"/>
              <w:rPr>
                <w:rFonts w:eastAsia="Garamond" w:cs="Times New Roman"/>
                <w:lang w:eastAsia="en-US"/>
              </w:rPr>
            </w:pPr>
            <w:r>
              <w:rPr>
                <w:rFonts w:eastAsia="Garamond" w:cs="Times New Roman"/>
                <w:lang w:eastAsia="en-US"/>
              </w:rPr>
              <w:t>Align with CPS FSS module</w:t>
            </w:r>
          </w:p>
        </w:tc>
      </w:tr>
      <w:tr w14:paraId="1EC1D49F" w14:textId="77777777" w:rsidTr="00E06409">
        <w:tblPrEx>
          <w:tblW w:w="0" w:type="auto"/>
          <w:tblLook w:val="04A0"/>
        </w:tblPrEx>
        <w:trPr>
          <w:trHeight w:val="210"/>
        </w:trPr>
        <w:tc>
          <w:tcPr>
            <w:tcW w:w="1620" w:type="dxa"/>
          </w:tcPr>
          <w:p w:rsidR="00710B64" w:rsidRPr="00637E07" w:rsidP="00441156" w14:paraId="6B6A60F4" w14:textId="2387EB63">
            <w:pPr>
              <w:spacing w:after="20"/>
              <w:rPr>
                <w:rFonts w:eastAsia="Garamond" w:cs="Times New Roman"/>
                <w:lang w:eastAsia="en-US"/>
              </w:rPr>
            </w:pPr>
            <w:r>
              <w:rPr>
                <w:rFonts w:eastAsia="Garamond" w:cs="Times New Roman"/>
                <w:lang w:eastAsia="en-US"/>
              </w:rPr>
              <w:t>FS22 &amp; FS23</w:t>
            </w:r>
          </w:p>
        </w:tc>
        <w:tc>
          <w:tcPr>
            <w:tcW w:w="3150" w:type="dxa"/>
          </w:tcPr>
          <w:p w:rsidR="00710B64" w:rsidRPr="00637E07" w:rsidP="00441156" w14:paraId="6B1653EB" w14:textId="305DF15C">
            <w:pPr>
              <w:spacing w:after="20"/>
              <w:rPr>
                <w:rFonts w:eastAsia="Garamond" w:cs="Times New Roman"/>
                <w:lang w:eastAsia="en-US"/>
              </w:rPr>
            </w:pPr>
            <w:r>
              <w:rPr>
                <w:rFonts w:eastAsia="Garamond" w:cs="Times New Roman"/>
                <w:lang w:eastAsia="en-US"/>
              </w:rPr>
              <w:t>Added questions to measure perceptions of social unacceptability as it relates to food security.</w:t>
            </w:r>
          </w:p>
        </w:tc>
        <w:tc>
          <w:tcPr>
            <w:tcW w:w="4140" w:type="dxa"/>
          </w:tcPr>
          <w:p w:rsidR="00710B64" w:rsidRPr="00637E07" w:rsidP="00441156" w14:paraId="529E5222" w14:textId="77777777">
            <w:pPr>
              <w:numPr>
                <w:ilvl w:val="0"/>
                <w:numId w:val="20"/>
              </w:numPr>
              <w:spacing w:after="20"/>
              <w:ind w:left="391"/>
              <w:rPr>
                <w:rFonts w:eastAsia="Garamond" w:cs="Times New Roman"/>
                <w:lang w:eastAsia="en-US"/>
              </w:rPr>
            </w:pPr>
            <w:r>
              <w:rPr>
                <w:rFonts w:eastAsia="Garamond" w:cs="Times New Roman"/>
                <w:lang w:eastAsia="en-US"/>
              </w:rPr>
              <w:t xml:space="preserve">Data item needed for analysis. </w:t>
            </w:r>
          </w:p>
        </w:tc>
      </w:tr>
      <w:tr w14:paraId="0A7B2B5E" w14:textId="77777777" w:rsidTr="00E06409">
        <w:tblPrEx>
          <w:tblW w:w="0" w:type="auto"/>
          <w:tblLook w:val="04A0"/>
        </w:tblPrEx>
        <w:trPr>
          <w:trHeight w:val="210"/>
        </w:trPr>
        <w:tc>
          <w:tcPr>
            <w:tcW w:w="1620" w:type="dxa"/>
          </w:tcPr>
          <w:p w:rsidR="00637E07" w:rsidRPr="00637E07" w:rsidP="00637E07" w14:paraId="1AFFB75F" w14:textId="77777777">
            <w:pPr>
              <w:spacing w:after="20"/>
              <w:rPr>
                <w:rFonts w:eastAsia="Garamond" w:cs="Times New Roman"/>
                <w:lang w:eastAsia="en-US"/>
              </w:rPr>
            </w:pPr>
            <w:r w:rsidRPr="00637E07">
              <w:rPr>
                <w:rFonts w:eastAsia="Garamond" w:cs="Times New Roman"/>
                <w:lang w:eastAsia="en-US"/>
              </w:rPr>
              <w:t>Throughout FS</w:t>
            </w:r>
          </w:p>
        </w:tc>
        <w:tc>
          <w:tcPr>
            <w:tcW w:w="3150" w:type="dxa"/>
          </w:tcPr>
          <w:p w:rsidR="00637E07" w:rsidRPr="00637E07" w:rsidP="00637E07" w14:paraId="5F2A89EE" w14:textId="77777777">
            <w:pPr>
              <w:spacing w:after="20"/>
              <w:rPr>
                <w:rFonts w:eastAsia="Garamond" w:cs="Times New Roman"/>
                <w:lang w:eastAsia="en-US"/>
              </w:rPr>
            </w:pPr>
            <w:r w:rsidRPr="00637E07">
              <w:rPr>
                <w:rFonts w:eastAsia="Garamond" w:cs="Times New Roman"/>
                <w:lang w:eastAsia="en-US"/>
              </w:rPr>
              <w:t>Small Spanish translation updates to facilitate understanding</w:t>
            </w:r>
          </w:p>
        </w:tc>
        <w:tc>
          <w:tcPr>
            <w:tcW w:w="4140" w:type="dxa"/>
          </w:tcPr>
          <w:p w:rsidR="00637E07" w:rsidRPr="00637E07" w:rsidP="00637E07" w14:paraId="7DFA682B"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tr w14:paraId="2AA2A563"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323B5E6F" w14:textId="77777777">
            <w:pPr>
              <w:spacing w:after="20"/>
              <w:rPr>
                <w:rFonts w:eastAsia="Garamond" w:cs="Times New Roman"/>
                <w:b/>
                <w:bCs/>
                <w:lang w:eastAsia="en-US"/>
              </w:rPr>
            </w:pPr>
            <w:r w:rsidRPr="00637E07">
              <w:rPr>
                <w:rFonts w:eastAsia="Garamond" w:cs="Times New Roman"/>
                <w:b/>
                <w:bCs/>
                <w:color w:val="auto"/>
                <w:lang w:eastAsia="en-US"/>
              </w:rPr>
              <w:t>Perception of local retail food environment and local food assistance [RFE &amp; FAP]</w:t>
            </w:r>
          </w:p>
        </w:tc>
      </w:tr>
      <w:tr w14:paraId="459DC5DB" w14:textId="77777777" w:rsidTr="00E06409">
        <w:tblPrEx>
          <w:tblW w:w="0" w:type="auto"/>
          <w:tblLook w:val="04A0"/>
        </w:tblPrEx>
        <w:trPr>
          <w:trHeight w:val="210"/>
        </w:trPr>
        <w:tc>
          <w:tcPr>
            <w:tcW w:w="1620" w:type="dxa"/>
          </w:tcPr>
          <w:p w:rsidR="00637E07" w:rsidRPr="00637E07" w:rsidP="00637E07" w14:paraId="3CAF915F" w14:textId="77777777">
            <w:pPr>
              <w:spacing w:after="20"/>
              <w:rPr>
                <w:rFonts w:eastAsia="Garamond" w:cs="Times New Roman"/>
                <w:lang w:eastAsia="en-US"/>
              </w:rPr>
            </w:pPr>
            <w:r w:rsidRPr="00637E07">
              <w:rPr>
                <w:rFonts w:eastAsia="Garamond" w:cs="Times New Roman"/>
                <w:lang w:eastAsia="en-US"/>
              </w:rPr>
              <w:t>RFE1</w:t>
            </w:r>
          </w:p>
        </w:tc>
        <w:tc>
          <w:tcPr>
            <w:tcW w:w="3150" w:type="dxa"/>
          </w:tcPr>
          <w:p w:rsidR="00637E07" w:rsidRPr="00637E07" w:rsidP="00637E07" w14:paraId="3668AB26" w14:textId="77777777">
            <w:pPr>
              <w:spacing w:after="20"/>
              <w:rPr>
                <w:rFonts w:eastAsia="Garamond" w:cs="Times New Roman"/>
                <w:lang w:eastAsia="en-US"/>
              </w:rPr>
            </w:pPr>
            <w:r w:rsidRPr="00637E07">
              <w:rPr>
                <w:rFonts w:eastAsia="Garamond" w:cs="Times New Roman"/>
                <w:lang w:eastAsia="en-US"/>
              </w:rPr>
              <w:t>Added a lookup table to allow respondents to search for local stores instead of choosing from a list of only 10 stores.</w:t>
            </w:r>
          </w:p>
        </w:tc>
        <w:tc>
          <w:tcPr>
            <w:tcW w:w="4140" w:type="dxa"/>
          </w:tcPr>
          <w:p w:rsidR="00637E07" w:rsidRPr="00637E07" w:rsidP="00637E07" w14:paraId="687AAF23" w14:textId="77777777">
            <w:pPr>
              <w:numPr>
                <w:ilvl w:val="0"/>
                <w:numId w:val="20"/>
              </w:numPr>
              <w:spacing w:after="20"/>
              <w:ind w:left="391"/>
              <w:rPr>
                <w:rFonts w:eastAsia="Garamond" w:cs="Times New Roman"/>
                <w:lang w:eastAsia="en-US"/>
              </w:rPr>
            </w:pPr>
            <w:r w:rsidRPr="00637E07">
              <w:rPr>
                <w:rFonts w:eastAsia="Garamond" w:cs="Times New Roman"/>
                <w:lang w:eastAsia="en-US"/>
              </w:rPr>
              <w:t>Reduce respondent burden</w:t>
            </w:r>
          </w:p>
        </w:tc>
      </w:tr>
      <w:tr w14:paraId="1387D56C" w14:textId="77777777" w:rsidTr="00E06409">
        <w:tblPrEx>
          <w:tblW w:w="0" w:type="auto"/>
          <w:tblLook w:val="04A0"/>
        </w:tblPrEx>
        <w:trPr>
          <w:trHeight w:val="210"/>
        </w:trPr>
        <w:tc>
          <w:tcPr>
            <w:tcW w:w="1620" w:type="dxa"/>
          </w:tcPr>
          <w:p w:rsidR="00DD3E91" w:rsidRPr="00637E07" w:rsidP="00637E07" w14:paraId="0978E0E2" w14:textId="26A7B24B">
            <w:pPr>
              <w:spacing w:after="20"/>
              <w:rPr>
                <w:rFonts w:eastAsia="Garamond" w:cs="Times New Roman"/>
                <w:lang w:eastAsia="en-US"/>
              </w:rPr>
            </w:pPr>
            <w:r>
              <w:rPr>
                <w:rFonts w:eastAsia="Garamond" w:cs="Times New Roman"/>
                <w:lang w:eastAsia="en-US"/>
              </w:rPr>
              <w:t>RFE6a, RFE6d, RFE6f</w:t>
            </w:r>
          </w:p>
        </w:tc>
        <w:tc>
          <w:tcPr>
            <w:tcW w:w="3150" w:type="dxa"/>
          </w:tcPr>
          <w:p w:rsidR="00DD3E91" w:rsidRPr="00637E07" w:rsidP="00637E07" w14:paraId="7D57F372" w14:textId="15A369C5">
            <w:pPr>
              <w:spacing w:after="20"/>
              <w:rPr>
                <w:rFonts w:eastAsia="Garamond" w:cs="Times New Roman"/>
                <w:lang w:eastAsia="en-US"/>
              </w:rPr>
            </w:pPr>
            <w:r>
              <w:rPr>
                <w:rFonts w:eastAsia="Garamond" w:cs="Times New Roman"/>
                <w:lang w:eastAsia="en-US"/>
              </w:rPr>
              <w:t>Removed questions</w:t>
            </w:r>
          </w:p>
        </w:tc>
        <w:tc>
          <w:tcPr>
            <w:tcW w:w="4140" w:type="dxa"/>
          </w:tcPr>
          <w:p w:rsidR="00DD3E91" w:rsidRPr="00637E07" w:rsidP="00637E07" w14:paraId="32236935" w14:textId="51C2BBB0">
            <w:pPr>
              <w:numPr>
                <w:ilvl w:val="0"/>
                <w:numId w:val="20"/>
              </w:numPr>
              <w:spacing w:after="20"/>
              <w:ind w:left="391"/>
              <w:rPr>
                <w:rFonts w:eastAsia="Garamond" w:cs="Times New Roman"/>
                <w:lang w:eastAsia="en-US"/>
              </w:rPr>
            </w:pPr>
            <w:r>
              <w:rPr>
                <w:rFonts w:eastAsia="Garamond" w:cs="Times New Roman"/>
                <w:lang w:eastAsia="en-US"/>
              </w:rPr>
              <w:t>Reduce respondent burden</w:t>
            </w:r>
          </w:p>
        </w:tc>
      </w:tr>
      <w:tr w14:paraId="055ACA26" w14:textId="77777777" w:rsidTr="00E06409">
        <w:tblPrEx>
          <w:tblW w:w="0" w:type="auto"/>
          <w:tblLook w:val="04A0"/>
        </w:tblPrEx>
        <w:trPr>
          <w:trHeight w:val="210"/>
        </w:trPr>
        <w:tc>
          <w:tcPr>
            <w:tcW w:w="1620" w:type="dxa"/>
          </w:tcPr>
          <w:p w:rsidR="00637E07" w:rsidRPr="00637E07" w:rsidP="00637E07" w14:paraId="50BC2ADD" w14:textId="77777777">
            <w:pPr>
              <w:spacing w:after="20"/>
              <w:rPr>
                <w:rFonts w:eastAsia="Garamond" w:cs="Times New Roman"/>
                <w:lang w:eastAsia="en-US"/>
              </w:rPr>
            </w:pPr>
            <w:r w:rsidRPr="00637E07">
              <w:rPr>
                <w:rFonts w:eastAsia="Garamond" w:cs="Times New Roman"/>
                <w:lang w:eastAsia="en-US"/>
              </w:rPr>
              <w:t>FAP5b</w:t>
            </w:r>
          </w:p>
        </w:tc>
        <w:tc>
          <w:tcPr>
            <w:tcW w:w="3150" w:type="dxa"/>
          </w:tcPr>
          <w:p w:rsidR="00637E07" w:rsidRPr="00637E07" w:rsidP="00637E07" w14:paraId="5DC544FD" w14:textId="77777777">
            <w:pPr>
              <w:spacing w:after="20"/>
              <w:rPr>
                <w:rFonts w:eastAsia="Garamond" w:cs="Times New Roman"/>
                <w:lang w:eastAsia="en-US"/>
              </w:rPr>
            </w:pPr>
            <w:r w:rsidRPr="00637E07">
              <w:rPr>
                <w:rFonts w:eastAsia="Garamond" w:cs="Times New Roman"/>
                <w:lang w:eastAsia="en-US"/>
              </w:rPr>
              <w:t>Added question to collect amount of SNAP benefits for participants receiving SNAP</w:t>
            </w:r>
          </w:p>
        </w:tc>
        <w:tc>
          <w:tcPr>
            <w:tcW w:w="4140" w:type="dxa"/>
          </w:tcPr>
          <w:p w:rsidR="00637E07" w:rsidRPr="00637E07" w:rsidP="00637E07" w14:paraId="73F47C8B" w14:textId="77777777">
            <w:pPr>
              <w:numPr>
                <w:ilvl w:val="0"/>
                <w:numId w:val="20"/>
              </w:numPr>
              <w:spacing w:after="20"/>
              <w:ind w:left="391"/>
              <w:rPr>
                <w:rFonts w:eastAsia="Garamond" w:cs="Times New Roman"/>
                <w:lang w:eastAsia="en-US"/>
              </w:rPr>
            </w:pPr>
            <w:r w:rsidRPr="00637E07">
              <w:rPr>
                <w:rFonts w:eastAsia="Garamond" w:cs="Times New Roman"/>
                <w:lang w:eastAsia="en-US"/>
              </w:rPr>
              <w:t>Data item needed for analysis</w:t>
            </w:r>
          </w:p>
        </w:tc>
      </w:tr>
      <w:tr w14:paraId="03492C2D" w14:textId="77777777" w:rsidTr="00E06409">
        <w:tblPrEx>
          <w:tblW w:w="0" w:type="auto"/>
          <w:tblLook w:val="04A0"/>
        </w:tblPrEx>
        <w:trPr>
          <w:trHeight w:val="210"/>
        </w:trPr>
        <w:tc>
          <w:tcPr>
            <w:tcW w:w="1620" w:type="dxa"/>
          </w:tcPr>
          <w:p w:rsidR="00637E07" w:rsidRPr="00637E07" w:rsidP="00637E07" w14:paraId="0709CBC8" w14:textId="77777777">
            <w:pPr>
              <w:spacing w:after="20"/>
              <w:rPr>
                <w:rFonts w:eastAsia="Garamond" w:cs="Times New Roman"/>
                <w:lang w:eastAsia="en-US"/>
              </w:rPr>
            </w:pPr>
            <w:r w:rsidRPr="00637E07">
              <w:rPr>
                <w:rFonts w:eastAsia="Garamond" w:cs="Times New Roman"/>
                <w:lang w:eastAsia="en-US"/>
              </w:rPr>
              <w:t>FAP8, FAP10</w:t>
            </w:r>
          </w:p>
        </w:tc>
        <w:tc>
          <w:tcPr>
            <w:tcW w:w="3150" w:type="dxa"/>
          </w:tcPr>
          <w:p w:rsidR="00637E07" w:rsidRPr="00637E07" w:rsidP="00637E07" w14:paraId="1DDB5F12" w14:textId="77777777">
            <w:pPr>
              <w:spacing w:after="20"/>
              <w:rPr>
                <w:rFonts w:eastAsia="Garamond" w:cs="Times New Roman"/>
                <w:lang w:eastAsia="en-US"/>
              </w:rPr>
            </w:pPr>
            <w:r w:rsidRPr="00637E07">
              <w:rPr>
                <w:rFonts w:eastAsia="Garamond" w:cs="Times New Roman"/>
                <w:lang w:eastAsia="en-US"/>
              </w:rPr>
              <w:t>Minor wording changes to facilitate understanding</w:t>
            </w:r>
          </w:p>
        </w:tc>
        <w:tc>
          <w:tcPr>
            <w:tcW w:w="4140" w:type="dxa"/>
          </w:tcPr>
          <w:p w:rsidR="00637E07" w:rsidRPr="00637E07" w:rsidP="00637E07" w14:paraId="03DAFDD9"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bookmarkEnd w:id="0"/>
    </w:tbl>
    <w:p w:rsidR="008D3C87" w:rsidRPr="009826AA" w:rsidP="00295313" w14:paraId="532722DB" w14:textId="77777777">
      <w:pPr>
        <w:widowControl w:val="0"/>
        <w:autoSpaceDE w:val="0"/>
        <w:autoSpaceDN w:val="0"/>
        <w:adjustRightInd w:val="0"/>
        <w:ind w:right="-274"/>
        <w:rPr>
          <w:rFonts w:ascii="Times New Roman" w:hAnsi="Times New Roman" w:cs="Times New Roman"/>
          <w:sz w:val="24"/>
          <w:szCs w:val="24"/>
        </w:rPr>
      </w:pPr>
    </w:p>
    <w:p w:rsidR="004F3A3D" w:rsidP="0023662F" w14:paraId="7042B7B5" w14:textId="77777777">
      <w:pPr>
        <w:widowControl w:val="0"/>
        <w:autoSpaceDE w:val="0"/>
        <w:autoSpaceDN w:val="0"/>
        <w:adjustRightInd w:val="0"/>
        <w:ind w:right="-274"/>
        <w:rPr>
          <w:rFonts w:ascii="Times New Roman" w:hAnsi="Times New Roman" w:cs="Times New Roman"/>
          <w:sz w:val="24"/>
          <w:szCs w:val="24"/>
        </w:rPr>
      </w:pPr>
    </w:p>
    <w:p w:rsidR="004F3A3D" w:rsidP="0023662F" w14:paraId="6BE4F959" w14:textId="77777777">
      <w:pPr>
        <w:widowControl w:val="0"/>
        <w:autoSpaceDE w:val="0"/>
        <w:autoSpaceDN w:val="0"/>
        <w:adjustRightInd w:val="0"/>
        <w:ind w:right="-274"/>
        <w:rPr>
          <w:rFonts w:ascii="Times New Roman" w:hAnsi="Times New Roman" w:cs="Times New Roman"/>
          <w:sz w:val="24"/>
          <w:szCs w:val="24"/>
        </w:rPr>
      </w:pPr>
    </w:p>
    <w:p w:rsidR="0023662F" w:rsidP="0023662F" w14:paraId="2AEFBC22" w14:textId="6AB9AD85">
      <w:pPr>
        <w:widowControl w:val="0"/>
        <w:autoSpaceDE w:val="0"/>
        <w:autoSpaceDN w:val="0"/>
        <w:adjustRightInd w:val="0"/>
        <w:ind w:right="-274"/>
        <w:rPr>
          <w:rFonts w:ascii="Times New Roman" w:hAnsi="Times New Roman" w:cs="Times New Roman"/>
          <w:sz w:val="24"/>
          <w:szCs w:val="24"/>
        </w:rPr>
      </w:pPr>
      <w:r w:rsidRPr="002440B5">
        <w:rPr>
          <w:rFonts w:ascii="Times New Roman" w:hAnsi="Times New Roman" w:cs="Times New Roman"/>
          <w:sz w:val="24"/>
          <w:szCs w:val="24"/>
        </w:rPr>
        <w:t>If you have any questions regarding this request, please contact Jamia Franklin, FNS Information Collection Clearance Officer for the Food and Nutrition Service, Planning &amp; Regulatory Affairs Office at (703) 305-2403.</w:t>
      </w:r>
    </w:p>
    <w:p w:rsidR="0023662F" w:rsidP="00295313" w14:paraId="5E8B8EBC" w14:textId="77777777">
      <w:pPr>
        <w:widowControl w:val="0"/>
        <w:autoSpaceDE w:val="0"/>
        <w:autoSpaceDN w:val="0"/>
        <w:adjustRightInd w:val="0"/>
        <w:ind w:right="-274"/>
        <w:rPr>
          <w:rFonts w:ascii="Times New Roman" w:hAnsi="Times New Roman" w:cs="Times New Roman"/>
          <w:sz w:val="24"/>
          <w:szCs w:val="24"/>
        </w:rPr>
      </w:pPr>
    </w:p>
    <w:p w:rsidR="006016DA" w:rsidP="00680FF1" w14:paraId="2F433EF1" w14:textId="421B83E0">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 </w:t>
      </w:r>
    </w:p>
    <w:p w:rsidR="001C3033" w:rsidP="001C3033" w14:paraId="0DB4FF71" w14:textId="77777777">
      <w:pPr>
        <w:ind w:right="-274"/>
        <w:rPr>
          <w:rFonts w:ascii="Times New Roman" w:hAnsi="Times New Roman"/>
          <w:sz w:val="24"/>
          <w:szCs w:val="28"/>
          <w:u w:val="single"/>
        </w:rPr>
      </w:pPr>
      <w:r w:rsidRPr="00B6715E">
        <w:rPr>
          <w:rFonts w:ascii="Times New Roman" w:hAnsi="Times New Roman"/>
          <w:sz w:val="24"/>
          <w:szCs w:val="28"/>
          <w:u w:val="single"/>
        </w:rPr>
        <w:t>A</w:t>
      </w:r>
      <w:r w:rsidRPr="00B6715E" w:rsidR="00B6715E">
        <w:rPr>
          <w:rFonts w:ascii="Times New Roman" w:hAnsi="Times New Roman"/>
          <w:sz w:val="24"/>
          <w:szCs w:val="28"/>
          <w:u w:val="single"/>
        </w:rPr>
        <w:t>ttachment</w:t>
      </w:r>
      <w:r w:rsidR="001C25EF">
        <w:rPr>
          <w:rFonts w:ascii="Times New Roman" w:hAnsi="Times New Roman"/>
          <w:sz w:val="24"/>
          <w:szCs w:val="28"/>
          <w:u w:val="single"/>
        </w:rPr>
        <w:t>s</w:t>
      </w:r>
      <w:r w:rsidRPr="00B6715E">
        <w:rPr>
          <w:rFonts w:ascii="Times New Roman" w:hAnsi="Times New Roman"/>
          <w:sz w:val="24"/>
          <w:szCs w:val="28"/>
          <w:u w:val="single"/>
        </w:rPr>
        <w:t>:</w:t>
      </w:r>
    </w:p>
    <w:p w:rsidR="00295313" w:rsidRPr="001A74EB" w:rsidP="00295313" w14:paraId="5F331019" w14:textId="1B6DDAF9">
      <w:pPr>
        <w:pStyle w:val="ListParagraph"/>
        <w:numPr>
          <w:ilvl w:val="0"/>
          <w:numId w:val="14"/>
        </w:numPr>
        <w:ind w:right="-274"/>
        <w:rPr>
          <w:rFonts w:ascii="Times New Roman" w:hAnsi="Times New Roman"/>
          <w:szCs w:val="28"/>
          <w:u w:val="single"/>
        </w:rPr>
      </w:pPr>
      <w:r>
        <w:rPr>
          <w:rFonts w:ascii="Times New Roman" w:hAnsi="Times New Roman"/>
          <w:szCs w:val="28"/>
        </w:rPr>
        <w:t>SSA_Persistent</w:t>
      </w:r>
      <w:r>
        <w:rPr>
          <w:rFonts w:ascii="Times New Roman" w:hAnsi="Times New Roman"/>
          <w:szCs w:val="28"/>
        </w:rPr>
        <w:t xml:space="preserve"> Poverty</w:t>
      </w:r>
      <w:r w:rsidR="008A6B21">
        <w:rPr>
          <w:rFonts w:ascii="Times New Roman" w:hAnsi="Times New Roman"/>
          <w:szCs w:val="28"/>
        </w:rPr>
        <w:t xml:space="preserve"> </w:t>
      </w:r>
    </w:p>
    <w:p w:rsidR="001A74EB" w:rsidRPr="00DE31AB" w:rsidP="00295313" w14:paraId="1DD54755" w14:textId="5B42F7AB">
      <w:pPr>
        <w:pStyle w:val="ListParagraph"/>
        <w:numPr>
          <w:ilvl w:val="0"/>
          <w:numId w:val="14"/>
        </w:numPr>
        <w:ind w:right="-274"/>
        <w:rPr>
          <w:rFonts w:ascii="Times New Roman" w:hAnsi="Times New Roman"/>
          <w:szCs w:val="28"/>
          <w:u w:val="single"/>
        </w:rPr>
      </w:pPr>
      <w:r>
        <w:rPr>
          <w:rFonts w:ascii="Times New Roman" w:hAnsi="Times New Roman"/>
          <w:szCs w:val="28"/>
        </w:rPr>
        <w:t>SSB_Persistent</w:t>
      </w:r>
      <w:r>
        <w:rPr>
          <w:rFonts w:ascii="Times New Roman" w:hAnsi="Times New Roman"/>
          <w:szCs w:val="28"/>
        </w:rPr>
        <w:t xml:space="preserve"> Poverty</w:t>
      </w:r>
    </w:p>
    <w:p w:rsidR="00DE31AB" w:rsidRPr="001A74EB" w:rsidP="00295313" w14:paraId="5F66A5E5" w14:textId="332451A9">
      <w:pPr>
        <w:pStyle w:val="ListParagraph"/>
        <w:numPr>
          <w:ilvl w:val="0"/>
          <w:numId w:val="14"/>
        </w:numPr>
        <w:ind w:right="-274"/>
        <w:rPr>
          <w:rFonts w:ascii="Times New Roman" w:hAnsi="Times New Roman"/>
          <w:szCs w:val="28"/>
          <w:u w:val="single"/>
        </w:rPr>
      </w:pPr>
      <w:r>
        <w:rPr>
          <w:rFonts w:ascii="Times New Roman" w:hAnsi="Times New Roman"/>
          <w:szCs w:val="28"/>
        </w:rPr>
        <w:t>S1. Household Survey (</w:t>
      </w:r>
      <w:r>
        <w:rPr>
          <w:rFonts w:ascii="Times New Roman" w:hAnsi="Times New Roman"/>
          <w:szCs w:val="28"/>
        </w:rPr>
        <w:t>English-Spanish</w:t>
      </w:r>
      <w:r>
        <w:rPr>
          <w:rFonts w:ascii="Times New Roman" w:hAnsi="Times New Roman"/>
          <w:szCs w:val="28"/>
        </w:rPr>
        <w:t>)</w:t>
      </w:r>
    </w:p>
    <w:p w:rsidR="00B6715E" w:rsidRPr="004F3A3D" w:rsidP="008A6B21" w14:paraId="321D4330" w14:textId="7360353F">
      <w:pPr>
        <w:pStyle w:val="ListParagraph"/>
        <w:numPr>
          <w:ilvl w:val="0"/>
          <w:numId w:val="14"/>
        </w:numPr>
        <w:ind w:right="-274"/>
        <w:rPr>
          <w:rFonts w:ascii="Times New Roman" w:hAnsi="Times New Roman"/>
          <w:szCs w:val="28"/>
          <w:u w:val="single"/>
        </w:rPr>
      </w:pPr>
      <w:r>
        <w:rPr>
          <w:rFonts w:ascii="Times New Roman" w:hAnsi="Times New Roman"/>
          <w:szCs w:val="28"/>
        </w:rPr>
        <w:t>U. Incentives Experiments</w:t>
      </w:r>
    </w:p>
    <w:sectPr w:rsidSect="004B0291">
      <w:footerReference w:type="defaul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576" w:rsidP="00FF216E" w14:paraId="4496182E" w14:textId="77777777">
    <w:pPr>
      <w:pStyle w:val="Footer"/>
      <w:jc w:val="center"/>
      <w:rPr>
        <w:sz w:val="14"/>
      </w:rPr>
    </w:pPr>
  </w:p>
  <w:p w:rsidR="00931576" w:rsidP="00FF216E" w14:paraId="4D2A6385" w14:textId="77777777">
    <w:pPr>
      <w:pStyle w:val="Footer"/>
      <w:jc w:val="center"/>
      <w:rPr>
        <w:sz w:val="14"/>
      </w:rPr>
    </w:pPr>
    <w:r>
      <w:rPr>
        <w:sz w:val="14"/>
      </w:rPr>
      <w:t>USDA is an Equal Opportunity Provider, Employer and Lender</w:t>
    </w:r>
  </w:p>
  <w:p w:rsidR="00931576" w:rsidP="00FF216E" w14:paraId="6E38B1BE" w14:textId="77777777">
    <w:pPr>
      <w:pStyle w:val="Footer"/>
      <w:jc w:val="center"/>
      <w:rPr>
        <w:sz w:val="14"/>
      </w:rPr>
    </w:pPr>
  </w:p>
  <w:p w:rsidR="00931576" w:rsidRPr="0027535D" w:rsidP="0027535D" w14:paraId="1007AA5B" w14:textId="77777777">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931576" w:rsidP="00FF216E" w14:paraId="111F20EE"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76614931" w14:textId="77777777">
    <w:pPr>
      <w:pStyle w:val="Footer"/>
      <w:jc w:val="center"/>
      <w:rPr>
        <w:sz w:val="14"/>
      </w:rPr>
    </w:pPr>
    <w:r>
      <w:rPr>
        <w:sz w:val="14"/>
      </w:rPr>
      <w:t>USDA is an Equal Opportunity Provider, Employer and Lender</w:t>
    </w:r>
  </w:p>
  <w:p w:rsidR="00BC6317" w14:paraId="0D41D5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125F" w14:paraId="1A476ADD" w14:textId="77777777">
      <w:r>
        <w:separator/>
      </w:r>
    </w:p>
  </w:footnote>
  <w:footnote w:type="continuationSeparator" w:id="1">
    <w:p w:rsidR="00C2125F" w14:paraId="3BF7D12E" w14:textId="77777777">
      <w:r>
        <w:continuationSeparator/>
      </w:r>
    </w:p>
  </w:footnote>
  <w:footnote w:id="2">
    <w:p w:rsidR="00D03589" w:rsidRPr="00D03589" w14:paraId="549BA573" w14:textId="08BD2E9D">
      <w:pPr>
        <w:pStyle w:val="FootnoteText"/>
        <w:rPr>
          <w:b/>
          <w:bCs/>
          <w:sz w:val="16"/>
          <w:szCs w:val="16"/>
        </w:rPr>
      </w:pPr>
      <w:r>
        <w:rPr>
          <w:rStyle w:val="FootnoteReference"/>
        </w:rPr>
        <w:footnoteRef/>
      </w:r>
      <w:r>
        <w:t xml:space="preserve"> </w:t>
      </w:r>
      <w:r w:rsidRPr="00D03589">
        <w:rPr>
          <w:color w:val="222222"/>
          <w:sz w:val="16"/>
          <w:szCs w:val="16"/>
          <w:shd w:val="clear" w:color="auto" w:fill="FFFFFF"/>
        </w:rPr>
        <w:t xml:space="preserve">Ipek Bilgen, David </w:t>
      </w:r>
      <w:r w:rsidRPr="00D03589">
        <w:rPr>
          <w:color w:val="222222"/>
          <w:sz w:val="16"/>
          <w:szCs w:val="16"/>
          <w:shd w:val="clear" w:color="auto" w:fill="FFFFFF"/>
        </w:rPr>
        <w:t>Dutwin</w:t>
      </w:r>
      <w:r w:rsidRPr="00D03589">
        <w:rPr>
          <w:color w:val="222222"/>
          <w:sz w:val="16"/>
          <w:szCs w:val="16"/>
          <w:shd w:val="clear" w:color="auto" w:fill="FFFFFF"/>
        </w:rPr>
        <w:t xml:space="preserve">, Roopam Singh, Erlina </w:t>
      </w:r>
      <w:r w:rsidRPr="00D03589">
        <w:rPr>
          <w:color w:val="222222"/>
          <w:sz w:val="16"/>
          <w:szCs w:val="16"/>
          <w:shd w:val="clear" w:color="auto" w:fill="FFFFFF"/>
        </w:rPr>
        <w:t>Hendarwan</w:t>
      </w:r>
      <w:r w:rsidRPr="00D03589">
        <w:rPr>
          <w:color w:val="222222"/>
          <w:sz w:val="16"/>
          <w:szCs w:val="16"/>
          <w:shd w:val="clear" w:color="auto" w:fill="FFFFFF"/>
        </w:rPr>
        <w:t xml:space="preserve">, Peekaboo! The Effect of Different Visible Cash Display and Amount Options During Mail Contact When Recruiting to a Probability-Based Panel, Journal of Survey Statistics and Methodology, 2023; smad039, </w:t>
      </w:r>
      <w:hyperlink r:id="rId1" w:history="1">
        <w:r w:rsidRPr="00D03589">
          <w:rPr>
            <w:rStyle w:val="Hyperlink"/>
            <w:sz w:val="16"/>
            <w:szCs w:val="16"/>
            <w:shd w:val="clear" w:color="auto" w:fill="FFFFFF"/>
          </w:rPr>
          <w:t>https://doi.org/10.1093/jssam/smad039</w:t>
        </w:r>
      </w:hyperlink>
      <w:r w:rsidRPr="00D03589">
        <w:rPr>
          <w:color w:val="222222"/>
          <w:sz w:val="16"/>
          <w:szCs w:val="16"/>
          <w:shd w:val="clear" w:color="auto" w:fill="FFFFFF"/>
        </w:rPr>
        <w:t xml:space="preserve"> </w:t>
      </w:r>
    </w:p>
  </w:footnote>
  <w:footnote w:id="3">
    <w:p w:rsidR="00D03589" w14:paraId="3799B570" w14:textId="7C19D746">
      <w:pPr>
        <w:pStyle w:val="FootnoteText"/>
      </w:pPr>
      <w:r>
        <w:rPr>
          <w:rStyle w:val="FootnoteReference"/>
        </w:rPr>
        <w:footnoteRef/>
      </w:r>
      <w:r>
        <w:t xml:space="preserve"> </w:t>
      </w:r>
      <w:r w:rsidRPr="00D03589">
        <w:rPr>
          <w:sz w:val="16"/>
          <w:szCs w:val="16"/>
        </w:rPr>
        <w:t>Zhang, Shiyu, et al. "Visible cash, a second incentive, and priority mail? An experimental evaluation of mailing strategies for a screening questionnaire in a national push-to-web/mail survey." Journal of Survey Statistics and Methodology 11.5 (2023): 1011-1031.</w:t>
      </w:r>
    </w:p>
  </w:footnote>
  <w:footnote w:id="4">
    <w:p w:rsidR="00D03589" w14:paraId="013E8A10" w14:textId="339FC5F3">
      <w:pPr>
        <w:pStyle w:val="FootnoteText"/>
      </w:pPr>
      <w:r>
        <w:rPr>
          <w:rStyle w:val="FootnoteReference"/>
        </w:rPr>
        <w:footnoteRef/>
      </w:r>
      <w:r>
        <w:t xml:space="preserve"> </w:t>
      </w:r>
      <w:r w:rsidRPr="00D03589">
        <w:rPr>
          <w:color w:val="222222"/>
          <w:sz w:val="16"/>
          <w:szCs w:val="16"/>
          <w:shd w:val="clear" w:color="auto" w:fill="FFFFFF"/>
        </w:rPr>
        <w:t>DeBell, Matthew. "The Visible Cash Effect with Prepaid Incentives: Evidence for Data Quality, Response Rates, Generalizability, and Cost." </w:t>
      </w:r>
      <w:r w:rsidRPr="00D03589">
        <w:rPr>
          <w:i/>
          <w:iCs/>
          <w:color w:val="222222"/>
          <w:sz w:val="16"/>
          <w:szCs w:val="16"/>
          <w:shd w:val="clear" w:color="auto" w:fill="FFFFFF"/>
        </w:rPr>
        <w:t>Journal of Survey Statistics and Methodology</w:t>
      </w:r>
      <w:r w:rsidRPr="00D03589">
        <w:rPr>
          <w:color w:val="222222"/>
          <w:sz w:val="16"/>
          <w:szCs w:val="16"/>
          <w:shd w:val="clear" w:color="auto" w:fill="FFFFFF"/>
        </w:rPr>
        <w:t> 11.5 (2023): 991-1010.</w:t>
      </w:r>
    </w:p>
  </w:footnote>
  <w:footnote w:id="5">
    <w:p w:rsidR="00332110" w:rsidRPr="00332110" w14:paraId="1AFF898A" w14:textId="34BBA52A">
      <w:pPr>
        <w:pStyle w:val="FootnoteText"/>
      </w:pPr>
      <w:r w:rsidRPr="00332110">
        <w:rPr>
          <w:rStyle w:val="FootnoteReference"/>
          <w:sz w:val="16"/>
          <w:szCs w:val="16"/>
        </w:rPr>
        <w:footnoteRef/>
      </w:r>
      <w:r w:rsidRPr="00332110">
        <w:rPr>
          <w:sz w:val="16"/>
          <w:szCs w:val="16"/>
        </w:rPr>
        <w:t xml:space="preserve"> </w:t>
      </w:r>
      <w:hyperlink r:id="rId2" w:history="1">
        <w:r w:rsidRPr="00794E56" w:rsidR="00E06409">
          <w:rPr>
            <w:rStyle w:val="Hyperlink"/>
            <w:sz w:val="16"/>
            <w:szCs w:val="16"/>
          </w:rPr>
          <w:t>https://public-inspection.federalregister.gov/2024-06469.pdf</w:t>
        </w:r>
      </w:hyperlink>
    </w:p>
  </w:footnote>
  <w:footnote w:id="6">
    <w:p w:rsidR="00E06409" w:rsidRPr="00E06409" w14:paraId="61A72A83" w14:textId="7D8D84A9">
      <w:pPr>
        <w:pStyle w:val="FootnoteText"/>
      </w:pPr>
      <w:r w:rsidRPr="00E06409">
        <w:rPr>
          <w:rStyle w:val="FootnoteReference"/>
          <w:sz w:val="16"/>
          <w:szCs w:val="16"/>
        </w:rPr>
        <w:footnoteRef/>
      </w:r>
      <w:r w:rsidRPr="00E06409">
        <w:rPr>
          <w:sz w:val="16"/>
          <w:szCs w:val="16"/>
        </w:rPr>
        <w:t xml:space="preserve"> </w:t>
      </w:r>
      <w:hyperlink r:id="rId2" w:history="1">
        <w:r w:rsidRPr="00E06409">
          <w:rPr>
            <w:rStyle w:val="Hyperlink"/>
            <w:sz w:val="16"/>
            <w:szCs w:val="16"/>
          </w:rPr>
          <w:t>https://public-inspection.federalregister.gov/2024-06469.pdf</w:t>
        </w:r>
      </w:hyperlink>
    </w:p>
  </w:footnote>
  <w:footnote w:id="7">
    <w:p w:rsidR="0057155E" w:rsidP="0057155E" w14:paraId="0098091F" w14:textId="665FF34F">
      <w:pPr>
        <w:pStyle w:val="FootnoteText"/>
      </w:pPr>
      <w:r>
        <w:rPr>
          <w:rStyle w:val="FootnoteReference"/>
        </w:rPr>
        <w:footnoteRef/>
      </w:r>
      <w:r w:rsidRPr="00332110">
        <w:rPr>
          <w:lang w:val=""/>
        </w:rPr>
        <w:t xml:space="preserve"> Coleman-Jensen, A., &amp; </w:t>
      </w:r>
      <w:r w:rsidRPr="00332110">
        <w:rPr>
          <w:lang w:val=""/>
        </w:rPr>
        <w:t>Rabbitt</w:t>
      </w:r>
      <w:r w:rsidRPr="00332110">
        <w:rPr>
          <w:lang w:val=""/>
        </w:rPr>
        <w:t xml:space="preserve">, M.P. (2023). </w:t>
      </w:r>
      <w:r>
        <w:t xml:space="preserve">Analysis of the current population survey food security </w:t>
      </w:r>
    </w:p>
    <w:p w:rsidR="0057155E" w:rsidP="0057155E" w14:paraId="63A293EC" w14:textId="77777777">
      <w:pPr>
        <w:pStyle w:val="FootnoteText"/>
      </w:pPr>
      <w:r>
        <w:t xml:space="preserve">supplement split-panel test (Report No. TB-1963), U.S. Department of Agriculture, Economic </w:t>
      </w:r>
    </w:p>
    <w:p w:rsidR="0057155E" w:rsidP="0057155E" w14:paraId="17378D40" w14:textId="2496DC8B">
      <w:pPr>
        <w:pStyle w:val="FootnoteText"/>
      </w:pPr>
      <w:r>
        <w:t>Research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B06C16"/>
    <w:multiLevelType w:val="hybridMultilevel"/>
    <w:tmpl w:val="B726C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7357E9"/>
    <w:multiLevelType w:val="hybridMultilevel"/>
    <w:tmpl w:val="80781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8C520D1"/>
    <w:multiLevelType w:val="hybridMultilevel"/>
    <w:tmpl w:val="A89A93A0"/>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D860139"/>
    <w:multiLevelType w:val="hybridMultilevel"/>
    <w:tmpl w:val="28F6A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A75279"/>
    <w:multiLevelType w:val="hybridMultilevel"/>
    <w:tmpl w:val="65F25DA2"/>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1032A6"/>
    <w:multiLevelType w:val="hybridMultilevel"/>
    <w:tmpl w:val="FC002F56"/>
    <w:lvl w:ilvl="0">
      <w:start w:val="0"/>
      <w:numFmt w:val="bullet"/>
      <w:lvlText w:val="-"/>
      <w:lvlJc w:val="left"/>
      <w:pPr>
        <w:ind w:left="720" w:hanging="360"/>
      </w:pPr>
      <w:rPr>
        <w:rFonts w:ascii="Times New Roman" w:hAnsi="Times New Roman" w:eastAsiaTheme="minorEastAsia"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2325481">
    <w:abstractNumId w:val="11"/>
  </w:num>
  <w:num w:numId="2" w16cid:durableId="541133760">
    <w:abstractNumId w:val="10"/>
  </w:num>
  <w:num w:numId="3" w16cid:durableId="1780297719">
    <w:abstractNumId w:val="0"/>
  </w:num>
  <w:num w:numId="4" w16cid:durableId="985747174">
    <w:abstractNumId w:val="13"/>
  </w:num>
  <w:num w:numId="5" w16cid:durableId="759453788">
    <w:abstractNumId w:val="6"/>
  </w:num>
  <w:num w:numId="6" w16cid:durableId="66078031">
    <w:abstractNumId w:val="7"/>
  </w:num>
  <w:num w:numId="7" w16cid:durableId="895966991">
    <w:abstractNumId w:val="1"/>
  </w:num>
  <w:num w:numId="8" w16cid:durableId="1393234008">
    <w:abstractNumId w:val="12"/>
  </w:num>
  <w:num w:numId="9" w16cid:durableId="6098630">
    <w:abstractNumId w:val="4"/>
  </w:num>
  <w:num w:numId="10" w16cid:durableId="1806047048">
    <w:abstractNumId w:val="5"/>
  </w:num>
  <w:num w:numId="11" w16cid:durableId="954673540">
    <w:abstractNumId w:val="2"/>
  </w:num>
  <w:num w:numId="12" w16cid:durableId="148177205">
    <w:abstractNumId w:val="14"/>
  </w:num>
  <w:num w:numId="13" w16cid:durableId="189071644">
    <w:abstractNumId w:val="3"/>
  </w:num>
  <w:num w:numId="14" w16cid:durableId="1124807955">
    <w:abstractNumId w:val="16"/>
  </w:num>
  <w:num w:numId="15" w16cid:durableId="1965848398">
    <w:abstractNumId w:val="15"/>
  </w:num>
  <w:num w:numId="16" w16cid:durableId="1940985932">
    <w:abstractNumId w:val="15"/>
  </w:num>
  <w:num w:numId="17" w16cid:durableId="1744788827">
    <w:abstractNumId w:val="8"/>
  </w:num>
  <w:num w:numId="18" w16cid:durableId="1007172393">
    <w:abstractNumId w:val="18"/>
  </w:num>
  <w:num w:numId="19" w16cid:durableId="1454594877">
    <w:abstractNumId w:val="17"/>
  </w:num>
  <w:num w:numId="20" w16cid:durableId="1630670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6315"/>
    <w:rsid w:val="00017685"/>
    <w:rsid w:val="00025445"/>
    <w:rsid w:val="0005205C"/>
    <w:rsid w:val="0005379C"/>
    <w:rsid w:val="00073B6C"/>
    <w:rsid w:val="00095AA9"/>
    <w:rsid w:val="000A4D41"/>
    <w:rsid w:val="000D4414"/>
    <w:rsid w:val="000F1C93"/>
    <w:rsid w:val="00100B1D"/>
    <w:rsid w:val="00103447"/>
    <w:rsid w:val="001131D4"/>
    <w:rsid w:val="00113BF2"/>
    <w:rsid w:val="0012078E"/>
    <w:rsid w:val="001437D8"/>
    <w:rsid w:val="00145DEE"/>
    <w:rsid w:val="001929BA"/>
    <w:rsid w:val="00192F0E"/>
    <w:rsid w:val="001971D1"/>
    <w:rsid w:val="001A32D3"/>
    <w:rsid w:val="001A74EB"/>
    <w:rsid w:val="001C25EF"/>
    <w:rsid w:val="001C3033"/>
    <w:rsid w:val="001D4A49"/>
    <w:rsid w:val="001D702C"/>
    <w:rsid w:val="0021354A"/>
    <w:rsid w:val="00221456"/>
    <w:rsid w:val="00225845"/>
    <w:rsid w:val="0023662F"/>
    <w:rsid w:val="00236DFB"/>
    <w:rsid w:val="002440B5"/>
    <w:rsid w:val="0027535D"/>
    <w:rsid w:val="002768A6"/>
    <w:rsid w:val="00292507"/>
    <w:rsid w:val="00295313"/>
    <w:rsid w:val="00297AE2"/>
    <w:rsid w:val="002B2A41"/>
    <w:rsid w:val="002B440D"/>
    <w:rsid w:val="002E6E02"/>
    <w:rsid w:val="00303576"/>
    <w:rsid w:val="0031292F"/>
    <w:rsid w:val="00314646"/>
    <w:rsid w:val="00320FF0"/>
    <w:rsid w:val="00332110"/>
    <w:rsid w:val="0033440E"/>
    <w:rsid w:val="00340F42"/>
    <w:rsid w:val="0035225D"/>
    <w:rsid w:val="003726F0"/>
    <w:rsid w:val="00390C17"/>
    <w:rsid w:val="00395C52"/>
    <w:rsid w:val="003A1957"/>
    <w:rsid w:val="003B4514"/>
    <w:rsid w:val="003B528A"/>
    <w:rsid w:val="003B5987"/>
    <w:rsid w:val="003C0A57"/>
    <w:rsid w:val="003D12DB"/>
    <w:rsid w:val="003D58EA"/>
    <w:rsid w:val="00406D5C"/>
    <w:rsid w:val="004173E8"/>
    <w:rsid w:val="00441156"/>
    <w:rsid w:val="00465181"/>
    <w:rsid w:val="004735F5"/>
    <w:rsid w:val="00480EC5"/>
    <w:rsid w:val="00483A3A"/>
    <w:rsid w:val="0049775C"/>
    <w:rsid w:val="004B0291"/>
    <w:rsid w:val="004D2D99"/>
    <w:rsid w:val="004D357E"/>
    <w:rsid w:val="004D5F59"/>
    <w:rsid w:val="004D6984"/>
    <w:rsid w:val="004F3A3D"/>
    <w:rsid w:val="00507856"/>
    <w:rsid w:val="00510C7A"/>
    <w:rsid w:val="0051640E"/>
    <w:rsid w:val="0052313D"/>
    <w:rsid w:val="0057155E"/>
    <w:rsid w:val="005769F5"/>
    <w:rsid w:val="00582693"/>
    <w:rsid w:val="00590A42"/>
    <w:rsid w:val="005A0F0F"/>
    <w:rsid w:val="005B1DD7"/>
    <w:rsid w:val="005B2DEB"/>
    <w:rsid w:val="005B3307"/>
    <w:rsid w:val="005C61A2"/>
    <w:rsid w:val="006016DA"/>
    <w:rsid w:val="00605B9A"/>
    <w:rsid w:val="0061570D"/>
    <w:rsid w:val="006173C2"/>
    <w:rsid w:val="00636EC3"/>
    <w:rsid w:val="00637E07"/>
    <w:rsid w:val="0065131A"/>
    <w:rsid w:val="00657F16"/>
    <w:rsid w:val="00674681"/>
    <w:rsid w:val="006773E5"/>
    <w:rsid w:val="00680FF1"/>
    <w:rsid w:val="00697A63"/>
    <w:rsid w:val="006B0073"/>
    <w:rsid w:val="006C37DC"/>
    <w:rsid w:val="006D5011"/>
    <w:rsid w:val="00707C44"/>
    <w:rsid w:val="00710B64"/>
    <w:rsid w:val="00716681"/>
    <w:rsid w:val="00746F42"/>
    <w:rsid w:val="007601EB"/>
    <w:rsid w:val="0076146A"/>
    <w:rsid w:val="00762504"/>
    <w:rsid w:val="00767627"/>
    <w:rsid w:val="0077430D"/>
    <w:rsid w:val="00794E56"/>
    <w:rsid w:val="0079593F"/>
    <w:rsid w:val="007970AB"/>
    <w:rsid w:val="007A66F1"/>
    <w:rsid w:val="007C5449"/>
    <w:rsid w:val="007C7637"/>
    <w:rsid w:val="007E025B"/>
    <w:rsid w:val="007E35DD"/>
    <w:rsid w:val="007F4330"/>
    <w:rsid w:val="00811E88"/>
    <w:rsid w:val="0082781A"/>
    <w:rsid w:val="00833F27"/>
    <w:rsid w:val="008522B6"/>
    <w:rsid w:val="008603F9"/>
    <w:rsid w:val="00882918"/>
    <w:rsid w:val="00897D5F"/>
    <w:rsid w:val="008A6B21"/>
    <w:rsid w:val="008C0EB5"/>
    <w:rsid w:val="008C2514"/>
    <w:rsid w:val="008C6F90"/>
    <w:rsid w:val="008D276D"/>
    <w:rsid w:val="008D2913"/>
    <w:rsid w:val="008D3C87"/>
    <w:rsid w:val="008D3DA8"/>
    <w:rsid w:val="008F4179"/>
    <w:rsid w:val="008F611C"/>
    <w:rsid w:val="00915E67"/>
    <w:rsid w:val="00931576"/>
    <w:rsid w:val="009454E3"/>
    <w:rsid w:val="00945DB2"/>
    <w:rsid w:val="0094605E"/>
    <w:rsid w:val="00946D3B"/>
    <w:rsid w:val="0097127A"/>
    <w:rsid w:val="009753E8"/>
    <w:rsid w:val="00977288"/>
    <w:rsid w:val="009826AA"/>
    <w:rsid w:val="0098676B"/>
    <w:rsid w:val="009909CB"/>
    <w:rsid w:val="009941A4"/>
    <w:rsid w:val="009B3B4A"/>
    <w:rsid w:val="009E71A8"/>
    <w:rsid w:val="00A11C47"/>
    <w:rsid w:val="00A40365"/>
    <w:rsid w:val="00A47B39"/>
    <w:rsid w:val="00A835B4"/>
    <w:rsid w:val="00A84A58"/>
    <w:rsid w:val="00A852CE"/>
    <w:rsid w:val="00AA10C0"/>
    <w:rsid w:val="00AB3F0D"/>
    <w:rsid w:val="00AB4804"/>
    <w:rsid w:val="00AB5B6A"/>
    <w:rsid w:val="00AC3F8C"/>
    <w:rsid w:val="00AD2EBC"/>
    <w:rsid w:val="00AF0700"/>
    <w:rsid w:val="00AF10A6"/>
    <w:rsid w:val="00AF3EA7"/>
    <w:rsid w:val="00AF4B9B"/>
    <w:rsid w:val="00B017C9"/>
    <w:rsid w:val="00B01C4E"/>
    <w:rsid w:val="00B0533F"/>
    <w:rsid w:val="00B07603"/>
    <w:rsid w:val="00B1165B"/>
    <w:rsid w:val="00B12D14"/>
    <w:rsid w:val="00B20C68"/>
    <w:rsid w:val="00B26B2A"/>
    <w:rsid w:val="00B36729"/>
    <w:rsid w:val="00B50DC6"/>
    <w:rsid w:val="00B51A2D"/>
    <w:rsid w:val="00B61F93"/>
    <w:rsid w:val="00B6715E"/>
    <w:rsid w:val="00B7158F"/>
    <w:rsid w:val="00B779E0"/>
    <w:rsid w:val="00B922DD"/>
    <w:rsid w:val="00BC3C34"/>
    <w:rsid w:val="00BC6317"/>
    <w:rsid w:val="00BD29B1"/>
    <w:rsid w:val="00BD377F"/>
    <w:rsid w:val="00BD3B50"/>
    <w:rsid w:val="00BD58D3"/>
    <w:rsid w:val="00BE6E68"/>
    <w:rsid w:val="00BF5ED3"/>
    <w:rsid w:val="00C05307"/>
    <w:rsid w:val="00C05D57"/>
    <w:rsid w:val="00C10C38"/>
    <w:rsid w:val="00C2125F"/>
    <w:rsid w:val="00C31E54"/>
    <w:rsid w:val="00C37966"/>
    <w:rsid w:val="00C8141E"/>
    <w:rsid w:val="00C93BA4"/>
    <w:rsid w:val="00C976DB"/>
    <w:rsid w:val="00C97F68"/>
    <w:rsid w:val="00CB01CF"/>
    <w:rsid w:val="00CB0B5B"/>
    <w:rsid w:val="00CB2749"/>
    <w:rsid w:val="00CD2E6B"/>
    <w:rsid w:val="00D03589"/>
    <w:rsid w:val="00D16FC0"/>
    <w:rsid w:val="00D2733A"/>
    <w:rsid w:val="00D63AEE"/>
    <w:rsid w:val="00D854AE"/>
    <w:rsid w:val="00DD3E91"/>
    <w:rsid w:val="00DE033D"/>
    <w:rsid w:val="00DE31AB"/>
    <w:rsid w:val="00E06409"/>
    <w:rsid w:val="00E272E2"/>
    <w:rsid w:val="00E57338"/>
    <w:rsid w:val="00E72548"/>
    <w:rsid w:val="00E73864"/>
    <w:rsid w:val="00E9610C"/>
    <w:rsid w:val="00E96388"/>
    <w:rsid w:val="00EA52B2"/>
    <w:rsid w:val="00EC0D08"/>
    <w:rsid w:val="00EC504E"/>
    <w:rsid w:val="00EE52C0"/>
    <w:rsid w:val="00EE5E20"/>
    <w:rsid w:val="00F03795"/>
    <w:rsid w:val="00F31208"/>
    <w:rsid w:val="00F35C2B"/>
    <w:rsid w:val="00F63227"/>
    <w:rsid w:val="00F75998"/>
    <w:rsid w:val="00F81DDE"/>
    <w:rsid w:val="00F85A63"/>
    <w:rsid w:val="00FA15E4"/>
    <w:rsid w:val="00FC57A4"/>
    <w:rsid w:val="00FC617F"/>
    <w:rsid w:val="00FE7A76"/>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D1DFF2"/>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75C"/>
    <w:pPr>
      <w:spacing w:after="0" w:line="240" w:lineRule="auto"/>
    </w:pPr>
    <w:rPr>
      <w:rFonts w:ascii="Arial" w:hAnsi="Arial" w:eastAsiaTheme="minorEastAsia" w:cs="Arial"/>
      <w:color w:val="000000"/>
      <w:lang w:eastAsia="ja-JP"/>
    </w:rPr>
  </w:style>
  <w:style w:type="paragraph" w:styleId="Heading1">
    <w:name w:val="heading 1"/>
    <w:basedOn w:val="Normal"/>
    <w:next w:val="Normal"/>
    <w:link w:val="Heading1Char"/>
    <w:uiPriority w:val="9"/>
    <w:qFormat/>
    <w:rsid w:val="00406D5C"/>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unhideWhenUsed/>
    <w:rsid w:val="001929BA"/>
    <w:rPr>
      <w:sz w:val="20"/>
      <w:szCs w:val="20"/>
    </w:rPr>
  </w:style>
  <w:style w:type="character" w:customStyle="1" w:styleId="CommentTextChar">
    <w:name w:val="Comment Text Char"/>
    <w:basedOn w:val="DefaultParagraphFont"/>
    <w:link w:val="CommentText"/>
    <w:uiPriority w:val="99"/>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paragraph" w:styleId="Revision">
    <w:name w:val="Revision"/>
    <w:hidden/>
    <w:uiPriority w:val="99"/>
    <w:semiHidden/>
    <w:rsid w:val="0098676B"/>
    <w:pPr>
      <w:spacing w:after="0" w:line="240" w:lineRule="auto"/>
    </w:pPr>
    <w:rPr>
      <w:rFonts w:ascii="Arial" w:hAnsi="Arial" w:eastAsiaTheme="minorEastAsia" w:cs="Arial"/>
      <w:color w:val="000000"/>
      <w:lang w:eastAsia="ja-JP"/>
    </w:rPr>
  </w:style>
  <w:style w:type="character" w:customStyle="1" w:styleId="Heading1Char">
    <w:name w:val="Heading 1 Char"/>
    <w:basedOn w:val="DefaultParagraphFont"/>
    <w:link w:val="Heading1"/>
    <w:uiPriority w:val="9"/>
    <w:rsid w:val="00406D5C"/>
    <w:rPr>
      <w:rFonts w:asciiTheme="majorHAnsi" w:eastAsiaTheme="majorEastAsia" w:hAnsiTheme="majorHAnsi" w:cstheme="majorBidi"/>
      <w:color w:val="2E74B5" w:themeColor="accent1" w:themeShade="BF"/>
      <w:sz w:val="32"/>
      <w:szCs w:val="32"/>
    </w:rPr>
  </w:style>
  <w:style w:type="character" w:customStyle="1" w:styleId="ParagraphChar">
    <w:name w:val="Paragraph Char"/>
    <w:basedOn w:val="DefaultParagraphFont"/>
    <w:link w:val="Paragraph0"/>
    <w:locked/>
    <w:rsid w:val="00406D5C"/>
  </w:style>
  <w:style w:type="paragraph" w:customStyle="1" w:styleId="Paragraph0">
    <w:name w:val="Paragraph"/>
    <w:basedOn w:val="Normal"/>
    <w:link w:val="ParagraphChar"/>
    <w:qFormat/>
    <w:rsid w:val="00406D5C"/>
    <w:pPr>
      <w:spacing w:after="160" w:line="264" w:lineRule="auto"/>
    </w:pPr>
    <w:rPr>
      <w:rFonts w:asciiTheme="minorHAnsi" w:eastAsiaTheme="minorHAnsi" w:hAnsiTheme="minorHAnsi" w:cstheme="minorBidi"/>
      <w:color w:val="auto"/>
      <w:lang w:eastAsia="en-US"/>
    </w:rPr>
  </w:style>
  <w:style w:type="table" w:customStyle="1" w:styleId="BaseTable">
    <w:name w:val="Base Table"/>
    <w:basedOn w:val="TableNormal"/>
    <w:rsid w:val="00637E07"/>
    <w:pPr>
      <w:spacing w:before="40" w:after="20" w:line="240" w:lineRule="auto"/>
    </w:pPr>
    <w:rPr>
      <w:rFonts w:ascii="Arial" w:hAnsi="Arial"/>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paragraph" w:styleId="FootnoteText">
    <w:name w:val="footnote text"/>
    <w:basedOn w:val="Normal"/>
    <w:link w:val="FootnoteTextChar"/>
    <w:uiPriority w:val="99"/>
    <w:semiHidden/>
    <w:unhideWhenUsed/>
    <w:rsid w:val="00D03589"/>
    <w:rPr>
      <w:sz w:val="20"/>
      <w:szCs w:val="20"/>
    </w:rPr>
  </w:style>
  <w:style w:type="character" w:customStyle="1" w:styleId="FootnoteTextChar">
    <w:name w:val="Footnote Text Char"/>
    <w:basedOn w:val="DefaultParagraphFont"/>
    <w:link w:val="FootnoteText"/>
    <w:uiPriority w:val="99"/>
    <w:semiHidden/>
    <w:rsid w:val="00D03589"/>
    <w:rPr>
      <w:rFonts w:ascii="Arial" w:hAnsi="Arial" w:eastAsiaTheme="minorEastAsia" w:cs="Arial"/>
      <w:color w:val="000000"/>
      <w:sz w:val="20"/>
      <w:szCs w:val="20"/>
      <w:lang w:eastAsia="ja-JP"/>
    </w:rPr>
  </w:style>
  <w:style w:type="character" w:styleId="FootnoteReference">
    <w:name w:val="footnote reference"/>
    <w:basedOn w:val="DefaultParagraphFont"/>
    <w:uiPriority w:val="99"/>
    <w:semiHidden/>
    <w:unhideWhenUsed/>
    <w:rsid w:val="00D035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footnotes.xml.rels><?xml version="1.0" encoding="utf-8" standalone="yes"?><Relationships xmlns="http://schemas.openxmlformats.org/package/2006/relationships"><Relationship Id="rId1" Type="http://schemas.openxmlformats.org/officeDocument/2006/relationships/hyperlink" Target="https://doi.org/10.1093/jssam/smad039" TargetMode="External" /><Relationship Id="rId2" Type="http://schemas.openxmlformats.org/officeDocument/2006/relationships/hyperlink" Target="https://public-inspection.federalregister.gov/2024-0646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1D95E-9C65-4FA6-8D15-3F1649FCF630}">
  <ds:schemaRefs>
    <ds:schemaRef ds:uri="http://schemas.microsoft.com/sharepoint/v3/contenttype/forms"/>
  </ds:schemaRefs>
</ds:datastoreItem>
</file>

<file path=customXml/itemProps2.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customXml/itemProps4.xml><?xml version="1.0" encoding="utf-8"?>
<ds:datastoreItem xmlns:ds="http://schemas.openxmlformats.org/officeDocument/2006/customXml" ds:itemID="{214FAB1B-7754-4460-91FA-9A1925D0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Franklin, Jamia - FNS</cp:lastModifiedBy>
  <cp:revision>2</cp:revision>
  <dcterms:created xsi:type="dcterms:W3CDTF">2024-04-09T10:49:00Z</dcterms:created>
  <dcterms:modified xsi:type="dcterms:W3CDTF">2024-04-09T10:49:00Z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