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4EA99C7" w:rsidP="683D6E06" w14:paraId="12FDF66C" w14:textId="662BAEA7">
      <w:pPr>
        <w:jc w:val="center"/>
        <w:rPr>
          <w:b/>
          <w:bCs/>
          <w:sz w:val="24"/>
          <w:szCs w:val="24"/>
        </w:rPr>
      </w:pPr>
      <w:r w:rsidRPr="04EA99C7">
        <w:rPr>
          <w:b/>
          <w:bCs/>
          <w:sz w:val="24"/>
          <w:szCs w:val="24"/>
        </w:rPr>
        <w:t>Supporting Statement for Paperwork Reduction Act Submissions</w:t>
      </w:r>
    </w:p>
    <w:p w:rsidR="00D865FC" w:rsidP="00D865FC" w14:paraId="79123D0A" w14:textId="77777777">
      <w:pPr>
        <w:jc w:val="center"/>
        <w:rPr>
          <w:b/>
          <w:sz w:val="24"/>
          <w:szCs w:val="24"/>
        </w:rPr>
      </w:pPr>
      <w:r>
        <w:rPr>
          <w:b/>
          <w:sz w:val="24"/>
          <w:szCs w:val="24"/>
        </w:rPr>
        <w:t>Evaluation of the Green and Resilient Retrofit Program</w:t>
      </w:r>
    </w:p>
    <w:p w:rsidR="00D865FC" w:rsidP="683D6E06" w14:paraId="10D93D52" w14:textId="4CB6891D">
      <w:pPr>
        <w:jc w:val="center"/>
        <w:rPr>
          <w:b/>
          <w:bCs/>
          <w:sz w:val="24"/>
          <w:szCs w:val="24"/>
        </w:rPr>
      </w:pPr>
      <w:r>
        <w:rPr>
          <w:b/>
          <w:bCs/>
          <w:sz w:val="24"/>
          <w:szCs w:val="24"/>
        </w:rPr>
        <w:t>OMB# 2528-XXXX</w:t>
      </w:r>
    </w:p>
    <w:p w:rsidR="009E13B1" w:rsidP="006C7FAE" w14:paraId="706585A0" w14:textId="77777777">
      <w:pPr>
        <w:rPr>
          <w:b/>
          <w:sz w:val="24"/>
          <w:szCs w:val="24"/>
        </w:rPr>
      </w:pPr>
    </w:p>
    <w:p w:rsidR="00D865FC" w:rsidP="006C7FAE" w14:paraId="31C4607D" w14:textId="77777777">
      <w:pPr>
        <w:rPr>
          <w:b/>
          <w:sz w:val="24"/>
          <w:szCs w:val="24"/>
        </w:rPr>
      </w:pPr>
    </w:p>
    <w:p w:rsidR="009E13B1" w:rsidRPr="006C7FAE" w14:paraId="01C431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5EB0B38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P="007957C0" w14:paraId="3BE4D555" w14:textId="11B3B4D6">
      <w:pPr>
        <w:keepLines/>
        <w:tabs>
          <w:tab w:val="left" w:pos="360"/>
        </w:tabs>
        <w:spacing w:after="200"/>
        <w:ind w:left="360" w:hanging="360"/>
        <w:rPr>
          <w:sz w:val="24"/>
          <w:szCs w:val="24"/>
        </w:rPr>
      </w:pPr>
      <w:r w:rsidRPr="7F336052">
        <w:rPr>
          <w:sz w:val="24"/>
          <w:szCs w:val="24"/>
        </w:rPr>
        <w:t>1.</w:t>
      </w:r>
      <w:r>
        <w:tab/>
      </w:r>
      <w:r w:rsidRPr="7F33605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0C1E" w:rsidP="00D60C1E" w14:paraId="4EC9A109" w14:textId="4F05DAD7">
      <w:pPr>
        <w:keepLines/>
        <w:tabs>
          <w:tab w:val="left" w:pos="360"/>
        </w:tabs>
        <w:spacing w:after="200"/>
        <w:ind w:left="360" w:hanging="360"/>
        <w:rPr>
          <w:sz w:val="24"/>
          <w:szCs w:val="24"/>
        </w:rPr>
      </w:pPr>
      <w:r>
        <w:rPr>
          <w:color w:val="000000" w:themeColor="text1"/>
          <w:sz w:val="24"/>
          <w:szCs w:val="24"/>
        </w:rPr>
        <w:tab/>
      </w:r>
      <w:r w:rsidRPr="183CF0B8" w:rsidR="05072941">
        <w:rPr>
          <w:color w:val="000000" w:themeColor="text1"/>
          <w:sz w:val="24"/>
          <w:szCs w:val="24"/>
        </w:rPr>
        <w:t xml:space="preserve">The Office of Policy Development and Research (PD&amp;R), at the U.S. Department of Housing and Urban Development (HUD), is proposing the collection of information </w:t>
      </w:r>
      <w:r w:rsidRPr="183CF0B8" w:rsidR="05072941">
        <w:rPr>
          <w:sz w:val="24"/>
          <w:szCs w:val="24"/>
        </w:rPr>
        <w:t xml:space="preserve">to support an evaluation of the Green and Resilient Retrofit Program (GRRP). GRRP is a newly funded program through Section 30002 of the Inflation Reduction Act of 2022 titled “Improving Energy Efficiency or Water Efficiency or Climate Resilience of Affordable Housing.” </w:t>
      </w:r>
      <w:r w:rsidRPr="183CF0B8" w:rsidR="5928EB48">
        <w:rPr>
          <w:sz w:val="24"/>
          <w:szCs w:val="24"/>
        </w:rPr>
        <w:t>$60 million is appropriated</w:t>
      </w:r>
      <w:r w:rsidRPr="183CF0B8" w:rsidR="224E3F31">
        <w:rPr>
          <w:sz w:val="24"/>
          <w:szCs w:val="24"/>
        </w:rPr>
        <w:t xml:space="preserve"> to HUD</w:t>
      </w:r>
      <w:r w:rsidRPr="183CF0B8" w:rsidR="5928EB48">
        <w:rPr>
          <w:sz w:val="24"/>
          <w:szCs w:val="24"/>
        </w:rPr>
        <w:t xml:space="preserve"> for </w:t>
      </w:r>
      <w:r w:rsidRPr="183CF0B8" w:rsidR="7EB219BE">
        <w:rPr>
          <w:sz w:val="24"/>
          <w:szCs w:val="24"/>
        </w:rPr>
        <w:t>“</w:t>
      </w:r>
      <w:r w:rsidRPr="183CF0B8" w:rsidR="5928EB48">
        <w:rPr>
          <w:sz w:val="24"/>
          <w:szCs w:val="24"/>
        </w:rPr>
        <w:t>information technology, research and evaluation, and administering and overseeing the implementation</w:t>
      </w:r>
      <w:r w:rsidRPr="183CF0B8" w:rsidR="47662C36">
        <w:rPr>
          <w:sz w:val="24"/>
          <w:szCs w:val="24"/>
        </w:rPr>
        <w:t>” (P.L. 117-169</w:t>
      </w:r>
      <w:r w:rsidR="7AFFBC2F">
        <w:rPr>
          <w:sz w:val="24"/>
          <w:szCs w:val="24"/>
        </w:rPr>
        <w:t xml:space="preserve">; see full statutory </w:t>
      </w:r>
      <w:r w:rsidR="4AAA8CD1">
        <w:rPr>
          <w:sz w:val="24"/>
          <w:szCs w:val="24"/>
        </w:rPr>
        <w:t>text</w:t>
      </w:r>
      <w:r w:rsidR="7AFFBC2F">
        <w:rPr>
          <w:sz w:val="24"/>
          <w:szCs w:val="24"/>
        </w:rPr>
        <w:t xml:space="preserve"> in Appendix H</w:t>
      </w:r>
      <w:r w:rsidRPr="183CF0B8" w:rsidR="47662C36">
        <w:rPr>
          <w:sz w:val="24"/>
          <w:szCs w:val="24"/>
        </w:rPr>
        <w:t>).</w:t>
      </w:r>
      <w:r w:rsidR="1B987B5F">
        <w:rPr>
          <w:sz w:val="24"/>
          <w:szCs w:val="24"/>
        </w:rPr>
        <w:t xml:space="preserve"> </w:t>
      </w:r>
      <w:r w:rsidR="11D789FD">
        <w:rPr>
          <w:sz w:val="24"/>
          <w:szCs w:val="24"/>
        </w:rPr>
        <w:t>In addition,</w:t>
      </w:r>
      <w:r w:rsidR="2489B6EE">
        <w:rPr>
          <w:sz w:val="24"/>
          <w:szCs w:val="24"/>
        </w:rPr>
        <w:t xml:space="preserve"> $42.5 million is appropriated to HUD </w:t>
      </w:r>
      <w:r w:rsidR="55B22866">
        <w:rPr>
          <w:sz w:val="24"/>
          <w:szCs w:val="24"/>
        </w:rPr>
        <w:t>for “</w:t>
      </w:r>
      <w:r w:rsidRPr="00AA0211" w:rsidR="55B22866">
        <w:rPr>
          <w:sz w:val="24"/>
          <w:szCs w:val="24"/>
        </w:rPr>
        <w:t>energy and water benchmarking of properties eligible to receive grants or loans under this section, regardless of whether they actually received such grants or loans, along with associated data analysis and evaluation at the property and portfolio level, and the development of information technology systems necessary for the collection, evaluation, and analysis of such data</w:t>
      </w:r>
      <w:r w:rsidR="55B22866">
        <w:rPr>
          <w:sz w:val="24"/>
          <w:szCs w:val="24"/>
        </w:rPr>
        <w:t>”</w:t>
      </w:r>
      <w:r w:rsidR="6FDD967D">
        <w:rPr>
          <w:sz w:val="24"/>
          <w:szCs w:val="24"/>
        </w:rPr>
        <w:t xml:space="preserve"> (P.L. 117-169).</w:t>
      </w:r>
      <w:r w:rsidR="11D789FD">
        <w:rPr>
          <w:sz w:val="24"/>
          <w:szCs w:val="24"/>
        </w:rPr>
        <w:t xml:space="preserve"> </w:t>
      </w:r>
      <w:r w:rsidR="2D7ED78C">
        <w:rPr>
          <w:sz w:val="24"/>
          <w:szCs w:val="24"/>
        </w:rPr>
        <w:t xml:space="preserve">Eligible properties include </w:t>
      </w:r>
      <w:r w:rsidRPr="00FD25FD" w:rsidR="1B987B5F">
        <w:rPr>
          <w:sz w:val="24"/>
          <w:szCs w:val="24"/>
        </w:rPr>
        <w:t>all properties under HUD</w:t>
      </w:r>
      <w:r w:rsidR="1B987B5F">
        <w:rPr>
          <w:sz w:val="24"/>
          <w:szCs w:val="24"/>
        </w:rPr>
        <w:t>-a</w:t>
      </w:r>
      <w:r w:rsidRPr="00FD25FD" w:rsidR="1B987B5F">
        <w:rPr>
          <w:sz w:val="24"/>
          <w:szCs w:val="24"/>
        </w:rPr>
        <w:t>ssisted program</w:t>
      </w:r>
      <w:r w:rsidR="1B987B5F">
        <w:rPr>
          <w:sz w:val="24"/>
          <w:szCs w:val="24"/>
        </w:rPr>
        <w:t>s</w:t>
      </w:r>
      <w:r w:rsidRPr="00FD25FD" w:rsidR="1B987B5F">
        <w:rPr>
          <w:sz w:val="24"/>
          <w:szCs w:val="24"/>
        </w:rPr>
        <w:t xml:space="preserve"> Section 202, Section 811, </w:t>
      </w:r>
      <w:r w:rsidR="1B987B5F">
        <w:rPr>
          <w:sz w:val="24"/>
          <w:szCs w:val="24"/>
        </w:rPr>
        <w:t xml:space="preserve">Section 236, </w:t>
      </w:r>
      <w:r w:rsidR="101DA284">
        <w:rPr>
          <w:sz w:val="24"/>
          <w:szCs w:val="24"/>
        </w:rPr>
        <w:t>and</w:t>
      </w:r>
      <w:r w:rsidRPr="00FD25FD" w:rsidR="1B987B5F">
        <w:rPr>
          <w:sz w:val="24"/>
          <w:szCs w:val="24"/>
        </w:rPr>
        <w:t xml:space="preserve"> project-based Section 8</w:t>
      </w:r>
      <w:r w:rsidR="1B987B5F">
        <w:rPr>
          <w:sz w:val="24"/>
          <w:szCs w:val="24"/>
        </w:rPr>
        <w:t>.</w:t>
      </w:r>
    </w:p>
    <w:p w:rsidR="00C73C22" w:rsidP="007957C0" w14:paraId="72EA44D1" w14:textId="77777777">
      <w:pPr>
        <w:suppressAutoHyphens/>
        <w:spacing w:after="200"/>
        <w:ind w:left="360"/>
        <w:rPr>
          <w:sz w:val="24"/>
          <w:szCs w:val="24"/>
        </w:rPr>
      </w:pPr>
      <w:r w:rsidRPr="0F0D57EB">
        <w:rPr>
          <w:sz w:val="24"/>
          <w:szCs w:val="24"/>
        </w:rPr>
        <w:t xml:space="preserve">HUD is offering GRRP funding in the form of grants or loans through three award cohorts designed to meet the needs of properties in different situations, implemented through three parallel Notices of Funding Opportunities (NOFOs). These award cohorts are the Elements Award cohort, the </w:t>
      </w:r>
      <w:r w:rsidRPr="0F0D57EB">
        <w:rPr>
          <w:sz w:val="24"/>
          <w:szCs w:val="24"/>
        </w:rPr>
        <w:t>Leading Edge</w:t>
      </w:r>
      <w:r w:rsidRPr="0F0D57EB">
        <w:rPr>
          <w:sz w:val="24"/>
          <w:szCs w:val="24"/>
        </w:rPr>
        <w:t xml:space="preserve"> Award cohort, and the Comprehensive Award cohort. Under all three award cohorts, </w:t>
      </w:r>
      <w:r>
        <w:rPr>
          <w:sz w:val="24"/>
          <w:szCs w:val="24"/>
        </w:rPr>
        <w:t>o</w:t>
      </w:r>
      <w:r w:rsidRPr="0F0D57EB">
        <w:rPr>
          <w:sz w:val="24"/>
          <w:szCs w:val="24"/>
        </w:rPr>
        <w:t xml:space="preserve">wners of eligible HUD-assisted multifamily properties will receive funding in the form of grants or loans to undertake retrofits, enhancements, and upgrades to improve energy and water efficiency, indoor air quality, and climate hazard resilience; to reduce emissions; to use renewable energy; and/or to use low Embodied Carbon materials. </w:t>
      </w:r>
    </w:p>
    <w:p w:rsidR="00C73C22" w:rsidP="183CF0B8" w14:paraId="205EF832" w14:textId="0915529E">
      <w:pPr>
        <w:suppressAutoHyphens/>
        <w:spacing w:after="200"/>
        <w:ind w:left="360"/>
        <w:rPr>
          <w:sz w:val="24"/>
          <w:szCs w:val="24"/>
        </w:rPr>
      </w:pPr>
      <w:r w:rsidRPr="7F336052">
        <w:rPr>
          <w:sz w:val="24"/>
          <w:szCs w:val="24"/>
        </w:rPr>
        <w:t>The “Elements” NOFO provides modest funding to Owners to add proven and meaningful climate resilience, energy efficiency, electrification, and renewable energy measures to the construction scopes of in-progress recapitalization transactions.</w:t>
      </w:r>
      <w:r w:rsidRPr="7F336052" w:rsidR="37FFF814">
        <w:rPr>
          <w:sz w:val="24"/>
          <w:szCs w:val="24"/>
        </w:rPr>
        <w:t xml:space="preserve"> The first wave of Elements</w:t>
      </w:r>
      <w:r w:rsidRPr="7F336052" w:rsidR="019AF689">
        <w:rPr>
          <w:sz w:val="24"/>
          <w:szCs w:val="24"/>
        </w:rPr>
        <w:t xml:space="preserve"> awards was made in June 2023, and the last wave of Elements awards is </w:t>
      </w:r>
      <w:r w:rsidRPr="7F336052" w:rsidR="29EB20D6">
        <w:rPr>
          <w:sz w:val="24"/>
          <w:szCs w:val="24"/>
        </w:rPr>
        <w:t xml:space="preserve">expected </w:t>
      </w:r>
      <w:r w:rsidRPr="7F336052" w:rsidR="019AF689">
        <w:rPr>
          <w:sz w:val="24"/>
          <w:szCs w:val="24"/>
        </w:rPr>
        <w:t>to be made in March 2024.</w:t>
      </w:r>
      <w:r w:rsidRPr="7F336052">
        <w:rPr>
          <w:sz w:val="24"/>
          <w:szCs w:val="24"/>
        </w:rPr>
        <w:t xml:space="preserve"> The “Leading Edge” NOFO provides funding for retrofit activities to achieve ambitious outcomes, including net zero, renewable energy generation, use of building materials with lower Embodied Carbon, and climate resilience investments. </w:t>
      </w:r>
      <w:r w:rsidRPr="7F336052" w:rsidR="57C18BAB">
        <w:rPr>
          <w:sz w:val="24"/>
          <w:szCs w:val="24"/>
        </w:rPr>
        <w:t xml:space="preserve">The first wave of </w:t>
      </w:r>
      <w:r w:rsidRPr="7F336052" w:rsidR="57C18BAB">
        <w:rPr>
          <w:sz w:val="24"/>
          <w:szCs w:val="24"/>
        </w:rPr>
        <w:t>Leading Edge</w:t>
      </w:r>
      <w:r w:rsidRPr="7F336052" w:rsidR="57C18BAB">
        <w:rPr>
          <w:sz w:val="24"/>
          <w:szCs w:val="24"/>
        </w:rPr>
        <w:t xml:space="preserve"> awards was made in July 2023, and the last wave of Leading Edge Awards is </w:t>
      </w:r>
      <w:r w:rsidRPr="7F336052" w:rsidR="29EB20D6">
        <w:rPr>
          <w:sz w:val="24"/>
          <w:szCs w:val="24"/>
        </w:rPr>
        <w:t xml:space="preserve">expected </w:t>
      </w:r>
      <w:r w:rsidRPr="7F336052" w:rsidR="57C18BAB">
        <w:rPr>
          <w:sz w:val="24"/>
          <w:szCs w:val="24"/>
        </w:rPr>
        <w:t xml:space="preserve">to be made in April 2024. </w:t>
      </w:r>
      <w:r w:rsidRPr="7F336052">
        <w:rPr>
          <w:sz w:val="24"/>
          <w:szCs w:val="24"/>
        </w:rPr>
        <w:t xml:space="preserve">The “Comprehensive” NOFO will provide funding to initiate recapitalization investments designed from inception around both proven and innovative measures, including ambitious green building standards or measures, renewable energy generation, use of building materials with lower Embodied Carbon, </w:t>
      </w:r>
      <w:r w:rsidRPr="7F336052">
        <w:rPr>
          <w:sz w:val="24"/>
          <w:szCs w:val="24"/>
        </w:rPr>
        <w:t>and climate resilience investments.</w:t>
      </w:r>
      <w:r w:rsidRPr="7F336052" w:rsidR="57C18BAB">
        <w:rPr>
          <w:sz w:val="24"/>
          <w:szCs w:val="24"/>
        </w:rPr>
        <w:t xml:space="preserve"> The first wave of Comprehensive awards was made in August 2023, and the last wave of Comprehensive awards is </w:t>
      </w:r>
      <w:r w:rsidRPr="7F336052" w:rsidR="29EB20D6">
        <w:rPr>
          <w:sz w:val="24"/>
          <w:szCs w:val="24"/>
        </w:rPr>
        <w:t xml:space="preserve">expected </w:t>
      </w:r>
      <w:r w:rsidRPr="7F336052" w:rsidR="57C18BAB">
        <w:rPr>
          <w:sz w:val="24"/>
          <w:szCs w:val="24"/>
        </w:rPr>
        <w:t>to be made in May 2024.</w:t>
      </w:r>
    </w:p>
    <w:p w:rsidR="00465028" w:rsidP="183CF0B8" w14:paraId="219C058D" w14:textId="0951D42B">
      <w:pPr>
        <w:suppressAutoHyphens/>
        <w:spacing w:after="200"/>
        <w:ind w:left="360"/>
        <w:rPr>
          <w:sz w:val="24"/>
          <w:szCs w:val="24"/>
        </w:rPr>
      </w:pPr>
      <w:r>
        <w:rPr>
          <w:sz w:val="24"/>
          <w:szCs w:val="24"/>
        </w:rPr>
        <w:t xml:space="preserve">Key research questions to be addressed </w:t>
      </w:r>
      <w:r w:rsidR="46883A8E">
        <w:rPr>
          <w:sz w:val="24"/>
          <w:szCs w:val="24"/>
        </w:rPr>
        <w:t>in the</w:t>
      </w:r>
      <w:r>
        <w:rPr>
          <w:sz w:val="24"/>
          <w:szCs w:val="24"/>
        </w:rPr>
        <w:t xml:space="preserve"> evaluation include: 1. </w:t>
      </w:r>
      <w:r w:rsidRPr="007957C0" w:rsidR="38EFC84F">
        <w:rPr>
          <w:sz w:val="24"/>
          <w:szCs w:val="24"/>
          <w:shd w:val="clear" w:color="auto" w:fill="FFFFFF"/>
        </w:rPr>
        <w:t xml:space="preserve">Do property owners want </w:t>
      </w:r>
      <w:r w:rsidR="60C55BCD">
        <w:rPr>
          <w:sz w:val="24"/>
          <w:szCs w:val="24"/>
          <w:shd w:val="clear" w:color="auto" w:fill="FFFFFF"/>
        </w:rPr>
        <w:t>the resources (loans and grants) that are offered through GRRP</w:t>
      </w:r>
      <w:r w:rsidRPr="007957C0" w:rsidR="38EFC84F">
        <w:rPr>
          <w:sz w:val="24"/>
          <w:szCs w:val="24"/>
          <w:shd w:val="clear" w:color="auto" w:fill="FFFFFF"/>
        </w:rPr>
        <w:t>?</w:t>
      </w:r>
      <w:r w:rsidR="4A445DF8">
        <w:rPr>
          <w:sz w:val="24"/>
          <w:szCs w:val="24"/>
          <w:shd w:val="clear" w:color="auto" w:fill="FFFFFF"/>
        </w:rPr>
        <w:t xml:space="preserve"> Are the funds addressing the right needs?</w:t>
      </w:r>
      <w:r w:rsidRPr="007957C0" w:rsidR="38EFC84F">
        <w:rPr>
          <w:sz w:val="24"/>
          <w:szCs w:val="24"/>
          <w:shd w:val="clear" w:color="auto" w:fill="FFFFFF"/>
        </w:rPr>
        <w:t xml:space="preserve"> What </w:t>
      </w:r>
      <w:r w:rsidRPr="007957C0" w:rsidR="38EFC84F">
        <w:rPr>
          <w:sz w:val="24"/>
          <w:szCs w:val="24"/>
          <w:shd w:val="clear" w:color="auto" w:fill="FFFFFF"/>
        </w:rPr>
        <w:t>flexibilities</w:t>
      </w:r>
      <w:r w:rsidRPr="007957C0" w:rsidR="38EFC84F">
        <w:rPr>
          <w:sz w:val="24"/>
          <w:szCs w:val="24"/>
          <w:shd w:val="clear" w:color="auto" w:fill="FFFFFF"/>
        </w:rPr>
        <w:t xml:space="preserve"> are needed?</w:t>
      </w:r>
      <w:r w:rsidR="0653B457">
        <w:rPr>
          <w:sz w:val="24"/>
          <w:szCs w:val="24"/>
          <w:shd w:val="clear" w:color="auto" w:fill="FFFFFF"/>
        </w:rPr>
        <w:t xml:space="preserve"> 2. </w:t>
      </w:r>
      <w:r w:rsidRPr="007957C0" w:rsidR="38EFC84F">
        <w:rPr>
          <w:sz w:val="24"/>
          <w:szCs w:val="24"/>
          <w:shd w:val="clear" w:color="auto" w:fill="FFFFFF"/>
        </w:rPr>
        <w:t xml:space="preserve">How can </w:t>
      </w:r>
      <w:r w:rsidR="337EF437">
        <w:rPr>
          <w:sz w:val="24"/>
          <w:szCs w:val="24"/>
          <w:shd w:val="clear" w:color="auto" w:fill="FFFFFF"/>
        </w:rPr>
        <w:t>HUD</w:t>
      </w:r>
      <w:r w:rsidRPr="007957C0" w:rsidR="337EF437">
        <w:rPr>
          <w:sz w:val="24"/>
          <w:szCs w:val="24"/>
          <w:shd w:val="clear" w:color="auto" w:fill="FFFFFF"/>
        </w:rPr>
        <w:t xml:space="preserve"> </w:t>
      </w:r>
      <w:r w:rsidRPr="007957C0" w:rsidR="38EFC84F">
        <w:rPr>
          <w:sz w:val="24"/>
          <w:szCs w:val="24"/>
          <w:shd w:val="clear" w:color="auto" w:fill="FFFFFF"/>
        </w:rPr>
        <w:t xml:space="preserve">balance reaching owners </w:t>
      </w:r>
      <w:r w:rsidR="337EF437">
        <w:rPr>
          <w:sz w:val="24"/>
          <w:szCs w:val="24"/>
          <w:shd w:val="clear" w:color="auto" w:fill="FFFFFF"/>
        </w:rPr>
        <w:t xml:space="preserve">with properties </w:t>
      </w:r>
      <w:r w:rsidRPr="007957C0" w:rsidR="38EFC84F">
        <w:rPr>
          <w:sz w:val="24"/>
          <w:szCs w:val="24"/>
          <w:shd w:val="clear" w:color="auto" w:fill="FFFFFF"/>
        </w:rPr>
        <w:t>most in need</w:t>
      </w:r>
      <w:r w:rsidR="337EF437">
        <w:rPr>
          <w:sz w:val="24"/>
          <w:szCs w:val="24"/>
          <w:shd w:val="clear" w:color="auto" w:fill="FFFFFF"/>
        </w:rPr>
        <w:t xml:space="preserve"> of upgrading</w:t>
      </w:r>
      <w:r w:rsidRPr="007957C0" w:rsidR="38EFC84F">
        <w:rPr>
          <w:sz w:val="24"/>
          <w:szCs w:val="24"/>
          <w:shd w:val="clear" w:color="auto" w:fill="FFFFFF"/>
        </w:rPr>
        <w:t xml:space="preserve">, who may not have the capacity to </w:t>
      </w:r>
      <w:r w:rsidR="11A08385">
        <w:rPr>
          <w:sz w:val="24"/>
          <w:szCs w:val="24"/>
          <w:shd w:val="clear" w:color="auto" w:fill="FFFFFF"/>
        </w:rPr>
        <w:t>leverage</w:t>
      </w:r>
      <w:r w:rsidR="34C516DC">
        <w:rPr>
          <w:sz w:val="24"/>
          <w:szCs w:val="24"/>
          <w:shd w:val="clear" w:color="auto" w:fill="FFFFFF"/>
        </w:rPr>
        <w:t xml:space="preserve"> the funds offered through GRRP, </w:t>
      </w:r>
      <w:r w:rsidR="0D209CCF">
        <w:rPr>
          <w:sz w:val="24"/>
          <w:szCs w:val="24"/>
          <w:shd w:val="clear" w:color="auto" w:fill="FFFFFF"/>
        </w:rPr>
        <w:t>with</w:t>
      </w:r>
      <w:r w:rsidRPr="007957C0" w:rsidR="38EFC84F">
        <w:rPr>
          <w:sz w:val="24"/>
          <w:szCs w:val="24"/>
          <w:shd w:val="clear" w:color="auto" w:fill="FFFFFF"/>
        </w:rPr>
        <w:t xml:space="preserve"> achieving the energy, carbon, and resilience goals of the program?</w:t>
      </w:r>
      <w:r w:rsidRPr="00833D7D" w:rsidR="4C16948C">
        <w:rPr>
          <w:sz w:val="24"/>
          <w:szCs w:val="24"/>
          <w:shd w:val="clear" w:color="auto" w:fill="FFFFFF"/>
        </w:rPr>
        <w:t xml:space="preserve"> </w:t>
      </w:r>
      <w:r w:rsidR="0653B457">
        <w:rPr>
          <w:sz w:val="24"/>
          <w:szCs w:val="24"/>
          <w:shd w:val="clear" w:color="auto" w:fill="FFFFFF"/>
        </w:rPr>
        <w:t>3</w:t>
      </w:r>
      <w:r w:rsidRPr="00833D7D" w:rsidR="4C16948C">
        <w:rPr>
          <w:sz w:val="24"/>
          <w:szCs w:val="24"/>
          <w:shd w:val="clear" w:color="auto" w:fill="FFFFFF"/>
        </w:rPr>
        <w:t xml:space="preserve">. </w:t>
      </w:r>
      <w:r w:rsidRPr="007957C0" w:rsidR="4C16948C">
        <w:rPr>
          <w:sz w:val="24"/>
          <w:szCs w:val="24"/>
          <w:shd w:val="clear" w:color="auto" w:fill="FFFFFF"/>
        </w:rPr>
        <w:t xml:space="preserve">Once awarded, what challenges do owners face in developing their scope of work, </w:t>
      </w:r>
      <w:r w:rsidR="5D09CB12">
        <w:rPr>
          <w:sz w:val="24"/>
          <w:szCs w:val="24"/>
          <w:shd w:val="clear" w:color="auto" w:fill="FFFFFF"/>
        </w:rPr>
        <w:t xml:space="preserve">engaging with </w:t>
      </w:r>
      <w:r w:rsidRPr="007957C0" w:rsidR="4C16948C">
        <w:rPr>
          <w:sz w:val="24"/>
          <w:szCs w:val="24"/>
          <w:shd w:val="clear" w:color="auto" w:fill="FFFFFF"/>
        </w:rPr>
        <w:t>resident</w:t>
      </w:r>
      <w:r w:rsidR="5D09CB12">
        <w:rPr>
          <w:sz w:val="24"/>
          <w:szCs w:val="24"/>
          <w:shd w:val="clear" w:color="auto" w:fill="FFFFFF"/>
        </w:rPr>
        <w:t>s</w:t>
      </w:r>
      <w:r w:rsidRPr="007957C0" w:rsidR="4C16948C">
        <w:rPr>
          <w:sz w:val="24"/>
          <w:szCs w:val="24"/>
          <w:shd w:val="clear" w:color="auto" w:fill="FFFFFF"/>
        </w:rPr>
        <w:t xml:space="preserve">, and completing benchmarking and other program requirements? </w:t>
      </w:r>
      <w:r w:rsidR="358DCAB0">
        <w:rPr>
          <w:sz w:val="24"/>
          <w:szCs w:val="24"/>
          <w:shd w:val="clear" w:color="auto" w:fill="FFFFFF"/>
        </w:rPr>
        <w:t>4</w:t>
      </w:r>
      <w:r w:rsidRPr="007957C0" w:rsidR="4C16948C">
        <w:rPr>
          <w:sz w:val="24"/>
          <w:szCs w:val="24"/>
          <w:shd w:val="clear" w:color="auto" w:fill="FFFFFF"/>
        </w:rPr>
        <w:t xml:space="preserve">. How did procurement </w:t>
      </w:r>
      <w:r w:rsidR="48A5E55E">
        <w:rPr>
          <w:sz w:val="24"/>
          <w:szCs w:val="24"/>
          <w:shd w:val="clear" w:color="auto" w:fill="FFFFFF"/>
        </w:rPr>
        <w:t>and</w:t>
      </w:r>
      <w:r w:rsidRPr="007957C0" w:rsidR="4C16948C">
        <w:rPr>
          <w:sz w:val="24"/>
          <w:szCs w:val="24"/>
          <w:shd w:val="clear" w:color="auto" w:fill="FFFFFF"/>
        </w:rPr>
        <w:t xml:space="preserve"> construction go</w:t>
      </w:r>
      <w:r w:rsidR="48A5E55E">
        <w:rPr>
          <w:sz w:val="24"/>
          <w:szCs w:val="24"/>
          <w:shd w:val="clear" w:color="auto" w:fill="FFFFFF"/>
        </w:rPr>
        <w:t xml:space="preserve"> for GRRP compared to past rehabilitations</w:t>
      </w:r>
      <w:r w:rsidRPr="007957C0" w:rsidR="4C16948C">
        <w:rPr>
          <w:sz w:val="24"/>
          <w:szCs w:val="24"/>
          <w:shd w:val="clear" w:color="auto" w:fill="FFFFFF"/>
        </w:rPr>
        <w:t xml:space="preserve">? </w:t>
      </w:r>
      <w:r w:rsidRPr="7F336052" w:rsidR="0DD1ABA1">
        <w:rPr>
          <w:sz w:val="24"/>
          <w:szCs w:val="24"/>
        </w:rPr>
        <w:t>How are investments and installed equipment being maintained</w:t>
      </w:r>
      <w:r w:rsidR="0DD1ABA1">
        <w:rPr>
          <w:sz w:val="24"/>
          <w:szCs w:val="24"/>
          <w:shd w:val="clear" w:color="auto" w:fill="FFFFFF"/>
        </w:rPr>
        <w:t>?</w:t>
      </w:r>
      <w:r w:rsidRPr="007957C0" w:rsidR="4C16948C">
        <w:rPr>
          <w:sz w:val="24"/>
          <w:szCs w:val="24"/>
          <w:shd w:val="clear" w:color="auto" w:fill="FFFFFF"/>
        </w:rPr>
        <w:t xml:space="preserve"> </w:t>
      </w:r>
      <w:r w:rsidR="358DCAB0">
        <w:rPr>
          <w:sz w:val="24"/>
          <w:szCs w:val="24"/>
          <w:shd w:val="clear" w:color="auto" w:fill="FFFFFF"/>
        </w:rPr>
        <w:t xml:space="preserve">5. </w:t>
      </w:r>
      <w:r w:rsidRPr="007957C0" w:rsidR="4C16948C">
        <w:rPr>
          <w:sz w:val="24"/>
          <w:szCs w:val="24"/>
          <w:shd w:val="clear" w:color="auto" w:fill="FFFFFF"/>
        </w:rPr>
        <w:t xml:space="preserve">How satisfied are owners with </w:t>
      </w:r>
      <w:r w:rsidRPr="007957C0" w:rsidR="003C5525">
        <w:rPr>
          <w:sz w:val="24"/>
          <w:szCs w:val="24"/>
          <w:shd w:val="clear" w:color="auto" w:fill="FFFFFF"/>
        </w:rPr>
        <w:t>the outcomes</w:t>
      </w:r>
      <w:r w:rsidRPr="007957C0" w:rsidR="4C16948C">
        <w:rPr>
          <w:sz w:val="24"/>
          <w:szCs w:val="24"/>
          <w:shd w:val="clear" w:color="auto" w:fill="FFFFFF"/>
        </w:rPr>
        <w:t xml:space="preserve">? </w:t>
      </w:r>
      <w:r w:rsidR="7070F91B">
        <w:rPr>
          <w:sz w:val="24"/>
          <w:szCs w:val="24"/>
          <w:shd w:val="clear" w:color="auto" w:fill="FFFFFF"/>
        </w:rPr>
        <w:t>6</w:t>
      </w:r>
      <w:r w:rsidRPr="007957C0" w:rsidR="41A23852">
        <w:rPr>
          <w:sz w:val="24"/>
          <w:szCs w:val="24"/>
          <w:shd w:val="clear" w:color="auto" w:fill="FFFFFF"/>
        </w:rPr>
        <w:t xml:space="preserve">. Have the intended improvements in energy efficiency been achieved, and at what relationship of benefit to cost? </w:t>
      </w:r>
      <w:r w:rsidR="7070F91B">
        <w:rPr>
          <w:sz w:val="24"/>
          <w:szCs w:val="24"/>
          <w:shd w:val="clear" w:color="auto" w:fill="FFFFFF"/>
        </w:rPr>
        <w:t>7</w:t>
      </w:r>
      <w:r w:rsidRPr="007957C0" w:rsidR="41A23852">
        <w:rPr>
          <w:sz w:val="24"/>
          <w:szCs w:val="24"/>
          <w:shd w:val="clear" w:color="auto" w:fill="FFFFFF"/>
        </w:rPr>
        <w:t>. Have the intended improvements in resilience been achieved, and at what relationship of benefit to cost?</w:t>
      </w:r>
      <w:r w:rsidR="75F81266">
        <w:rPr>
          <w:sz w:val="24"/>
          <w:szCs w:val="24"/>
          <w:shd w:val="clear" w:color="auto" w:fill="FFFFFF"/>
        </w:rPr>
        <w:t xml:space="preserve"> 8. </w:t>
      </w:r>
      <w:r w:rsidRPr="00EB15A5" w:rsidR="41421128">
        <w:rPr>
          <w:sz w:val="24"/>
          <w:szCs w:val="24"/>
          <w:shd w:val="clear" w:color="auto" w:fill="FFFFFF"/>
        </w:rPr>
        <w:t>What information beyond raw energy and water usage data is needed to understand consumption and efficiency trends in HUD-assisted multifamily properties?</w:t>
      </w:r>
    </w:p>
    <w:p w:rsidR="00C73C22" w:rsidP="183CF0B8" w14:paraId="766449C9" w14:textId="7218D1FB">
      <w:pPr>
        <w:suppressAutoHyphens/>
        <w:spacing w:after="200"/>
        <w:ind w:left="360"/>
        <w:rPr>
          <w:color w:val="000000"/>
          <w:sz w:val="24"/>
          <w:szCs w:val="24"/>
        </w:rPr>
      </w:pPr>
      <w:r w:rsidRPr="7F336052">
        <w:rPr>
          <w:color w:val="000000" w:themeColor="text1"/>
          <w:sz w:val="24"/>
          <w:szCs w:val="24"/>
        </w:rPr>
        <w:t>The Evaluation of Green and Resilient Retrofit Program (GRRP Evaluation) will be implemented in phases. Under Phase 1, HUD plans to collect survey and interview data related to the application process, the scoping and design phase of GRRP, and the post-construction period.</w:t>
      </w:r>
      <w:r w:rsidRPr="7F336052" w:rsidR="643EF774">
        <w:rPr>
          <w:color w:val="000000" w:themeColor="text1"/>
          <w:sz w:val="24"/>
          <w:szCs w:val="24"/>
        </w:rPr>
        <w:t xml:space="preserve"> </w:t>
      </w:r>
      <w:r w:rsidRPr="7F336052" w:rsidR="56FD1C68">
        <w:rPr>
          <w:color w:val="000000" w:themeColor="text1"/>
          <w:sz w:val="24"/>
          <w:szCs w:val="24"/>
        </w:rPr>
        <w:t xml:space="preserve">In addition, </w:t>
      </w:r>
      <w:r w:rsidRPr="7F336052" w:rsidR="4B066A91">
        <w:rPr>
          <w:color w:val="000000" w:themeColor="text1"/>
          <w:sz w:val="24"/>
          <w:szCs w:val="24"/>
        </w:rPr>
        <w:t xml:space="preserve">benchmarking data for energy and water usage will be collected using a survey. </w:t>
      </w:r>
      <w:r w:rsidRPr="7F336052" w:rsidR="643EF774">
        <w:rPr>
          <w:color w:val="000000" w:themeColor="text1"/>
          <w:sz w:val="24"/>
          <w:szCs w:val="24"/>
        </w:rPr>
        <w:t>Phase 1 data collection will help address research questions 1-5</w:t>
      </w:r>
      <w:r w:rsidRPr="7F336052" w:rsidR="4B066A91">
        <w:rPr>
          <w:color w:val="000000" w:themeColor="text1"/>
          <w:sz w:val="24"/>
          <w:szCs w:val="24"/>
        </w:rPr>
        <w:t>, and 8</w:t>
      </w:r>
      <w:r w:rsidRPr="7F336052" w:rsidR="6FF22DD4">
        <w:rPr>
          <w:color w:val="000000" w:themeColor="text1"/>
          <w:sz w:val="24"/>
          <w:szCs w:val="24"/>
        </w:rPr>
        <w:t xml:space="preserve"> (above)</w:t>
      </w:r>
      <w:r w:rsidRPr="7F336052" w:rsidR="643EF774">
        <w:rPr>
          <w:color w:val="000000" w:themeColor="text1"/>
          <w:sz w:val="24"/>
          <w:szCs w:val="24"/>
        </w:rPr>
        <w:t>. Data collection to address research questions 6-</w:t>
      </w:r>
      <w:r w:rsidRPr="7F336052" w:rsidR="41A320D5">
        <w:rPr>
          <w:color w:val="000000" w:themeColor="text1"/>
          <w:sz w:val="24"/>
          <w:szCs w:val="24"/>
        </w:rPr>
        <w:t>7</w:t>
      </w:r>
      <w:r w:rsidRPr="7F336052" w:rsidR="643EF774">
        <w:rPr>
          <w:color w:val="000000" w:themeColor="text1"/>
          <w:sz w:val="24"/>
          <w:szCs w:val="24"/>
        </w:rPr>
        <w:t xml:space="preserve"> </w:t>
      </w:r>
      <w:r w:rsidRPr="7F336052" w:rsidR="09E15594">
        <w:rPr>
          <w:color w:val="000000" w:themeColor="text1"/>
          <w:sz w:val="24"/>
          <w:szCs w:val="24"/>
        </w:rPr>
        <w:t xml:space="preserve">(above) </w:t>
      </w:r>
      <w:r w:rsidRPr="7F336052" w:rsidR="643EF774">
        <w:rPr>
          <w:color w:val="000000" w:themeColor="text1"/>
          <w:sz w:val="24"/>
          <w:szCs w:val="24"/>
        </w:rPr>
        <w:t xml:space="preserve">will come in </w:t>
      </w:r>
      <w:r w:rsidRPr="7F336052" w:rsidR="34AFAC4B">
        <w:rPr>
          <w:color w:val="000000" w:themeColor="text1"/>
          <w:sz w:val="24"/>
          <w:szCs w:val="24"/>
        </w:rPr>
        <w:t>the</w:t>
      </w:r>
      <w:r w:rsidRPr="7F336052" w:rsidR="643EF774">
        <w:rPr>
          <w:color w:val="000000" w:themeColor="text1"/>
          <w:sz w:val="24"/>
          <w:szCs w:val="24"/>
        </w:rPr>
        <w:t xml:space="preserve"> later phase to b</w:t>
      </w:r>
      <w:r w:rsidRPr="7F336052" w:rsidR="1FF9E5C5">
        <w:rPr>
          <w:color w:val="000000" w:themeColor="text1"/>
          <w:sz w:val="24"/>
          <w:szCs w:val="24"/>
        </w:rPr>
        <w:t>e accompanied by a separate PRA clearance.</w:t>
      </w:r>
      <w:r w:rsidRPr="7F336052" w:rsidR="1B85F5E8">
        <w:rPr>
          <w:color w:val="000000" w:themeColor="text1"/>
          <w:sz w:val="24"/>
          <w:szCs w:val="24"/>
        </w:rPr>
        <w:t xml:space="preserve"> Phase 1 data collection is planned to start in </w:t>
      </w:r>
      <w:r w:rsidRPr="7F336052" w:rsidR="2D0C0F52">
        <w:rPr>
          <w:color w:val="000000" w:themeColor="text1"/>
          <w:sz w:val="24"/>
          <w:szCs w:val="24"/>
        </w:rPr>
        <w:t xml:space="preserve">March </w:t>
      </w:r>
      <w:r w:rsidRPr="7F336052" w:rsidR="1B85F5E8">
        <w:rPr>
          <w:color w:val="000000" w:themeColor="text1"/>
          <w:sz w:val="24"/>
          <w:szCs w:val="24"/>
        </w:rPr>
        <w:t>2024</w:t>
      </w:r>
      <w:r w:rsidRPr="7F336052" w:rsidR="2D0C0F52">
        <w:rPr>
          <w:color w:val="000000" w:themeColor="text1"/>
          <w:sz w:val="24"/>
          <w:szCs w:val="24"/>
        </w:rPr>
        <w:t xml:space="preserve"> for benchmarking and June 2024 for the other components</w:t>
      </w:r>
      <w:r w:rsidRPr="7F336052" w:rsidR="1B85F5E8">
        <w:rPr>
          <w:color w:val="000000" w:themeColor="text1"/>
          <w:sz w:val="24"/>
          <w:szCs w:val="24"/>
        </w:rPr>
        <w:t>.</w:t>
      </w:r>
      <w:r w:rsidRPr="7F336052" w:rsidR="65D1770E">
        <w:rPr>
          <w:color w:val="000000" w:themeColor="text1"/>
          <w:sz w:val="24"/>
          <w:szCs w:val="24"/>
        </w:rPr>
        <w:t xml:space="preserve"> </w:t>
      </w:r>
      <w:r w:rsidRPr="7F336052" w:rsidR="62C928AC">
        <w:rPr>
          <w:color w:val="000000" w:themeColor="text1"/>
          <w:sz w:val="24"/>
          <w:szCs w:val="24"/>
        </w:rPr>
        <w:t>Phase 2 data collection is planned to start no earlier than summer 2026.</w:t>
      </w:r>
    </w:p>
    <w:p w:rsidR="00C73C22" w:rsidP="007957C0" w14:paraId="006FA9FF" w14:textId="01118456">
      <w:pPr>
        <w:pStyle w:val="ListParagraph"/>
        <w:numPr>
          <w:ilvl w:val="0"/>
          <w:numId w:val="17"/>
        </w:numPr>
        <w:suppressAutoHyphens/>
        <w:overflowPunct/>
        <w:autoSpaceDE/>
        <w:autoSpaceDN/>
        <w:adjustRightInd/>
        <w:spacing w:after="200"/>
        <w:ind w:left="360"/>
        <w:textAlignment w:val="auto"/>
        <w:rPr>
          <w:color w:val="000000"/>
          <w:sz w:val="24"/>
          <w:szCs w:val="24"/>
        </w:rPr>
      </w:pPr>
      <w:r w:rsidRPr="7F336052">
        <w:rPr>
          <w:b/>
          <w:bCs/>
          <w:color w:val="000000" w:themeColor="text1"/>
          <w:sz w:val="24"/>
          <w:szCs w:val="24"/>
        </w:rPr>
        <w:t>GRRP Application Survey</w:t>
      </w:r>
      <w:r w:rsidRPr="7F336052" w:rsidR="2BD0365A">
        <w:rPr>
          <w:b/>
          <w:bCs/>
          <w:color w:val="000000" w:themeColor="text1"/>
          <w:sz w:val="24"/>
          <w:szCs w:val="24"/>
        </w:rPr>
        <w:t xml:space="preserve"> and Interview</w:t>
      </w:r>
      <w:r w:rsidR="00155727">
        <w:rPr>
          <w:b/>
          <w:bCs/>
          <w:color w:val="000000" w:themeColor="text1"/>
          <w:sz w:val="24"/>
          <w:szCs w:val="24"/>
        </w:rPr>
        <w:t xml:space="preserve"> (with Consent Forms)</w:t>
      </w:r>
      <w:r w:rsidRPr="7F336052">
        <w:rPr>
          <w:b/>
          <w:bCs/>
          <w:color w:val="000000" w:themeColor="text1"/>
          <w:sz w:val="24"/>
          <w:szCs w:val="24"/>
        </w:rPr>
        <w:t xml:space="preserve">: </w:t>
      </w:r>
      <w:r w:rsidRPr="7F336052">
        <w:rPr>
          <w:color w:val="000000" w:themeColor="text1"/>
          <w:sz w:val="24"/>
          <w:szCs w:val="24"/>
        </w:rPr>
        <w:t xml:space="preserve">The application-related survey and interview will provide data necessary to assess the success of the application process, which is influenced by property owners’ perceptions on the design of the application and the program. </w:t>
      </w:r>
      <w:r w:rsidR="00C81831">
        <w:rPr>
          <w:color w:val="000000" w:themeColor="text1"/>
          <w:sz w:val="24"/>
          <w:szCs w:val="24"/>
        </w:rPr>
        <w:t>Consent forms are embedded.</w:t>
      </w:r>
    </w:p>
    <w:p w:rsidR="00C73C22" w:rsidP="007957C0" w14:paraId="56D9466B" w14:textId="79296E5A">
      <w:pPr>
        <w:pStyle w:val="ListParagraph"/>
        <w:numPr>
          <w:ilvl w:val="0"/>
          <w:numId w:val="17"/>
        </w:numPr>
        <w:suppressAutoHyphens/>
        <w:overflowPunct/>
        <w:autoSpaceDE/>
        <w:autoSpaceDN/>
        <w:adjustRightInd/>
        <w:spacing w:after="200"/>
        <w:ind w:left="360"/>
        <w:textAlignment w:val="auto"/>
        <w:rPr>
          <w:color w:val="000000" w:themeColor="text1"/>
          <w:sz w:val="24"/>
          <w:szCs w:val="24"/>
        </w:rPr>
      </w:pPr>
      <w:r w:rsidRPr="7F336052">
        <w:rPr>
          <w:b/>
          <w:bCs/>
          <w:color w:val="000000" w:themeColor="text1"/>
          <w:sz w:val="24"/>
          <w:szCs w:val="24"/>
        </w:rPr>
        <w:t>GRRP Scoping and Design Survey</w:t>
      </w:r>
      <w:r w:rsidRPr="7F336052" w:rsidR="605755D5">
        <w:rPr>
          <w:b/>
          <w:bCs/>
          <w:color w:val="000000" w:themeColor="text1"/>
          <w:sz w:val="24"/>
          <w:szCs w:val="24"/>
        </w:rPr>
        <w:t xml:space="preserve"> and Interview</w:t>
      </w:r>
      <w:r w:rsidR="00155727">
        <w:rPr>
          <w:b/>
          <w:bCs/>
          <w:color w:val="000000" w:themeColor="text1"/>
          <w:sz w:val="24"/>
          <w:szCs w:val="24"/>
        </w:rPr>
        <w:t xml:space="preserve"> (with Consent Forms)</w:t>
      </w:r>
      <w:r w:rsidRPr="7F336052">
        <w:rPr>
          <w:b/>
          <w:bCs/>
          <w:color w:val="000000" w:themeColor="text1"/>
          <w:sz w:val="24"/>
          <w:szCs w:val="24"/>
        </w:rPr>
        <w:t xml:space="preserve">: </w:t>
      </w:r>
      <w:r w:rsidRPr="7F336052">
        <w:rPr>
          <w:color w:val="000000" w:themeColor="text1"/>
          <w:sz w:val="24"/>
          <w:szCs w:val="24"/>
        </w:rPr>
        <w:t>The survey and interview related to the scoping and design phase of GRRP will provide data necessary to evaluate the process of implementing the program, including what went well and what barriers were encountered. It will cover issues related to activities such as developing the transaction plan and closing package and designing the retrofit.</w:t>
      </w:r>
      <w:r w:rsidR="00C81831">
        <w:rPr>
          <w:color w:val="000000" w:themeColor="text1"/>
          <w:sz w:val="24"/>
          <w:szCs w:val="24"/>
        </w:rPr>
        <w:t xml:space="preserve"> Consent forms are embedded.</w:t>
      </w:r>
    </w:p>
    <w:p w:rsidR="00C73C22" w:rsidP="007957C0" w14:paraId="686F6C35" w14:textId="271D6892">
      <w:pPr>
        <w:pStyle w:val="ListParagraph"/>
        <w:numPr>
          <w:ilvl w:val="0"/>
          <w:numId w:val="17"/>
        </w:numPr>
        <w:suppressAutoHyphens/>
        <w:overflowPunct/>
        <w:autoSpaceDE/>
        <w:autoSpaceDN/>
        <w:adjustRightInd/>
        <w:spacing w:after="200"/>
        <w:ind w:left="360"/>
        <w:textAlignment w:val="auto"/>
        <w:rPr>
          <w:color w:val="000000" w:themeColor="text1"/>
          <w:sz w:val="24"/>
          <w:szCs w:val="24"/>
        </w:rPr>
      </w:pPr>
      <w:r w:rsidRPr="7F336052">
        <w:rPr>
          <w:b/>
          <w:bCs/>
          <w:color w:val="000000" w:themeColor="text1"/>
          <w:sz w:val="24"/>
          <w:szCs w:val="24"/>
        </w:rPr>
        <w:t>GRRP Post-Construction Survey</w:t>
      </w:r>
      <w:r w:rsidRPr="7F336052" w:rsidR="010AC155">
        <w:rPr>
          <w:b/>
          <w:bCs/>
          <w:color w:val="000000" w:themeColor="text1"/>
          <w:sz w:val="24"/>
          <w:szCs w:val="24"/>
        </w:rPr>
        <w:t xml:space="preserve"> and Interview</w:t>
      </w:r>
      <w:r w:rsidR="00155727">
        <w:rPr>
          <w:b/>
          <w:bCs/>
          <w:color w:val="000000" w:themeColor="text1"/>
          <w:sz w:val="24"/>
          <w:szCs w:val="24"/>
        </w:rPr>
        <w:t xml:space="preserve"> (with Consent Forms)</w:t>
      </w:r>
      <w:r w:rsidRPr="7F336052">
        <w:rPr>
          <w:b/>
          <w:bCs/>
          <w:color w:val="000000" w:themeColor="text1"/>
          <w:sz w:val="24"/>
          <w:szCs w:val="24"/>
        </w:rPr>
        <w:t>:</w:t>
      </w:r>
      <w:r w:rsidRPr="7F336052">
        <w:rPr>
          <w:color w:val="000000" w:themeColor="text1"/>
          <w:sz w:val="24"/>
          <w:szCs w:val="24"/>
        </w:rPr>
        <w:t xml:space="preserve"> The post-construction survey and interview will provide data necessary to evaluate how well the program worked in terms of the perceived costs and benefits to property owners, including questions related to construction, such as whether property owners encountered barriers with construction. </w:t>
      </w:r>
      <w:r w:rsidR="00C81831">
        <w:rPr>
          <w:color w:val="000000" w:themeColor="text1"/>
          <w:sz w:val="24"/>
          <w:szCs w:val="24"/>
        </w:rPr>
        <w:t>Consent forms are embedded.</w:t>
      </w:r>
    </w:p>
    <w:p w:rsidR="00420A4F" w:rsidP="00420A4F" w14:paraId="3E6BBAD9" w14:textId="0C2DEA6C">
      <w:pPr>
        <w:pStyle w:val="ListParagraph"/>
        <w:numPr>
          <w:ilvl w:val="0"/>
          <w:numId w:val="17"/>
        </w:numPr>
        <w:suppressAutoHyphens/>
        <w:overflowPunct/>
        <w:autoSpaceDE/>
        <w:autoSpaceDN/>
        <w:adjustRightInd/>
        <w:spacing w:after="200"/>
        <w:ind w:left="360"/>
        <w:textAlignment w:val="auto"/>
        <w:rPr>
          <w:color w:val="000000" w:themeColor="text1"/>
          <w:sz w:val="24"/>
          <w:szCs w:val="24"/>
        </w:rPr>
      </w:pPr>
      <w:r w:rsidRPr="7F336052">
        <w:rPr>
          <w:b/>
          <w:bCs/>
          <w:color w:val="000000" w:themeColor="text1"/>
          <w:sz w:val="24"/>
          <w:szCs w:val="24"/>
        </w:rPr>
        <w:t>Energy Efficiency Survey (Benchmarking)</w:t>
      </w:r>
      <w:r w:rsidRPr="7F336052" w:rsidR="2D0C0F52">
        <w:rPr>
          <w:b/>
          <w:bCs/>
          <w:color w:val="000000" w:themeColor="text1"/>
          <w:sz w:val="24"/>
          <w:szCs w:val="24"/>
        </w:rPr>
        <w:t>:</w:t>
      </w:r>
      <w:r w:rsidRPr="7F336052" w:rsidR="2D0C0F52">
        <w:rPr>
          <w:color w:val="000000" w:themeColor="text1"/>
          <w:sz w:val="24"/>
          <w:szCs w:val="24"/>
        </w:rPr>
        <w:t xml:space="preserve"> The </w:t>
      </w:r>
      <w:r w:rsidRPr="7F336052" w:rsidR="38AB25C4">
        <w:rPr>
          <w:color w:val="000000" w:themeColor="text1"/>
          <w:sz w:val="24"/>
          <w:szCs w:val="24"/>
        </w:rPr>
        <w:t>benchmarking energy efficiency survey will capture data from HUD-assisted property owners on</w:t>
      </w:r>
      <w:r w:rsidRPr="7F336052" w:rsidR="4C1760F1">
        <w:rPr>
          <w:color w:val="000000" w:themeColor="text1"/>
          <w:sz w:val="24"/>
          <w:szCs w:val="24"/>
        </w:rPr>
        <w:t xml:space="preserve"> factors affecting</w:t>
      </w:r>
      <w:r w:rsidRPr="7F336052" w:rsidR="38AB25C4">
        <w:rPr>
          <w:color w:val="000000" w:themeColor="text1"/>
          <w:sz w:val="24"/>
          <w:szCs w:val="24"/>
        </w:rPr>
        <w:t xml:space="preserve"> energy and water usage</w:t>
      </w:r>
      <w:r w:rsidRPr="7F336052" w:rsidR="4B20F648">
        <w:rPr>
          <w:color w:val="000000" w:themeColor="text1"/>
          <w:sz w:val="24"/>
          <w:szCs w:val="24"/>
        </w:rPr>
        <w:t>, which will support the GRRP evaluation</w:t>
      </w:r>
      <w:r w:rsidRPr="7F336052" w:rsidR="2D0C0F52">
        <w:rPr>
          <w:color w:val="000000" w:themeColor="text1"/>
          <w:sz w:val="24"/>
          <w:szCs w:val="24"/>
        </w:rPr>
        <w:t xml:space="preserve">. </w:t>
      </w:r>
    </w:p>
    <w:p w:rsidR="0099315E" w:rsidP="007957C0" w14:paraId="3FDB9A1F" w14:textId="433DD07C">
      <w:pPr>
        <w:widowControl w:val="0"/>
        <w:kinsoku w:val="0"/>
        <w:overflowPunct/>
        <w:autoSpaceDE/>
        <w:autoSpaceDN/>
        <w:adjustRightInd/>
        <w:spacing w:after="200"/>
        <w:ind w:left="360"/>
        <w:textAlignment w:val="auto"/>
        <w:rPr>
          <w:sz w:val="24"/>
          <w:szCs w:val="24"/>
        </w:rPr>
      </w:pPr>
      <w:r>
        <w:rPr>
          <w:sz w:val="24"/>
          <w:szCs w:val="24"/>
        </w:rPr>
        <w:t xml:space="preserve">This ICR is separate from the current GRRP data collection associated with the existing OMB </w:t>
      </w:r>
      <w:r>
        <w:rPr>
          <w:sz w:val="24"/>
          <w:szCs w:val="24"/>
        </w:rPr>
        <w:t>approval (2502-0624)</w:t>
      </w:r>
      <w:r w:rsidR="008354B7">
        <w:rPr>
          <w:sz w:val="24"/>
          <w:szCs w:val="24"/>
        </w:rPr>
        <w:t xml:space="preserve">, which focused </w:t>
      </w:r>
      <w:r w:rsidR="004237D1">
        <w:rPr>
          <w:sz w:val="24"/>
          <w:szCs w:val="24"/>
        </w:rPr>
        <w:t>solely</w:t>
      </w:r>
      <w:r w:rsidR="008354B7">
        <w:rPr>
          <w:sz w:val="24"/>
          <w:szCs w:val="24"/>
        </w:rPr>
        <w:t xml:space="preserve"> on application forms and information collection needed for property owners to apply </w:t>
      </w:r>
      <w:r w:rsidR="004237D1">
        <w:rPr>
          <w:sz w:val="24"/>
          <w:szCs w:val="24"/>
        </w:rPr>
        <w:t>for awards.</w:t>
      </w:r>
    </w:p>
    <w:p w:rsidR="00A0699C" w:rsidP="00A0699C" w14:paraId="7D165F8A" w14:textId="0A56D2A4">
      <w:pPr>
        <w:widowControl w:val="0"/>
        <w:kinsoku w:val="0"/>
        <w:overflowPunct/>
        <w:autoSpaceDE/>
        <w:autoSpaceDN/>
        <w:adjustRightInd/>
        <w:spacing w:after="120" w:line="22" w:lineRule="atLeast"/>
        <w:ind w:left="360"/>
        <w:textAlignment w:val="auto"/>
        <w:rPr>
          <w:sz w:val="24"/>
          <w:szCs w:val="24"/>
        </w:rPr>
      </w:pPr>
      <w:r w:rsidRPr="00AE51F0">
        <w:rPr>
          <w:sz w:val="24"/>
          <w:szCs w:val="24"/>
        </w:rPr>
        <w:t xml:space="preserve">This submission requests OMB approval for the following data collection </w:t>
      </w:r>
      <w:r w:rsidR="007850D1">
        <w:rPr>
          <w:sz w:val="24"/>
          <w:szCs w:val="24"/>
        </w:rPr>
        <w:t>instruments</w:t>
      </w:r>
      <w:r w:rsidRPr="00AE51F0">
        <w:rPr>
          <w:sz w:val="24"/>
          <w:szCs w:val="24"/>
        </w:rPr>
        <w:t>:</w:t>
      </w:r>
      <w:r w:rsidRPr="00AE51F0">
        <w:rPr>
          <w:sz w:val="24"/>
          <w:szCs w:val="24"/>
        </w:rPr>
        <w:br/>
      </w:r>
    </w:p>
    <w:tbl>
      <w:tblPr>
        <w:tblW w:w="8472" w:type="dxa"/>
        <w:tblInd w:w="360" w:type="dxa"/>
        <w:tblCellMar>
          <w:left w:w="0" w:type="dxa"/>
          <w:right w:w="0" w:type="dxa"/>
        </w:tblCellMar>
        <w:tblLook w:val="04A0"/>
      </w:tblPr>
      <w:tblGrid>
        <w:gridCol w:w="4512"/>
        <w:gridCol w:w="3960"/>
      </w:tblGrid>
      <w:tr w14:paraId="3A42E719" w14:textId="77777777" w:rsidTr="00C81831">
        <w:tblPrEx>
          <w:tblW w:w="8472" w:type="dxa"/>
          <w:tblInd w:w="360" w:type="dxa"/>
          <w:tblCellMar>
            <w:left w:w="0" w:type="dxa"/>
            <w:right w:w="0" w:type="dxa"/>
          </w:tblCellMar>
          <w:tblLook w:val="04A0"/>
        </w:tblPrEx>
        <w:trPr>
          <w:trHeight w:val="475"/>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1233D50A" w14:textId="092F8D15">
            <w:pPr>
              <w:rPr>
                <w:b/>
                <w:bCs/>
                <w:color w:val="000000"/>
              </w:rPr>
            </w:pPr>
            <w:r w:rsidRPr="00DB3716">
              <w:rPr>
                <w:b/>
                <w:bCs/>
                <w:color w:val="000000"/>
              </w:rPr>
              <w:t>Title</w:t>
            </w:r>
            <w:r>
              <w:rPr>
                <w:b/>
                <w:bCs/>
                <w:color w:val="000000"/>
              </w:rPr>
              <w:t xml:space="preserve"> of Appendix Item</w:t>
            </w:r>
          </w:p>
        </w:tc>
        <w:tc>
          <w:tcPr>
            <w:tcW w:w="3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6980A869" w14:textId="77777777">
            <w:pPr>
              <w:rPr>
                <w:b/>
                <w:bCs/>
                <w:color w:val="000000"/>
              </w:rPr>
            </w:pPr>
            <w:r w:rsidRPr="00DB3716">
              <w:rPr>
                <w:b/>
                <w:bCs/>
                <w:color w:val="000000"/>
              </w:rPr>
              <w:t>Description</w:t>
            </w:r>
          </w:p>
        </w:tc>
      </w:tr>
      <w:tr w14:paraId="157BB0F6" w14:textId="77777777" w:rsidTr="00C81831">
        <w:tblPrEx>
          <w:tblW w:w="8472" w:type="dxa"/>
          <w:tblInd w:w="360" w:type="dxa"/>
          <w:tblCellMar>
            <w:left w:w="0" w:type="dxa"/>
            <w:right w:w="0" w:type="dxa"/>
          </w:tblCellMar>
          <w:tblLook w:val="04A0"/>
        </w:tblPrEx>
        <w:trPr>
          <w:trHeight w:val="29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rsidR="00D4316A" w:rsidRPr="00DB3716" w:rsidP="00BC3DA6" w14:paraId="2FA35CE3" w14:textId="64992E6A">
            <w:pPr>
              <w:rPr>
                <w:color w:val="000000"/>
              </w:rPr>
            </w:pPr>
            <w:r w:rsidRPr="00DB3716">
              <w:rPr>
                <w:color w:val="000000"/>
              </w:rPr>
              <w:t>AppendixA_Outreach</w:t>
            </w:r>
            <w:r w:rsidRPr="00DB3716">
              <w:rPr>
                <w:color w:val="000000"/>
              </w:rPr>
              <w:t xml:space="preserve"> Materials</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tcPr>
          <w:p w:rsidR="00D4316A" w:rsidRPr="00DB3716" w:rsidP="00BC3DA6" w14:paraId="292F4520" w14:textId="248F64FB">
            <w:pPr>
              <w:rPr>
                <w:color w:val="000000"/>
              </w:rPr>
            </w:pPr>
            <w:r w:rsidRPr="00DB3716">
              <w:rPr>
                <w:color w:val="000000"/>
              </w:rPr>
              <w:t>Introduces awardees, applicant non-awardees, and eligible non-applicants to the data collection effort.</w:t>
            </w:r>
          </w:p>
        </w:tc>
      </w:tr>
      <w:tr w14:paraId="2DBB9B0E" w14:textId="77777777" w:rsidTr="00C81831">
        <w:tblPrEx>
          <w:tblW w:w="8472" w:type="dxa"/>
          <w:tblInd w:w="360" w:type="dxa"/>
          <w:tblCellMar>
            <w:left w:w="0" w:type="dxa"/>
            <w:right w:w="0" w:type="dxa"/>
          </w:tblCellMar>
          <w:tblLook w:val="04A0"/>
        </w:tblPrEx>
        <w:trPr>
          <w:trHeight w:val="29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61727692" w14:textId="494E6F87">
            <w:pPr>
              <w:rPr>
                <w:color w:val="000000"/>
              </w:rPr>
            </w:pPr>
            <w:r w:rsidRPr="00DB3716">
              <w:rPr>
                <w:color w:val="000000"/>
              </w:rPr>
              <w:t>AppendixB_GRRP</w:t>
            </w:r>
            <w:r w:rsidRPr="00DB3716">
              <w:rPr>
                <w:color w:val="000000"/>
              </w:rPr>
              <w:t xml:space="preserve"> Application</w:t>
            </w:r>
            <w:r w:rsidR="00C81831">
              <w:rPr>
                <w:color w:val="000000"/>
              </w:rPr>
              <w:t xml:space="preserve"> Consent Form and</w:t>
            </w:r>
            <w:r w:rsidRPr="00DB3716">
              <w:rPr>
                <w:color w:val="000000"/>
              </w:rPr>
              <w:t xml:space="preserve"> Survey</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4316A" w:rsidRPr="00DB3716" w:rsidP="00BC3DA6" w14:paraId="7F3BA8D6" w14:textId="08A33075">
            <w:pPr>
              <w:rPr>
                <w:color w:val="000000"/>
              </w:rPr>
            </w:pPr>
            <w:r w:rsidRPr="00DB3716">
              <w:rPr>
                <w:color w:val="000000"/>
              </w:rPr>
              <w:t>Provides data necessary to assess success of application process; embedded consent form.</w:t>
            </w:r>
          </w:p>
        </w:tc>
      </w:tr>
      <w:tr w14:paraId="3625E68A" w14:textId="77777777" w:rsidTr="00C81831">
        <w:tblPrEx>
          <w:tblW w:w="8472" w:type="dxa"/>
          <w:tblInd w:w="360" w:type="dxa"/>
          <w:tblCellMar>
            <w:left w:w="0" w:type="dxa"/>
            <w:right w:w="0" w:type="dxa"/>
          </w:tblCellMar>
          <w:tblLook w:val="04A0"/>
        </w:tblPrEx>
        <w:trPr>
          <w:trHeight w:val="29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36237453" w14:textId="304DD030">
            <w:pPr>
              <w:rPr>
                <w:color w:val="000000"/>
              </w:rPr>
            </w:pPr>
            <w:r w:rsidRPr="00DB3716">
              <w:rPr>
                <w:color w:val="000000"/>
              </w:rPr>
              <w:t>AppendixC_GRRP</w:t>
            </w:r>
            <w:r w:rsidRPr="00DB3716">
              <w:rPr>
                <w:color w:val="000000"/>
              </w:rPr>
              <w:t xml:space="preserve"> Scoping and Design</w:t>
            </w:r>
            <w:r w:rsidR="00C81831">
              <w:rPr>
                <w:color w:val="000000"/>
              </w:rPr>
              <w:t xml:space="preserve"> Consent Form and</w:t>
            </w:r>
            <w:r w:rsidRPr="00DB3716">
              <w:rPr>
                <w:color w:val="000000"/>
              </w:rPr>
              <w:t xml:space="preserve"> Survey </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4316A" w:rsidRPr="00DB3716" w:rsidP="00BC3DA6" w14:paraId="09325246" w14:textId="150B3B17">
            <w:pPr>
              <w:rPr>
                <w:color w:val="000000"/>
              </w:rPr>
            </w:pPr>
            <w:r w:rsidRPr="00DB3716">
              <w:rPr>
                <w:color w:val="000000"/>
              </w:rPr>
              <w:t>Provides data necessary to assess success of implementing the program; embedded consent form.</w:t>
            </w:r>
          </w:p>
        </w:tc>
      </w:tr>
      <w:tr w14:paraId="2095D79D" w14:textId="77777777" w:rsidTr="00C81831">
        <w:tblPrEx>
          <w:tblW w:w="8472" w:type="dxa"/>
          <w:tblInd w:w="360" w:type="dxa"/>
          <w:tblCellMar>
            <w:left w:w="0" w:type="dxa"/>
            <w:right w:w="0" w:type="dxa"/>
          </w:tblCellMar>
          <w:tblLook w:val="04A0"/>
        </w:tblPrEx>
        <w:trPr>
          <w:trHeight w:val="29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06AF5D84" w14:textId="19DDB38F">
            <w:pPr>
              <w:rPr>
                <w:color w:val="000000"/>
              </w:rPr>
            </w:pPr>
            <w:r w:rsidRPr="00DB3716">
              <w:rPr>
                <w:color w:val="000000"/>
              </w:rPr>
              <w:t>AppendixD_GRRP</w:t>
            </w:r>
            <w:r w:rsidRPr="00DB3716">
              <w:rPr>
                <w:color w:val="000000"/>
              </w:rPr>
              <w:t xml:space="preserve"> Post-Construction</w:t>
            </w:r>
            <w:r w:rsidR="00C81831">
              <w:rPr>
                <w:color w:val="000000"/>
              </w:rPr>
              <w:t xml:space="preserve"> Consent Form and</w:t>
            </w:r>
            <w:r w:rsidRPr="00DB3716">
              <w:rPr>
                <w:color w:val="000000"/>
              </w:rPr>
              <w:t xml:space="preserve"> Survey</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tcPr>
          <w:p w:rsidR="00D4316A" w:rsidRPr="00DB3716" w:rsidP="00BC3DA6" w14:paraId="10A340B0" w14:textId="65392D3C">
            <w:pPr>
              <w:rPr>
                <w:color w:val="000000"/>
              </w:rPr>
            </w:pPr>
            <w:r w:rsidRPr="00DB3716">
              <w:rPr>
                <w:color w:val="000000"/>
              </w:rPr>
              <w:t>Provides data necessary to evaluate perceived costs and benefits to owners; embedded consent form.</w:t>
            </w:r>
          </w:p>
        </w:tc>
      </w:tr>
      <w:tr w14:paraId="6D0A8881" w14:textId="77777777" w:rsidTr="00C81831">
        <w:tblPrEx>
          <w:tblW w:w="8472" w:type="dxa"/>
          <w:tblInd w:w="360" w:type="dxa"/>
          <w:tblCellMar>
            <w:left w:w="0" w:type="dxa"/>
            <w:right w:w="0" w:type="dxa"/>
          </w:tblCellMar>
          <w:tblLook w:val="04A0"/>
        </w:tblPrEx>
        <w:trPr>
          <w:trHeight w:val="29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778E0584" w14:textId="7C4BD78E">
            <w:pPr>
              <w:rPr>
                <w:color w:val="000000"/>
              </w:rPr>
            </w:pPr>
            <w:r w:rsidRPr="00DB3716">
              <w:rPr>
                <w:color w:val="000000"/>
              </w:rPr>
              <w:t>AppendixE_GRRP</w:t>
            </w:r>
            <w:r w:rsidRPr="00DB3716">
              <w:rPr>
                <w:color w:val="000000"/>
              </w:rPr>
              <w:t xml:space="preserve"> Application</w:t>
            </w:r>
            <w:r w:rsidR="00C81831">
              <w:rPr>
                <w:color w:val="000000"/>
              </w:rPr>
              <w:t xml:space="preserve"> Consent Form and</w:t>
            </w:r>
            <w:r w:rsidRPr="00DB3716">
              <w:rPr>
                <w:color w:val="000000"/>
              </w:rPr>
              <w:t xml:space="preserve"> Interview</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tcPr>
          <w:p w:rsidR="00D4316A" w:rsidRPr="00DB3716" w:rsidP="00BC3DA6" w14:paraId="1E768F44" w14:textId="0101A6CA">
            <w:pPr>
              <w:rPr>
                <w:color w:val="000000"/>
              </w:rPr>
            </w:pPr>
            <w:r w:rsidRPr="00DB3716">
              <w:rPr>
                <w:color w:val="000000" w:themeColor="text1"/>
              </w:rPr>
              <w:t>Provides additional qualitative data on application process from a subset of awardees</w:t>
            </w:r>
            <w:r w:rsidR="00C81831">
              <w:rPr>
                <w:color w:val="000000" w:themeColor="text1"/>
              </w:rPr>
              <w:t>; embedded consent form.</w:t>
            </w:r>
          </w:p>
        </w:tc>
      </w:tr>
      <w:tr w14:paraId="6B77E313" w14:textId="77777777" w:rsidTr="00C81831">
        <w:tblPrEx>
          <w:tblW w:w="8472" w:type="dxa"/>
          <w:tblInd w:w="360" w:type="dxa"/>
          <w:tblCellMar>
            <w:left w:w="0" w:type="dxa"/>
            <w:right w:w="0" w:type="dxa"/>
          </w:tblCellMar>
          <w:tblLook w:val="04A0"/>
        </w:tblPrEx>
        <w:trPr>
          <w:trHeight w:val="580"/>
        </w:trPr>
        <w:tc>
          <w:tcPr>
            <w:tcW w:w="4512" w:type="dxa"/>
            <w:tcBorders>
              <w:top w:val="single" w:sz="8"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rsidR="00D4316A" w:rsidRPr="00DB3716" w:rsidP="00BC3DA6" w14:paraId="1CB7824C" w14:textId="68DA3977">
            <w:pPr>
              <w:rPr>
                <w:color w:val="000000"/>
              </w:rPr>
            </w:pPr>
            <w:r w:rsidRPr="00DB3716">
              <w:rPr>
                <w:color w:val="000000"/>
              </w:rPr>
              <w:t>AppendixF</w:t>
            </w:r>
            <w:r w:rsidRPr="00DB3716">
              <w:rPr>
                <w:color w:val="000000"/>
              </w:rPr>
              <w:t>_</w:t>
            </w:r>
            <w:r w:rsidRPr="00DB3716">
              <w:rPr>
                <w:rFonts w:eastAsia="Calibri"/>
              </w:rPr>
              <w:t xml:space="preserve"> GRRP Scoping and Design</w:t>
            </w:r>
            <w:r w:rsidR="00C81831">
              <w:rPr>
                <w:rFonts w:eastAsia="Calibri"/>
              </w:rPr>
              <w:t xml:space="preserve"> Consent Form and</w:t>
            </w:r>
            <w:r w:rsidRPr="00DB3716">
              <w:rPr>
                <w:rFonts w:eastAsia="Calibri"/>
              </w:rPr>
              <w:t xml:space="preserve"> Interview</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bottom"/>
          </w:tcPr>
          <w:p w:rsidR="00D4316A" w:rsidRPr="00DB3716" w:rsidP="00BC3DA6" w14:paraId="470E57C1" w14:textId="3A4B0C75">
            <w:pPr>
              <w:rPr>
                <w:color w:val="000000"/>
              </w:rPr>
            </w:pPr>
            <w:r w:rsidRPr="00DB3716">
              <w:rPr>
                <w:color w:val="000000" w:themeColor="text1"/>
              </w:rPr>
              <w:t>Provides additional qualitative data on program implementation from a subset of awardees</w:t>
            </w:r>
            <w:r w:rsidR="00C81831">
              <w:rPr>
                <w:color w:val="000000" w:themeColor="text1"/>
              </w:rPr>
              <w:t>; embedded consent form.</w:t>
            </w:r>
          </w:p>
        </w:tc>
      </w:tr>
      <w:tr w14:paraId="5C707D35" w14:textId="77777777" w:rsidTr="00C81831">
        <w:tblPrEx>
          <w:tblW w:w="8472" w:type="dxa"/>
          <w:tblInd w:w="360" w:type="dxa"/>
          <w:tblCellMar>
            <w:left w:w="0" w:type="dxa"/>
            <w:right w:w="0" w:type="dxa"/>
          </w:tblCellMar>
          <w:tblLook w:val="04A0"/>
        </w:tblPrEx>
        <w:trPr>
          <w:trHeight w:val="583"/>
        </w:trPr>
        <w:tc>
          <w:tcPr>
            <w:tcW w:w="4512" w:type="dxa"/>
            <w:tcBorders>
              <w:top w:val="single" w:sz="8" w:space="0" w:color="auto"/>
              <w:left w:val="single" w:sz="4" w:space="0" w:color="auto"/>
              <w:bottom w:val="single" w:sz="4" w:space="0" w:color="auto"/>
              <w:right w:val="single" w:sz="8" w:space="0" w:color="auto"/>
            </w:tcBorders>
            <w:noWrap/>
            <w:tcMar>
              <w:top w:w="0" w:type="dxa"/>
              <w:left w:w="108" w:type="dxa"/>
              <w:bottom w:w="0" w:type="dxa"/>
              <w:right w:w="108" w:type="dxa"/>
            </w:tcMar>
            <w:vAlign w:val="bottom"/>
            <w:hideMark/>
          </w:tcPr>
          <w:p w:rsidR="00D4316A" w:rsidRPr="00DB3716" w:rsidP="00BC3DA6" w14:paraId="07AD50FF" w14:textId="351EF743">
            <w:pPr>
              <w:rPr>
                <w:color w:val="000000"/>
              </w:rPr>
            </w:pPr>
            <w:r w:rsidRPr="00DB3716">
              <w:rPr>
                <w:color w:val="000000"/>
              </w:rPr>
              <w:t>AppendixG_GRRP</w:t>
            </w:r>
            <w:r w:rsidRPr="00DB3716">
              <w:rPr>
                <w:color w:val="000000"/>
              </w:rPr>
              <w:t xml:space="preserve"> Post-Construction</w:t>
            </w:r>
            <w:r w:rsidR="00C81831">
              <w:rPr>
                <w:color w:val="000000"/>
              </w:rPr>
              <w:t xml:space="preserve"> Consent Form and</w:t>
            </w:r>
            <w:r w:rsidRPr="00DB3716">
              <w:rPr>
                <w:color w:val="000000"/>
              </w:rPr>
              <w:t xml:space="preserve"> Interview</w:t>
            </w:r>
          </w:p>
        </w:tc>
        <w:tc>
          <w:tcPr>
            <w:tcW w:w="3960" w:type="dxa"/>
            <w:tcBorders>
              <w:top w:val="nil"/>
              <w:left w:val="nil"/>
              <w:bottom w:val="single" w:sz="4" w:space="0" w:color="auto"/>
              <w:right w:val="single" w:sz="8" w:space="0" w:color="auto"/>
            </w:tcBorders>
            <w:tcMar>
              <w:top w:w="0" w:type="dxa"/>
              <w:left w:w="108" w:type="dxa"/>
              <w:bottom w:w="0" w:type="dxa"/>
              <w:right w:w="108" w:type="dxa"/>
            </w:tcMar>
            <w:vAlign w:val="bottom"/>
          </w:tcPr>
          <w:p w:rsidR="00D4316A" w:rsidRPr="00DB3716" w:rsidP="00BC3DA6" w14:paraId="1F08EAFB" w14:textId="35C74FBE">
            <w:pPr>
              <w:rPr>
                <w:color w:val="000000"/>
              </w:rPr>
            </w:pPr>
            <w:r w:rsidRPr="00DB3716">
              <w:rPr>
                <w:color w:val="000000" w:themeColor="text1"/>
              </w:rPr>
              <w:t>Provides additional qualitative data on perceived costs and benefits to owners from a subset of awardees</w:t>
            </w:r>
            <w:r w:rsidR="00C81831">
              <w:rPr>
                <w:color w:val="000000" w:themeColor="text1"/>
              </w:rPr>
              <w:t>; embedded consent form.</w:t>
            </w:r>
          </w:p>
        </w:tc>
      </w:tr>
      <w:tr w14:paraId="09835B17" w14:textId="77777777" w:rsidTr="00D4316A">
        <w:tblPrEx>
          <w:tblW w:w="8472" w:type="dxa"/>
          <w:tblInd w:w="360" w:type="dxa"/>
          <w:tblCellMar>
            <w:left w:w="0" w:type="dxa"/>
            <w:right w:w="0" w:type="dxa"/>
          </w:tblCellMar>
          <w:tblLook w:val="04A0"/>
        </w:tblPrEx>
        <w:trPr>
          <w:trHeight w:val="305"/>
        </w:trPr>
        <w:tc>
          <w:tcPr>
            <w:tcW w:w="45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4316A" w:rsidRPr="00DB3716" w:rsidP="00BC3DA6" w14:paraId="130A0097" w14:textId="179015AF">
            <w:pPr>
              <w:rPr>
                <w:color w:val="000000"/>
              </w:rPr>
            </w:pPr>
            <w:r w:rsidRPr="00DB3716">
              <w:rPr>
                <w:color w:val="000000"/>
              </w:rPr>
              <w:t>AppendixH_PL117-169</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4316A" w:rsidRPr="00DB3716" w:rsidP="00BC3DA6" w14:paraId="01C54F64" w14:textId="7F5DA359">
            <w:pPr>
              <w:rPr>
                <w:color w:val="000000"/>
              </w:rPr>
            </w:pPr>
            <w:r w:rsidRPr="00DB3716">
              <w:rPr>
                <w:color w:val="000000"/>
              </w:rPr>
              <w:t>Statutory text supporting this data collection.</w:t>
            </w:r>
          </w:p>
        </w:tc>
      </w:tr>
      <w:tr w14:paraId="191A4FF4" w14:textId="77777777" w:rsidTr="00D4316A">
        <w:tblPrEx>
          <w:tblW w:w="8472" w:type="dxa"/>
          <w:tblInd w:w="360" w:type="dxa"/>
          <w:tblCellMar>
            <w:left w:w="0" w:type="dxa"/>
            <w:right w:w="0" w:type="dxa"/>
          </w:tblCellMar>
          <w:tblLook w:val="04A0"/>
        </w:tblPrEx>
        <w:trPr>
          <w:trHeight w:val="583"/>
        </w:trPr>
        <w:tc>
          <w:tcPr>
            <w:tcW w:w="45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4316A" w:rsidRPr="00DB3716" w:rsidP="00BC3DA6" w14:paraId="27A49A8F" w14:textId="62E1192C">
            <w:pPr>
              <w:rPr>
                <w:color w:val="000000"/>
              </w:rPr>
            </w:pPr>
            <w:r w:rsidRPr="00DB3716">
              <w:rPr>
                <w:color w:val="000000"/>
              </w:rPr>
              <w:t>AppendixI_60 Day FRN</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4316A" w:rsidRPr="00DB3716" w:rsidP="00BC3DA6" w14:paraId="70CA39DA" w14:textId="11243F6A">
            <w:pPr>
              <w:rPr>
                <w:color w:val="000000"/>
              </w:rPr>
            </w:pPr>
            <w:r w:rsidRPr="00DB3716">
              <w:rPr>
                <w:color w:val="000000"/>
              </w:rPr>
              <w:t>Copy of 60-Day Notice of Proposed Information Collection: Evaluation of Green and Resilient Retrofit Program (Docket No. FR-7075-N-15)</w:t>
            </w:r>
          </w:p>
        </w:tc>
      </w:tr>
      <w:tr w14:paraId="32D110F6" w14:textId="77777777" w:rsidTr="00D4316A">
        <w:tblPrEx>
          <w:tblW w:w="8472" w:type="dxa"/>
          <w:tblInd w:w="360" w:type="dxa"/>
          <w:tblCellMar>
            <w:left w:w="0" w:type="dxa"/>
            <w:right w:w="0" w:type="dxa"/>
          </w:tblCellMar>
          <w:tblLook w:val="04A0"/>
        </w:tblPrEx>
        <w:trPr>
          <w:trHeight w:val="583"/>
        </w:trPr>
        <w:tc>
          <w:tcPr>
            <w:tcW w:w="451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D4316A" w:rsidRPr="00DB3716" w:rsidP="2EBDBC71" w14:paraId="4359F6C9" w14:textId="5C459439">
            <w:pPr>
              <w:rPr>
                <w:color w:val="000000" w:themeColor="text1"/>
              </w:rPr>
            </w:pPr>
            <w:r w:rsidRPr="00DB3716">
              <w:rPr>
                <w:color w:val="000000" w:themeColor="text1"/>
              </w:rPr>
              <w:t>Appendix</w:t>
            </w:r>
            <w:r w:rsidR="00990BBA">
              <w:rPr>
                <w:color w:val="000000" w:themeColor="text1"/>
              </w:rPr>
              <w:t>J</w:t>
            </w:r>
            <w:r w:rsidRPr="00DB3716">
              <w:rPr>
                <w:color w:val="000000" w:themeColor="text1"/>
              </w:rPr>
              <w:t>_GRRP_Energy_Efficiency_Survey</w:t>
            </w:r>
          </w:p>
        </w:tc>
        <w:tc>
          <w:tcPr>
            <w:tcW w:w="3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D4316A" w:rsidRPr="00DB3716" w:rsidP="2EBDBC71" w14:paraId="6D5D63F8" w14:textId="2E71B601">
            <w:pPr>
              <w:rPr>
                <w:color w:val="000000" w:themeColor="text1"/>
              </w:rPr>
            </w:pPr>
            <w:r w:rsidRPr="00DB3716">
              <w:rPr>
                <w:color w:val="000000" w:themeColor="text1"/>
              </w:rPr>
              <w:t>Provides data necessary to contextualize energy and water usage at HUD-assisted properties.</w:t>
            </w:r>
          </w:p>
        </w:tc>
      </w:tr>
    </w:tbl>
    <w:p w:rsidR="009E13B1" w14:paraId="54D8F5B2" w14:textId="5E56E21D">
      <w:pPr>
        <w:tabs>
          <w:tab w:val="left" w:pos="360"/>
        </w:tabs>
        <w:ind w:left="360" w:hanging="360"/>
        <w:rPr>
          <w:b/>
          <w:bCs/>
          <w:sz w:val="24"/>
          <w:szCs w:val="24"/>
        </w:rPr>
      </w:pPr>
    </w:p>
    <w:p w:rsidR="007261BD" w:rsidP="00D60C1E" w14:paraId="32A83CB0" w14:textId="42C7B1BB">
      <w:pPr>
        <w:keepLines/>
        <w:tabs>
          <w:tab w:val="left" w:pos="360"/>
        </w:tabs>
        <w:spacing w:after="80"/>
        <w:ind w:left="360" w:hanging="360"/>
        <w:rPr>
          <w:sz w:val="24"/>
          <w:szCs w:val="24"/>
        </w:rPr>
      </w:pPr>
      <w:r w:rsidRPr="7F336052">
        <w:rPr>
          <w:b/>
          <w:bCs/>
          <w:sz w:val="24"/>
          <w:szCs w:val="24"/>
        </w:rPr>
        <w:t>2.</w:t>
      </w:r>
      <w:r w:rsidR="009E13B1">
        <w:tab/>
      </w:r>
      <w:r w:rsidRPr="7F336052">
        <w:rPr>
          <w:b/>
          <w:bCs/>
          <w:sz w:val="24"/>
          <w:szCs w:val="24"/>
        </w:rPr>
        <w:t>Indicate how, by whom and for what purpose the information is to be used.  Except for a new collection, indicate the actual use the agency has made of the information received from the current collection.</w:t>
      </w:r>
      <w:r w:rsidR="009E13B1">
        <w:br/>
      </w:r>
      <w:r w:rsidR="009E13B1">
        <w:br/>
      </w:r>
      <w:r w:rsidRPr="7F336052" w:rsidR="6EFBEC3D">
        <w:rPr>
          <w:sz w:val="24"/>
          <w:szCs w:val="24"/>
        </w:rPr>
        <w:t>This is a new data collection. HUD will use the information collected to understand successes and challenges of the application phase, scoping and design phase, and the construction and post-construction phases</w:t>
      </w:r>
      <w:r w:rsidRPr="7F336052" w:rsidR="0D0C4308">
        <w:rPr>
          <w:sz w:val="24"/>
          <w:szCs w:val="24"/>
        </w:rPr>
        <w:t xml:space="preserve"> of GRRP</w:t>
      </w:r>
      <w:r w:rsidRPr="7F336052" w:rsidR="620BEADC">
        <w:rPr>
          <w:sz w:val="24"/>
          <w:szCs w:val="24"/>
        </w:rPr>
        <w:t xml:space="preserve">, </w:t>
      </w:r>
      <w:r w:rsidRPr="7F336052" w:rsidR="3D0DDE70">
        <w:rPr>
          <w:sz w:val="24"/>
          <w:szCs w:val="24"/>
        </w:rPr>
        <w:t>as well as to</w:t>
      </w:r>
      <w:r w:rsidRPr="7F336052" w:rsidR="620BEADC">
        <w:rPr>
          <w:sz w:val="24"/>
          <w:szCs w:val="24"/>
        </w:rPr>
        <w:t xml:space="preserve"> </w:t>
      </w:r>
      <w:r w:rsidRPr="7F336052" w:rsidR="4E7B6A31">
        <w:rPr>
          <w:sz w:val="24"/>
          <w:szCs w:val="24"/>
        </w:rPr>
        <w:t>contextualize</w:t>
      </w:r>
      <w:r w:rsidRPr="7F336052" w:rsidR="620BEADC">
        <w:rPr>
          <w:sz w:val="24"/>
          <w:szCs w:val="24"/>
        </w:rPr>
        <w:t xml:space="preserve"> energy</w:t>
      </w:r>
      <w:r w:rsidRPr="7F336052" w:rsidR="4207E5AD">
        <w:rPr>
          <w:sz w:val="24"/>
          <w:szCs w:val="24"/>
        </w:rPr>
        <w:t xml:space="preserve"> and water</w:t>
      </w:r>
      <w:r w:rsidRPr="7F336052" w:rsidR="620BEADC">
        <w:rPr>
          <w:sz w:val="24"/>
          <w:szCs w:val="24"/>
        </w:rPr>
        <w:t xml:space="preserve"> usage</w:t>
      </w:r>
      <w:r w:rsidRPr="7F336052" w:rsidR="4207E5AD">
        <w:rPr>
          <w:sz w:val="24"/>
          <w:szCs w:val="24"/>
        </w:rPr>
        <w:t xml:space="preserve"> at HUD-assisted multifamily properties, both those receiving </w:t>
      </w:r>
      <w:r w:rsidRPr="7F336052" w:rsidR="4058E560">
        <w:rPr>
          <w:sz w:val="24"/>
          <w:szCs w:val="24"/>
        </w:rPr>
        <w:t>GRRP loans and grants and those that are not</w:t>
      </w:r>
      <w:r w:rsidRPr="7F336052" w:rsidR="6EFBEC3D">
        <w:rPr>
          <w:sz w:val="24"/>
          <w:szCs w:val="24"/>
        </w:rPr>
        <w:t xml:space="preserve">. HUD expects the information will be synthesized in interim and final reports, which </w:t>
      </w:r>
      <w:r w:rsidRPr="7F336052" w:rsidR="0D0C4308">
        <w:rPr>
          <w:sz w:val="24"/>
          <w:szCs w:val="24"/>
        </w:rPr>
        <w:t xml:space="preserve">will </w:t>
      </w:r>
      <w:r w:rsidRPr="7F336052" w:rsidR="6EFBEC3D">
        <w:rPr>
          <w:sz w:val="24"/>
          <w:szCs w:val="24"/>
        </w:rPr>
        <w:t xml:space="preserve">be published and made available to the public. HUD intends to use the information to develop recommendations that may be implemented in </w:t>
      </w:r>
      <w:r w:rsidRPr="7F336052" w:rsidR="45AC2961">
        <w:rPr>
          <w:sz w:val="24"/>
          <w:szCs w:val="24"/>
        </w:rPr>
        <w:t xml:space="preserve">a </w:t>
      </w:r>
      <w:r w:rsidRPr="7F336052" w:rsidR="6EFBEC3D">
        <w:rPr>
          <w:sz w:val="24"/>
          <w:szCs w:val="24"/>
        </w:rPr>
        <w:t>future similar program</w:t>
      </w:r>
      <w:r w:rsidRPr="7F336052" w:rsidR="00C46F43">
        <w:rPr>
          <w:sz w:val="24"/>
          <w:szCs w:val="24"/>
        </w:rPr>
        <w:t xml:space="preserve"> providing funding</w:t>
      </w:r>
      <w:r w:rsidRPr="7F336052" w:rsidR="6F55C463">
        <w:rPr>
          <w:sz w:val="24"/>
          <w:szCs w:val="24"/>
        </w:rPr>
        <w:t xml:space="preserve"> to HUD-assisted property owners </w:t>
      </w:r>
      <w:r w:rsidRPr="7F336052" w:rsidR="56960CB9">
        <w:rPr>
          <w:rFonts w:eastAsiaTheme="minorEastAsia"/>
          <w:sz w:val="24"/>
          <w:szCs w:val="24"/>
        </w:rPr>
        <w:t>to improve energy or water efficiency; enhance indoor air quality or sustainability; implement the use of zero-emission electricity generation, low-emission building materials or processes, energy storage, or building electrification strategies; or address climate resilience</w:t>
      </w:r>
      <w:r w:rsidRPr="7F336052" w:rsidR="6EFBEC3D">
        <w:rPr>
          <w:sz w:val="24"/>
          <w:szCs w:val="24"/>
        </w:rPr>
        <w:t xml:space="preserve">. </w:t>
      </w:r>
      <w:r w:rsidRPr="7F336052" w:rsidR="774CA779">
        <w:rPr>
          <w:sz w:val="24"/>
          <w:szCs w:val="24"/>
        </w:rPr>
        <w:t xml:space="preserve">The energy efficiency survey will </w:t>
      </w:r>
      <w:r w:rsidRPr="7F336052" w:rsidR="56E40639">
        <w:rPr>
          <w:sz w:val="24"/>
          <w:szCs w:val="24"/>
        </w:rPr>
        <w:t xml:space="preserve">also </w:t>
      </w:r>
      <w:r w:rsidRPr="7F336052" w:rsidR="774CA779">
        <w:rPr>
          <w:sz w:val="24"/>
          <w:szCs w:val="24"/>
        </w:rPr>
        <w:t xml:space="preserve">be used by the contractor providing benchmarking services to aid in the analysis, evaluation, and generation of recommendations for property-level </w:t>
      </w:r>
      <w:r w:rsidRPr="7F336052" w:rsidR="1594B1AD">
        <w:rPr>
          <w:sz w:val="24"/>
          <w:szCs w:val="24"/>
        </w:rPr>
        <w:t xml:space="preserve">utility efficiency </w:t>
      </w:r>
      <w:r w:rsidRPr="7F336052" w:rsidR="774CA779">
        <w:rPr>
          <w:sz w:val="24"/>
          <w:szCs w:val="24"/>
        </w:rPr>
        <w:t>interventions by adding context to energy and water usage</w:t>
      </w:r>
      <w:r w:rsidRPr="7F336052" w:rsidR="1594B1AD">
        <w:rPr>
          <w:sz w:val="24"/>
          <w:szCs w:val="24"/>
        </w:rPr>
        <w:t>,</w:t>
      </w:r>
      <w:r w:rsidRPr="7F336052" w:rsidR="774CA779">
        <w:rPr>
          <w:sz w:val="24"/>
          <w:szCs w:val="24"/>
        </w:rPr>
        <w:t xml:space="preserve"> with the goal of providing recommendations to owners of the assisted</w:t>
      </w:r>
      <w:r w:rsidRPr="7F336052" w:rsidR="6659CE91">
        <w:rPr>
          <w:sz w:val="24"/>
          <w:szCs w:val="24"/>
        </w:rPr>
        <w:t xml:space="preserve"> properties</w:t>
      </w:r>
      <w:r w:rsidRPr="7F336052" w:rsidR="774CA779">
        <w:rPr>
          <w:sz w:val="24"/>
          <w:szCs w:val="24"/>
        </w:rPr>
        <w:t xml:space="preserve">. </w:t>
      </w:r>
      <w:r w:rsidR="00B33E44">
        <w:rPr>
          <w:sz w:val="24"/>
          <w:szCs w:val="24"/>
        </w:rPr>
        <w:t>All respondents will not be asked to contribute to all data collections.</w:t>
      </w:r>
      <w:r w:rsidRPr="7F336052" w:rsidR="774CA779">
        <w:rPr>
          <w:sz w:val="24"/>
          <w:szCs w:val="24"/>
        </w:rPr>
        <w:t xml:space="preserve"> </w:t>
      </w:r>
      <w:r w:rsidR="00723E8D">
        <w:rPr>
          <w:sz w:val="24"/>
          <w:szCs w:val="24"/>
        </w:rPr>
        <w:t>The following table describes the data collection instruments and who is included in the data collection:</w:t>
      </w:r>
    </w:p>
    <w:p w:rsidR="00040EBF" w:rsidP="00723E8D" w14:paraId="0D29495B" w14:textId="77777777">
      <w:pPr>
        <w:pStyle w:val="BodyText"/>
        <w:keepNext/>
        <w:spacing w:after="80" w:line="259" w:lineRule="auto"/>
        <w:ind w:firstLine="480"/>
      </w:pPr>
    </w:p>
    <w:p w:rsidR="00723E8D" w:rsidRPr="00635B75" w:rsidP="00723E8D" w14:paraId="06C92A5A" w14:textId="69A229C5">
      <w:pPr>
        <w:pStyle w:val="BodyText"/>
        <w:keepNext/>
        <w:spacing w:after="80" w:line="259" w:lineRule="auto"/>
        <w:ind w:firstLine="480"/>
      </w:pPr>
      <w:r>
        <w:t>Respondent Types and Information Collection:</w:t>
      </w:r>
    </w:p>
    <w:tbl>
      <w:tblPr>
        <w:tblStyle w:val="TableGrid"/>
        <w:tblW w:w="0" w:type="auto"/>
        <w:jc w:val="center"/>
        <w:tblLayout w:type="fixed"/>
        <w:tblLook w:val="04A0"/>
      </w:tblPr>
      <w:tblGrid>
        <w:gridCol w:w="2425"/>
        <w:gridCol w:w="4500"/>
        <w:gridCol w:w="1440"/>
        <w:gridCol w:w="1440"/>
      </w:tblGrid>
      <w:tr w14:paraId="09F8535A" w14:textId="77777777" w:rsidTr="00D61BD6">
        <w:tblPrEx>
          <w:tblW w:w="0" w:type="auto"/>
          <w:jc w:val="center"/>
          <w:tblLayout w:type="fixed"/>
          <w:tblLook w:val="04A0"/>
        </w:tblPrEx>
        <w:trPr>
          <w:jc w:val="center"/>
        </w:trPr>
        <w:tc>
          <w:tcPr>
            <w:tcW w:w="2425" w:type="dxa"/>
          </w:tcPr>
          <w:p w:rsidR="00723E8D" w:rsidRPr="00A071AB" w:rsidP="00116AAE" w14:paraId="6E6A6116" w14:textId="77777777">
            <w:pPr>
              <w:pStyle w:val="BodyText"/>
              <w:spacing w:after="80" w:line="259" w:lineRule="auto"/>
              <w:rPr>
                <w:rFonts w:ascii="Times New Roman" w:hAnsi="Times New Roman"/>
                <w:b/>
                <w:bCs/>
              </w:rPr>
            </w:pPr>
            <w:r w:rsidRPr="00A071AB">
              <w:rPr>
                <w:rFonts w:ascii="Times New Roman" w:hAnsi="Times New Roman"/>
                <w:b/>
                <w:bCs/>
              </w:rPr>
              <w:t>Respondent</w:t>
            </w:r>
          </w:p>
        </w:tc>
        <w:tc>
          <w:tcPr>
            <w:tcW w:w="4500" w:type="dxa"/>
          </w:tcPr>
          <w:p w:rsidR="00723E8D" w:rsidRPr="00A071AB" w:rsidP="00116AAE" w14:paraId="021B7126" w14:textId="77777777">
            <w:pPr>
              <w:pStyle w:val="BodyText"/>
              <w:spacing w:after="80" w:line="259" w:lineRule="auto"/>
              <w:rPr>
                <w:rFonts w:ascii="Times New Roman" w:hAnsi="Times New Roman"/>
                <w:b/>
                <w:bCs/>
              </w:rPr>
            </w:pPr>
            <w:r w:rsidRPr="00A071AB">
              <w:rPr>
                <w:rFonts w:ascii="Times New Roman" w:hAnsi="Times New Roman"/>
                <w:b/>
                <w:bCs/>
              </w:rPr>
              <w:t>Information collection</w:t>
            </w:r>
          </w:p>
        </w:tc>
        <w:tc>
          <w:tcPr>
            <w:tcW w:w="1440" w:type="dxa"/>
          </w:tcPr>
          <w:p w:rsidR="00723E8D" w:rsidRPr="00A071AB" w:rsidP="00116AAE" w14:paraId="71D05E7F" w14:textId="77777777">
            <w:pPr>
              <w:pStyle w:val="BodyText"/>
              <w:spacing w:after="80" w:line="259" w:lineRule="auto"/>
              <w:jc w:val="center"/>
              <w:rPr>
                <w:rFonts w:ascii="Times New Roman" w:hAnsi="Times New Roman"/>
                <w:b/>
                <w:bCs/>
              </w:rPr>
            </w:pPr>
            <w:r w:rsidRPr="00A071AB">
              <w:rPr>
                <w:rFonts w:ascii="Times New Roman" w:hAnsi="Times New Roman"/>
                <w:b/>
                <w:bCs/>
              </w:rPr>
              <w:t>Appendix #</w:t>
            </w:r>
          </w:p>
        </w:tc>
        <w:tc>
          <w:tcPr>
            <w:tcW w:w="1440" w:type="dxa"/>
          </w:tcPr>
          <w:p w:rsidR="00723E8D" w:rsidRPr="00A071AB" w:rsidP="00116AAE" w14:paraId="61C627F9" w14:textId="77777777">
            <w:pPr>
              <w:pStyle w:val="BodyText"/>
              <w:spacing w:after="80" w:line="259" w:lineRule="auto"/>
              <w:jc w:val="right"/>
              <w:rPr>
                <w:rFonts w:ascii="Times New Roman" w:hAnsi="Times New Roman"/>
                <w:b/>
                <w:bCs/>
              </w:rPr>
            </w:pPr>
            <w:r w:rsidRPr="00A071AB">
              <w:rPr>
                <w:rFonts w:ascii="Times New Roman" w:hAnsi="Times New Roman"/>
                <w:b/>
                <w:bCs/>
              </w:rPr>
              <w:t>Number of respondents</w:t>
            </w:r>
          </w:p>
        </w:tc>
      </w:tr>
      <w:tr w14:paraId="6231B089" w14:textId="77777777" w:rsidTr="00D61BD6">
        <w:tblPrEx>
          <w:tblW w:w="0" w:type="auto"/>
          <w:jc w:val="center"/>
          <w:tblLayout w:type="fixed"/>
          <w:tblLook w:val="04A0"/>
        </w:tblPrEx>
        <w:trPr>
          <w:jc w:val="center"/>
        </w:trPr>
        <w:tc>
          <w:tcPr>
            <w:tcW w:w="2425" w:type="dxa"/>
            <w:shd w:val="clear" w:color="auto" w:fill="auto"/>
          </w:tcPr>
          <w:p w:rsidR="00723E8D" w:rsidRPr="00A071AB" w:rsidP="00116AAE" w14:paraId="16A259A6" w14:textId="77777777">
            <w:pPr>
              <w:pStyle w:val="BodyText"/>
              <w:spacing w:after="80" w:line="259" w:lineRule="auto"/>
              <w:rPr>
                <w:rFonts w:ascii="Times New Roman" w:hAnsi="Times New Roman"/>
                <w:b/>
                <w:bCs/>
              </w:rPr>
            </w:pPr>
            <w:r w:rsidRPr="00A071AB">
              <w:rPr>
                <w:rFonts w:ascii="Times New Roman" w:hAnsi="Times New Roman"/>
                <w:b/>
                <w:bCs/>
              </w:rPr>
              <w:t>Non-applicants</w:t>
            </w:r>
          </w:p>
        </w:tc>
        <w:tc>
          <w:tcPr>
            <w:tcW w:w="4500" w:type="dxa"/>
            <w:shd w:val="clear" w:color="auto" w:fill="auto"/>
          </w:tcPr>
          <w:p w:rsidR="00723E8D" w:rsidRPr="00A071AB" w:rsidP="00116AAE" w14:paraId="6D55E063" w14:textId="77777777">
            <w:pPr>
              <w:pStyle w:val="BodyText"/>
              <w:spacing w:after="80" w:line="259" w:lineRule="auto"/>
              <w:rPr>
                <w:rFonts w:ascii="Times New Roman" w:hAnsi="Times New Roman"/>
              </w:rPr>
            </w:pPr>
            <w:r w:rsidRPr="00A071AB">
              <w:rPr>
                <w:rFonts w:ascii="Times New Roman" w:hAnsi="Times New Roman"/>
              </w:rPr>
              <w:t>Application Survey Outreach</w:t>
            </w:r>
          </w:p>
        </w:tc>
        <w:tc>
          <w:tcPr>
            <w:tcW w:w="1440" w:type="dxa"/>
            <w:shd w:val="clear" w:color="auto" w:fill="auto"/>
          </w:tcPr>
          <w:p w:rsidR="00723E8D" w:rsidRPr="00A071AB" w:rsidP="00116AAE" w14:paraId="128E20D1"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723E8D" w:rsidRPr="00A071AB" w:rsidP="00116AAE" w14:paraId="718DA64C" w14:textId="77777777">
            <w:pPr>
              <w:pStyle w:val="BodyText"/>
              <w:spacing w:after="80" w:line="259" w:lineRule="auto"/>
              <w:jc w:val="right"/>
              <w:rPr>
                <w:rFonts w:ascii="Times New Roman" w:hAnsi="Times New Roman"/>
              </w:rPr>
            </w:pPr>
            <w:r w:rsidRPr="00A071AB">
              <w:rPr>
                <w:rFonts w:ascii="Times New Roman" w:hAnsi="Times New Roman"/>
              </w:rPr>
              <w:t>225</w:t>
            </w:r>
          </w:p>
        </w:tc>
      </w:tr>
      <w:tr w14:paraId="2DC98FE6" w14:textId="77777777" w:rsidTr="00D61BD6">
        <w:tblPrEx>
          <w:tblW w:w="0" w:type="auto"/>
          <w:jc w:val="center"/>
          <w:tblLayout w:type="fixed"/>
          <w:tblLook w:val="04A0"/>
        </w:tblPrEx>
        <w:trPr>
          <w:jc w:val="center"/>
        </w:trPr>
        <w:tc>
          <w:tcPr>
            <w:tcW w:w="2425" w:type="dxa"/>
            <w:shd w:val="clear" w:color="auto" w:fill="auto"/>
          </w:tcPr>
          <w:p w:rsidR="00723E8D" w:rsidRPr="00D61BD6" w:rsidP="00116AAE" w14:paraId="274E6C96" w14:textId="77777777">
            <w:pPr>
              <w:pStyle w:val="BodyText"/>
              <w:spacing w:after="80" w:line="259" w:lineRule="auto"/>
              <w:rPr>
                <w:rFonts w:ascii="Times New Roman" w:hAnsi="Times New Roman"/>
                <w:b/>
                <w:bCs/>
              </w:rPr>
            </w:pPr>
            <w:r w:rsidRPr="00D61BD6">
              <w:rPr>
                <w:rFonts w:ascii="Times New Roman" w:hAnsi="Times New Roman"/>
                <w:b/>
                <w:bCs/>
              </w:rPr>
              <w:t>Non-applicants</w:t>
            </w:r>
          </w:p>
        </w:tc>
        <w:tc>
          <w:tcPr>
            <w:tcW w:w="4500" w:type="dxa"/>
            <w:shd w:val="clear" w:color="auto" w:fill="auto"/>
          </w:tcPr>
          <w:p w:rsidR="00723E8D" w:rsidRPr="00D61BD6" w:rsidP="00116AAE" w14:paraId="06A870CA" w14:textId="3EC00A6F">
            <w:pPr>
              <w:pStyle w:val="BodyText"/>
              <w:spacing w:after="80" w:line="259" w:lineRule="auto"/>
              <w:rPr>
                <w:rFonts w:ascii="Times New Roman" w:hAnsi="Times New Roman"/>
              </w:rPr>
            </w:pPr>
            <w:r w:rsidRPr="00D61BD6">
              <w:rPr>
                <w:rFonts w:ascii="Times New Roman" w:hAnsi="Times New Roman"/>
              </w:rPr>
              <w:t>Application</w:t>
            </w:r>
            <w:r w:rsidRPr="00D61BD6" w:rsidR="00990BBA">
              <w:rPr>
                <w:rFonts w:ascii="Times New Roman" w:hAnsi="Times New Roman"/>
              </w:rPr>
              <w:t xml:space="preserve"> Consent Form and</w:t>
            </w:r>
            <w:r w:rsidRPr="00D61BD6">
              <w:rPr>
                <w:rFonts w:ascii="Times New Roman" w:hAnsi="Times New Roman"/>
              </w:rPr>
              <w:t xml:space="preserve"> Survey</w:t>
            </w:r>
          </w:p>
        </w:tc>
        <w:tc>
          <w:tcPr>
            <w:tcW w:w="1440" w:type="dxa"/>
            <w:shd w:val="clear" w:color="auto" w:fill="auto"/>
          </w:tcPr>
          <w:p w:rsidR="00723E8D" w:rsidRPr="00D61BD6" w:rsidP="00116AAE" w14:paraId="06FBB500" w14:textId="0AFF1499">
            <w:pPr>
              <w:pStyle w:val="BodyText"/>
              <w:spacing w:after="80" w:line="259" w:lineRule="auto"/>
              <w:jc w:val="center"/>
              <w:rPr>
                <w:rFonts w:ascii="Times New Roman" w:hAnsi="Times New Roman"/>
              </w:rPr>
            </w:pPr>
            <w:r w:rsidRPr="00D61BD6">
              <w:rPr>
                <w:rFonts w:ascii="Times New Roman" w:hAnsi="Times New Roman"/>
              </w:rPr>
              <w:t>B</w:t>
            </w:r>
          </w:p>
        </w:tc>
        <w:tc>
          <w:tcPr>
            <w:tcW w:w="1440" w:type="dxa"/>
          </w:tcPr>
          <w:p w:rsidR="00723E8D" w:rsidRPr="00A071AB" w:rsidP="00116AAE" w14:paraId="015B7CA6" w14:textId="77777777">
            <w:pPr>
              <w:pStyle w:val="BodyText"/>
              <w:spacing w:after="80" w:line="259" w:lineRule="auto"/>
              <w:jc w:val="right"/>
              <w:rPr>
                <w:rFonts w:ascii="Times New Roman" w:hAnsi="Times New Roman"/>
              </w:rPr>
            </w:pPr>
            <w:r w:rsidRPr="00A071AB">
              <w:rPr>
                <w:rFonts w:ascii="Times New Roman" w:hAnsi="Times New Roman"/>
              </w:rPr>
              <w:t>225</w:t>
            </w:r>
          </w:p>
        </w:tc>
      </w:tr>
      <w:tr w14:paraId="79DFE00D" w14:textId="77777777" w:rsidTr="00D61BD6">
        <w:tblPrEx>
          <w:tblW w:w="0" w:type="auto"/>
          <w:jc w:val="center"/>
          <w:tblLayout w:type="fixed"/>
          <w:tblLook w:val="04A0"/>
        </w:tblPrEx>
        <w:trPr>
          <w:jc w:val="center"/>
        </w:trPr>
        <w:tc>
          <w:tcPr>
            <w:tcW w:w="2425" w:type="dxa"/>
            <w:shd w:val="clear" w:color="auto" w:fill="auto"/>
          </w:tcPr>
          <w:p w:rsidR="00723E8D" w:rsidRPr="00A071AB" w:rsidP="00116AAE" w14:paraId="28A228C0" w14:textId="77777777">
            <w:pPr>
              <w:pStyle w:val="BodyText"/>
              <w:spacing w:after="80" w:line="259" w:lineRule="auto"/>
              <w:rPr>
                <w:rFonts w:ascii="Times New Roman" w:hAnsi="Times New Roman"/>
                <w:b/>
                <w:bCs/>
              </w:rPr>
            </w:pPr>
            <w:r w:rsidRPr="00A071AB">
              <w:rPr>
                <w:rFonts w:ascii="Times New Roman" w:hAnsi="Times New Roman"/>
                <w:b/>
                <w:bCs/>
              </w:rPr>
              <w:t>Non-applicants</w:t>
            </w:r>
          </w:p>
        </w:tc>
        <w:tc>
          <w:tcPr>
            <w:tcW w:w="4500" w:type="dxa"/>
            <w:shd w:val="clear" w:color="auto" w:fill="auto"/>
          </w:tcPr>
          <w:p w:rsidR="00723E8D" w:rsidRPr="00A071AB" w:rsidP="00116AAE" w14:paraId="70020395" w14:textId="77777777">
            <w:pPr>
              <w:pStyle w:val="BodyText"/>
              <w:spacing w:after="80" w:line="259" w:lineRule="auto"/>
              <w:rPr>
                <w:rFonts w:ascii="Times New Roman" w:hAnsi="Times New Roman"/>
              </w:rPr>
            </w:pPr>
            <w:r w:rsidRPr="00A071AB">
              <w:rPr>
                <w:rFonts w:ascii="Times New Roman" w:hAnsi="Times New Roman"/>
              </w:rPr>
              <w:t>Application Interview Outreach</w:t>
            </w:r>
          </w:p>
        </w:tc>
        <w:tc>
          <w:tcPr>
            <w:tcW w:w="1440" w:type="dxa"/>
            <w:shd w:val="clear" w:color="auto" w:fill="auto"/>
          </w:tcPr>
          <w:p w:rsidR="00723E8D" w:rsidRPr="00A071AB" w:rsidP="00116AAE" w14:paraId="18506BAC"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723E8D" w:rsidRPr="00A071AB" w:rsidP="00116AAE" w14:paraId="603F5D01" w14:textId="77777777">
            <w:pPr>
              <w:pStyle w:val="BodyText"/>
              <w:spacing w:after="80" w:line="259" w:lineRule="auto"/>
              <w:jc w:val="right"/>
              <w:rPr>
                <w:rFonts w:ascii="Times New Roman" w:hAnsi="Times New Roman"/>
              </w:rPr>
            </w:pPr>
            <w:r w:rsidRPr="00A071AB">
              <w:rPr>
                <w:rFonts w:ascii="Times New Roman" w:hAnsi="Times New Roman"/>
              </w:rPr>
              <w:t>10</w:t>
            </w:r>
          </w:p>
        </w:tc>
      </w:tr>
      <w:tr w14:paraId="43C570D0" w14:textId="77777777" w:rsidTr="00D61BD6">
        <w:tblPrEx>
          <w:tblW w:w="0" w:type="auto"/>
          <w:jc w:val="center"/>
          <w:tblLayout w:type="fixed"/>
          <w:tblLook w:val="04A0"/>
        </w:tblPrEx>
        <w:trPr>
          <w:jc w:val="center"/>
        </w:trPr>
        <w:tc>
          <w:tcPr>
            <w:tcW w:w="2425" w:type="dxa"/>
            <w:shd w:val="clear" w:color="auto" w:fill="auto"/>
          </w:tcPr>
          <w:p w:rsidR="001535EA" w:rsidRPr="00A071AB" w:rsidP="001535EA" w14:paraId="1CA35A1F" w14:textId="77777777">
            <w:pPr>
              <w:pStyle w:val="BodyText"/>
              <w:spacing w:after="80" w:line="259" w:lineRule="auto"/>
              <w:rPr>
                <w:rFonts w:ascii="Times New Roman" w:hAnsi="Times New Roman"/>
                <w:b/>
                <w:bCs/>
              </w:rPr>
            </w:pPr>
            <w:r w:rsidRPr="00A071AB">
              <w:rPr>
                <w:rFonts w:ascii="Times New Roman" w:hAnsi="Times New Roman"/>
                <w:b/>
                <w:bCs/>
              </w:rPr>
              <w:t>Non-applicants</w:t>
            </w:r>
          </w:p>
        </w:tc>
        <w:tc>
          <w:tcPr>
            <w:tcW w:w="4500" w:type="dxa"/>
            <w:shd w:val="clear" w:color="auto" w:fill="auto"/>
          </w:tcPr>
          <w:p w:rsidR="001535EA" w:rsidRPr="00A071AB" w:rsidP="001535EA" w14:paraId="41C5136E" w14:textId="5C57E71D">
            <w:pPr>
              <w:pStyle w:val="BodyText"/>
              <w:spacing w:after="80" w:line="259" w:lineRule="auto"/>
              <w:rPr>
                <w:rFonts w:ascii="Times New Roman" w:hAnsi="Times New Roman"/>
              </w:rPr>
            </w:pPr>
            <w:r w:rsidRPr="00A071AB">
              <w:rPr>
                <w:rFonts w:ascii="Times New Roman" w:hAnsi="Times New Roman"/>
              </w:rPr>
              <w:t>Application</w:t>
            </w:r>
            <w:r w:rsidR="009914E8">
              <w:rPr>
                <w:rFonts w:ascii="Times New Roman" w:hAnsi="Times New Roman"/>
              </w:rPr>
              <w:t xml:space="preserve"> Consent Form and</w:t>
            </w:r>
            <w:r w:rsidRPr="00A071AB">
              <w:rPr>
                <w:rFonts w:ascii="Times New Roman" w:hAnsi="Times New Roman"/>
              </w:rPr>
              <w:t xml:space="preserve"> Interview</w:t>
            </w:r>
          </w:p>
        </w:tc>
        <w:tc>
          <w:tcPr>
            <w:tcW w:w="1440" w:type="dxa"/>
            <w:shd w:val="clear" w:color="auto" w:fill="auto"/>
          </w:tcPr>
          <w:p w:rsidR="001535EA" w:rsidRPr="00A071AB" w:rsidP="001535EA" w14:paraId="40873755" w14:textId="27C0273E">
            <w:pPr>
              <w:pStyle w:val="BodyText"/>
              <w:spacing w:after="80" w:line="259" w:lineRule="auto"/>
              <w:jc w:val="center"/>
              <w:rPr>
                <w:rFonts w:ascii="Times New Roman" w:hAnsi="Times New Roman"/>
              </w:rPr>
            </w:pPr>
            <w:r w:rsidRPr="00A071AB">
              <w:rPr>
                <w:rFonts w:ascii="Times New Roman" w:hAnsi="Times New Roman"/>
              </w:rPr>
              <w:t>E</w:t>
            </w:r>
          </w:p>
        </w:tc>
        <w:tc>
          <w:tcPr>
            <w:tcW w:w="1440" w:type="dxa"/>
          </w:tcPr>
          <w:p w:rsidR="001535EA" w:rsidRPr="00A071AB" w:rsidP="001535EA" w14:paraId="1E627F96" w14:textId="77777777">
            <w:pPr>
              <w:pStyle w:val="BodyText"/>
              <w:spacing w:after="80" w:line="259" w:lineRule="auto"/>
              <w:jc w:val="right"/>
              <w:rPr>
                <w:rFonts w:ascii="Times New Roman" w:hAnsi="Times New Roman"/>
              </w:rPr>
            </w:pPr>
            <w:r w:rsidRPr="00A071AB">
              <w:rPr>
                <w:rFonts w:ascii="Times New Roman" w:hAnsi="Times New Roman"/>
              </w:rPr>
              <w:t>10</w:t>
            </w:r>
          </w:p>
        </w:tc>
      </w:tr>
      <w:tr w14:paraId="34D31DD6" w14:textId="77777777" w:rsidTr="00D61BD6">
        <w:tblPrEx>
          <w:tblW w:w="0" w:type="auto"/>
          <w:jc w:val="center"/>
          <w:tblLayout w:type="fixed"/>
          <w:tblLook w:val="04A0"/>
        </w:tblPrEx>
        <w:trPr>
          <w:jc w:val="center"/>
        </w:trPr>
        <w:tc>
          <w:tcPr>
            <w:tcW w:w="2425" w:type="dxa"/>
            <w:shd w:val="clear" w:color="auto" w:fill="auto"/>
          </w:tcPr>
          <w:p w:rsidR="001535EA" w:rsidRPr="00A071AB" w:rsidP="001535EA" w14:paraId="0885B4CE" w14:textId="77777777">
            <w:pPr>
              <w:pStyle w:val="BodyText"/>
              <w:spacing w:after="80" w:line="259" w:lineRule="auto"/>
              <w:rPr>
                <w:rFonts w:ascii="Times New Roman" w:hAnsi="Times New Roman"/>
                <w:b/>
                <w:bCs/>
              </w:rPr>
            </w:pPr>
            <w:r w:rsidRPr="00A071AB">
              <w:rPr>
                <w:rFonts w:ascii="Times New Roman" w:hAnsi="Times New Roman"/>
                <w:b/>
                <w:bCs/>
              </w:rPr>
              <w:t>Unawarded applicants</w:t>
            </w:r>
          </w:p>
        </w:tc>
        <w:tc>
          <w:tcPr>
            <w:tcW w:w="4500" w:type="dxa"/>
            <w:shd w:val="clear" w:color="auto" w:fill="auto"/>
          </w:tcPr>
          <w:p w:rsidR="001535EA" w:rsidRPr="00A071AB" w:rsidP="001535EA" w14:paraId="0C760321" w14:textId="77777777">
            <w:pPr>
              <w:pStyle w:val="BodyText"/>
              <w:spacing w:after="80" w:line="259" w:lineRule="auto"/>
              <w:rPr>
                <w:rFonts w:ascii="Times New Roman" w:hAnsi="Times New Roman"/>
              </w:rPr>
            </w:pPr>
            <w:r w:rsidRPr="00A071AB">
              <w:rPr>
                <w:rFonts w:ascii="Times New Roman" w:hAnsi="Times New Roman"/>
              </w:rPr>
              <w:t>Application Survey Outreach</w:t>
            </w:r>
          </w:p>
        </w:tc>
        <w:tc>
          <w:tcPr>
            <w:tcW w:w="1440" w:type="dxa"/>
            <w:shd w:val="clear" w:color="auto" w:fill="auto"/>
          </w:tcPr>
          <w:p w:rsidR="001535EA" w:rsidRPr="00A071AB" w:rsidP="001535EA" w14:paraId="2662B69F"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1535EA" w:rsidRPr="00A071AB" w:rsidP="001535EA" w14:paraId="3404BCFE" w14:textId="77777777">
            <w:pPr>
              <w:pStyle w:val="BodyText"/>
              <w:spacing w:after="80" w:line="259" w:lineRule="auto"/>
              <w:jc w:val="right"/>
              <w:rPr>
                <w:rFonts w:ascii="Times New Roman" w:hAnsi="Times New Roman"/>
              </w:rPr>
            </w:pPr>
            <w:r w:rsidRPr="00A071AB">
              <w:rPr>
                <w:rFonts w:ascii="Times New Roman" w:hAnsi="Times New Roman"/>
              </w:rPr>
              <w:t>225</w:t>
            </w:r>
          </w:p>
        </w:tc>
      </w:tr>
      <w:tr w14:paraId="63EBAC2A" w14:textId="77777777" w:rsidTr="00D61BD6">
        <w:tblPrEx>
          <w:tblW w:w="0" w:type="auto"/>
          <w:jc w:val="center"/>
          <w:tblLayout w:type="fixed"/>
          <w:tblLook w:val="04A0"/>
        </w:tblPrEx>
        <w:trPr>
          <w:jc w:val="center"/>
        </w:trPr>
        <w:tc>
          <w:tcPr>
            <w:tcW w:w="2425" w:type="dxa"/>
            <w:shd w:val="clear" w:color="auto" w:fill="auto"/>
          </w:tcPr>
          <w:p w:rsidR="001535EA" w:rsidRPr="00A071AB" w:rsidP="001535EA" w14:paraId="222C721C" w14:textId="77777777">
            <w:pPr>
              <w:pStyle w:val="BodyText"/>
              <w:spacing w:after="80" w:line="259" w:lineRule="auto"/>
              <w:rPr>
                <w:rFonts w:ascii="Times New Roman" w:hAnsi="Times New Roman"/>
                <w:b/>
                <w:bCs/>
              </w:rPr>
            </w:pPr>
            <w:r w:rsidRPr="00A071AB">
              <w:rPr>
                <w:rFonts w:ascii="Times New Roman" w:hAnsi="Times New Roman"/>
                <w:b/>
                <w:bCs/>
              </w:rPr>
              <w:t>Unawarded applicants</w:t>
            </w:r>
          </w:p>
        </w:tc>
        <w:tc>
          <w:tcPr>
            <w:tcW w:w="4500" w:type="dxa"/>
            <w:shd w:val="clear" w:color="auto" w:fill="auto"/>
          </w:tcPr>
          <w:p w:rsidR="001535EA" w:rsidRPr="00A071AB" w:rsidP="001535EA" w14:paraId="1E226E12" w14:textId="2CEF15C9">
            <w:pPr>
              <w:pStyle w:val="BodyText"/>
              <w:spacing w:after="80" w:line="259" w:lineRule="auto"/>
              <w:rPr>
                <w:rFonts w:ascii="Times New Roman" w:hAnsi="Times New Roman"/>
                <w:b/>
                <w:bCs/>
              </w:rPr>
            </w:pPr>
            <w:r w:rsidRPr="00A071AB">
              <w:rPr>
                <w:rFonts w:ascii="Times New Roman" w:hAnsi="Times New Roman"/>
              </w:rPr>
              <w:t xml:space="preserve">Application </w:t>
            </w:r>
            <w:r w:rsidR="009914E8">
              <w:rPr>
                <w:rFonts w:ascii="Times New Roman" w:hAnsi="Times New Roman"/>
              </w:rPr>
              <w:t xml:space="preserve">Consent Form and </w:t>
            </w:r>
            <w:r w:rsidRPr="00A071AB">
              <w:rPr>
                <w:rFonts w:ascii="Times New Roman" w:hAnsi="Times New Roman"/>
              </w:rPr>
              <w:t>Survey</w:t>
            </w:r>
          </w:p>
        </w:tc>
        <w:tc>
          <w:tcPr>
            <w:tcW w:w="1440" w:type="dxa"/>
            <w:shd w:val="clear" w:color="auto" w:fill="auto"/>
          </w:tcPr>
          <w:p w:rsidR="001535EA" w:rsidRPr="00A071AB" w:rsidP="001535EA" w14:paraId="29E57079" w14:textId="121199CD">
            <w:pPr>
              <w:pStyle w:val="BodyText"/>
              <w:spacing w:after="80" w:line="259" w:lineRule="auto"/>
              <w:jc w:val="center"/>
              <w:rPr>
                <w:rFonts w:ascii="Times New Roman" w:hAnsi="Times New Roman"/>
              </w:rPr>
            </w:pPr>
            <w:r w:rsidRPr="00A071AB">
              <w:rPr>
                <w:rFonts w:ascii="Times New Roman" w:hAnsi="Times New Roman"/>
              </w:rPr>
              <w:t>B</w:t>
            </w:r>
          </w:p>
        </w:tc>
        <w:tc>
          <w:tcPr>
            <w:tcW w:w="1440" w:type="dxa"/>
          </w:tcPr>
          <w:p w:rsidR="001535EA" w:rsidRPr="00A071AB" w:rsidP="001535EA" w14:paraId="621893D1" w14:textId="77777777">
            <w:pPr>
              <w:pStyle w:val="BodyText"/>
              <w:spacing w:after="80" w:line="259" w:lineRule="auto"/>
              <w:jc w:val="right"/>
              <w:rPr>
                <w:rFonts w:ascii="Times New Roman" w:hAnsi="Times New Roman"/>
              </w:rPr>
            </w:pPr>
            <w:r w:rsidRPr="00A071AB">
              <w:rPr>
                <w:rFonts w:ascii="Times New Roman" w:hAnsi="Times New Roman"/>
              </w:rPr>
              <w:t>225</w:t>
            </w:r>
          </w:p>
        </w:tc>
      </w:tr>
      <w:tr w14:paraId="42DD5DBE" w14:textId="77777777" w:rsidTr="00D61BD6">
        <w:tblPrEx>
          <w:tblW w:w="0" w:type="auto"/>
          <w:jc w:val="center"/>
          <w:tblLayout w:type="fixed"/>
          <w:tblLook w:val="04A0"/>
        </w:tblPrEx>
        <w:trPr>
          <w:jc w:val="center"/>
        </w:trPr>
        <w:tc>
          <w:tcPr>
            <w:tcW w:w="2425" w:type="dxa"/>
            <w:shd w:val="clear" w:color="auto" w:fill="auto"/>
          </w:tcPr>
          <w:p w:rsidR="001535EA" w:rsidRPr="00A071AB" w:rsidP="001535EA" w14:paraId="6338AF08" w14:textId="77777777">
            <w:pPr>
              <w:pStyle w:val="BodyText"/>
              <w:spacing w:after="80" w:line="259" w:lineRule="auto"/>
              <w:rPr>
                <w:rFonts w:ascii="Times New Roman" w:hAnsi="Times New Roman"/>
                <w:b/>
                <w:bCs/>
              </w:rPr>
            </w:pPr>
            <w:r w:rsidRPr="00A071AB">
              <w:rPr>
                <w:rFonts w:ascii="Times New Roman" w:hAnsi="Times New Roman"/>
                <w:b/>
                <w:bCs/>
              </w:rPr>
              <w:t>Unawarded applicants</w:t>
            </w:r>
          </w:p>
        </w:tc>
        <w:tc>
          <w:tcPr>
            <w:tcW w:w="4500" w:type="dxa"/>
            <w:shd w:val="clear" w:color="auto" w:fill="auto"/>
          </w:tcPr>
          <w:p w:rsidR="001535EA" w:rsidRPr="00A071AB" w:rsidP="001535EA" w14:paraId="109FB5B4" w14:textId="77777777">
            <w:pPr>
              <w:pStyle w:val="BodyText"/>
              <w:spacing w:after="80" w:line="259" w:lineRule="auto"/>
              <w:rPr>
                <w:rFonts w:ascii="Times New Roman" w:hAnsi="Times New Roman"/>
              </w:rPr>
            </w:pPr>
            <w:r w:rsidRPr="00A071AB">
              <w:rPr>
                <w:rFonts w:ascii="Times New Roman" w:hAnsi="Times New Roman"/>
              </w:rPr>
              <w:t>Application Interview Outreach</w:t>
            </w:r>
          </w:p>
        </w:tc>
        <w:tc>
          <w:tcPr>
            <w:tcW w:w="1440" w:type="dxa"/>
            <w:shd w:val="clear" w:color="auto" w:fill="auto"/>
          </w:tcPr>
          <w:p w:rsidR="001535EA" w:rsidRPr="00A071AB" w:rsidP="001535EA" w14:paraId="5A0A6E2A"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1535EA" w:rsidRPr="00A071AB" w:rsidP="001535EA" w14:paraId="5D312ECD" w14:textId="6F1AF141">
            <w:pPr>
              <w:pStyle w:val="BodyText"/>
              <w:spacing w:after="80" w:line="259" w:lineRule="auto"/>
              <w:jc w:val="right"/>
              <w:rPr>
                <w:rFonts w:ascii="Times New Roman" w:hAnsi="Times New Roman"/>
              </w:rPr>
            </w:pPr>
            <w:r>
              <w:rPr>
                <w:rFonts w:ascii="Times New Roman" w:hAnsi="Times New Roman"/>
              </w:rPr>
              <w:t>1</w:t>
            </w:r>
            <w:r w:rsidRPr="00A071AB">
              <w:rPr>
                <w:rFonts w:ascii="Times New Roman" w:hAnsi="Times New Roman"/>
              </w:rPr>
              <w:t>5</w:t>
            </w:r>
          </w:p>
        </w:tc>
      </w:tr>
      <w:tr w14:paraId="1DF16650" w14:textId="77777777" w:rsidTr="00D61BD6">
        <w:tblPrEx>
          <w:tblW w:w="0" w:type="auto"/>
          <w:jc w:val="center"/>
          <w:tblLayout w:type="fixed"/>
          <w:tblLook w:val="04A0"/>
        </w:tblPrEx>
        <w:trPr>
          <w:jc w:val="center"/>
        </w:trPr>
        <w:tc>
          <w:tcPr>
            <w:tcW w:w="2425" w:type="dxa"/>
            <w:shd w:val="clear" w:color="auto" w:fill="auto"/>
          </w:tcPr>
          <w:p w:rsidR="00F0584F" w:rsidRPr="00A071AB" w:rsidP="00F0584F" w14:paraId="416211BF" w14:textId="77777777">
            <w:pPr>
              <w:pStyle w:val="BodyText"/>
              <w:spacing w:after="80" w:line="259" w:lineRule="auto"/>
              <w:rPr>
                <w:rFonts w:ascii="Times New Roman" w:hAnsi="Times New Roman"/>
                <w:b/>
                <w:bCs/>
              </w:rPr>
            </w:pPr>
            <w:r w:rsidRPr="00A071AB">
              <w:rPr>
                <w:rFonts w:ascii="Times New Roman" w:hAnsi="Times New Roman"/>
                <w:b/>
                <w:bCs/>
              </w:rPr>
              <w:t>Unawarded applicants</w:t>
            </w:r>
          </w:p>
        </w:tc>
        <w:tc>
          <w:tcPr>
            <w:tcW w:w="4500" w:type="dxa"/>
            <w:shd w:val="clear" w:color="auto" w:fill="auto"/>
          </w:tcPr>
          <w:p w:rsidR="00F0584F" w:rsidRPr="00A071AB" w:rsidP="00F0584F" w14:paraId="6A4FB06A" w14:textId="144EC13D">
            <w:pPr>
              <w:pStyle w:val="BodyText"/>
              <w:spacing w:after="80" w:line="259" w:lineRule="auto"/>
              <w:rPr>
                <w:rFonts w:ascii="Times New Roman" w:hAnsi="Times New Roman"/>
              </w:rPr>
            </w:pPr>
            <w:r w:rsidRPr="00A071AB">
              <w:rPr>
                <w:rFonts w:ascii="Times New Roman" w:hAnsi="Times New Roman"/>
              </w:rPr>
              <w:t>Application</w:t>
            </w:r>
            <w:r w:rsidR="00011521">
              <w:rPr>
                <w:rFonts w:ascii="Times New Roman" w:hAnsi="Times New Roman"/>
              </w:rPr>
              <w:t xml:space="preserve"> Consent Form and</w:t>
            </w:r>
            <w:r w:rsidRPr="00A071AB">
              <w:rPr>
                <w:rFonts w:ascii="Times New Roman" w:hAnsi="Times New Roman"/>
              </w:rPr>
              <w:t xml:space="preserve"> Interview</w:t>
            </w:r>
          </w:p>
        </w:tc>
        <w:tc>
          <w:tcPr>
            <w:tcW w:w="1440" w:type="dxa"/>
            <w:shd w:val="clear" w:color="auto" w:fill="auto"/>
          </w:tcPr>
          <w:p w:rsidR="00F0584F" w:rsidRPr="00A071AB" w:rsidP="00F0584F" w14:paraId="0E2FBF28" w14:textId="5F4AE13A">
            <w:pPr>
              <w:pStyle w:val="BodyText"/>
              <w:spacing w:after="80" w:line="259" w:lineRule="auto"/>
              <w:jc w:val="center"/>
              <w:rPr>
                <w:rFonts w:ascii="Times New Roman" w:hAnsi="Times New Roman"/>
              </w:rPr>
            </w:pPr>
            <w:r w:rsidRPr="00A071AB">
              <w:rPr>
                <w:rFonts w:ascii="Times New Roman" w:hAnsi="Times New Roman"/>
              </w:rPr>
              <w:t>E</w:t>
            </w:r>
          </w:p>
        </w:tc>
        <w:tc>
          <w:tcPr>
            <w:tcW w:w="1440" w:type="dxa"/>
          </w:tcPr>
          <w:p w:rsidR="00F0584F" w:rsidRPr="00A071AB" w:rsidP="00F0584F" w14:paraId="58C5238B" w14:textId="77A631F0">
            <w:pPr>
              <w:pStyle w:val="BodyText"/>
              <w:spacing w:after="80" w:line="259" w:lineRule="auto"/>
              <w:jc w:val="right"/>
              <w:rPr>
                <w:rFonts w:ascii="Times New Roman" w:hAnsi="Times New Roman"/>
              </w:rPr>
            </w:pPr>
            <w:r>
              <w:rPr>
                <w:rFonts w:ascii="Times New Roman" w:hAnsi="Times New Roman"/>
              </w:rPr>
              <w:t>1</w:t>
            </w:r>
            <w:r w:rsidRPr="00A071AB">
              <w:rPr>
                <w:rFonts w:ascii="Times New Roman" w:hAnsi="Times New Roman"/>
              </w:rPr>
              <w:t>5</w:t>
            </w:r>
          </w:p>
        </w:tc>
      </w:tr>
      <w:tr w14:paraId="3FEA3347" w14:textId="77777777" w:rsidTr="00D61BD6">
        <w:tblPrEx>
          <w:tblW w:w="0" w:type="auto"/>
          <w:jc w:val="center"/>
          <w:tblLayout w:type="fixed"/>
          <w:tblLook w:val="04A0"/>
        </w:tblPrEx>
        <w:trPr>
          <w:jc w:val="center"/>
        </w:trPr>
        <w:tc>
          <w:tcPr>
            <w:tcW w:w="2425" w:type="dxa"/>
            <w:shd w:val="clear" w:color="auto" w:fill="auto"/>
          </w:tcPr>
          <w:p w:rsidR="00F0584F" w:rsidRPr="00A071AB" w:rsidP="00F0584F" w14:paraId="50EEC43B" w14:textId="77777777">
            <w:pPr>
              <w:pStyle w:val="BodyText"/>
              <w:spacing w:after="80" w:line="259" w:lineRule="auto"/>
              <w:rPr>
                <w:rFonts w:ascii="Times New Roman" w:hAnsi="Times New Roman"/>
                <w:b/>
                <w:bCs/>
              </w:rPr>
            </w:pPr>
            <w:r w:rsidRPr="00A071AB">
              <w:rPr>
                <w:rFonts w:ascii="Times New Roman" w:hAnsi="Times New Roman"/>
                <w:b/>
                <w:bCs/>
              </w:rPr>
              <w:t>Awardees</w:t>
            </w:r>
          </w:p>
        </w:tc>
        <w:tc>
          <w:tcPr>
            <w:tcW w:w="4500" w:type="dxa"/>
            <w:shd w:val="clear" w:color="auto" w:fill="auto"/>
          </w:tcPr>
          <w:p w:rsidR="00F0584F" w:rsidRPr="00A071AB" w:rsidP="00F0584F" w14:paraId="72EAFBF9" w14:textId="77777777">
            <w:pPr>
              <w:pStyle w:val="BodyText"/>
              <w:spacing w:after="80" w:line="259" w:lineRule="auto"/>
              <w:rPr>
                <w:rFonts w:ascii="Times New Roman" w:hAnsi="Times New Roman"/>
              </w:rPr>
            </w:pPr>
            <w:r w:rsidRPr="00A071AB">
              <w:rPr>
                <w:rFonts w:ascii="Times New Roman" w:hAnsi="Times New Roman"/>
              </w:rPr>
              <w:t>Application Survey Outreach</w:t>
            </w:r>
          </w:p>
        </w:tc>
        <w:tc>
          <w:tcPr>
            <w:tcW w:w="1440" w:type="dxa"/>
            <w:shd w:val="clear" w:color="auto" w:fill="auto"/>
          </w:tcPr>
          <w:p w:rsidR="00F0584F" w:rsidRPr="00A071AB" w:rsidP="00F0584F" w14:paraId="3BD178EB"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F0584F" w:rsidRPr="00A071AB" w:rsidP="00F0584F" w14:paraId="6E1893C7"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6596C258" w14:textId="77777777" w:rsidTr="00D61BD6">
        <w:tblPrEx>
          <w:tblW w:w="0" w:type="auto"/>
          <w:jc w:val="center"/>
          <w:tblLayout w:type="fixed"/>
          <w:tblLook w:val="04A0"/>
        </w:tblPrEx>
        <w:trPr>
          <w:jc w:val="center"/>
        </w:trPr>
        <w:tc>
          <w:tcPr>
            <w:tcW w:w="2425" w:type="dxa"/>
            <w:shd w:val="clear" w:color="auto" w:fill="auto"/>
          </w:tcPr>
          <w:p w:rsidR="00F0584F" w:rsidRPr="00A071AB" w:rsidP="00F0584F" w14:paraId="16BDF98C" w14:textId="77777777">
            <w:pPr>
              <w:pStyle w:val="BodyText"/>
              <w:spacing w:after="80" w:line="259" w:lineRule="auto"/>
              <w:rPr>
                <w:rFonts w:ascii="Times New Roman" w:hAnsi="Times New Roman"/>
                <w:b/>
                <w:bCs/>
              </w:rPr>
            </w:pPr>
            <w:r w:rsidRPr="00A071AB">
              <w:rPr>
                <w:rFonts w:ascii="Times New Roman" w:hAnsi="Times New Roman"/>
                <w:b/>
                <w:bCs/>
              </w:rPr>
              <w:t>Awardees</w:t>
            </w:r>
          </w:p>
        </w:tc>
        <w:tc>
          <w:tcPr>
            <w:tcW w:w="4500" w:type="dxa"/>
            <w:shd w:val="clear" w:color="auto" w:fill="auto"/>
          </w:tcPr>
          <w:p w:rsidR="00F0584F" w:rsidRPr="00A071AB" w:rsidP="00F0584F" w14:paraId="111B1FAB" w14:textId="0F9DDC1F">
            <w:pPr>
              <w:pStyle w:val="BodyText"/>
              <w:spacing w:after="80" w:line="259" w:lineRule="auto"/>
              <w:rPr>
                <w:rFonts w:ascii="Times New Roman" w:hAnsi="Times New Roman"/>
              </w:rPr>
            </w:pPr>
            <w:r w:rsidRPr="00A071AB">
              <w:rPr>
                <w:rFonts w:ascii="Times New Roman" w:hAnsi="Times New Roman"/>
              </w:rPr>
              <w:t xml:space="preserve">Application </w:t>
            </w:r>
            <w:r w:rsidR="007912B9">
              <w:rPr>
                <w:rFonts w:ascii="Times New Roman" w:hAnsi="Times New Roman"/>
              </w:rPr>
              <w:t xml:space="preserve">Consent Form and </w:t>
            </w:r>
            <w:r w:rsidRPr="00A071AB">
              <w:rPr>
                <w:rFonts w:ascii="Times New Roman" w:hAnsi="Times New Roman"/>
              </w:rPr>
              <w:t>Survey</w:t>
            </w:r>
          </w:p>
        </w:tc>
        <w:tc>
          <w:tcPr>
            <w:tcW w:w="1440" w:type="dxa"/>
            <w:shd w:val="clear" w:color="auto" w:fill="auto"/>
          </w:tcPr>
          <w:p w:rsidR="00F0584F" w:rsidRPr="00A071AB" w:rsidP="00F0584F" w14:paraId="589A9240" w14:textId="0F0F9B96">
            <w:pPr>
              <w:pStyle w:val="BodyText"/>
              <w:spacing w:after="80" w:line="259" w:lineRule="auto"/>
              <w:jc w:val="center"/>
              <w:rPr>
                <w:rFonts w:ascii="Times New Roman" w:hAnsi="Times New Roman"/>
              </w:rPr>
            </w:pPr>
            <w:r w:rsidRPr="00A071AB">
              <w:rPr>
                <w:rFonts w:ascii="Times New Roman" w:hAnsi="Times New Roman"/>
              </w:rPr>
              <w:t>B</w:t>
            </w:r>
          </w:p>
        </w:tc>
        <w:tc>
          <w:tcPr>
            <w:tcW w:w="1440" w:type="dxa"/>
          </w:tcPr>
          <w:p w:rsidR="00F0584F" w:rsidRPr="00A071AB" w:rsidP="00F0584F" w14:paraId="3CE984C1"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1F0A916B" w14:textId="77777777" w:rsidTr="00D61BD6">
        <w:tblPrEx>
          <w:tblW w:w="0" w:type="auto"/>
          <w:jc w:val="center"/>
          <w:tblLayout w:type="fixed"/>
          <w:tblLook w:val="04A0"/>
        </w:tblPrEx>
        <w:trPr>
          <w:jc w:val="center"/>
        </w:trPr>
        <w:tc>
          <w:tcPr>
            <w:tcW w:w="2425" w:type="dxa"/>
            <w:shd w:val="clear" w:color="auto" w:fill="auto"/>
          </w:tcPr>
          <w:p w:rsidR="00F0584F" w:rsidRPr="00A071AB" w:rsidP="00F0584F" w14:paraId="63AA88D3" w14:textId="77777777">
            <w:pPr>
              <w:pStyle w:val="BodyText"/>
              <w:spacing w:after="80" w:line="259" w:lineRule="auto"/>
              <w:rPr>
                <w:rFonts w:ascii="Times New Roman" w:hAnsi="Times New Roman"/>
                <w:b/>
                <w:bCs/>
              </w:rPr>
            </w:pPr>
            <w:r w:rsidRPr="00A071AB">
              <w:rPr>
                <w:rFonts w:ascii="Times New Roman" w:hAnsi="Times New Roman"/>
                <w:b/>
                <w:bCs/>
              </w:rPr>
              <w:t>Awardees</w:t>
            </w:r>
          </w:p>
        </w:tc>
        <w:tc>
          <w:tcPr>
            <w:tcW w:w="4500" w:type="dxa"/>
            <w:shd w:val="clear" w:color="auto" w:fill="auto"/>
          </w:tcPr>
          <w:p w:rsidR="00F0584F" w:rsidRPr="00A071AB" w:rsidP="00F0584F" w14:paraId="20500535" w14:textId="77777777">
            <w:pPr>
              <w:pStyle w:val="BodyText"/>
              <w:spacing w:after="80" w:line="259" w:lineRule="auto"/>
              <w:rPr>
                <w:rFonts w:ascii="Times New Roman" w:hAnsi="Times New Roman"/>
              </w:rPr>
            </w:pPr>
            <w:r w:rsidRPr="00A071AB">
              <w:rPr>
                <w:rFonts w:ascii="Times New Roman" w:hAnsi="Times New Roman"/>
              </w:rPr>
              <w:t>Application Interview Outreach</w:t>
            </w:r>
          </w:p>
        </w:tc>
        <w:tc>
          <w:tcPr>
            <w:tcW w:w="1440" w:type="dxa"/>
            <w:shd w:val="clear" w:color="auto" w:fill="auto"/>
          </w:tcPr>
          <w:p w:rsidR="00F0584F" w:rsidRPr="00A071AB" w:rsidP="00F0584F" w14:paraId="38E49414"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F0584F" w:rsidRPr="00A071AB" w:rsidP="00F0584F" w14:paraId="3411843B" w14:textId="0BBAE9B9">
            <w:pPr>
              <w:pStyle w:val="BodyText"/>
              <w:spacing w:after="80" w:line="259" w:lineRule="auto"/>
              <w:jc w:val="right"/>
              <w:rPr>
                <w:rFonts w:ascii="Times New Roman" w:hAnsi="Times New Roman"/>
              </w:rPr>
            </w:pPr>
            <w:r>
              <w:rPr>
                <w:rFonts w:ascii="Times New Roman" w:hAnsi="Times New Roman"/>
              </w:rPr>
              <w:t>1</w:t>
            </w:r>
            <w:r w:rsidRPr="00A071AB">
              <w:rPr>
                <w:rFonts w:ascii="Times New Roman" w:hAnsi="Times New Roman"/>
              </w:rPr>
              <w:t>5</w:t>
            </w:r>
          </w:p>
        </w:tc>
      </w:tr>
      <w:tr w14:paraId="154F1C9B" w14:textId="77777777" w:rsidTr="00D61BD6">
        <w:tblPrEx>
          <w:tblW w:w="0" w:type="auto"/>
          <w:jc w:val="center"/>
          <w:tblLayout w:type="fixed"/>
          <w:tblLook w:val="04A0"/>
        </w:tblPrEx>
        <w:trPr>
          <w:jc w:val="center"/>
        </w:trPr>
        <w:tc>
          <w:tcPr>
            <w:tcW w:w="2425" w:type="dxa"/>
            <w:shd w:val="clear" w:color="auto" w:fill="auto"/>
          </w:tcPr>
          <w:p w:rsidR="006620F6" w:rsidRPr="00A071AB" w:rsidP="006620F6" w14:paraId="7379825F"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6620F6" w:rsidRPr="00A071AB" w:rsidP="006620F6" w14:paraId="178B61D0" w14:textId="6365314D">
            <w:pPr>
              <w:pStyle w:val="BodyText"/>
              <w:spacing w:after="80" w:line="259" w:lineRule="auto"/>
              <w:rPr>
                <w:rFonts w:ascii="Times New Roman" w:hAnsi="Times New Roman"/>
              </w:rPr>
            </w:pPr>
            <w:r w:rsidRPr="00A071AB">
              <w:rPr>
                <w:rFonts w:ascii="Times New Roman" w:hAnsi="Times New Roman"/>
              </w:rPr>
              <w:t>Application</w:t>
            </w:r>
            <w:r w:rsidR="007912B9">
              <w:rPr>
                <w:rFonts w:ascii="Times New Roman" w:hAnsi="Times New Roman"/>
              </w:rPr>
              <w:t xml:space="preserve"> Consent Form and</w:t>
            </w:r>
            <w:r w:rsidRPr="00A071AB">
              <w:rPr>
                <w:rFonts w:ascii="Times New Roman" w:hAnsi="Times New Roman"/>
              </w:rPr>
              <w:t xml:space="preserve"> Interview</w:t>
            </w:r>
          </w:p>
        </w:tc>
        <w:tc>
          <w:tcPr>
            <w:tcW w:w="1440" w:type="dxa"/>
            <w:shd w:val="clear" w:color="auto" w:fill="auto"/>
          </w:tcPr>
          <w:p w:rsidR="006620F6" w:rsidRPr="00A071AB" w:rsidP="006620F6" w14:paraId="5934203C" w14:textId="7E938960">
            <w:pPr>
              <w:pStyle w:val="BodyText"/>
              <w:spacing w:after="80" w:line="259" w:lineRule="auto"/>
              <w:jc w:val="center"/>
              <w:rPr>
                <w:rFonts w:ascii="Times New Roman" w:hAnsi="Times New Roman"/>
              </w:rPr>
            </w:pPr>
            <w:r w:rsidRPr="00A071AB">
              <w:rPr>
                <w:rFonts w:ascii="Times New Roman" w:hAnsi="Times New Roman"/>
              </w:rPr>
              <w:t>E</w:t>
            </w:r>
          </w:p>
        </w:tc>
        <w:tc>
          <w:tcPr>
            <w:tcW w:w="1440" w:type="dxa"/>
          </w:tcPr>
          <w:p w:rsidR="006620F6" w:rsidRPr="00A071AB" w:rsidP="006620F6" w14:paraId="3FC57610" w14:textId="1CA507CB">
            <w:pPr>
              <w:pStyle w:val="BodyText"/>
              <w:spacing w:after="80" w:line="259" w:lineRule="auto"/>
              <w:jc w:val="right"/>
              <w:rPr>
                <w:rFonts w:ascii="Times New Roman" w:hAnsi="Times New Roman"/>
              </w:rPr>
            </w:pPr>
            <w:r>
              <w:rPr>
                <w:rFonts w:ascii="Times New Roman" w:hAnsi="Times New Roman"/>
              </w:rPr>
              <w:t>1</w:t>
            </w:r>
            <w:r w:rsidRPr="00A071AB">
              <w:rPr>
                <w:rFonts w:ascii="Times New Roman" w:hAnsi="Times New Roman"/>
              </w:rPr>
              <w:t>5</w:t>
            </w:r>
          </w:p>
        </w:tc>
      </w:tr>
      <w:tr w14:paraId="4A4B63EB" w14:textId="77777777" w:rsidTr="00D61BD6">
        <w:tblPrEx>
          <w:tblW w:w="0" w:type="auto"/>
          <w:jc w:val="center"/>
          <w:tblLayout w:type="fixed"/>
          <w:tblLook w:val="04A0"/>
        </w:tblPrEx>
        <w:trPr>
          <w:jc w:val="center"/>
        </w:trPr>
        <w:tc>
          <w:tcPr>
            <w:tcW w:w="2425" w:type="dxa"/>
            <w:shd w:val="clear" w:color="auto" w:fill="auto"/>
          </w:tcPr>
          <w:p w:rsidR="006620F6" w:rsidRPr="00A071AB" w:rsidP="006620F6" w14:paraId="17092327"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6620F6" w:rsidRPr="00A071AB" w:rsidP="006620F6" w14:paraId="54965586" w14:textId="77777777">
            <w:pPr>
              <w:pStyle w:val="BodyText"/>
              <w:spacing w:after="80" w:line="259" w:lineRule="auto"/>
              <w:rPr>
                <w:rFonts w:ascii="Times New Roman" w:hAnsi="Times New Roman"/>
              </w:rPr>
            </w:pPr>
            <w:r w:rsidRPr="00A071AB">
              <w:rPr>
                <w:rFonts w:ascii="Times New Roman" w:hAnsi="Times New Roman"/>
              </w:rPr>
              <w:t>Scoping and Design Survey Outreach</w:t>
            </w:r>
          </w:p>
        </w:tc>
        <w:tc>
          <w:tcPr>
            <w:tcW w:w="1440" w:type="dxa"/>
            <w:shd w:val="clear" w:color="auto" w:fill="auto"/>
          </w:tcPr>
          <w:p w:rsidR="006620F6" w:rsidRPr="00A071AB" w:rsidP="006620F6" w14:paraId="265BE506"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6620F6" w:rsidRPr="00A071AB" w:rsidP="006620F6" w14:paraId="2E6DEDE0"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0A97FB1F" w14:textId="77777777" w:rsidTr="00D61BD6">
        <w:tblPrEx>
          <w:tblW w:w="0" w:type="auto"/>
          <w:jc w:val="center"/>
          <w:tblLayout w:type="fixed"/>
          <w:tblLook w:val="04A0"/>
        </w:tblPrEx>
        <w:trPr>
          <w:jc w:val="center"/>
        </w:trPr>
        <w:tc>
          <w:tcPr>
            <w:tcW w:w="2425" w:type="dxa"/>
            <w:shd w:val="clear" w:color="auto" w:fill="auto"/>
          </w:tcPr>
          <w:p w:rsidR="006620F6" w:rsidRPr="00A071AB" w:rsidP="006620F6" w14:paraId="49451B64"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6620F6" w:rsidRPr="00A071AB" w:rsidP="006620F6" w14:paraId="7B38B02E" w14:textId="510EFFC1">
            <w:pPr>
              <w:pStyle w:val="BodyText"/>
              <w:spacing w:after="80" w:line="259" w:lineRule="auto"/>
              <w:rPr>
                <w:rFonts w:ascii="Times New Roman" w:hAnsi="Times New Roman"/>
              </w:rPr>
            </w:pPr>
            <w:r w:rsidRPr="00A071AB">
              <w:rPr>
                <w:rFonts w:ascii="Times New Roman" w:hAnsi="Times New Roman"/>
              </w:rPr>
              <w:t>Scoping and Design</w:t>
            </w:r>
            <w:r w:rsidR="004F7CCE">
              <w:rPr>
                <w:rFonts w:ascii="Times New Roman" w:hAnsi="Times New Roman"/>
              </w:rPr>
              <w:t xml:space="preserve"> Consent Form and</w:t>
            </w:r>
            <w:r w:rsidRPr="00A071AB">
              <w:rPr>
                <w:rFonts w:ascii="Times New Roman" w:hAnsi="Times New Roman"/>
              </w:rPr>
              <w:t xml:space="preserve"> Survey</w:t>
            </w:r>
          </w:p>
        </w:tc>
        <w:tc>
          <w:tcPr>
            <w:tcW w:w="1440" w:type="dxa"/>
          </w:tcPr>
          <w:p w:rsidR="006620F6" w:rsidRPr="00A071AB" w:rsidP="006620F6" w14:paraId="48CBC148" w14:textId="7AA98040">
            <w:pPr>
              <w:pStyle w:val="BodyText"/>
              <w:spacing w:after="80" w:line="259" w:lineRule="auto"/>
              <w:jc w:val="center"/>
              <w:rPr>
                <w:rFonts w:ascii="Times New Roman" w:hAnsi="Times New Roman"/>
              </w:rPr>
            </w:pPr>
            <w:r w:rsidRPr="00A071AB">
              <w:rPr>
                <w:rFonts w:ascii="Times New Roman" w:hAnsi="Times New Roman"/>
              </w:rPr>
              <w:t>C</w:t>
            </w:r>
          </w:p>
        </w:tc>
        <w:tc>
          <w:tcPr>
            <w:tcW w:w="1440" w:type="dxa"/>
          </w:tcPr>
          <w:p w:rsidR="006620F6" w:rsidRPr="00A071AB" w:rsidP="006620F6" w14:paraId="4BC2C8A3"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5166A0E7" w14:textId="77777777" w:rsidTr="00D61BD6">
        <w:tblPrEx>
          <w:tblW w:w="0" w:type="auto"/>
          <w:jc w:val="center"/>
          <w:tblLayout w:type="fixed"/>
          <w:tblLook w:val="04A0"/>
        </w:tblPrEx>
        <w:trPr>
          <w:jc w:val="center"/>
        </w:trPr>
        <w:tc>
          <w:tcPr>
            <w:tcW w:w="2425" w:type="dxa"/>
            <w:shd w:val="clear" w:color="auto" w:fill="auto"/>
          </w:tcPr>
          <w:p w:rsidR="006620F6" w:rsidRPr="00A071AB" w:rsidP="006620F6" w14:paraId="038988F1"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6620F6" w:rsidRPr="00A071AB" w:rsidP="006620F6" w14:paraId="4E572D43" w14:textId="77777777">
            <w:pPr>
              <w:pStyle w:val="BodyText"/>
              <w:spacing w:after="80" w:line="259" w:lineRule="auto"/>
              <w:rPr>
                <w:rFonts w:ascii="Times New Roman" w:hAnsi="Times New Roman"/>
              </w:rPr>
            </w:pPr>
            <w:r w:rsidRPr="00A071AB">
              <w:rPr>
                <w:rFonts w:ascii="Times New Roman" w:hAnsi="Times New Roman"/>
              </w:rPr>
              <w:t>Scoping and Design Interview Outreach</w:t>
            </w:r>
          </w:p>
        </w:tc>
        <w:tc>
          <w:tcPr>
            <w:tcW w:w="1440" w:type="dxa"/>
            <w:shd w:val="clear" w:color="auto" w:fill="auto"/>
          </w:tcPr>
          <w:p w:rsidR="006620F6" w:rsidRPr="00A071AB" w:rsidP="006620F6" w14:paraId="01704786"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6620F6" w:rsidRPr="00A071AB" w:rsidP="006620F6" w14:paraId="4B748D89" w14:textId="77777777">
            <w:pPr>
              <w:pStyle w:val="BodyText"/>
              <w:spacing w:after="80" w:line="259" w:lineRule="auto"/>
              <w:jc w:val="right"/>
              <w:rPr>
                <w:rFonts w:ascii="Times New Roman" w:hAnsi="Times New Roman"/>
              </w:rPr>
            </w:pPr>
            <w:r w:rsidRPr="00A071AB">
              <w:rPr>
                <w:rFonts w:ascii="Times New Roman" w:hAnsi="Times New Roman"/>
              </w:rPr>
              <w:t>40</w:t>
            </w:r>
          </w:p>
        </w:tc>
      </w:tr>
      <w:tr w14:paraId="7C9A5305" w14:textId="77777777" w:rsidTr="00D61BD6">
        <w:tblPrEx>
          <w:tblW w:w="0" w:type="auto"/>
          <w:jc w:val="center"/>
          <w:tblLayout w:type="fixed"/>
          <w:tblLook w:val="04A0"/>
        </w:tblPrEx>
        <w:trPr>
          <w:jc w:val="center"/>
        </w:trPr>
        <w:tc>
          <w:tcPr>
            <w:tcW w:w="2425" w:type="dxa"/>
            <w:shd w:val="clear" w:color="auto" w:fill="auto"/>
          </w:tcPr>
          <w:p w:rsidR="00C73873" w:rsidRPr="00A071AB" w:rsidP="00C73873" w14:paraId="6937A4F1"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C73873" w:rsidRPr="00A071AB" w:rsidP="00C73873" w14:paraId="16BFA864" w14:textId="46695553">
            <w:pPr>
              <w:pStyle w:val="BodyText"/>
              <w:spacing w:after="80" w:line="259" w:lineRule="auto"/>
              <w:rPr>
                <w:rFonts w:ascii="Times New Roman" w:hAnsi="Times New Roman"/>
              </w:rPr>
            </w:pPr>
            <w:r w:rsidRPr="00A071AB">
              <w:rPr>
                <w:rFonts w:ascii="Times New Roman" w:hAnsi="Times New Roman"/>
              </w:rPr>
              <w:t>Scoping and Design</w:t>
            </w:r>
            <w:r w:rsidR="004F7CCE">
              <w:rPr>
                <w:rFonts w:ascii="Times New Roman" w:hAnsi="Times New Roman"/>
              </w:rPr>
              <w:t xml:space="preserve"> Consent Form and</w:t>
            </w:r>
            <w:r w:rsidRPr="00A071AB">
              <w:rPr>
                <w:rFonts w:ascii="Times New Roman" w:hAnsi="Times New Roman"/>
              </w:rPr>
              <w:t xml:space="preserve"> Interview</w:t>
            </w:r>
          </w:p>
        </w:tc>
        <w:tc>
          <w:tcPr>
            <w:tcW w:w="1440" w:type="dxa"/>
          </w:tcPr>
          <w:p w:rsidR="00C73873" w:rsidRPr="00A071AB" w:rsidP="00C73873" w14:paraId="51ABBAF3" w14:textId="28930CCB">
            <w:pPr>
              <w:pStyle w:val="BodyText"/>
              <w:spacing w:after="80" w:line="259" w:lineRule="auto"/>
              <w:jc w:val="center"/>
              <w:rPr>
                <w:rFonts w:ascii="Times New Roman" w:hAnsi="Times New Roman"/>
              </w:rPr>
            </w:pPr>
            <w:r w:rsidRPr="00A071AB">
              <w:rPr>
                <w:rFonts w:ascii="Times New Roman" w:hAnsi="Times New Roman"/>
              </w:rPr>
              <w:t>F</w:t>
            </w:r>
          </w:p>
        </w:tc>
        <w:tc>
          <w:tcPr>
            <w:tcW w:w="1440" w:type="dxa"/>
          </w:tcPr>
          <w:p w:rsidR="00C73873" w:rsidRPr="00A071AB" w:rsidP="00C73873" w14:paraId="442FE613" w14:textId="77777777">
            <w:pPr>
              <w:pStyle w:val="BodyText"/>
              <w:spacing w:after="80" w:line="259" w:lineRule="auto"/>
              <w:jc w:val="right"/>
              <w:rPr>
                <w:rFonts w:ascii="Times New Roman" w:hAnsi="Times New Roman"/>
              </w:rPr>
            </w:pPr>
            <w:r w:rsidRPr="00A071AB">
              <w:rPr>
                <w:rFonts w:ascii="Times New Roman" w:hAnsi="Times New Roman"/>
              </w:rPr>
              <w:t>40</w:t>
            </w:r>
          </w:p>
        </w:tc>
      </w:tr>
      <w:tr w14:paraId="46E9D27B" w14:textId="77777777" w:rsidTr="00D61BD6">
        <w:tblPrEx>
          <w:tblW w:w="0" w:type="auto"/>
          <w:jc w:val="center"/>
          <w:tblLayout w:type="fixed"/>
          <w:tblLook w:val="04A0"/>
        </w:tblPrEx>
        <w:trPr>
          <w:jc w:val="center"/>
        </w:trPr>
        <w:tc>
          <w:tcPr>
            <w:tcW w:w="2425" w:type="dxa"/>
            <w:shd w:val="clear" w:color="auto" w:fill="auto"/>
          </w:tcPr>
          <w:p w:rsidR="00C73873" w:rsidRPr="00A071AB" w:rsidP="00C73873" w14:paraId="476FEB24"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C73873" w:rsidRPr="00A071AB" w:rsidP="00C73873" w14:paraId="2B9C9587" w14:textId="77777777">
            <w:pPr>
              <w:pStyle w:val="BodyText"/>
              <w:spacing w:after="80" w:line="259" w:lineRule="auto"/>
              <w:rPr>
                <w:rFonts w:ascii="Times New Roman" w:hAnsi="Times New Roman"/>
              </w:rPr>
            </w:pPr>
            <w:r w:rsidRPr="00A071AB">
              <w:rPr>
                <w:rFonts w:ascii="Times New Roman" w:hAnsi="Times New Roman"/>
              </w:rPr>
              <w:t>Post-Construction Survey Outreach</w:t>
            </w:r>
          </w:p>
        </w:tc>
        <w:tc>
          <w:tcPr>
            <w:tcW w:w="1440" w:type="dxa"/>
            <w:shd w:val="clear" w:color="auto" w:fill="auto"/>
          </w:tcPr>
          <w:p w:rsidR="00C73873" w:rsidRPr="00A071AB" w:rsidP="00C73873" w14:paraId="31212087"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C73873" w:rsidRPr="00A071AB" w:rsidP="00C73873" w14:paraId="5EE9B5A1"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33D6D3DD" w14:textId="77777777" w:rsidTr="00D61BD6">
        <w:tblPrEx>
          <w:tblW w:w="0" w:type="auto"/>
          <w:jc w:val="center"/>
          <w:tblLayout w:type="fixed"/>
          <w:tblLook w:val="04A0"/>
        </w:tblPrEx>
        <w:trPr>
          <w:jc w:val="center"/>
        </w:trPr>
        <w:tc>
          <w:tcPr>
            <w:tcW w:w="2425" w:type="dxa"/>
            <w:shd w:val="clear" w:color="auto" w:fill="auto"/>
          </w:tcPr>
          <w:p w:rsidR="00C73873" w:rsidRPr="00A071AB" w:rsidP="00C73873" w14:paraId="133C8F3B"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C73873" w:rsidRPr="00A071AB" w:rsidP="00C73873" w14:paraId="154F760B" w14:textId="4F8EA1BB">
            <w:pPr>
              <w:pStyle w:val="BodyText"/>
              <w:spacing w:after="80" w:line="259" w:lineRule="auto"/>
              <w:rPr>
                <w:rFonts w:ascii="Times New Roman" w:hAnsi="Times New Roman"/>
              </w:rPr>
            </w:pPr>
            <w:r w:rsidRPr="00A071AB">
              <w:rPr>
                <w:rFonts w:ascii="Times New Roman" w:hAnsi="Times New Roman"/>
              </w:rPr>
              <w:t>Post-Construction</w:t>
            </w:r>
            <w:r w:rsidR="004F7CCE">
              <w:rPr>
                <w:rFonts w:ascii="Times New Roman" w:hAnsi="Times New Roman"/>
              </w:rPr>
              <w:t xml:space="preserve"> Consent Form and</w:t>
            </w:r>
            <w:r w:rsidRPr="00A071AB">
              <w:rPr>
                <w:rFonts w:ascii="Times New Roman" w:hAnsi="Times New Roman"/>
              </w:rPr>
              <w:t xml:space="preserve"> Survey</w:t>
            </w:r>
          </w:p>
        </w:tc>
        <w:tc>
          <w:tcPr>
            <w:tcW w:w="1440" w:type="dxa"/>
          </w:tcPr>
          <w:p w:rsidR="00C73873" w:rsidRPr="00A071AB" w:rsidP="00C73873" w14:paraId="247052E6" w14:textId="0172E9FA">
            <w:pPr>
              <w:pStyle w:val="BodyText"/>
              <w:spacing w:after="80" w:line="259" w:lineRule="auto"/>
              <w:jc w:val="center"/>
              <w:rPr>
                <w:rFonts w:ascii="Times New Roman" w:hAnsi="Times New Roman"/>
              </w:rPr>
            </w:pPr>
            <w:r w:rsidRPr="00A071AB">
              <w:rPr>
                <w:rFonts w:ascii="Times New Roman" w:hAnsi="Times New Roman"/>
              </w:rPr>
              <w:t>D</w:t>
            </w:r>
          </w:p>
        </w:tc>
        <w:tc>
          <w:tcPr>
            <w:tcW w:w="1440" w:type="dxa"/>
          </w:tcPr>
          <w:p w:rsidR="00C73873" w:rsidRPr="00A071AB" w:rsidP="00C73873" w14:paraId="0428FF4D" w14:textId="77777777">
            <w:pPr>
              <w:pStyle w:val="BodyText"/>
              <w:spacing w:after="80" w:line="259" w:lineRule="auto"/>
              <w:jc w:val="right"/>
              <w:rPr>
                <w:rFonts w:ascii="Times New Roman" w:hAnsi="Times New Roman"/>
              </w:rPr>
            </w:pPr>
            <w:r w:rsidRPr="00A071AB">
              <w:rPr>
                <w:rFonts w:ascii="Times New Roman" w:hAnsi="Times New Roman"/>
              </w:rPr>
              <w:t>450</w:t>
            </w:r>
          </w:p>
        </w:tc>
      </w:tr>
      <w:tr w14:paraId="662C4B43" w14:textId="77777777" w:rsidTr="00D61BD6">
        <w:tblPrEx>
          <w:tblW w:w="0" w:type="auto"/>
          <w:jc w:val="center"/>
          <w:tblLayout w:type="fixed"/>
          <w:tblLook w:val="04A0"/>
        </w:tblPrEx>
        <w:trPr>
          <w:jc w:val="center"/>
        </w:trPr>
        <w:tc>
          <w:tcPr>
            <w:tcW w:w="2425" w:type="dxa"/>
            <w:shd w:val="clear" w:color="auto" w:fill="auto"/>
          </w:tcPr>
          <w:p w:rsidR="00C73873" w:rsidRPr="00A071AB" w:rsidP="00C73873" w14:paraId="538A832D"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C73873" w:rsidRPr="00A071AB" w:rsidP="00C73873" w14:paraId="03D7308A" w14:textId="77777777">
            <w:pPr>
              <w:pStyle w:val="BodyText"/>
              <w:spacing w:after="80" w:line="259" w:lineRule="auto"/>
              <w:rPr>
                <w:rFonts w:ascii="Times New Roman" w:hAnsi="Times New Roman"/>
              </w:rPr>
            </w:pPr>
            <w:r w:rsidRPr="00A071AB">
              <w:rPr>
                <w:rFonts w:ascii="Times New Roman" w:hAnsi="Times New Roman"/>
              </w:rPr>
              <w:t>Post-Construction Interview Outreach</w:t>
            </w:r>
          </w:p>
        </w:tc>
        <w:tc>
          <w:tcPr>
            <w:tcW w:w="1440" w:type="dxa"/>
            <w:shd w:val="clear" w:color="auto" w:fill="auto"/>
          </w:tcPr>
          <w:p w:rsidR="00C73873" w:rsidRPr="00A071AB" w:rsidP="00C73873" w14:paraId="716DD3C7" w14:textId="77777777">
            <w:pPr>
              <w:pStyle w:val="BodyText"/>
              <w:spacing w:after="80" w:line="259" w:lineRule="auto"/>
              <w:jc w:val="center"/>
              <w:rPr>
                <w:rFonts w:ascii="Times New Roman" w:hAnsi="Times New Roman"/>
              </w:rPr>
            </w:pPr>
            <w:r w:rsidRPr="00A071AB">
              <w:rPr>
                <w:rFonts w:ascii="Times New Roman" w:hAnsi="Times New Roman"/>
              </w:rPr>
              <w:t>A</w:t>
            </w:r>
          </w:p>
        </w:tc>
        <w:tc>
          <w:tcPr>
            <w:tcW w:w="1440" w:type="dxa"/>
          </w:tcPr>
          <w:p w:rsidR="00C73873" w:rsidRPr="00A071AB" w:rsidP="00C73873" w14:paraId="1D627B99" w14:textId="77777777">
            <w:pPr>
              <w:pStyle w:val="BodyText"/>
              <w:spacing w:after="80" w:line="259" w:lineRule="auto"/>
              <w:jc w:val="right"/>
              <w:rPr>
                <w:rFonts w:ascii="Times New Roman" w:hAnsi="Times New Roman"/>
              </w:rPr>
            </w:pPr>
            <w:r w:rsidRPr="00A071AB">
              <w:rPr>
                <w:rFonts w:ascii="Times New Roman" w:hAnsi="Times New Roman"/>
              </w:rPr>
              <w:t>40</w:t>
            </w:r>
          </w:p>
        </w:tc>
      </w:tr>
      <w:tr w14:paraId="1ECE5CE2" w14:textId="77777777" w:rsidTr="00D61BD6">
        <w:tblPrEx>
          <w:tblW w:w="0" w:type="auto"/>
          <w:jc w:val="center"/>
          <w:tblLayout w:type="fixed"/>
          <w:tblLook w:val="04A0"/>
        </w:tblPrEx>
        <w:trPr>
          <w:jc w:val="center"/>
        </w:trPr>
        <w:tc>
          <w:tcPr>
            <w:tcW w:w="2425" w:type="dxa"/>
            <w:shd w:val="clear" w:color="auto" w:fill="auto"/>
          </w:tcPr>
          <w:p w:rsidR="0078493F" w:rsidRPr="00A071AB" w:rsidP="0078493F" w14:paraId="4C502966" w14:textId="77777777">
            <w:pPr>
              <w:pStyle w:val="BodyText"/>
              <w:spacing w:after="80" w:line="259" w:lineRule="auto"/>
              <w:rPr>
                <w:rFonts w:ascii="Times New Roman" w:hAnsi="Times New Roman"/>
              </w:rPr>
            </w:pPr>
            <w:r w:rsidRPr="00A071AB">
              <w:rPr>
                <w:rFonts w:ascii="Times New Roman" w:hAnsi="Times New Roman"/>
                <w:b/>
                <w:bCs/>
              </w:rPr>
              <w:t>Awardees</w:t>
            </w:r>
          </w:p>
        </w:tc>
        <w:tc>
          <w:tcPr>
            <w:tcW w:w="4500" w:type="dxa"/>
            <w:shd w:val="clear" w:color="auto" w:fill="auto"/>
          </w:tcPr>
          <w:p w:rsidR="0078493F" w:rsidRPr="00A071AB" w:rsidP="0078493F" w14:paraId="3A5102A6" w14:textId="51D97896">
            <w:pPr>
              <w:pStyle w:val="BodyText"/>
              <w:spacing w:after="80" w:line="259" w:lineRule="auto"/>
              <w:rPr>
                <w:rFonts w:ascii="Times New Roman" w:hAnsi="Times New Roman"/>
              </w:rPr>
            </w:pPr>
            <w:r w:rsidRPr="00A071AB">
              <w:rPr>
                <w:rFonts w:ascii="Times New Roman" w:hAnsi="Times New Roman"/>
              </w:rPr>
              <w:t>Post-Construction</w:t>
            </w:r>
            <w:r w:rsidR="004F7CCE">
              <w:rPr>
                <w:rFonts w:ascii="Times New Roman" w:hAnsi="Times New Roman"/>
              </w:rPr>
              <w:t xml:space="preserve"> Consent Form and</w:t>
            </w:r>
            <w:r w:rsidRPr="00A071AB">
              <w:rPr>
                <w:rFonts w:ascii="Times New Roman" w:hAnsi="Times New Roman"/>
              </w:rPr>
              <w:t xml:space="preserve"> Interview</w:t>
            </w:r>
          </w:p>
        </w:tc>
        <w:tc>
          <w:tcPr>
            <w:tcW w:w="1440" w:type="dxa"/>
          </w:tcPr>
          <w:p w:rsidR="0078493F" w:rsidRPr="00A071AB" w:rsidP="0078493F" w14:paraId="50DF76EA" w14:textId="1AE2EA4E">
            <w:pPr>
              <w:pStyle w:val="BodyText"/>
              <w:spacing w:after="80" w:line="259" w:lineRule="auto"/>
              <w:jc w:val="center"/>
              <w:rPr>
                <w:rFonts w:ascii="Times New Roman" w:hAnsi="Times New Roman"/>
              </w:rPr>
            </w:pPr>
            <w:r w:rsidRPr="00A071AB">
              <w:rPr>
                <w:rFonts w:ascii="Times New Roman" w:hAnsi="Times New Roman"/>
              </w:rPr>
              <w:t>G</w:t>
            </w:r>
          </w:p>
        </w:tc>
        <w:tc>
          <w:tcPr>
            <w:tcW w:w="1440" w:type="dxa"/>
          </w:tcPr>
          <w:p w:rsidR="0078493F" w:rsidRPr="00A071AB" w:rsidP="0078493F" w14:paraId="27E1DC54" w14:textId="77777777">
            <w:pPr>
              <w:pStyle w:val="BodyText"/>
              <w:spacing w:after="80" w:line="259" w:lineRule="auto"/>
              <w:jc w:val="right"/>
              <w:rPr>
                <w:rFonts w:ascii="Times New Roman" w:hAnsi="Times New Roman"/>
              </w:rPr>
            </w:pPr>
            <w:r w:rsidRPr="00A071AB">
              <w:rPr>
                <w:rFonts w:ascii="Times New Roman" w:hAnsi="Times New Roman"/>
              </w:rPr>
              <w:t>40</w:t>
            </w:r>
          </w:p>
        </w:tc>
      </w:tr>
      <w:tr w14:paraId="49E01D98" w14:textId="77777777" w:rsidTr="00D61BD6">
        <w:tblPrEx>
          <w:tblW w:w="0" w:type="auto"/>
          <w:jc w:val="center"/>
          <w:tblLayout w:type="fixed"/>
          <w:tblLook w:val="04A0"/>
        </w:tblPrEx>
        <w:trPr>
          <w:trHeight w:val="300"/>
          <w:jc w:val="center"/>
        </w:trPr>
        <w:tc>
          <w:tcPr>
            <w:tcW w:w="2425" w:type="dxa"/>
          </w:tcPr>
          <w:p w:rsidR="0078493F" w:rsidRPr="004F7174" w:rsidP="0078493F" w14:paraId="6DCDFFD3" w14:textId="77777777">
            <w:pPr>
              <w:pStyle w:val="BodyText"/>
              <w:spacing w:after="80" w:line="259" w:lineRule="auto"/>
              <w:rPr>
                <w:rFonts w:ascii="Times New Roman" w:hAnsi="Times New Roman"/>
                <w:b/>
                <w:bCs/>
              </w:rPr>
            </w:pPr>
            <w:r w:rsidRPr="7F336052">
              <w:rPr>
                <w:rFonts w:ascii="Times New Roman" w:hAnsi="Times New Roman"/>
                <w:b/>
                <w:bCs/>
              </w:rPr>
              <w:t>HUD-Assisted Properties for Benchmarking</w:t>
            </w:r>
          </w:p>
        </w:tc>
        <w:tc>
          <w:tcPr>
            <w:tcW w:w="4500" w:type="dxa"/>
          </w:tcPr>
          <w:p w:rsidR="0078493F" w:rsidRPr="004F7174" w:rsidP="0078493F" w14:paraId="12DC2490" w14:textId="77777777">
            <w:pPr>
              <w:pStyle w:val="BodyText"/>
              <w:spacing w:after="80" w:line="259" w:lineRule="auto"/>
              <w:rPr>
                <w:rFonts w:ascii="Times New Roman" w:hAnsi="Times New Roman"/>
              </w:rPr>
            </w:pPr>
            <w:r w:rsidRPr="7F336052">
              <w:rPr>
                <w:rFonts w:ascii="Times New Roman" w:hAnsi="Times New Roman"/>
              </w:rPr>
              <w:t>Energy Efficiency Survey</w:t>
            </w:r>
          </w:p>
        </w:tc>
        <w:tc>
          <w:tcPr>
            <w:tcW w:w="1440" w:type="dxa"/>
          </w:tcPr>
          <w:p w:rsidR="0078493F" w:rsidRPr="004F7174" w:rsidP="0078493F" w14:paraId="227352CD" w14:textId="483A29DB">
            <w:pPr>
              <w:pStyle w:val="BodyText"/>
              <w:spacing w:after="80" w:line="259" w:lineRule="auto"/>
              <w:jc w:val="center"/>
              <w:rPr>
                <w:rFonts w:ascii="Times New Roman" w:hAnsi="Times New Roman"/>
              </w:rPr>
            </w:pPr>
            <w:r>
              <w:rPr>
                <w:rFonts w:ascii="Times New Roman" w:hAnsi="Times New Roman"/>
              </w:rPr>
              <w:t>J</w:t>
            </w:r>
          </w:p>
        </w:tc>
        <w:tc>
          <w:tcPr>
            <w:tcW w:w="1440" w:type="dxa"/>
          </w:tcPr>
          <w:p w:rsidR="0078493F" w:rsidRPr="004F7174" w:rsidP="0078493F" w14:paraId="3D3C3593" w14:textId="77777777">
            <w:pPr>
              <w:pStyle w:val="BodyText"/>
              <w:spacing w:after="80" w:line="259" w:lineRule="auto"/>
              <w:jc w:val="right"/>
              <w:rPr>
                <w:rFonts w:ascii="Times New Roman" w:hAnsi="Times New Roman"/>
              </w:rPr>
            </w:pPr>
            <w:r w:rsidRPr="7F336052">
              <w:rPr>
                <w:rFonts w:ascii="Times New Roman" w:hAnsi="Times New Roman"/>
              </w:rPr>
              <w:t>9,387</w:t>
            </w:r>
          </w:p>
        </w:tc>
      </w:tr>
    </w:tbl>
    <w:p w:rsidR="007261BD" w:rsidRPr="008C778D" w:rsidP="00723E8D" w14:paraId="5C329DBC" w14:textId="77777777">
      <w:pPr>
        <w:keepLines/>
        <w:tabs>
          <w:tab w:val="left" w:pos="360"/>
        </w:tabs>
        <w:spacing w:after="80"/>
        <w:rPr>
          <w:sz w:val="24"/>
          <w:szCs w:val="24"/>
        </w:rPr>
      </w:pPr>
    </w:p>
    <w:p w:rsidR="009E13B1" w:rsidRPr="003E6F08" w14:paraId="6BECB94B" w14:textId="77777777">
      <w:pPr>
        <w:keepLines/>
        <w:tabs>
          <w:tab w:val="left" w:pos="360"/>
          <w:tab w:val="left" w:pos="720"/>
        </w:tabs>
        <w:ind w:left="360"/>
        <w:rPr>
          <w:b/>
          <w:bCs/>
          <w:sz w:val="24"/>
          <w:szCs w:val="24"/>
        </w:rPr>
      </w:pPr>
    </w:p>
    <w:p w:rsidR="008A423D" w:rsidP="0040433E" w14:paraId="6B1057E7" w14:textId="77777777">
      <w:pPr>
        <w:keepLines/>
        <w:tabs>
          <w:tab w:val="left" w:pos="360"/>
        </w:tabs>
        <w:spacing w:after="80"/>
        <w:ind w:left="360" w:hanging="360"/>
        <w:rPr>
          <w:sz w:val="24"/>
          <w:szCs w:val="24"/>
        </w:rPr>
      </w:pPr>
      <w:r w:rsidRPr="7F336052">
        <w:rPr>
          <w:b/>
          <w:bCs/>
          <w:sz w:val="24"/>
          <w:szCs w:val="24"/>
        </w:rPr>
        <w:t>3.</w:t>
      </w:r>
      <w:r w:rsidR="009E13B1">
        <w:tab/>
      </w:r>
      <w:r w:rsidRPr="7F336052">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9E13B1">
        <w:br/>
      </w:r>
      <w:r w:rsidR="009E13B1">
        <w:br/>
      </w:r>
      <w:r w:rsidRPr="7F336052" w:rsidR="6EFBEC3D">
        <w:rPr>
          <w:sz w:val="24"/>
          <w:szCs w:val="24"/>
        </w:rPr>
        <w:t xml:space="preserve">Data </w:t>
      </w:r>
      <w:r w:rsidRPr="7F336052" w:rsidR="17F8FE4F">
        <w:rPr>
          <w:sz w:val="24"/>
          <w:szCs w:val="24"/>
        </w:rPr>
        <w:t xml:space="preserve">from the Application, Scoping and Design, and Post-Construction instruments </w:t>
      </w:r>
      <w:r w:rsidRPr="7F336052" w:rsidR="6EFBEC3D">
        <w:rPr>
          <w:sz w:val="24"/>
          <w:szCs w:val="24"/>
        </w:rPr>
        <w:t>will be collected via web-based survey software and/or telephone interviews supported by web-based survey software. This will substantially reduce respondent burden because respondents can complete the surveys</w:t>
      </w:r>
      <w:r w:rsidRPr="7F336052" w:rsidR="64947432">
        <w:rPr>
          <w:sz w:val="24"/>
          <w:szCs w:val="24"/>
        </w:rPr>
        <w:t xml:space="preserve"> and interviews</w:t>
      </w:r>
      <w:r w:rsidRPr="7F336052" w:rsidR="6EFBEC3D">
        <w:rPr>
          <w:sz w:val="24"/>
          <w:szCs w:val="24"/>
        </w:rPr>
        <w:t xml:space="preserve"> at times that are convenient for them</w:t>
      </w:r>
      <w:r w:rsidRPr="7F336052" w:rsidR="4EF39FCD">
        <w:rPr>
          <w:sz w:val="24"/>
          <w:szCs w:val="24"/>
        </w:rPr>
        <w:t xml:space="preserve"> and from their own homes or offices. Additionally, </w:t>
      </w:r>
      <w:r w:rsidRPr="7F336052" w:rsidR="2A577422">
        <w:rPr>
          <w:sz w:val="24"/>
          <w:szCs w:val="24"/>
        </w:rPr>
        <w:t xml:space="preserve">for the survey, these </w:t>
      </w:r>
      <w:r w:rsidRPr="7F336052" w:rsidR="4EF39FCD">
        <w:rPr>
          <w:sz w:val="24"/>
          <w:szCs w:val="24"/>
        </w:rPr>
        <w:t>formats provide them with sets of choices for answers</w:t>
      </w:r>
      <w:r w:rsidRPr="7F336052" w:rsidR="20465E32">
        <w:rPr>
          <w:sz w:val="24"/>
          <w:szCs w:val="24"/>
        </w:rPr>
        <w:t xml:space="preserve"> to most questions</w:t>
      </w:r>
      <w:r w:rsidRPr="7F336052" w:rsidR="4EF39FCD">
        <w:rPr>
          <w:sz w:val="24"/>
          <w:szCs w:val="24"/>
        </w:rPr>
        <w:t>, which reduces cognitive burden.</w:t>
      </w:r>
      <w:r w:rsidRPr="7F336052" w:rsidR="7CB2753C">
        <w:rPr>
          <w:sz w:val="24"/>
          <w:szCs w:val="24"/>
        </w:rPr>
        <w:t xml:space="preserve"> </w:t>
      </w:r>
      <w:r w:rsidR="009D52CF">
        <w:rPr>
          <w:sz w:val="24"/>
          <w:szCs w:val="24"/>
        </w:rPr>
        <w:t>Surveys and interviews will be available in accessible formats to ensure effective communication for persons with disabilities, and translation services will be made available, as needed, for persons with Limited English Proficiency.</w:t>
      </w:r>
    </w:p>
    <w:p w:rsidR="001D7E51" w:rsidP="0040433E" w14:paraId="7EC9CE42" w14:textId="68D5BF14">
      <w:pPr>
        <w:keepLines/>
        <w:tabs>
          <w:tab w:val="left" w:pos="360"/>
        </w:tabs>
        <w:spacing w:after="80"/>
        <w:ind w:left="360" w:hanging="360"/>
        <w:rPr>
          <w:sz w:val="24"/>
          <w:szCs w:val="24"/>
        </w:rPr>
      </w:pPr>
      <w:r>
        <w:rPr>
          <w:b/>
          <w:bCs/>
          <w:sz w:val="24"/>
          <w:szCs w:val="24"/>
        </w:rPr>
        <w:tab/>
      </w:r>
      <w:r w:rsidRPr="7F336052" w:rsidR="3483095B">
        <w:rPr>
          <w:sz w:val="24"/>
          <w:szCs w:val="24"/>
        </w:rPr>
        <w:t>The data collection for the benchmarking component of the GRRP will occur through a survey delivered via online survey platform (JotForm), document (Microsoft Word), or spreadsheet (Microsoft Excel). The Excel form will be useful for property owners or agents with higher numbers of properties – information for all properties can easily be compiled in one file in that format, whereas</w:t>
      </w:r>
      <w:r w:rsidRPr="275D279D" w:rsidR="3483095B">
        <w:rPr>
          <w:sz w:val="24"/>
          <w:szCs w:val="24"/>
        </w:rPr>
        <w:t xml:space="preserve"> the JotForm may be simpler for owners or agents with one or two properties. These collection methods will allow for efficient, quick, user-friendly, and accessible data gathering as they will be available to all program participants. </w:t>
      </w:r>
      <w:r w:rsidRPr="7F336052" w:rsidR="1B4B7CC1">
        <w:rPr>
          <w:sz w:val="24"/>
          <w:szCs w:val="24"/>
        </w:rPr>
        <w:t>Additionally, HUD has retained a contractor to provide technical assistance</w:t>
      </w:r>
      <w:r w:rsidRPr="275D279D" w:rsidR="1B4B7CC1">
        <w:rPr>
          <w:sz w:val="24"/>
          <w:szCs w:val="24"/>
        </w:rPr>
        <w:t xml:space="preserve"> to all property representatives eligible for benchmarking services. The </w:t>
      </w:r>
      <w:r w:rsidRPr="275D279D" w:rsidR="552685DC">
        <w:rPr>
          <w:sz w:val="24"/>
          <w:szCs w:val="24"/>
        </w:rPr>
        <w:t xml:space="preserve">technical </w:t>
      </w:r>
      <w:r w:rsidRPr="7F336052" w:rsidR="1B4B7CC1">
        <w:rPr>
          <w:sz w:val="24"/>
          <w:szCs w:val="24"/>
        </w:rPr>
        <w:t>assistance</w:t>
      </w:r>
      <w:r w:rsidRPr="275D279D" w:rsidR="1B4B7CC1">
        <w:rPr>
          <w:sz w:val="24"/>
          <w:szCs w:val="24"/>
        </w:rPr>
        <w:t>, though available to all property owners, may be most impactful for property owners with fewer resources such as staff or time, or those who may not be familiar with software used in this or previously approved data collection</w:t>
      </w:r>
      <w:r w:rsidRPr="275D279D" w:rsidR="2459982A">
        <w:rPr>
          <w:sz w:val="24"/>
          <w:szCs w:val="24"/>
        </w:rPr>
        <w:t>s</w:t>
      </w:r>
      <w:r w:rsidRPr="7F336052" w:rsidR="1B4B7CC1">
        <w:rPr>
          <w:sz w:val="24"/>
          <w:szCs w:val="24"/>
        </w:rPr>
        <w:t>. The contractor will help property representatives fill out surveys, engage public utilities on their behalf, direct them in collecting necessary information, and serve as an intermediary between HUD and property representatives during the program rollout. HUD expects that the technical assistance</w:t>
      </w:r>
      <w:r w:rsidRPr="275D279D" w:rsidR="1B4B7CC1">
        <w:rPr>
          <w:sz w:val="24"/>
          <w:szCs w:val="24"/>
        </w:rPr>
        <w:t xml:space="preserve"> offered by the contractor will decrease the burden of this data collection.</w:t>
      </w:r>
    </w:p>
    <w:p w:rsidR="00B5221A" w:rsidRPr="008C778D" w:rsidP="13DA45D0" w14:paraId="112ADD08" w14:textId="0BAF3D12">
      <w:pPr>
        <w:keepLines/>
        <w:tabs>
          <w:tab w:val="left" w:pos="360"/>
        </w:tabs>
        <w:spacing w:after="80"/>
        <w:ind w:left="360" w:hanging="360"/>
        <w:rPr>
          <w:sz w:val="24"/>
          <w:szCs w:val="24"/>
        </w:rPr>
      </w:pPr>
      <w:r>
        <w:rPr>
          <w:b/>
          <w:bCs/>
          <w:sz w:val="24"/>
          <w:szCs w:val="24"/>
        </w:rPr>
        <w:tab/>
      </w:r>
      <w:r w:rsidR="76814209">
        <w:rPr>
          <w:color w:val="000000" w:themeColor="text1"/>
          <w:sz w:val="24"/>
          <w:szCs w:val="24"/>
        </w:rPr>
        <w:t>HUD</w:t>
      </w:r>
      <w:r w:rsidRPr="183CF0B8" w:rsidR="76814209">
        <w:rPr>
          <w:color w:val="000000" w:themeColor="text1"/>
          <w:sz w:val="24"/>
          <w:szCs w:val="24"/>
        </w:rPr>
        <w:t xml:space="preserve"> </w:t>
      </w:r>
      <w:r w:rsidRPr="183CF0B8" w:rsidR="7CB2753C">
        <w:rPr>
          <w:color w:val="000000" w:themeColor="text1"/>
          <w:sz w:val="24"/>
          <w:szCs w:val="24"/>
        </w:rPr>
        <w:t xml:space="preserve">will provide </w:t>
      </w:r>
      <w:r w:rsidRPr="183CF0B8" w:rsidR="3EBAFC0F">
        <w:rPr>
          <w:color w:val="000000" w:themeColor="text1"/>
          <w:sz w:val="24"/>
          <w:szCs w:val="24"/>
        </w:rPr>
        <w:t xml:space="preserve">reasonable </w:t>
      </w:r>
      <w:r w:rsidRPr="183CF0B8" w:rsidR="00487B27">
        <w:rPr>
          <w:color w:val="000000" w:themeColor="text1"/>
          <w:sz w:val="24"/>
          <w:szCs w:val="24"/>
        </w:rPr>
        <w:t>accommodation</w:t>
      </w:r>
      <w:r w:rsidRPr="183CF0B8" w:rsidR="7CB2753C">
        <w:rPr>
          <w:color w:val="000000" w:themeColor="text1"/>
          <w:sz w:val="24"/>
          <w:szCs w:val="24"/>
        </w:rPr>
        <w:t xml:space="preserve">. </w:t>
      </w:r>
      <w:r w:rsidRPr="13DA45D0" w:rsidR="762956C8">
        <w:rPr>
          <w:rFonts w:ascii="Calibri" w:eastAsia="Calibri" w:hAnsi="Calibri" w:cs="Calibri"/>
        </w:rPr>
        <w:t xml:space="preserve"> </w:t>
      </w:r>
      <w:r w:rsidRPr="00B708D8" w:rsidR="762956C8">
        <w:rPr>
          <w:sz w:val="24"/>
          <w:szCs w:val="24"/>
        </w:rPr>
        <w:t>Property owners who are</w:t>
      </w:r>
      <w:r w:rsidRPr="5AA82D46" w:rsidR="762956C8">
        <w:rPr>
          <w:sz w:val="24"/>
          <w:szCs w:val="24"/>
        </w:rPr>
        <w:t xml:space="preserve"> blind or have vision-related disabilities, deaf or hard of hearing, as well as individuals with speech or communication disabilities can elect to participate through a web-based version of the data collection or through a telephone-based version of the data collection.</w:t>
      </w:r>
      <w:r w:rsidRPr="5AA82D46" w:rsidR="7CB2753C">
        <w:rPr>
          <w:color w:val="000000" w:themeColor="text1"/>
          <w:sz w:val="24"/>
          <w:szCs w:val="24"/>
        </w:rPr>
        <w:t xml:space="preserve"> </w:t>
      </w:r>
      <w:r w:rsidRPr="5AA82D46" w:rsidR="008D3758">
        <w:rPr>
          <w:color w:val="000000" w:themeColor="text1"/>
          <w:sz w:val="24"/>
          <w:szCs w:val="24"/>
        </w:rPr>
        <w:t xml:space="preserve"> </w:t>
      </w:r>
      <w:r w:rsidR="008D3758">
        <w:rPr>
          <w:color w:val="000000" w:themeColor="text1"/>
          <w:sz w:val="24"/>
          <w:szCs w:val="24"/>
        </w:rPr>
        <w:t>We will use translation services as needed for individuals with Limited English Proficiency.</w:t>
      </w:r>
    </w:p>
    <w:p w:rsidR="009E13B1" w14:paraId="346E3BD2" w14:textId="71258B5F">
      <w:pPr>
        <w:keepLines/>
        <w:tabs>
          <w:tab w:val="left" w:pos="360"/>
        </w:tabs>
        <w:spacing w:after="80"/>
        <w:ind w:left="360" w:hanging="360"/>
        <w:rPr>
          <w:sz w:val="24"/>
          <w:szCs w:val="24"/>
        </w:rPr>
      </w:pPr>
      <w:r w:rsidRPr="7F336052">
        <w:rPr>
          <w:b/>
          <w:bCs/>
          <w:sz w:val="24"/>
          <w:szCs w:val="24"/>
        </w:rPr>
        <w:t>4.</w:t>
      </w:r>
      <w:r>
        <w:tab/>
      </w:r>
      <w:r w:rsidRPr="7F336052">
        <w:rPr>
          <w:b/>
          <w:bCs/>
          <w:sz w:val="24"/>
          <w:szCs w:val="24"/>
        </w:rPr>
        <w:t>Describe efforts to identify duplication.  Show specifically why any similar information already available cannot be used or modified for use for the purposes described in Item 2 above.</w:t>
      </w:r>
      <w:r>
        <w:br/>
      </w:r>
      <w:r>
        <w:br/>
      </w:r>
      <w:r w:rsidRPr="7F336052" w:rsidR="213773B7">
        <w:rPr>
          <w:sz w:val="24"/>
          <w:szCs w:val="24"/>
        </w:rPr>
        <w:t>GRRP is a new HUD program, and it has not been studied or evaluated to date. The data collection instruments referenced in this evaluation have been constructed to reduce any duplication of responses to reduce respondent burden. HUD staff have reviewed the existing data collection systems of GRRP to understand what data are already being collected and where gaps exist.</w:t>
      </w:r>
    </w:p>
    <w:p w:rsidR="008163CC" w:rsidP="7F336052" w14:paraId="4133E01E" w14:textId="77777777">
      <w:pPr>
        <w:pStyle w:val="paragraph"/>
        <w:spacing w:before="0" w:beforeAutospacing="0" w:after="0" w:afterAutospacing="0"/>
        <w:ind w:left="360"/>
        <w:textAlignment w:val="baseline"/>
      </w:pPr>
      <w:r>
        <w:t>Besides the Benchmarking Initiative, below are incumbent programs where energy and water usage metrics are being tracked.</w:t>
      </w:r>
    </w:p>
    <w:p w:rsidR="008163CC" w:rsidRPr="00FD25FD" w:rsidP="7F336052" w14:paraId="7E29A780" w14:textId="77777777">
      <w:pPr>
        <w:pStyle w:val="paragraph"/>
        <w:spacing w:before="0" w:beforeAutospacing="0" w:after="0" w:afterAutospacing="0"/>
        <w:ind w:left="360" w:hanging="360"/>
        <w:textAlignment w:val="baseline"/>
      </w:pPr>
    </w:p>
    <w:p w:rsidR="008163CC" w:rsidP="7F336052" w14:paraId="1F0BDA14" w14:textId="77777777">
      <w:pPr>
        <w:pStyle w:val="paragraph"/>
        <w:numPr>
          <w:ilvl w:val="0"/>
          <w:numId w:val="20"/>
        </w:numPr>
        <w:spacing w:before="0" w:beforeAutospacing="0" w:after="0" w:afterAutospacing="0"/>
        <w:textAlignment w:val="baseline"/>
      </w:pPr>
      <w:r>
        <w:t>Green MIP program (OMB # 2505-0029) – collection of energy benchmarking data. </w:t>
      </w:r>
    </w:p>
    <w:p w:rsidR="008163CC" w:rsidP="7F336052" w14:paraId="24B9FF6B" w14:textId="77777777">
      <w:pPr>
        <w:pStyle w:val="paragraph"/>
        <w:numPr>
          <w:ilvl w:val="0"/>
          <w:numId w:val="20"/>
        </w:numPr>
        <w:spacing w:before="0" w:beforeAutospacing="0" w:after="0" w:afterAutospacing="0"/>
        <w:textAlignment w:val="baseline"/>
      </w:pPr>
      <w:r>
        <w:t>ORCF (Healthcare) Green program (OMB #2502-0605) – collection of energy and water data. </w:t>
      </w:r>
    </w:p>
    <w:p w:rsidR="00D60C1E" w:rsidP="7F336052" w14:paraId="6BA520D7" w14:textId="77777777">
      <w:pPr>
        <w:pStyle w:val="paragraph"/>
        <w:numPr>
          <w:ilvl w:val="0"/>
          <w:numId w:val="20"/>
        </w:numPr>
        <w:spacing w:before="0" w:beforeAutospacing="0" w:after="0" w:afterAutospacing="0"/>
        <w:textAlignment w:val="baseline"/>
        <w:rPr>
          <w:rStyle w:val="eop"/>
        </w:rPr>
      </w:pPr>
      <w:r>
        <w:t>GRRP Grants</w:t>
      </w:r>
      <w:r w:rsidRPr="7F336052">
        <w:rPr>
          <w:rStyle w:val="normaltextrun"/>
        </w:rPr>
        <w:t xml:space="preserve"> and Loans Program (OMB #2502-0624) – collection of energy and water data.</w:t>
      </w:r>
      <w:r w:rsidRPr="7F336052">
        <w:rPr>
          <w:rStyle w:val="eop"/>
        </w:rPr>
        <w:t> </w:t>
      </w:r>
    </w:p>
    <w:p w:rsidR="00D60C1E" w:rsidP="00D60C1E" w14:paraId="2B43BE4C" w14:textId="77777777">
      <w:pPr>
        <w:pStyle w:val="paragraph"/>
        <w:spacing w:before="0" w:beforeAutospacing="0" w:after="0" w:afterAutospacing="0"/>
        <w:ind w:left="360"/>
        <w:textAlignment w:val="baseline"/>
        <w:rPr>
          <w:rStyle w:val="eop"/>
        </w:rPr>
      </w:pPr>
    </w:p>
    <w:p w:rsidR="008163CC" w:rsidP="7F336052" w14:paraId="4F3CAB7F" w14:textId="2A5C1FFC">
      <w:pPr>
        <w:pStyle w:val="paragraph"/>
        <w:spacing w:before="0" w:beforeAutospacing="0" w:after="0" w:afterAutospacing="0"/>
        <w:ind w:left="360"/>
        <w:textAlignment w:val="baseline"/>
        <w:rPr>
          <w:rStyle w:val="eop"/>
        </w:rPr>
      </w:pPr>
      <w:r w:rsidRPr="00D60C1E">
        <w:rPr>
          <w:rStyle w:val="normaltextrun"/>
          <w:color w:val="000000"/>
          <w:shd w:val="clear" w:color="auto" w:fill="FFFFFF"/>
        </w:rPr>
        <w:t xml:space="preserve">The graphic below </w:t>
      </w:r>
      <w:r w:rsidRPr="7F336052">
        <w:rPr>
          <w:rStyle w:val="normaltextrun"/>
          <w:color w:val="000000" w:themeColor="text1"/>
        </w:rPr>
        <w:t>demonstrates</w:t>
      </w:r>
      <w:r w:rsidRPr="00D60C1E">
        <w:rPr>
          <w:rStyle w:val="normaltextrun"/>
          <w:color w:val="000000"/>
          <w:shd w:val="clear" w:color="auto" w:fill="FFFFFF"/>
        </w:rPr>
        <w:t xml:space="preserve"> the relevant population for </w:t>
      </w:r>
      <w:r w:rsidRPr="00D60C1E" w:rsidR="32683DD2">
        <w:rPr>
          <w:rStyle w:val="normaltextrun"/>
          <w:color w:val="000000"/>
          <w:shd w:val="clear" w:color="auto" w:fill="FFFFFF"/>
        </w:rPr>
        <w:t xml:space="preserve">the </w:t>
      </w:r>
      <w:r w:rsidRPr="00D60C1E" w:rsidR="72213A02">
        <w:rPr>
          <w:rStyle w:val="normaltextrun"/>
          <w:color w:val="000000"/>
          <w:shd w:val="clear" w:color="auto" w:fill="FFFFFF"/>
        </w:rPr>
        <w:t>benchmarking</w:t>
      </w:r>
      <w:r w:rsidRPr="00D60C1E">
        <w:rPr>
          <w:rStyle w:val="normaltextrun"/>
          <w:color w:val="000000"/>
          <w:shd w:val="clear" w:color="auto" w:fill="FFFFFF"/>
        </w:rPr>
        <w:t xml:space="preserve"> request:</w:t>
      </w:r>
    </w:p>
    <w:p w:rsidR="008163CC" w:rsidP="00B708D8" w14:paraId="658BFF2D" w14:textId="26686E55">
      <w:pPr>
        <w:pStyle w:val="paragraph"/>
        <w:spacing w:before="0" w:beforeAutospacing="0" w:after="0" w:afterAutospacing="0"/>
        <w:textAlignment w:val="baseline"/>
      </w:pPr>
    </w:p>
    <w:p w:rsidR="00277512" w:rsidP="00277512" w14:paraId="60631D06" w14:textId="7813379E">
      <w:pPr>
        <w:pStyle w:val="paragraph"/>
        <w:spacing w:before="0" w:beforeAutospacing="0" w:after="0" w:afterAutospacing="0"/>
        <w:textAlignment w:val="baseline"/>
      </w:pPr>
      <w:r>
        <w:rPr>
          <w:rStyle w:val="wacimagecontainer"/>
          <w:rFonts w:ascii="Segoe UI" w:hAnsi="Segoe UI" w:cs="Segoe UI"/>
          <w:noProof/>
          <w:color w:val="000000"/>
          <w:sz w:val="18"/>
          <w:szCs w:val="18"/>
          <w:shd w:val="clear" w:color="auto" w:fill="FFFFFF"/>
        </w:rPr>
        <w:drawing>
          <wp:inline distT="0" distB="0" distL="0" distR="0">
            <wp:extent cx="5403215" cy="2315845"/>
            <wp:effectExtent l="0" t="0" r="6985" b="0"/>
            <wp:docPr id="1946015234" name="Picture 1" descr="Populations included in benchmarking. Relevant to this request: Section 202, 811, 236, or project-based Section 8 properties without Green MIP or Healthcare Green MIP; Section 202, 811, 236, or project-based Section 8 properties that did not receive GRRP loans or 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15234" name="Picture 1" descr="Populations included in benchmarking. Relevant to this request: Section 202, 811, 236, or project-based Section 8 properties without Green MIP or Healthcare Green MIP; Section 202, 811, 236, or project-based Section 8 properties that did not receive GRRP loans or grants."/>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215" cy="2315845"/>
                    </a:xfrm>
                    <a:prstGeom prst="rect">
                      <a:avLst/>
                    </a:prstGeom>
                    <a:noFill/>
                    <a:ln>
                      <a:noFill/>
                    </a:ln>
                  </pic:spPr>
                </pic:pic>
              </a:graphicData>
            </a:graphic>
          </wp:inline>
        </w:drawing>
      </w:r>
      <w:r>
        <w:rPr>
          <w:color w:val="000000"/>
          <w:shd w:val="clear" w:color="auto" w:fill="FFFFFF"/>
        </w:rPr>
        <w:br/>
      </w:r>
    </w:p>
    <w:p w:rsidR="008163CC" w:rsidP="7F336052" w14:paraId="3365F5CA" w14:textId="5CFEDF8E">
      <w:pPr>
        <w:pStyle w:val="paragraph"/>
        <w:spacing w:before="0" w:beforeAutospacing="0" w:after="0" w:afterAutospacing="0"/>
        <w:ind w:left="360"/>
        <w:textAlignment w:val="baseline"/>
        <w:rPr>
          <w:rFonts w:ascii="Segoe UI" w:hAnsi="Segoe UI" w:cs="Segoe UI"/>
          <w:sz w:val="18"/>
          <w:szCs w:val="18"/>
        </w:rPr>
      </w:pPr>
      <w:r w:rsidRPr="7F336052">
        <w:rPr>
          <w:rStyle w:val="normaltextrun"/>
        </w:rPr>
        <w:t>The collection will add context to the usage data being collected by gathering information about occupant behaviors as they relate to energy and water use</w:t>
      </w:r>
      <w:r w:rsidRPr="7F336052" w:rsidR="45B3C00D">
        <w:rPr>
          <w:rStyle w:val="normaltextrun"/>
        </w:rPr>
        <w:t>,</w:t>
      </w:r>
      <w:r w:rsidRPr="7F336052">
        <w:rPr>
          <w:rStyle w:val="normaltextrun"/>
        </w:rPr>
        <w:t xml:space="preserve"> as well as supply information about building systems and previous efficiency interventions. </w:t>
      </w:r>
    </w:p>
    <w:p w:rsidR="008163CC" w:rsidRPr="003E6F08" w14:paraId="1D72A912" w14:textId="77777777">
      <w:pPr>
        <w:keepLines/>
        <w:tabs>
          <w:tab w:val="left" w:pos="360"/>
        </w:tabs>
        <w:spacing w:after="80"/>
        <w:ind w:left="360" w:hanging="360"/>
        <w:rPr>
          <w:sz w:val="24"/>
          <w:szCs w:val="24"/>
        </w:rPr>
      </w:pPr>
    </w:p>
    <w:p w:rsidR="009E13B1" w:rsidRPr="003E6F08" w14:paraId="1F19C4AC" w14:textId="3FB36ADA">
      <w:pPr>
        <w:keepLines/>
        <w:tabs>
          <w:tab w:val="left" w:pos="360"/>
        </w:tabs>
        <w:spacing w:after="80"/>
        <w:ind w:left="360" w:hanging="360"/>
        <w:rPr>
          <w:sz w:val="24"/>
          <w:szCs w:val="24"/>
        </w:rPr>
      </w:pPr>
      <w:r w:rsidRPr="7F336052">
        <w:rPr>
          <w:b/>
          <w:bCs/>
          <w:sz w:val="24"/>
          <w:szCs w:val="24"/>
        </w:rPr>
        <w:t>5.</w:t>
      </w:r>
      <w:r>
        <w:tab/>
      </w:r>
      <w:r w:rsidRPr="7F336052">
        <w:rPr>
          <w:b/>
          <w:bCs/>
          <w:sz w:val="24"/>
          <w:szCs w:val="24"/>
        </w:rPr>
        <w:t>If the collection of information impacts small businesses or other small entities describe any methods used to minimize burden.</w:t>
      </w:r>
      <w:r>
        <w:br/>
      </w:r>
      <w:r>
        <w:br/>
      </w:r>
      <w:r w:rsidRPr="7F336052" w:rsidR="12EDA2BD">
        <w:rPr>
          <w:sz w:val="24"/>
          <w:szCs w:val="24"/>
        </w:rPr>
        <w:t xml:space="preserve">This information collection has no impact on small businesses or other small entities. </w:t>
      </w:r>
    </w:p>
    <w:p w:rsidR="009E13B1" w:rsidRPr="003E6F08" w14:paraId="3A9ABA2D" w14:textId="77777777">
      <w:pPr>
        <w:tabs>
          <w:tab w:val="left" w:pos="360"/>
        </w:tabs>
        <w:ind w:left="360" w:hanging="360"/>
        <w:rPr>
          <w:b/>
          <w:bCs/>
          <w:sz w:val="24"/>
          <w:szCs w:val="24"/>
        </w:rPr>
      </w:pPr>
    </w:p>
    <w:p w:rsidR="00F76807" w:rsidRPr="006C7FAE" w:rsidP="00F76807" w14:paraId="76CD4F68" w14:textId="768480EB">
      <w:pPr>
        <w:keepLines/>
        <w:tabs>
          <w:tab w:val="left" w:pos="360"/>
        </w:tabs>
        <w:spacing w:after="80"/>
        <w:ind w:left="360" w:hanging="360"/>
        <w:rPr>
          <w:sz w:val="24"/>
          <w:szCs w:val="24"/>
        </w:rPr>
      </w:pPr>
      <w:r w:rsidRPr="7F336052">
        <w:rPr>
          <w:b/>
          <w:bCs/>
          <w:sz w:val="24"/>
          <w:szCs w:val="24"/>
        </w:rPr>
        <w:t>6.</w:t>
      </w:r>
      <w:r w:rsidR="009E13B1">
        <w:tab/>
      </w:r>
      <w:r w:rsidRPr="7F336052">
        <w:rPr>
          <w:b/>
          <w:bCs/>
          <w:sz w:val="24"/>
          <w:szCs w:val="24"/>
        </w:rPr>
        <w:t>Describe the consequence to Federal program or policy activities if the collection is not conducted or is conducted less frequently, as well as any technical or legal obstacles to reducing burden.</w:t>
      </w:r>
      <w:r w:rsidR="009E13B1">
        <w:br/>
      </w:r>
      <w:r w:rsidR="009E13B1">
        <w:br/>
      </w:r>
      <w:r w:rsidRPr="7F336052" w:rsidR="397A0B0B">
        <w:rPr>
          <w:sz w:val="24"/>
          <w:szCs w:val="24"/>
        </w:rPr>
        <w:t xml:space="preserve">This data collection is needed to evaluate the application process, </w:t>
      </w:r>
      <w:r w:rsidRPr="7F336052" w:rsidR="6FFE30E1">
        <w:rPr>
          <w:sz w:val="24"/>
          <w:szCs w:val="24"/>
        </w:rPr>
        <w:t>scoping and design phase</w:t>
      </w:r>
      <w:r w:rsidRPr="7F336052" w:rsidR="397A0B0B">
        <w:rPr>
          <w:sz w:val="24"/>
          <w:szCs w:val="24"/>
        </w:rPr>
        <w:t xml:space="preserve">, and </w:t>
      </w:r>
      <w:r w:rsidRPr="7F336052" w:rsidR="6FFE30E1">
        <w:rPr>
          <w:sz w:val="24"/>
          <w:szCs w:val="24"/>
        </w:rPr>
        <w:t xml:space="preserve">post-construction </w:t>
      </w:r>
      <w:r w:rsidRPr="7F336052" w:rsidR="397A0B0B">
        <w:rPr>
          <w:sz w:val="24"/>
          <w:szCs w:val="24"/>
        </w:rPr>
        <w:t>outcomes of the GRRP to understand the program’s role in improving resilience</w:t>
      </w:r>
      <w:r w:rsidRPr="7F336052" w:rsidR="17560CDD">
        <w:rPr>
          <w:sz w:val="24"/>
          <w:szCs w:val="24"/>
        </w:rPr>
        <w:t>, decarbonization,</w:t>
      </w:r>
      <w:r w:rsidRPr="7F336052" w:rsidR="397A0B0B">
        <w:rPr>
          <w:sz w:val="24"/>
          <w:szCs w:val="24"/>
        </w:rPr>
        <w:t xml:space="preserve"> </w:t>
      </w:r>
      <w:r w:rsidRPr="7F336052" w:rsidR="20C142FF">
        <w:rPr>
          <w:sz w:val="24"/>
          <w:szCs w:val="24"/>
        </w:rPr>
        <w:t xml:space="preserve">water efficiency, </w:t>
      </w:r>
      <w:r w:rsidRPr="7F336052" w:rsidR="397A0B0B">
        <w:rPr>
          <w:sz w:val="24"/>
          <w:szCs w:val="24"/>
        </w:rPr>
        <w:t xml:space="preserve">and </w:t>
      </w:r>
      <w:r w:rsidRPr="7F336052" w:rsidR="6B7750F9">
        <w:rPr>
          <w:sz w:val="24"/>
          <w:szCs w:val="24"/>
        </w:rPr>
        <w:t xml:space="preserve">energy efficiency among multifamily property owners. The data collection is important for understanding how the program works and </w:t>
      </w:r>
      <w:r w:rsidRPr="7F336052" w:rsidR="6FFE30E1">
        <w:rPr>
          <w:sz w:val="24"/>
          <w:szCs w:val="24"/>
        </w:rPr>
        <w:t xml:space="preserve">to </w:t>
      </w:r>
      <w:r w:rsidRPr="7F336052" w:rsidR="6B7750F9">
        <w:rPr>
          <w:sz w:val="24"/>
          <w:szCs w:val="24"/>
        </w:rPr>
        <w:t xml:space="preserve">gain insights for potential </w:t>
      </w:r>
      <w:r w:rsidRPr="7F336052" w:rsidR="1AAB2C74">
        <w:rPr>
          <w:sz w:val="24"/>
          <w:szCs w:val="24"/>
        </w:rPr>
        <w:t xml:space="preserve">future </w:t>
      </w:r>
      <w:r w:rsidRPr="7F336052" w:rsidR="6B7750F9">
        <w:rPr>
          <w:sz w:val="24"/>
          <w:szCs w:val="24"/>
        </w:rPr>
        <w:t>program</w:t>
      </w:r>
      <w:r w:rsidRPr="7F336052" w:rsidR="1AAB2C74">
        <w:rPr>
          <w:sz w:val="24"/>
          <w:szCs w:val="24"/>
        </w:rPr>
        <w:t>s</w:t>
      </w:r>
      <w:r w:rsidRPr="7F336052" w:rsidR="6B7750F9">
        <w:rPr>
          <w:sz w:val="24"/>
          <w:szCs w:val="24"/>
        </w:rPr>
        <w:t xml:space="preserve"> </w:t>
      </w:r>
      <w:r w:rsidRPr="7F336052" w:rsidR="1AAB2C74">
        <w:rPr>
          <w:sz w:val="24"/>
          <w:szCs w:val="24"/>
        </w:rPr>
        <w:t>with similar goals</w:t>
      </w:r>
      <w:r w:rsidRPr="7F336052" w:rsidR="6B7750F9">
        <w:rPr>
          <w:sz w:val="24"/>
          <w:szCs w:val="24"/>
        </w:rPr>
        <w:t>.</w:t>
      </w:r>
      <w:r w:rsidRPr="7F336052" w:rsidR="00465212">
        <w:rPr>
          <w:sz w:val="24"/>
          <w:szCs w:val="24"/>
        </w:rPr>
        <w:t xml:space="preserve"> </w:t>
      </w:r>
      <w:r w:rsidRPr="7F336052" w:rsidR="3E04A439">
        <w:rPr>
          <w:sz w:val="24"/>
          <w:szCs w:val="24"/>
        </w:rPr>
        <w:t xml:space="preserve">Furthermore, </w:t>
      </w:r>
      <w:r w:rsidRPr="7F336052" w:rsidR="00465212">
        <w:rPr>
          <w:sz w:val="24"/>
          <w:szCs w:val="24"/>
        </w:rPr>
        <w:t>Title III of the Inflation Reduction Act of 2022, H.R. 5376 (IRA), section 30002 mandates HUD to collect the benchmarking data.</w:t>
      </w:r>
    </w:p>
    <w:p w:rsidR="009E13B1" w:rsidRPr="003E6F08" w14:paraId="5B152D33" w14:textId="77777777">
      <w:pPr>
        <w:keepLines/>
        <w:tabs>
          <w:tab w:val="left" w:pos="360"/>
          <w:tab w:val="left" w:pos="720"/>
        </w:tabs>
        <w:ind w:left="360"/>
        <w:rPr>
          <w:b/>
          <w:bCs/>
          <w:sz w:val="24"/>
          <w:szCs w:val="24"/>
        </w:rPr>
      </w:pPr>
    </w:p>
    <w:p w:rsidR="00A65F9E" w:rsidRPr="003E6F08" w14:paraId="5673E274" w14:textId="77777777">
      <w:pPr>
        <w:numPr>
          <w:ilvl w:val="0"/>
          <w:numId w:val="14"/>
        </w:numPr>
        <w:tabs>
          <w:tab w:val="left" w:pos="360"/>
        </w:tabs>
        <w:rPr>
          <w:b/>
          <w:bCs/>
          <w:sz w:val="24"/>
          <w:szCs w:val="24"/>
        </w:rPr>
      </w:pPr>
      <w:r w:rsidRPr="7F336052">
        <w:rPr>
          <w:b/>
          <w:bCs/>
          <w:sz w:val="24"/>
          <w:szCs w:val="24"/>
        </w:rPr>
        <w:t>Explain any special circumstances that would cause an information collection to be conducted in a manner:</w:t>
      </w:r>
    </w:p>
    <w:p w:rsidR="009E13B1" w:rsidP="00A65F9E" w14:paraId="36C36FAE" w14:textId="04E7634E">
      <w:pPr>
        <w:tabs>
          <w:tab w:val="left" w:pos="360"/>
        </w:tabs>
        <w:ind w:left="360"/>
        <w:rPr>
          <w:b/>
          <w:bCs/>
          <w:sz w:val="24"/>
          <w:szCs w:val="24"/>
        </w:rPr>
      </w:pPr>
    </w:p>
    <w:p w:rsidR="009F3F40" w:rsidP="009F3F40" w14:paraId="72F29940" w14:textId="77777777">
      <w:pPr>
        <w:ind w:left="360"/>
        <w:rPr>
          <w:sz w:val="24"/>
          <w:szCs w:val="24"/>
        </w:rPr>
      </w:pPr>
      <w:r w:rsidRPr="7F336052">
        <w:rPr>
          <w:color w:val="000000" w:themeColor="text1"/>
          <w:sz w:val="24"/>
          <w:szCs w:val="24"/>
        </w:rPr>
        <w:t xml:space="preserve">The proposed data collection activities are consistent with the guidelines set forth in 5 CFR 1320 (Controlling Paperwork Burdens on the Public). There are no special circumstances that require deviation from these guidelines. </w:t>
      </w:r>
      <w:r w:rsidRPr="7F336052">
        <w:rPr>
          <w:sz w:val="24"/>
          <w:szCs w:val="24"/>
        </w:rPr>
        <w:t xml:space="preserve">The following below </w:t>
      </w:r>
      <w:r w:rsidRPr="7F336052">
        <w:rPr>
          <w:sz w:val="24"/>
          <w:szCs w:val="24"/>
        </w:rPr>
        <w:t>are</w:t>
      </w:r>
      <w:r w:rsidRPr="7F336052">
        <w:rPr>
          <w:sz w:val="24"/>
          <w:szCs w:val="24"/>
        </w:rPr>
        <w:t xml:space="preserve"> “Not Applicable” to this collection:</w:t>
      </w:r>
      <w:r>
        <w:tab/>
      </w:r>
    </w:p>
    <w:p w:rsidR="009F3F40" w:rsidRPr="003E6F08" w:rsidP="00A65F9E" w14:paraId="7A4FF642" w14:textId="77777777">
      <w:pPr>
        <w:tabs>
          <w:tab w:val="left" w:pos="360"/>
        </w:tabs>
        <w:ind w:left="360"/>
        <w:rPr>
          <w:b/>
          <w:bCs/>
          <w:sz w:val="24"/>
          <w:szCs w:val="24"/>
        </w:rPr>
      </w:pPr>
    </w:p>
    <w:p w:rsidR="009F3F40" w:rsidP="009F3F40" w14:paraId="2F838153" w14:textId="174855FA">
      <w:pPr>
        <w:widowControl w:val="0"/>
        <w:numPr>
          <w:ilvl w:val="0"/>
          <w:numId w:val="16"/>
        </w:numPr>
        <w:tabs>
          <w:tab w:val="left" w:pos="-1440"/>
        </w:tabs>
        <w:overflowPunct/>
        <w:spacing w:line="276" w:lineRule="auto"/>
        <w:ind w:left="1080"/>
        <w:textAlignment w:val="auto"/>
        <w:rPr>
          <w:sz w:val="24"/>
          <w:szCs w:val="24"/>
        </w:rPr>
      </w:pPr>
      <w:r w:rsidRPr="009F3F40">
        <w:rPr>
          <w:sz w:val="24"/>
          <w:szCs w:val="24"/>
        </w:rPr>
        <w:t>r</w:t>
      </w:r>
      <w:r w:rsidRPr="009F3F40" w:rsidR="009E13B1">
        <w:rPr>
          <w:sz w:val="24"/>
          <w:szCs w:val="24"/>
        </w:rPr>
        <w:t>equiring respondents to report information to the agency more than quarterly</w:t>
      </w:r>
      <w:r>
        <w:rPr>
          <w:sz w:val="24"/>
          <w:szCs w:val="24"/>
        </w:rPr>
        <w:t xml:space="preserve"> -- “</w:t>
      </w:r>
      <w:r>
        <w:rPr>
          <w:b/>
          <w:sz w:val="24"/>
          <w:szCs w:val="24"/>
        </w:rPr>
        <w:t>Not Applicable</w:t>
      </w:r>
      <w:r>
        <w:rPr>
          <w:sz w:val="24"/>
          <w:szCs w:val="24"/>
        </w:rPr>
        <w:t>”;</w:t>
      </w:r>
      <w:r>
        <w:rPr>
          <w:sz w:val="24"/>
          <w:szCs w:val="24"/>
        </w:rPr>
        <w:t xml:space="preserve"> </w:t>
      </w:r>
    </w:p>
    <w:p w:rsidR="009F3F40" w:rsidP="009F3F40" w14:paraId="225B10C8" w14:textId="72EB1A9D">
      <w:pPr>
        <w:widowControl w:val="0"/>
        <w:numPr>
          <w:ilvl w:val="0"/>
          <w:numId w:val="16"/>
        </w:numPr>
        <w:tabs>
          <w:tab w:val="left" w:pos="-1440"/>
        </w:tabs>
        <w:overflowPunct/>
        <w:spacing w:line="276" w:lineRule="auto"/>
        <w:ind w:left="1080"/>
        <w:textAlignment w:val="auto"/>
        <w:rPr>
          <w:sz w:val="24"/>
          <w:szCs w:val="24"/>
        </w:rPr>
      </w:pPr>
      <w:r w:rsidRPr="009F3F40">
        <w:rPr>
          <w:sz w:val="24"/>
          <w:szCs w:val="24"/>
        </w:rPr>
        <w:t>requiring respondents to prepare a written response to a collection of information in fewer than 30 days after receipt of it</w:t>
      </w:r>
      <w:r>
        <w:rPr>
          <w:sz w:val="24"/>
          <w:szCs w:val="24"/>
        </w:rPr>
        <w:t xml:space="preserve"> -- “</w:t>
      </w:r>
      <w:r>
        <w:rPr>
          <w:b/>
          <w:sz w:val="24"/>
          <w:szCs w:val="24"/>
        </w:rPr>
        <w:t>Not Applicable</w:t>
      </w:r>
      <w:r>
        <w:rPr>
          <w:sz w:val="24"/>
          <w:szCs w:val="24"/>
        </w:rPr>
        <w:t>”;</w:t>
      </w:r>
      <w:r>
        <w:rPr>
          <w:sz w:val="24"/>
          <w:szCs w:val="24"/>
        </w:rPr>
        <w:t xml:space="preserve"> </w:t>
      </w:r>
    </w:p>
    <w:p w:rsidR="009F3F40" w:rsidP="7F336052" w14:paraId="2EF74EED" w14:textId="77777777">
      <w:pPr>
        <w:widowControl w:val="0"/>
        <w:numPr>
          <w:ilvl w:val="0"/>
          <w:numId w:val="16"/>
        </w:numPr>
        <w:overflowPunct/>
        <w:spacing w:line="276" w:lineRule="auto"/>
        <w:ind w:left="1080"/>
        <w:textAlignment w:val="auto"/>
        <w:rPr>
          <w:sz w:val="24"/>
          <w:szCs w:val="24"/>
        </w:rPr>
      </w:pPr>
      <w:r w:rsidRPr="7F336052">
        <w:rPr>
          <w:sz w:val="24"/>
          <w:szCs w:val="24"/>
        </w:rPr>
        <w:t>requiring respondents to submit more than an original and two copies of any document</w:t>
      </w:r>
      <w:r w:rsidRPr="7F336052" w:rsidR="6215190A">
        <w:rPr>
          <w:sz w:val="24"/>
          <w:szCs w:val="24"/>
        </w:rPr>
        <w:t xml:space="preserve"> -- “</w:t>
      </w:r>
      <w:r w:rsidRPr="7F336052" w:rsidR="6215190A">
        <w:rPr>
          <w:b/>
          <w:bCs/>
          <w:sz w:val="24"/>
          <w:szCs w:val="24"/>
        </w:rPr>
        <w:t>Not Applicable</w:t>
      </w:r>
      <w:r w:rsidRPr="7F336052" w:rsidR="6215190A">
        <w:rPr>
          <w:sz w:val="24"/>
          <w:szCs w:val="24"/>
        </w:rPr>
        <w:t>”;</w:t>
      </w:r>
      <w:r w:rsidRPr="7F336052" w:rsidR="6215190A">
        <w:rPr>
          <w:sz w:val="24"/>
          <w:szCs w:val="24"/>
        </w:rPr>
        <w:t xml:space="preserve"> </w:t>
      </w:r>
    </w:p>
    <w:p w:rsidR="009F3F40" w:rsidP="7F336052" w14:paraId="016F8EF3" w14:textId="77777777">
      <w:pPr>
        <w:widowControl w:val="0"/>
        <w:numPr>
          <w:ilvl w:val="0"/>
          <w:numId w:val="16"/>
        </w:numPr>
        <w:overflowPunct/>
        <w:spacing w:line="276" w:lineRule="auto"/>
        <w:ind w:left="1080"/>
        <w:textAlignment w:val="auto"/>
        <w:rPr>
          <w:sz w:val="24"/>
          <w:szCs w:val="24"/>
        </w:rPr>
      </w:pPr>
      <w:r w:rsidRPr="7F336052">
        <w:rPr>
          <w:sz w:val="24"/>
          <w:szCs w:val="24"/>
        </w:rPr>
        <w:t>requiring respondents to retain records other than health, medical, government contract, grant-in-aid, or tax records for more than three years</w:t>
      </w:r>
      <w:r w:rsidRPr="7F336052" w:rsidR="6215190A">
        <w:rPr>
          <w:sz w:val="24"/>
          <w:szCs w:val="24"/>
        </w:rPr>
        <w:t xml:space="preserve"> -- “</w:t>
      </w:r>
      <w:r w:rsidRPr="7F336052" w:rsidR="6215190A">
        <w:rPr>
          <w:b/>
          <w:bCs/>
          <w:sz w:val="24"/>
          <w:szCs w:val="24"/>
        </w:rPr>
        <w:t>Not Applicable</w:t>
      </w:r>
      <w:r w:rsidRPr="7F336052" w:rsidR="6215190A">
        <w:rPr>
          <w:sz w:val="24"/>
          <w:szCs w:val="24"/>
        </w:rPr>
        <w:t>”;</w:t>
      </w:r>
      <w:r w:rsidRPr="7F336052" w:rsidR="6215190A">
        <w:rPr>
          <w:sz w:val="24"/>
          <w:szCs w:val="24"/>
        </w:rPr>
        <w:t xml:space="preserve"> </w:t>
      </w:r>
    </w:p>
    <w:p w:rsidR="009F3F40" w:rsidP="009F3F40" w14:paraId="256F1CEA" w14:textId="77777777">
      <w:pPr>
        <w:widowControl w:val="0"/>
        <w:numPr>
          <w:ilvl w:val="0"/>
          <w:numId w:val="16"/>
        </w:numPr>
        <w:tabs>
          <w:tab w:val="left" w:pos="-1440"/>
        </w:tabs>
        <w:overflowPunct/>
        <w:spacing w:line="276" w:lineRule="auto"/>
        <w:ind w:left="1080"/>
        <w:textAlignment w:val="auto"/>
        <w:rPr>
          <w:sz w:val="24"/>
          <w:szCs w:val="24"/>
        </w:rPr>
      </w:pPr>
      <w:r w:rsidRPr="009F3F40">
        <w:rPr>
          <w:sz w:val="24"/>
          <w:szCs w:val="24"/>
        </w:rPr>
        <w:t>in connection with a statistical survey, that is not designed to produce valid and reliable results than can be generalized to the universe of study</w:t>
      </w:r>
      <w:r>
        <w:rPr>
          <w:sz w:val="24"/>
          <w:szCs w:val="24"/>
        </w:rPr>
        <w:t xml:space="preserve"> -- “</w:t>
      </w:r>
      <w:r>
        <w:rPr>
          <w:b/>
          <w:sz w:val="24"/>
          <w:szCs w:val="24"/>
        </w:rPr>
        <w:t>Not Applicable</w:t>
      </w:r>
      <w:r>
        <w:rPr>
          <w:sz w:val="24"/>
          <w:szCs w:val="24"/>
        </w:rPr>
        <w:t>”;</w:t>
      </w:r>
      <w:r>
        <w:rPr>
          <w:sz w:val="24"/>
          <w:szCs w:val="24"/>
        </w:rPr>
        <w:t xml:space="preserve"> </w:t>
      </w:r>
    </w:p>
    <w:p w:rsidR="009F3F40" w:rsidP="009F3F40" w14:paraId="1C663B14" w14:textId="77777777">
      <w:pPr>
        <w:widowControl w:val="0"/>
        <w:numPr>
          <w:ilvl w:val="0"/>
          <w:numId w:val="16"/>
        </w:numPr>
        <w:tabs>
          <w:tab w:val="left" w:pos="-1440"/>
        </w:tabs>
        <w:overflowPunct/>
        <w:spacing w:line="276" w:lineRule="auto"/>
        <w:ind w:left="1080"/>
        <w:textAlignment w:val="auto"/>
        <w:rPr>
          <w:sz w:val="24"/>
          <w:szCs w:val="24"/>
        </w:rPr>
      </w:pPr>
      <w:r w:rsidRPr="009F3F40">
        <w:rPr>
          <w:sz w:val="24"/>
          <w:szCs w:val="24"/>
        </w:rPr>
        <w:t>requiring the use of a statistical data classification that has not been reviewed and approved by OMB</w:t>
      </w:r>
      <w:r>
        <w:rPr>
          <w:sz w:val="24"/>
          <w:szCs w:val="24"/>
        </w:rPr>
        <w:t xml:space="preserve"> -- “</w:t>
      </w:r>
      <w:r>
        <w:rPr>
          <w:b/>
          <w:sz w:val="24"/>
          <w:szCs w:val="24"/>
        </w:rPr>
        <w:t>Not Applicable</w:t>
      </w:r>
      <w:r>
        <w:rPr>
          <w:sz w:val="24"/>
          <w:szCs w:val="24"/>
        </w:rPr>
        <w:t>”;</w:t>
      </w:r>
      <w:r>
        <w:rPr>
          <w:sz w:val="24"/>
          <w:szCs w:val="24"/>
        </w:rPr>
        <w:t xml:space="preserve"> </w:t>
      </w:r>
    </w:p>
    <w:p w:rsidR="009F3F40" w:rsidP="7F336052" w14:paraId="7F04A87F" w14:textId="77777777">
      <w:pPr>
        <w:widowControl w:val="0"/>
        <w:numPr>
          <w:ilvl w:val="0"/>
          <w:numId w:val="16"/>
        </w:numPr>
        <w:overflowPunct/>
        <w:spacing w:line="276" w:lineRule="auto"/>
        <w:ind w:left="1080"/>
        <w:textAlignment w:val="auto"/>
        <w:rPr>
          <w:sz w:val="24"/>
          <w:szCs w:val="24"/>
        </w:rPr>
      </w:pPr>
      <w:r w:rsidRPr="7F336052">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7F336052" w:rsidR="6215190A">
        <w:rPr>
          <w:sz w:val="24"/>
          <w:szCs w:val="24"/>
        </w:rPr>
        <w:t xml:space="preserve"> -- “</w:t>
      </w:r>
      <w:r w:rsidRPr="7F336052" w:rsidR="6215190A">
        <w:rPr>
          <w:b/>
          <w:bCs/>
          <w:sz w:val="24"/>
          <w:szCs w:val="24"/>
        </w:rPr>
        <w:t>Not Applicable</w:t>
      </w:r>
      <w:r w:rsidRPr="7F336052" w:rsidR="6215190A">
        <w:rPr>
          <w:sz w:val="24"/>
          <w:szCs w:val="24"/>
        </w:rPr>
        <w:t>”;</w:t>
      </w:r>
      <w:r w:rsidRPr="7F336052" w:rsidR="6215190A">
        <w:rPr>
          <w:sz w:val="24"/>
          <w:szCs w:val="24"/>
        </w:rPr>
        <w:t xml:space="preserve"> </w:t>
      </w:r>
    </w:p>
    <w:p w:rsidR="009E13B1" w:rsidP="7F336052" w14:paraId="3E1A7C76" w14:textId="6D091980">
      <w:pPr>
        <w:widowControl w:val="0"/>
        <w:numPr>
          <w:ilvl w:val="0"/>
          <w:numId w:val="16"/>
        </w:numPr>
        <w:overflowPunct/>
        <w:spacing w:line="276" w:lineRule="auto"/>
        <w:ind w:left="1080"/>
        <w:textAlignment w:val="auto"/>
        <w:rPr>
          <w:sz w:val="24"/>
          <w:szCs w:val="24"/>
        </w:rPr>
      </w:pPr>
      <w:r w:rsidRPr="7F336052">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7F336052" w:rsidR="6215190A">
        <w:rPr>
          <w:sz w:val="24"/>
          <w:szCs w:val="24"/>
        </w:rPr>
        <w:t xml:space="preserve"> -- “</w:t>
      </w:r>
      <w:r w:rsidRPr="7F336052" w:rsidR="6215190A">
        <w:rPr>
          <w:b/>
          <w:bCs/>
          <w:sz w:val="24"/>
          <w:szCs w:val="24"/>
        </w:rPr>
        <w:t>Not Applicable</w:t>
      </w:r>
      <w:r w:rsidRPr="7F336052" w:rsidR="6215190A">
        <w:rPr>
          <w:sz w:val="24"/>
          <w:szCs w:val="24"/>
        </w:rPr>
        <w:t>”</w:t>
      </w:r>
      <w:r w:rsidRPr="7F336052">
        <w:rPr>
          <w:sz w:val="24"/>
          <w:szCs w:val="24"/>
        </w:rPr>
        <w:t>.</w:t>
      </w:r>
      <w:r>
        <w:br/>
      </w:r>
    </w:p>
    <w:p w:rsidR="00DB3716" w:rsidP="00DB3716" w14:paraId="51BDB87B" w14:textId="77777777">
      <w:pPr>
        <w:widowControl w:val="0"/>
        <w:overflowPunct/>
        <w:spacing w:line="276" w:lineRule="auto"/>
        <w:textAlignment w:val="auto"/>
        <w:rPr>
          <w:sz w:val="24"/>
          <w:szCs w:val="24"/>
        </w:rPr>
      </w:pPr>
    </w:p>
    <w:p w:rsidR="00DB3716" w:rsidP="00DB3716" w14:paraId="24C1665D" w14:textId="77777777">
      <w:pPr>
        <w:widowControl w:val="0"/>
        <w:overflowPunct/>
        <w:spacing w:line="276" w:lineRule="auto"/>
        <w:textAlignment w:val="auto"/>
        <w:rPr>
          <w:sz w:val="24"/>
          <w:szCs w:val="24"/>
        </w:rPr>
      </w:pPr>
    </w:p>
    <w:p w:rsidR="00DB3716" w:rsidRPr="009F3F40" w:rsidP="00DB3716" w14:paraId="2A10FB7E" w14:textId="77777777">
      <w:pPr>
        <w:widowControl w:val="0"/>
        <w:overflowPunct/>
        <w:spacing w:line="276" w:lineRule="auto"/>
        <w:textAlignment w:val="auto"/>
        <w:rPr>
          <w:sz w:val="24"/>
          <w:szCs w:val="24"/>
        </w:rPr>
      </w:pPr>
    </w:p>
    <w:p w:rsidR="00A65F9E" w:rsidRPr="003E6F08" w:rsidP="00A65F9E" w14:paraId="192588DF" w14:textId="06C253B5">
      <w:pPr>
        <w:numPr>
          <w:ilvl w:val="0"/>
          <w:numId w:val="14"/>
        </w:numPr>
        <w:tabs>
          <w:tab w:val="left" w:pos="360"/>
        </w:tabs>
        <w:rPr>
          <w:b/>
          <w:bCs/>
          <w:sz w:val="24"/>
          <w:szCs w:val="24"/>
        </w:rPr>
      </w:pPr>
      <w:r w:rsidRPr="7F336052">
        <w:rPr>
          <w:b/>
          <w:bCs/>
          <w:sz w:val="24"/>
          <w:szCs w:val="24"/>
        </w:rPr>
        <w:t xml:space="preserve">If applicable, provide a copy and identify the date and page number of </w:t>
      </w:r>
      <w:r w:rsidRPr="7F336052">
        <w:rPr>
          <w:b/>
          <w:bCs/>
          <w:sz w:val="24"/>
          <w:szCs w:val="24"/>
        </w:rPr>
        <w:t>publication</w:t>
      </w:r>
      <w:r w:rsidRPr="7F336052">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3E6F08" w:rsidP="00A65F9E" w14:paraId="500089DC" w14:textId="77777777">
      <w:pPr>
        <w:tabs>
          <w:tab w:val="left" w:pos="360"/>
        </w:tabs>
        <w:ind w:left="360"/>
        <w:rPr>
          <w:b/>
          <w:bCs/>
          <w:sz w:val="24"/>
          <w:szCs w:val="24"/>
        </w:rPr>
      </w:pPr>
      <w:r w:rsidRPr="003E6F08">
        <w:rPr>
          <w:b/>
          <w:bCs/>
          <w:sz w:val="24"/>
          <w:szCs w:val="24"/>
        </w:rPr>
        <w:t xml:space="preserve"> </w:t>
      </w:r>
    </w:p>
    <w:p w:rsidR="002C7082" w:rsidP="183CF0B8" w14:paraId="14D9DA67" w14:textId="3D5DFF8A">
      <w:pPr>
        <w:tabs>
          <w:tab w:val="left" w:pos="360"/>
        </w:tabs>
        <w:ind w:left="360"/>
        <w:rPr>
          <w:sz w:val="24"/>
          <w:szCs w:val="24"/>
        </w:rPr>
      </w:pPr>
      <w:r w:rsidRPr="5AA82D46">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r w:rsidRPr="5AA82D46" w:rsidR="54CAB977">
        <w:rPr>
          <w:b/>
          <w:bCs/>
          <w:sz w:val="24"/>
          <w:szCs w:val="24"/>
        </w:rPr>
        <w:t xml:space="preserve"> </w:t>
      </w:r>
      <w:r w:rsidRPr="5AA82D46">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br/>
      </w:r>
      <w:r>
        <w:br/>
      </w:r>
      <w:r w:rsidRPr="5AA82D46" w:rsidR="743CF00E">
        <w:rPr>
          <w:sz w:val="24"/>
          <w:szCs w:val="24"/>
        </w:rPr>
        <w:t xml:space="preserve">In accordance with 5 CFR 1320.8 (Paperwork Reduction Act of 1995), a Notice of Proposed Information Collection for publication in the Federal Register has been prepared to announce the agency’s intention to request an OMB review of data collection activities for the Evaluation of the Green and Resilient Retrofit Program. </w:t>
      </w:r>
      <w:r w:rsidRPr="5AA82D46" w:rsidR="794FDBA2">
        <w:rPr>
          <w:sz w:val="24"/>
          <w:szCs w:val="24"/>
        </w:rPr>
        <w:t xml:space="preserve">HUD published a 60-Day Notice of Proposed Information Collection in the Federal Register on </w:t>
      </w:r>
      <w:r w:rsidRPr="5AA82D46" w:rsidR="35A0BC48">
        <w:rPr>
          <w:sz w:val="24"/>
          <w:szCs w:val="24"/>
        </w:rPr>
        <w:t>November 20, 2023</w:t>
      </w:r>
      <w:r w:rsidRPr="5AA82D46" w:rsidR="794FDBA2">
        <w:rPr>
          <w:sz w:val="24"/>
          <w:szCs w:val="24"/>
        </w:rPr>
        <w:t>, (</w:t>
      </w:r>
      <w:r w:rsidR="00154743">
        <w:rPr>
          <w:sz w:val="24"/>
          <w:szCs w:val="24"/>
        </w:rPr>
        <w:t>88 FR 80740</w:t>
      </w:r>
      <w:r w:rsidRPr="5AA82D46" w:rsidR="794FDBA2">
        <w:rPr>
          <w:sz w:val="24"/>
          <w:szCs w:val="24"/>
        </w:rPr>
        <w:t xml:space="preserve">). The notice provided a 60-day period for public comments. </w:t>
      </w:r>
      <w:r w:rsidRPr="5AA82D46" w:rsidR="00BF5A17">
        <w:rPr>
          <w:sz w:val="24"/>
          <w:szCs w:val="24"/>
        </w:rPr>
        <w:t>N</w:t>
      </w:r>
      <w:r w:rsidRPr="5AA82D46" w:rsidR="00391D99">
        <w:rPr>
          <w:sz w:val="24"/>
          <w:szCs w:val="24"/>
        </w:rPr>
        <w:t>o</w:t>
      </w:r>
      <w:r w:rsidRPr="5AA82D46" w:rsidR="794FDBA2">
        <w:rPr>
          <w:sz w:val="24"/>
          <w:szCs w:val="24"/>
        </w:rPr>
        <w:t xml:space="preserve"> public comments were received during the review period which concluded on </w:t>
      </w:r>
      <w:r w:rsidRPr="5AA82D46" w:rsidR="5131347E">
        <w:rPr>
          <w:sz w:val="24"/>
          <w:szCs w:val="24"/>
        </w:rPr>
        <w:t>January 19, 2024</w:t>
      </w:r>
      <w:r w:rsidRPr="5AA82D46" w:rsidR="794FDBA2">
        <w:rPr>
          <w:sz w:val="24"/>
          <w:szCs w:val="24"/>
        </w:rPr>
        <w:t>.</w:t>
      </w:r>
    </w:p>
    <w:p w:rsidR="00341B0E" w:rsidRPr="002C7082" w:rsidP="007957C0" w14:paraId="1744415B" w14:textId="77777777">
      <w:pPr>
        <w:tabs>
          <w:tab w:val="left" w:pos="360"/>
        </w:tabs>
        <w:ind w:left="480"/>
        <w:rPr>
          <w:sz w:val="24"/>
          <w:szCs w:val="24"/>
        </w:rPr>
      </w:pPr>
    </w:p>
    <w:p w:rsidR="00341B0E" w:rsidRPr="00341B0E" w:rsidP="002C7082" w14:paraId="308C0585" w14:textId="22DBBBF2">
      <w:pPr>
        <w:ind w:left="360"/>
        <w:rPr>
          <w:sz w:val="24"/>
          <w:szCs w:val="24"/>
        </w:rPr>
      </w:pPr>
      <w:r w:rsidRPr="7F336052">
        <w:rPr>
          <w:sz w:val="24"/>
          <w:szCs w:val="24"/>
        </w:rPr>
        <w:t xml:space="preserve">The evaluation </w:t>
      </w:r>
      <w:r w:rsidRPr="7F336052" w:rsidR="794FDBA2">
        <w:rPr>
          <w:sz w:val="24"/>
          <w:szCs w:val="24"/>
        </w:rPr>
        <w:t xml:space="preserve">is being </w:t>
      </w:r>
      <w:r w:rsidRPr="7F336052">
        <w:rPr>
          <w:sz w:val="24"/>
          <w:szCs w:val="24"/>
        </w:rPr>
        <w:t xml:space="preserve">developed </w:t>
      </w:r>
      <w:r w:rsidRPr="7F336052" w:rsidR="77470585">
        <w:rPr>
          <w:sz w:val="24"/>
          <w:szCs w:val="24"/>
        </w:rPr>
        <w:t xml:space="preserve">by HUD </w:t>
      </w:r>
      <w:r w:rsidRPr="7F336052">
        <w:rPr>
          <w:sz w:val="24"/>
          <w:szCs w:val="24"/>
        </w:rPr>
        <w:t xml:space="preserve">and </w:t>
      </w:r>
      <w:r w:rsidRPr="7F336052" w:rsidR="77470585">
        <w:rPr>
          <w:sz w:val="24"/>
          <w:szCs w:val="24"/>
        </w:rPr>
        <w:t>will be implemented by</w:t>
      </w:r>
      <w:r w:rsidRPr="7F336052" w:rsidR="13327BE0">
        <w:rPr>
          <w:sz w:val="24"/>
          <w:szCs w:val="24"/>
        </w:rPr>
        <w:t xml:space="preserve"> HUD </w:t>
      </w:r>
      <w:r w:rsidRPr="7F336052" w:rsidR="794FDBA2">
        <w:rPr>
          <w:sz w:val="24"/>
          <w:szCs w:val="24"/>
        </w:rPr>
        <w:t xml:space="preserve">with the support of </w:t>
      </w:r>
      <w:r w:rsidRPr="7F336052" w:rsidR="2F3B88A0">
        <w:rPr>
          <w:sz w:val="24"/>
          <w:szCs w:val="24"/>
        </w:rPr>
        <w:t>I</w:t>
      </w:r>
      <w:r w:rsidRPr="7F336052" w:rsidR="794FDBA2">
        <w:rPr>
          <w:sz w:val="24"/>
          <w:szCs w:val="24"/>
        </w:rPr>
        <w:t>ndependent Contractor</w:t>
      </w:r>
      <w:r w:rsidRPr="7F336052" w:rsidR="381B49AD">
        <w:rPr>
          <w:sz w:val="24"/>
          <w:szCs w:val="24"/>
        </w:rPr>
        <w:t>s</w:t>
      </w:r>
      <w:r w:rsidRPr="7F336052" w:rsidR="794FDBA2">
        <w:rPr>
          <w:sz w:val="24"/>
          <w:szCs w:val="24"/>
        </w:rPr>
        <w:t xml:space="preserve">.  </w:t>
      </w:r>
      <w:r w:rsidRPr="7F336052">
        <w:rPr>
          <w:sz w:val="24"/>
          <w:szCs w:val="24"/>
        </w:rPr>
        <w:t xml:space="preserve">  </w:t>
      </w:r>
    </w:p>
    <w:p w:rsidR="00341B0E" w:rsidRPr="00341B0E" w:rsidP="00341B0E" w14:paraId="06BC8168" w14:textId="77777777">
      <w:pPr>
        <w:rPr>
          <w:sz w:val="24"/>
          <w:szCs w:val="24"/>
        </w:rPr>
      </w:pPr>
    </w:p>
    <w:p w:rsidR="00341B0E" w:rsidRPr="00277512" w:rsidP="00277512" w14:paraId="5CA235F0" w14:textId="280407FE">
      <w:pPr>
        <w:keepLines/>
        <w:tabs>
          <w:tab w:val="left" w:pos="360"/>
        </w:tabs>
        <w:spacing w:after="80"/>
        <w:ind w:left="360"/>
        <w:rPr>
          <w:rStyle w:val="cf01"/>
          <w:rFonts w:ascii="Times New Roman" w:hAnsi="Times New Roman" w:cs="Times New Roman"/>
          <w:sz w:val="24"/>
          <w:szCs w:val="24"/>
        </w:rPr>
      </w:pPr>
      <w:r w:rsidRPr="7F336052">
        <w:rPr>
          <w:sz w:val="24"/>
          <w:szCs w:val="24"/>
        </w:rPr>
        <w:t xml:space="preserve">Staff from HUD’s Office of Policy Development and Research (PD&amp;R) </w:t>
      </w:r>
      <w:r w:rsidRPr="7F336052" w:rsidR="3A78E2E2">
        <w:rPr>
          <w:sz w:val="24"/>
          <w:szCs w:val="24"/>
        </w:rPr>
        <w:t>are designing</w:t>
      </w:r>
      <w:r w:rsidRPr="7F336052" w:rsidR="77470585">
        <w:rPr>
          <w:sz w:val="24"/>
          <w:szCs w:val="24"/>
        </w:rPr>
        <w:t xml:space="preserve"> the </w:t>
      </w:r>
      <w:r w:rsidRPr="7F336052" w:rsidR="381B49AD">
        <w:rPr>
          <w:sz w:val="24"/>
          <w:szCs w:val="24"/>
        </w:rPr>
        <w:t xml:space="preserve">evaluation </w:t>
      </w:r>
      <w:r w:rsidRPr="7F336052" w:rsidR="77470585">
        <w:rPr>
          <w:sz w:val="24"/>
          <w:szCs w:val="24"/>
        </w:rPr>
        <w:t>study</w:t>
      </w:r>
      <w:r w:rsidRPr="7F336052">
        <w:rPr>
          <w:sz w:val="24"/>
          <w:szCs w:val="24"/>
        </w:rPr>
        <w:t xml:space="preserve"> and data collection plan</w:t>
      </w:r>
      <w:r w:rsidRPr="7F336052" w:rsidR="13327BE0">
        <w:rPr>
          <w:sz w:val="24"/>
          <w:szCs w:val="24"/>
        </w:rPr>
        <w:t xml:space="preserve"> in conjunction with the Office of Recapitalization</w:t>
      </w:r>
      <w:r w:rsidRPr="7F336052" w:rsidR="71C0C646">
        <w:rPr>
          <w:sz w:val="24"/>
          <w:szCs w:val="24"/>
        </w:rPr>
        <w:t xml:space="preserve"> within the Office of Multifamily Housing Programs, </w:t>
      </w:r>
      <w:r w:rsidRPr="7F336052" w:rsidR="0CE56500">
        <w:rPr>
          <w:sz w:val="24"/>
          <w:szCs w:val="24"/>
        </w:rPr>
        <w:t>in</w:t>
      </w:r>
      <w:r w:rsidRPr="7F336052" w:rsidR="71C0C646">
        <w:rPr>
          <w:sz w:val="24"/>
          <w:szCs w:val="24"/>
        </w:rPr>
        <w:t xml:space="preserve"> the Office of Housing, which is implementing GRRP</w:t>
      </w:r>
      <w:r w:rsidRPr="7F336052">
        <w:rPr>
          <w:sz w:val="24"/>
          <w:szCs w:val="24"/>
        </w:rPr>
        <w:t xml:space="preserve">. </w:t>
      </w:r>
      <w:r w:rsidRPr="7F336052" w:rsidR="381B49AD">
        <w:rPr>
          <w:sz w:val="24"/>
          <w:szCs w:val="24"/>
        </w:rPr>
        <w:t xml:space="preserve">For the benchmarking component, </w:t>
      </w:r>
      <w:r w:rsidRPr="7F336052" w:rsidR="18B44646">
        <w:rPr>
          <w:sz w:val="24"/>
          <w:szCs w:val="24"/>
        </w:rPr>
        <w:t xml:space="preserve">HUD has engaged </w:t>
      </w:r>
      <w:r w:rsidRPr="7F336052" w:rsidR="57FA2827">
        <w:rPr>
          <w:sz w:val="24"/>
          <w:szCs w:val="24"/>
        </w:rPr>
        <w:t>the Environmental Protection Agency (</w:t>
      </w:r>
      <w:r w:rsidRPr="7F336052" w:rsidR="18B44646">
        <w:rPr>
          <w:sz w:val="24"/>
          <w:szCs w:val="24"/>
        </w:rPr>
        <w:t>EPA</w:t>
      </w:r>
      <w:r w:rsidRPr="7F336052" w:rsidR="57FA2827">
        <w:rPr>
          <w:sz w:val="24"/>
          <w:szCs w:val="24"/>
        </w:rPr>
        <w:t>)</w:t>
      </w:r>
      <w:r w:rsidRPr="7F336052" w:rsidR="18B44646">
        <w:rPr>
          <w:sz w:val="24"/>
          <w:szCs w:val="24"/>
        </w:rPr>
        <w:t xml:space="preserve"> on the availability of data, collection frequency, instructions of clarity, and record disclosure</w:t>
      </w:r>
      <w:r w:rsidRPr="7F336052" w:rsidR="5AF46096">
        <w:rPr>
          <w:sz w:val="24"/>
          <w:szCs w:val="24"/>
        </w:rPr>
        <w:t xml:space="preserve"> because </w:t>
      </w:r>
      <w:r w:rsidRPr="7F336052" w:rsidR="18B44646">
        <w:rPr>
          <w:sz w:val="24"/>
          <w:szCs w:val="24"/>
        </w:rPr>
        <w:t>EPA is the authority on energy and water benchmarking for Multifamily</w:t>
      </w:r>
      <w:r w:rsidRPr="7F336052" w:rsidR="5AF46096">
        <w:rPr>
          <w:sz w:val="24"/>
          <w:szCs w:val="24"/>
        </w:rPr>
        <w:t xml:space="preserve"> Housing</w:t>
      </w:r>
      <w:r w:rsidRPr="7F336052" w:rsidR="18B44646">
        <w:rPr>
          <w:sz w:val="24"/>
          <w:szCs w:val="24"/>
        </w:rPr>
        <w:t>.</w:t>
      </w:r>
      <w:r w:rsidRPr="7F336052" w:rsidR="1B115F12">
        <w:rPr>
          <w:sz w:val="24"/>
          <w:szCs w:val="24"/>
        </w:rPr>
        <w:t xml:space="preserve"> After drafting the survey, HUD engaged EPA for additional guidance in determining the usefulness and appropriateness of the survey questions for its intended audience. Specifically, HUD asked EPA the following questions: 1) Do the questions provide HUD/the contractor with additional insight into the property that Portfolio Manager would not? 2) Is this information property owners are likely to be able to provide </w:t>
      </w:r>
      <w:r w:rsidRPr="7F336052" w:rsidR="1B115F12">
        <w:rPr>
          <w:sz w:val="24"/>
          <w:szCs w:val="24"/>
        </w:rPr>
        <w:t>fairly easily</w:t>
      </w:r>
      <w:r w:rsidRPr="7F336052" w:rsidR="1B115F12">
        <w:rPr>
          <w:sz w:val="24"/>
          <w:szCs w:val="24"/>
        </w:rPr>
        <w:t>? 3) Would this information add to our understanding of usage at HUD-assisted properties? EPA provided feedback and confirmed that the survey would gather useful information.</w:t>
      </w:r>
    </w:p>
    <w:p w:rsidR="009E13B1" w:rsidRPr="003E6F08" w14:paraId="55FC291A" w14:textId="77777777">
      <w:pPr>
        <w:tabs>
          <w:tab w:val="left" w:pos="360"/>
        </w:tabs>
        <w:ind w:left="360" w:hanging="360"/>
        <w:rPr>
          <w:b/>
          <w:bCs/>
          <w:sz w:val="24"/>
          <w:szCs w:val="24"/>
        </w:rPr>
      </w:pPr>
    </w:p>
    <w:p w:rsidR="009E13B1" w:rsidRPr="003E6F08" w14:paraId="45C1C062" w14:textId="77777777">
      <w:pPr>
        <w:keepLines/>
        <w:tabs>
          <w:tab w:val="left" w:pos="360"/>
        </w:tabs>
        <w:spacing w:after="80"/>
        <w:ind w:left="360" w:hanging="360"/>
        <w:rPr>
          <w:b/>
          <w:bCs/>
          <w:sz w:val="24"/>
          <w:szCs w:val="24"/>
        </w:rPr>
      </w:pPr>
      <w:r w:rsidRPr="003E6F08">
        <w:rPr>
          <w:b/>
          <w:bCs/>
          <w:sz w:val="24"/>
          <w:szCs w:val="24"/>
        </w:rPr>
        <w:t>9.</w:t>
      </w:r>
      <w:r w:rsidRPr="003E6F08">
        <w:rPr>
          <w:b/>
          <w:bCs/>
          <w:sz w:val="24"/>
          <w:szCs w:val="24"/>
        </w:rPr>
        <w:tab/>
        <w:t>Explain any decision to provide any payment or gift to respondents, other than renumeration of contractors or grantees.</w:t>
      </w:r>
    </w:p>
    <w:p w:rsidR="009E13B1" w14:paraId="34FE45B2" w14:textId="77777777">
      <w:pPr>
        <w:tabs>
          <w:tab w:val="left" w:pos="360"/>
        </w:tabs>
        <w:ind w:left="360" w:hanging="360"/>
        <w:rPr>
          <w:b/>
          <w:bCs/>
          <w:sz w:val="24"/>
          <w:szCs w:val="24"/>
        </w:rPr>
      </w:pPr>
    </w:p>
    <w:p w:rsidR="005568EC" w:rsidRPr="005568EC" w:rsidP="009F53FA" w14:paraId="19C48C31" w14:textId="77777777">
      <w:pPr>
        <w:keepLines/>
        <w:tabs>
          <w:tab w:val="left" w:pos="360"/>
        </w:tabs>
        <w:spacing w:after="80"/>
        <w:ind w:left="360"/>
        <w:rPr>
          <w:sz w:val="24"/>
          <w:szCs w:val="24"/>
        </w:rPr>
      </w:pPr>
      <w:r w:rsidRPr="1D796DB3">
        <w:rPr>
          <w:sz w:val="24"/>
          <w:szCs w:val="24"/>
        </w:rPr>
        <w:t>Incentives will not be provided to respondents because they will be completing the data collection as part of their job duties.</w:t>
      </w:r>
    </w:p>
    <w:p w:rsidR="69EB3935" w:rsidP="69EB3935" w14:paraId="1E45AA3B" w14:textId="33023C30">
      <w:pPr>
        <w:tabs>
          <w:tab w:val="left" w:pos="360"/>
        </w:tabs>
        <w:rPr>
          <w:sz w:val="24"/>
          <w:szCs w:val="24"/>
        </w:rPr>
      </w:pPr>
    </w:p>
    <w:p w:rsidR="00676C00" w:rsidRPr="008E159B" w:rsidP="00277512" w14:paraId="31017BC6" w14:textId="3AB744CC">
      <w:pPr>
        <w:keepLines/>
        <w:tabs>
          <w:tab w:val="left" w:pos="360"/>
        </w:tabs>
        <w:spacing w:after="80"/>
        <w:ind w:left="360" w:hanging="360"/>
        <w:rPr>
          <w:sz w:val="24"/>
          <w:szCs w:val="24"/>
        </w:rPr>
      </w:pPr>
      <w:r w:rsidRPr="7F336052">
        <w:rPr>
          <w:b/>
          <w:bCs/>
          <w:sz w:val="24"/>
          <w:szCs w:val="24"/>
        </w:rPr>
        <w:t>10.</w:t>
      </w:r>
      <w:r w:rsidR="009E13B1">
        <w:tab/>
      </w:r>
      <w:r w:rsidRPr="7F336052">
        <w:rPr>
          <w:b/>
          <w:bCs/>
          <w:sz w:val="24"/>
          <w:szCs w:val="24"/>
        </w:rPr>
        <w:t xml:space="preserve">Describe any assurance of confidentiality provided to respondents and the basis for assurance in statute, </w:t>
      </w:r>
      <w:r w:rsidRPr="7F336052">
        <w:rPr>
          <w:b/>
          <w:bCs/>
          <w:sz w:val="24"/>
          <w:szCs w:val="24"/>
        </w:rPr>
        <w:t>regulation</w:t>
      </w:r>
      <w:r w:rsidRPr="7F336052">
        <w:rPr>
          <w:b/>
          <w:bCs/>
          <w:sz w:val="24"/>
          <w:szCs w:val="24"/>
        </w:rPr>
        <w:t xml:space="preserve"> or agency policy.</w:t>
      </w:r>
      <w:r w:rsidRPr="7F336052" w:rsidR="2CA05774">
        <w:rPr>
          <w:b/>
          <w:bCs/>
        </w:rPr>
        <w:t xml:space="preserve"> </w:t>
      </w:r>
      <w:r w:rsidRPr="7F336052" w:rsidR="2CA05774">
        <w:rPr>
          <w:b/>
          <w:bCs/>
          <w:sz w:val="24"/>
          <w:szCs w:val="24"/>
        </w:rPr>
        <w:t xml:space="preserve">If the collection requires a </w:t>
      </w:r>
      <w:r w:rsidRPr="7F336052" w:rsidR="5F8CFB8B">
        <w:rPr>
          <w:b/>
          <w:bCs/>
          <w:sz w:val="24"/>
          <w:szCs w:val="24"/>
        </w:rPr>
        <w:t>system of records notice (SORN)</w:t>
      </w:r>
      <w:r w:rsidRPr="7F336052" w:rsidR="2CA05774">
        <w:rPr>
          <w:b/>
          <w:bCs/>
          <w:sz w:val="24"/>
          <w:szCs w:val="24"/>
        </w:rPr>
        <w:t xml:space="preserve"> or privacy impact assessment (PIA), those should be cited and described here.</w:t>
      </w:r>
      <w:r w:rsidR="009E13B1">
        <w:br/>
      </w:r>
      <w:r w:rsidR="009E13B1">
        <w:br/>
      </w:r>
      <w:r w:rsidRPr="7F336052" w:rsidR="6B7750F9">
        <w:rPr>
          <w:sz w:val="24"/>
          <w:szCs w:val="24"/>
        </w:rPr>
        <w:t>HUD and its contractor</w:t>
      </w:r>
      <w:r w:rsidRPr="7F336052" w:rsidR="5AF46096">
        <w:rPr>
          <w:sz w:val="24"/>
          <w:szCs w:val="24"/>
        </w:rPr>
        <w:t>s</w:t>
      </w:r>
      <w:r w:rsidRPr="7F336052" w:rsidR="6B7750F9">
        <w:rPr>
          <w:sz w:val="24"/>
          <w:szCs w:val="24"/>
        </w:rPr>
        <w:t xml:space="preserve"> will maintain the privacy of respondents </w:t>
      </w:r>
      <w:r w:rsidR="00DF12A0">
        <w:rPr>
          <w:sz w:val="24"/>
          <w:szCs w:val="24"/>
        </w:rPr>
        <w:t>as required</w:t>
      </w:r>
      <w:r w:rsidRPr="7F336052" w:rsidR="6B7750F9">
        <w:rPr>
          <w:sz w:val="24"/>
          <w:szCs w:val="24"/>
        </w:rPr>
        <w:t xml:space="preserve"> by law. All HUD and contractor staff working on the project will have training in the protection of private information, and the evaluation will have a Data Security Plan that details the storage and use of data collected as part of the evaluation. Individuals will not be identified in reports. All respondents will be informed that participation is voluntary</w:t>
      </w:r>
      <w:r w:rsidRPr="7F336052" w:rsidR="6FFE30E1">
        <w:rPr>
          <w:sz w:val="24"/>
          <w:szCs w:val="24"/>
        </w:rPr>
        <w:t>,</w:t>
      </w:r>
      <w:r w:rsidRPr="7F336052" w:rsidR="6B7750F9">
        <w:rPr>
          <w:sz w:val="24"/>
          <w:szCs w:val="24"/>
        </w:rPr>
        <w:t xml:space="preserve"> and the information provided will be used solely for research purposes.</w:t>
      </w:r>
      <w:r w:rsidRPr="7F336052" w:rsidR="6A89FF25">
        <w:rPr>
          <w:sz w:val="24"/>
          <w:szCs w:val="24"/>
        </w:rPr>
        <w:t xml:space="preserve"> </w:t>
      </w:r>
      <w:r w:rsidRPr="7F336052" w:rsidR="242DCEE7">
        <w:rPr>
          <w:sz w:val="24"/>
          <w:szCs w:val="24"/>
        </w:rPr>
        <w:t>For the energy efficiency survey</w:t>
      </w:r>
      <w:r w:rsidRPr="7F336052" w:rsidR="6A89FF25">
        <w:rPr>
          <w:sz w:val="24"/>
          <w:szCs w:val="24"/>
        </w:rPr>
        <w:t xml:space="preserve"> as part of benchmarking</w:t>
      </w:r>
      <w:r w:rsidRPr="7F336052" w:rsidR="242DCEE7">
        <w:rPr>
          <w:sz w:val="24"/>
          <w:szCs w:val="24"/>
        </w:rPr>
        <w:t xml:space="preserve">, assurance of confidentiality is neither provided nor needed for this information collection as the contractor will not be collecting personally identifiable information. </w:t>
      </w:r>
    </w:p>
    <w:p w:rsidR="009E13B1" w:rsidRPr="003E6F08" w14:paraId="37C048AB" w14:textId="77777777">
      <w:pPr>
        <w:tabs>
          <w:tab w:val="left" w:pos="360"/>
        </w:tabs>
        <w:ind w:left="360" w:hanging="360"/>
        <w:rPr>
          <w:b/>
          <w:bCs/>
          <w:sz w:val="24"/>
          <w:szCs w:val="24"/>
        </w:rPr>
      </w:pPr>
    </w:p>
    <w:p w:rsidR="00A65F9E" w:rsidRPr="00BA4B02" w:rsidP="00BA4B02" w14:paraId="66B0AA80" w14:textId="77777777">
      <w:pPr>
        <w:keepLines/>
        <w:tabs>
          <w:tab w:val="left" w:pos="360"/>
        </w:tabs>
        <w:spacing w:after="80"/>
        <w:ind w:left="360" w:hanging="360"/>
        <w:rPr>
          <w:sz w:val="24"/>
          <w:szCs w:val="24"/>
        </w:rPr>
      </w:pPr>
      <w:r w:rsidRPr="7F336052">
        <w:rPr>
          <w:b/>
          <w:bCs/>
          <w:sz w:val="24"/>
          <w:szCs w:val="24"/>
        </w:rPr>
        <w:t>11.</w:t>
      </w:r>
      <w:r w:rsidR="009E13B1">
        <w:tab/>
      </w:r>
      <w:r w:rsidRPr="7F336052">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9E13B1">
        <w:br/>
      </w:r>
      <w:r w:rsidR="009E13B1">
        <w:br/>
      </w:r>
      <w:r w:rsidRPr="7F336052" w:rsidR="052B6D77">
        <w:rPr>
          <w:sz w:val="24"/>
          <w:szCs w:val="24"/>
        </w:rPr>
        <w:t xml:space="preserve">The data collection instruments do not contain any questions of a sensitive nature. </w:t>
      </w:r>
    </w:p>
    <w:p w:rsidR="00A65F9E" w14:paraId="2289DD4C" w14:textId="77777777">
      <w:pPr>
        <w:tabs>
          <w:tab w:val="left" w:pos="360"/>
        </w:tabs>
        <w:ind w:left="360" w:hanging="360"/>
        <w:rPr>
          <w:b/>
          <w:bCs/>
          <w:sz w:val="24"/>
          <w:szCs w:val="24"/>
        </w:rPr>
      </w:pPr>
    </w:p>
    <w:p w:rsidR="000D5079" w:rsidRPr="003E6F08" w14:paraId="1DFB7C8F" w14:textId="77777777">
      <w:pPr>
        <w:tabs>
          <w:tab w:val="left" w:pos="360"/>
        </w:tabs>
        <w:ind w:left="360" w:hanging="360"/>
        <w:rPr>
          <w:b/>
          <w:bCs/>
          <w:sz w:val="24"/>
          <w:szCs w:val="24"/>
        </w:rPr>
      </w:pPr>
      <w:r w:rsidRPr="7F336052">
        <w:rPr>
          <w:b/>
          <w:bCs/>
          <w:sz w:val="24"/>
          <w:szCs w:val="24"/>
        </w:rPr>
        <w:t>12.</w:t>
      </w:r>
      <w:r w:rsidR="009E13B1">
        <w:tab/>
      </w:r>
      <w:r w:rsidRPr="7F336052">
        <w:rPr>
          <w:b/>
          <w:bCs/>
          <w:sz w:val="24"/>
          <w:szCs w:val="24"/>
        </w:rPr>
        <w:t>Provide estimates of the hour burden of the collection of information.  The statement should:</w:t>
      </w:r>
    </w:p>
    <w:p w:rsidR="009E13B1" w:rsidRPr="003E6F08" w14:paraId="53E64C85" w14:textId="77777777">
      <w:pPr>
        <w:tabs>
          <w:tab w:val="left" w:pos="360"/>
        </w:tabs>
        <w:ind w:left="360" w:hanging="360"/>
        <w:rPr>
          <w:b/>
          <w:bCs/>
          <w:sz w:val="24"/>
          <w:szCs w:val="24"/>
        </w:rPr>
      </w:pPr>
      <w:r w:rsidRPr="003E6F08">
        <w:rPr>
          <w:b/>
          <w:bCs/>
          <w:sz w:val="24"/>
          <w:szCs w:val="24"/>
        </w:rPr>
        <w:t xml:space="preserve"> </w:t>
      </w:r>
    </w:p>
    <w:p w:rsidR="009E13B1" w:rsidRPr="003E6F08" w:rsidP="36573586" w14:paraId="45126A99" w14:textId="77777777">
      <w:pPr>
        <w:numPr>
          <w:ilvl w:val="0"/>
          <w:numId w:val="1"/>
        </w:numPr>
        <w:tabs>
          <w:tab w:val="left" w:pos="480"/>
        </w:tabs>
        <w:ind w:left="480"/>
        <w:rPr>
          <w:b/>
          <w:bCs/>
          <w:sz w:val="24"/>
          <w:szCs w:val="24"/>
        </w:rPr>
      </w:pPr>
      <w:r w:rsidRPr="7F336052">
        <w:rPr>
          <w:b/>
          <w:bCs/>
          <w:sz w:val="24"/>
          <w:szCs w:val="24"/>
        </w:rPr>
        <w:t>I</w:t>
      </w:r>
      <w:r w:rsidRPr="7F336052" w:rsidR="67B69792">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w:t>
      </w:r>
      <w:r w:rsidRPr="7F336052" w:rsidR="67B69792">
        <w:rPr>
          <w:b/>
          <w:bCs/>
          <w:sz w:val="24"/>
          <w:szCs w:val="24"/>
        </w:rPr>
        <w:t>hour</w:t>
      </w:r>
      <w:r w:rsidRPr="7F336052" w:rsidR="67B69792">
        <w:rPr>
          <w:b/>
          <w:bCs/>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7F336052" w:rsidR="01D06F90">
        <w:rPr>
          <w:b/>
          <w:bCs/>
          <w:sz w:val="24"/>
          <w:szCs w:val="24"/>
        </w:rPr>
        <w:t>Generally,</w:t>
      </w:r>
      <w:r w:rsidRPr="7F336052" w:rsidR="67B69792">
        <w:rPr>
          <w:b/>
          <w:bCs/>
          <w:sz w:val="24"/>
          <w:szCs w:val="24"/>
        </w:rPr>
        <w:t xml:space="preserve"> estimates should not include burden hours for customary and usual business </w:t>
      </w:r>
      <w:r w:rsidRPr="7F336052" w:rsidR="67B69792">
        <w:rPr>
          <w:b/>
          <w:bCs/>
          <w:sz w:val="24"/>
          <w:szCs w:val="24"/>
        </w:rPr>
        <w:t>practices;</w:t>
      </w:r>
      <w:r w:rsidRPr="7F336052" w:rsidR="67B69792">
        <w:rPr>
          <w:b/>
          <w:bCs/>
          <w:sz w:val="24"/>
          <w:szCs w:val="24"/>
        </w:rPr>
        <w:t xml:space="preserve"> </w:t>
      </w:r>
    </w:p>
    <w:p w:rsidR="009E13B1" w:rsidRPr="003E6F08" w:rsidP="36573586" w14:paraId="6E905914" w14:textId="77777777">
      <w:pPr>
        <w:numPr>
          <w:ilvl w:val="0"/>
          <w:numId w:val="1"/>
        </w:numPr>
        <w:tabs>
          <w:tab w:val="left" w:pos="480"/>
        </w:tabs>
        <w:ind w:left="480"/>
        <w:rPr>
          <w:b/>
          <w:bCs/>
          <w:sz w:val="24"/>
          <w:szCs w:val="24"/>
        </w:rPr>
      </w:pPr>
      <w:r w:rsidRPr="36573586">
        <w:rPr>
          <w:b/>
          <w:bCs/>
          <w:sz w:val="24"/>
          <w:szCs w:val="24"/>
        </w:rPr>
        <w:t>I</w:t>
      </w:r>
      <w:r w:rsidRPr="36573586">
        <w:rPr>
          <w:b/>
          <w:bCs/>
          <w:sz w:val="24"/>
          <w:szCs w:val="24"/>
        </w:rPr>
        <w:t xml:space="preserve">f this request covers more than one form, provide separate hour burden estimates for each </w:t>
      </w:r>
      <w:r w:rsidRPr="36573586">
        <w:rPr>
          <w:b/>
          <w:bCs/>
          <w:sz w:val="24"/>
          <w:szCs w:val="24"/>
        </w:rPr>
        <w:t>form</w:t>
      </w:r>
      <w:r w:rsidRPr="36573586">
        <w:rPr>
          <w:b/>
          <w:bCs/>
          <w:sz w:val="24"/>
          <w:szCs w:val="24"/>
        </w:rPr>
        <w:t xml:space="preserve"> and aggregate the hour burdens in </w:t>
      </w:r>
      <w:r w:rsidRPr="36573586" w:rsidR="00CA06CC">
        <w:rPr>
          <w:b/>
          <w:bCs/>
          <w:sz w:val="24"/>
          <w:szCs w:val="24"/>
        </w:rPr>
        <w:t>chart below</w:t>
      </w:r>
      <w:r w:rsidRPr="36573586">
        <w:rPr>
          <w:b/>
          <w:bCs/>
          <w:sz w:val="24"/>
          <w:szCs w:val="24"/>
        </w:rPr>
        <w:t xml:space="preserve">; and </w:t>
      </w:r>
    </w:p>
    <w:p w:rsidR="009E13B1" w:rsidRPr="003E6F08" w:rsidP="36573586" w14:paraId="32B64AE1" w14:textId="77777777">
      <w:pPr>
        <w:keepLines/>
        <w:numPr>
          <w:ilvl w:val="0"/>
          <w:numId w:val="1"/>
        </w:numPr>
        <w:tabs>
          <w:tab w:val="left" w:pos="480"/>
        </w:tabs>
        <w:spacing w:after="80"/>
        <w:ind w:left="480"/>
        <w:rPr>
          <w:b/>
          <w:bCs/>
          <w:sz w:val="24"/>
          <w:szCs w:val="24"/>
        </w:rPr>
      </w:pPr>
      <w:r w:rsidRPr="7F336052">
        <w:rPr>
          <w:b/>
          <w:bCs/>
          <w:sz w:val="24"/>
          <w:szCs w:val="24"/>
        </w:rPr>
        <w:t>P</w:t>
      </w:r>
      <w:r w:rsidRPr="7F336052" w:rsidR="67B69792">
        <w:rPr>
          <w:b/>
          <w:bCs/>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7F336052" w:rsidR="4FE0F19F">
        <w:rPr>
          <w:b/>
          <w:bCs/>
          <w:sz w:val="24"/>
          <w:szCs w:val="24"/>
        </w:rPr>
        <w:t>Instead,</w:t>
      </w:r>
      <w:r w:rsidRPr="7F336052" w:rsidR="67B69792">
        <w:rPr>
          <w:b/>
          <w:bCs/>
          <w:sz w:val="24"/>
          <w:szCs w:val="24"/>
        </w:rPr>
        <w:t xml:space="preserve"> this cost should be included in Item 13.</w:t>
      </w:r>
    </w:p>
    <w:p w:rsidR="005B1AF4" w:rsidRPr="004F7174" w:rsidP="004F7174" w14:paraId="10AD757C" w14:textId="0902FE52">
      <w:pPr>
        <w:overflowPunct/>
        <w:autoSpaceDE/>
        <w:autoSpaceDN/>
        <w:adjustRightInd/>
        <w:ind w:left="480"/>
        <w:rPr>
          <w:rFonts w:ascii="Segoe UI" w:hAnsi="Segoe UI" w:cs="Segoe UI"/>
          <w:sz w:val="18"/>
          <w:szCs w:val="18"/>
        </w:rPr>
      </w:pPr>
      <w:r w:rsidRPr="7F336052">
        <w:rPr>
          <w:sz w:val="24"/>
          <w:szCs w:val="24"/>
        </w:rPr>
        <w:t xml:space="preserve">The Application, Scoping and Design, and Post-Construction </w:t>
      </w:r>
      <w:r w:rsidRPr="7F336052" w:rsidR="5E7EF343">
        <w:rPr>
          <w:sz w:val="24"/>
          <w:szCs w:val="24"/>
        </w:rPr>
        <w:t xml:space="preserve">information collection will affect a maximum of 900 respondents, including approximately 450 </w:t>
      </w:r>
      <w:r w:rsidRPr="7F336052" w:rsidR="4AAA8CD1">
        <w:rPr>
          <w:sz w:val="24"/>
          <w:szCs w:val="24"/>
        </w:rPr>
        <w:t>award</w:t>
      </w:r>
      <w:r w:rsidRPr="7F336052" w:rsidR="5E7EF343">
        <w:rPr>
          <w:sz w:val="24"/>
          <w:szCs w:val="24"/>
        </w:rPr>
        <w:t>ees, 225 applicant owners who did not receive grants or loans (Application Survey only), and 225 eligible non-applicants (Application Survey only).</w:t>
      </w:r>
      <w:r w:rsidRPr="7F336052" w:rsidR="74964350">
        <w:rPr>
          <w:sz w:val="24"/>
          <w:szCs w:val="24"/>
        </w:rPr>
        <w:t xml:space="preserve"> All respondents will receive outreach materials and the Application Survey.</w:t>
      </w:r>
      <w:r w:rsidRPr="7F336052" w:rsidR="379D92F0">
        <w:rPr>
          <w:sz w:val="24"/>
          <w:szCs w:val="24"/>
        </w:rPr>
        <w:t xml:space="preserve"> The Scoping and Design and Post-Construction surveys will be conducted with approximately 450 </w:t>
      </w:r>
      <w:r w:rsidRPr="7F336052" w:rsidR="4AAA8CD1">
        <w:rPr>
          <w:sz w:val="24"/>
          <w:szCs w:val="24"/>
        </w:rPr>
        <w:t>award</w:t>
      </w:r>
      <w:r w:rsidRPr="7F336052" w:rsidR="379D92F0">
        <w:rPr>
          <w:sz w:val="24"/>
          <w:szCs w:val="24"/>
        </w:rPr>
        <w:t xml:space="preserve">ees. </w:t>
      </w:r>
      <w:r w:rsidRPr="7F336052" w:rsidR="09963123">
        <w:rPr>
          <w:sz w:val="24"/>
          <w:szCs w:val="24"/>
        </w:rPr>
        <w:t xml:space="preserve">The Application, Scoping and Design, and Post-Construction interviews will be conducted with a subset of </w:t>
      </w:r>
      <w:r w:rsidRPr="7F336052" w:rsidR="34CF0D38">
        <w:rPr>
          <w:sz w:val="24"/>
          <w:szCs w:val="24"/>
        </w:rPr>
        <w:t xml:space="preserve">approximately </w:t>
      </w:r>
      <w:r w:rsidRPr="7F336052" w:rsidR="09963123">
        <w:rPr>
          <w:sz w:val="24"/>
          <w:szCs w:val="24"/>
        </w:rPr>
        <w:t xml:space="preserve">40 </w:t>
      </w:r>
      <w:r w:rsidRPr="7F336052" w:rsidR="4AAA8CD1">
        <w:rPr>
          <w:sz w:val="24"/>
          <w:szCs w:val="24"/>
        </w:rPr>
        <w:t>award</w:t>
      </w:r>
      <w:r w:rsidRPr="7F336052" w:rsidR="09963123">
        <w:rPr>
          <w:sz w:val="24"/>
          <w:szCs w:val="24"/>
        </w:rPr>
        <w:t>ees</w:t>
      </w:r>
      <w:r w:rsidRPr="7F336052" w:rsidR="620748C8">
        <w:rPr>
          <w:sz w:val="24"/>
          <w:szCs w:val="24"/>
        </w:rPr>
        <w:t xml:space="preserve">. </w:t>
      </w:r>
      <w:r w:rsidRPr="7F336052" w:rsidR="343CB749">
        <w:rPr>
          <w:sz w:val="24"/>
          <w:szCs w:val="24"/>
        </w:rPr>
        <w:t>All participants in surveys and interviews will complete consent forms.</w:t>
      </w:r>
      <w:r w:rsidRPr="7F336052" w:rsidR="5D46D887">
        <w:rPr>
          <w:sz w:val="24"/>
          <w:szCs w:val="24"/>
        </w:rPr>
        <w:t xml:space="preserve"> </w:t>
      </w:r>
      <w:r w:rsidRPr="7F336052" w:rsidR="73116CD1">
        <w:rPr>
          <w:sz w:val="24"/>
          <w:szCs w:val="24"/>
        </w:rPr>
        <w:t>For the benchmarking information collection, there are 27,326 HUD assisted properties that are eligible for benchmarking. The target is to benchmark 40% of the total population in 4 years, which equates to 2,347 each year for 4 years (9,387 properties total). </w:t>
      </w:r>
    </w:p>
    <w:p w:rsidR="00BA492E" w:rsidP="00BA492E" w14:paraId="5AB11071" w14:textId="77777777">
      <w:pPr>
        <w:pStyle w:val="BodyText"/>
        <w:spacing w:after="80" w:line="259" w:lineRule="auto"/>
      </w:pPr>
    </w:p>
    <w:p w:rsidR="005A4B17" w:rsidRPr="00970C66" w:rsidP="36573586" w14:paraId="69B6F536" w14:textId="60C32BAB">
      <w:pPr>
        <w:pStyle w:val="BodyText"/>
        <w:numPr>
          <w:ilvl w:val="0"/>
          <w:numId w:val="1"/>
        </w:numPr>
        <w:spacing w:after="80" w:line="259" w:lineRule="auto"/>
        <w:ind w:left="360"/>
        <w:rPr>
          <w:color w:val="000000" w:themeColor="text1"/>
          <w:sz w:val="24"/>
          <w:szCs w:val="24"/>
        </w:rPr>
      </w:pPr>
      <w:r w:rsidRPr="7F336052">
        <w:rPr>
          <w:sz w:val="24"/>
          <w:szCs w:val="24"/>
        </w:rPr>
        <w:t>Total e</w:t>
      </w:r>
      <w:r w:rsidRPr="7F336052" w:rsidR="6FA6CA05">
        <w:rPr>
          <w:sz w:val="24"/>
          <w:szCs w:val="24"/>
        </w:rPr>
        <w:t xml:space="preserve">stimated annual burden hours are </w:t>
      </w:r>
      <w:r w:rsidRPr="7F336052" w:rsidR="65D1AAB4">
        <w:rPr>
          <w:sz w:val="24"/>
          <w:szCs w:val="24"/>
        </w:rPr>
        <w:t>153</w:t>
      </w:r>
      <w:r w:rsidRPr="7F336052" w:rsidR="620748C8">
        <w:rPr>
          <w:sz w:val="24"/>
          <w:szCs w:val="24"/>
        </w:rPr>
        <w:t xml:space="preserve"> for reading the outreach materials, </w:t>
      </w:r>
      <w:r w:rsidRPr="7F336052">
        <w:rPr>
          <w:sz w:val="24"/>
          <w:szCs w:val="24"/>
        </w:rPr>
        <w:t xml:space="preserve">675 </w:t>
      </w:r>
      <w:r w:rsidRPr="7F336052" w:rsidR="6FA6CA05">
        <w:rPr>
          <w:sz w:val="24"/>
          <w:szCs w:val="24"/>
        </w:rPr>
        <w:t>for the Application Survey</w:t>
      </w:r>
      <w:r w:rsidRPr="7F336052" w:rsidR="50063F38">
        <w:rPr>
          <w:sz w:val="24"/>
          <w:szCs w:val="24"/>
        </w:rPr>
        <w:t xml:space="preserve"> (including consenting)</w:t>
      </w:r>
      <w:r w:rsidRPr="7F336052" w:rsidR="0D84BFB8">
        <w:rPr>
          <w:sz w:val="24"/>
          <w:szCs w:val="24"/>
        </w:rPr>
        <w:t>,</w:t>
      </w:r>
      <w:r w:rsidRPr="7F336052" w:rsidR="6FA6CA05">
        <w:rPr>
          <w:sz w:val="24"/>
          <w:szCs w:val="24"/>
        </w:rPr>
        <w:t xml:space="preserve"> 337.5 each for the</w:t>
      </w:r>
      <w:r w:rsidRPr="7F336052" w:rsidR="1F35C1F2">
        <w:rPr>
          <w:sz w:val="24"/>
          <w:szCs w:val="24"/>
        </w:rPr>
        <w:t xml:space="preserve"> Scoping and Design Survey and Post-Construction Survey</w:t>
      </w:r>
      <w:r w:rsidRPr="7F336052" w:rsidR="42E5B162">
        <w:rPr>
          <w:sz w:val="24"/>
          <w:szCs w:val="24"/>
        </w:rPr>
        <w:t xml:space="preserve"> (including consenting)</w:t>
      </w:r>
      <w:r w:rsidRPr="7F336052" w:rsidR="1CF84CFC">
        <w:rPr>
          <w:sz w:val="24"/>
          <w:szCs w:val="24"/>
        </w:rPr>
        <w:t xml:space="preserve">, </w:t>
      </w:r>
      <w:r w:rsidR="006D6114">
        <w:rPr>
          <w:sz w:val="24"/>
          <w:szCs w:val="24"/>
        </w:rPr>
        <w:t>52</w:t>
      </w:r>
      <w:r w:rsidRPr="7F336052" w:rsidR="1CF84CFC">
        <w:rPr>
          <w:sz w:val="24"/>
          <w:szCs w:val="24"/>
        </w:rPr>
        <w:t xml:space="preserve"> each for the Application Interview, Scoping and Design Interview, and Post-Construction Interview</w:t>
      </w:r>
      <w:r w:rsidR="001B523C">
        <w:rPr>
          <w:sz w:val="24"/>
          <w:szCs w:val="24"/>
        </w:rPr>
        <w:t xml:space="preserve"> (including consenting)</w:t>
      </w:r>
      <w:r w:rsidRPr="7F336052" w:rsidR="212CDC76">
        <w:rPr>
          <w:sz w:val="24"/>
          <w:szCs w:val="24"/>
        </w:rPr>
        <w:t xml:space="preserve">, </w:t>
      </w:r>
      <w:r w:rsidRPr="7F336052" w:rsidR="2C94A60B">
        <w:rPr>
          <w:sz w:val="24"/>
          <w:szCs w:val="24"/>
        </w:rPr>
        <w:t>and</w:t>
      </w:r>
      <w:r w:rsidRPr="7F336052" w:rsidR="5749EA9B">
        <w:rPr>
          <w:sz w:val="24"/>
          <w:szCs w:val="24"/>
        </w:rPr>
        <w:t xml:space="preserve"> 775</w:t>
      </w:r>
      <w:r w:rsidRPr="7F336052" w:rsidR="3F5BE4B5">
        <w:rPr>
          <w:sz w:val="24"/>
          <w:szCs w:val="24"/>
        </w:rPr>
        <w:t xml:space="preserve"> for the Energy Efficiency Survey, </w:t>
      </w:r>
      <w:r w:rsidRPr="7F336052" w:rsidR="212CDC76">
        <w:rPr>
          <w:sz w:val="24"/>
          <w:szCs w:val="24"/>
        </w:rPr>
        <w:t xml:space="preserve">or </w:t>
      </w:r>
      <w:r w:rsidRPr="7F336052" w:rsidR="45CCE268">
        <w:rPr>
          <w:sz w:val="24"/>
          <w:szCs w:val="24"/>
        </w:rPr>
        <w:t>2</w:t>
      </w:r>
      <w:r w:rsidRPr="7F336052" w:rsidR="5065F1E7">
        <w:rPr>
          <w:sz w:val="24"/>
          <w:szCs w:val="24"/>
        </w:rPr>
        <w:t>4</w:t>
      </w:r>
      <w:r w:rsidR="001B523C">
        <w:rPr>
          <w:sz w:val="24"/>
          <w:szCs w:val="24"/>
        </w:rPr>
        <w:t>34</w:t>
      </w:r>
      <w:r w:rsidRPr="7F336052" w:rsidR="212CDC76">
        <w:rPr>
          <w:sz w:val="24"/>
          <w:szCs w:val="24"/>
        </w:rPr>
        <w:t xml:space="preserve"> in total</w:t>
      </w:r>
      <w:r w:rsidRPr="7F336052" w:rsidR="1F35C1F2">
        <w:rPr>
          <w:sz w:val="24"/>
          <w:szCs w:val="24"/>
        </w:rPr>
        <w:t>.</w:t>
      </w:r>
      <w:r w:rsidRPr="7F336052" w:rsidR="6E0AD4FF">
        <w:rPr>
          <w:sz w:val="24"/>
          <w:szCs w:val="24"/>
        </w:rPr>
        <w:t xml:space="preserve"> </w:t>
      </w:r>
      <w:r w:rsidRPr="7F336052" w:rsidR="20B95686">
        <w:rPr>
          <w:sz w:val="24"/>
          <w:szCs w:val="24"/>
        </w:rPr>
        <w:t>Variance in time burden</w:t>
      </w:r>
      <w:r w:rsidRPr="7F336052" w:rsidR="537AA513">
        <w:rPr>
          <w:sz w:val="24"/>
          <w:szCs w:val="24"/>
        </w:rPr>
        <w:t xml:space="preserve"> for the Energy Efficiency Survey</w:t>
      </w:r>
      <w:r w:rsidRPr="7F336052" w:rsidR="20B95686">
        <w:rPr>
          <w:sz w:val="24"/>
          <w:szCs w:val="24"/>
        </w:rPr>
        <w:t xml:space="preserve"> will depend on the size of portfolios</w:t>
      </w:r>
      <w:r w:rsidRPr="7F336052" w:rsidR="3DE74A23">
        <w:rPr>
          <w:sz w:val="24"/>
          <w:szCs w:val="24"/>
        </w:rPr>
        <w:t>. I</w:t>
      </w:r>
      <w:r w:rsidRPr="7F336052" w:rsidR="20B95686">
        <w:rPr>
          <w:sz w:val="24"/>
          <w:szCs w:val="24"/>
        </w:rPr>
        <w:t xml:space="preserve">f collection is anticipated to be unusually long, such as for entities with dozens of properties, responses may be broken up and completed at different times or managed by different management agents. It is unlikely that the time burden will be borne by one person </w:t>
      </w:r>
      <w:r w:rsidRPr="7F336052" w:rsidR="3DE74A23">
        <w:rPr>
          <w:sz w:val="24"/>
          <w:szCs w:val="24"/>
        </w:rPr>
        <w:t>for</w:t>
      </w:r>
      <w:r w:rsidRPr="7F336052" w:rsidR="20B95686">
        <w:rPr>
          <w:sz w:val="24"/>
          <w:szCs w:val="24"/>
        </w:rPr>
        <w:t xml:space="preserve"> entities of this size. </w:t>
      </w:r>
    </w:p>
    <w:p w:rsidR="00FB6217" w:rsidRPr="00BA4B02" w:rsidP="36573586" w14:paraId="166361E6" w14:textId="5FFBF156">
      <w:pPr>
        <w:pStyle w:val="BodyText"/>
        <w:numPr>
          <w:ilvl w:val="0"/>
          <w:numId w:val="1"/>
        </w:numPr>
        <w:spacing w:after="80" w:line="259" w:lineRule="auto"/>
        <w:ind w:left="360"/>
        <w:rPr>
          <w:sz w:val="24"/>
          <w:szCs w:val="24"/>
        </w:rPr>
      </w:pPr>
      <w:r w:rsidRPr="7F336052">
        <w:rPr>
          <w:color w:val="000000" w:themeColor="text1"/>
          <w:sz w:val="24"/>
          <w:szCs w:val="24"/>
        </w:rPr>
        <w:t xml:space="preserve">The total estimated cost for this information collection is </w:t>
      </w:r>
      <w:r w:rsidRPr="7F336052" w:rsidR="726C807E">
        <w:rPr>
          <w:color w:val="000000" w:themeColor="text1"/>
          <w:sz w:val="24"/>
          <w:szCs w:val="24"/>
        </w:rPr>
        <w:t>$</w:t>
      </w:r>
      <w:r w:rsidRPr="7F336052" w:rsidR="296EEA03">
        <w:rPr>
          <w:color w:val="000000" w:themeColor="text1"/>
          <w:sz w:val="24"/>
          <w:szCs w:val="24"/>
        </w:rPr>
        <w:t>19</w:t>
      </w:r>
      <w:r w:rsidR="00367784">
        <w:rPr>
          <w:color w:val="000000" w:themeColor="text1"/>
          <w:sz w:val="24"/>
          <w:szCs w:val="24"/>
        </w:rPr>
        <w:t>7,057</w:t>
      </w:r>
      <w:r w:rsidRPr="7F336052">
        <w:rPr>
          <w:color w:val="000000" w:themeColor="text1"/>
          <w:sz w:val="24"/>
          <w:szCs w:val="24"/>
        </w:rPr>
        <w:t xml:space="preserve">. </w:t>
      </w:r>
      <w:bookmarkStart w:id="0" w:name="_Hlk146703705"/>
      <w:r w:rsidRPr="7F336052">
        <w:rPr>
          <w:color w:val="000000" w:themeColor="text1"/>
          <w:sz w:val="24"/>
          <w:szCs w:val="24"/>
        </w:rPr>
        <w:t xml:space="preserve">To estimate the hourly cost per respondent, HUD used the average hourly compensation (wages and benefits) of </w:t>
      </w:r>
      <w:r w:rsidRPr="7F336052">
        <w:rPr>
          <w:sz w:val="24"/>
          <w:szCs w:val="24"/>
        </w:rPr>
        <w:t xml:space="preserve">private workers who are in management, business, and financial occupations, </w:t>
      </w:r>
      <w:r w:rsidRPr="7F336052">
        <w:rPr>
          <w:color w:val="000000" w:themeColor="text1"/>
          <w:sz w:val="24"/>
          <w:szCs w:val="24"/>
        </w:rPr>
        <w:t>a</w:t>
      </w:r>
      <w:r w:rsidRPr="7F336052">
        <w:rPr>
          <w:sz w:val="24"/>
          <w:szCs w:val="24"/>
        </w:rPr>
        <w:t xml:space="preserve">ccording to the U.S. Bureau of Labor Statistics’ Employer Costs for Employee Compensation Survey from June 2023 </w:t>
      </w:r>
      <w:r w:rsidRPr="7F336052">
        <w:rPr>
          <w:color w:val="000000" w:themeColor="text1"/>
          <w:sz w:val="24"/>
          <w:szCs w:val="24"/>
        </w:rPr>
        <w:t>(</w:t>
      </w:r>
      <w:hyperlink r:id="rId10">
        <w:r w:rsidRPr="7F336052">
          <w:rPr>
            <w:rStyle w:val="Hyperlink"/>
            <w:sz w:val="24"/>
            <w:szCs w:val="24"/>
          </w:rPr>
          <w:t>https://www.bls.gov/news.release/pdf/ecec.pdf</w:t>
        </w:r>
      </w:hyperlink>
      <w:r w:rsidRPr="7F336052">
        <w:rPr>
          <w:color w:val="000000" w:themeColor="text1"/>
          <w:sz w:val="24"/>
          <w:szCs w:val="24"/>
        </w:rPr>
        <w:t>)</w:t>
      </w:r>
      <w:r w:rsidRPr="7F336052">
        <w:rPr>
          <w:sz w:val="24"/>
          <w:szCs w:val="24"/>
        </w:rPr>
        <w:t>.</w:t>
      </w:r>
    </w:p>
    <w:bookmarkEnd w:id="0"/>
    <w:p w:rsidR="00BC50C0" w:rsidRPr="006C7FAE" w:rsidP="007957C0" w14:paraId="4CC0F1E1" w14:textId="73D22EA3">
      <w:pPr>
        <w:pStyle w:val="BodyText"/>
        <w:keepLines/>
        <w:spacing w:after="0" w:line="240" w:lineRule="auto"/>
        <w:ind w:left="684"/>
        <w:rPr>
          <w:sz w:val="24"/>
          <w:szCs w:val="24"/>
        </w:rPr>
      </w:pPr>
    </w:p>
    <w:p w:rsidR="00FB7C8D" w:rsidRPr="00FB7C8D" w:rsidP="007905DF" w14:paraId="3C3D8CEA" w14:textId="40B5B6FB">
      <w:pPr>
        <w:keepNext/>
        <w:keepLines/>
        <w:tabs>
          <w:tab w:val="left" w:pos="360"/>
          <w:tab w:val="left" w:pos="720"/>
          <w:tab w:val="center" w:pos="1680"/>
          <w:tab w:val="center" w:pos="3120"/>
          <w:tab w:val="center" w:pos="4560"/>
          <w:tab w:val="center" w:pos="6000"/>
          <w:tab w:val="center" w:pos="7440"/>
          <w:tab w:val="center" w:pos="8880"/>
        </w:tabs>
        <w:spacing w:after="240"/>
        <w:ind w:left="360"/>
        <w:jc w:val="center"/>
        <w:rPr>
          <w:b/>
          <w:bCs/>
          <w:sz w:val="24"/>
          <w:szCs w:val="24"/>
        </w:rPr>
      </w:pPr>
      <w:r w:rsidRPr="1D796DB3">
        <w:rPr>
          <w:b/>
          <w:bCs/>
          <w:sz w:val="24"/>
          <w:szCs w:val="24"/>
        </w:rPr>
        <w:t>Table 1.</w:t>
      </w:r>
      <w:r w:rsidRPr="1D796DB3" w:rsidR="002D2D34">
        <w:rPr>
          <w:b/>
          <w:bCs/>
          <w:sz w:val="24"/>
          <w:szCs w:val="24"/>
        </w:rPr>
        <w:t xml:space="preserve"> </w:t>
      </w:r>
      <w:r w:rsidRPr="1D796DB3">
        <w:rPr>
          <w:b/>
          <w:bCs/>
          <w:sz w:val="24"/>
          <w:szCs w:val="24"/>
        </w:rPr>
        <w:t>Hour Burden Estimates for Information Collection</w:t>
      </w:r>
      <w:r>
        <w:rPr>
          <w:rStyle w:val="FootnoteReference"/>
          <w:b/>
          <w:bCs/>
          <w:sz w:val="24"/>
          <w:szCs w:val="24"/>
        </w:rPr>
        <w:footnoteReference w:id="3"/>
      </w:r>
    </w:p>
    <w:tbl>
      <w:tblPr>
        <w:tblW w:w="9802" w:type="dxa"/>
        <w:tblBorders>
          <w:top w:val="single" w:sz="6" w:space="0" w:color="auto"/>
          <w:left w:val="single" w:sz="6" w:space="0" w:color="auto"/>
          <w:bottom w:val="single" w:sz="6" w:space="0" w:color="auto"/>
          <w:right w:val="single" w:sz="6" w:space="0" w:color="auto"/>
        </w:tblBorders>
        <w:tblLayout w:type="fixed"/>
        <w:tblLook w:val="04A0"/>
      </w:tblPr>
      <w:tblGrid>
        <w:gridCol w:w="1530"/>
        <w:gridCol w:w="1350"/>
        <w:gridCol w:w="1252"/>
        <w:gridCol w:w="1260"/>
        <w:gridCol w:w="1080"/>
        <w:gridCol w:w="900"/>
        <w:gridCol w:w="1170"/>
        <w:gridCol w:w="1260"/>
      </w:tblGrid>
      <w:tr w14:paraId="5906715A" w14:textId="77777777" w:rsidTr="0063133F">
        <w:tblPrEx>
          <w:tblW w:w="9802" w:type="dxa"/>
          <w:tblBorders>
            <w:top w:val="single" w:sz="6" w:space="0" w:color="auto"/>
            <w:left w:val="single" w:sz="6" w:space="0" w:color="auto"/>
            <w:bottom w:val="single" w:sz="6" w:space="0" w:color="auto"/>
            <w:right w:val="single" w:sz="6" w:space="0" w:color="auto"/>
          </w:tblBorders>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00EF11EF" w14:textId="35EB7DBE">
            <w:pPr>
              <w:jc w:val="center"/>
              <w:rPr>
                <w:color w:val="000000" w:themeColor="text1"/>
              </w:rPr>
            </w:pPr>
            <w:r w:rsidRPr="1D796DB3">
              <w:rPr>
                <w:b/>
                <w:bCs/>
                <w:color w:val="000000" w:themeColor="text1"/>
              </w:rPr>
              <w:t>Information Collection</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33C5EF00" w14:textId="1DABD605">
            <w:pPr>
              <w:jc w:val="center"/>
              <w:rPr>
                <w:color w:val="000000" w:themeColor="text1"/>
              </w:rPr>
            </w:pPr>
            <w:r w:rsidRPr="1D796DB3">
              <w:rPr>
                <w:b/>
                <w:bCs/>
                <w:color w:val="000000" w:themeColor="text1"/>
              </w:rPr>
              <w:t>Number of Respondents</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614D66BE" w14:textId="2B87B052">
            <w:pPr>
              <w:jc w:val="center"/>
              <w:rPr>
                <w:color w:val="000000" w:themeColor="text1"/>
              </w:rPr>
            </w:pPr>
            <w:r w:rsidRPr="1D796DB3">
              <w:rPr>
                <w:b/>
                <w:bCs/>
                <w:color w:val="000000" w:themeColor="text1"/>
              </w:rPr>
              <w:t>Frequency of Response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09E89115" w14:textId="7C3BF329">
            <w:pPr>
              <w:jc w:val="center"/>
              <w:rPr>
                <w:color w:val="000000" w:themeColor="text1"/>
              </w:rPr>
            </w:pPr>
            <w:r w:rsidRPr="1D796DB3">
              <w:rPr>
                <w:b/>
                <w:bCs/>
                <w:color w:val="000000" w:themeColor="text1"/>
              </w:rPr>
              <w:t>Responses</w:t>
            </w:r>
          </w:p>
          <w:p w:rsidR="000547E8" w:rsidP="1D796DB3" w14:paraId="5F7BC83C" w14:textId="390559A0">
            <w:pPr>
              <w:jc w:val="center"/>
              <w:rPr>
                <w:color w:val="000000" w:themeColor="text1"/>
              </w:rPr>
            </w:pPr>
            <w:r w:rsidRPr="1D796DB3">
              <w:rPr>
                <w:b/>
                <w:bCs/>
                <w:color w:val="000000" w:themeColor="text1"/>
              </w:rPr>
              <w:t>Per Annum</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4EFD863E" w14:textId="2F3C0984">
            <w:pPr>
              <w:jc w:val="center"/>
              <w:rPr>
                <w:color w:val="000000" w:themeColor="text1"/>
              </w:rPr>
            </w:pPr>
            <w:r w:rsidRPr="1D796DB3">
              <w:rPr>
                <w:b/>
                <w:bCs/>
                <w:color w:val="000000" w:themeColor="text1"/>
              </w:rPr>
              <w:t>Burden Hour Per Response</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139A7BC5" w14:textId="53CC2DBE">
            <w:pPr>
              <w:jc w:val="center"/>
              <w:rPr>
                <w:color w:val="000000" w:themeColor="text1"/>
              </w:rPr>
            </w:pPr>
            <w:r w:rsidRPr="1D796DB3">
              <w:rPr>
                <w:b/>
                <w:bCs/>
                <w:color w:val="000000" w:themeColor="text1"/>
              </w:rPr>
              <w:t>Annual Burden Hours</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5803BF80" w14:textId="6EF66E6E">
            <w:pPr>
              <w:jc w:val="center"/>
              <w:rPr>
                <w:color w:val="000000" w:themeColor="text1"/>
              </w:rPr>
            </w:pPr>
            <w:r w:rsidRPr="1D796DB3">
              <w:rPr>
                <w:b/>
                <w:bCs/>
                <w:color w:val="000000" w:themeColor="text1"/>
              </w:rPr>
              <w:t>Hourly Cost Per Response</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1D796DB3" w14:paraId="46B22E9D" w14:textId="1A303C2A">
            <w:pPr>
              <w:jc w:val="center"/>
              <w:rPr>
                <w:color w:val="000000" w:themeColor="text1"/>
              </w:rPr>
            </w:pPr>
            <w:r w:rsidRPr="1D796DB3">
              <w:rPr>
                <w:b/>
                <w:bCs/>
                <w:color w:val="000000" w:themeColor="text1"/>
              </w:rPr>
              <w:t>Annual Cost</w:t>
            </w:r>
          </w:p>
          <w:p w:rsidR="000547E8" w:rsidP="1D796DB3" w14:paraId="3F802856" w14:textId="7A887010">
            <w:pPr>
              <w:jc w:val="center"/>
              <w:rPr>
                <w:color w:val="000000" w:themeColor="text1"/>
              </w:rPr>
            </w:pPr>
          </w:p>
        </w:tc>
      </w:tr>
      <w:tr w14:paraId="648D28A1" w14:textId="77777777" w:rsidTr="0063133F">
        <w:tblPrEx>
          <w:tblW w:w="9802" w:type="dxa"/>
          <w:tblLayout w:type="fixed"/>
          <w:tblLook w:val="04A0"/>
        </w:tblPrEx>
        <w:trPr>
          <w:trHeight w:val="48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7502170A" w14:textId="1155F00F">
            <w:pPr>
              <w:jc w:val="center"/>
              <w:rPr>
                <w:color w:val="000000" w:themeColor="text1"/>
              </w:rPr>
            </w:pPr>
            <w:r>
              <w:rPr>
                <w:rFonts w:eastAsia="Calibri"/>
                <w:bCs/>
              </w:rPr>
              <w:t>Appendix A: Outreach Materials</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6C3ACBC6" w14:textId="09BF4BE4">
            <w:pPr>
              <w:jc w:val="center"/>
              <w:rPr>
                <w:color w:val="000000" w:themeColor="text1"/>
              </w:rPr>
            </w:pPr>
            <w:r>
              <w:rPr>
                <w:rFonts w:eastAsia="Calibri"/>
              </w:rPr>
              <w:t>900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26A84F8F" w14:textId="46623430">
            <w:pPr>
              <w:jc w:val="center"/>
              <w:rPr>
                <w:color w:val="000000" w:themeColor="text1"/>
              </w:rPr>
            </w:pPr>
            <w:r>
              <w:rPr>
                <w:rFonts w:eastAsia="Calibri"/>
                <w:bCs/>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2200F8B1" w14:textId="3E6E475D">
            <w:pPr>
              <w:jc w:val="center"/>
              <w:rPr>
                <w:color w:val="000000" w:themeColor="text1"/>
              </w:rPr>
            </w:pPr>
            <w:r>
              <w:rPr>
                <w:rFonts w:eastAsia="Calibri"/>
                <w:bCs/>
              </w:rPr>
              <w:t>900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1A516CAE" w14:textId="5A5BA833">
            <w:pPr>
              <w:jc w:val="center"/>
              <w:rPr>
                <w:color w:val="000000" w:themeColor="text1"/>
              </w:rPr>
            </w:pPr>
            <w:r>
              <w:rPr>
                <w:rFonts w:eastAsia="Calibri"/>
              </w:rPr>
              <w:t>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40C30289" w14:textId="77F33C18">
            <w:pPr>
              <w:jc w:val="center"/>
              <w:rPr>
                <w:color w:val="000000" w:themeColor="text1"/>
              </w:rPr>
            </w:pPr>
            <w:r>
              <w:rPr>
                <w:rFonts w:eastAsia="Calibri"/>
              </w:rPr>
              <w:t>153</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14452BDF" w14:textId="286E516D">
            <w:pPr>
              <w:jc w:val="center"/>
              <w:rPr>
                <w:color w:val="000000" w:themeColor="text1"/>
              </w:rPr>
            </w:pPr>
            <w:r>
              <w:rPr>
                <w:rFonts w:eastAsia="Calibri"/>
                <w:bCs/>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3CB0C548" w14:textId="52C5EC04">
            <w:pPr>
              <w:jc w:val="center"/>
              <w:rPr>
                <w:color w:val="000000" w:themeColor="text1"/>
              </w:rPr>
            </w:pPr>
            <w:r>
              <w:rPr>
                <w:rFonts w:eastAsia="Calibri"/>
                <w:color w:val="000000" w:themeColor="text1"/>
              </w:rPr>
              <w:t>$12,387</w:t>
            </w:r>
          </w:p>
        </w:tc>
      </w:tr>
      <w:tr w14:paraId="4212EC5D"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30AFCB5" w14:textId="0D0FC88F">
            <w:pPr>
              <w:jc w:val="center"/>
              <w:rPr>
                <w:color w:val="000000" w:themeColor="text1"/>
              </w:rPr>
            </w:pPr>
            <w:r>
              <w:rPr>
                <w:color w:val="000000" w:themeColor="text1"/>
              </w:rPr>
              <w:t xml:space="preserve">Appendix B: </w:t>
            </w:r>
            <w:r w:rsidRPr="1D796DB3">
              <w:rPr>
                <w:color w:val="000000" w:themeColor="text1"/>
              </w:rPr>
              <w:t xml:space="preserve">GRRP Application </w:t>
            </w:r>
            <w:r w:rsidR="00C3319E">
              <w:rPr>
                <w:color w:val="000000" w:themeColor="text1"/>
              </w:rPr>
              <w:t xml:space="preserve">Consent Form and </w:t>
            </w:r>
            <w:r w:rsidRPr="1D796DB3">
              <w:rPr>
                <w:color w:val="000000" w:themeColor="text1"/>
              </w:rPr>
              <w:t>Survey</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1FED77E" w14:textId="1786785A">
            <w:pPr>
              <w:jc w:val="center"/>
              <w:rPr>
                <w:color w:val="000000" w:themeColor="text1"/>
              </w:rPr>
            </w:pPr>
            <w:r w:rsidRPr="1D796DB3">
              <w:rPr>
                <w:color w:val="000000" w:themeColor="text1"/>
              </w:rPr>
              <w:t>900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60EC377" w14:textId="198C8500">
            <w:pPr>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9770DBA" w14:textId="4DC1F200">
            <w:pPr>
              <w:jc w:val="center"/>
              <w:rPr>
                <w:color w:val="000000" w:themeColor="text1"/>
              </w:rPr>
            </w:pPr>
            <w:r>
              <w:rPr>
                <w:color w:val="000000" w:themeColor="text1"/>
              </w:rPr>
              <w:t>900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5491EEBD" w14:textId="1F7C7600">
            <w:pPr>
              <w:jc w:val="center"/>
              <w:rPr>
                <w:color w:val="000000" w:themeColor="text1"/>
              </w:rPr>
            </w:pPr>
            <w:r w:rsidRPr="449E4B59">
              <w:rPr>
                <w:color w:val="000000" w:themeColor="text1"/>
              </w:rPr>
              <w:t>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0104D85" w14:textId="74D68AF7">
            <w:pPr>
              <w:jc w:val="center"/>
              <w:rPr>
                <w:color w:val="000000" w:themeColor="text1"/>
              </w:rPr>
            </w:pPr>
            <w:r>
              <w:rPr>
                <w:color w:val="000000" w:themeColor="text1"/>
              </w:rPr>
              <w:t>675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A660A2D" w14:textId="593D40BB">
            <w:pPr>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8A67308" w14:textId="52FC6303">
            <w:pPr>
              <w:jc w:val="center"/>
              <w:rPr>
                <w:color w:val="000000" w:themeColor="text1"/>
              </w:rPr>
            </w:pPr>
            <w:r w:rsidRPr="1D796DB3">
              <w:rPr>
                <w:color w:val="000000" w:themeColor="text1"/>
              </w:rPr>
              <w:t>$</w:t>
            </w:r>
            <w:r>
              <w:rPr>
                <w:color w:val="000000" w:themeColor="text1"/>
              </w:rPr>
              <w:t>54,648</w:t>
            </w:r>
          </w:p>
        </w:tc>
      </w:tr>
      <w:tr w14:paraId="0E758B2B"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BCD0201" w14:textId="07A4D2D4">
            <w:pPr>
              <w:jc w:val="center"/>
              <w:rPr>
                <w:color w:val="000000" w:themeColor="text1"/>
              </w:rPr>
            </w:pPr>
            <w:r>
              <w:rPr>
                <w:color w:val="000000" w:themeColor="text1"/>
              </w:rPr>
              <w:t xml:space="preserve">Appendix C: </w:t>
            </w:r>
            <w:r w:rsidRPr="1D796DB3">
              <w:rPr>
                <w:color w:val="000000" w:themeColor="text1"/>
              </w:rPr>
              <w:t xml:space="preserve">GRRP Scoping and Design </w:t>
            </w:r>
            <w:r w:rsidR="00C3319E">
              <w:rPr>
                <w:color w:val="000000" w:themeColor="text1"/>
              </w:rPr>
              <w:t xml:space="preserve">Consent Form and </w:t>
            </w:r>
            <w:r w:rsidRPr="1D796DB3">
              <w:rPr>
                <w:color w:val="000000" w:themeColor="text1"/>
              </w:rPr>
              <w:t>Survey</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CAA9940" w14:textId="7E6FA84D">
            <w:pPr>
              <w:jc w:val="center"/>
              <w:rPr>
                <w:color w:val="000000" w:themeColor="text1"/>
              </w:rPr>
            </w:pPr>
            <w:r w:rsidRPr="1D796DB3">
              <w:rPr>
                <w:color w:val="000000" w:themeColor="text1"/>
              </w:rPr>
              <w:t>450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4ED5ACB" w14:textId="453F1441">
            <w:pPr>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5107470" w14:textId="4E81458B">
            <w:pPr>
              <w:jc w:val="center"/>
              <w:rPr>
                <w:color w:val="000000" w:themeColor="text1"/>
              </w:rPr>
            </w:pPr>
            <w:r>
              <w:rPr>
                <w:color w:val="000000" w:themeColor="text1"/>
              </w:rPr>
              <w:t>450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92FF298" w14:textId="70B64736">
            <w:pPr>
              <w:jc w:val="center"/>
              <w:rPr>
                <w:color w:val="000000" w:themeColor="text1"/>
              </w:rPr>
            </w:pPr>
            <w:r w:rsidRPr="1D796DB3">
              <w:rPr>
                <w:color w:val="000000" w:themeColor="text1"/>
              </w:rPr>
              <w:t>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E6E8BAC" w14:textId="3C66338B">
            <w:pPr>
              <w:jc w:val="center"/>
              <w:rPr>
                <w:color w:val="000000" w:themeColor="text1"/>
              </w:rPr>
            </w:pPr>
            <w:r w:rsidRPr="1D796DB3">
              <w:rPr>
                <w:color w:val="000000" w:themeColor="text1"/>
              </w:rPr>
              <w:t>337.5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0D8C2BF" w14:textId="66FCB9FC">
            <w:pPr>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FCFD271" w14:textId="2A187740">
            <w:pPr>
              <w:jc w:val="center"/>
              <w:rPr>
                <w:color w:val="000000" w:themeColor="text1"/>
              </w:rPr>
            </w:pPr>
            <w:r w:rsidRPr="1D796DB3">
              <w:rPr>
                <w:color w:val="000000" w:themeColor="text1"/>
              </w:rPr>
              <w:t>$27,324</w:t>
            </w:r>
          </w:p>
        </w:tc>
      </w:tr>
      <w:tr w14:paraId="150F1CB3"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8D5CF2F" w14:textId="027F5C03">
            <w:pPr>
              <w:jc w:val="center"/>
              <w:rPr>
                <w:color w:val="000000" w:themeColor="text1"/>
              </w:rPr>
            </w:pPr>
            <w:r>
              <w:rPr>
                <w:color w:val="000000" w:themeColor="text1"/>
              </w:rPr>
              <w:t xml:space="preserve">Appendix D: </w:t>
            </w:r>
            <w:r w:rsidRPr="1D796DB3">
              <w:rPr>
                <w:color w:val="000000" w:themeColor="text1"/>
              </w:rPr>
              <w:t xml:space="preserve">GRRP Post-Construction </w:t>
            </w:r>
            <w:r w:rsidR="00C3319E">
              <w:rPr>
                <w:color w:val="000000" w:themeColor="text1"/>
              </w:rPr>
              <w:t xml:space="preserve">Consent Form and </w:t>
            </w:r>
            <w:r w:rsidRPr="1D796DB3">
              <w:rPr>
                <w:color w:val="000000" w:themeColor="text1"/>
              </w:rPr>
              <w:t>Survey</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0A379A2" w14:textId="4AA753C0">
            <w:pPr>
              <w:jc w:val="center"/>
              <w:rPr>
                <w:color w:val="000000" w:themeColor="text1"/>
              </w:rPr>
            </w:pPr>
            <w:r w:rsidRPr="1D796DB3">
              <w:rPr>
                <w:color w:val="000000" w:themeColor="text1"/>
              </w:rPr>
              <w:t>450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7D2FE80" w14:textId="409594F9">
            <w:pPr>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E68071B" w14:textId="25EF20F7">
            <w:pPr>
              <w:jc w:val="center"/>
              <w:rPr>
                <w:color w:val="000000" w:themeColor="text1"/>
              </w:rPr>
            </w:pPr>
            <w:r>
              <w:rPr>
                <w:color w:val="000000" w:themeColor="text1"/>
              </w:rPr>
              <w:t>450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1145D02" w14:textId="45B185F6">
            <w:pPr>
              <w:jc w:val="center"/>
              <w:rPr>
                <w:color w:val="000000" w:themeColor="text1"/>
              </w:rPr>
            </w:pPr>
            <w:r w:rsidRPr="1D796DB3">
              <w:rPr>
                <w:color w:val="000000" w:themeColor="text1"/>
              </w:rPr>
              <w:t>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4E203E5" w14:textId="6FA736B6">
            <w:pPr>
              <w:jc w:val="center"/>
              <w:rPr>
                <w:color w:val="000000" w:themeColor="text1"/>
              </w:rPr>
            </w:pPr>
            <w:r w:rsidRPr="1D796DB3">
              <w:rPr>
                <w:color w:val="000000" w:themeColor="text1"/>
              </w:rPr>
              <w:t>337.5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42A0DEF" w14:textId="0FFD1381">
            <w:pPr>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2AF1DF9" w14:textId="31450105">
            <w:pPr>
              <w:jc w:val="center"/>
              <w:rPr>
                <w:color w:val="000000" w:themeColor="text1"/>
              </w:rPr>
            </w:pPr>
            <w:r w:rsidRPr="1D796DB3">
              <w:rPr>
                <w:color w:val="000000" w:themeColor="text1"/>
              </w:rPr>
              <w:t>$27,324</w:t>
            </w:r>
          </w:p>
        </w:tc>
      </w:tr>
      <w:tr w14:paraId="62DD57F3" w14:textId="77777777" w:rsidTr="0063133F">
        <w:tblPrEx>
          <w:tblW w:w="9802" w:type="dxa"/>
          <w:tblLayout w:type="fixed"/>
          <w:tblLook w:val="04A0"/>
        </w:tblPrEx>
        <w:trPr>
          <w:trHeight w:val="69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5C0F3717" w14:textId="1F68EBA6">
            <w:pPr>
              <w:jc w:val="center"/>
              <w:rPr>
                <w:color w:val="000000" w:themeColor="text1"/>
              </w:rPr>
            </w:pPr>
            <w:r>
              <w:rPr>
                <w:color w:val="000000" w:themeColor="text1"/>
              </w:rPr>
              <w:t xml:space="preserve">Appendix E: </w:t>
            </w:r>
            <w:r w:rsidRPr="1D796DB3">
              <w:rPr>
                <w:color w:val="000000" w:themeColor="text1"/>
              </w:rPr>
              <w:t xml:space="preserve">GRRP Application </w:t>
            </w:r>
            <w:r w:rsidR="007A4FA4">
              <w:rPr>
                <w:color w:val="000000" w:themeColor="text1"/>
              </w:rPr>
              <w:t xml:space="preserve">Consent Form and </w:t>
            </w:r>
            <w:r w:rsidRPr="1D796DB3">
              <w:rPr>
                <w:color w:val="000000" w:themeColor="text1"/>
              </w:rPr>
              <w:t>Interview</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20B4F95" w14:textId="13782A23">
            <w:pPr>
              <w:spacing w:after="200"/>
              <w:jc w:val="center"/>
              <w:rPr>
                <w:color w:val="000000" w:themeColor="text1"/>
              </w:rPr>
            </w:pPr>
            <w:r w:rsidRPr="1D796DB3">
              <w:rPr>
                <w:color w:val="000000" w:themeColor="text1"/>
              </w:rPr>
              <w:t>40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C3DD08A" w14:textId="6E16D609">
            <w:pPr>
              <w:spacing w:after="200"/>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F9DC486" w14:textId="13754251">
            <w:pPr>
              <w:spacing w:after="200"/>
              <w:jc w:val="center"/>
              <w:rPr>
                <w:color w:val="000000" w:themeColor="text1"/>
              </w:rPr>
            </w:pPr>
            <w:r>
              <w:rPr>
                <w:color w:val="000000" w:themeColor="text1"/>
              </w:rPr>
              <w:t>40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A8A9E20" w14:textId="5C251C67">
            <w:pPr>
              <w:spacing w:after="200"/>
              <w:jc w:val="center"/>
              <w:rPr>
                <w:color w:val="000000" w:themeColor="text1"/>
              </w:rPr>
            </w:pPr>
            <w:r w:rsidRPr="449E4B59">
              <w:rPr>
                <w:color w:val="000000" w:themeColor="text1"/>
              </w:rPr>
              <w:t>1.</w:t>
            </w:r>
            <w:r>
              <w:rPr>
                <w:color w:val="000000" w:themeColor="text1"/>
              </w:rPr>
              <w:t>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BB3D584" w14:textId="5B13797A">
            <w:pPr>
              <w:spacing w:after="200"/>
              <w:jc w:val="center"/>
              <w:rPr>
                <w:color w:val="000000" w:themeColor="text1"/>
              </w:rPr>
            </w:pPr>
            <w:r>
              <w:rPr>
                <w:color w:val="000000" w:themeColor="text1"/>
              </w:rPr>
              <w:t>52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52D6E31" w14:textId="5D781A31">
            <w:pPr>
              <w:spacing w:after="200"/>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07125E2" w14:textId="4C6D8C9F">
            <w:pPr>
              <w:spacing w:after="200"/>
              <w:jc w:val="center"/>
              <w:rPr>
                <w:color w:val="000000" w:themeColor="text1"/>
              </w:rPr>
            </w:pPr>
            <w:r>
              <w:rPr>
                <w:color w:val="000000" w:themeColor="text1"/>
              </w:rPr>
              <w:t>$4,210</w:t>
            </w:r>
          </w:p>
        </w:tc>
      </w:tr>
      <w:tr w14:paraId="4129266E"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211253E" w14:textId="1B9B8997">
            <w:pPr>
              <w:jc w:val="center"/>
              <w:rPr>
                <w:color w:val="000000" w:themeColor="text1"/>
              </w:rPr>
            </w:pPr>
            <w:r>
              <w:rPr>
                <w:color w:val="000000" w:themeColor="text1"/>
              </w:rPr>
              <w:t xml:space="preserve">Appendix F: </w:t>
            </w:r>
            <w:r w:rsidRPr="1D796DB3">
              <w:rPr>
                <w:color w:val="000000" w:themeColor="text1"/>
              </w:rPr>
              <w:t xml:space="preserve">GRRP Scoping and Design </w:t>
            </w:r>
            <w:r w:rsidR="00E128B8">
              <w:rPr>
                <w:color w:val="000000" w:themeColor="text1"/>
              </w:rPr>
              <w:t xml:space="preserve">Consent Form and </w:t>
            </w:r>
            <w:r w:rsidRPr="1D796DB3">
              <w:rPr>
                <w:color w:val="000000" w:themeColor="text1"/>
              </w:rPr>
              <w:t>Interview</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D37CC1C" w14:textId="7434D232">
            <w:pPr>
              <w:spacing w:after="200"/>
              <w:jc w:val="center"/>
              <w:rPr>
                <w:color w:val="000000" w:themeColor="text1"/>
              </w:rPr>
            </w:pPr>
            <w:r w:rsidRPr="1D796DB3">
              <w:rPr>
                <w:color w:val="000000" w:themeColor="text1"/>
              </w:rPr>
              <w:t>40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00E2B25" w14:textId="1C8C22D3">
            <w:pPr>
              <w:spacing w:after="200"/>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047FAAC" w14:textId="67AF3345">
            <w:pPr>
              <w:spacing w:after="200"/>
              <w:jc w:val="center"/>
              <w:rPr>
                <w:color w:val="000000" w:themeColor="text1"/>
              </w:rPr>
            </w:pPr>
            <w:r>
              <w:rPr>
                <w:color w:val="000000" w:themeColor="text1"/>
              </w:rPr>
              <w:t>40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7E16403D" w14:textId="4B04EB02">
            <w:pPr>
              <w:spacing w:after="200"/>
              <w:jc w:val="center"/>
              <w:rPr>
                <w:color w:val="000000" w:themeColor="text1"/>
              </w:rPr>
            </w:pPr>
            <w:r w:rsidRPr="1D796DB3">
              <w:rPr>
                <w:color w:val="000000" w:themeColor="text1"/>
              </w:rPr>
              <w:t>1.</w:t>
            </w:r>
            <w:r>
              <w:rPr>
                <w:color w:val="000000" w:themeColor="text1"/>
              </w:rPr>
              <w:t>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45FCDEF" w14:textId="29040088">
            <w:pPr>
              <w:spacing w:after="200"/>
              <w:jc w:val="center"/>
              <w:rPr>
                <w:color w:val="000000" w:themeColor="text1"/>
              </w:rPr>
            </w:pPr>
            <w:r>
              <w:rPr>
                <w:color w:val="000000" w:themeColor="text1"/>
              </w:rPr>
              <w:t>52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1DC645D" w14:textId="27DE8DFD">
            <w:pPr>
              <w:spacing w:after="200"/>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207A18D" w14:textId="2D226CF4">
            <w:pPr>
              <w:spacing w:after="200"/>
              <w:jc w:val="center"/>
              <w:rPr>
                <w:color w:val="000000" w:themeColor="text1"/>
              </w:rPr>
            </w:pPr>
            <w:r w:rsidRPr="1D796DB3">
              <w:rPr>
                <w:color w:val="000000" w:themeColor="text1"/>
              </w:rPr>
              <w:t>$</w:t>
            </w:r>
            <w:r>
              <w:rPr>
                <w:color w:val="000000" w:themeColor="text1"/>
              </w:rPr>
              <w:t>4,210</w:t>
            </w:r>
          </w:p>
        </w:tc>
      </w:tr>
      <w:tr w14:paraId="6078A287"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39BE2AE" w14:textId="065215BE">
            <w:pPr>
              <w:jc w:val="center"/>
              <w:rPr>
                <w:color w:val="000000" w:themeColor="text1"/>
              </w:rPr>
            </w:pPr>
            <w:r>
              <w:rPr>
                <w:color w:val="000000" w:themeColor="text1"/>
              </w:rPr>
              <w:t xml:space="preserve">Appendix G: </w:t>
            </w:r>
            <w:r w:rsidRPr="1D796DB3">
              <w:rPr>
                <w:color w:val="000000" w:themeColor="text1"/>
              </w:rPr>
              <w:t>GRRP Post-Construction</w:t>
            </w:r>
            <w:r w:rsidR="00E128B8">
              <w:rPr>
                <w:color w:val="000000" w:themeColor="text1"/>
              </w:rPr>
              <w:t xml:space="preserve"> Consent Form and</w:t>
            </w:r>
            <w:r w:rsidRPr="1D796DB3">
              <w:rPr>
                <w:color w:val="000000" w:themeColor="text1"/>
              </w:rPr>
              <w:t xml:space="preserve"> Interview</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5CA3F76D" w14:textId="59CF8188">
            <w:pPr>
              <w:spacing w:after="200"/>
              <w:jc w:val="center"/>
              <w:rPr>
                <w:color w:val="000000" w:themeColor="text1"/>
              </w:rPr>
            </w:pPr>
            <w:r w:rsidRPr="1D796DB3">
              <w:rPr>
                <w:color w:val="000000" w:themeColor="text1"/>
              </w:rPr>
              <w:t>40</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745EEB5" w14:textId="104F74D1">
            <w:pPr>
              <w:spacing w:after="200"/>
              <w:jc w:val="center"/>
              <w:rPr>
                <w:color w:val="000000" w:themeColor="text1"/>
              </w:rPr>
            </w:pPr>
            <w:r w:rsidRPr="1D796DB3">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8260E81" w14:textId="6AADFB14">
            <w:pPr>
              <w:spacing w:after="200"/>
              <w:jc w:val="center"/>
              <w:rPr>
                <w:color w:val="000000" w:themeColor="text1"/>
              </w:rPr>
            </w:pPr>
            <w:r>
              <w:rPr>
                <w:color w:val="000000" w:themeColor="text1"/>
              </w:rPr>
              <w:t>40</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B4C8594" w14:textId="41C04823">
            <w:pPr>
              <w:spacing w:after="200"/>
              <w:jc w:val="center"/>
              <w:rPr>
                <w:color w:val="000000" w:themeColor="text1"/>
              </w:rPr>
            </w:pPr>
            <w:r w:rsidRPr="1D796DB3">
              <w:rPr>
                <w:color w:val="000000" w:themeColor="text1"/>
              </w:rPr>
              <w:t>1.</w:t>
            </w:r>
            <w:r>
              <w:rPr>
                <w:color w:val="000000" w:themeColor="text1"/>
              </w:rPr>
              <w:t>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47CD14CF" w14:textId="64BC470B">
            <w:pPr>
              <w:spacing w:after="200"/>
              <w:jc w:val="center"/>
              <w:rPr>
                <w:color w:val="000000" w:themeColor="text1"/>
              </w:rPr>
            </w:pPr>
            <w:r>
              <w:rPr>
                <w:color w:val="000000" w:themeColor="text1"/>
              </w:rPr>
              <w:t>52</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358764DB" w14:textId="45473AB4">
            <w:pPr>
              <w:spacing w:after="200"/>
              <w:jc w:val="center"/>
              <w:rPr>
                <w:color w:val="000000" w:themeColor="text1"/>
              </w:rPr>
            </w:pPr>
            <w:r w:rsidRPr="1D796DB3">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7715CDA" w14:textId="0884A1DF">
            <w:pPr>
              <w:spacing w:after="200"/>
              <w:jc w:val="center"/>
              <w:rPr>
                <w:color w:val="000000" w:themeColor="text1"/>
              </w:rPr>
            </w:pPr>
            <w:r w:rsidRPr="1D796DB3">
              <w:rPr>
                <w:color w:val="000000" w:themeColor="text1"/>
              </w:rPr>
              <w:t>$</w:t>
            </w:r>
            <w:r>
              <w:rPr>
                <w:color w:val="000000" w:themeColor="text1"/>
              </w:rPr>
              <w:t>4,210</w:t>
            </w:r>
          </w:p>
        </w:tc>
      </w:tr>
      <w:tr w14:paraId="3935F202" w14:textId="77777777" w:rsidTr="0063133F">
        <w:tblPrEx>
          <w:tblW w:w="9802" w:type="dxa"/>
          <w:tblLayout w:type="fixed"/>
          <w:tblLook w:val="04A0"/>
        </w:tblPrEx>
        <w:trPr>
          <w:trHeight w:val="645"/>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05AD1031" w14:textId="498834F5">
            <w:pPr>
              <w:jc w:val="center"/>
              <w:rPr>
                <w:color w:val="000000" w:themeColor="text1"/>
              </w:rPr>
            </w:pPr>
            <w:r>
              <w:rPr>
                <w:color w:val="000000" w:themeColor="text1"/>
              </w:rPr>
              <w:t xml:space="preserve">Appendix </w:t>
            </w:r>
            <w:r w:rsidR="006B1638">
              <w:rPr>
                <w:color w:val="000000" w:themeColor="text1"/>
              </w:rPr>
              <w:t>J</w:t>
            </w:r>
            <w:r>
              <w:rPr>
                <w:color w:val="000000" w:themeColor="text1"/>
              </w:rPr>
              <w:t xml:space="preserve">: </w:t>
            </w:r>
            <w:r w:rsidRPr="7F336052">
              <w:rPr>
                <w:color w:val="000000" w:themeColor="text1"/>
              </w:rPr>
              <w:t>Energy Efficiency Survey</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5B52EE02" w14:textId="12D3CA91">
            <w:pPr>
              <w:spacing w:after="200"/>
              <w:jc w:val="center"/>
              <w:rPr>
                <w:color w:val="000000" w:themeColor="text1"/>
              </w:rPr>
            </w:pPr>
            <w:r w:rsidRPr="7F336052">
              <w:rPr>
                <w:color w:val="000000" w:themeColor="text1"/>
              </w:rPr>
              <w:t>2,347</w:t>
            </w: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1781A423" w14:textId="0CBC68CE">
            <w:pPr>
              <w:spacing w:after="200"/>
              <w:jc w:val="center"/>
              <w:rPr>
                <w:color w:val="000000" w:themeColor="text1"/>
              </w:rPr>
            </w:pPr>
            <w:r w:rsidRPr="7F336052">
              <w:rPr>
                <w:color w:val="000000" w:themeColor="text1"/>
              </w:rPr>
              <w:t>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63828B49" w14:textId="127A7B1F">
            <w:pPr>
              <w:spacing w:after="200"/>
              <w:jc w:val="center"/>
              <w:rPr>
                <w:color w:val="000000" w:themeColor="text1"/>
              </w:rPr>
            </w:pPr>
            <w:r>
              <w:rPr>
                <w:color w:val="000000" w:themeColor="text1"/>
              </w:rPr>
              <w:t>2,347</w:t>
            </w: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22264EAE" w14:textId="60D95F7F">
            <w:pPr>
              <w:spacing w:after="200"/>
              <w:jc w:val="center"/>
              <w:rPr>
                <w:color w:val="000000" w:themeColor="text1"/>
              </w:rPr>
            </w:pPr>
            <w:r w:rsidRPr="7F336052">
              <w:rPr>
                <w:color w:val="000000" w:themeColor="text1"/>
              </w:rPr>
              <w:t>0.33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32A536EA" w14:textId="12BD856A">
            <w:pPr>
              <w:spacing w:after="200"/>
              <w:jc w:val="center"/>
              <w:rPr>
                <w:color w:val="000000" w:themeColor="text1"/>
              </w:rPr>
            </w:pPr>
            <w:r w:rsidRPr="7F336052">
              <w:rPr>
                <w:color w:val="000000" w:themeColor="text1"/>
              </w:rPr>
              <w:t>775</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07387059" w14:textId="508FD096">
            <w:pPr>
              <w:spacing w:after="200"/>
              <w:jc w:val="center"/>
              <w:rPr>
                <w:color w:val="000000" w:themeColor="text1"/>
              </w:rPr>
            </w:pPr>
            <w:r w:rsidRPr="7F336052">
              <w:rPr>
                <w:color w:val="000000" w:themeColor="text1"/>
              </w:rPr>
              <w:t>$80.96</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RPr="1D796DB3" w:rsidP="00256AD1" w14:paraId="1B3AC8CC" w14:textId="72DADDBC">
            <w:pPr>
              <w:spacing w:after="200"/>
              <w:jc w:val="center"/>
              <w:rPr>
                <w:color w:val="000000" w:themeColor="text1"/>
              </w:rPr>
            </w:pPr>
            <w:r w:rsidRPr="7F336052">
              <w:rPr>
                <w:color w:val="000000" w:themeColor="text1"/>
              </w:rPr>
              <w:t>$62,744</w:t>
            </w:r>
          </w:p>
        </w:tc>
      </w:tr>
      <w:tr w14:paraId="744602AA" w14:textId="77777777" w:rsidTr="0063133F">
        <w:tblPrEx>
          <w:tblW w:w="9802" w:type="dxa"/>
          <w:tblLayout w:type="fixed"/>
          <w:tblLook w:val="04A0"/>
        </w:tblPrEx>
        <w:trPr>
          <w:trHeight w:val="273"/>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6940EC13" w14:textId="7170BCC0">
            <w:pPr>
              <w:jc w:val="center"/>
              <w:rPr>
                <w:color w:val="000000" w:themeColor="text1"/>
              </w:rPr>
            </w:pPr>
            <w:r w:rsidRPr="1D796DB3">
              <w:rPr>
                <w:b/>
                <w:bCs/>
                <w:color w:val="000000" w:themeColor="text1"/>
              </w:rPr>
              <w:t>Total</w:t>
            </w:r>
          </w:p>
        </w:tc>
        <w:tc>
          <w:tcPr>
            <w:tcW w:w="135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15E641A5" w14:textId="2C5AF831">
            <w:pPr>
              <w:jc w:val="center"/>
              <w:rPr>
                <w:color w:val="000000" w:themeColor="text1"/>
              </w:rPr>
            </w:pPr>
          </w:p>
        </w:tc>
        <w:tc>
          <w:tcPr>
            <w:tcW w:w="1252"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5AB3263B" w14:textId="3681113C">
            <w:pPr>
              <w:jc w:val="center"/>
              <w:rPr>
                <w:color w:val="000000" w:themeColor="text1"/>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E0E6A0C" w14:textId="00A098A1">
            <w:pPr>
              <w:jc w:val="center"/>
              <w:rPr>
                <w:color w:val="000000" w:themeColor="text1"/>
              </w:rPr>
            </w:pPr>
          </w:p>
        </w:tc>
        <w:tc>
          <w:tcPr>
            <w:tcW w:w="108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2908CF36" w14:textId="038EE4F9">
            <w:pPr>
              <w:jc w:val="center"/>
              <w:rPr>
                <w:color w:val="000000" w:themeColor="text1"/>
              </w:rPr>
            </w:pP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05B523CF" w14:textId="01CD2466">
            <w:pPr>
              <w:jc w:val="center"/>
              <w:rPr>
                <w:color w:val="000000" w:themeColor="text1"/>
              </w:rPr>
            </w:pPr>
            <w:r w:rsidRPr="7F336052">
              <w:rPr>
                <w:color w:val="000000" w:themeColor="text1"/>
              </w:rPr>
              <w:t>24</w:t>
            </w:r>
            <w:r w:rsidR="006E07FA">
              <w:rPr>
                <w:color w:val="000000" w:themeColor="text1"/>
              </w:rPr>
              <w:t>34</w:t>
            </w:r>
          </w:p>
        </w:tc>
        <w:tc>
          <w:tcPr>
            <w:tcW w:w="117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33A065CE" w14:textId="73A124D4">
            <w:pPr>
              <w:jc w:val="center"/>
              <w:rPr>
                <w:color w:val="000000" w:themeColor="text1"/>
              </w:rPr>
            </w:pP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rsidR="000547E8" w:rsidP="00256AD1" w14:paraId="5DEA3745" w14:textId="74E029BB">
            <w:pPr>
              <w:jc w:val="center"/>
              <w:rPr>
                <w:color w:val="000000" w:themeColor="text1"/>
              </w:rPr>
            </w:pPr>
            <w:r w:rsidRPr="7F336052">
              <w:rPr>
                <w:color w:val="000000" w:themeColor="text1"/>
              </w:rPr>
              <w:t>$19</w:t>
            </w:r>
            <w:r w:rsidR="005D6719">
              <w:rPr>
                <w:color w:val="000000" w:themeColor="text1"/>
              </w:rPr>
              <w:t>7</w:t>
            </w:r>
            <w:r w:rsidRPr="7F336052">
              <w:rPr>
                <w:color w:val="000000" w:themeColor="text1"/>
              </w:rPr>
              <w:t>,0</w:t>
            </w:r>
            <w:r w:rsidR="005D6719">
              <w:rPr>
                <w:color w:val="000000" w:themeColor="text1"/>
              </w:rPr>
              <w:t>57</w:t>
            </w:r>
          </w:p>
        </w:tc>
      </w:tr>
    </w:tbl>
    <w:p w:rsidR="00167E53" w:rsidP="1D796DB3" w14:paraId="3D9742DF" w14:textId="3C6C3BFE">
      <w:pPr>
        <w:keepLines/>
        <w:tabs>
          <w:tab w:val="left" w:pos="360"/>
          <w:tab w:val="left" w:pos="720"/>
          <w:tab w:val="center" w:pos="1680"/>
          <w:tab w:val="center" w:pos="3120"/>
          <w:tab w:val="center" w:pos="4560"/>
          <w:tab w:val="center" w:pos="6000"/>
          <w:tab w:val="center" w:pos="7440"/>
          <w:tab w:val="center" w:pos="8880"/>
        </w:tabs>
        <w:spacing w:after="240"/>
        <w:ind w:left="360"/>
        <w:rPr>
          <w:b/>
          <w:bCs/>
          <w:sz w:val="24"/>
          <w:szCs w:val="24"/>
        </w:rPr>
      </w:pPr>
    </w:p>
    <w:p w:rsidR="000D5079" w:rsidRPr="003E6F08" w14:paraId="6EED2C6A" w14:textId="77777777">
      <w:pPr>
        <w:tabs>
          <w:tab w:val="left" w:pos="360"/>
        </w:tabs>
        <w:ind w:left="360" w:hanging="360"/>
        <w:rPr>
          <w:b/>
          <w:bCs/>
          <w:sz w:val="24"/>
          <w:szCs w:val="24"/>
        </w:rPr>
      </w:pPr>
      <w:r w:rsidRPr="006C7FAE">
        <w:rPr>
          <w:sz w:val="24"/>
          <w:szCs w:val="24"/>
        </w:rPr>
        <w:t>13.</w:t>
      </w:r>
      <w:r w:rsidRPr="006C7FAE">
        <w:rPr>
          <w:sz w:val="24"/>
          <w:szCs w:val="24"/>
        </w:rPr>
        <w:tab/>
      </w:r>
      <w:r w:rsidRPr="003E6F08">
        <w:rPr>
          <w:b/>
          <w:bCs/>
          <w:sz w:val="24"/>
          <w:szCs w:val="24"/>
        </w:rPr>
        <w:t>Provide an estimate of the total annual cost burden to respondents or recordkeepers resulting from the collection of information</w:t>
      </w:r>
      <w:r w:rsidRPr="003E6F08">
        <w:rPr>
          <w:b/>
          <w:bCs/>
          <w:sz w:val="24"/>
          <w:szCs w:val="24"/>
        </w:rPr>
        <w:t>. (Do not include the cost of any hour burden already reflected on the burden worksheet</w:t>
      </w:r>
      <w:r w:rsidRPr="003E6F08">
        <w:rPr>
          <w:b/>
          <w:bCs/>
          <w:sz w:val="24"/>
          <w:szCs w:val="24"/>
        </w:rPr>
        <w:t xml:space="preserve"> shown in Items 12 and 14).</w:t>
      </w:r>
    </w:p>
    <w:p w:rsidR="009E13B1" w:rsidRPr="003E6F08" w14:paraId="1BCDE2AF" w14:textId="77777777">
      <w:pPr>
        <w:tabs>
          <w:tab w:val="left" w:pos="360"/>
        </w:tabs>
        <w:ind w:left="360" w:hanging="360"/>
        <w:rPr>
          <w:b/>
          <w:bCs/>
          <w:sz w:val="24"/>
          <w:szCs w:val="24"/>
        </w:rPr>
      </w:pPr>
      <w:r w:rsidRPr="003E6F08">
        <w:rPr>
          <w:b/>
          <w:bCs/>
          <w:sz w:val="24"/>
          <w:szCs w:val="24"/>
        </w:rPr>
        <w:t xml:space="preserve"> </w:t>
      </w:r>
    </w:p>
    <w:p w:rsidR="009E13B1" w:rsidRPr="003E6F08" w:rsidP="36573586" w14:paraId="447E16EF" w14:textId="77777777">
      <w:pPr>
        <w:numPr>
          <w:ilvl w:val="0"/>
          <w:numId w:val="1"/>
        </w:numPr>
        <w:tabs>
          <w:tab w:val="left" w:pos="360"/>
        </w:tabs>
        <w:ind w:left="480"/>
        <w:rPr>
          <w:b/>
          <w:bCs/>
          <w:sz w:val="24"/>
          <w:szCs w:val="24"/>
        </w:rPr>
      </w:pPr>
      <w:r w:rsidRPr="7F336052">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7F336052">
        <w:rPr>
          <w:b/>
          <w:bCs/>
          <w:sz w:val="24"/>
          <w:szCs w:val="24"/>
        </w:rPr>
        <w:t>take into account</w:t>
      </w:r>
      <w:r w:rsidRPr="7F336052">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7F336052">
        <w:rPr>
          <w:b/>
          <w:bCs/>
          <w:sz w:val="24"/>
          <w:szCs w:val="24"/>
        </w:rPr>
        <w:t>time period</w:t>
      </w:r>
      <w:r w:rsidRPr="7F336052">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7F336052">
        <w:rPr>
          <w:b/>
          <w:bCs/>
          <w:sz w:val="24"/>
          <w:szCs w:val="24"/>
        </w:rPr>
        <w:t>facilities;</w:t>
      </w:r>
      <w:r w:rsidRPr="7F336052">
        <w:rPr>
          <w:b/>
          <w:bCs/>
          <w:sz w:val="24"/>
          <w:szCs w:val="24"/>
        </w:rPr>
        <w:t xml:space="preserve"> </w:t>
      </w:r>
    </w:p>
    <w:p w:rsidR="009E13B1" w:rsidRPr="003E6F08" w:rsidP="36573586" w14:paraId="3442B3FA" w14:textId="77777777">
      <w:pPr>
        <w:numPr>
          <w:ilvl w:val="0"/>
          <w:numId w:val="1"/>
        </w:numPr>
        <w:tabs>
          <w:tab w:val="left" w:pos="360"/>
        </w:tabs>
        <w:ind w:left="480"/>
        <w:rPr>
          <w:b/>
          <w:bCs/>
          <w:sz w:val="24"/>
          <w:szCs w:val="24"/>
        </w:rPr>
      </w:pPr>
      <w:r w:rsidRPr="7F336052">
        <w:rPr>
          <w:b/>
          <w:bCs/>
          <w:sz w:val="24"/>
          <w:szCs w:val="24"/>
        </w:rPr>
        <w:t xml:space="preserve">If cost estimates are expected to vary widely, agencies should present ranges of cost burdens and explain the reasons for the variance.  The cost of purchasing or contracting </w:t>
      </w:r>
      <w:r w:rsidRPr="7F336052">
        <w:rPr>
          <w:b/>
          <w:bCs/>
          <w:sz w:val="24"/>
          <w:szCs w:val="24"/>
        </w:rPr>
        <w:t>out</w:t>
      </w:r>
      <w:r w:rsidRPr="7F336052">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031F6" w:rsidP="36573586" w14:paraId="7DFF5FE6" w14:textId="77777777">
      <w:pPr>
        <w:keepLines/>
        <w:numPr>
          <w:ilvl w:val="0"/>
          <w:numId w:val="1"/>
        </w:numPr>
        <w:tabs>
          <w:tab w:val="left" w:pos="360"/>
        </w:tabs>
        <w:spacing w:after="80"/>
        <w:ind w:left="480"/>
        <w:rPr>
          <w:b/>
          <w:bCs/>
          <w:sz w:val="24"/>
          <w:szCs w:val="24"/>
        </w:rPr>
      </w:pPr>
      <w:r w:rsidRPr="7F336052">
        <w:rPr>
          <w:b/>
          <w:bCs/>
          <w:sz w:val="24"/>
          <w:szCs w:val="24"/>
        </w:rPr>
        <w:t>G</w:t>
      </w:r>
      <w:r w:rsidRPr="7F336052" w:rsidR="67B69792">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0D5079">
        <w:br/>
      </w:r>
      <w:r w:rsidR="000D5079">
        <w:br/>
      </w:r>
      <w:r w:rsidRPr="7F336052" w:rsidR="19D3F82E">
        <w:rPr>
          <w:sz w:val="24"/>
          <w:szCs w:val="24"/>
        </w:rPr>
        <w:t>The data collection effort does not require additional cost burdens to respondents or record keeping beyond the cost burden provided in Items 12 and 14.</w:t>
      </w:r>
    </w:p>
    <w:p w:rsidR="008A423D" w:rsidP="00786D35" w14:paraId="6AB8C263" w14:textId="77777777">
      <w:pPr>
        <w:ind w:left="360"/>
        <w:rPr>
          <w:b/>
          <w:bCs/>
          <w:sz w:val="24"/>
          <w:szCs w:val="24"/>
        </w:rPr>
      </w:pPr>
    </w:p>
    <w:p w:rsidR="00DB3716" w:rsidP="00786D35" w14:paraId="7C545147" w14:textId="77777777">
      <w:pPr>
        <w:ind w:left="360"/>
        <w:rPr>
          <w:b/>
          <w:bCs/>
          <w:sz w:val="24"/>
          <w:szCs w:val="24"/>
        </w:rPr>
      </w:pPr>
    </w:p>
    <w:p w:rsidR="00DB3716" w:rsidP="00786D35" w14:paraId="43D3432D" w14:textId="77777777">
      <w:pPr>
        <w:ind w:left="360"/>
        <w:rPr>
          <w:b/>
          <w:bCs/>
          <w:sz w:val="24"/>
          <w:szCs w:val="24"/>
        </w:rPr>
      </w:pPr>
    </w:p>
    <w:p w:rsidR="00DB3716" w:rsidP="00786D35" w14:paraId="0D8693BA" w14:textId="77777777">
      <w:pPr>
        <w:ind w:left="360"/>
        <w:rPr>
          <w:b/>
          <w:bCs/>
          <w:sz w:val="24"/>
          <w:szCs w:val="24"/>
        </w:rPr>
      </w:pPr>
    </w:p>
    <w:p w:rsidR="00DB3716" w:rsidP="00786D35" w14:paraId="282FA91B" w14:textId="77777777">
      <w:pPr>
        <w:ind w:left="360"/>
        <w:rPr>
          <w:b/>
          <w:bCs/>
          <w:sz w:val="24"/>
          <w:szCs w:val="24"/>
        </w:rPr>
      </w:pPr>
    </w:p>
    <w:p w:rsidR="008A423D" w:rsidP="00786D35" w14:paraId="01368D3C" w14:textId="77777777">
      <w:pPr>
        <w:ind w:left="360"/>
        <w:rPr>
          <w:sz w:val="24"/>
          <w:szCs w:val="24"/>
        </w:rPr>
      </w:pPr>
      <w:r w:rsidRPr="7F336052">
        <w:rPr>
          <w:b/>
          <w:bCs/>
          <w:sz w:val="24"/>
          <w:szCs w:val="24"/>
        </w:rPr>
        <w:t>14.</w:t>
      </w:r>
      <w:r w:rsidR="009E13B1">
        <w:tab/>
      </w:r>
      <w:r w:rsidRPr="7F336052">
        <w:rPr>
          <w:b/>
          <w:bCs/>
          <w:sz w:val="24"/>
          <w:szCs w:val="24"/>
        </w:rPr>
        <w:t xml:space="preserve">Provide estimates of annualized </w:t>
      </w:r>
      <w:r w:rsidRPr="7F336052">
        <w:rPr>
          <w:b/>
          <w:bCs/>
          <w:sz w:val="24"/>
          <w:szCs w:val="24"/>
        </w:rPr>
        <w:t>cost</w:t>
      </w:r>
      <w:r w:rsidRPr="7F336052">
        <w:rPr>
          <w:b/>
          <w:bCs/>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9E13B1">
        <w:br/>
      </w:r>
      <w:r w:rsidR="009E13B1">
        <w:br/>
      </w:r>
      <w:r w:rsidRPr="7F336052" w:rsidR="49256793">
        <w:rPr>
          <w:sz w:val="24"/>
          <w:szCs w:val="24"/>
        </w:rPr>
        <w:t xml:space="preserve">HUD estimates the cost of </w:t>
      </w:r>
      <w:r w:rsidRPr="7F336052" w:rsidR="55B5D62C">
        <w:rPr>
          <w:sz w:val="24"/>
          <w:szCs w:val="24"/>
        </w:rPr>
        <w:t xml:space="preserve">the Application, Scoping and Design, and Post-Construction </w:t>
      </w:r>
      <w:r w:rsidRPr="7F336052" w:rsidR="49256793">
        <w:rPr>
          <w:sz w:val="24"/>
          <w:szCs w:val="24"/>
        </w:rPr>
        <w:t>data collection to the Federal government to be approximately</w:t>
      </w:r>
      <w:r w:rsidRPr="7F336052" w:rsidR="6D30B722">
        <w:rPr>
          <w:sz w:val="24"/>
          <w:szCs w:val="24"/>
        </w:rPr>
        <w:t xml:space="preserve"> $2.5 million</w:t>
      </w:r>
      <w:r w:rsidRPr="7F336052" w:rsidR="49256793">
        <w:rPr>
          <w:sz w:val="24"/>
          <w:szCs w:val="24"/>
        </w:rPr>
        <w:t xml:space="preserve"> for the three rounds of </w:t>
      </w:r>
      <w:r w:rsidRPr="7F336052" w:rsidR="2B6A950C">
        <w:rPr>
          <w:sz w:val="24"/>
          <w:szCs w:val="24"/>
        </w:rPr>
        <w:t xml:space="preserve">data </w:t>
      </w:r>
      <w:r w:rsidRPr="7F336052" w:rsidR="49256793">
        <w:rPr>
          <w:sz w:val="24"/>
          <w:szCs w:val="24"/>
        </w:rPr>
        <w:t>collection and analysis. The professional labor cost estimates include project management staff, survey methodologists, interviewers, IT support staff, and data analysis and reporting staff.</w:t>
      </w:r>
      <w:r w:rsidR="0062250A">
        <w:rPr>
          <w:sz w:val="24"/>
          <w:szCs w:val="24"/>
        </w:rPr>
        <w:t xml:space="preserve"> </w:t>
      </w:r>
      <w:r w:rsidRPr="7F336052" w:rsidR="0062250A">
        <w:rPr>
          <w:sz w:val="24"/>
          <w:szCs w:val="24"/>
        </w:rPr>
        <w:t xml:space="preserve">The </w:t>
      </w:r>
    </w:p>
    <w:p w:rsidR="009E13B1" w:rsidRPr="009710BE" w:rsidP="00786D35" w14:paraId="5D60A589" w14:textId="2E6465F2">
      <w:pPr>
        <w:ind w:left="360"/>
        <w:rPr>
          <w:sz w:val="24"/>
          <w:szCs w:val="24"/>
        </w:rPr>
      </w:pPr>
      <w:r w:rsidRPr="7F336052">
        <w:rPr>
          <w:sz w:val="24"/>
          <w:szCs w:val="24"/>
        </w:rPr>
        <w:t xml:space="preserve">evaluation </w:t>
      </w:r>
      <w:r w:rsidR="000713ED">
        <w:rPr>
          <w:sz w:val="24"/>
          <w:szCs w:val="24"/>
        </w:rPr>
        <w:t>has been developed</w:t>
      </w:r>
      <w:r w:rsidRPr="7F336052">
        <w:rPr>
          <w:sz w:val="24"/>
          <w:szCs w:val="24"/>
        </w:rPr>
        <w:t xml:space="preserve"> by HUD </w:t>
      </w:r>
      <w:r w:rsidR="00420E12">
        <w:rPr>
          <w:sz w:val="24"/>
          <w:szCs w:val="24"/>
        </w:rPr>
        <w:t>but will be implemented with the</w:t>
      </w:r>
      <w:r w:rsidRPr="7F336052">
        <w:rPr>
          <w:sz w:val="24"/>
          <w:szCs w:val="24"/>
        </w:rPr>
        <w:t xml:space="preserve"> support of </w:t>
      </w:r>
      <w:r w:rsidR="00420E12">
        <w:rPr>
          <w:sz w:val="24"/>
          <w:szCs w:val="24"/>
        </w:rPr>
        <w:t>external</w:t>
      </w:r>
      <w:r w:rsidRPr="7F336052">
        <w:rPr>
          <w:sz w:val="24"/>
          <w:szCs w:val="24"/>
        </w:rPr>
        <w:t xml:space="preserve"> </w:t>
      </w:r>
      <w:r w:rsidR="00420E12">
        <w:rPr>
          <w:sz w:val="24"/>
          <w:szCs w:val="24"/>
        </w:rPr>
        <w:t>c</w:t>
      </w:r>
      <w:r w:rsidRPr="7F336052">
        <w:rPr>
          <w:sz w:val="24"/>
          <w:szCs w:val="24"/>
        </w:rPr>
        <w:t>ontractors.</w:t>
      </w:r>
      <w:r w:rsidR="00786D35">
        <w:rPr>
          <w:sz w:val="24"/>
          <w:szCs w:val="24"/>
        </w:rPr>
        <w:t xml:space="preserve"> </w:t>
      </w:r>
      <w:r w:rsidRPr="7F336052" w:rsidR="49256793">
        <w:rPr>
          <w:b/>
          <w:bCs/>
          <w:sz w:val="24"/>
          <w:szCs w:val="24"/>
        </w:rPr>
        <w:t>Table 2</w:t>
      </w:r>
      <w:r w:rsidRPr="7F336052" w:rsidR="49256793">
        <w:rPr>
          <w:sz w:val="24"/>
          <w:szCs w:val="24"/>
        </w:rPr>
        <w:t xml:space="preserve"> summarizes the cost breakdown</w:t>
      </w:r>
      <w:r w:rsidR="00786D35">
        <w:rPr>
          <w:sz w:val="24"/>
          <w:szCs w:val="24"/>
        </w:rPr>
        <w:t xml:space="preserve"> we expect for the contract</w:t>
      </w:r>
      <w:r w:rsidRPr="7F336052" w:rsidR="49256793">
        <w:rPr>
          <w:sz w:val="24"/>
          <w:szCs w:val="24"/>
        </w:rPr>
        <w:t>.</w:t>
      </w:r>
    </w:p>
    <w:p w:rsidR="009710BE" w:rsidP="00167E53" w14:paraId="5FBB7034" w14:textId="77777777">
      <w:pPr>
        <w:overflowPunct/>
        <w:autoSpaceDE/>
        <w:autoSpaceDN/>
        <w:adjustRightInd/>
        <w:spacing w:after="80"/>
        <w:ind w:left="360"/>
        <w:textAlignment w:val="auto"/>
        <w:rPr>
          <w:rFonts w:eastAsia="Calibri"/>
          <w:color w:val="000000"/>
        </w:rPr>
      </w:pPr>
    </w:p>
    <w:p w:rsidR="00167E53" w:rsidRPr="009710BE" w:rsidP="002D2D34" w14:paraId="34CC6943" w14:textId="2DA177D4">
      <w:pPr>
        <w:overflowPunct/>
        <w:autoSpaceDE/>
        <w:autoSpaceDN/>
        <w:adjustRightInd/>
        <w:spacing w:after="80"/>
        <w:ind w:left="360"/>
        <w:jc w:val="center"/>
        <w:textAlignment w:val="auto"/>
        <w:rPr>
          <w:rFonts w:eastAsia="Calibri"/>
          <w:b/>
          <w:bCs/>
          <w:color w:val="000000"/>
          <w:sz w:val="24"/>
          <w:szCs w:val="24"/>
        </w:rPr>
      </w:pPr>
      <w:r w:rsidRPr="009710BE">
        <w:rPr>
          <w:rFonts w:eastAsia="Calibri"/>
          <w:b/>
          <w:bCs/>
          <w:color w:val="000000"/>
          <w:sz w:val="24"/>
          <w:szCs w:val="24"/>
        </w:rPr>
        <w:t>Table 2</w:t>
      </w:r>
      <w:r w:rsidR="002D2D34">
        <w:rPr>
          <w:rFonts w:eastAsia="Calibri"/>
          <w:b/>
          <w:bCs/>
          <w:color w:val="000000"/>
          <w:sz w:val="24"/>
          <w:szCs w:val="24"/>
        </w:rPr>
        <w:t xml:space="preserve">. </w:t>
      </w:r>
      <w:r w:rsidR="006031F6">
        <w:rPr>
          <w:rFonts w:eastAsia="Calibri"/>
          <w:b/>
          <w:bCs/>
          <w:color w:val="000000"/>
          <w:sz w:val="24"/>
          <w:szCs w:val="24"/>
        </w:rPr>
        <w:t>Estimated Cost Breakdown</w:t>
      </w:r>
    </w:p>
    <w:tbl>
      <w:tblPr>
        <w:tblW w:w="62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880"/>
        <w:gridCol w:w="4410"/>
      </w:tblGrid>
      <w:tr w14:paraId="222BD2D0" w14:textId="77777777" w:rsidTr="008A423D">
        <w:tblPrEx>
          <w:tblW w:w="62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rPr>
          <w:trHeight w:val="313"/>
          <w:jc w:val="center"/>
        </w:trPr>
        <w:tc>
          <w:tcPr>
            <w:tcW w:w="1880" w:type="dxa"/>
            <w:tcMar>
              <w:top w:w="0" w:type="dxa"/>
              <w:left w:w="108" w:type="dxa"/>
              <w:bottom w:w="0" w:type="dxa"/>
              <w:right w:w="108" w:type="dxa"/>
            </w:tcMar>
            <w:hideMark/>
          </w:tcPr>
          <w:p w:rsidR="00BF4517" w:rsidRPr="008A423D" w:rsidP="002D2D34" w14:paraId="20EEF82C" w14:textId="77777777">
            <w:pPr>
              <w:adjustRightInd/>
              <w:textAlignment w:val="auto"/>
              <w:rPr>
                <w:rFonts w:eastAsia="Calibri"/>
                <w:b/>
                <w:bCs/>
                <w:color w:val="000000"/>
                <w:sz w:val="22"/>
                <w:szCs w:val="22"/>
              </w:rPr>
            </w:pPr>
            <w:r w:rsidRPr="008A423D">
              <w:rPr>
                <w:rFonts w:eastAsia="Calibri"/>
                <w:b/>
                <w:bCs/>
                <w:color w:val="000000"/>
                <w:sz w:val="22"/>
                <w:szCs w:val="22"/>
              </w:rPr>
              <w:t>Activity</w:t>
            </w:r>
          </w:p>
        </w:tc>
        <w:tc>
          <w:tcPr>
            <w:tcW w:w="4410" w:type="dxa"/>
            <w:tcMar>
              <w:top w:w="0" w:type="dxa"/>
              <w:left w:w="108" w:type="dxa"/>
              <w:bottom w:w="0" w:type="dxa"/>
              <w:right w:w="108" w:type="dxa"/>
            </w:tcMar>
            <w:hideMark/>
          </w:tcPr>
          <w:p w:rsidR="00BF4517" w:rsidRPr="008A423D" w:rsidP="002D2D34" w14:paraId="0AB378BE" w14:textId="58A37F36">
            <w:pPr>
              <w:adjustRightInd/>
              <w:jc w:val="right"/>
              <w:textAlignment w:val="auto"/>
              <w:rPr>
                <w:rFonts w:eastAsia="Calibri"/>
                <w:b/>
                <w:bCs/>
                <w:color w:val="000000"/>
                <w:sz w:val="22"/>
                <w:szCs w:val="22"/>
              </w:rPr>
            </w:pPr>
            <w:r w:rsidRPr="008A423D">
              <w:rPr>
                <w:rFonts w:eastAsia="Calibri"/>
                <w:b/>
                <w:bCs/>
                <w:color w:val="000000"/>
                <w:sz w:val="22"/>
                <w:szCs w:val="22"/>
              </w:rPr>
              <w:t xml:space="preserve">Estimated Cost to </w:t>
            </w:r>
            <w:r w:rsidRPr="008A423D" w:rsidR="002D2D34">
              <w:rPr>
                <w:rFonts w:eastAsia="Calibri"/>
                <w:b/>
                <w:bCs/>
                <w:color w:val="000000"/>
                <w:sz w:val="22"/>
                <w:szCs w:val="22"/>
              </w:rPr>
              <w:t xml:space="preserve">the </w:t>
            </w:r>
            <w:r w:rsidRPr="008A423D">
              <w:rPr>
                <w:rFonts w:eastAsia="Calibri"/>
                <w:b/>
                <w:bCs/>
                <w:color w:val="000000"/>
                <w:sz w:val="22"/>
                <w:szCs w:val="22"/>
              </w:rPr>
              <w:t>Federal Government</w:t>
            </w:r>
          </w:p>
        </w:tc>
      </w:tr>
      <w:tr w14:paraId="1DFBE8D5" w14:textId="77777777" w:rsidTr="008A423D">
        <w:tblPrEx>
          <w:tblW w:w="6290" w:type="dxa"/>
          <w:jc w:val="center"/>
          <w:tblCellMar>
            <w:left w:w="0" w:type="dxa"/>
            <w:right w:w="0" w:type="dxa"/>
          </w:tblCellMar>
          <w:tblLook w:val="04A0"/>
        </w:tblPrEx>
        <w:trPr>
          <w:trHeight w:val="323"/>
          <w:jc w:val="center"/>
        </w:trPr>
        <w:tc>
          <w:tcPr>
            <w:tcW w:w="1880" w:type="dxa"/>
            <w:tcMar>
              <w:top w:w="0" w:type="dxa"/>
              <w:left w:w="108" w:type="dxa"/>
              <w:bottom w:w="0" w:type="dxa"/>
              <w:right w:w="108" w:type="dxa"/>
            </w:tcMar>
          </w:tcPr>
          <w:p w:rsidR="00BF4517" w:rsidRPr="008A423D" w:rsidP="002D2D34" w14:paraId="06433B79" w14:textId="77777777">
            <w:pPr>
              <w:adjustRightInd/>
              <w:textAlignment w:val="auto"/>
              <w:rPr>
                <w:rFonts w:eastAsia="Calibri"/>
                <w:color w:val="000000"/>
                <w:sz w:val="22"/>
                <w:szCs w:val="22"/>
              </w:rPr>
            </w:pPr>
            <w:r w:rsidRPr="008A423D">
              <w:rPr>
                <w:rFonts w:eastAsia="Calibri"/>
                <w:color w:val="000000"/>
                <w:sz w:val="22"/>
                <w:szCs w:val="22"/>
              </w:rPr>
              <w:t>Data Collection</w:t>
            </w:r>
          </w:p>
        </w:tc>
        <w:tc>
          <w:tcPr>
            <w:tcW w:w="4410" w:type="dxa"/>
            <w:tcMar>
              <w:top w:w="0" w:type="dxa"/>
              <w:left w:w="108" w:type="dxa"/>
              <w:bottom w:w="0" w:type="dxa"/>
              <w:right w:w="108" w:type="dxa"/>
            </w:tcMar>
          </w:tcPr>
          <w:p w:rsidR="00BF4517" w:rsidRPr="008A423D" w:rsidP="002D2D34" w14:paraId="5C4D567D" w14:textId="77777777">
            <w:pPr>
              <w:adjustRightInd/>
              <w:jc w:val="right"/>
              <w:textAlignment w:val="auto"/>
              <w:rPr>
                <w:rFonts w:eastAsia="Calibri"/>
                <w:color w:val="000000"/>
                <w:sz w:val="22"/>
                <w:szCs w:val="22"/>
              </w:rPr>
            </w:pPr>
            <w:r w:rsidRPr="008A423D">
              <w:rPr>
                <w:rFonts w:eastAsia="Calibri"/>
                <w:color w:val="000000"/>
                <w:sz w:val="22"/>
                <w:szCs w:val="22"/>
              </w:rPr>
              <w:t>$1,750,000</w:t>
            </w:r>
          </w:p>
        </w:tc>
      </w:tr>
      <w:tr w14:paraId="7CBC963E" w14:textId="77777777" w:rsidTr="008A423D">
        <w:tblPrEx>
          <w:tblW w:w="6290" w:type="dxa"/>
          <w:jc w:val="center"/>
          <w:tblCellMar>
            <w:left w:w="0" w:type="dxa"/>
            <w:right w:w="0" w:type="dxa"/>
          </w:tblCellMar>
          <w:tblLook w:val="04A0"/>
        </w:tblPrEx>
        <w:trPr>
          <w:trHeight w:val="221"/>
          <w:jc w:val="center"/>
        </w:trPr>
        <w:tc>
          <w:tcPr>
            <w:tcW w:w="1880" w:type="dxa"/>
            <w:tcMar>
              <w:top w:w="0" w:type="dxa"/>
              <w:left w:w="108" w:type="dxa"/>
              <w:bottom w:w="0" w:type="dxa"/>
              <w:right w:w="108" w:type="dxa"/>
            </w:tcMar>
          </w:tcPr>
          <w:p w:rsidR="00BF4517" w:rsidRPr="008A423D" w:rsidP="002D2D34" w14:paraId="641FEAAD" w14:textId="77777777">
            <w:pPr>
              <w:adjustRightInd/>
              <w:textAlignment w:val="auto"/>
              <w:rPr>
                <w:rFonts w:eastAsia="Calibri"/>
                <w:color w:val="000000"/>
                <w:sz w:val="22"/>
                <w:szCs w:val="22"/>
              </w:rPr>
            </w:pPr>
            <w:r w:rsidRPr="008A423D">
              <w:rPr>
                <w:rFonts w:eastAsia="Calibri"/>
                <w:color w:val="000000"/>
                <w:sz w:val="22"/>
                <w:szCs w:val="22"/>
              </w:rPr>
              <w:t>Data Analysis</w:t>
            </w:r>
          </w:p>
        </w:tc>
        <w:tc>
          <w:tcPr>
            <w:tcW w:w="4410" w:type="dxa"/>
            <w:tcMar>
              <w:top w:w="0" w:type="dxa"/>
              <w:left w:w="108" w:type="dxa"/>
              <w:bottom w:w="0" w:type="dxa"/>
              <w:right w:w="108" w:type="dxa"/>
            </w:tcMar>
          </w:tcPr>
          <w:p w:rsidR="00BF4517" w:rsidRPr="008A423D" w:rsidP="002D2D34" w14:paraId="377ACAA3" w14:textId="77777777">
            <w:pPr>
              <w:adjustRightInd/>
              <w:jc w:val="right"/>
              <w:textAlignment w:val="auto"/>
              <w:rPr>
                <w:rFonts w:eastAsia="Calibri"/>
                <w:color w:val="000000"/>
                <w:sz w:val="22"/>
                <w:szCs w:val="22"/>
              </w:rPr>
            </w:pPr>
            <w:r w:rsidRPr="008A423D">
              <w:rPr>
                <w:rFonts w:eastAsia="Calibri"/>
                <w:color w:val="000000"/>
                <w:sz w:val="22"/>
                <w:szCs w:val="22"/>
              </w:rPr>
              <w:t>$750,000</w:t>
            </w:r>
          </w:p>
        </w:tc>
      </w:tr>
      <w:tr w14:paraId="6CA9B5D9" w14:textId="77777777" w:rsidTr="008A423D">
        <w:tblPrEx>
          <w:tblW w:w="6290" w:type="dxa"/>
          <w:jc w:val="center"/>
          <w:tblCellMar>
            <w:left w:w="0" w:type="dxa"/>
            <w:right w:w="0" w:type="dxa"/>
          </w:tblCellMar>
          <w:tblLook w:val="04A0"/>
        </w:tblPrEx>
        <w:trPr>
          <w:trHeight w:val="235"/>
          <w:jc w:val="center"/>
        </w:trPr>
        <w:tc>
          <w:tcPr>
            <w:tcW w:w="1880" w:type="dxa"/>
            <w:shd w:val="clear" w:color="auto" w:fill="D9D9D9"/>
            <w:tcMar>
              <w:top w:w="0" w:type="dxa"/>
              <w:left w:w="108" w:type="dxa"/>
              <w:bottom w:w="0" w:type="dxa"/>
              <w:right w:w="108" w:type="dxa"/>
            </w:tcMar>
          </w:tcPr>
          <w:p w:rsidR="00BF4517" w:rsidRPr="008A423D" w:rsidP="002D2D34" w14:paraId="69DCD037" w14:textId="77777777">
            <w:pPr>
              <w:adjustRightInd/>
              <w:textAlignment w:val="auto"/>
              <w:rPr>
                <w:rFonts w:eastAsia="Calibri"/>
                <w:b/>
                <w:bCs/>
                <w:color w:val="000000"/>
                <w:sz w:val="22"/>
                <w:szCs w:val="22"/>
              </w:rPr>
            </w:pPr>
            <w:r w:rsidRPr="008A423D">
              <w:rPr>
                <w:rFonts w:eastAsia="Calibri"/>
                <w:b/>
                <w:bCs/>
                <w:color w:val="000000"/>
                <w:sz w:val="22"/>
                <w:szCs w:val="22"/>
              </w:rPr>
              <w:t>Total</w:t>
            </w:r>
          </w:p>
        </w:tc>
        <w:tc>
          <w:tcPr>
            <w:tcW w:w="4410" w:type="dxa"/>
            <w:shd w:val="clear" w:color="auto" w:fill="D9D9D9"/>
            <w:tcMar>
              <w:top w:w="0" w:type="dxa"/>
              <w:left w:w="108" w:type="dxa"/>
              <w:bottom w:w="0" w:type="dxa"/>
              <w:right w:w="108" w:type="dxa"/>
            </w:tcMar>
          </w:tcPr>
          <w:p w:rsidR="00BF4517" w:rsidRPr="008A423D" w:rsidP="002D2D34" w14:paraId="572CCC62" w14:textId="77777777">
            <w:pPr>
              <w:adjustRightInd/>
              <w:jc w:val="right"/>
              <w:textAlignment w:val="auto"/>
              <w:rPr>
                <w:rFonts w:eastAsia="Calibri"/>
                <w:color w:val="000000"/>
                <w:sz w:val="22"/>
                <w:szCs w:val="22"/>
              </w:rPr>
            </w:pPr>
            <w:r w:rsidRPr="008A423D">
              <w:rPr>
                <w:rFonts w:eastAsia="Calibri"/>
                <w:color w:val="000000"/>
                <w:sz w:val="22"/>
                <w:szCs w:val="22"/>
              </w:rPr>
              <w:t>$2,500,000</w:t>
            </w:r>
          </w:p>
        </w:tc>
      </w:tr>
    </w:tbl>
    <w:p w:rsidR="009E13B1" w:rsidRPr="006C7FAE" w:rsidP="002D2D34" w14:paraId="45B23566" w14:textId="77777777">
      <w:pPr>
        <w:keepLines/>
        <w:tabs>
          <w:tab w:val="left" w:pos="360"/>
          <w:tab w:val="left" w:pos="720"/>
        </w:tabs>
        <w:ind w:left="720"/>
        <w:jc w:val="center"/>
      </w:pPr>
    </w:p>
    <w:p w:rsidR="009E13B1" w:rsidP="004F7174" w14:paraId="60B775BA" w14:textId="357D2D2A">
      <w:pPr>
        <w:keepLines/>
        <w:tabs>
          <w:tab w:val="left" w:pos="360"/>
        </w:tabs>
        <w:spacing w:after="80"/>
        <w:ind w:left="360" w:hanging="360"/>
        <w:rPr>
          <w:sz w:val="24"/>
          <w:szCs w:val="24"/>
        </w:rPr>
      </w:pPr>
      <w:r>
        <w:rPr>
          <w:sz w:val="24"/>
          <w:szCs w:val="24"/>
        </w:rPr>
        <w:tab/>
      </w:r>
      <w:r w:rsidRPr="275D279D" w:rsidR="46CEACBF">
        <w:rPr>
          <w:sz w:val="24"/>
          <w:szCs w:val="24"/>
        </w:rPr>
        <w:t xml:space="preserve">The Benchmarking Initiative will engage with a contractor to support nationwide energy and water tracking. Aside from the estimated $40M contracting obligation, there are minimal review or maintenance costs as the contractor would review and conduct due diligence on each </w:t>
      </w:r>
      <w:r w:rsidRPr="275D279D" w:rsidR="46CEACBF">
        <w:rPr>
          <w:sz w:val="24"/>
          <w:szCs w:val="24"/>
        </w:rPr>
        <w:t>property</w:t>
      </w:r>
      <w:r w:rsidRPr="275D279D" w:rsidR="46CEACBF">
        <w:rPr>
          <w:sz w:val="24"/>
          <w:szCs w:val="24"/>
        </w:rPr>
        <w:t xml:space="preserve"> energy and water usage.</w:t>
      </w:r>
    </w:p>
    <w:p w:rsidR="006C7FAE" w:rsidRPr="006C7FAE" w14:paraId="792C3B15" w14:textId="77777777">
      <w:pPr>
        <w:tabs>
          <w:tab w:val="left" w:pos="360"/>
        </w:tabs>
        <w:ind w:left="360" w:hanging="360"/>
        <w:rPr>
          <w:sz w:val="24"/>
          <w:szCs w:val="24"/>
        </w:rPr>
      </w:pPr>
    </w:p>
    <w:p w:rsidR="009E13B1" w:rsidRPr="005A139A" w14:paraId="30E37EA7" w14:textId="77777777">
      <w:pPr>
        <w:keepLines/>
        <w:tabs>
          <w:tab w:val="left" w:pos="360"/>
        </w:tabs>
        <w:spacing w:after="80"/>
        <w:ind w:left="360" w:hanging="360"/>
        <w:rPr>
          <w:sz w:val="24"/>
          <w:szCs w:val="24"/>
        </w:rPr>
      </w:pPr>
      <w:r w:rsidRPr="7F336052">
        <w:rPr>
          <w:sz w:val="24"/>
          <w:szCs w:val="24"/>
        </w:rPr>
        <w:t>15.</w:t>
      </w:r>
      <w:r>
        <w:tab/>
      </w:r>
      <w:r w:rsidRPr="7F336052">
        <w:rPr>
          <w:b/>
          <w:bCs/>
          <w:sz w:val="24"/>
          <w:szCs w:val="24"/>
        </w:rPr>
        <w:t>Explain the reasons for any program changes or adjustments reported in Items 1</w:t>
      </w:r>
      <w:r w:rsidRPr="7F336052" w:rsidR="2CA05774">
        <w:rPr>
          <w:b/>
          <w:bCs/>
          <w:sz w:val="24"/>
          <w:szCs w:val="24"/>
        </w:rPr>
        <w:t>2</w:t>
      </w:r>
      <w:r w:rsidRPr="7F336052">
        <w:rPr>
          <w:b/>
          <w:bCs/>
          <w:sz w:val="24"/>
          <w:szCs w:val="24"/>
        </w:rPr>
        <w:t xml:space="preserve"> and 14 of the </w:t>
      </w:r>
      <w:r w:rsidRPr="7F336052" w:rsidR="4FE0F19F">
        <w:rPr>
          <w:b/>
          <w:bCs/>
          <w:sz w:val="24"/>
          <w:szCs w:val="24"/>
        </w:rPr>
        <w:t>Supporting Statement</w:t>
      </w:r>
      <w:r w:rsidRPr="7F336052">
        <w:rPr>
          <w:b/>
          <w:bCs/>
          <w:sz w:val="24"/>
          <w:szCs w:val="24"/>
        </w:rPr>
        <w:t>.</w:t>
      </w:r>
      <w:r>
        <w:br/>
      </w:r>
      <w:r>
        <w:br/>
      </w:r>
      <w:r w:rsidRPr="7F336052" w:rsidR="19D3F82E">
        <w:rPr>
          <w:sz w:val="24"/>
          <w:szCs w:val="24"/>
        </w:rPr>
        <w:t>This is the initial submission and does not involve program changes or adjustments.</w:t>
      </w:r>
    </w:p>
    <w:p w:rsidR="009E13B1" w:rsidRPr="003E6F08" w14:paraId="227EA769" w14:textId="77777777">
      <w:pPr>
        <w:keepLines/>
        <w:tabs>
          <w:tab w:val="left" w:pos="360"/>
          <w:tab w:val="left" w:pos="720"/>
        </w:tabs>
        <w:ind w:left="360"/>
        <w:rPr>
          <w:b/>
          <w:bCs/>
          <w:sz w:val="24"/>
          <w:szCs w:val="24"/>
        </w:rPr>
      </w:pPr>
    </w:p>
    <w:p w:rsidR="009710BE" w:rsidP="008D07F3" w14:paraId="6FE91958" w14:textId="55183866">
      <w:pPr>
        <w:pStyle w:val="BodyText"/>
        <w:spacing w:after="0" w:line="240" w:lineRule="auto"/>
        <w:ind w:left="360" w:hanging="360"/>
        <w:rPr>
          <w:sz w:val="24"/>
          <w:szCs w:val="24"/>
        </w:rPr>
      </w:pPr>
      <w:r w:rsidRPr="7F336052">
        <w:rPr>
          <w:b/>
          <w:bCs/>
          <w:sz w:val="24"/>
          <w:szCs w:val="24"/>
        </w:rPr>
        <w:t>16.</w:t>
      </w:r>
      <w:r w:rsidRPr="7F336052" w:rsidR="3A78E2E2">
        <w:rPr>
          <w:b/>
          <w:bCs/>
          <w:sz w:val="24"/>
          <w:szCs w:val="24"/>
        </w:rPr>
        <w:t xml:space="preserve"> </w:t>
      </w:r>
      <w:r w:rsidRPr="7F336052">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9E13B1">
        <w:br/>
      </w:r>
      <w:r w:rsidR="009E13B1">
        <w:br/>
      </w:r>
      <w:r w:rsidRPr="7F336052" w:rsidR="49256793">
        <w:rPr>
          <w:sz w:val="24"/>
          <w:szCs w:val="24"/>
        </w:rPr>
        <w:t xml:space="preserve">The </w:t>
      </w:r>
      <w:r w:rsidRPr="7F336052" w:rsidR="0F86BC53">
        <w:rPr>
          <w:sz w:val="24"/>
          <w:szCs w:val="24"/>
        </w:rPr>
        <w:t xml:space="preserve">Application, Scoping and Design, and Post-Construction </w:t>
      </w:r>
      <w:r w:rsidRPr="7F336052" w:rsidR="49256793">
        <w:rPr>
          <w:sz w:val="24"/>
          <w:szCs w:val="24"/>
        </w:rPr>
        <w:t xml:space="preserve">data collected for the study will be analyzed, tabulated, and reported to HUD </w:t>
      </w:r>
      <w:r w:rsidRPr="7F336052" w:rsidR="5D053F6D">
        <w:rPr>
          <w:sz w:val="24"/>
          <w:szCs w:val="24"/>
        </w:rPr>
        <w:t xml:space="preserve">by </w:t>
      </w:r>
      <w:r w:rsidRPr="7F336052" w:rsidR="49256793">
        <w:rPr>
          <w:sz w:val="24"/>
          <w:szCs w:val="24"/>
        </w:rPr>
        <w:t xml:space="preserve">the contractor(s) in interim and final briefings and interim and final reports. The interim and final reports are expected to be published. </w:t>
      </w:r>
      <w:r w:rsidRPr="7F336052" w:rsidR="49256793">
        <w:rPr>
          <w:b/>
          <w:bCs/>
          <w:sz w:val="24"/>
          <w:szCs w:val="24"/>
        </w:rPr>
        <w:t>Table 3</w:t>
      </w:r>
      <w:r w:rsidRPr="7F336052" w:rsidR="49256793">
        <w:rPr>
          <w:sz w:val="24"/>
          <w:szCs w:val="24"/>
        </w:rPr>
        <w:t xml:space="preserve"> presents an overview of the </w:t>
      </w:r>
      <w:r w:rsidRPr="7F336052" w:rsidR="04F80CF5">
        <w:rPr>
          <w:sz w:val="24"/>
          <w:szCs w:val="24"/>
        </w:rPr>
        <w:t xml:space="preserve">expected </w:t>
      </w:r>
      <w:r w:rsidRPr="7F336052" w:rsidR="49256793">
        <w:rPr>
          <w:sz w:val="24"/>
          <w:szCs w:val="24"/>
        </w:rPr>
        <w:t>project schedule for these deliverables.</w:t>
      </w:r>
    </w:p>
    <w:p w:rsidR="009710BE" w:rsidP="009710BE" w14:paraId="5C7E39A1" w14:textId="77777777">
      <w:pPr>
        <w:pStyle w:val="BodyText"/>
        <w:spacing w:after="0" w:line="240" w:lineRule="auto"/>
        <w:rPr>
          <w:sz w:val="24"/>
          <w:szCs w:val="24"/>
        </w:rPr>
      </w:pPr>
    </w:p>
    <w:p w:rsidR="00D61BD6" w:rsidP="009710BE" w14:paraId="325EE19F" w14:textId="77777777">
      <w:pPr>
        <w:pStyle w:val="BodyText"/>
        <w:spacing w:after="0" w:line="240" w:lineRule="auto"/>
        <w:rPr>
          <w:sz w:val="24"/>
          <w:szCs w:val="24"/>
        </w:rPr>
      </w:pPr>
    </w:p>
    <w:p w:rsidR="00D61BD6" w:rsidP="009710BE" w14:paraId="5FEBB130" w14:textId="77777777">
      <w:pPr>
        <w:pStyle w:val="BodyText"/>
        <w:spacing w:after="0" w:line="240" w:lineRule="auto"/>
        <w:rPr>
          <w:sz w:val="24"/>
          <w:szCs w:val="24"/>
        </w:rPr>
      </w:pPr>
    </w:p>
    <w:p w:rsidR="00D61BD6" w:rsidP="009710BE" w14:paraId="4B60719A" w14:textId="77777777">
      <w:pPr>
        <w:pStyle w:val="BodyText"/>
        <w:spacing w:after="0" w:line="240" w:lineRule="auto"/>
        <w:rPr>
          <w:sz w:val="24"/>
          <w:szCs w:val="24"/>
        </w:rPr>
      </w:pPr>
    </w:p>
    <w:p w:rsidR="009710BE" w:rsidP="00515FDA" w14:paraId="7175CEA5" w14:textId="5B4C1103">
      <w:pPr>
        <w:pStyle w:val="ListParagraph"/>
        <w:keepNext/>
        <w:ind w:left="0"/>
        <w:jc w:val="center"/>
        <w:rPr>
          <w:b/>
          <w:bCs/>
          <w:sz w:val="24"/>
          <w:szCs w:val="24"/>
        </w:rPr>
      </w:pPr>
      <w:r w:rsidRPr="55336FBA">
        <w:rPr>
          <w:b/>
          <w:bCs/>
          <w:sz w:val="24"/>
          <w:szCs w:val="24"/>
        </w:rPr>
        <w:t>Table 3</w:t>
      </w:r>
      <w:r w:rsidRPr="55336FBA" w:rsidR="00515FDA">
        <w:rPr>
          <w:b/>
          <w:bCs/>
          <w:sz w:val="24"/>
          <w:szCs w:val="24"/>
        </w:rPr>
        <w:t>.</w:t>
      </w:r>
      <w:r w:rsidRPr="55336FBA">
        <w:rPr>
          <w:b/>
          <w:bCs/>
          <w:sz w:val="24"/>
          <w:szCs w:val="24"/>
        </w:rPr>
        <w:t xml:space="preserve"> Estimated</w:t>
      </w:r>
      <w:r w:rsidRPr="55336FBA" w:rsidR="00515FDA">
        <w:rPr>
          <w:b/>
          <w:bCs/>
          <w:sz w:val="24"/>
          <w:szCs w:val="24"/>
        </w:rPr>
        <w:t xml:space="preserve"> Publication</w:t>
      </w:r>
      <w:r w:rsidRPr="55336FBA">
        <w:rPr>
          <w:b/>
          <w:bCs/>
          <w:sz w:val="24"/>
          <w:szCs w:val="24"/>
        </w:rPr>
        <w:t xml:space="preserve"> Schedule</w:t>
      </w:r>
    </w:p>
    <w:p w:rsidR="009A7796" w:rsidRPr="00515FDA" w:rsidP="00515FDA" w14:paraId="5026FC85" w14:textId="77777777">
      <w:pPr>
        <w:pStyle w:val="ListParagraph"/>
        <w:keepNext/>
        <w:ind w:left="0"/>
        <w:jc w:val="center"/>
        <w:rPr>
          <w:rFonts w:eastAsia="Calibri"/>
          <w:sz w:val="24"/>
          <w:szCs w:val="24"/>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5"/>
        <w:gridCol w:w="6030"/>
      </w:tblGrid>
      <w:tr w14:paraId="534A3CFF" w14:textId="77777777" w:rsidTr="00D61BD6">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3415" w:type="dxa"/>
            <w:shd w:val="clear" w:color="auto" w:fill="D9E2F3" w:themeFill="accent1" w:themeFillTint="33"/>
            <w:hideMark/>
          </w:tcPr>
          <w:p w:rsidR="009710BE" w:rsidRPr="008A423D" w:rsidP="00861EA9" w14:paraId="4F858521" w14:textId="77777777">
            <w:pPr>
              <w:rPr>
                <w:rFonts w:eastAsia="Calibri"/>
                <w:b/>
                <w:bCs/>
              </w:rPr>
            </w:pPr>
            <w:r w:rsidRPr="008A423D">
              <w:rPr>
                <w:rFonts w:eastAsia="Calibri"/>
                <w:b/>
                <w:bCs/>
              </w:rPr>
              <w:t>Deliverable</w:t>
            </w:r>
          </w:p>
        </w:tc>
        <w:tc>
          <w:tcPr>
            <w:tcW w:w="6030" w:type="dxa"/>
            <w:shd w:val="clear" w:color="auto" w:fill="D9E2F3" w:themeFill="accent1" w:themeFillTint="33"/>
            <w:hideMark/>
          </w:tcPr>
          <w:p w:rsidR="009710BE" w:rsidRPr="008A423D" w:rsidP="00861EA9" w14:paraId="50512020" w14:textId="77777777">
            <w:pPr>
              <w:jc w:val="center"/>
              <w:rPr>
                <w:rFonts w:eastAsia="Calibri"/>
                <w:b/>
                <w:bCs/>
              </w:rPr>
            </w:pPr>
            <w:r w:rsidRPr="008A423D">
              <w:rPr>
                <w:rFonts w:eastAsia="Calibri"/>
                <w:b/>
                <w:bCs/>
              </w:rPr>
              <w:t>Due Date</w:t>
            </w:r>
          </w:p>
        </w:tc>
      </w:tr>
      <w:tr w14:paraId="274AD528" w14:textId="77777777" w:rsidTr="00D61BD6">
        <w:tblPrEx>
          <w:tblW w:w="9445" w:type="dxa"/>
          <w:jc w:val="center"/>
          <w:tblLook w:val="04A0"/>
        </w:tblPrEx>
        <w:trPr>
          <w:trHeight w:val="250"/>
          <w:jc w:val="center"/>
        </w:trPr>
        <w:tc>
          <w:tcPr>
            <w:tcW w:w="3415" w:type="dxa"/>
            <w:shd w:val="clear" w:color="auto" w:fill="auto"/>
            <w:hideMark/>
          </w:tcPr>
          <w:p w:rsidR="009710BE" w:rsidRPr="008A423D" w:rsidP="00861EA9" w14:paraId="6212E684" w14:textId="77777777">
            <w:pPr>
              <w:rPr>
                <w:rFonts w:eastAsia="Calibri"/>
                <w:color w:val="000000"/>
              </w:rPr>
            </w:pPr>
            <w:r w:rsidRPr="008A423D">
              <w:rPr>
                <w:rFonts w:eastAsia="Calibri"/>
                <w:color w:val="000000"/>
              </w:rPr>
              <w:t>Data collection</w:t>
            </w:r>
          </w:p>
        </w:tc>
        <w:tc>
          <w:tcPr>
            <w:tcW w:w="6030" w:type="dxa"/>
            <w:shd w:val="clear" w:color="auto" w:fill="auto"/>
            <w:hideMark/>
          </w:tcPr>
          <w:p w:rsidR="009710BE" w:rsidRPr="008A423D" w:rsidP="00861EA9" w14:paraId="0A2234AB" w14:textId="241BB07F">
            <w:pPr>
              <w:jc w:val="center"/>
              <w:rPr>
                <w:rFonts w:eastAsia="Calibri"/>
                <w:color w:val="000000"/>
              </w:rPr>
            </w:pPr>
            <w:r w:rsidRPr="008A423D">
              <w:rPr>
                <w:rFonts w:eastAsia="Calibri"/>
                <w:color w:val="000000" w:themeColor="text1"/>
              </w:rPr>
              <w:t xml:space="preserve">Application </w:t>
            </w:r>
            <w:r w:rsidRPr="008A423D" w:rsidR="00EF6C1D">
              <w:rPr>
                <w:rFonts w:eastAsia="Calibri"/>
                <w:color w:val="000000" w:themeColor="text1"/>
              </w:rPr>
              <w:t>S</w:t>
            </w:r>
            <w:r w:rsidRPr="008A423D">
              <w:rPr>
                <w:rFonts w:eastAsia="Calibri"/>
                <w:color w:val="000000" w:themeColor="text1"/>
              </w:rPr>
              <w:t>urvey</w:t>
            </w:r>
            <w:r w:rsidRPr="008A423D" w:rsidR="00D8C812">
              <w:rPr>
                <w:rFonts w:eastAsia="Calibri"/>
                <w:color w:val="000000" w:themeColor="text1"/>
              </w:rPr>
              <w:t xml:space="preserve"> and Interview</w:t>
            </w:r>
            <w:r w:rsidRPr="008A423D">
              <w:rPr>
                <w:rFonts w:eastAsia="Calibri"/>
                <w:color w:val="000000" w:themeColor="text1"/>
              </w:rPr>
              <w:t xml:space="preserve">: </w:t>
            </w:r>
            <w:r w:rsidRPr="008A423D" w:rsidR="00BA4B02">
              <w:rPr>
                <w:rFonts w:eastAsia="Calibri"/>
                <w:color w:val="000000" w:themeColor="text1"/>
              </w:rPr>
              <w:t>Summer-Fall</w:t>
            </w:r>
            <w:r w:rsidRPr="008A423D">
              <w:rPr>
                <w:rFonts w:eastAsia="Calibri"/>
                <w:color w:val="000000" w:themeColor="text1"/>
              </w:rPr>
              <w:t xml:space="preserve"> 2024</w:t>
            </w:r>
            <w:r w:rsidRPr="008A423D">
              <w:br/>
            </w:r>
            <w:r w:rsidRPr="008A423D" w:rsidR="00EF6C1D">
              <w:rPr>
                <w:rFonts w:eastAsia="Calibri"/>
                <w:color w:val="000000" w:themeColor="text1"/>
              </w:rPr>
              <w:t>Scoping and Design</w:t>
            </w:r>
            <w:r w:rsidRPr="008A423D">
              <w:rPr>
                <w:rFonts w:eastAsia="Calibri"/>
                <w:color w:val="000000" w:themeColor="text1"/>
              </w:rPr>
              <w:t xml:space="preserve"> </w:t>
            </w:r>
            <w:r w:rsidRPr="008A423D" w:rsidR="00EF6C1D">
              <w:rPr>
                <w:rFonts w:eastAsia="Calibri"/>
                <w:color w:val="000000" w:themeColor="text1"/>
              </w:rPr>
              <w:t>S</w:t>
            </w:r>
            <w:r w:rsidRPr="008A423D">
              <w:rPr>
                <w:rFonts w:eastAsia="Calibri"/>
                <w:color w:val="000000" w:themeColor="text1"/>
              </w:rPr>
              <w:t>urvey</w:t>
            </w:r>
            <w:r w:rsidRPr="008A423D" w:rsidR="1099FC6B">
              <w:rPr>
                <w:rFonts w:eastAsia="Calibri"/>
                <w:color w:val="000000" w:themeColor="text1"/>
              </w:rPr>
              <w:t xml:space="preserve"> and Interview</w:t>
            </w:r>
            <w:r w:rsidRPr="008A423D">
              <w:rPr>
                <w:rFonts w:eastAsia="Calibri"/>
                <w:color w:val="000000" w:themeColor="text1"/>
              </w:rPr>
              <w:t xml:space="preserve">: </w:t>
            </w:r>
            <w:r w:rsidRPr="008A423D" w:rsidR="00BA4B02">
              <w:rPr>
                <w:rFonts w:eastAsia="Calibri"/>
                <w:color w:val="000000" w:themeColor="text1"/>
              </w:rPr>
              <w:t>Summer</w:t>
            </w:r>
            <w:r w:rsidRPr="008A423D">
              <w:rPr>
                <w:rFonts w:eastAsia="Calibri"/>
                <w:color w:val="000000" w:themeColor="text1"/>
              </w:rPr>
              <w:t xml:space="preserve"> 2024-</w:t>
            </w:r>
            <w:r w:rsidRPr="008A423D" w:rsidR="00BA4B02">
              <w:rPr>
                <w:rFonts w:eastAsia="Calibri"/>
                <w:color w:val="000000" w:themeColor="text1"/>
              </w:rPr>
              <w:t>Fall</w:t>
            </w:r>
            <w:r w:rsidRPr="008A423D">
              <w:rPr>
                <w:rFonts w:eastAsia="Calibri"/>
                <w:color w:val="000000" w:themeColor="text1"/>
              </w:rPr>
              <w:t xml:space="preserve"> 2026</w:t>
            </w:r>
          </w:p>
          <w:p w:rsidR="009710BE" w:rsidRPr="008A423D" w:rsidP="00BA4B02" w14:paraId="5D4B2803" w14:textId="60837D50">
            <w:pPr>
              <w:jc w:val="center"/>
              <w:rPr>
                <w:rFonts w:eastAsia="Calibri"/>
                <w:color w:val="000000"/>
              </w:rPr>
            </w:pPr>
            <w:r w:rsidRPr="008A423D">
              <w:rPr>
                <w:rFonts w:eastAsia="Calibri"/>
                <w:color w:val="000000" w:themeColor="text1"/>
              </w:rPr>
              <w:t>Post-Construction</w:t>
            </w:r>
            <w:r w:rsidRPr="008A423D">
              <w:rPr>
                <w:rFonts w:eastAsia="Calibri"/>
                <w:color w:val="000000" w:themeColor="text1"/>
              </w:rPr>
              <w:t xml:space="preserve"> </w:t>
            </w:r>
            <w:r w:rsidRPr="008A423D">
              <w:rPr>
                <w:rFonts w:eastAsia="Calibri"/>
                <w:color w:val="000000" w:themeColor="text1"/>
              </w:rPr>
              <w:t>S</w:t>
            </w:r>
            <w:r w:rsidRPr="008A423D">
              <w:rPr>
                <w:rFonts w:eastAsia="Calibri"/>
                <w:color w:val="000000" w:themeColor="text1"/>
              </w:rPr>
              <w:t>urvey</w:t>
            </w:r>
            <w:r w:rsidRPr="008A423D" w:rsidR="0A58FC63">
              <w:rPr>
                <w:rFonts w:eastAsia="Calibri"/>
                <w:color w:val="000000" w:themeColor="text1"/>
              </w:rPr>
              <w:t xml:space="preserve"> and Interview</w:t>
            </w:r>
            <w:r w:rsidRPr="008A423D">
              <w:rPr>
                <w:rFonts w:eastAsia="Calibri"/>
                <w:color w:val="000000" w:themeColor="text1"/>
              </w:rPr>
              <w:t xml:space="preserve">: </w:t>
            </w:r>
            <w:r w:rsidRPr="008A423D" w:rsidR="00BA4B02">
              <w:rPr>
                <w:rFonts w:eastAsia="Calibri"/>
                <w:color w:val="000000" w:themeColor="text1"/>
              </w:rPr>
              <w:t>Fall</w:t>
            </w:r>
            <w:r w:rsidRPr="008A423D">
              <w:rPr>
                <w:rFonts w:eastAsia="Calibri"/>
                <w:color w:val="000000" w:themeColor="text1"/>
              </w:rPr>
              <w:t xml:space="preserve"> 2024-</w:t>
            </w:r>
            <w:r w:rsidRPr="008A423D" w:rsidR="00BA4B02">
              <w:rPr>
                <w:rFonts w:eastAsia="Calibri"/>
                <w:color w:val="000000" w:themeColor="text1"/>
              </w:rPr>
              <w:t>Early 2028</w:t>
            </w:r>
          </w:p>
        </w:tc>
      </w:tr>
      <w:tr w14:paraId="430C44DB" w14:textId="77777777" w:rsidTr="00D61BD6">
        <w:tblPrEx>
          <w:tblW w:w="9445" w:type="dxa"/>
          <w:jc w:val="center"/>
          <w:tblLook w:val="04A0"/>
        </w:tblPrEx>
        <w:trPr>
          <w:trHeight w:val="70"/>
          <w:jc w:val="center"/>
        </w:trPr>
        <w:tc>
          <w:tcPr>
            <w:tcW w:w="3415" w:type="dxa"/>
            <w:shd w:val="clear" w:color="auto" w:fill="auto"/>
            <w:hideMark/>
          </w:tcPr>
          <w:p w:rsidR="009710BE" w:rsidRPr="008A423D" w:rsidP="00861EA9" w14:paraId="7CE01FBE" w14:textId="77777777">
            <w:pPr>
              <w:rPr>
                <w:rFonts w:eastAsia="Calibri"/>
                <w:color w:val="000000"/>
              </w:rPr>
            </w:pPr>
            <w:r w:rsidRPr="008A423D">
              <w:rPr>
                <w:rFonts w:eastAsia="Calibri"/>
                <w:b/>
                <w:bCs/>
                <w:color w:val="000000"/>
              </w:rPr>
              <w:t>BRIEFINGS</w:t>
            </w:r>
          </w:p>
        </w:tc>
        <w:tc>
          <w:tcPr>
            <w:tcW w:w="6030" w:type="dxa"/>
            <w:shd w:val="clear" w:color="auto" w:fill="auto"/>
          </w:tcPr>
          <w:p w:rsidR="009710BE" w:rsidRPr="008A423D" w:rsidP="00861EA9" w14:paraId="3D2EAF6A" w14:textId="77777777">
            <w:pPr>
              <w:rPr>
                <w:rFonts w:eastAsia="Calibri"/>
                <w:color w:val="000000"/>
              </w:rPr>
            </w:pPr>
          </w:p>
        </w:tc>
      </w:tr>
      <w:tr w14:paraId="080773F4" w14:textId="77777777" w:rsidTr="00D61BD6">
        <w:tblPrEx>
          <w:tblW w:w="9445" w:type="dxa"/>
          <w:jc w:val="center"/>
          <w:tblLook w:val="04A0"/>
        </w:tblPrEx>
        <w:trPr>
          <w:trHeight w:val="106"/>
          <w:jc w:val="center"/>
        </w:trPr>
        <w:tc>
          <w:tcPr>
            <w:tcW w:w="3415" w:type="dxa"/>
            <w:shd w:val="clear" w:color="auto" w:fill="auto"/>
            <w:hideMark/>
          </w:tcPr>
          <w:p w:rsidR="009710BE" w:rsidRPr="008A423D" w:rsidP="00861EA9" w14:paraId="48BA6D1C" w14:textId="77777777">
            <w:pPr>
              <w:rPr>
                <w:rFonts w:eastAsia="Calibri"/>
                <w:color w:val="000000"/>
              </w:rPr>
            </w:pPr>
            <w:r w:rsidRPr="008A423D">
              <w:rPr>
                <w:rFonts w:eastAsia="Calibri"/>
                <w:color w:val="000000"/>
              </w:rPr>
              <w:t>Draft interim briefing materials</w:t>
            </w:r>
          </w:p>
        </w:tc>
        <w:tc>
          <w:tcPr>
            <w:tcW w:w="6030" w:type="dxa"/>
            <w:shd w:val="clear" w:color="auto" w:fill="auto"/>
            <w:hideMark/>
          </w:tcPr>
          <w:p w:rsidR="009710BE" w:rsidRPr="008A423D" w:rsidP="00861EA9" w14:paraId="32F8A610" w14:textId="77777777">
            <w:pPr>
              <w:jc w:val="center"/>
              <w:rPr>
                <w:rFonts w:eastAsia="Calibri"/>
                <w:color w:val="000000"/>
              </w:rPr>
            </w:pPr>
            <w:r w:rsidRPr="008A423D">
              <w:rPr>
                <w:rFonts w:eastAsia="Calibri"/>
                <w:color w:val="000000"/>
              </w:rPr>
              <w:t>Spring 2027</w:t>
            </w:r>
          </w:p>
        </w:tc>
      </w:tr>
      <w:tr w14:paraId="0E630251" w14:textId="77777777" w:rsidTr="00D61BD6">
        <w:tblPrEx>
          <w:tblW w:w="9445" w:type="dxa"/>
          <w:jc w:val="center"/>
          <w:tblLook w:val="04A0"/>
        </w:tblPrEx>
        <w:trPr>
          <w:trHeight w:val="151"/>
          <w:jc w:val="center"/>
        </w:trPr>
        <w:tc>
          <w:tcPr>
            <w:tcW w:w="3415" w:type="dxa"/>
            <w:shd w:val="clear" w:color="auto" w:fill="auto"/>
            <w:hideMark/>
          </w:tcPr>
          <w:p w:rsidR="009710BE" w:rsidRPr="008A423D" w:rsidP="00861EA9" w14:paraId="20F81DB3" w14:textId="77777777">
            <w:pPr>
              <w:rPr>
                <w:rFonts w:eastAsia="Calibri"/>
                <w:color w:val="000000"/>
              </w:rPr>
            </w:pPr>
            <w:r w:rsidRPr="008A423D">
              <w:rPr>
                <w:rFonts w:eastAsia="Calibri"/>
                <w:color w:val="000000"/>
              </w:rPr>
              <w:t>Interim briefing</w:t>
            </w:r>
          </w:p>
        </w:tc>
        <w:tc>
          <w:tcPr>
            <w:tcW w:w="6030" w:type="dxa"/>
            <w:shd w:val="clear" w:color="auto" w:fill="auto"/>
            <w:hideMark/>
          </w:tcPr>
          <w:p w:rsidR="009710BE" w:rsidRPr="008A423D" w:rsidP="00861EA9" w14:paraId="69982F7F" w14:textId="77777777">
            <w:pPr>
              <w:jc w:val="center"/>
              <w:rPr>
                <w:rFonts w:eastAsia="Calibri"/>
                <w:color w:val="000000"/>
              </w:rPr>
            </w:pPr>
            <w:r w:rsidRPr="008A423D">
              <w:rPr>
                <w:rFonts w:eastAsia="Calibri"/>
                <w:color w:val="000000"/>
              </w:rPr>
              <w:t>Spring 2027</w:t>
            </w:r>
          </w:p>
        </w:tc>
      </w:tr>
      <w:tr w14:paraId="5A9D1893" w14:textId="77777777" w:rsidTr="00D61BD6">
        <w:tblPrEx>
          <w:tblW w:w="9445" w:type="dxa"/>
          <w:jc w:val="center"/>
          <w:tblLook w:val="04A0"/>
        </w:tblPrEx>
        <w:trPr>
          <w:trHeight w:val="44"/>
          <w:jc w:val="center"/>
        </w:trPr>
        <w:tc>
          <w:tcPr>
            <w:tcW w:w="3415" w:type="dxa"/>
            <w:shd w:val="clear" w:color="auto" w:fill="auto"/>
            <w:hideMark/>
          </w:tcPr>
          <w:p w:rsidR="009710BE" w:rsidRPr="008A423D" w:rsidP="00861EA9" w14:paraId="075C957A" w14:textId="77777777">
            <w:pPr>
              <w:rPr>
                <w:rFonts w:eastAsia="Calibri"/>
                <w:color w:val="000000"/>
              </w:rPr>
            </w:pPr>
            <w:r w:rsidRPr="008A423D">
              <w:rPr>
                <w:rFonts w:eastAsia="Calibri"/>
                <w:color w:val="000000"/>
              </w:rPr>
              <w:t>Draft final briefing materials</w:t>
            </w:r>
          </w:p>
        </w:tc>
        <w:tc>
          <w:tcPr>
            <w:tcW w:w="6030" w:type="dxa"/>
            <w:shd w:val="clear" w:color="auto" w:fill="auto"/>
            <w:hideMark/>
          </w:tcPr>
          <w:p w:rsidR="009710BE" w:rsidRPr="008A423D" w:rsidP="00861EA9" w14:paraId="05DF17B4" w14:textId="77777777">
            <w:pPr>
              <w:jc w:val="center"/>
              <w:rPr>
                <w:rFonts w:eastAsia="Calibri"/>
                <w:color w:val="000000"/>
              </w:rPr>
            </w:pPr>
            <w:r w:rsidRPr="008A423D">
              <w:rPr>
                <w:rFonts w:eastAsia="Calibri"/>
                <w:color w:val="000000"/>
              </w:rPr>
              <w:t>Fall 2028</w:t>
            </w:r>
          </w:p>
        </w:tc>
      </w:tr>
      <w:tr w14:paraId="0CD7B028" w14:textId="77777777" w:rsidTr="00D61BD6">
        <w:tblPrEx>
          <w:tblW w:w="9445" w:type="dxa"/>
          <w:jc w:val="center"/>
          <w:tblLook w:val="04A0"/>
        </w:tblPrEx>
        <w:trPr>
          <w:trHeight w:val="61"/>
          <w:jc w:val="center"/>
        </w:trPr>
        <w:tc>
          <w:tcPr>
            <w:tcW w:w="3415" w:type="dxa"/>
            <w:shd w:val="clear" w:color="auto" w:fill="auto"/>
            <w:hideMark/>
          </w:tcPr>
          <w:p w:rsidR="009710BE" w:rsidRPr="008A423D" w:rsidP="00861EA9" w14:paraId="57C4A47B" w14:textId="77777777">
            <w:pPr>
              <w:rPr>
                <w:rFonts w:eastAsia="Calibri"/>
                <w:color w:val="000000"/>
              </w:rPr>
            </w:pPr>
            <w:r w:rsidRPr="008A423D">
              <w:rPr>
                <w:rFonts w:eastAsia="Calibri"/>
                <w:color w:val="000000"/>
              </w:rPr>
              <w:t>Final briefing</w:t>
            </w:r>
          </w:p>
        </w:tc>
        <w:tc>
          <w:tcPr>
            <w:tcW w:w="6030" w:type="dxa"/>
            <w:shd w:val="clear" w:color="auto" w:fill="auto"/>
            <w:hideMark/>
          </w:tcPr>
          <w:p w:rsidR="009710BE" w:rsidRPr="008A423D" w:rsidP="00861EA9" w14:paraId="2DE6DDCC" w14:textId="77777777">
            <w:pPr>
              <w:jc w:val="center"/>
              <w:rPr>
                <w:rFonts w:eastAsia="Calibri"/>
                <w:color w:val="000000"/>
              </w:rPr>
            </w:pPr>
            <w:r w:rsidRPr="008A423D">
              <w:rPr>
                <w:rFonts w:eastAsia="Calibri"/>
                <w:color w:val="000000"/>
              </w:rPr>
              <w:t>Fall 2028</w:t>
            </w:r>
          </w:p>
        </w:tc>
      </w:tr>
      <w:tr w14:paraId="50F68F5E" w14:textId="77777777" w:rsidTr="00D61BD6">
        <w:tblPrEx>
          <w:tblW w:w="9445" w:type="dxa"/>
          <w:jc w:val="center"/>
          <w:tblLook w:val="04A0"/>
        </w:tblPrEx>
        <w:trPr>
          <w:trHeight w:val="97"/>
          <w:jc w:val="center"/>
        </w:trPr>
        <w:tc>
          <w:tcPr>
            <w:tcW w:w="3415" w:type="dxa"/>
            <w:shd w:val="clear" w:color="auto" w:fill="auto"/>
          </w:tcPr>
          <w:p w:rsidR="009710BE" w:rsidRPr="008A423D" w:rsidP="00861EA9" w14:paraId="498DA83A" w14:textId="77777777">
            <w:pPr>
              <w:rPr>
                <w:rFonts w:eastAsia="Calibri"/>
                <w:color w:val="000000"/>
              </w:rPr>
            </w:pPr>
            <w:r w:rsidRPr="008A423D">
              <w:rPr>
                <w:rFonts w:eastAsia="Calibri"/>
                <w:b/>
                <w:bCs/>
                <w:color w:val="000000"/>
              </w:rPr>
              <w:t>REPORTS</w:t>
            </w:r>
          </w:p>
        </w:tc>
        <w:tc>
          <w:tcPr>
            <w:tcW w:w="6030" w:type="dxa"/>
            <w:shd w:val="clear" w:color="auto" w:fill="auto"/>
          </w:tcPr>
          <w:p w:rsidR="009710BE" w:rsidRPr="008A423D" w:rsidP="00861EA9" w14:paraId="5A7B8DAA" w14:textId="77777777">
            <w:pPr>
              <w:rPr>
                <w:rFonts w:eastAsia="Calibri"/>
                <w:color w:val="000000"/>
              </w:rPr>
            </w:pPr>
          </w:p>
        </w:tc>
      </w:tr>
      <w:tr w14:paraId="10F81A18" w14:textId="77777777" w:rsidTr="00D61BD6">
        <w:tblPrEx>
          <w:tblW w:w="9445" w:type="dxa"/>
          <w:jc w:val="center"/>
          <w:tblLook w:val="04A0"/>
        </w:tblPrEx>
        <w:trPr>
          <w:trHeight w:val="97"/>
          <w:jc w:val="center"/>
        </w:trPr>
        <w:tc>
          <w:tcPr>
            <w:tcW w:w="3415" w:type="dxa"/>
            <w:shd w:val="clear" w:color="auto" w:fill="auto"/>
            <w:hideMark/>
          </w:tcPr>
          <w:p w:rsidR="009710BE" w:rsidRPr="008A423D" w:rsidP="00861EA9" w14:paraId="1DE6F679" w14:textId="77777777">
            <w:pPr>
              <w:rPr>
                <w:rFonts w:eastAsia="Calibri"/>
                <w:color w:val="000000"/>
              </w:rPr>
            </w:pPr>
            <w:r w:rsidRPr="008A423D">
              <w:rPr>
                <w:rFonts w:eastAsia="Calibri"/>
                <w:color w:val="000000"/>
              </w:rPr>
              <w:t>Draft interim report</w:t>
            </w:r>
          </w:p>
        </w:tc>
        <w:tc>
          <w:tcPr>
            <w:tcW w:w="6030" w:type="dxa"/>
            <w:shd w:val="clear" w:color="auto" w:fill="auto"/>
            <w:hideMark/>
          </w:tcPr>
          <w:p w:rsidR="009710BE" w:rsidRPr="008A423D" w:rsidP="00861EA9" w14:paraId="408A33F5" w14:textId="77777777">
            <w:pPr>
              <w:jc w:val="center"/>
              <w:rPr>
                <w:rFonts w:eastAsia="Calibri"/>
                <w:color w:val="000000"/>
              </w:rPr>
            </w:pPr>
            <w:r w:rsidRPr="008A423D">
              <w:rPr>
                <w:rFonts w:eastAsia="Calibri"/>
                <w:color w:val="000000"/>
              </w:rPr>
              <w:t>Spring 2027</w:t>
            </w:r>
          </w:p>
        </w:tc>
      </w:tr>
      <w:tr w14:paraId="279FD8E7" w14:textId="77777777" w:rsidTr="00D61BD6">
        <w:tblPrEx>
          <w:tblW w:w="9445" w:type="dxa"/>
          <w:jc w:val="center"/>
          <w:tblLook w:val="04A0"/>
        </w:tblPrEx>
        <w:trPr>
          <w:trHeight w:val="52"/>
          <w:jc w:val="center"/>
        </w:trPr>
        <w:tc>
          <w:tcPr>
            <w:tcW w:w="3415" w:type="dxa"/>
            <w:shd w:val="clear" w:color="auto" w:fill="auto"/>
            <w:hideMark/>
          </w:tcPr>
          <w:p w:rsidR="009710BE" w:rsidRPr="008A423D" w:rsidP="00861EA9" w14:paraId="190DC743" w14:textId="77777777">
            <w:pPr>
              <w:rPr>
                <w:rFonts w:eastAsia="Calibri"/>
                <w:color w:val="000000"/>
              </w:rPr>
            </w:pPr>
            <w:r w:rsidRPr="008A423D">
              <w:rPr>
                <w:rFonts w:eastAsia="Calibri"/>
                <w:color w:val="000000"/>
              </w:rPr>
              <w:t>Final interim report</w:t>
            </w:r>
          </w:p>
        </w:tc>
        <w:tc>
          <w:tcPr>
            <w:tcW w:w="6030" w:type="dxa"/>
            <w:shd w:val="clear" w:color="auto" w:fill="auto"/>
            <w:hideMark/>
          </w:tcPr>
          <w:p w:rsidR="009710BE" w:rsidRPr="008A423D" w:rsidP="00861EA9" w14:paraId="40A22630" w14:textId="77777777">
            <w:pPr>
              <w:jc w:val="center"/>
              <w:rPr>
                <w:rFonts w:eastAsia="Calibri"/>
                <w:color w:val="000000"/>
              </w:rPr>
            </w:pPr>
            <w:r w:rsidRPr="008A423D">
              <w:rPr>
                <w:rFonts w:eastAsia="Calibri"/>
                <w:color w:val="000000"/>
              </w:rPr>
              <w:t>Summer 2027</w:t>
            </w:r>
          </w:p>
        </w:tc>
      </w:tr>
      <w:tr w14:paraId="571360F9" w14:textId="77777777" w:rsidTr="00D61BD6">
        <w:tblPrEx>
          <w:tblW w:w="9445" w:type="dxa"/>
          <w:jc w:val="center"/>
          <w:tblLook w:val="04A0"/>
        </w:tblPrEx>
        <w:trPr>
          <w:trHeight w:val="178"/>
          <w:jc w:val="center"/>
        </w:trPr>
        <w:tc>
          <w:tcPr>
            <w:tcW w:w="3415" w:type="dxa"/>
            <w:shd w:val="clear" w:color="auto" w:fill="auto"/>
            <w:hideMark/>
          </w:tcPr>
          <w:p w:rsidR="009710BE" w:rsidRPr="008A423D" w:rsidP="00861EA9" w14:paraId="3A50EB1D" w14:textId="77777777">
            <w:pPr>
              <w:rPr>
                <w:rFonts w:eastAsia="Calibri"/>
                <w:color w:val="000000"/>
              </w:rPr>
            </w:pPr>
            <w:r w:rsidRPr="008A423D">
              <w:rPr>
                <w:rFonts w:eastAsia="Calibri"/>
                <w:color w:val="000000"/>
              </w:rPr>
              <w:t>Draft final report</w:t>
            </w:r>
          </w:p>
        </w:tc>
        <w:tc>
          <w:tcPr>
            <w:tcW w:w="6030" w:type="dxa"/>
            <w:shd w:val="clear" w:color="auto" w:fill="auto"/>
            <w:hideMark/>
          </w:tcPr>
          <w:p w:rsidR="009710BE" w:rsidRPr="008A423D" w:rsidP="00861EA9" w14:paraId="4D587F2B" w14:textId="77777777">
            <w:pPr>
              <w:jc w:val="center"/>
              <w:rPr>
                <w:rFonts w:eastAsia="Calibri"/>
                <w:color w:val="000000"/>
              </w:rPr>
            </w:pPr>
            <w:r w:rsidRPr="008A423D">
              <w:rPr>
                <w:rFonts w:eastAsia="Calibri"/>
                <w:color w:val="000000"/>
              </w:rPr>
              <w:t>Fall 2028</w:t>
            </w:r>
          </w:p>
        </w:tc>
      </w:tr>
      <w:tr w14:paraId="79742F67" w14:textId="77777777" w:rsidTr="00D61BD6">
        <w:tblPrEx>
          <w:tblW w:w="9445" w:type="dxa"/>
          <w:jc w:val="center"/>
          <w:tblLook w:val="04A0"/>
        </w:tblPrEx>
        <w:trPr>
          <w:trHeight w:val="52"/>
          <w:jc w:val="center"/>
        </w:trPr>
        <w:tc>
          <w:tcPr>
            <w:tcW w:w="3415" w:type="dxa"/>
            <w:shd w:val="clear" w:color="auto" w:fill="auto"/>
            <w:hideMark/>
          </w:tcPr>
          <w:p w:rsidR="009710BE" w:rsidRPr="008A423D" w:rsidP="00861EA9" w14:paraId="1D7C0DD2" w14:textId="77777777">
            <w:pPr>
              <w:rPr>
                <w:rFonts w:eastAsia="Calibri"/>
                <w:color w:val="000000"/>
              </w:rPr>
            </w:pPr>
            <w:r w:rsidRPr="008A423D">
              <w:rPr>
                <w:rFonts w:eastAsia="Calibri"/>
                <w:color w:val="000000"/>
              </w:rPr>
              <w:t>Final report</w:t>
            </w:r>
          </w:p>
        </w:tc>
        <w:tc>
          <w:tcPr>
            <w:tcW w:w="6030" w:type="dxa"/>
            <w:shd w:val="clear" w:color="auto" w:fill="auto"/>
            <w:hideMark/>
          </w:tcPr>
          <w:p w:rsidR="009710BE" w:rsidRPr="008A423D" w:rsidP="00861EA9" w14:paraId="3B2AF134" w14:textId="77777777">
            <w:pPr>
              <w:jc w:val="center"/>
              <w:rPr>
                <w:rFonts w:eastAsia="Calibri"/>
                <w:color w:val="000000"/>
              </w:rPr>
            </w:pPr>
            <w:r w:rsidRPr="008A423D">
              <w:rPr>
                <w:rFonts w:eastAsia="Calibri"/>
                <w:color w:val="000000"/>
              </w:rPr>
              <w:t>Late 2028/Early 2029</w:t>
            </w:r>
          </w:p>
        </w:tc>
      </w:tr>
    </w:tbl>
    <w:p w:rsidR="009E13B1" w14:paraId="794B889D" w14:textId="77777777">
      <w:pPr>
        <w:keepLines/>
        <w:tabs>
          <w:tab w:val="left" w:pos="360"/>
        </w:tabs>
        <w:spacing w:after="80"/>
        <w:ind w:left="360" w:hanging="360"/>
        <w:rPr>
          <w:sz w:val="24"/>
          <w:szCs w:val="24"/>
        </w:rPr>
      </w:pPr>
    </w:p>
    <w:p w:rsidR="006F6342" w:rsidRPr="006F6342" w:rsidP="00A60233" w14:paraId="06340A67" w14:textId="38B1F67C">
      <w:pPr>
        <w:keepLines/>
        <w:tabs>
          <w:tab w:val="left" w:pos="360"/>
        </w:tabs>
        <w:spacing w:after="80"/>
        <w:ind w:left="360" w:hanging="360"/>
        <w:rPr>
          <w:sz w:val="24"/>
          <w:szCs w:val="24"/>
        </w:rPr>
      </w:pPr>
      <w:r>
        <w:rPr>
          <w:sz w:val="24"/>
          <w:szCs w:val="24"/>
        </w:rPr>
        <w:tab/>
      </w:r>
      <w:r w:rsidR="4245BC14">
        <w:rPr>
          <w:sz w:val="24"/>
          <w:szCs w:val="24"/>
        </w:rPr>
        <w:t>For the benchmarking data collection,</w:t>
      </w:r>
      <w:r w:rsidRPr="006F6342" w:rsidR="64D82293">
        <w:rPr>
          <w:sz w:val="24"/>
          <w:szCs w:val="24"/>
        </w:rPr>
        <w:t xml:space="preserve"> </w:t>
      </w:r>
      <w:r w:rsidR="4245BC14">
        <w:rPr>
          <w:sz w:val="24"/>
          <w:szCs w:val="24"/>
        </w:rPr>
        <w:t>a</w:t>
      </w:r>
      <w:r w:rsidRPr="7F336052" w:rsidR="64D82293">
        <w:rPr>
          <w:sz w:val="24"/>
          <w:szCs w:val="24"/>
        </w:rPr>
        <w:t>fter the initial</w:t>
      </w:r>
      <w:r w:rsidRPr="006F6342" w:rsidR="64D82293">
        <w:rPr>
          <w:sz w:val="24"/>
          <w:szCs w:val="24"/>
        </w:rPr>
        <w:t xml:space="preserve"> benchmarking process, the contractor will </w:t>
      </w:r>
      <w:r w:rsidRPr="006F6342" w:rsidR="64D82293">
        <w:rPr>
          <w:sz w:val="24"/>
          <w:szCs w:val="24"/>
        </w:rPr>
        <w:t>provide to</w:t>
      </w:r>
      <w:r w:rsidRPr="006F6342" w:rsidR="64D82293">
        <w:rPr>
          <w:sz w:val="24"/>
          <w:szCs w:val="24"/>
        </w:rPr>
        <w:t xml:space="preserve"> property owners an analysis report for each property benchmarked. </w:t>
      </w:r>
      <w:r w:rsidR="4245BC14">
        <w:rPr>
          <w:sz w:val="24"/>
          <w:szCs w:val="24"/>
        </w:rPr>
        <w:t xml:space="preserve">The report will provide owners </w:t>
      </w:r>
      <w:r w:rsidRPr="006F6342" w:rsidR="64D82293">
        <w:rPr>
          <w:sz w:val="24"/>
          <w:szCs w:val="24"/>
        </w:rPr>
        <w:t xml:space="preserve">with </w:t>
      </w:r>
      <w:r w:rsidRPr="006F6342" w:rsidR="64D82293">
        <w:rPr>
          <w:sz w:val="24"/>
          <w:szCs w:val="24"/>
        </w:rPr>
        <w:t>usage</w:t>
      </w:r>
      <w:r w:rsidRPr="006F6342" w:rsidR="64D82293">
        <w:rPr>
          <w:sz w:val="24"/>
          <w:szCs w:val="24"/>
        </w:rPr>
        <w:t xml:space="preserve"> summary, comparison to like properties, a list </w:t>
      </w:r>
      <w:r w:rsidR="4245BC14">
        <w:rPr>
          <w:sz w:val="24"/>
          <w:szCs w:val="24"/>
        </w:rPr>
        <w:t xml:space="preserve">of </w:t>
      </w:r>
      <w:r w:rsidRPr="006F6342" w:rsidR="64D82293">
        <w:rPr>
          <w:sz w:val="24"/>
          <w:szCs w:val="24"/>
        </w:rPr>
        <w:t xml:space="preserve">programs the property may be eligible for, </w:t>
      </w:r>
      <w:r w:rsidR="4245BC14">
        <w:rPr>
          <w:sz w:val="24"/>
          <w:szCs w:val="24"/>
        </w:rPr>
        <w:t xml:space="preserve">and </w:t>
      </w:r>
      <w:r w:rsidRPr="006F6342" w:rsidR="64D82293">
        <w:rPr>
          <w:sz w:val="24"/>
          <w:szCs w:val="24"/>
        </w:rPr>
        <w:t xml:space="preserve">a list of recommendations for improving efficiency and utility costs. </w:t>
      </w:r>
      <w:r w:rsidR="44A61474">
        <w:rPr>
          <w:sz w:val="24"/>
          <w:szCs w:val="24"/>
        </w:rPr>
        <w:t>These reports will not be published publicly.</w:t>
      </w:r>
      <w:r w:rsidRPr="006F6342" w:rsidR="64D82293">
        <w:rPr>
          <w:sz w:val="24"/>
          <w:szCs w:val="24"/>
        </w:rPr>
        <w:t xml:space="preserve"> </w:t>
      </w:r>
    </w:p>
    <w:p w:rsidR="00A60233" w:rsidP="006F6342" w14:paraId="22BB252F" w14:textId="77777777">
      <w:pPr>
        <w:keepLines/>
        <w:tabs>
          <w:tab w:val="left" w:pos="360"/>
        </w:tabs>
        <w:spacing w:after="80"/>
        <w:ind w:left="360" w:hanging="360"/>
        <w:rPr>
          <w:sz w:val="24"/>
          <w:szCs w:val="24"/>
        </w:rPr>
      </w:pPr>
    </w:p>
    <w:p w:rsidR="006F6342" w:rsidP="006F6342" w14:paraId="4CB8797E" w14:textId="4660588A">
      <w:pPr>
        <w:keepLines/>
        <w:tabs>
          <w:tab w:val="left" w:pos="360"/>
        </w:tabs>
        <w:spacing w:after="80"/>
        <w:ind w:left="360" w:hanging="360"/>
        <w:rPr>
          <w:sz w:val="24"/>
          <w:szCs w:val="24"/>
        </w:rPr>
      </w:pPr>
      <w:r>
        <w:rPr>
          <w:sz w:val="24"/>
          <w:szCs w:val="24"/>
        </w:rPr>
        <w:tab/>
      </w:r>
      <w:r w:rsidRPr="006F6342" w:rsidR="64D82293">
        <w:rPr>
          <w:sz w:val="24"/>
          <w:szCs w:val="24"/>
        </w:rPr>
        <w:t xml:space="preserve">In addition to providing </w:t>
      </w:r>
      <w:r w:rsidR="44A61474">
        <w:rPr>
          <w:sz w:val="24"/>
          <w:szCs w:val="24"/>
        </w:rPr>
        <w:t>property owners</w:t>
      </w:r>
      <w:r w:rsidRPr="006F6342" w:rsidR="64D82293">
        <w:rPr>
          <w:sz w:val="24"/>
          <w:szCs w:val="24"/>
        </w:rPr>
        <w:t xml:space="preserve"> with </w:t>
      </w:r>
      <w:r w:rsidR="44A61474">
        <w:rPr>
          <w:sz w:val="24"/>
          <w:szCs w:val="24"/>
        </w:rPr>
        <w:t xml:space="preserve">a property-level </w:t>
      </w:r>
      <w:r w:rsidRPr="006F6342" w:rsidR="64D82293">
        <w:rPr>
          <w:sz w:val="24"/>
          <w:szCs w:val="24"/>
        </w:rPr>
        <w:t xml:space="preserve">analysis report, the contractor will provide HUD with an annual report </w:t>
      </w:r>
      <w:r w:rsidR="323F4F5E">
        <w:rPr>
          <w:sz w:val="24"/>
          <w:szCs w:val="24"/>
        </w:rPr>
        <w:t>of</w:t>
      </w:r>
      <w:r w:rsidR="31EA4D38">
        <w:rPr>
          <w:sz w:val="24"/>
          <w:szCs w:val="24"/>
        </w:rPr>
        <w:t xml:space="preserve"> a </w:t>
      </w:r>
      <w:r w:rsidRPr="006F6342" w:rsidR="64D82293">
        <w:rPr>
          <w:sz w:val="24"/>
          <w:szCs w:val="24"/>
        </w:rPr>
        <w:t xml:space="preserve">portfolio-level analysis. HUD will receive four of these reports over the life of the </w:t>
      </w:r>
      <w:r w:rsidR="31EA4D38">
        <w:rPr>
          <w:sz w:val="24"/>
          <w:szCs w:val="24"/>
        </w:rPr>
        <w:t>b</w:t>
      </w:r>
      <w:r w:rsidRPr="006F6342" w:rsidR="64D82293">
        <w:rPr>
          <w:sz w:val="24"/>
          <w:szCs w:val="24"/>
        </w:rPr>
        <w:t xml:space="preserve">enchmarking program/contract. The data collection will allow HUD to better understand the state of energy and water usage and systems across the portfolio. For the purposes of HUD’s portfolio-level report, responses gathered through this data collection </w:t>
      </w:r>
      <w:r w:rsidR="1D4C58B5">
        <w:rPr>
          <w:sz w:val="24"/>
          <w:szCs w:val="24"/>
        </w:rPr>
        <w:t>will</w:t>
      </w:r>
      <w:r w:rsidRPr="006F6342" w:rsidR="64D82293">
        <w:rPr>
          <w:sz w:val="24"/>
          <w:szCs w:val="24"/>
        </w:rPr>
        <w:t xml:space="preserve"> be published at a summary level.</w:t>
      </w:r>
    </w:p>
    <w:p w:rsidR="009E13B1" w:rsidRPr="003E6F08" w:rsidP="7F336052" w14:paraId="61C4D529" w14:textId="672CCA92">
      <w:pPr>
        <w:keepLines/>
        <w:tabs>
          <w:tab w:val="left" w:pos="360"/>
        </w:tabs>
        <w:spacing w:after="80"/>
        <w:ind w:left="360" w:hanging="360"/>
        <w:rPr>
          <w:sz w:val="24"/>
          <w:szCs w:val="24"/>
        </w:rPr>
      </w:pPr>
    </w:p>
    <w:p w:rsidR="009E13B1" w:rsidRPr="00B708D8" w14:paraId="573275E9" w14:textId="4A8C8A48">
      <w:pPr>
        <w:keepLines/>
        <w:tabs>
          <w:tab w:val="left" w:pos="360"/>
        </w:tabs>
        <w:spacing w:after="80"/>
        <w:ind w:left="360" w:hanging="360"/>
        <w:rPr>
          <w:color w:val="000000" w:themeColor="text1"/>
          <w:sz w:val="24"/>
          <w:szCs w:val="24"/>
        </w:rPr>
      </w:pPr>
      <w:r w:rsidRPr="00B708D8">
        <w:rPr>
          <w:b/>
          <w:bCs/>
          <w:color w:val="000000" w:themeColor="text1"/>
          <w:sz w:val="24"/>
          <w:szCs w:val="24"/>
        </w:rPr>
        <w:t>17.</w:t>
      </w:r>
      <w:r w:rsidRPr="00B708D8">
        <w:rPr>
          <w:color w:val="000000" w:themeColor="text1"/>
        </w:rPr>
        <w:tab/>
      </w:r>
      <w:r w:rsidRPr="00B708D8">
        <w:rPr>
          <w:b/>
          <w:bCs/>
          <w:color w:val="000000" w:themeColor="text1"/>
          <w:sz w:val="24"/>
          <w:szCs w:val="24"/>
        </w:rPr>
        <w:t>If seeking approval to not display the expiration date for OMB approval of the information collection, explain the reasons that display would be inappropriate.</w:t>
      </w:r>
      <w:r w:rsidRPr="00B708D8">
        <w:rPr>
          <w:color w:val="000000" w:themeColor="text1"/>
        </w:rPr>
        <w:br/>
      </w:r>
      <w:r w:rsidRPr="00B708D8">
        <w:rPr>
          <w:color w:val="000000" w:themeColor="text1"/>
        </w:rPr>
        <w:br/>
      </w:r>
      <w:r w:rsidRPr="00B708D8" w:rsidR="7841AE3A">
        <w:rPr>
          <w:i/>
          <w:iCs/>
          <w:color w:val="000000" w:themeColor="text1"/>
          <w:sz w:val="24"/>
          <w:szCs w:val="24"/>
        </w:rPr>
        <w:t>All data collection instruments will prominently display the expiration date for OMB approval.</w:t>
      </w:r>
    </w:p>
    <w:p w:rsidR="009E13B1" w:rsidRPr="003E6F08" w14:paraId="45E25AB0" w14:textId="77777777">
      <w:pPr>
        <w:keepLines/>
        <w:tabs>
          <w:tab w:val="left" w:pos="360"/>
          <w:tab w:val="left" w:pos="720"/>
        </w:tabs>
        <w:ind w:left="360"/>
        <w:rPr>
          <w:b/>
          <w:bCs/>
          <w:sz w:val="24"/>
          <w:szCs w:val="24"/>
        </w:rPr>
      </w:pPr>
    </w:p>
    <w:p w:rsidR="00EF6C11" w:rsidRPr="00B708D8" w:rsidP="00EF6C11" w14:paraId="6D5BC09F" w14:textId="7E6661EF">
      <w:pPr>
        <w:keepLines/>
        <w:tabs>
          <w:tab w:val="left" w:pos="360"/>
        </w:tabs>
        <w:spacing w:after="80"/>
        <w:ind w:left="360" w:hanging="360"/>
        <w:rPr>
          <w:rFonts w:ascii="Courier" w:hAnsi="Courier"/>
          <w:color w:val="000000" w:themeColor="text1"/>
          <w:sz w:val="24"/>
          <w:szCs w:val="24"/>
        </w:rPr>
      </w:pPr>
      <w:r w:rsidRPr="7F336052">
        <w:rPr>
          <w:b/>
          <w:bCs/>
          <w:sz w:val="24"/>
          <w:szCs w:val="24"/>
        </w:rPr>
        <w:t>18.</w:t>
      </w:r>
      <w:r w:rsidR="009E13B1">
        <w:tab/>
      </w:r>
      <w:r w:rsidRPr="7F336052">
        <w:rPr>
          <w:b/>
          <w:bCs/>
          <w:sz w:val="24"/>
          <w:szCs w:val="24"/>
        </w:rPr>
        <w:t>Explain each exception to the certification statement identified in item 19.</w:t>
      </w:r>
      <w:r w:rsidR="009E13B1">
        <w:br/>
      </w:r>
      <w:r w:rsidR="009E13B1">
        <w:br/>
      </w:r>
      <w:r w:rsidRPr="00B708D8" w:rsidR="7841AE3A">
        <w:rPr>
          <w:i/>
          <w:iCs/>
          <w:color w:val="000000" w:themeColor="text1"/>
          <w:sz w:val="24"/>
          <w:szCs w:val="24"/>
        </w:rPr>
        <w:t>This submission describing data collection requests no exceptions to the Certificate for Paperwork Reduction Act (5 CFR 1320.9).</w:t>
      </w:r>
    </w:p>
    <w:p w:rsidR="009E13B1" w:rsidRPr="006C7FAE" w:rsidP="00EF6C11" w14:paraId="6D24B64A" w14:textId="77777777">
      <w:pPr>
        <w:keepLines/>
        <w:tabs>
          <w:tab w:val="left" w:pos="360"/>
        </w:tabs>
        <w:spacing w:after="80"/>
        <w:ind w:left="360" w:hanging="360"/>
        <w:rPr>
          <w:sz w:val="24"/>
          <w:szCs w:val="24"/>
        </w:rPr>
      </w:pPr>
    </w:p>
    <w:p w:rsidR="009E13B1" w:rsidRPr="006C7FAE" w:rsidP="00167E53" w14:paraId="19520270" w14:textId="4F155129">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sectPr w:rsidSect="006A4C7A">
      <w:footerReference w:type="default" r:id="rId11"/>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00"/>
      <w:gridCol w:w="3300"/>
      <w:gridCol w:w="3300"/>
    </w:tblGrid>
    <w:tr w14:paraId="7851E381" w14:textId="77777777" w:rsidTr="683D6E06">
      <w:tblPrEx>
        <w:tblW w:w="0" w:type="auto"/>
        <w:tblLayout w:type="fixed"/>
        <w:tblLook w:val="06A0"/>
      </w:tblPrEx>
      <w:trPr>
        <w:trHeight w:val="300"/>
      </w:trPr>
      <w:tc>
        <w:tcPr>
          <w:tcW w:w="3300" w:type="dxa"/>
        </w:tcPr>
        <w:p w:rsidR="683D6E06" w:rsidP="683D6E06" w14:paraId="19BC3AFD" w14:textId="66E5EC0E">
          <w:pPr>
            <w:pStyle w:val="Header"/>
            <w:ind w:left="-115"/>
          </w:pPr>
        </w:p>
      </w:tc>
      <w:tc>
        <w:tcPr>
          <w:tcW w:w="3300" w:type="dxa"/>
        </w:tcPr>
        <w:p w:rsidR="683D6E06" w:rsidP="683D6E06" w14:paraId="70C8EC68" w14:textId="53940AEE">
          <w:pPr>
            <w:pStyle w:val="Header"/>
            <w:jc w:val="center"/>
          </w:pPr>
        </w:p>
      </w:tc>
      <w:tc>
        <w:tcPr>
          <w:tcW w:w="3300" w:type="dxa"/>
        </w:tcPr>
        <w:p w:rsidR="683D6E06" w:rsidP="683D6E06" w14:paraId="2F5B22AC" w14:textId="04344E05">
          <w:pPr>
            <w:pStyle w:val="Header"/>
            <w:ind w:right="-115"/>
            <w:jc w:val="right"/>
          </w:pPr>
        </w:p>
      </w:tc>
    </w:tr>
  </w:tbl>
  <w:p w:rsidR="00E53182" w14:paraId="682434A7" w14:textId="74BE5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4C7A" w14:paraId="1ADFBBA5" w14:textId="77777777">
      <w:r>
        <w:separator/>
      </w:r>
    </w:p>
  </w:footnote>
  <w:footnote w:type="continuationSeparator" w:id="1">
    <w:p w:rsidR="006A4C7A" w14:paraId="50D5EF77" w14:textId="77777777">
      <w:r>
        <w:continuationSeparator/>
      </w:r>
    </w:p>
  </w:footnote>
  <w:footnote w:type="continuationNotice" w:id="2">
    <w:p w:rsidR="006A4C7A" w14:paraId="3FE803B3" w14:textId="77777777"/>
  </w:footnote>
  <w:footnote w:id="3">
    <w:p w:rsidR="00E831EC" w14:paraId="1639989F" w14:textId="68581B62">
      <w:pPr>
        <w:pStyle w:val="FootnoteText"/>
      </w:pPr>
      <w:r>
        <w:rPr>
          <w:rStyle w:val="FootnoteReference"/>
        </w:rPr>
        <w:footnoteRef/>
      </w:r>
      <w:r>
        <w:t xml:space="preserve"> </w:t>
      </w:r>
      <w:r w:rsidR="00495E4B">
        <w:t>Note: These estimates have been updated since the 60-day notice was published, to reflect updated estimates for time burden for each item, along with the addition of the Energy Efficiency Survey.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777201D"/>
    <w:multiLevelType w:val="hybridMultilevel"/>
    <w:tmpl w:val="49803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1DF56A82"/>
    <w:multiLevelType w:val="hybridMultilevel"/>
    <w:tmpl w:val="768EC17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30004B19"/>
    <w:multiLevelType w:val="hybridMultilevel"/>
    <w:tmpl w:val="CE66CDDC"/>
    <w:lvl w:ilvl="0">
      <w:start w:va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44E24C25"/>
    <w:multiLevelType w:val="hybridMultilevel"/>
    <w:tmpl w:val="9948C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2">
    <w:nsid w:val="51EB6A53"/>
    <w:multiLevelType w:val="hybridMultilevel"/>
    <w:tmpl w:val="5A447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5A69306F"/>
    <w:multiLevelType w:val="hybridMultilevel"/>
    <w:tmpl w:val="EAE60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0545453">
    <w:abstractNumId w:val="7"/>
  </w:num>
  <w:num w:numId="2" w16cid:durableId="369692581">
    <w:abstractNumId w:val="6"/>
  </w:num>
  <w:num w:numId="3" w16cid:durableId="1591691836">
    <w:abstractNumId w:val="3"/>
  </w:num>
  <w:num w:numId="4" w16cid:durableId="541551596">
    <w:abstractNumId w:val="13"/>
  </w:num>
  <w:num w:numId="5" w16cid:durableId="73285887">
    <w:abstractNumId w:val="8"/>
  </w:num>
  <w:num w:numId="6" w16cid:durableId="909777781">
    <w:abstractNumId w:val="9"/>
  </w:num>
  <w:num w:numId="7" w16cid:durableId="133526339">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16cid:durableId="803818045">
    <w:abstractNumId w:val="4"/>
  </w:num>
  <w:num w:numId="9" w16cid:durableId="1316763415">
    <w:abstractNumId w:val="17"/>
  </w:num>
  <w:num w:numId="10" w16cid:durableId="944077584">
    <w:abstractNumId w:val="2"/>
  </w:num>
  <w:num w:numId="11" w16cid:durableId="1874533129">
    <w:abstractNumId w:val="16"/>
  </w:num>
  <w:num w:numId="12" w16cid:durableId="1424187104">
    <w:abstractNumId w:val="15"/>
  </w:num>
  <w:num w:numId="13" w16cid:durableId="2117283227">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4" w16cid:durableId="1458909718">
    <w:abstractNumId w:val="11"/>
  </w:num>
  <w:num w:numId="15" w16cid:durableId="1130510524">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6" w16cid:durableId="1119686056">
    <w:abstractNumId w:val="14"/>
  </w:num>
  <w:num w:numId="17" w16cid:durableId="357201245">
    <w:abstractNumId w:val="10"/>
  </w:num>
  <w:num w:numId="18" w16cid:durableId="1070884451">
    <w:abstractNumId w:val="5"/>
  </w:num>
  <w:num w:numId="19" w16cid:durableId="1081606632">
    <w:abstractNumId w:val="12"/>
  </w:num>
  <w:num w:numId="20" w16cid:durableId="1177425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 w:id="2"/>
  </w:foot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023A2"/>
    <w:rsid w:val="00003624"/>
    <w:rsid w:val="000100CB"/>
    <w:rsid w:val="00011310"/>
    <w:rsid w:val="00011521"/>
    <w:rsid w:val="00011F76"/>
    <w:rsid w:val="000145E1"/>
    <w:rsid w:val="00017C91"/>
    <w:rsid w:val="00026432"/>
    <w:rsid w:val="00026CCB"/>
    <w:rsid w:val="00034412"/>
    <w:rsid w:val="00040EBF"/>
    <w:rsid w:val="00043D06"/>
    <w:rsid w:val="000508D2"/>
    <w:rsid w:val="00053091"/>
    <w:rsid w:val="000547E8"/>
    <w:rsid w:val="00056FB9"/>
    <w:rsid w:val="000651C7"/>
    <w:rsid w:val="000666CD"/>
    <w:rsid w:val="000713ED"/>
    <w:rsid w:val="00081BE3"/>
    <w:rsid w:val="0008374F"/>
    <w:rsid w:val="00083DD2"/>
    <w:rsid w:val="0008458C"/>
    <w:rsid w:val="00086DB0"/>
    <w:rsid w:val="000877E3"/>
    <w:rsid w:val="0009270A"/>
    <w:rsid w:val="000A1639"/>
    <w:rsid w:val="000A497F"/>
    <w:rsid w:val="000C117C"/>
    <w:rsid w:val="000C38FD"/>
    <w:rsid w:val="000C638A"/>
    <w:rsid w:val="000C7869"/>
    <w:rsid w:val="000D4B96"/>
    <w:rsid w:val="000D5079"/>
    <w:rsid w:val="000E00A8"/>
    <w:rsid w:val="000E2A89"/>
    <w:rsid w:val="000E615E"/>
    <w:rsid w:val="000F4FBA"/>
    <w:rsid w:val="000F7F88"/>
    <w:rsid w:val="00112033"/>
    <w:rsid w:val="00116AAE"/>
    <w:rsid w:val="00120AB4"/>
    <w:rsid w:val="0012234E"/>
    <w:rsid w:val="00122412"/>
    <w:rsid w:val="00122C75"/>
    <w:rsid w:val="00124720"/>
    <w:rsid w:val="00134853"/>
    <w:rsid w:val="00142E22"/>
    <w:rsid w:val="00144448"/>
    <w:rsid w:val="0015186D"/>
    <w:rsid w:val="001535EA"/>
    <w:rsid w:val="00154699"/>
    <w:rsid w:val="00154743"/>
    <w:rsid w:val="00155727"/>
    <w:rsid w:val="00157158"/>
    <w:rsid w:val="0016057E"/>
    <w:rsid w:val="00160B9D"/>
    <w:rsid w:val="00167E53"/>
    <w:rsid w:val="00171495"/>
    <w:rsid w:val="001848BF"/>
    <w:rsid w:val="001856F0"/>
    <w:rsid w:val="00192DD1"/>
    <w:rsid w:val="0019675E"/>
    <w:rsid w:val="00197154"/>
    <w:rsid w:val="001A2EA1"/>
    <w:rsid w:val="001B1674"/>
    <w:rsid w:val="001B523C"/>
    <w:rsid w:val="001C0EFF"/>
    <w:rsid w:val="001C2C17"/>
    <w:rsid w:val="001C50A9"/>
    <w:rsid w:val="001D7E51"/>
    <w:rsid w:val="001E01B3"/>
    <w:rsid w:val="001E04A9"/>
    <w:rsid w:val="001E3C03"/>
    <w:rsid w:val="001F064E"/>
    <w:rsid w:val="00207659"/>
    <w:rsid w:val="00207A67"/>
    <w:rsid w:val="0021510E"/>
    <w:rsid w:val="002152E0"/>
    <w:rsid w:val="00224188"/>
    <w:rsid w:val="00227526"/>
    <w:rsid w:val="0023256B"/>
    <w:rsid w:val="00247D7D"/>
    <w:rsid w:val="00256AD1"/>
    <w:rsid w:val="00270022"/>
    <w:rsid w:val="00275773"/>
    <w:rsid w:val="00277512"/>
    <w:rsid w:val="0029002C"/>
    <w:rsid w:val="00292A8A"/>
    <w:rsid w:val="00296817"/>
    <w:rsid w:val="002A2179"/>
    <w:rsid w:val="002A4F23"/>
    <w:rsid w:val="002A6AB6"/>
    <w:rsid w:val="002C0A58"/>
    <w:rsid w:val="002C5BA8"/>
    <w:rsid w:val="002C7082"/>
    <w:rsid w:val="002D1020"/>
    <w:rsid w:val="002D2D34"/>
    <w:rsid w:val="002E0339"/>
    <w:rsid w:val="002F6CE8"/>
    <w:rsid w:val="00324855"/>
    <w:rsid w:val="0032556C"/>
    <w:rsid w:val="00330442"/>
    <w:rsid w:val="00333618"/>
    <w:rsid w:val="00341B0E"/>
    <w:rsid w:val="0034308B"/>
    <w:rsid w:val="003432B1"/>
    <w:rsid w:val="00343550"/>
    <w:rsid w:val="00343982"/>
    <w:rsid w:val="00343D86"/>
    <w:rsid w:val="00347182"/>
    <w:rsid w:val="003522A6"/>
    <w:rsid w:val="00360090"/>
    <w:rsid w:val="00367784"/>
    <w:rsid w:val="00367A13"/>
    <w:rsid w:val="00371002"/>
    <w:rsid w:val="003749FE"/>
    <w:rsid w:val="00375B54"/>
    <w:rsid w:val="003872E2"/>
    <w:rsid w:val="003902F9"/>
    <w:rsid w:val="00391D99"/>
    <w:rsid w:val="00396D2D"/>
    <w:rsid w:val="003A0220"/>
    <w:rsid w:val="003A115A"/>
    <w:rsid w:val="003A3D9F"/>
    <w:rsid w:val="003A55EE"/>
    <w:rsid w:val="003B71D0"/>
    <w:rsid w:val="003C231A"/>
    <w:rsid w:val="003C2FA8"/>
    <w:rsid w:val="003C5525"/>
    <w:rsid w:val="003C6B22"/>
    <w:rsid w:val="003D5AF7"/>
    <w:rsid w:val="003D7262"/>
    <w:rsid w:val="003D7A5E"/>
    <w:rsid w:val="003E07E4"/>
    <w:rsid w:val="003E6F08"/>
    <w:rsid w:val="003F3C39"/>
    <w:rsid w:val="003F5822"/>
    <w:rsid w:val="0040433E"/>
    <w:rsid w:val="004145D0"/>
    <w:rsid w:val="004153D1"/>
    <w:rsid w:val="004179FF"/>
    <w:rsid w:val="00420A4F"/>
    <w:rsid w:val="00420E12"/>
    <w:rsid w:val="004227A3"/>
    <w:rsid w:val="004237D1"/>
    <w:rsid w:val="00437359"/>
    <w:rsid w:val="00437971"/>
    <w:rsid w:val="00441E4A"/>
    <w:rsid w:val="004460DA"/>
    <w:rsid w:val="00450591"/>
    <w:rsid w:val="00452BFF"/>
    <w:rsid w:val="00453309"/>
    <w:rsid w:val="00455445"/>
    <w:rsid w:val="00463B8E"/>
    <w:rsid w:val="00465028"/>
    <w:rsid w:val="00465212"/>
    <w:rsid w:val="00471389"/>
    <w:rsid w:val="00472ACE"/>
    <w:rsid w:val="00475461"/>
    <w:rsid w:val="00487B27"/>
    <w:rsid w:val="00490E2C"/>
    <w:rsid w:val="00495E4B"/>
    <w:rsid w:val="004A0DBB"/>
    <w:rsid w:val="004B1389"/>
    <w:rsid w:val="004B5D32"/>
    <w:rsid w:val="004C5777"/>
    <w:rsid w:val="004C5C8F"/>
    <w:rsid w:val="004C7A76"/>
    <w:rsid w:val="004D06BE"/>
    <w:rsid w:val="004E281A"/>
    <w:rsid w:val="004E6ED6"/>
    <w:rsid w:val="004F1BF9"/>
    <w:rsid w:val="004F7174"/>
    <w:rsid w:val="004F7CCE"/>
    <w:rsid w:val="00515FDA"/>
    <w:rsid w:val="00520285"/>
    <w:rsid w:val="00522DCB"/>
    <w:rsid w:val="00524255"/>
    <w:rsid w:val="005269F2"/>
    <w:rsid w:val="00526D44"/>
    <w:rsid w:val="00532200"/>
    <w:rsid w:val="00533DF0"/>
    <w:rsid w:val="00536174"/>
    <w:rsid w:val="005422B5"/>
    <w:rsid w:val="00555BC4"/>
    <w:rsid w:val="005568EC"/>
    <w:rsid w:val="00556EAA"/>
    <w:rsid w:val="00564B5D"/>
    <w:rsid w:val="0057120F"/>
    <w:rsid w:val="0057488A"/>
    <w:rsid w:val="00583069"/>
    <w:rsid w:val="0058747D"/>
    <w:rsid w:val="00592334"/>
    <w:rsid w:val="00594909"/>
    <w:rsid w:val="00595946"/>
    <w:rsid w:val="005A139A"/>
    <w:rsid w:val="005A4B17"/>
    <w:rsid w:val="005A6EA3"/>
    <w:rsid w:val="005B1AF4"/>
    <w:rsid w:val="005B21A5"/>
    <w:rsid w:val="005B4B3B"/>
    <w:rsid w:val="005C74D4"/>
    <w:rsid w:val="005D6719"/>
    <w:rsid w:val="005E04A9"/>
    <w:rsid w:val="005F09AF"/>
    <w:rsid w:val="006031F6"/>
    <w:rsid w:val="006033D8"/>
    <w:rsid w:val="00616B58"/>
    <w:rsid w:val="0062105C"/>
    <w:rsid w:val="0062250A"/>
    <w:rsid w:val="006239D0"/>
    <w:rsid w:val="006273F0"/>
    <w:rsid w:val="0063133F"/>
    <w:rsid w:val="0063216C"/>
    <w:rsid w:val="00635B75"/>
    <w:rsid w:val="0063606D"/>
    <w:rsid w:val="0065090D"/>
    <w:rsid w:val="00650FC3"/>
    <w:rsid w:val="0065258A"/>
    <w:rsid w:val="006601B2"/>
    <w:rsid w:val="006620F6"/>
    <w:rsid w:val="00671046"/>
    <w:rsid w:val="00676C00"/>
    <w:rsid w:val="0068578D"/>
    <w:rsid w:val="006A4C7A"/>
    <w:rsid w:val="006B1638"/>
    <w:rsid w:val="006B57F4"/>
    <w:rsid w:val="006B7674"/>
    <w:rsid w:val="006C4830"/>
    <w:rsid w:val="006C6D12"/>
    <w:rsid w:val="006C7FAE"/>
    <w:rsid w:val="006D6114"/>
    <w:rsid w:val="006D6B3D"/>
    <w:rsid w:val="006E07FA"/>
    <w:rsid w:val="006E11A4"/>
    <w:rsid w:val="006F6342"/>
    <w:rsid w:val="00712347"/>
    <w:rsid w:val="007159D0"/>
    <w:rsid w:val="00723E8D"/>
    <w:rsid w:val="00725E36"/>
    <w:rsid w:val="007261BD"/>
    <w:rsid w:val="0074469A"/>
    <w:rsid w:val="00747B28"/>
    <w:rsid w:val="00750E6E"/>
    <w:rsid w:val="00753034"/>
    <w:rsid w:val="00757E0A"/>
    <w:rsid w:val="00762143"/>
    <w:rsid w:val="00765811"/>
    <w:rsid w:val="007670CB"/>
    <w:rsid w:val="007723B7"/>
    <w:rsid w:val="0078092C"/>
    <w:rsid w:val="0078493F"/>
    <w:rsid w:val="007850D1"/>
    <w:rsid w:val="00786D35"/>
    <w:rsid w:val="007905DF"/>
    <w:rsid w:val="007912B9"/>
    <w:rsid w:val="007957C0"/>
    <w:rsid w:val="007A4FA4"/>
    <w:rsid w:val="007A7AD8"/>
    <w:rsid w:val="007B4A33"/>
    <w:rsid w:val="007B6239"/>
    <w:rsid w:val="007C0DDE"/>
    <w:rsid w:val="007C3A1C"/>
    <w:rsid w:val="007C4F24"/>
    <w:rsid w:val="007D080F"/>
    <w:rsid w:val="007D3F3B"/>
    <w:rsid w:val="007F13F9"/>
    <w:rsid w:val="007F74C4"/>
    <w:rsid w:val="0080031F"/>
    <w:rsid w:val="008031E2"/>
    <w:rsid w:val="00803F81"/>
    <w:rsid w:val="00807275"/>
    <w:rsid w:val="00813F6A"/>
    <w:rsid w:val="008163CC"/>
    <w:rsid w:val="008258D4"/>
    <w:rsid w:val="008314BA"/>
    <w:rsid w:val="00833D7D"/>
    <w:rsid w:val="008354B7"/>
    <w:rsid w:val="00841F60"/>
    <w:rsid w:val="008428EA"/>
    <w:rsid w:val="00846965"/>
    <w:rsid w:val="00853B16"/>
    <w:rsid w:val="00855247"/>
    <w:rsid w:val="00861EA9"/>
    <w:rsid w:val="0086743F"/>
    <w:rsid w:val="00874E00"/>
    <w:rsid w:val="00883387"/>
    <w:rsid w:val="0088468D"/>
    <w:rsid w:val="008968F4"/>
    <w:rsid w:val="008A423D"/>
    <w:rsid w:val="008A4CAA"/>
    <w:rsid w:val="008A7175"/>
    <w:rsid w:val="008B5DE2"/>
    <w:rsid w:val="008C778D"/>
    <w:rsid w:val="008D07F3"/>
    <w:rsid w:val="008D3758"/>
    <w:rsid w:val="008E159B"/>
    <w:rsid w:val="008F4368"/>
    <w:rsid w:val="009111EE"/>
    <w:rsid w:val="00925B63"/>
    <w:rsid w:val="00932FA6"/>
    <w:rsid w:val="009372DF"/>
    <w:rsid w:val="009379BA"/>
    <w:rsid w:val="00942101"/>
    <w:rsid w:val="00960CC7"/>
    <w:rsid w:val="00963D88"/>
    <w:rsid w:val="00966F29"/>
    <w:rsid w:val="00970C66"/>
    <w:rsid w:val="009710BE"/>
    <w:rsid w:val="009710C6"/>
    <w:rsid w:val="009779D8"/>
    <w:rsid w:val="00990BBA"/>
    <w:rsid w:val="009914E8"/>
    <w:rsid w:val="0099315E"/>
    <w:rsid w:val="009A7796"/>
    <w:rsid w:val="009B1F62"/>
    <w:rsid w:val="009B3EDA"/>
    <w:rsid w:val="009B589E"/>
    <w:rsid w:val="009B605D"/>
    <w:rsid w:val="009B6397"/>
    <w:rsid w:val="009C0904"/>
    <w:rsid w:val="009C4C83"/>
    <w:rsid w:val="009D1046"/>
    <w:rsid w:val="009D362C"/>
    <w:rsid w:val="009D52CF"/>
    <w:rsid w:val="009E0C3E"/>
    <w:rsid w:val="009E13B1"/>
    <w:rsid w:val="009E2D36"/>
    <w:rsid w:val="009E2F4F"/>
    <w:rsid w:val="009E67A6"/>
    <w:rsid w:val="009F3F40"/>
    <w:rsid w:val="009F4F04"/>
    <w:rsid w:val="009F53FA"/>
    <w:rsid w:val="00A00EE8"/>
    <w:rsid w:val="00A0699C"/>
    <w:rsid w:val="00A071AB"/>
    <w:rsid w:val="00A16D85"/>
    <w:rsid w:val="00A2076E"/>
    <w:rsid w:val="00A4750E"/>
    <w:rsid w:val="00A54B5F"/>
    <w:rsid w:val="00A60233"/>
    <w:rsid w:val="00A65F9E"/>
    <w:rsid w:val="00A664E8"/>
    <w:rsid w:val="00A66F02"/>
    <w:rsid w:val="00A73FF9"/>
    <w:rsid w:val="00A74B89"/>
    <w:rsid w:val="00A80DC6"/>
    <w:rsid w:val="00A827C8"/>
    <w:rsid w:val="00A83E46"/>
    <w:rsid w:val="00A854DA"/>
    <w:rsid w:val="00AA0211"/>
    <w:rsid w:val="00AA3766"/>
    <w:rsid w:val="00AB182D"/>
    <w:rsid w:val="00AB4CCA"/>
    <w:rsid w:val="00AC3681"/>
    <w:rsid w:val="00AC4BC2"/>
    <w:rsid w:val="00AD10CD"/>
    <w:rsid w:val="00AE1A50"/>
    <w:rsid w:val="00AE2CE8"/>
    <w:rsid w:val="00AE30B6"/>
    <w:rsid w:val="00AE4931"/>
    <w:rsid w:val="00AE51F0"/>
    <w:rsid w:val="00AF74DA"/>
    <w:rsid w:val="00B01940"/>
    <w:rsid w:val="00B03398"/>
    <w:rsid w:val="00B04BA6"/>
    <w:rsid w:val="00B06D33"/>
    <w:rsid w:val="00B12060"/>
    <w:rsid w:val="00B17597"/>
    <w:rsid w:val="00B216B8"/>
    <w:rsid w:val="00B2761E"/>
    <w:rsid w:val="00B27631"/>
    <w:rsid w:val="00B33E44"/>
    <w:rsid w:val="00B3422C"/>
    <w:rsid w:val="00B4356C"/>
    <w:rsid w:val="00B4680E"/>
    <w:rsid w:val="00B515B1"/>
    <w:rsid w:val="00B5221A"/>
    <w:rsid w:val="00B534ED"/>
    <w:rsid w:val="00B603A8"/>
    <w:rsid w:val="00B63655"/>
    <w:rsid w:val="00B708D8"/>
    <w:rsid w:val="00B71C0D"/>
    <w:rsid w:val="00B72E56"/>
    <w:rsid w:val="00B7338F"/>
    <w:rsid w:val="00B74711"/>
    <w:rsid w:val="00B85EB0"/>
    <w:rsid w:val="00B9357F"/>
    <w:rsid w:val="00B94401"/>
    <w:rsid w:val="00BA0BC8"/>
    <w:rsid w:val="00BA492E"/>
    <w:rsid w:val="00BA4B02"/>
    <w:rsid w:val="00BA5EBF"/>
    <w:rsid w:val="00BB2518"/>
    <w:rsid w:val="00BC10AF"/>
    <w:rsid w:val="00BC3DA6"/>
    <w:rsid w:val="00BC50C0"/>
    <w:rsid w:val="00BC6B14"/>
    <w:rsid w:val="00BC6EC7"/>
    <w:rsid w:val="00BE5EA9"/>
    <w:rsid w:val="00BF397E"/>
    <w:rsid w:val="00BF4166"/>
    <w:rsid w:val="00BF4517"/>
    <w:rsid w:val="00BF5A17"/>
    <w:rsid w:val="00C00E69"/>
    <w:rsid w:val="00C21D8C"/>
    <w:rsid w:val="00C32A38"/>
    <w:rsid w:val="00C32A78"/>
    <w:rsid w:val="00C3319E"/>
    <w:rsid w:val="00C33C2F"/>
    <w:rsid w:val="00C40C40"/>
    <w:rsid w:val="00C43122"/>
    <w:rsid w:val="00C44E13"/>
    <w:rsid w:val="00C46AF6"/>
    <w:rsid w:val="00C46F43"/>
    <w:rsid w:val="00C541FB"/>
    <w:rsid w:val="00C73873"/>
    <w:rsid w:val="00C73C22"/>
    <w:rsid w:val="00C81831"/>
    <w:rsid w:val="00C84896"/>
    <w:rsid w:val="00CA06CC"/>
    <w:rsid w:val="00CB7483"/>
    <w:rsid w:val="00CC6CB7"/>
    <w:rsid w:val="00CE1567"/>
    <w:rsid w:val="00CE47DA"/>
    <w:rsid w:val="00CE7480"/>
    <w:rsid w:val="00CF60FD"/>
    <w:rsid w:val="00D042EE"/>
    <w:rsid w:val="00D04C5E"/>
    <w:rsid w:val="00D24336"/>
    <w:rsid w:val="00D370EF"/>
    <w:rsid w:val="00D401F8"/>
    <w:rsid w:val="00D4316A"/>
    <w:rsid w:val="00D43E98"/>
    <w:rsid w:val="00D5558F"/>
    <w:rsid w:val="00D5573D"/>
    <w:rsid w:val="00D60C1E"/>
    <w:rsid w:val="00D61BD6"/>
    <w:rsid w:val="00D7085B"/>
    <w:rsid w:val="00D717DB"/>
    <w:rsid w:val="00D73A61"/>
    <w:rsid w:val="00D74136"/>
    <w:rsid w:val="00D8219A"/>
    <w:rsid w:val="00D865FC"/>
    <w:rsid w:val="00D8C812"/>
    <w:rsid w:val="00D9421C"/>
    <w:rsid w:val="00DA3815"/>
    <w:rsid w:val="00DA65A4"/>
    <w:rsid w:val="00DA7FED"/>
    <w:rsid w:val="00DB3716"/>
    <w:rsid w:val="00DB41E5"/>
    <w:rsid w:val="00DB535A"/>
    <w:rsid w:val="00DB633E"/>
    <w:rsid w:val="00DB635B"/>
    <w:rsid w:val="00DB6562"/>
    <w:rsid w:val="00DC5AEF"/>
    <w:rsid w:val="00DD09F2"/>
    <w:rsid w:val="00DD1CC3"/>
    <w:rsid w:val="00DD3286"/>
    <w:rsid w:val="00DD3E67"/>
    <w:rsid w:val="00DD4844"/>
    <w:rsid w:val="00DD7117"/>
    <w:rsid w:val="00DD7417"/>
    <w:rsid w:val="00DE0DEA"/>
    <w:rsid w:val="00DE165B"/>
    <w:rsid w:val="00DF12A0"/>
    <w:rsid w:val="00E01140"/>
    <w:rsid w:val="00E05419"/>
    <w:rsid w:val="00E10E35"/>
    <w:rsid w:val="00E128B8"/>
    <w:rsid w:val="00E14D39"/>
    <w:rsid w:val="00E21528"/>
    <w:rsid w:val="00E27BD0"/>
    <w:rsid w:val="00E34023"/>
    <w:rsid w:val="00E37D25"/>
    <w:rsid w:val="00E43418"/>
    <w:rsid w:val="00E53182"/>
    <w:rsid w:val="00E53D30"/>
    <w:rsid w:val="00E566A1"/>
    <w:rsid w:val="00E726AE"/>
    <w:rsid w:val="00E77364"/>
    <w:rsid w:val="00E806BE"/>
    <w:rsid w:val="00E831EC"/>
    <w:rsid w:val="00E862C9"/>
    <w:rsid w:val="00E94D00"/>
    <w:rsid w:val="00E954D3"/>
    <w:rsid w:val="00EA2030"/>
    <w:rsid w:val="00EA7585"/>
    <w:rsid w:val="00EA7C9E"/>
    <w:rsid w:val="00EB15A5"/>
    <w:rsid w:val="00EB4314"/>
    <w:rsid w:val="00EC6E80"/>
    <w:rsid w:val="00ED465B"/>
    <w:rsid w:val="00EE34BA"/>
    <w:rsid w:val="00EF0A59"/>
    <w:rsid w:val="00EF0EDB"/>
    <w:rsid w:val="00EF3B2D"/>
    <w:rsid w:val="00EF6C11"/>
    <w:rsid w:val="00EF6C1D"/>
    <w:rsid w:val="00F02904"/>
    <w:rsid w:val="00F02D49"/>
    <w:rsid w:val="00F0584F"/>
    <w:rsid w:val="00F05D3B"/>
    <w:rsid w:val="00F14B1B"/>
    <w:rsid w:val="00F262DB"/>
    <w:rsid w:val="00F27C8F"/>
    <w:rsid w:val="00F4720A"/>
    <w:rsid w:val="00F5009F"/>
    <w:rsid w:val="00F5145B"/>
    <w:rsid w:val="00F52C01"/>
    <w:rsid w:val="00F532BF"/>
    <w:rsid w:val="00F55B0E"/>
    <w:rsid w:val="00F55EED"/>
    <w:rsid w:val="00F76807"/>
    <w:rsid w:val="00F76AD1"/>
    <w:rsid w:val="00F841B7"/>
    <w:rsid w:val="00F8425D"/>
    <w:rsid w:val="00F921E5"/>
    <w:rsid w:val="00F9471D"/>
    <w:rsid w:val="00FB011C"/>
    <w:rsid w:val="00FB6217"/>
    <w:rsid w:val="00FB7C8D"/>
    <w:rsid w:val="00FC4351"/>
    <w:rsid w:val="00FC554E"/>
    <w:rsid w:val="00FC6F05"/>
    <w:rsid w:val="00FD2129"/>
    <w:rsid w:val="00FD25FD"/>
    <w:rsid w:val="00FD4A91"/>
    <w:rsid w:val="00FE5B38"/>
    <w:rsid w:val="00FF7132"/>
    <w:rsid w:val="010AC155"/>
    <w:rsid w:val="011ED310"/>
    <w:rsid w:val="016F72B9"/>
    <w:rsid w:val="019AF689"/>
    <w:rsid w:val="01D06F90"/>
    <w:rsid w:val="024451FB"/>
    <w:rsid w:val="03F76BFE"/>
    <w:rsid w:val="04CBC53E"/>
    <w:rsid w:val="04EA99C7"/>
    <w:rsid w:val="04F80CF5"/>
    <w:rsid w:val="05072941"/>
    <w:rsid w:val="052B6D77"/>
    <w:rsid w:val="06143480"/>
    <w:rsid w:val="063C2B99"/>
    <w:rsid w:val="0653B457"/>
    <w:rsid w:val="07606061"/>
    <w:rsid w:val="083AFB95"/>
    <w:rsid w:val="09963123"/>
    <w:rsid w:val="099C4ABD"/>
    <w:rsid w:val="09D6B099"/>
    <w:rsid w:val="09E0A4A4"/>
    <w:rsid w:val="09E15594"/>
    <w:rsid w:val="0A58FC63"/>
    <w:rsid w:val="0B3ADD2B"/>
    <w:rsid w:val="0CE56500"/>
    <w:rsid w:val="0D0C4308"/>
    <w:rsid w:val="0D209CCF"/>
    <w:rsid w:val="0D84BFB8"/>
    <w:rsid w:val="0DD1ABA1"/>
    <w:rsid w:val="0EE48D50"/>
    <w:rsid w:val="0F0D57EB"/>
    <w:rsid w:val="0F81E3DF"/>
    <w:rsid w:val="0F86BC53"/>
    <w:rsid w:val="101DA284"/>
    <w:rsid w:val="1099FC6B"/>
    <w:rsid w:val="11156216"/>
    <w:rsid w:val="11A08385"/>
    <w:rsid w:val="11D789FD"/>
    <w:rsid w:val="121BFD97"/>
    <w:rsid w:val="122B3900"/>
    <w:rsid w:val="12A59754"/>
    <w:rsid w:val="12EDA2BD"/>
    <w:rsid w:val="13327BE0"/>
    <w:rsid w:val="13DA45D0"/>
    <w:rsid w:val="141D1A59"/>
    <w:rsid w:val="1479EDBF"/>
    <w:rsid w:val="1594B1AD"/>
    <w:rsid w:val="169A2972"/>
    <w:rsid w:val="169EF548"/>
    <w:rsid w:val="17560CDD"/>
    <w:rsid w:val="1777BAC6"/>
    <w:rsid w:val="17F39070"/>
    <w:rsid w:val="17F8FE4F"/>
    <w:rsid w:val="183CF0B8"/>
    <w:rsid w:val="18B44646"/>
    <w:rsid w:val="1907F689"/>
    <w:rsid w:val="190BD1ED"/>
    <w:rsid w:val="19D3F82E"/>
    <w:rsid w:val="1AAB2C74"/>
    <w:rsid w:val="1B115F12"/>
    <w:rsid w:val="1B1FBF15"/>
    <w:rsid w:val="1B4B7CC1"/>
    <w:rsid w:val="1B85F5E8"/>
    <w:rsid w:val="1B987B5F"/>
    <w:rsid w:val="1BFA8ADA"/>
    <w:rsid w:val="1C9E6E87"/>
    <w:rsid w:val="1CA322F0"/>
    <w:rsid w:val="1CE0CE0C"/>
    <w:rsid w:val="1CF84CFC"/>
    <w:rsid w:val="1D4C58B5"/>
    <w:rsid w:val="1D6A8D83"/>
    <w:rsid w:val="1D796DB3"/>
    <w:rsid w:val="1F35C1F2"/>
    <w:rsid w:val="1FF9E5C5"/>
    <w:rsid w:val="20465E32"/>
    <w:rsid w:val="204A9CEB"/>
    <w:rsid w:val="20B08967"/>
    <w:rsid w:val="20B95686"/>
    <w:rsid w:val="20C142FF"/>
    <w:rsid w:val="212CDC76"/>
    <w:rsid w:val="213773B7"/>
    <w:rsid w:val="21F90D14"/>
    <w:rsid w:val="224E3F31"/>
    <w:rsid w:val="242DCEE7"/>
    <w:rsid w:val="243592A0"/>
    <w:rsid w:val="2459982A"/>
    <w:rsid w:val="246BD2E1"/>
    <w:rsid w:val="2489B6EE"/>
    <w:rsid w:val="2547864E"/>
    <w:rsid w:val="25D16301"/>
    <w:rsid w:val="26FECF03"/>
    <w:rsid w:val="2731F083"/>
    <w:rsid w:val="275D279D"/>
    <w:rsid w:val="278A90A2"/>
    <w:rsid w:val="28C40DE0"/>
    <w:rsid w:val="296EEA03"/>
    <w:rsid w:val="29BBFA66"/>
    <w:rsid w:val="29C65E67"/>
    <w:rsid w:val="29EB20D6"/>
    <w:rsid w:val="29F7B03A"/>
    <w:rsid w:val="2A577422"/>
    <w:rsid w:val="2A5FDE41"/>
    <w:rsid w:val="2B6A950C"/>
    <w:rsid w:val="2BB31BC2"/>
    <w:rsid w:val="2BD0365A"/>
    <w:rsid w:val="2BE65216"/>
    <w:rsid w:val="2C94A60B"/>
    <w:rsid w:val="2CA05774"/>
    <w:rsid w:val="2CEA437B"/>
    <w:rsid w:val="2CF5AA56"/>
    <w:rsid w:val="2D0C0F52"/>
    <w:rsid w:val="2D5A689D"/>
    <w:rsid w:val="2D660BBD"/>
    <w:rsid w:val="2D7ED78C"/>
    <w:rsid w:val="2EBDBC71"/>
    <w:rsid w:val="2F2D18F0"/>
    <w:rsid w:val="2F3B88A0"/>
    <w:rsid w:val="303D69F6"/>
    <w:rsid w:val="30F8E0D6"/>
    <w:rsid w:val="31EA4D38"/>
    <w:rsid w:val="323F4F5E"/>
    <w:rsid w:val="32683DD2"/>
    <w:rsid w:val="32D2664F"/>
    <w:rsid w:val="32D8C667"/>
    <w:rsid w:val="333A2738"/>
    <w:rsid w:val="33655FEC"/>
    <w:rsid w:val="337EF437"/>
    <w:rsid w:val="343CB749"/>
    <w:rsid w:val="346E36B0"/>
    <w:rsid w:val="3483095B"/>
    <w:rsid w:val="34AFAC4B"/>
    <w:rsid w:val="34C516DC"/>
    <w:rsid w:val="34CDBEEA"/>
    <w:rsid w:val="34CF0D38"/>
    <w:rsid w:val="34DCE2F1"/>
    <w:rsid w:val="358DCAB0"/>
    <w:rsid w:val="35A0BC48"/>
    <w:rsid w:val="35BC0722"/>
    <w:rsid w:val="35C5A8B1"/>
    <w:rsid w:val="35F39AC9"/>
    <w:rsid w:val="3645244C"/>
    <w:rsid w:val="36573586"/>
    <w:rsid w:val="379D92F0"/>
    <w:rsid w:val="37FFF814"/>
    <w:rsid w:val="381B49AD"/>
    <w:rsid w:val="38AB25C4"/>
    <w:rsid w:val="38EFC84F"/>
    <w:rsid w:val="397A0B0B"/>
    <w:rsid w:val="3A5C2EF5"/>
    <w:rsid w:val="3A78E2E2"/>
    <w:rsid w:val="3C1D2B9A"/>
    <w:rsid w:val="3D0DDE70"/>
    <w:rsid w:val="3D89F002"/>
    <w:rsid w:val="3DE74A23"/>
    <w:rsid w:val="3E04A439"/>
    <w:rsid w:val="3E2FF03E"/>
    <w:rsid w:val="3EBAFC0F"/>
    <w:rsid w:val="3F20832A"/>
    <w:rsid w:val="3F5BE4B5"/>
    <w:rsid w:val="3FA97295"/>
    <w:rsid w:val="3FB30836"/>
    <w:rsid w:val="3FB8D6DD"/>
    <w:rsid w:val="40240DC4"/>
    <w:rsid w:val="4058E560"/>
    <w:rsid w:val="40D3A8E0"/>
    <w:rsid w:val="41421128"/>
    <w:rsid w:val="41529D5F"/>
    <w:rsid w:val="41A23852"/>
    <w:rsid w:val="41A320D5"/>
    <w:rsid w:val="41C99129"/>
    <w:rsid w:val="4207E5AD"/>
    <w:rsid w:val="4245BC14"/>
    <w:rsid w:val="4297073D"/>
    <w:rsid w:val="42E5B162"/>
    <w:rsid w:val="42F0779F"/>
    <w:rsid w:val="443569ED"/>
    <w:rsid w:val="449E4B59"/>
    <w:rsid w:val="44A61474"/>
    <w:rsid w:val="44EA187D"/>
    <w:rsid w:val="44F77EE7"/>
    <w:rsid w:val="45AC2961"/>
    <w:rsid w:val="45B3C00D"/>
    <w:rsid w:val="45CCE268"/>
    <w:rsid w:val="45DA7D19"/>
    <w:rsid w:val="45EAD75C"/>
    <w:rsid w:val="463AA553"/>
    <w:rsid w:val="46883A8E"/>
    <w:rsid w:val="468CA599"/>
    <w:rsid w:val="46CEACBF"/>
    <w:rsid w:val="47662C36"/>
    <w:rsid w:val="476F4F4E"/>
    <w:rsid w:val="482F1FA9"/>
    <w:rsid w:val="48A5E55E"/>
    <w:rsid w:val="48B549FC"/>
    <w:rsid w:val="48CFEEB8"/>
    <w:rsid w:val="49256793"/>
    <w:rsid w:val="498C6479"/>
    <w:rsid w:val="49C01F96"/>
    <w:rsid w:val="49CAF00A"/>
    <w:rsid w:val="4A1B27F7"/>
    <w:rsid w:val="4A277550"/>
    <w:rsid w:val="4A445DF8"/>
    <w:rsid w:val="4AAA8CD1"/>
    <w:rsid w:val="4B066A91"/>
    <w:rsid w:val="4B20F648"/>
    <w:rsid w:val="4B332587"/>
    <w:rsid w:val="4C16948C"/>
    <w:rsid w:val="4C1760F1"/>
    <w:rsid w:val="4C5D54DD"/>
    <w:rsid w:val="4D3151C9"/>
    <w:rsid w:val="4E7B6A31"/>
    <w:rsid w:val="4EF39FCD"/>
    <w:rsid w:val="4F81E6D2"/>
    <w:rsid w:val="4F8EDEB2"/>
    <w:rsid w:val="4F9F4C00"/>
    <w:rsid w:val="4FE0F19F"/>
    <w:rsid w:val="50063F38"/>
    <w:rsid w:val="5065F1E7"/>
    <w:rsid w:val="50C447FE"/>
    <w:rsid w:val="51021457"/>
    <w:rsid w:val="51185350"/>
    <w:rsid w:val="5131347E"/>
    <w:rsid w:val="519889BD"/>
    <w:rsid w:val="51E0C0F4"/>
    <w:rsid w:val="527DAAC7"/>
    <w:rsid w:val="52E22901"/>
    <w:rsid w:val="536C2BD4"/>
    <w:rsid w:val="537AA513"/>
    <w:rsid w:val="53979F59"/>
    <w:rsid w:val="54197B28"/>
    <w:rsid w:val="542FDD40"/>
    <w:rsid w:val="544BCF12"/>
    <w:rsid w:val="54BB33F4"/>
    <w:rsid w:val="54CAB977"/>
    <w:rsid w:val="551396A9"/>
    <w:rsid w:val="552685DC"/>
    <w:rsid w:val="55336FBA"/>
    <w:rsid w:val="55B22866"/>
    <w:rsid w:val="55B5D62C"/>
    <w:rsid w:val="561400E4"/>
    <w:rsid w:val="56960CB9"/>
    <w:rsid w:val="56E40639"/>
    <w:rsid w:val="56FD1C68"/>
    <w:rsid w:val="5749EA9B"/>
    <w:rsid w:val="57511BEA"/>
    <w:rsid w:val="5768AABB"/>
    <w:rsid w:val="57C18BAB"/>
    <w:rsid w:val="57F18752"/>
    <w:rsid w:val="57FA2827"/>
    <w:rsid w:val="58ECEC4B"/>
    <w:rsid w:val="5928EB48"/>
    <w:rsid w:val="5A148364"/>
    <w:rsid w:val="5A507783"/>
    <w:rsid w:val="5AA82D46"/>
    <w:rsid w:val="5AF46096"/>
    <w:rsid w:val="5C9AF12D"/>
    <w:rsid w:val="5CCAB901"/>
    <w:rsid w:val="5D053F6D"/>
    <w:rsid w:val="5D09CB12"/>
    <w:rsid w:val="5D46D887"/>
    <w:rsid w:val="5E09A797"/>
    <w:rsid w:val="5E7EF343"/>
    <w:rsid w:val="5F0AC049"/>
    <w:rsid w:val="5F23E8A6"/>
    <w:rsid w:val="5F762C1C"/>
    <w:rsid w:val="5F8CFB8B"/>
    <w:rsid w:val="5FED6E7A"/>
    <w:rsid w:val="605755D5"/>
    <w:rsid w:val="60C55BCD"/>
    <w:rsid w:val="6161740D"/>
    <w:rsid w:val="617CAB2F"/>
    <w:rsid w:val="620748C8"/>
    <w:rsid w:val="620BEADC"/>
    <w:rsid w:val="6215190A"/>
    <w:rsid w:val="62349073"/>
    <w:rsid w:val="6242610B"/>
    <w:rsid w:val="6249BA1D"/>
    <w:rsid w:val="62C928AC"/>
    <w:rsid w:val="6398C80F"/>
    <w:rsid w:val="643EF774"/>
    <w:rsid w:val="64947432"/>
    <w:rsid w:val="64D82293"/>
    <w:rsid w:val="65D1770E"/>
    <w:rsid w:val="65D1AAB4"/>
    <w:rsid w:val="65D35CD9"/>
    <w:rsid w:val="6659CE91"/>
    <w:rsid w:val="669E07FB"/>
    <w:rsid w:val="66F4F583"/>
    <w:rsid w:val="67138516"/>
    <w:rsid w:val="67B69792"/>
    <w:rsid w:val="683D6E06"/>
    <w:rsid w:val="687AE89F"/>
    <w:rsid w:val="699CCBD0"/>
    <w:rsid w:val="69CCD46A"/>
    <w:rsid w:val="69EB3935"/>
    <w:rsid w:val="6A5F7649"/>
    <w:rsid w:val="6A89FF25"/>
    <w:rsid w:val="6B7750F9"/>
    <w:rsid w:val="6CB71DD0"/>
    <w:rsid w:val="6D30B722"/>
    <w:rsid w:val="6D98D30A"/>
    <w:rsid w:val="6DC00958"/>
    <w:rsid w:val="6DC3A973"/>
    <w:rsid w:val="6E05CA83"/>
    <w:rsid w:val="6E0AD4FF"/>
    <w:rsid w:val="6E75FFDE"/>
    <w:rsid w:val="6E880007"/>
    <w:rsid w:val="6EFBEC3D"/>
    <w:rsid w:val="6F55C463"/>
    <w:rsid w:val="6FA6CA05"/>
    <w:rsid w:val="6FDD967D"/>
    <w:rsid w:val="6FF22DD4"/>
    <w:rsid w:val="6FFE30E1"/>
    <w:rsid w:val="7070F91B"/>
    <w:rsid w:val="70BC6248"/>
    <w:rsid w:val="71C0C646"/>
    <w:rsid w:val="721534F3"/>
    <w:rsid w:val="72213A02"/>
    <w:rsid w:val="726C807E"/>
    <w:rsid w:val="72C3CE26"/>
    <w:rsid w:val="73109F25"/>
    <w:rsid w:val="73116CD1"/>
    <w:rsid w:val="743CF00E"/>
    <w:rsid w:val="7480A200"/>
    <w:rsid w:val="74964350"/>
    <w:rsid w:val="74AC6F86"/>
    <w:rsid w:val="7598131D"/>
    <w:rsid w:val="75F81266"/>
    <w:rsid w:val="762956C8"/>
    <w:rsid w:val="76814209"/>
    <w:rsid w:val="768CD906"/>
    <w:rsid w:val="77460308"/>
    <w:rsid w:val="77470585"/>
    <w:rsid w:val="774CA779"/>
    <w:rsid w:val="7841AE3A"/>
    <w:rsid w:val="794FDBA2"/>
    <w:rsid w:val="7A6C7B67"/>
    <w:rsid w:val="7AA67515"/>
    <w:rsid w:val="7AC210CB"/>
    <w:rsid w:val="7AFFBC2F"/>
    <w:rsid w:val="7CB2753C"/>
    <w:rsid w:val="7EB219BE"/>
    <w:rsid w:val="7F336052"/>
    <w:rsid w:val="7F894C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0588755"/>
  <w15:chartTrackingRefBased/>
  <w15:docId w15:val="{EE974E99-2B6D-4710-BB1F-D3600574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aliases w:val="3,Bod,Bullet 1,Bullet Paragraphs,Bullet-msa,Bulleted List,Dot pt,F5 List Paragraph,Ha,Indent,Indicator Text,Issue Action POC,List Paragraph Bullet,List Paragraph Char Char Char,List Paragraph1,Numbered Para 1,POCG Table Text,Table Bullets"/>
    <w:basedOn w:val="Normal"/>
    <w:link w:val="ListParagraphChar"/>
    <w:uiPriority w:val="34"/>
    <w:qFormat/>
    <w:rsid w:val="00A65F9E"/>
    <w:pPr>
      <w:ind w:left="720"/>
    </w:pPr>
  </w:style>
  <w:style w:type="paragraph" w:styleId="BodyText">
    <w:name w:val="Body Text"/>
    <w:basedOn w:val="Normal"/>
    <w:link w:val="BodyTextChar"/>
    <w:rsid w:val="008E159B"/>
    <w:pPr>
      <w:overflowPunct/>
      <w:autoSpaceDE/>
      <w:autoSpaceDN/>
      <w:adjustRightInd/>
      <w:spacing w:after="180" w:line="264" w:lineRule="auto"/>
      <w:textAlignment w:val="auto"/>
    </w:pPr>
    <w:rPr>
      <w:sz w:val="22"/>
    </w:rPr>
  </w:style>
  <w:style w:type="character" w:customStyle="1" w:styleId="BodyTextChar">
    <w:name w:val="Body Text Char"/>
    <w:link w:val="BodyText"/>
    <w:rsid w:val="008E159B"/>
    <w:rPr>
      <w:sz w:val="22"/>
    </w:rPr>
  </w:style>
  <w:style w:type="character" w:customStyle="1" w:styleId="ListParagraphChar">
    <w:name w:val="List Paragraph Char"/>
    <w:aliases w:val="3 Char,Bullet Paragraphs Char,Bullet-msa Char,Bulleted List Char,Dot pt Char,F5 List Paragraph Char,Ha Char,Indent Char,Issue Action POC Char,List Paragraph Bullet Char,List Paragraph1 Char,POCG Table Text Char,Table Bullets Char"/>
    <w:link w:val="ListParagraph"/>
    <w:uiPriority w:val="34"/>
    <w:qFormat/>
    <w:locked/>
    <w:rsid w:val="008E159B"/>
  </w:style>
  <w:style w:type="table" w:styleId="TableGrid">
    <w:name w:val="Table Grid"/>
    <w:basedOn w:val="TableNormal"/>
    <w:uiPriority w:val="39"/>
    <w:rsid w:val="009710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B6217"/>
    <w:rPr>
      <w:color w:val="0000FF"/>
      <w:u w:val="single"/>
    </w:rPr>
  </w:style>
  <w:style w:type="character" w:customStyle="1" w:styleId="cf01">
    <w:name w:val="cf01"/>
    <w:rsid w:val="00341B0E"/>
    <w:rPr>
      <w:rFonts w:ascii="Segoe UI" w:hAnsi="Segoe UI" w:cs="Segoe UI" w:hint="default"/>
      <w:sz w:val="18"/>
      <w:szCs w:val="18"/>
    </w:rPr>
  </w:style>
  <w:style w:type="character" w:styleId="CommentReference">
    <w:name w:val="annotation reference"/>
    <w:uiPriority w:val="99"/>
    <w:semiHidden/>
    <w:unhideWhenUsed/>
    <w:rsid w:val="000D4B96"/>
    <w:rPr>
      <w:sz w:val="16"/>
      <w:szCs w:val="16"/>
    </w:rPr>
  </w:style>
  <w:style w:type="paragraph" w:styleId="CommentText">
    <w:name w:val="annotation text"/>
    <w:basedOn w:val="Normal"/>
    <w:link w:val="CommentTextChar"/>
    <w:uiPriority w:val="99"/>
    <w:unhideWhenUsed/>
    <w:rsid w:val="000D4B96"/>
  </w:style>
  <w:style w:type="character" w:customStyle="1" w:styleId="CommentTextChar">
    <w:name w:val="Comment Text Char"/>
    <w:basedOn w:val="DefaultParagraphFont"/>
    <w:link w:val="CommentText"/>
    <w:uiPriority w:val="99"/>
    <w:rsid w:val="000D4B96"/>
  </w:style>
  <w:style w:type="paragraph" w:styleId="CommentSubject">
    <w:name w:val="annotation subject"/>
    <w:basedOn w:val="CommentText"/>
    <w:next w:val="CommentText"/>
    <w:link w:val="CommentSubjectChar"/>
    <w:uiPriority w:val="99"/>
    <w:semiHidden/>
    <w:unhideWhenUsed/>
    <w:rsid w:val="000D4B96"/>
    <w:rPr>
      <w:b/>
      <w:bCs/>
    </w:rPr>
  </w:style>
  <w:style w:type="character" w:customStyle="1" w:styleId="CommentSubjectChar">
    <w:name w:val="Comment Subject Char"/>
    <w:link w:val="CommentSubject"/>
    <w:uiPriority w:val="99"/>
    <w:semiHidden/>
    <w:rsid w:val="000D4B96"/>
    <w:rPr>
      <w:b/>
      <w:bCs/>
    </w:rPr>
  </w:style>
  <w:style w:type="paragraph" w:styleId="Revision">
    <w:name w:val="Revision"/>
    <w:hidden/>
    <w:uiPriority w:val="99"/>
    <w:semiHidden/>
    <w:rsid w:val="00F841B7"/>
  </w:style>
  <w:style w:type="character" w:styleId="UnresolvedMention">
    <w:name w:val="Unresolved Mention"/>
    <w:basedOn w:val="DefaultParagraphFont"/>
    <w:uiPriority w:val="99"/>
    <w:semiHidden/>
    <w:unhideWhenUsed/>
    <w:rsid w:val="00CF60FD"/>
    <w:rPr>
      <w:color w:val="605E5C"/>
      <w:shd w:val="clear" w:color="auto" w:fill="E1DFDD"/>
    </w:rPr>
  </w:style>
  <w:style w:type="paragraph" w:customStyle="1" w:styleId="paragraph">
    <w:name w:val="paragraph"/>
    <w:basedOn w:val="Normal"/>
    <w:rsid w:val="008163CC"/>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8163CC"/>
  </w:style>
  <w:style w:type="character" w:customStyle="1" w:styleId="eop">
    <w:name w:val="eop"/>
    <w:basedOn w:val="DefaultParagraphFont"/>
    <w:rsid w:val="008163CC"/>
  </w:style>
  <w:style w:type="character" w:customStyle="1" w:styleId="wacimagecontainer">
    <w:name w:val="wacimagecontainer"/>
    <w:basedOn w:val="DefaultParagraphFont"/>
    <w:rsid w:val="007B6239"/>
  </w:style>
  <w:style w:type="paragraph" w:styleId="FootnoteText">
    <w:name w:val="footnote text"/>
    <w:basedOn w:val="Normal"/>
    <w:link w:val="FootnoteTextChar"/>
    <w:uiPriority w:val="99"/>
    <w:semiHidden/>
    <w:unhideWhenUsed/>
    <w:rsid w:val="00E831EC"/>
  </w:style>
  <w:style w:type="character" w:customStyle="1" w:styleId="FootnoteTextChar">
    <w:name w:val="Footnote Text Char"/>
    <w:basedOn w:val="DefaultParagraphFont"/>
    <w:link w:val="FootnoteText"/>
    <w:uiPriority w:val="99"/>
    <w:semiHidden/>
    <w:rsid w:val="00E831EC"/>
  </w:style>
  <w:style w:type="character" w:styleId="FootnoteReference">
    <w:name w:val="footnote reference"/>
    <w:basedOn w:val="DefaultParagraphFont"/>
    <w:uiPriority w:val="99"/>
    <w:semiHidden/>
    <w:unhideWhenUsed/>
    <w:rsid w:val="00E831EC"/>
    <w:rPr>
      <w:vertAlign w:val="superscript"/>
    </w:r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b9356e-4ad8-43b5-b7ab-46985a817bf3">
      <UserInfo>
        <DisplayName>Fletcher, Anne L</DisplayName>
        <AccountId>27</AccountId>
        <AccountType/>
      </UserInfo>
      <UserInfo>
        <DisplayName>Star, Carol S</DisplayName>
        <AccountId>17</AccountId>
        <AccountType/>
      </UserInfo>
      <UserInfo>
        <DisplayName>Shroder, Mark D</DisplayName>
        <AccountId>14</AccountId>
        <AccountType/>
      </UserInfo>
      <UserInfo>
        <DisplayName>Berko, J Kofi</DisplayName>
        <AccountId>15</AccountId>
        <AccountType/>
      </UserInfo>
      <UserInfo>
        <DisplayName>Gray, Regina C</DisplayName>
        <AccountId>16</AccountId>
        <AccountType/>
      </UserInfo>
      <UserInfo>
        <DisplayName>Craig, Michael P</DisplayName>
        <AccountId>12</AccountId>
        <AccountType/>
      </UserInfo>
      <UserInfo>
        <DisplayName>Parker, Madeleine 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B6CAD016BFB143BB576AAE0679EAB1" ma:contentTypeVersion="6" ma:contentTypeDescription="Create a new document." ma:contentTypeScope="" ma:versionID="f83b46a0c5b3b6db5ccace48985681ec">
  <xsd:schema xmlns:xsd="http://www.w3.org/2001/XMLSchema" xmlns:xs="http://www.w3.org/2001/XMLSchema" xmlns:p="http://schemas.microsoft.com/office/2006/metadata/properties" xmlns:ns2="69db63aa-4a15-4a5d-a2eb-7543a37404dd" xmlns:ns3="9fb9356e-4ad8-43b5-b7ab-46985a817bf3" targetNamespace="http://schemas.microsoft.com/office/2006/metadata/properties" ma:root="true" ma:fieldsID="ec66869c8c61edd15ebcdbbb9618ca1f" ns2:_="" ns3:_="">
    <xsd:import namespace="69db63aa-4a15-4a5d-a2eb-7543a37404dd"/>
    <xsd:import namespace="9fb9356e-4ad8-43b5-b7ab-46985a817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b63aa-4a15-4a5d-a2eb-7543a3740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9356e-4ad8-43b5-b7ab-46985a817b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6107E-1A94-4D1D-8FFE-F62C9B3CA4CD}">
  <ds:schemaRefs>
    <ds:schemaRef ds:uri="http://schemas.openxmlformats.org/officeDocument/2006/bibliography"/>
  </ds:schemaRefs>
</ds:datastoreItem>
</file>

<file path=customXml/itemProps2.xml><?xml version="1.0" encoding="utf-8"?>
<ds:datastoreItem xmlns:ds="http://schemas.openxmlformats.org/officeDocument/2006/customXml" ds:itemID="{C5587B2A-3DAA-4266-85CA-49FFAE64B6EE}">
  <ds:schemaRefs>
    <ds:schemaRef ds:uri="http://schemas.microsoft.com/office/2006/metadata/properties"/>
    <ds:schemaRef ds:uri="http://schemas.microsoft.com/office/infopath/2007/PartnerControls"/>
    <ds:schemaRef ds:uri="9fb9356e-4ad8-43b5-b7ab-46985a817bf3"/>
  </ds:schemaRefs>
</ds:datastoreItem>
</file>

<file path=customXml/itemProps3.xml><?xml version="1.0" encoding="utf-8"?>
<ds:datastoreItem xmlns:ds="http://schemas.openxmlformats.org/officeDocument/2006/customXml" ds:itemID="{8597CE1F-86F8-42D3-8E3B-71A49043BEFA}">
  <ds:schemaRefs>
    <ds:schemaRef ds:uri="http://schemas.microsoft.com/sharepoint/v3/contenttype/forms"/>
  </ds:schemaRefs>
</ds:datastoreItem>
</file>

<file path=customXml/itemProps4.xml><?xml version="1.0" encoding="utf-8"?>
<ds:datastoreItem xmlns:ds="http://schemas.openxmlformats.org/officeDocument/2006/customXml" ds:itemID="{76A9DD8D-40C3-4561-804A-4F530CB0F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b63aa-4a15-4a5d-a2eb-7543a37404dd"/>
    <ds:schemaRef ds:uri="9fb9356e-4ad8-43b5-b7ab-46985a817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5082</Words>
  <Characters>29537</Characters>
  <Application>Microsoft Office Word</Application>
  <DocSecurity>2</DocSecurity>
  <Lines>246</Lines>
  <Paragraphs>69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2024-03-25T14:06:00Z</cp:lastPrinted>
  <dcterms:created xsi:type="dcterms:W3CDTF">2024-04-01T16:36:00Z</dcterms:created>
  <dcterms:modified xsi:type="dcterms:W3CDTF">2024-04-01T16:36:00Z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0x010100F6B6CAD016BFB143BB576AAE0679EAB1</vt:lpwstr>
  </property>
  <property fmtid="{D5CDD505-2E9C-101B-9397-08002B2CF9AE}" pid="3" name="_ip_UnifiedCompliancePolicyProperties">
    <vt:lpwstr/>
  </property>
  <property fmtid="{D5CDD505-2E9C-101B-9397-08002B2CF9AE}" pid="4" name="_ip_UnifiedCompliancePolicyUIAction">
    <vt:lpwstr/>
  </property>
  <property fmtid="{D5CDD505-2E9C-101B-9397-08002B2CF9AE}" pid="5" name="_NewReviewCycle">
    <vt:lpwstr/>
  </property>
</Properties>
</file>