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DB4FA0" w:rsidP="003D6E34" w14:paraId="223081C2" w14:textId="77777777">
      <w:pPr>
        <w:pStyle w:val="NoSpacing"/>
        <w:jc w:val="center"/>
        <w:rPr>
          <w:sz w:val="24"/>
          <w:szCs w:val="24"/>
        </w:rPr>
      </w:pPr>
      <w:r w:rsidRPr="00DB4FA0">
        <w:rPr>
          <w:sz w:val="24"/>
          <w:szCs w:val="24"/>
        </w:rPr>
        <w:t>Supporting Statement for Paperwork Reduction Act Submissions</w:t>
      </w:r>
    </w:p>
    <w:p w:rsidR="00167E53" w:rsidRPr="00DB4FA0" w:rsidP="00DB4FA0" w14:paraId="39EEAD25" w14:textId="250BAABC">
      <w:pPr>
        <w:pStyle w:val="NoSpacing"/>
        <w:jc w:val="center"/>
        <w:rPr>
          <w:sz w:val="24"/>
          <w:szCs w:val="24"/>
        </w:rPr>
      </w:pPr>
      <w:r w:rsidRPr="00DB4FA0">
        <w:rPr>
          <w:sz w:val="24"/>
          <w:szCs w:val="24"/>
        </w:rPr>
        <w:t>(</w:t>
      </w:r>
      <w:r w:rsidR="004D2741">
        <w:rPr>
          <w:color w:val="000000"/>
          <w:sz w:val="24"/>
          <w:szCs w:val="24"/>
        </w:rPr>
        <w:t>Consolidated Housing and Community Development Strategy and Plan</w:t>
      </w:r>
      <w:r w:rsidRPr="00DB4FA0">
        <w:rPr>
          <w:sz w:val="24"/>
          <w:szCs w:val="24"/>
        </w:rPr>
        <w:t>)</w:t>
      </w:r>
    </w:p>
    <w:p w:rsidR="00167E53" w:rsidRPr="00DB4FA0" w:rsidP="00DB4FA0" w14:paraId="14752ABA" w14:textId="297E8BF4">
      <w:pPr>
        <w:pStyle w:val="NoSpacing"/>
        <w:jc w:val="center"/>
        <w:rPr>
          <w:sz w:val="24"/>
          <w:szCs w:val="24"/>
        </w:rPr>
      </w:pPr>
      <w:r w:rsidRPr="00DB4FA0">
        <w:rPr>
          <w:sz w:val="24"/>
          <w:szCs w:val="24"/>
        </w:rPr>
        <w:t>(OMB</w:t>
      </w:r>
      <w:r w:rsidRPr="00DB4FA0" w:rsidR="00DB4FA0">
        <w:rPr>
          <w:sz w:val="24"/>
          <w:szCs w:val="24"/>
        </w:rPr>
        <w:t xml:space="preserve"> </w:t>
      </w:r>
      <w:r w:rsidRPr="00DB4FA0">
        <w:rPr>
          <w:sz w:val="24"/>
          <w:szCs w:val="24"/>
        </w:rPr>
        <w:t>#</w:t>
      </w:r>
      <w:r w:rsidRPr="00DB4FA0" w:rsidR="00DB4FA0">
        <w:rPr>
          <w:sz w:val="24"/>
          <w:szCs w:val="24"/>
        </w:rPr>
        <w:t>2506-0</w:t>
      </w:r>
      <w:r w:rsidR="00CD2577">
        <w:rPr>
          <w:sz w:val="24"/>
          <w:szCs w:val="24"/>
        </w:rPr>
        <w:t>1</w:t>
      </w:r>
      <w:r w:rsidR="003B7221">
        <w:rPr>
          <w:sz w:val="24"/>
          <w:szCs w:val="24"/>
        </w:rPr>
        <w:t>17</w:t>
      </w:r>
      <w:r w:rsidRPr="00DB4FA0">
        <w:rPr>
          <w:sz w:val="24"/>
          <w:szCs w:val="24"/>
        </w:rPr>
        <w:t>)</w:t>
      </w:r>
    </w:p>
    <w:p w:rsidR="009E13B1" w:rsidRPr="00DB4FA0" w:rsidP="00DB4FA0" w14:paraId="6DF4E394" w14:textId="77777777">
      <w:pPr>
        <w:pStyle w:val="NoSpacing"/>
        <w:rPr>
          <w:sz w:val="24"/>
          <w:szCs w:val="24"/>
        </w:rPr>
      </w:pPr>
    </w:p>
    <w:p w:rsidR="009E13B1" w:rsidRPr="00DB4FA0" w:rsidP="00DB4FA0" w14:paraId="66CBA5F1" w14:textId="77777777">
      <w:pPr>
        <w:pStyle w:val="NoSpacing"/>
        <w:rPr>
          <w:sz w:val="24"/>
          <w:szCs w:val="24"/>
        </w:rPr>
      </w:pPr>
      <w:r w:rsidRPr="00DB4FA0">
        <w:rPr>
          <w:sz w:val="24"/>
          <w:szCs w:val="24"/>
        </w:rPr>
        <w:t xml:space="preserve">A. </w:t>
      </w:r>
      <w:r w:rsidRPr="00DB4FA0">
        <w:rPr>
          <w:sz w:val="24"/>
          <w:szCs w:val="24"/>
        </w:rPr>
        <w:tab/>
        <w:t>Justification</w:t>
      </w:r>
    </w:p>
    <w:p w:rsidR="005635FF" w:rsidP="005635FF" w14:paraId="1299ACCC" w14:textId="77777777">
      <w:pPr>
        <w:pStyle w:val="NoSpacing"/>
        <w:tabs>
          <w:tab w:val="left" w:pos="810"/>
          <w:tab w:val="left" w:pos="990"/>
        </w:tabs>
        <w:rPr>
          <w:sz w:val="24"/>
          <w:szCs w:val="24"/>
        </w:rPr>
      </w:pPr>
    </w:p>
    <w:p w:rsidR="009E13B1" w:rsidP="003D6E34" w14:paraId="6B1F8C2B" w14:textId="14F4F127">
      <w:pPr>
        <w:pStyle w:val="NoSpacing"/>
        <w:numPr>
          <w:ilvl w:val="0"/>
          <w:numId w:val="23"/>
        </w:numPr>
        <w:tabs>
          <w:tab w:val="left" w:pos="810"/>
          <w:tab w:val="left" w:pos="990"/>
        </w:tabs>
        <w:rPr>
          <w:sz w:val="24"/>
          <w:szCs w:val="24"/>
        </w:rPr>
      </w:pPr>
      <w:r w:rsidRPr="00DB4FA0">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4FA0" w:rsidP="00DB4FA0" w14:paraId="2A7CD931" w14:textId="77777777">
      <w:pPr>
        <w:pStyle w:val="NoSpacing"/>
        <w:rPr>
          <w:sz w:val="24"/>
          <w:szCs w:val="24"/>
        </w:rPr>
      </w:pPr>
    </w:p>
    <w:p w:rsidR="00905D50" w:rsidP="003D6E34" w14:paraId="06396781" w14:textId="4586EA1A">
      <w:pPr>
        <w:pStyle w:val="NoSpacing"/>
        <w:ind w:left="720"/>
        <w:rPr>
          <w:sz w:val="24"/>
          <w:szCs w:val="24"/>
        </w:rPr>
      </w:pPr>
      <w:r w:rsidRPr="00905D50">
        <w:rPr>
          <w:sz w:val="24"/>
          <w:szCs w:val="24"/>
        </w:rPr>
        <w:t xml:space="preserve">Submission of the </w:t>
      </w:r>
      <w:r w:rsidR="0090321D">
        <w:rPr>
          <w:color w:val="000000"/>
          <w:sz w:val="24"/>
          <w:szCs w:val="24"/>
        </w:rPr>
        <w:t>Consolidated Housing and Community Development Strategy and Plan</w:t>
      </w:r>
      <w:r w:rsidRPr="00905D50" w:rsidR="0090321D">
        <w:rPr>
          <w:sz w:val="24"/>
          <w:szCs w:val="24"/>
        </w:rPr>
        <w:t xml:space="preserve"> </w:t>
      </w:r>
      <w:r w:rsidR="0091082E">
        <w:rPr>
          <w:sz w:val="24"/>
          <w:szCs w:val="24"/>
        </w:rPr>
        <w:t xml:space="preserve">(the </w:t>
      </w:r>
      <w:r w:rsidRPr="00905D50">
        <w:rPr>
          <w:sz w:val="24"/>
          <w:szCs w:val="24"/>
        </w:rPr>
        <w:t>Consolidated Plan</w:t>
      </w:r>
      <w:r w:rsidR="0091082E">
        <w:rPr>
          <w:sz w:val="24"/>
          <w:szCs w:val="24"/>
        </w:rPr>
        <w:t>, or “Con Plan” )</w:t>
      </w:r>
      <w:r w:rsidRPr="00905D50">
        <w:rPr>
          <w:sz w:val="24"/>
          <w:szCs w:val="24"/>
        </w:rPr>
        <w:t xml:space="preserve"> is required every </w:t>
      </w:r>
      <w:r>
        <w:rPr>
          <w:sz w:val="24"/>
          <w:szCs w:val="24"/>
        </w:rPr>
        <w:t>three</w:t>
      </w:r>
      <w:r w:rsidR="00A34248">
        <w:rPr>
          <w:sz w:val="24"/>
          <w:szCs w:val="24"/>
        </w:rPr>
        <w:t xml:space="preserve"> to</w:t>
      </w:r>
      <w:r w:rsidR="0017738A">
        <w:rPr>
          <w:sz w:val="24"/>
          <w:szCs w:val="24"/>
        </w:rPr>
        <w:t xml:space="preserve"> </w:t>
      </w:r>
      <w:r>
        <w:rPr>
          <w:sz w:val="24"/>
          <w:szCs w:val="24"/>
        </w:rPr>
        <w:t xml:space="preserve">five </w:t>
      </w:r>
      <w:r w:rsidRPr="00905D50">
        <w:rPr>
          <w:sz w:val="24"/>
          <w:szCs w:val="24"/>
        </w:rPr>
        <w:t>years for grantees who receive one or more of the formula grant programs administered by the Department of Housing and Urban Development’s (HUD) Office of Community Planning and Development (CPD)</w:t>
      </w:r>
      <w:r w:rsidR="004665D1">
        <w:rPr>
          <w:sz w:val="24"/>
          <w:szCs w:val="24"/>
        </w:rPr>
        <w:t xml:space="preserve">: </w:t>
      </w:r>
      <w:r w:rsidRPr="00905D50">
        <w:rPr>
          <w:sz w:val="24"/>
          <w:szCs w:val="24"/>
        </w:rPr>
        <w:t>Community Development Block Grant (CDBG), HOME Investment Partnerships (HOME), Emergency Solutions Grants (ESG), Housing Opportunities for Persons with AIDS (HOPWA)</w:t>
      </w:r>
      <w:r w:rsidR="00A57569">
        <w:rPr>
          <w:sz w:val="24"/>
          <w:szCs w:val="24"/>
        </w:rPr>
        <w:t>,</w:t>
      </w:r>
      <w:r w:rsidRPr="00905D50">
        <w:rPr>
          <w:sz w:val="24"/>
          <w:szCs w:val="24"/>
        </w:rPr>
        <w:t xml:space="preserve"> and the Housing Trust Fund (HTF). The requirement that grantees submit this information is in compliance with the Cranston Gonzalez National Affordable Housing Act of 1990, which requires participating jurisdictions to submit a Comprehensive Housing Affordability Strategy (Section 105(b)); the Housing and Community Development Act of 1974, as amended, which requires states and localities to submit a Community Development Plan (Section 104(b)(4) and Section 104(m)); and provisions of these Acts that require states and localities to submit applications and reports for these formula grant programs. The Consolidated Plan regulations are found at 24 CFR part 91.</w:t>
      </w:r>
    </w:p>
    <w:p w:rsidR="005635FF" w:rsidP="005635FF" w14:paraId="5CF4F840" w14:textId="77777777">
      <w:pPr>
        <w:pStyle w:val="NoSpacing"/>
        <w:rPr>
          <w:sz w:val="24"/>
          <w:szCs w:val="24"/>
        </w:rPr>
      </w:pPr>
    </w:p>
    <w:p w:rsidR="009E13B1" w:rsidP="003D6E34" w14:paraId="2D20B50A" w14:textId="40ED5D00">
      <w:pPr>
        <w:pStyle w:val="NoSpacing"/>
        <w:numPr>
          <w:ilvl w:val="0"/>
          <w:numId w:val="23"/>
        </w:numPr>
        <w:rPr>
          <w:sz w:val="24"/>
          <w:szCs w:val="24"/>
        </w:rPr>
      </w:pPr>
      <w:r w:rsidRPr="00DB4FA0">
        <w:rPr>
          <w:sz w:val="24"/>
          <w:szCs w:val="24"/>
        </w:rPr>
        <w:t>Indicate how, by whom and for what purpose the information is to be used. Except for a new collection, indicate the actual use the agency has made of the information received from the current collection.</w:t>
      </w:r>
    </w:p>
    <w:p w:rsidR="00DB4FA0" w:rsidP="00905D50" w14:paraId="10759E39" w14:textId="77777777">
      <w:pPr>
        <w:pStyle w:val="NoSpacing"/>
        <w:rPr>
          <w:sz w:val="24"/>
          <w:szCs w:val="24"/>
        </w:rPr>
      </w:pPr>
    </w:p>
    <w:p w:rsidR="00905D50" w:rsidP="003D6E34" w14:paraId="5B3043EB" w14:textId="5FBDACAC">
      <w:pPr>
        <w:pStyle w:val="NoSpacing"/>
        <w:ind w:left="720"/>
        <w:rPr>
          <w:sz w:val="24"/>
          <w:szCs w:val="24"/>
        </w:rPr>
      </w:pPr>
      <w:r w:rsidRPr="00905D50">
        <w:rPr>
          <w:sz w:val="24"/>
          <w:szCs w:val="24"/>
        </w:rPr>
        <w:t xml:space="preserve">HUD and CPD grantees are the primary users of this information. This information is submitted electronically through the Integrated Disbursement and Information System (IDIS), CPD’s grants management </w:t>
      </w:r>
      <w:r w:rsidR="00141FD2">
        <w:rPr>
          <w:sz w:val="24"/>
          <w:szCs w:val="24"/>
        </w:rPr>
        <w:t xml:space="preserve">information </w:t>
      </w:r>
      <w:r w:rsidRPr="00905D50">
        <w:rPr>
          <w:sz w:val="24"/>
          <w:szCs w:val="24"/>
        </w:rPr>
        <w:t xml:space="preserve">system. The purpose of the Consolidated Plan is to provide HUD with </w:t>
      </w:r>
      <w:r w:rsidR="00A53735">
        <w:rPr>
          <w:sz w:val="24"/>
          <w:szCs w:val="24"/>
        </w:rPr>
        <w:t xml:space="preserve">a </w:t>
      </w:r>
      <w:r w:rsidRPr="00905D50">
        <w:rPr>
          <w:sz w:val="24"/>
          <w:szCs w:val="24"/>
        </w:rPr>
        <w:t xml:space="preserve">preliminary assessment as to the statutory and regulatory eligibility of proposed grantee projects, </w:t>
      </w:r>
      <w:r w:rsidR="00076643">
        <w:rPr>
          <w:sz w:val="24"/>
          <w:szCs w:val="24"/>
        </w:rPr>
        <w:t xml:space="preserve">to </w:t>
      </w:r>
      <w:r w:rsidRPr="00905D50">
        <w:rPr>
          <w:sz w:val="24"/>
          <w:szCs w:val="24"/>
        </w:rPr>
        <w:t xml:space="preserve">inform citizens of </w:t>
      </w:r>
      <w:r w:rsidR="00076643">
        <w:rPr>
          <w:sz w:val="24"/>
          <w:szCs w:val="24"/>
        </w:rPr>
        <w:t xml:space="preserve">the </w:t>
      </w:r>
      <w:r w:rsidRPr="00905D50">
        <w:rPr>
          <w:sz w:val="24"/>
          <w:szCs w:val="24"/>
        </w:rPr>
        <w:t xml:space="preserve">intended uses of program funds, and </w:t>
      </w:r>
      <w:r w:rsidR="00076643">
        <w:rPr>
          <w:sz w:val="24"/>
          <w:szCs w:val="24"/>
        </w:rPr>
        <w:t>to</w:t>
      </w:r>
      <w:r w:rsidRPr="00905D50">
        <w:rPr>
          <w:sz w:val="24"/>
          <w:szCs w:val="24"/>
        </w:rPr>
        <w:t xml:space="preserve"> track progress against the goals. Each year grantees are also required to complete an Annual Action Plan that outlines activities to be undertaken under the Consolidated Plan. The Annual Performance Report is the report back to HUD on how the grantee is making progress toward the goals established in the Consolidated Plan and towards those identified for the past year in the Annual Action Plan.</w:t>
      </w:r>
    </w:p>
    <w:p w:rsidR="00F504C0" w:rsidRPr="00905D50" w:rsidP="003D6E34" w14:paraId="53A5BE9D" w14:textId="77777777">
      <w:pPr>
        <w:pStyle w:val="NoSpacing"/>
        <w:ind w:left="1440"/>
        <w:rPr>
          <w:sz w:val="24"/>
          <w:szCs w:val="24"/>
        </w:rPr>
      </w:pPr>
    </w:p>
    <w:p w:rsidR="00905D50" w:rsidRPr="00905D50" w:rsidP="003D6E34" w14:paraId="65AA7D7D" w14:textId="77777777">
      <w:pPr>
        <w:pStyle w:val="NoSpacing"/>
        <w:ind w:left="720"/>
        <w:rPr>
          <w:sz w:val="24"/>
          <w:szCs w:val="24"/>
        </w:rPr>
      </w:pPr>
      <w:r w:rsidRPr="00905D50">
        <w:rPr>
          <w:sz w:val="24"/>
          <w:szCs w:val="24"/>
        </w:rPr>
        <w:t>The language below appears in the footer of every Consolidated Plan.  Here is an example:</w:t>
      </w:r>
    </w:p>
    <w:p w:rsidR="00905D50" w:rsidRPr="00905D50" w:rsidP="003D6E34" w14:paraId="589D0C8F" w14:textId="77777777">
      <w:pPr>
        <w:pStyle w:val="NoSpacing"/>
        <w:ind w:left="1080"/>
        <w:rPr>
          <w:sz w:val="24"/>
          <w:szCs w:val="24"/>
        </w:rPr>
      </w:pPr>
    </w:p>
    <w:tbl>
      <w:tblPr>
        <w:tblW w:w="8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4585"/>
        <w:gridCol w:w="1000"/>
      </w:tblGrid>
      <w:tr w14:paraId="12C23691" w14:textId="77777777" w:rsidTr="003D6E34">
        <w:tblPrEx>
          <w:tblW w:w="8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430" w:type="dxa"/>
          </w:tcPr>
          <w:p w:rsidR="00905D50" w:rsidRPr="00905D50" w:rsidP="00905D50" w14:paraId="0AEF91F4" w14:textId="3E30FF91">
            <w:pPr>
              <w:tabs>
                <w:tab w:val="center" w:pos="4680"/>
                <w:tab w:val="right" w:pos="9360"/>
              </w:tabs>
              <w:overflowPunct/>
              <w:autoSpaceDE/>
              <w:autoSpaceDN/>
              <w:adjustRightInd/>
              <w:ind w:left="-99"/>
              <w:textAlignment w:val="auto"/>
              <w:rPr>
                <w:rFonts w:asciiTheme="minorHAnsi" w:eastAsiaTheme="minorHAnsi" w:hAnsiTheme="minorHAnsi" w:cstheme="minorBidi"/>
                <w:sz w:val="22"/>
                <w:szCs w:val="22"/>
              </w:rPr>
            </w:pPr>
            <w:r w:rsidRPr="00905D50">
              <w:rPr>
                <w:rFonts w:asciiTheme="minorHAnsi" w:eastAsiaTheme="minorHAnsi" w:hAnsiTheme="minorHAnsi" w:cstheme="minorBidi"/>
                <w:sz w:val="22"/>
                <w:szCs w:val="22"/>
              </w:rPr>
              <w:t xml:space="preserve"> </w:t>
            </w:r>
            <w:r w:rsidR="003D6E34">
              <w:rPr>
                <w:rFonts w:asciiTheme="minorHAnsi" w:eastAsiaTheme="minorHAnsi" w:hAnsiTheme="minorHAnsi" w:cstheme="minorBidi"/>
                <w:sz w:val="22"/>
                <w:szCs w:val="22"/>
              </w:rPr>
              <w:t>C</w:t>
            </w:r>
            <w:r w:rsidRPr="00905D50">
              <w:rPr>
                <w:rFonts w:asciiTheme="minorHAnsi" w:eastAsiaTheme="minorHAnsi" w:hAnsiTheme="minorHAnsi" w:cstheme="minorBidi"/>
                <w:sz w:val="22"/>
                <w:szCs w:val="22"/>
              </w:rPr>
              <w:t>onsolidated Plan</w:t>
            </w:r>
          </w:p>
        </w:tc>
        <w:tc>
          <w:tcPr>
            <w:tcW w:w="4585" w:type="dxa"/>
          </w:tcPr>
          <w:p w:rsidR="00905D50" w:rsidRPr="00905D50" w:rsidP="00905D50" w14:paraId="23BF04E6" w14:textId="77777777">
            <w:pPr>
              <w:tabs>
                <w:tab w:val="center" w:pos="4680"/>
                <w:tab w:val="right" w:pos="9360"/>
              </w:tabs>
              <w:overflowPunct/>
              <w:autoSpaceDE/>
              <w:autoSpaceDN/>
              <w:adjustRightInd/>
              <w:ind w:hanging="90"/>
              <w:jc w:val="center"/>
              <w:textAlignment w:val="auto"/>
              <w:rPr>
                <w:rFonts w:asciiTheme="minorHAnsi" w:eastAsiaTheme="minorHAnsi" w:hAnsiTheme="minorHAnsi" w:cs="Arial"/>
                <w:sz w:val="22"/>
                <w:szCs w:val="22"/>
              </w:rPr>
            </w:pPr>
            <w:r w:rsidRPr="00905D50">
              <w:rPr>
                <w:rFonts w:asciiTheme="minorHAnsi" w:eastAsiaTheme="minorHAnsi" w:hAnsiTheme="minorHAnsi" w:cs="Arial"/>
                <w:sz w:val="22"/>
                <w:szCs w:val="22"/>
              </w:rPr>
              <w:t>BIRMINGHAM</w:t>
            </w:r>
          </w:p>
        </w:tc>
        <w:tc>
          <w:tcPr>
            <w:tcW w:w="1000" w:type="dxa"/>
          </w:tcPr>
          <w:p w:rsidR="00905D50" w:rsidRPr="00905D50" w:rsidP="00905D50" w14:paraId="722BBB6D" w14:textId="61A263D9">
            <w:pPr>
              <w:tabs>
                <w:tab w:val="center" w:pos="4680"/>
                <w:tab w:val="right" w:pos="9360"/>
              </w:tabs>
              <w:overflowPunct/>
              <w:autoSpaceDE/>
              <w:autoSpaceDN/>
              <w:adjustRightInd/>
              <w:ind w:hanging="90"/>
              <w:jc w:val="right"/>
              <w:textAlignment w:val="auto"/>
              <w:rPr>
                <w:rFonts w:asciiTheme="minorHAnsi" w:eastAsiaTheme="minorHAnsi" w:hAnsiTheme="minorHAnsi" w:cstheme="minorBidi"/>
                <w:sz w:val="22"/>
                <w:szCs w:val="22"/>
              </w:rPr>
            </w:pPr>
            <w:r w:rsidRPr="00905D50">
              <w:rPr>
                <w:rFonts w:asciiTheme="minorHAnsi" w:eastAsiaTheme="minorHAnsi" w:hAnsiTheme="minorHAnsi"/>
                <w:sz w:val="22"/>
                <w:szCs w:val="22"/>
              </w:rPr>
              <w:t xml:space="preserve">    </w:t>
            </w:r>
            <w:r w:rsidRPr="00905D50">
              <w:rPr>
                <w:rFonts w:asciiTheme="minorHAnsi" w:eastAsiaTheme="minorHAnsi" w:hAnsiTheme="minorHAnsi"/>
                <w:sz w:val="22"/>
                <w:szCs w:val="22"/>
              </w:rPr>
              <w:fldChar w:fldCharType="begin"/>
            </w:r>
            <w:r w:rsidRPr="00905D50">
              <w:rPr>
                <w:rFonts w:asciiTheme="minorHAnsi" w:eastAsiaTheme="minorHAnsi" w:hAnsiTheme="minorHAnsi"/>
                <w:sz w:val="22"/>
                <w:szCs w:val="22"/>
              </w:rPr>
              <w:instrText xml:space="preserve"> PAGE </w:instrText>
            </w:r>
            <w:r w:rsidRPr="00905D50">
              <w:rPr>
                <w:rFonts w:asciiTheme="minorHAnsi" w:eastAsiaTheme="minorHAnsi" w:hAnsiTheme="minorHAnsi"/>
                <w:sz w:val="22"/>
                <w:szCs w:val="22"/>
              </w:rPr>
              <w:fldChar w:fldCharType="separate"/>
            </w:r>
            <w:r w:rsidR="00936CC4">
              <w:rPr>
                <w:rFonts w:asciiTheme="minorHAnsi" w:eastAsiaTheme="minorHAnsi" w:hAnsiTheme="minorHAnsi"/>
                <w:noProof/>
                <w:sz w:val="22"/>
                <w:szCs w:val="22"/>
              </w:rPr>
              <w:t>1</w:t>
            </w:r>
            <w:r w:rsidRPr="00905D50">
              <w:rPr>
                <w:rFonts w:asciiTheme="minorHAnsi" w:eastAsiaTheme="minorHAnsi" w:hAnsiTheme="minorHAnsi"/>
                <w:sz w:val="22"/>
                <w:szCs w:val="22"/>
              </w:rPr>
              <w:fldChar w:fldCharType="end"/>
            </w:r>
          </w:p>
        </w:tc>
      </w:tr>
    </w:tbl>
    <w:p w:rsidR="00905D50" w:rsidRPr="00905D50" w:rsidP="003D6E34" w14:paraId="3FB416CB" w14:textId="6ED41DDB">
      <w:pPr>
        <w:tabs>
          <w:tab w:val="center" w:pos="4680"/>
          <w:tab w:val="right" w:pos="9360"/>
        </w:tabs>
        <w:overflowPunct/>
        <w:autoSpaceDE/>
        <w:autoSpaceDN/>
        <w:adjustRightInd/>
        <w:spacing w:before="120"/>
        <w:ind w:left="1080" w:hanging="90"/>
        <w:textAlignment w:val="auto"/>
        <w:rPr>
          <w:rFonts w:asciiTheme="minorHAnsi" w:eastAsiaTheme="minorHAnsi" w:hAnsiTheme="minorHAnsi" w:cstheme="minorBidi"/>
          <w:b/>
          <w:i/>
          <w:sz w:val="16"/>
          <w:szCs w:val="22"/>
        </w:rPr>
      </w:pPr>
      <w:r>
        <w:rPr>
          <w:rFonts w:asciiTheme="minorHAnsi" w:eastAsiaTheme="minorHAnsi" w:hAnsiTheme="minorHAnsi" w:cs="Arial"/>
          <w:color w:val="000000"/>
          <w:sz w:val="16"/>
          <w:szCs w:val="22"/>
        </w:rPr>
        <w:tab/>
      </w:r>
      <w:r w:rsidRPr="00905D50">
        <w:rPr>
          <w:rFonts w:asciiTheme="minorHAnsi" w:eastAsiaTheme="minorHAnsi" w:hAnsiTheme="minorHAnsi" w:cs="Arial"/>
          <w:color w:val="000000"/>
          <w:sz w:val="16"/>
          <w:szCs w:val="22"/>
        </w:rPr>
        <w:t xml:space="preserve">OMB Control No: 2506-0117 (exp. </w:t>
      </w:r>
      <w:r>
        <w:rPr>
          <w:rFonts w:asciiTheme="minorHAnsi" w:eastAsiaTheme="minorHAnsi" w:hAnsiTheme="minorHAnsi" w:cs="Arial"/>
          <w:color w:val="000000"/>
          <w:sz w:val="16"/>
          <w:szCs w:val="22"/>
        </w:rPr>
        <w:t>03/31/2025</w:t>
      </w:r>
      <w:r w:rsidRPr="00905D50">
        <w:rPr>
          <w:rFonts w:asciiTheme="minorHAnsi" w:eastAsiaTheme="minorHAnsi" w:hAnsiTheme="minorHAnsi" w:cs="Arial"/>
          <w:color w:val="000000"/>
          <w:sz w:val="16"/>
          <w:szCs w:val="22"/>
        </w:rPr>
        <w:t>)</w:t>
      </w:r>
    </w:p>
    <w:p w:rsidR="00905D50" w:rsidP="003D6E34" w14:paraId="4D773A12" w14:textId="77777777">
      <w:pPr>
        <w:pStyle w:val="NoSpacing"/>
        <w:ind w:left="1080"/>
        <w:rPr>
          <w:sz w:val="24"/>
          <w:szCs w:val="24"/>
        </w:rPr>
      </w:pPr>
    </w:p>
    <w:p w:rsidR="0017738A" w:rsidRPr="00DB4FA0" w:rsidP="003D6E34" w14:paraId="1E01C6A4" w14:textId="77777777">
      <w:pPr>
        <w:pStyle w:val="NoSpacing"/>
        <w:ind w:left="1080"/>
        <w:rPr>
          <w:sz w:val="24"/>
          <w:szCs w:val="24"/>
        </w:rPr>
      </w:pPr>
    </w:p>
    <w:p w:rsidR="009E13B1" w:rsidRPr="00DB4FA0" w:rsidP="00AA39E3" w14:paraId="2EEBD05D" w14:textId="03FB6ADC">
      <w:pPr>
        <w:pStyle w:val="NoSpacing"/>
        <w:ind w:left="720" w:hanging="360"/>
        <w:rPr>
          <w:sz w:val="24"/>
          <w:szCs w:val="24"/>
        </w:rPr>
      </w:pPr>
      <w:r w:rsidRPr="00DB4FA0">
        <w:rPr>
          <w:sz w:val="24"/>
          <w:szCs w:val="24"/>
        </w:rPr>
        <w:t>3.</w:t>
      </w:r>
      <w:r w:rsidRPr="00DB4FA0">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B4FA0">
        <w:rPr>
          <w:sz w:val="24"/>
          <w:szCs w:val="24"/>
        </w:rPr>
        <w:t>for adopting</w:t>
      </w:r>
      <w:r w:rsidRPr="00DB4FA0">
        <w:rPr>
          <w:sz w:val="24"/>
          <w:szCs w:val="24"/>
        </w:rPr>
        <w:t xml:space="preserve"> this means of collection. Also describe any consideration of using information technology to reduce burden.</w:t>
      </w:r>
    </w:p>
    <w:p w:rsidR="009E13B1" w:rsidP="00DB4FA0" w14:paraId="27A555F4" w14:textId="77777777">
      <w:pPr>
        <w:pStyle w:val="NoSpacing"/>
        <w:rPr>
          <w:sz w:val="24"/>
          <w:szCs w:val="24"/>
        </w:rPr>
      </w:pPr>
    </w:p>
    <w:p w:rsidR="00A339B2" w:rsidRPr="00905D50" w:rsidP="003D6E34" w14:paraId="4A5C61E6" w14:textId="7C18E7B9">
      <w:pPr>
        <w:pStyle w:val="NoSpacing"/>
        <w:ind w:left="720"/>
        <w:rPr>
          <w:sz w:val="24"/>
          <w:szCs w:val="24"/>
        </w:rPr>
      </w:pPr>
      <w:r w:rsidRPr="00905D50">
        <w:rPr>
          <w:sz w:val="24"/>
          <w:szCs w:val="24"/>
        </w:rPr>
        <w:t xml:space="preserve">Improved IT systems, through upgrades to IDIS, are being used to allow for electronic submission of this information. Ninety-nine percent of the reporting and record keeping requirements </w:t>
      </w:r>
      <w:r w:rsidR="005E33BE">
        <w:rPr>
          <w:sz w:val="24"/>
          <w:szCs w:val="24"/>
        </w:rPr>
        <w:t>are</w:t>
      </w:r>
      <w:r w:rsidRPr="00905D50">
        <w:rPr>
          <w:sz w:val="24"/>
          <w:szCs w:val="24"/>
        </w:rPr>
        <w:t xml:space="preserve"> accomplished online.</w:t>
      </w:r>
      <w:r w:rsidRPr="00A339B2">
        <w:rPr>
          <w:sz w:val="24"/>
          <w:szCs w:val="24"/>
        </w:rPr>
        <w:t xml:space="preserve"> </w:t>
      </w:r>
      <w:r>
        <w:rPr>
          <w:sz w:val="24"/>
          <w:szCs w:val="24"/>
        </w:rPr>
        <w:t xml:space="preserve">The SF-424 and certifications required by regulations and statutes for the Consolidated Plan and each of the formula grant programs may be </w:t>
      </w:r>
      <w:r w:rsidRPr="00905D50">
        <w:rPr>
          <w:sz w:val="24"/>
          <w:szCs w:val="24"/>
        </w:rPr>
        <w:t xml:space="preserve">electronically signed and submitted via email. </w:t>
      </w:r>
      <w:r>
        <w:rPr>
          <w:sz w:val="24"/>
          <w:szCs w:val="24"/>
        </w:rPr>
        <w:t>G</w:t>
      </w:r>
      <w:r w:rsidRPr="00905D50">
        <w:rPr>
          <w:sz w:val="24"/>
          <w:szCs w:val="24"/>
        </w:rPr>
        <w:t>rantee</w:t>
      </w:r>
      <w:r>
        <w:rPr>
          <w:sz w:val="24"/>
          <w:szCs w:val="24"/>
        </w:rPr>
        <w:t xml:space="preserve">s </w:t>
      </w:r>
      <w:r w:rsidRPr="00905D50">
        <w:rPr>
          <w:sz w:val="24"/>
          <w:szCs w:val="24"/>
        </w:rPr>
        <w:t xml:space="preserve">submit the executed </w:t>
      </w:r>
      <w:r>
        <w:rPr>
          <w:sz w:val="24"/>
          <w:szCs w:val="24"/>
        </w:rPr>
        <w:t xml:space="preserve">SF-424 </w:t>
      </w:r>
      <w:r w:rsidRPr="00905D50">
        <w:rPr>
          <w:sz w:val="24"/>
          <w:szCs w:val="24"/>
        </w:rPr>
        <w:t xml:space="preserve">form by attaching it to the electronic submission of the Annual Action Plan.  </w:t>
      </w:r>
    </w:p>
    <w:p w:rsidR="00905D50" w:rsidP="003D6E34" w14:paraId="72BBDB90" w14:textId="77777777">
      <w:pPr>
        <w:pStyle w:val="NoSpacing"/>
        <w:ind w:left="360"/>
        <w:rPr>
          <w:sz w:val="24"/>
          <w:szCs w:val="24"/>
        </w:rPr>
      </w:pPr>
    </w:p>
    <w:p w:rsidR="005635FF" w:rsidP="003D6E34" w14:paraId="65F7E59E" w14:textId="68D54F21">
      <w:pPr>
        <w:pStyle w:val="NoSpacing"/>
        <w:ind w:left="720"/>
        <w:rPr>
          <w:sz w:val="24"/>
          <w:szCs w:val="24"/>
        </w:rPr>
      </w:pPr>
      <w:r w:rsidRPr="00905D50">
        <w:rPr>
          <w:sz w:val="24"/>
          <w:szCs w:val="24"/>
        </w:rPr>
        <w:t xml:space="preserve">Applicants </w:t>
      </w:r>
      <w:r w:rsidR="0067193F">
        <w:rPr>
          <w:sz w:val="24"/>
          <w:szCs w:val="24"/>
        </w:rPr>
        <w:t>may</w:t>
      </w:r>
      <w:r w:rsidRPr="00905D50">
        <w:rPr>
          <w:sz w:val="24"/>
          <w:szCs w:val="24"/>
        </w:rPr>
        <w:t xml:space="preserve"> use previously entered information where possible to reduce completion time using the IDIS system. The grantee </w:t>
      </w:r>
      <w:r w:rsidRPr="00905D50">
        <w:rPr>
          <w:sz w:val="24"/>
          <w:szCs w:val="24"/>
        </w:rPr>
        <w:t>is able to</w:t>
      </w:r>
      <w:r w:rsidRPr="00905D50">
        <w:rPr>
          <w:sz w:val="24"/>
          <w:szCs w:val="24"/>
        </w:rPr>
        <w:t xml:space="preserve"> copy over prior information and edit the document for updates. Estimates provided are based on a grantee starting a blank document (without using the copy option) to reflect the most burden hours that could be incurred.  </w:t>
      </w:r>
    </w:p>
    <w:p w:rsidR="00905D50" w:rsidRPr="00DB4FA0" w:rsidP="00DB4FA0" w14:paraId="6810B3C4" w14:textId="77777777">
      <w:pPr>
        <w:pStyle w:val="NoSpacing"/>
        <w:rPr>
          <w:sz w:val="24"/>
          <w:szCs w:val="24"/>
        </w:rPr>
      </w:pPr>
    </w:p>
    <w:p w:rsidR="009E13B1" w:rsidRPr="00DB4FA0" w:rsidP="00AA39E3" w14:paraId="0CDF4723" w14:textId="4ED7EF06">
      <w:pPr>
        <w:pStyle w:val="NoSpacing"/>
        <w:numPr>
          <w:ilvl w:val="0"/>
          <w:numId w:val="18"/>
        </w:numPr>
        <w:rPr>
          <w:sz w:val="24"/>
          <w:szCs w:val="24"/>
        </w:rPr>
      </w:pPr>
      <w:r w:rsidRPr="00DB4FA0">
        <w:rPr>
          <w:sz w:val="24"/>
          <w:szCs w:val="24"/>
        </w:rPr>
        <w:t>Describe efforts to identify duplication.  Show specifically why any similar information already available cannot be used or modified for use for the purposes described in Item 2 above.</w:t>
      </w:r>
    </w:p>
    <w:p w:rsidR="009E13B1" w:rsidP="00DB4FA0" w14:paraId="6CB8C6DB" w14:textId="161FBE63">
      <w:pPr>
        <w:pStyle w:val="NoSpacing"/>
        <w:rPr>
          <w:sz w:val="24"/>
          <w:szCs w:val="24"/>
        </w:rPr>
      </w:pPr>
    </w:p>
    <w:p w:rsidR="00905D50" w:rsidP="003D6E34" w14:paraId="4399F37E" w14:textId="1E1DA9A2">
      <w:pPr>
        <w:pStyle w:val="NoSpacing"/>
        <w:ind w:left="720"/>
        <w:rPr>
          <w:sz w:val="24"/>
          <w:szCs w:val="24"/>
        </w:rPr>
      </w:pPr>
      <w:r w:rsidRPr="0067193F">
        <w:rPr>
          <w:sz w:val="24"/>
          <w:szCs w:val="24"/>
        </w:rPr>
        <w:t xml:space="preserve">HUD has not identified other information collections that meet the </w:t>
      </w:r>
      <w:r w:rsidR="00F337B2">
        <w:rPr>
          <w:sz w:val="24"/>
          <w:szCs w:val="24"/>
        </w:rPr>
        <w:t xml:space="preserve">individual </w:t>
      </w:r>
      <w:r w:rsidR="00056F97">
        <w:rPr>
          <w:sz w:val="24"/>
          <w:szCs w:val="24"/>
        </w:rPr>
        <w:t xml:space="preserve">program </w:t>
      </w:r>
      <w:r w:rsidRPr="0067193F">
        <w:rPr>
          <w:sz w:val="24"/>
          <w:szCs w:val="24"/>
        </w:rPr>
        <w:t xml:space="preserve">statutory requirements </w:t>
      </w:r>
      <w:r w:rsidR="00056F97">
        <w:rPr>
          <w:sz w:val="24"/>
          <w:szCs w:val="24"/>
        </w:rPr>
        <w:t>fulfilled by the</w:t>
      </w:r>
      <w:r w:rsidRPr="0067193F" w:rsidR="00056F97">
        <w:rPr>
          <w:sz w:val="24"/>
          <w:szCs w:val="24"/>
        </w:rPr>
        <w:t xml:space="preserve"> </w:t>
      </w:r>
      <w:r w:rsidRPr="0067193F">
        <w:rPr>
          <w:sz w:val="24"/>
          <w:szCs w:val="24"/>
        </w:rPr>
        <w:t>Consolidated Plan submission. However, where information in the Consolidated Plan has been required by other offices within HUD, grantees are provided with that information. For example, tables in the submission template for the Consolidated Plan pre-populate with data that has been provided on public housing (by Public Housing Agencies) and homeless programs (by Continuums of Care).</w:t>
      </w:r>
    </w:p>
    <w:p w:rsidR="00905D50" w:rsidP="00DB4FA0" w14:paraId="32724CB4" w14:textId="77777777">
      <w:pPr>
        <w:pStyle w:val="NoSpacing"/>
        <w:rPr>
          <w:sz w:val="24"/>
          <w:szCs w:val="24"/>
        </w:rPr>
      </w:pPr>
    </w:p>
    <w:p w:rsidR="009E13B1" w:rsidRPr="00DB4FA0" w:rsidP="00AA39E3" w14:paraId="07B1A1CB" w14:textId="4BFB68CF">
      <w:pPr>
        <w:pStyle w:val="NoSpacing"/>
        <w:numPr>
          <w:ilvl w:val="0"/>
          <w:numId w:val="18"/>
        </w:numPr>
        <w:rPr>
          <w:sz w:val="24"/>
          <w:szCs w:val="24"/>
        </w:rPr>
      </w:pPr>
      <w:r w:rsidRPr="00DB4FA0">
        <w:rPr>
          <w:sz w:val="24"/>
          <w:szCs w:val="24"/>
        </w:rPr>
        <w:t>If the collection of information impacts small businesses or other small entities describe any methods used to minimize burden.</w:t>
      </w:r>
    </w:p>
    <w:p w:rsidR="009E13B1" w:rsidP="00DB4FA0" w14:paraId="4498A151" w14:textId="77777777">
      <w:pPr>
        <w:pStyle w:val="NoSpacing"/>
        <w:rPr>
          <w:sz w:val="24"/>
          <w:szCs w:val="24"/>
        </w:rPr>
      </w:pPr>
    </w:p>
    <w:p w:rsidR="0067193F" w:rsidP="003D6E34" w14:paraId="3D96F584" w14:textId="11EFCC22">
      <w:pPr>
        <w:pStyle w:val="NoSpacing"/>
        <w:ind w:left="720"/>
        <w:rPr>
          <w:sz w:val="24"/>
          <w:szCs w:val="24"/>
        </w:rPr>
      </w:pPr>
      <w:r w:rsidRPr="0067193F">
        <w:rPr>
          <w:sz w:val="24"/>
          <w:szCs w:val="24"/>
        </w:rPr>
        <w:t>The information required is collected from State and local governments. Therefore, it does not have any impact on small businesses or other small entities.</w:t>
      </w:r>
    </w:p>
    <w:p w:rsidR="00AA39E3" w:rsidRPr="00DB4FA0" w:rsidP="00DB4FA0" w14:paraId="65AA79A1" w14:textId="77777777">
      <w:pPr>
        <w:pStyle w:val="NoSpacing"/>
        <w:rPr>
          <w:sz w:val="24"/>
          <w:szCs w:val="24"/>
        </w:rPr>
      </w:pPr>
    </w:p>
    <w:p w:rsidR="009E13B1" w:rsidRPr="00DB4FA0" w:rsidP="000A7603" w14:paraId="2E717F96" w14:textId="2876D7E9">
      <w:pPr>
        <w:pStyle w:val="NoSpacing"/>
        <w:numPr>
          <w:ilvl w:val="0"/>
          <w:numId w:val="18"/>
        </w:numPr>
        <w:rPr>
          <w:sz w:val="24"/>
          <w:szCs w:val="24"/>
        </w:rPr>
      </w:pPr>
      <w:r w:rsidRPr="00DB4FA0">
        <w:rPr>
          <w:sz w:val="24"/>
          <w:szCs w:val="24"/>
        </w:rPr>
        <w:t xml:space="preserve">Describe the </w:t>
      </w:r>
      <w:r w:rsidRPr="00DB4FA0">
        <w:rPr>
          <w:sz w:val="24"/>
          <w:szCs w:val="24"/>
        </w:rPr>
        <w:t>consequence</w:t>
      </w:r>
      <w:r w:rsidRPr="00DB4FA0">
        <w:rPr>
          <w:sz w:val="24"/>
          <w:szCs w:val="24"/>
        </w:rPr>
        <w:t xml:space="preserve"> </w:t>
      </w:r>
      <w:r w:rsidRPr="00DB4FA0">
        <w:rPr>
          <w:sz w:val="24"/>
          <w:szCs w:val="24"/>
        </w:rPr>
        <w:t>to</w:t>
      </w:r>
      <w:r w:rsidRPr="00DB4FA0">
        <w:rPr>
          <w:sz w:val="24"/>
          <w:szCs w:val="24"/>
        </w:rPr>
        <w:t xml:space="preserve"> Federal program or policy activities if the collection is not conducted or is conducted less frequently, as well as any technical or legal obstacles to reducing burden.</w:t>
      </w:r>
    </w:p>
    <w:p w:rsidR="000A7603" w:rsidP="000A7603" w14:paraId="04E35A31" w14:textId="77777777">
      <w:pPr>
        <w:pStyle w:val="NoSpacing"/>
        <w:rPr>
          <w:sz w:val="24"/>
          <w:szCs w:val="24"/>
        </w:rPr>
      </w:pPr>
    </w:p>
    <w:p w:rsidR="0067193F" w:rsidP="003D6E34" w14:paraId="688E7757" w14:textId="6B9EA61E">
      <w:pPr>
        <w:ind w:left="720"/>
        <w:rPr>
          <w:sz w:val="24"/>
          <w:szCs w:val="24"/>
        </w:rPr>
      </w:pPr>
      <w:r w:rsidRPr="0067193F">
        <w:rPr>
          <w:sz w:val="24"/>
          <w:szCs w:val="24"/>
        </w:rPr>
        <w:t xml:space="preserve">The </w:t>
      </w:r>
      <w:r w:rsidR="00575C5B">
        <w:rPr>
          <w:sz w:val="24"/>
          <w:szCs w:val="24"/>
        </w:rPr>
        <w:t xml:space="preserve">specific </w:t>
      </w:r>
      <w:r w:rsidRPr="0067193F">
        <w:rPr>
          <w:sz w:val="24"/>
          <w:szCs w:val="24"/>
        </w:rPr>
        <w:t>requirement that grantees receiving CDBG, HOME, ESG, HTF or HOPWA funds submit a Consolidated Plan every three to five years (timing is at the grantee’s discretion) and an Annual Action Plan every year is regulatory. A grantee that does not submit a Consolidated Plan or Annual Action Plan will not receive funding under the covered programs. In addition, the submission of the Consolidated Plan is vital in determining the preliminary eligibility of grantee’s proposed projects for each program year.</w:t>
      </w:r>
    </w:p>
    <w:p w:rsidR="00F104C4" w:rsidP="003D6E34" w14:paraId="3FA3BE5A" w14:textId="77777777">
      <w:pPr>
        <w:ind w:left="720"/>
        <w:rPr>
          <w:sz w:val="24"/>
          <w:szCs w:val="24"/>
        </w:rPr>
      </w:pPr>
    </w:p>
    <w:p w:rsidR="00A65F9E" w:rsidRPr="00DB4FA0" w:rsidP="000A7603" w14:paraId="36751E81" w14:textId="03762B79">
      <w:pPr>
        <w:pStyle w:val="NoSpacing"/>
        <w:numPr>
          <w:ilvl w:val="0"/>
          <w:numId w:val="19"/>
        </w:numPr>
        <w:rPr>
          <w:sz w:val="24"/>
          <w:szCs w:val="24"/>
        </w:rPr>
      </w:pPr>
      <w:r w:rsidRPr="00DB4FA0">
        <w:rPr>
          <w:sz w:val="24"/>
          <w:szCs w:val="24"/>
        </w:rPr>
        <w:t>Explain any special circumstances that would cause an information collection to be conducted in a manner:</w:t>
      </w:r>
    </w:p>
    <w:p w:rsidR="009E13B1" w:rsidRPr="00DB4FA0" w:rsidP="00DB4FA0" w14:paraId="461FFD53" w14:textId="77777777">
      <w:pPr>
        <w:pStyle w:val="NoSpacing"/>
        <w:rPr>
          <w:sz w:val="24"/>
          <w:szCs w:val="24"/>
        </w:rPr>
      </w:pPr>
      <w:r w:rsidRPr="00DB4FA0">
        <w:rPr>
          <w:sz w:val="24"/>
          <w:szCs w:val="24"/>
        </w:rPr>
        <w:t xml:space="preserve"> </w:t>
      </w:r>
    </w:p>
    <w:p w:rsidR="009E13B1" w:rsidRPr="00DB4FA0" w:rsidP="003D6E34" w14:paraId="54463769" w14:textId="27CAC4DD">
      <w:pPr>
        <w:pStyle w:val="NoSpacing"/>
        <w:numPr>
          <w:ilvl w:val="0"/>
          <w:numId w:val="20"/>
        </w:numPr>
        <w:ind w:left="1080"/>
        <w:rPr>
          <w:sz w:val="24"/>
          <w:szCs w:val="24"/>
        </w:rPr>
      </w:pPr>
      <w:r w:rsidRPr="00DB4FA0">
        <w:rPr>
          <w:sz w:val="24"/>
          <w:szCs w:val="24"/>
        </w:rPr>
        <w:t>requiring respondents to report information to the agency more than quarterl</w:t>
      </w:r>
      <w:r w:rsidR="000A7603">
        <w:rPr>
          <w:sz w:val="24"/>
          <w:szCs w:val="24"/>
        </w:rPr>
        <w:t xml:space="preserve">y; </w:t>
      </w:r>
      <w:r w:rsidRPr="003D6E34" w:rsidR="000A7603">
        <w:rPr>
          <w:b/>
          <w:bCs/>
          <w:sz w:val="24"/>
          <w:szCs w:val="24"/>
        </w:rPr>
        <w:t>N/A</w:t>
      </w:r>
    </w:p>
    <w:p w:rsidR="009E13B1" w:rsidRPr="00DB4FA0" w:rsidP="003D6E34" w14:paraId="405483DA" w14:textId="0D95B84F">
      <w:pPr>
        <w:pStyle w:val="NoSpacing"/>
        <w:numPr>
          <w:ilvl w:val="0"/>
          <w:numId w:val="20"/>
        </w:numPr>
        <w:ind w:left="1080"/>
        <w:rPr>
          <w:sz w:val="24"/>
          <w:szCs w:val="24"/>
        </w:rPr>
      </w:pPr>
      <w:r w:rsidRPr="00DB4FA0">
        <w:rPr>
          <w:sz w:val="24"/>
          <w:szCs w:val="24"/>
        </w:rPr>
        <w:t xml:space="preserve">requiring respondents to prepare a written response to a collection of information in fewer than 30 days after receipt of it; </w:t>
      </w:r>
      <w:r w:rsidRPr="003D6E34" w:rsidR="000A7603">
        <w:rPr>
          <w:b/>
          <w:bCs/>
          <w:sz w:val="24"/>
          <w:szCs w:val="24"/>
        </w:rPr>
        <w:t>N/A</w:t>
      </w:r>
    </w:p>
    <w:p w:rsidR="009E13B1" w:rsidRPr="00DB4FA0" w:rsidP="003D6E34" w14:paraId="61F9C4D6" w14:textId="5063B29B">
      <w:pPr>
        <w:pStyle w:val="NoSpacing"/>
        <w:numPr>
          <w:ilvl w:val="0"/>
          <w:numId w:val="20"/>
        </w:numPr>
        <w:ind w:left="1080"/>
        <w:rPr>
          <w:sz w:val="24"/>
          <w:szCs w:val="24"/>
        </w:rPr>
      </w:pPr>
      <w:r w:rsidRPr="00DB4FA0">
        <w:rPr>
          <w:sz w:val="24"/>
          <w:szCs w:val="24"/>
        </w:rPr>
        <w:t xml:space="preserve">requiring respondents to submit more than an original and two copies of any document; </w:t>
      </w:r>
      <w:r w:rsidRPr="003D6E34" w:rsidR="000A7603">
        <w:rPr>
          <w:b/>
          <w:bCs/>
          <w:sz w:val="24"/>
          <w:szCs w:val="24"/>
        </w:rPr>
        <w:t>N/A</w:t>
      </w:r>
    </w:p>
    <w:p w:rsidR="009E13B1" w:rsidRPr="00DB4FA0" w:rsidP="003D6E34" w14:paraId="33DAAC2A" w14:textId="162DD66D">
      <w:pPr>
        <w:pStyle w:val="NoSpacing"/>
        <w:numPr>
          <w:ilvl w:val="0"/>
          <w:numId w:val="21"/>
        </w:numPr>
        <w:ind w:left="1080"/>
        <w:rPr>
          <w:sz w:val="24"/>
          <w:szCs w:val="24"/>
        </w:rPr>
      </w:pPr>
      <w:r w:rsidRPr="00DB4FA0">
        <w:rPr>
          <w:sz w:val="24"/>
          <w:szCs w:val="24"/>
        </w:rPr>
        <w:t>requiring respondents to retain records other than health, medical, government contract, grant-in-aid, or tax records for more than three years;</w:t>
      </w:r>
      <w:r w:rsidR="000A7603">
        <w:rPr>
          <w:sz w:val="24"/>
          <w:szCs w:val="24"/>
        </w:rPr>
        <w:t xml:space="preserve"> </w:t>
      </w:r>
      <w:r w:rsidRPr="003D6E34" w:rsidR="000A7603">
        <w:rPr>
          <w:b/>
          <w:bCs/>
          <w:sz w:val="24"/>
          <w:szCs w:val="24"/>
        </w:rPr>
        <w:t>N/A</w:t>
      </w:r>
      <w:r w:rsidRPr="00DB4FA0">
        <w:rPr>
          <w:sz w:val="24"/>
          <w:szCs w:val="24"/>
        </w:rPr>
        <w:t xml:space="preserve"> </w:t>
      </w:r>
    </w:p>
    <w:p w:rsidR="009E13B1" w:rsidRPr="00DB4FA0" w:rsidP="003D6E34" w14:paraId="42EE1C3D" w14:textId="5395E1F1">
      <w:pPr>
        <w:pStyle w:val="NoSpacing"/>
        <w:numPr>
          <w:ilvl w:val="0"/>
          <w:numId w:val="21"/>
        </w:numPr>
        <w:ind w:left="1080"/>
        <w:rPr>
          <w:sz w:val="24"/>
          <w:szCs w:val="24"/>
        </w:rPr>
      </w:pPr>
      <w:r w:rsidRPr="00DB4FA0">
        <w:rPr>
          <w:sz w:val="24"/>
          <w:szCs w:val="24"/>
        </w:rPr>
        <w:t xml:space="preserve">in connection with a statistical </w:t>
      </w:r>
      <w:r w:rsidRPr="00DB4FA0">
        <w:rPr>
          <w:sz w:val="24"/>
          <w:szCs w:val="24"/>
        </w:rPr>
        <w:t>survey,</w:t>
      </w:r>
      <w:r w:rsidRPr="00DB4FA0">
        <w:rPr>
          <w:sz w:val="24"/>
          <w:szCs w:val="24"/>
        </w:rPr>
        <w:t xml:space="preserve"> that is not designed to produce valid and reliable results than can be generalized to the universe of study; </w:t>
      </w:r>
      <w:r w:rsidRPr="003D6E34" w:rsidR="000A7603">
        <w:rPr>
          <w:b/>
          <w:bCs/>
          <w:sz w:val="24"/>
          <w:szCs w:val="24"/>
        </w:rPr>
        <w:t>N/A</w:t>
      </w:r>
    </w:p>
    <w:p w:rsidR="00A65F9E" w:rsidRPr="00DB4FA0" w:rsidP="003D6E34" w14:paraId="43BE2AC0" w14:textId="47F597D7">
      <w:pPr>
        <w:pStyle w:val="NoSpacing"/>
        <w:numPr>
          <w:ilvl w:val="0"/>
          <w:numId w:val="21"/>
        </w:numPr>
        <w:ind w:left="1080"/>
        <w:rPr>
          <w:sz w:val="24"/>
          <w:szCs w:val="24"/>
        </w:rPr>
      </w:pPr>
      <w:r w:rsidRPr="00DB4FA0">
        <w:rPr>
          <w:sz w:val="24"/>
          <w:szCs w:val="24"/>
        </w:rPr>
        <w:t>requiring the use of a statistical data classification that has not been reviewed and approved by OMB;</w:t>
      </w:r>
      <w:r w:rsidR="000A7603">
        <w:rPr>
          <w:sz w:val="24"/>
          <w:szCs w:val="24"/>
        </w:rPr>
        <w:t xml:space="preserve"> </w:t>
      </w:r>
      <w:r w:rsidRPr="003D6E34" w:rsidR="000A7603">
        <w:rPr>
          <w:b/>
          <w:bCs/>
          <w:sz w:val="24"/>
          <w:szCs w:val="24"/>
        </w:rPr>
        <w:t>N/A</w:t>
      </w:r>
    </w:p>
    <w:p w:rsidR="000A7603" w:rsidP="003D6E34" w14:paraId="6A75F695" w14:textId="3E4CC63A">
      <w:pPr>
        <w:pStyle w:val="NoSpacing"/>
        <w:numPr>
          <w:ilvl w:val="0"/>
          <w:numId w:val="21"/>
        </w:numPr>
        <w:ind w:left="1080"/>
        <w:rPr>
          <w:sz w:val="24"/>
          <w:szCs w:val="24"/>
        </w:rPr>
      </w:pPr>
      <w:r w:rsidRPr="00DB4FA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z w:val="24"/>
          <w:szCs w:val="24"/>
        </w:rPr>
        <w:t xml:space="preserve"> </w:t>
      </w:r>
      <w:r w:rsidRPr="003D6E34">
        <w:rPr>
          <w:b/>
          <w:bCs/>
          <w:sz w:val="24"/>
          <w:szCs w:val="24"/>
        </w:rPr>
        <w:t>N/A</w:t>
      </w:r>
    </w:p>
    <w:p w:rsidR="009E13B1" w:rsidRPr="00DB4FA0" w:rsidP="003D6E34" w14:paraId="73C5E241" w14:textId="3A5BAAA4">
      <w:pPr>
        <w:pStyle w:val="NoSpacing"/>
        <w:numPr>
          <w:ilvl w:val="0"/>
          <w:numId w:val="21"/>
        </w:numPr>
        <w:ind w:left="1080"/>
        <w:rPr>
          <w:sz w:val="24"/>
          <w:szCs w:val="24"/>
        </w:rPr>
      </w:pPr>
      <w:r w:rsidRPr="00DB4FA0">
        <w:rPr>
          <w:sz w:val="24"/>
          <w:szCs w:val="24"/>
        </w:rPr>
        <w:t xml:space="preserve">requiring respondents to submit proprietary trade </w:t>
      </w:r>
      <w:r w:rsidRPr="00DB4FA0">
        <w:rPr>
          <w:sz w:val="24"/>
          <w:szCs w:val="24"/>
        </w:rPr>
        <w:t>secret</w:t>
      </w:r>
      <w:r w:rsidRPr="00DB4FA0">
        <w:rPr>
          <w:sz w:val="24"/>
          <w:szCs w:val="24"/>
        </w:rPr>
        <w:t>, or other confidential information unless the agency can demonstrate that it has instituted procedures to protect the information's confidentiality to the extent permitted by law.</w:t>
      </w:r>
      <w:r w:rsidR="000A7603">
        <w:rPr>
          <w:sz w:val="24"/>
          <w:szCs w:val="24"/>
        </w:rPr>
        <w:t xml:space="preserve"> </w:t>
      </w:r>
      <w:r w:rsidRPr="003D6E34" w:rsidR="000A7603">
        <w:rPr>
          <w:b/>
          <w:bCs/>
          <w:sz w:val="24"/>
          <w:szCs w:val="24"/>
        </w:rPr>
        <w:t>N/A</w:t>
      </w:r>
    </w:p>
    <w:p w:rsidR="009E13B1" w:rsidP="00DB4FA0" w14:paraId="0985DE1D" w14:textId="77777777">
      <w:pPr>
        <w:pStyle w:val="NoSpacing"/>
        <w:rPr>
          <w:sz w:val="24"/>
          <w:szCs w:val="24"/>
        </w:rPr>
      </w:pPr>
    </w:p>
    <w:p w:rsidR="000A7603" w:rsidP="003D6E34" w14:paraId="5B4C0455" w14:textId="4E0F6958">
      <w:pPr>
        <w:pStyle w:val="NoSpacing"/>
        <w:ind w:left="720"/>
        <w:rPr>
          <w:sz w:val="24"/>
          <w:szCs w:val="24"/>
        </w:rPr>
      </w:pPr>
      <w:r w:rsidRPr="000A7603">
        <w:rPr>
          <w:sz w:val="24"/>
          <w:szCs w:val="24"/>
        </w:rPr>
        <w:t>There are no special circumstances that would cause this information collection to be conducted in a manner that would impose one or more of the additional requirements identified under this item.</w:t>
      </w:r>
    </w:p>
    <w:p w:rsidR="000A7603" w:rsidRPr="00DB4FA0" w:rsidP="00DB4FA0" w14:paraId="0907AA45" w14:textId="77777777">
      <w:pPr>
        <w:pStyle w:val="NoSpacing"/>
        <w:rPr>
          <w:sz w:val="24"/>
          <w:szCs w:val="24"/>
        </w:rPr>
      </w:pPr>
    </w:p>
    <w:p w:rsidR="00A65F9E" w:rsidRPr="00DB4FA0" w:rsidP="000A7603" w14:paraId="6FA6B3CE" w14:textId="513C34A4">
      <w:pPr>
        <w:pStyle w:val="NoSpacing"/>
        <w:numPr>
          <w:ilvl w:val="0"/>
          <w:numId w:val="19"/>
        </w:numPr>
        <w:rPr>
          <w:sz w:val="24"/>
          <w:szCs w:val="24"/>
        </w:rPr>
      </w:pPr>
      <w:r w:rsidRPr="00DB4FA0">
        <w:rPr>
          <w:sz w:val="24"/>
          <w:szCs w:val="24"/>
        </w:rPr>
        <w:t xml:space="preserve">If applicable, provide a copy and identify the date and page number of </w:t>
      </w:r>
      <w:r w:rsidRPr="00DB4FA0">
        <w:rPr>
          <w:sz w:val="24"/>
          <w:szCs w:val="24"/>
        </w:rPr>
        <w:t>publication</w:t>
      </w:r>
      <w:r w:rsidRPr="00DB4FA0">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P="00DB4FA0" w14:paraId="694CEBA8" w14:textId="69AE20A7">
      <w:pPr>
        <w:pStyle w:val="NoSpacing"/>
        <w:rPr>
          <w:sz w:val="24"/>
          <w:szCs w:val="24"/>
        </w:rPr>
      </w:pPr>
    </w:p>
    <w:p w:rsidR="00505668" w:rsidRPr="00DB4FA0" w:rsidP="003D6E34" w14:paraId="6967ED18" w14:textId="7F8D6CD6">
      <w:pPr>
        <w:pStyle w:val="NoSpacing"/>
        <w:ind w:left="720"/>
        <w:rPr>
          <w:sz w:val="24"/>
          <w:szCs w:val="24"/>
        </w:rPr>
      </w:pPr>
      <w:r w:rsidRPr="00505668">
        <w:rPr>
          <w:sz w:val="24"/>
          <w:szCs w:val="24"/>
        </w:rPr>
        <w:t xml:space="preserve">A Federal Register Notice soliciting comments was published on </w:t>
      </w:r>
      <w:r w:rsidR="007F639D">
        <w:rPr>
          <w:sz w:val="24"/>
          <w:szCs w:val="24"/>
        </w:rPr>
        <w:t>March 17,</w:t>
      </w:r>
      <w:r>
        <w:rPr>
          <w:sz w:val="24"/>
          <w:szCs w:val="24"/>
        </w:rPr>
        <w:t xml:space="preserve"> </w:t>
      </w:r>
      <w:r w:rsidRPr="00505668">
        <w:rPr>
          <w:sz w:val="24"/>
          <w:szCs w:val="24"/>
        </w:rPr>
        <w:t>2</w:t>
      </w:r>
      <w:r>
        <w:rPr>
          <w:sz w:val="24"/>
          <w:szCs w:val="24"/>
        </w:rPr>
        <w:t>02</w:t>
      </w:r>
      <w:r w:rsidR="007F639D">
        <w:rPr>
          <w:sz w:val="24"/>
          <w:szCs w:val="24"/>
        </w:rPr>
        <w:t>5</w:t>
      </w:r>
      <w:r w:rsidRPr="00505668">
        <w:rPr>
          <w:sz w:val="24"/>
          <w:szCs w:val="24"/>
        </w:rPr>
        <w:t xml:space="preserve">, vol. </w:t>
      </w:r>
      <w:r w:rsidR="007F639D">
        <w:rPr>
          <w:sz w:val="24"/>
          <w:szCs w:val="24"/>
        </w:rPr>
        <w:t>90</w:t>
      </w:r>
      <w:r>
        <w:rPr>
          <w:sz w:val="24"/>
          <w:szCs w:val="24"/>
        </w:rPr>
        <w:t>,</w:t>
      </w:r>
      <w:r w:rsidRPr="00505668">
        <w:rPr>
          <w:sz w:val="24"/>
          <w:szCs w:val="24"/>
        </w:rPr>
        <w:t xml:space="preserve"> page </w:t>
      </w:r>
      <w:r w:rsidR="007F639D">
        <w:rPr>
          <w:sz w:val="24"/>
          <w:szCs w:val="24"/>
        </w:rPr>
        <w:t>12334</w:t>
      </w:r>
      <w:r w:rsidRPr="00505668">
        <w:rPr>
          <w:sz w:val="24"/>
          <w:szCs w:val="24"/>
        </w:rPr>
        <w:t>. No comments were received.</w:t>
      </w:r>
    </w:p>
    <w:p w:rsidR="009E13B1" w:rsidRPr="00DB4FA0" w:rsidP="00DB4FA0" w14:paraId="36A1DC05" w14:textId="77777777">
      <w:pPr>
        <w:pStyle w:val="NoSpacing"/>
        <w:rPr>
          <w:sz w:val="24"/>
          <w:szCs w:val="24"/>
        </w:rPr>
      </w:pPr>
    </w:p>
    <w:p w:rsidR="009E13B1" w:rsidP="004650F9" w14:paraId="7A826CDA" w14:textId="43C8FCA0">
      <w:pPr>
        <w:pStyle w:val="NoSpacing"/>
        <w:numPr>
          <w:ilvl w:val="0"/>
          <w:numId w:val="19"/>
        </w:numPr>
        <w:rPr>
          <w:sz w:val="24"/>
          <w:szCs w:val="24"/>
        </w:rPr>
      </w:pPr>
      <w:r w:rsidRPr="00DB4FA0">
        <w:rPr>
          <w:sz w:val="24"/>
          <w:szCs w:val="24"/>
        </w:rPr>
        <w:t>Explain any decision to provide any payment or gift to respondents, other than renumeration of contractors or grantees.</w:t>
      </w:r>
    </w:p>
    <w:p w:rsidR="004650F9" w:rsidP="004650F9" w14:paraId="0FBE0163" w14:textId="77777777">
      <w:pPr>
        <w:pStyle w:val="NoSpacing"/>
        <w:rPr>
          <w:sz w:val="24"/>
          <w:szCs w:val="24"/>
        </w:rPr>
      </w:pPr>
    </w:p>
    <w:p w:rsidR="004650F9" w:rsidRPr="00DB4FA0" w:rsidP="003D6E34" w14:paraId="6B9CD784" w14:textId="313F2D68">
      <w:pPr>
        <w:pStyle w:val="NoSpacing"/>
        <w:ind w:left="720"/>
        <w:rPr>
          <w:sz w:val="24"/>
          <w:szCs w:val="24"/>
        </w:rPr>
      </w:pPr>
      <w:r w:rsidRPr="00505668">
        <w:rPr>
          <w:sz w:val="24"/>
          <w:szCs w:val="24"/>
        </w:rPr>
        <w:t>There is no offer of monetary o</w:t>
      </w:r>
      <w:r w:rsidR="008021A1">
        <w:rPr>
          <w:sz w:val="24"/>
          <w:szCs w:val="24"/>
        </w:rPr>
        <w:t>r</w:t>
      </w:r>
      <w:r w:rsidRPr="00505668">
        <w:rPr>
          <w:sz w:val="24"/>
          <w:szCs w:val="24"/>
        </w:rPr>
        <w:t xml:space="preserve"> material value to the respondents of this information collection (localities and state grantees). Grantees must submit a Consolidated Plan and Annual Action Plans to receive their annual formula funding allocations under the covered programs.</w:t>
      </w:r>
      <w:r>
        <w:rPr>
          <w:sz w:val="24"/>
          <w:szCs w:val="24"/>
        </w:rPr>
        <w:t xml:space="preserve"> </w:t>
      </w:r>
    </w:p>
    <w:p w:rsidR="009E13B1" w:rsidRPr="00DB4FA0" w:rsidP="00DB4FA0" w14:paraId="7896DA82" w14:textId="77777777">
      <w:pPr>
        <w:pStyle w:val="NoSpacing"/>
        <w:rPr>
          <w:sz w:val="24"/>
          <w:szCs w:val="24"/>
        </w:rPr>
      </w:pPr>
    </w:p>
    <w:p w:rsidR="009E13B1" w:rsidRPr="004650F9" w:rsidP="004650F9" w14:paraId="4E499C0C" w14:textId="5728E4D6">
      <w:pPr>
        <w:pStyle w:val="NoSpacing"/>
        <w:numPr>
          <w:ilvl w:val="0"/>
          <w:numId w:val="19"/>
        </w:numPr>
        <w:rPr>
          <w:sz w:val="24"/>
          <w:szCs w:val="24"/>
        </w:rPr>
      </w:pPr>
      <w:r w:rsidRPr="004650F9">
        <w:rPr>
          <w:sz w:val="24"/>
          <w:szCs w:val="24"/>
        </w:rPr>
        <w:t>Describe any assurance of confidentiality provided to respondents and the basis for assurance in statute, regulation or agency policy.</w:t>
      </w:r>
      <w:r w:rsidRPr="004650F9" w:rsidR="000D5079">
        <w:rPr>
          <w:sz w:val="24"/>
          <w:szCs w:val="24"/>
        </w:rPr>
        <w:t xml:space="preserve"> If the collection requires a </w:t>
      </w:r>
      <w:r w:rsidRPr="004650F9" w:rsidR="00BB2518">
        <w:rPr>
          <w:sz w:val="24"/>
          <w:szCs w:val="24"/>
        </w:rPr>
        <w:t>system of records notice (SORN)</w:t>
      </w:r>
      <w:r w:rsidRPr="004650F9" w:rsidR="000D5079">
        <w:rPr>
          <w:sz w:val="24"/>
          <w:szCs w:val="24"/>
        </w:rPr>
        <w:t xml:space="preserve"> or privacy impact assessment (PIA), those should be cited and described here.</w:t>
      </w:r>
    </w:p>
    <w:p w:rsidR="009E13B1" w:rsidP="00DB4FA0" w14:paraId="78F444B5" w14:textId="77777777">
      <w:pPr>
        <w:pStyle w:val="NoSpacing"/>
        <w:rPr>
          <w:sz w:val="24"/>
          <w:szCs w:val="24"/>
        </w:rPr>
      </w:pPr>
    </w:p>
    <w:p w:rsidR="00E17376" w:rsidRPr="00E17376" w:rsidP="003D6E34" w14:paraId="003D4D8E" w14:textId="77777777">
      <w:pPr>
        <w:ind w:left="360" w:firstLine="360"/>
        <w:rPr>
          <w:sz w:val="24"/>
          <w:szCs w:val="24"/>
        </w:rPr>
      </w:pPr>
      <w:r w:rsidRPr="00E17376">
        <w:rPr>
          <w:sz w:val="24"/>
          <w:szCs w:val="24"/>
        </w:rPr>
        <w:t>HUD does not make assurances of confidentiality pertaining to this information collection.</w:t>
      </w:r>
    </w:p>
    <w:p w:rsidR="00E17376" w:rsidP="00DB4FA0" w14:paraId="3650EB90" w14:textId="77777777">
      <w:pPr>
        <w:pStyle w:val="NoSpacing"/>
        <w:rPr>
          <w:sz w:val="24"/>
          <w:szCs w:val="24"/>
        </w:rPr>
      </w:pPr>
    </w:p>
    <w:p w:rsidR="009E13B1" w:rsidRPr="00DB4FA0" w:rsidP="004650F9" w14:paraId="4DFCD77A" w14:textId="093943C7">
      <w:pPr>
        <w:pStyle w:val="NoSpacing"/>
        <w:numPr>
          <w:ilvl w:val="0"/>
          <w:numId w:val="19"/>
        </w:numPr>
        <w:rPr>
          <w:sz w:val="24"/>
          <w:szCs w:val="24"/>
        </w:rPr>
      </w:pPr>
      <w:r w:rsidRPr="00DB4FA0">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B4FA0">
        <w:rPr>
          <w:sz w:val="24"/>
          <w:szCs w:val="24"/>
        </w:rPr>
        <w:t>persons</w:t>
      </w:r>
      <w:r w:rsidRPr="00DB4FA0">
        <w:rPr>
          <w:sz w:val="24"/>
          <w:szCs w:val="24"/>
        </w:rPr>
        <w:t xml:space="preserve"> from whom the information is requested, and any steps to be taken to obtain their consent.</w:t>
      </w:r>
    </w:p>
    <w:p w:rsidR="009E13B1" w:rsidRPr="00DB4FA0" w:rsidP="00DB4FA0" w14:paraId="77E349BF" w14:textId="77777777">
      <w:pPr>
        <w:pStyle w:val="NoSpacing"/>
        <w:rPr>
          <w:sz w:val="24"/>
          <w:szCs w:val="24"/>
        </w:rPr>
      </w:pPr>
    </w:p>
    <w:p w:rsidR="00A65F9E" w:rsidP="003D6E34" w14:paraId="083354DA" w14:textId="4807268A">
      <w:pPr>
        <w:pStyle w:val="NoSpacing"/>
        <w:ind w:left="720"/>
        <w:rPr>
          <w:sz w:val="24"/>
          <w:szCs w:val="24"/>
        </w:rPr>
      </w:pPr>
      <w:r w:rsidRPr="00E17376">
        <w:rPr>
          <w:sz w:val="24"/>
          <w:szCs w:val="24"/>
        </w:rPr>
        <w:t xml:space="preserve">There are no questions contained in this information collection regarding sensitive or private </w:t>
      </w:r>
      <w:r w:rsidR="0017738A">
        <w:rPr>
          <w:sz w:val="24"/>
          <w:szCs w:val="24"/>
        </w:rPr>
        <w:t>subjects</w:t>
      </w:r>
      <w:r w:rsidRPr="00E17376">
        <w:rPr>
          <w:sz w:val="24"/>
          <w:szCs w:val="24"/>
        </w:rPr>
        <w:t>.</w:t>
      </w:r>
    </w:p>
    <w:p w:rsidR="003D6E34" w:rsidP="003D6E34" w14:paraId="33FC7162" w14:textId="77777777">
      <w:pPr>
        <w:pStyle w:val="NoSpacing"/>
        <w:rPr>
          <w:sz w:val="24"/>
          <w:szCs w:val="24"/>
        </w:rPr>
      </w:pPr>
    </w:p>
    <w:p w:rsidR="000D5079" w:rsidRPr="00CB5759" w:rsidP="003D6E34" w14:paraId="4809D9AA" w14:textId="4A43745B">
      <w:pPr>
        <w:pStyle w:val="NoSpacing"/>
        <w:numPr>
          <w:ilvl w:val="0"/>
          <w:numId w:val="19"/>
        </w:numPr>
        <w:rPr>
          <w:sz w:val="24"/>
          <w:szCs w:val="24"/>
        </w:rPr>
      </w:pPr>
      <w:r w:rsidRPr="00CB5759">
        <w:rPr>
          <w:sz w:val="24"/>
          <w:szCs w:val="24"/>
        </w:rPr>
        <w:t>Provide estimates of the hour burden of the collection of information. The statement should:</w:t>
      </w:r>
    </w:p>
    <w:p w:rsidR="009E13B1" w:rsidRPr="00DB4FA0" w:rsidP="00DB4FA0" w14:paraId="3CF0218E" w14:textId="3B2EFCFE">
      <w:pPr>
        <w:pStyle w:val="NoSpacing"/>
        <w:rPr>
          <w:sz w:val="24"/>
          <w:szCs w:val="24"/>
        </w:rPr>
      </w:pPr>
    </w:p>
    <w:p w:rsidR="009E13B1" w:rsidRPr="00DB4FA0" w:rsidP="003D6E34" w14:paraId="63441369" w14:textId="58ECBD4B">
      <w:pPr>
        <w:pStyle w:val="NoSpacing"/>
        <w:numPr>
          <w:ilvl w:val="0"/>
          <w:numId w:val="24"/>
        </w:numPr>
        <w:rPr>
          <w:sz w:val="24"/>
          <w:szCs w:val="24"/>
        </w:rPr>
      </w:pPr>
      <w:r w:rsidRPr="00DB4FA0">
        <w:rPr>
          <w:sz w:val="24"/>
          <w:szCs w:val="24"/>
        </w:rPr>
        <w:t>I</w:t>
      </w:r>
      <w:r w:rsidRPr="00DB4FA0">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B4FA0" w:rsidR="006C7FAE">
        <w:rPr>
          <w:sz w:val="24"/>
          <w:szCs w:val="24"/>
        </w:rPr>
        <w:t>Generally,</w:t>
      </w:r>
      <w:r w:rsidRPr="00DB4FA0">
        <w:rPr>
          <w:sz w:val="24"/>
          <w:szCs w:val="24"/>
        </w:rPr>
        <w:t xml:space="preserve"> estimates should not include burden hours for customary and usual business </w:t>
      </w:r>
      <w:r w:rsidRPr="00DB4FA0">
        <w:rPr>
          <w:sz w:val="24"/>
          <w:szCs w:val="24"/>
        </w:rPr>
        <w:t>practices;</w:t>
      </w:r>
      <w:r w:rsidRPr="00DB4FA0">
        <w:rPr>
          <w:sz w:val="24"/>
          <w:szCs w:val="24"/>
        </w:rPr>
        <w:t xml:space="preserve"> </w:t>
      </w:r>
    </w:p>
    <w:p w:rsidR="004650F9" w:rsidP="00DB4FA0" w14:paraId="6355445F" w14:textId="77777777">
      <w:pPr>
        <w:pStyle w:val="NoSpacing"/>
        <w:rPr>
          <w:sz w:val="24"/>
          <w:szCs w:val="24"/>
        </w:rPr>
      </w:pPr>
    </w:p>
    <w:p w:rsidR="009E13B1" w:rsidRPr="00DB4FA0" w:rsidP="003D6E34" w14:paraId="45A98048" w14:textId="2700C368">
      <w:pPr>
        <w:pStyle w:val="NoSpacing"/>
        <w:numPr>
          <w:ilvl w:val="0"/>
          <w:numId w:val="24"/>
        </w:numPr>
        <w:rPr>
          <w:sz w:val="24"/>
          <w:szCs w:val="24"/>
        </w:rPr>
      </w:pPr>
      <w:r w:rsidRPr="00DB4FA0">
        <w:rPr>
          <w:sz w:val="24"/>
          <w:szCs w:val="24"/>
        </w:rPr>
        <w:t>I</w:t>
      </w:r>
      <w:r w:rsidRPr="00DB4FA0">
        <w:rPr>
          <w:sz w:val="24"/>
          <w:szCs w:val="24"/>
        </w:rPr>
        <w:t xml:space="preserve">f this request covers more than one form, provide separate hour burden estimates for each form and aggregate the hour burdens in </w:t>
      </w:r>
      <w:r w:rsidRPr="00DB4FA0" w:rsidR="00CA06CC">
        <w:rPr>
          <w:sz w:val="24"/>
          <w:szCs w:val="24"/>
        </w:rPr>
        <w:t>chart below</w:t>
      </w:r>
      <w:r w:rsidRPr="00DB4FA0">
        <w:rPr>
          <w:sz w:val="24"/>
          <w:szCs w:val="24"/>
        </w:rPr>
        <w:t xml:space="preserve">; and </w:t>
      </w:r>
    </w:p>
    <w:p w:rsidR="004650F9" w:rsidP="00DB4FA0" w14:paraId="284CF9FF" w14:textId="77777777">
      <w:pPr>
        <w:pStyle w:val="NoSpacing"/>
        <w:rPr>
          <w:sz w:val="24"/>
          <w:szCs w:val="24"/>
        </w:rPr>
      </w:pPr>
    </w:p>
    <w:p w:rsidR="009E13B1" w:rsidP="003D6E34" w14:paraId="12AB1B88" w14:textId="0CF0E305">
      <w:pPr>
        <w:pStyle w:val="NoSpacing"/>
        <w:numPr>
          <w:ilvl w:val="0"/>
          <w:numId w:val="24"/>
        </w:numPr>
        <w:rPr>
          <w:sz w:val="24"/>
          <w:szCs w:val="24"/>
        </w:rPr>
      </w:pPr>
      <w:r w:rsidRPr="00DB4FA0">
        <w:rPr>
          <w:sz w:val="24"/>
          <w:szCs w:val="24"/>
        </w:rPr>
        <w:t>P</w:t>
      </w:r>
      <w:r w:rsidRPr="00DB4FA0">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B4FA0" w:rsidR="00CA06CC">
        <w:rPr>
          <w:sz w:val="24"/>
          <w:szCs w:val="24"/>
        </w:rPr>
        <w:t>Instead,</w:t>
      </w:r>
      <w:r w:rsidRPr="00DB4FA0">
        <w:rPr>
          <w:sz w:val="24"/>
          <w:szCs w:val="24"/>
        </w:rPr>
        <w:t xml:space="preserve"> this cost should be included in Item 13.</w:t>
      </w:r>
    </w:p>
    <w:p w:rsidR="00E17376" w:rsidP="00E17376" w14:paraId="13988692" w14:textId="77777777">
      <w:pPr>
        <w:pStyle w:val="NoSpacing"/>
        <w:rPr>
          <w:sz w:val="24"/>
          <w:szCs w:val="24"/>
        </w:rPr>
      </w:pPr>
    </w:p>
    <w:p w:rsidR="00E17376" w:rsidRPr="00E17376" w:rsidP="003D6E34" w14:paraId="7804D124" w14:textId="18D022B2">
      <w:pPr>
        <w:pStyle w:val="NoSpacing"/>
        <w:ind w:left="1080"/>
        <w:rPr>
          <w:sz w:val="24"/>
          <w:szCs w:val="24"/>
        </w:rPr>
      </w:pPr>
      <w:r>
        <w:rPr>
          <w:sz w:val="24"/>
          <w:szCs w:val="24"/>
        </w:rPr>
        <w:t xml:space="preserve">OBGA conducted a thorough review of previous </w:t>
      </w:r>
      <w:r w:rsidR="0019464A">
        <w:rPr>
          <w:sz w:val="24"/>
          <w:szCs w:val="24"/>
        </w:rPr>
        <w:t xml:space="preserve">Paperwork Reduction Act submissions for this information collection </w:t>
      </w:r>
      <w:r w:rsidR="00B92462">
        <w:rPr>
          <w:sz w:val="24"/>
          <w:szCs w:val="24"/>
        </w:rPr>
        <w:t xml:space="preserve">going back to 2008 to develop this burden hour statement.  </w:t>
      </w:r>
      <w:r w:rsidRPr="00E17376">
        <w:rPr>
          <w:sz w:val="24"/>
          <w:szCs w:val="24"/>
        </w:rPr>
        <w:t xml:space="preserve">The total number of burden hours is </w:t>
      </w:r>
      <w:r w:rsidR="00855EAB">
        <w:rPr>
          <w:sz w:val="24"/>
          <w:szCs w:val="24"/>
        </w:rPr>
        <w:t>418,300</w:t>
      </w:r>
      <w:r w:rsidRPr="00E17376">
        <w:rPr>
          <w:sz w:val="24"/>
          <w:szCs w:val="24"/>
        </w:rPr>
        <w:t xml:space="preserve">. </w:t>
      </w:r>
      <w:r w:rsidR="00D0440A">
        <w:rPr>
          <w:sz w:val="24"/>
          <w:szCs w:val="24"/>
        </w:rPr>
        <w:t xml:space="preserve"> </w:t>
      </w:r>
      <w:r w:rsidRPr="00E17376">
        <w:rPr>
          <w:sz w:val="24"/>
          <w:szCs w:val="24"/>
        </w:rPr>
        <w:t xml:space="preserve">This is </w:t>
      </w:r>
      <w:r w:rsidR="00D0440A">
        <w:rPr>
          <w:sz w:val="24"/>
          <w:szCs w:val="24"/>
        </w:rPr>
        <w:t>split, as noted in the table below</w:t>
      </w:r>
      <w:r w:rsidR="002E0294">
        <w:rPr>
          <w:sz w:val="24"/>
          <w:szCs w:val="24"/>
        </w:rPr>
        <w:t>, into two separate responses</w:t>
      </w:r>
      <w:r w:rsidR="009F02BB">
        <w:rPr>
          <w:sz w:val="24"/>
          <w:szCs w:val="24"/>
        </w:rPr>
        <w:t xml:space="preserve"> for Localities and States</w:t>
      </w:r>
      <w:r w:rsidR="002E0294">
        <w:rPr>
          <w:sz w:val="24"/>
          <w:szCs w:val="24"/>
        </w:rPr>
        <w:t xml:space="preserve">, one for the Consolidated Plan and Annual Action Plan and another for </w:t>
      </w:r>
      <w:r w:rsidR="00740D01">
        <w:rPr>
          <w:sz w:val="24"/>
          <w:szCs w:val="24"/>
        </w:rPr>
        <w:t xml:space="preserve">the </w:t>
      </w:r>
      <w:r w:rsidR="0041337D">
        <w:rPr>
          <w:sz w:val="24"/>
          <w:szCs w:val="24"/>
        </w:rPr>
        <w:t>A</w:t>
      </w:r>
      <w:r w:rsidR="00740D01">
        <w:rPr>
          <w:sz w:val="24"/>
          <w:szCs w:val="24"/>
        </w:rPr>
        <w:t>nnual Performance Report</w:t>
      </w:r>
      <w:r w:rsidRPr="00E17376">
        <w:rPr>
          <w:sz w:val="24"/>
          <w:szCs w:val="24"/>
        </w:rPr>
        <w:t>.</w:t>
      </w:r>
      <w:r w:rsidR="00C36FDA">
        <w:rPr>
          <w:sz w:val="24"/>
          <w:szCs w:val="24"/>
        </w:rPr>
        <w:t xml:space="preserve"> </w:t>
      </w:r>
      <w:r w:rsidRPr="00E17376">
        <w:rPr>
          <w:sz w:val="24"/>
          <w:szCs w:val="24"/>
        </w:rPr>
        <w:t xml:space="preserve"> Calculations are estimates of annual costs to respondents for the preparation of a complete Consolidated Plan, Annual Action Plan and Annual Performance Report. </w:t>
      </w:r>
      <w:r w:rsidR="00A37C7A">
        <w:rPr>
          <w:sz w:val="24"/>
          <w:szCs w:val="24"/>
        </w:rPr>
        <w:t xml:space="preserve"> </w:t>
      </w:r>
      <w:r w:rsidRPr="00E17376">
        <w:rPr>
          <w:sz w:val="24"/>
          <w:szCs w:val="24"/>
        </w:rPr>
        <w:t xml:space="preserve">HUD provides an electronic template that provides pre-populated demographic and housing data based upon the grantee’s geographic area. </w:t>
      </w:r>
      <w:r w:rsidR="00A37C7A">
        <w:rPr>
          <w:sz w:val="24"/>
          <w:szCs w:val="24"/>
        </w:rPr>
        <w:t xml:space="preserve"> </w:t>
      </w:r>
      <w:r w:rsidRPr="00E17376">
        <w:rPr>
          <w:sz w:val="24"/>
          <w:szCs w:val="24"/>
        </w:rPr>
        <w:t xml:space="preserve">Because HUD provides this pre-populated data at the grantee’s geographic level, additional time would not be required for a larger state/locality versus a smaller state/locality to undertake additional data collection or analysis. </w:t>
      </w:r>
      <w:r w:rsidR="00A37C7A">
        <w:rPr>
          <w:sz w:val="24"/>
          <w:szCs w:val="24"/>
        </w:rPr>
        <w:t xml:space="preserve"> </w:t>
      </w:r>
      <w:r w:rsidRPr="00E17376">
        <w:rPr>
          <w:sz w:val="24"/>
          <w:szCs w:val="24"/>
        </w:rPr>
        <w:t xml:space="preserve">States are estimated to have </w:t>
      </w:r>
      <w:r w:rsidR="00A37C7A">
        <w:rPr>
          <w:sz w:val="24"/>
          <w:szCs w:val="24"/>
        </w:rPr>
        <w:t>556</w:t>
      </w:r>
      <w:r w:rsidRPr="00E17376" w:rsidR="00A37C7A">
        <w:rPr>
          <w:sz w:val="24"/>
          <w:szCs w:val="24"/>
        </w:rPr>
        <w:t xml:space="preserve"> </w:t>
      </w:r>
      <w:r w:rsidRPr="00E17376">
        <w:rPr>
          <w:sz w:val="24"/>
          <w:szCs w:val="24"/>
        </w:rPr>
        <w:t xml:space="preserve">burden hours in the development of a Consolidated Plan. This is because of the additional public hearings and the method of distribution requirements associated with state grantees. </w:t>
      </w:r>
      <w:r w:rsidR="00674631">
        <w:rPr>
          <w:sz w:val="24"/>
          <w:szCs w:val="24"/>
        </w:rPr>
        <w:t xml:space="preserve"> </w:t>
      </w:r>
      <w:r w:rsidRPr="00E17376">
        <w:rPr>
          <w:sz w:val="24"/>
          <w:szCs w:val="24"/>
        </w:rPr>
        <w:t xml:space="preserve">Localities are estimated to have </w:t>
      </w:r>
      <w:r w:rsidR="00674631">
        <w:rPr>
          <w:sz w:val="24"/>
          <w:szCs w:val="24"/>
        </w:rPr>
        <w:t xml:space="preserve">230 </w:t>
      </w:r>
      <w:r w:rsidRPr="00E17376">
        <w:rPr>
          <w:sz w:val="24"/>
          <w:szCs w:val="24"/>
        </w:rPr>
        <w:t>burden hours</w:t>
      </w:r>
      <w:r w:rsidR="00674631">
        <w:rPr>
          <w:sz w:val="24"/>
          <w:szCs w:val="24"/>
        </w:rPr>
        <w:t xml:space="preserve"> in the development of a Consolidated Plan</w:t>
      </w:r>
      <w:r w:rsidRPr="00E17376">
        <w:rPr>
          <w:sz w:val="24"/>
          <w:szCs w:val="24"/>
        </w:rPr>
        <w:t xml:space="preserve">. </w:t>
      </w:r>
      <w:r w:rsidR="00674631">
        <w:rPr>
          <w:sz w:val="24"/>
          <w:szCs w:val="24"/>
        </w:rPr>
        <w:t xml:space="preserve"> </w:t>
      </w:r>
      <w:r w:rsidRPr="00E17376">
        <w:rPr>
          <w:sz w:val="24"/>
          <w:szCs w:val="24"/>
        </w:rPr>
        <w:t xml:space="preserve">Localities are not required to use a method of distribution process and regulatorily may hold fewer public hearings. </w:t>
      </w:r>
      <w:r w:rsidR="00674631">
        <w:rPr>
          <w:sz w:val="24"/>
          <w:szCs w:val="24"/>
        </w:rPr>
        <w:t xml:space="preserve"> </w:t>
      </w:r>
      <w:r w:rsidRPr="00E17376">
        <w:rPr>
          <w:sz w:val="24"/>
          <w:szCs w:val="24"/>
        </w:rPr>
        <w:t>The process to complete a plan is standardized for localities and for states based on the regulations.</w:t>
      </w:r>
      <w:r w:rsidR="00674631">
        <w:rPr>
          <w:sz w:val="24"/>
          <w:szCs w:val="24"/>
        </w:rPr>
        <w:t xml:space="preserve"> </w:t>
      </w:r>
      <w:r w:rsidRPr="00E17376">
        <w:rPr>
          <w:sz w:val="24"/>
          <w:szCs w:val="24"/>
        </w:rPr>
        <w:t xml:space="preserve"> </w:t>
      </w:r>
    </w:p>
    <w:p w:rsidR="00E17376" w:rsidP="003D6E34" w14:paraId="348349AE" w14:textId="77777777">
      <w:pPr>
        <w:pStyle w:val="NoSpacing"/>
        <w:ind w:left="1080"/>
        <w:rPr>
          <w:sz w:val="24"/>
          <w:szCs w:val="24"/>
        </w:rPr>
      </w:pPr>
    </w:p>
    <w:p w:rsidR="00E17376" w:rsidP="003D6E34" w14:paraId="0F4C3FA8" w14:textId="431BC804">
      <w:pPr>
        <w:pStyle w:val="NoSpacing"/>
        <w:ind w:left="1080"/>
        <w:rPr>
          <w:sz w:val="24"/>
          <w:szCs w:val="24"/>
        </w:rPr>
      </w:pPr>
      <w:r w:rsidRPr="00E17376">
        <w:rPr>
          <w:sz w:val="24"/>
          <w:szCs w:val="24"/>
        </w:rPr>
        <w:t>A complete Consolidated Plan that contains a Strategic Plan and Annual Action Plan is submitted once every three to five years. An Annual Action Plan is submitted once a year. An Annual Performance Report is submitted once per year. A grantee respond</w:t>
      </w:r>
      <w:r w:rsidR="007A43E2">
        <w:rPr>
          <w:sz w:val="24"/>
          <w:szCs w:val="24"/>
        </w:rPr>
        <w:t>s</w:t>
      </w:r>
      <w:r w:rsidRPr="00E17376">
        <w:rPr>
          <w:sz w:val="24"/>
          <w:szCs w:val="24"/>
        </w:rPr>
        <w:t xml:space="preserve"> twice per year: once at Con Plan/Annual Action Plan submission and once at Annual Performance Report submission. The total number of respondents is </w:t>
      </w:r>
      <w:r w:rsidRPr="00E17376">
        <w:rPr>
          <w:sz w:val="24"/>
          <w:szCs w:val="24"/>
        </w:rPr>
        <w:t>1,</w:t>
      </w:r>
      <w:r w:rsidR="008350B7">
        <w:rPr>
          <w:sz w:val="24"/>
          <w:szCs w:val="24"/>
        </w:rPr>
        <w:t>300</w:t>
      </w:r>
      <w:r w:rsidRPr="00E17376">
        <w:rPr>
          <w:sz w:val="24"/>
          <w:szCs w:val="24"/>
        </w:rPr>
        <w:t xml:space="preserve"> </w:t>
      </w:r>
      <w:r w:rsidR="007A43E2">
        <w:rPr>
          <w:sz w:val="24"/>
          <w:szCs w:val="24"/>
        </w:rPr>
        <w:t xml:space="preserve"> </w:t>
      </w:r>
      <w:r w:rsidRPr="00E17376">
        <w:rPr>
          <w:sz w:val="24"/>
          <w:szCs w:val="24"/>
        </w:rPr>
        <w:t>This</w:t>
      </w:r>
      <w:r w:rsidRPr="00E17376">
        <w:rPr>
          <w:sz w:val="24"/>
          <w:szCs w:val="24"/>
        </w:rPr>
        <w:t xml:space="preserve"> includes </w:t>
      </w:r>
      <w:r w:rsidR="00B84725">
        <w:rPr>
          <w:sz w:val="24"/>
          <w:szCs w:val="24"/>
        </w:rPr>
        <w:t>1,</w:t>
      </w:r>
      <w:r w:rsidR="00C61260">
        <w:rPr>
          <w:sz w:val="24"/>
          <w:szCs w:val="24"/>
        </w:rPr>
        <w:t>243</w:t>
      </w:r>
      <w:r w:rsidRPr="00E17376">
        <w:rPr>
          <w:sz w:val="24"/>
          <w:szCs w:val="24"/>
        </w:rPr>
        <w:t xml:space="preserve"> local governments, 4 Insular Areas, 3 Hawaiian non-entitlement areas and 50 states</w:t>
      </w:r>
      <w:r w:rsidR="00FC0F41">
        <w:rPr>
          <w:sz w:val="24"/>
          <w:szCs w:val="24"/>
        </w:rPr>
        <w:t xml:space="preserve"> (including the </w:t>
      </w:r>
      <w:r w:rsidR="00B64B57">
        <w:rPr>
          <w:sz w:val="24"/>
          <w:szCs w:val="24"/>
        </w:rPr>
        <w:t>Commonwealth of Puerto Rico</w:t>
      </w:r>
      <w:r w:rsidR="00236ACA">
        <w:rPr>
          <w:sz w:val="24"/>
          <w:szCs w:val="24"/>
        </w:rPr>
        <w:t xml:space="preserve"> but excluding the State of Hawaii</w:t>
      </w:r>
      <w:r w:rsidR="00B64B57">
        <w:rPr>
          <w:sz w:val="24"/>
          <w:szCs w:val="24"/>
        </w:rPr>
        <w:t>)</w:t>
      </w:r>
      <w:r w:rsidRPr="00E17376">
        <w:rPr>
          <w:sz w:val="24"/>
          <w:szCs w:val="24"/>
        </w:rPr>
        <w:t xml:space="preserve"> that receive direct CDBG or HOME funding and are required to submit a complete Consolidated Plan, Annual Action Plan, and Annual Performance Report. </w:t>
      </w:r>
      <w:r w:rsidR="00B84725">
        <w:rPr>
          <w:sz w:val="24"/>
          <w:szCs w:val="24"/>
        </w:rPr>
        <w:t xml:space="preserve">There are </w:t>
      </w:r>
      <w:r w:rsidR="008446E8">
        <w:rPr>
          <w:sz w:val="24"/>
          <w:szCs w:val="24"/>
        </w:rPr>
        <w:t xml:space="preserve">37 </w:t>
      </w:r>
      <w:r w:rsidR="00D464D5">
        <w:rPr>
          <w:sz w:val="24"/>
          <w:szCs w:val="24"/>
        </w:rPr>
        <w:t xml:space="preserve">other </w:t>
      </w:r>
      <w:r w:rsidR="00CD7B69">
        <w:rPr>
          <w:sz w:val="24"/>
          <w:szCs w:val="24"/>
        </w:rPr>
        <w:t xml:space="preserve">local governments that receive funds under a joint agreement with an </w:t>
      </w:r>
      <w:r w:rsidR="009B67AE">
        <w:rPr>
          <w:sz w:val="24"/>
          <w:szCs w:val="24"/>
        </w:rPr>
        <w:t>urban county local government that are not required to submit a Con</w:t>
      </w:r>
      <w:r w:rsidR="0017738A">
        <w:rPr>
          <w:sz w:val="24"/>
          <w:szCs w:val="24"/>
        </w:rPr>
        <w:t>solidated</w:t>
      </w:r>
      <w:r w:rsidR="009B67AE">
        <w:rPr>
          <w:sz w:val="24"/>
          <w:szCs w:val="24"/>
        </w:rPr>
        <w:t xml:space="preserve"> Plan, </w:t>
      </w:r>
      <w:r w:rsidR="008456FE">
        <w:rPr>
          <w:sz w:val="24"/>
          <w:szCs w:val="24"/>
        </w:rPr>
        <w:t>Annual Action Plan, or Annual Performance Report as those counties</w:t>
      </w:r>
      <w:r w:rsidR="003B49E6">
        <w:rPr>
          <w:sz w:val="24"/>
          <w:szCs w:val="24"/>
        </w:rPr>
        <w:t xml:space="preserve"> submit </w:t>
      </w:r>
      <w:r w:rsidR="004E558B">
        <w:rPr>
          <w:sz w:val="24"/>
          <w:szCs w:val="24"/>
        </w:rPr>
        <w:t xml:space="preserve">such on their behalf.) </w:t>
      </w:r>
      <w:r w:rsidRPr="00E17376">
        <w:rPr>
          <w:sz w:val="24"/>
          <w:szCs w:val="24"/>
        </w:rPr>
        <w:t xml:space="preserve">HUD has determined that it no longer has jurisdictions that are required to submit an abbreviated strategy. An abbreviated strategy is submitted in lieu of a complete Consolidated Plan when a jurisdiction does not receive direct CDBG or HOME funding and is not a member of a HOME Consortia. </w:t>
      </w:r>
    </w:p>
    <w:p w:rsidR="00E17376" w:rsidP="00E17376" w14:paraId="170CC80A" w14:textId="77777777">
      <w:pPr>
        <w:pStyle w:val="NoSpacing"/>
        <w:ind w:left="720"/>
        <w:rPr>
          <w:sz w:val="24"/>
          <w:szCs w:val="24"/>
        </w:rPr>
      </w:pPr>
    </w:p>
    <w:tbl>
      <w:tblPr>
        <w:tblW w:w="10260" w:type="dxa"/>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2070"/>
        <w:gridCol w:w="1260"/>
        <w:gridCol w:w="1170"/>
        <w:gridCol w:w="1170"/>
        <w:gridCol w:w="1080"/>
        <w:gridCol w:w="900"/>
        <w:gridCol w:w="1260"/>
        <w:gridCol w:w="1350"/>
      </w:tblGrid>
      <w:tr w14:paraId="003B3F19" w14:textId="77777777" w:rsidTr="003D6E34">
        <w:tblPrEx>
          <w:tblW w:w="10260" w:type="dxa"/>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2070" w:type="dxa"/>
            <w:tcMar>
              <w:top w:w="0" w:type="dxa"/>
              <w:left w:w="108" w:type="dxa"/>
              <w:bottom w:w="0" w:type="dxa"/>
              <w:right w:w="108" w:type="dxa"/>
            </w:tcMar>
            <w:hideMark/>
          </w:tcPr>
          <w:p w:rsidR="00E17376" w:rsidRPr="00E17376" w:rsidP="00EA1C58" w14:paraId="749A9BC0" w14:textId="77777777">
            <w:pPr>
              <w:adjustRightInd/>
              <w:textAlignment w:val="auto"/>
              <w:rPr>
                <w:b/>
                <w:bCs/>
                <w:color w:val="000000"/>
                <w:sz w:val="18"/>
                <w:szCs w:val="18"/>
              </w:rPr>
            </w:pPr>
            <w:r w:rsidRPr="00E17376">
              <w:rPr>
                <w:b/>
                <w:bCs/>
                <w:color w:val="000000"/>
                <w:sz w:val="18"/>
                <w:szCs w:val="18"/>
              </w:rPr>
              <w:t>Information Collection</w:t>
            </w:r>
          </w:p>
        </w:tc>
        <w:tc>
          <w:tcPr>
            <w:tcW w:w="1260" w:type="dxa"/>
            <w:tcMar>
              <w:top w:w="0" w:type="dxa"/>
              <w:left w:w="108" w:type="dxa"/>
              <w:bottom w:w="0" w:type="dxa"/>
              <w:right w:w="108" w:type="dxa"/>
            </w:tcMar>
            <w:hideMark/>
          </w:tcPr>
          <w:p w:rsidR="00E17376" w:rsidRPr="00E17376" w:rsidP="00E17376" w14:paraId="6A55FAF3" w14:textId="77777777">
            <w:pPr>
              <w:adjustRightInd/>
              <w:jc w:val="center"/>
              <w:textAlignment w:val="auto"/>
              <w:rPr>
                <w:b/>
                <w:bCs/>
                <w:color w:val="000000"/>
                <w:sz w:val="18"/>
                <w:szCs w:val="18"/>
              </w:rPr>
            </w:pPr>
            <w:r w:rsidRPr="00E17376">
              <w:rPr>
                <w:b/>
                <w:bCs/>
                <w:color w:val="000000"/>
                <w:sz w:val="18"/>
                <w:szCs w:val="18"/>
              </w:rPr>
              <w:t>Number of Respondents</w:t>
            </w:r>
          </w:p>
        </w:tc>
        <w:tc>
          <w:tcPr>
            <w:tcW w:w="1170" w:type="dxa"/>
            <w:tcMar>
              <w:top w:w="0" w:type="dxa"/>
              <w:left w:w="108" w:type="dxa"/>
              <w:bottom w:w="0" w:type="dxa"/>
              <w:right w:w="108" w:type="dxa"/>
            </w:tcMar>
            <w:hideMark/>
          </w:tcPr>
          <w:p w:rsidR="00E17376" w:rsidRPr="00E17376" w:rsidP="00E17376" w14:paraId="7F89332F" w14:textId="77777777">
            <w:pPr>
              <w:adjustRightInd/>
              <w:jc w:val="center"/>
              <w:textAlignment w:val="auto"/>
              <w:rPr>
                <w:b/>
                <w:bCs/>
                <w:color w:val="000000"/>
                <w:sz w:val="18"/>
                <w:szCs w:val="18"/>
              </w:rPr>
            </w:pPr>
            <w:r w:rsidRPr="00E17376">
              <w:rPr>
                <w:b/>
                <w:bCs/>
                <w:color w:val="000000"/>
                <w:sz w:val="18"/>
                <w:szCs w:val="18"/>
              </w:rPr>
              <w:t>Frequency of Response</w:t>
            </w:r>
          </w:p>
        </w:tc>
        <w:tc>
          <w:tcPr>
            <w:tcW w:w="1170" w:type="dxa"/>
            <w:tcMar>
              <w:top w:w="0" w:type="dxa"/>
              <w:left w:w="108" w:type="dxa"/>
              <w:bottom w:w="0" w:type="dxa"/>
              <w:right w:w="108" w:type="dxa"/>
            </w:tcMar>
            <w:hideMark/>
          </w:tcPr>
          <w:p w:rsidR="00E17376" w:rsidRPr="00E17376" w:rsidP="00E17376" w14:paraId="4D7D9C64" w14:textId="77777777">
            <w:pPr>
              <w:adjustRightInd/>
              <w:jc w:val="center"/>
              <w:textAlignment w:val="auto"/>
              <w:rPr>
                <w:b/>
                <w:bCs/>
                <w:color w:val="000000"/>
                <w:sz w:val="18"/>
                <w:szCs w:val="18"/>
              </w:rPr>
            </w:pPr>
            <w:r w:rsidRPr="00E17376">
              <w:rPr>
                <w:b/>
                <w:bCs/>
                <w:color w:val="000000"/>
                <w:sz w:val="18"/>
                <w:szCs w:val="18"/>
              </w:rPr>
              <w:t>Responses</w:t>
            </w:r>
          </w:p>
          <w:p w:rsidR="00E17376" w:rsidRPr="00E17376" w:rsidP="00E17376" w14:paraId="66E58E27" w14:textId="77777777">
            <w:pPr>
              <w:adjustRightInd/>
              <w:jc w:val="center"/>
              <w:textAlignment w:val="auto"/>
              <w:rPr>
                <w:b/>
                <w:bCs/>
                <w:color w:val="000000"/>
                <w:sz w:val="18"/>
                <w:szCs w:val="18"/>
              </w:rPr>
            </w:pPr>
            <w:r w:rsidRPr="00E17376">
              <w:rPr>
                <w:b/>
                <w:bCs/>
                <w:color w:val="000000"/>
                <w:sz w:val="18"/>
                <w:szCs w:val="18"/>
              </w:rPr>
              <w:t>Per Annum</w:t>
            </w:r>
          </w:p>
        </w:tc>
        <w:tc>
          <w:tcPr>
            <w:tcW w:w="1080" w:type="dxa"/>
            <w:tcMar>
              <w:top w:w="0" w:type="dxa"/>
              <w:left w:w="108" w:type="dxa"/>
              <w:bottom w:w="0" w:type="dxa"/>
              <w:right w:w="108" w:type="dxa"/>
            </w:tcMar>
            <w:hideMark/>
          </w:tcPr>
          <w:p w:rsidR="00E17376" w:rsidRPr="00E17376" w:rsidP="00E17376" w14:paraId="0F8B689B" w14:textId="77777777">
            <w:pPr>
              <w:adjustRightInd/>
              <w:jc w:val="center"/>
              <w:textAlignment w:val="auto"/>
              <w:rPr>
                <w:b/>
                <w:bCs/>
                <w:color w:val="000000"/>
                <w:sz w:val="18"/>
                <w:szCs w:val="18"/>
              </w:rPr>
            </w:pPr>
            <w:r w:rsidRPr="00E17376">
              <w:rPr>
                <w:b/>
                <w:bCs/>
                <w:color w:val="000000"/>
                <w:sz w:val="18"/>
                <w:szCs w:val="18"/>
              </w:rPr>
              <w:t>Burden Hour Per Response</w:t>
            </w:r>
          </w:p>
        </w:tc>
        <w:tc>
          <w:tcPr>
            <w:tcW w:w="900" w:type="dxa"/>
            <w:tcMar>
              <w:top w:w="0" w:type="dxa"/>
              <w:left w:w="108" w:type="dxa"/>
              <w:bottom w:w="0" w:type="dxa"/>
              <w:right w:w="108" w:type="dxa"/>
            </w:tcMar>
            <w:hideMark/>
          </w:tcPr>
          <w:p w:rsidR="00E17376" w:rsidRPr="00E17376" w:rsidP="00E17376" w14:paraId="7238AE24" w14:textId="77777777">
            <w:pPr>
              <w:adjustRightInd/>
              <w:jc w:val="center"/>
              <w:textAlignment w:val="auto"/>
              <w:rPr>
                <w:b/>
                <w:bCs/>
                <w:color w:val="000000"/>
                <w:sz w:val="18"/>
                <w:szCs w:val="18"/>
              </w:rPr>
            </w:pPr>
            <w:r w:rsidRPr="00E17376">
              <w:rPr>
                <w:b/>
                <w:bCs/>
                <w:color w:val="000000"/>
                <w:sz w:val="18"/>
                <w:szCs w:val="18"/>
              </w:rPr>
              <w:t>Annual Burden Hours</w:t>
            </w:r>
          </w:p>
        </w:tc>
        <w:tc>
          <w:tcPr>
            <w:tcW w:w="1260" w:type="dxa"/>
            <w:tcMar>
              <w:top w:w="0" w:type="dxa"/>
              <w:left w:w="108" w:type="dxa"/>
              <w:bottom w:w="0" w:type="dxa"/>
              <w:right w:w="108" w:type="dxa"/>
            </w:tcMar>
            <w:hideMark/>
          </w:tcPr>
          <w:p w:rsidR="00E17376" w:rsidRPr="00E17376" w:rsidP="00E17376" w14:paraId="037D7EE3" w14:textId="77777777">
            <w:pPr>
              <w:adjustRightInd/>
              <w:jc w:val="center"/>
              <w:textAlignment w:val="auto"/>
              <w:rPr>
                <w:b/>
                <w:bCs/>
                <w:color w:val="000000"/>
                <w:sz w:val="18"/>
                <w:szCs w:val="18"/>
              </w:rPr>
            </w:pPr>
            <w:r w:rsidRPr="00E17376">
              <w:rPr>
                <w:b/>
                <w:bCs/>
                <w:color w:val="000000"/>
                <w:sz w:val="18"/>
                <w:szCs w:val="18"/>
              </w:rPr>
              <w:t>Hourly Cost Per Response</w:t>
            </w:r>
          </w:p>
        </w:tc>
        <w:tc>
          <w:tcPr>
            <w:tcW w:w="1350" w:type="dxa"/>
            <w:tcMar>
              <w:top w:w="0" w:type="dxa"/>
              <w:left w:w="108" w:type="dxa"/>
              <w:bottom w:w="0" w:type="dxa"/>
              <w:right w:w="108" w:type="dxa"/>
            </w:tcMar>
          </w:tcPr>
          <w:p w:rsidR="00E17376" w:rsidRPr="00E17376" w:rsidP="00E17376" w14:paraId="00797BD9" w14:textId="77777777">
            <w:pPr>
              <w:adjustRightInd/>
              <w:jc w:val="center"/>
              <w:textAlignment w:val="auto"/>
              <w:rPr>
                <w:b/>
                <w:bCs/>
                <w:color w:val="000000"/>
                <w:sz w:val="18"/>
                <w:szCs w:val="18"/>
              </w:rPr>
            </w:pPr>
            <w:r w:rsidRPr="00E17376">
              <w:rPr>
                <w:b/>
                <w:bCs/>
                <w:color w:val="000000"/>
                <w:sz w:val="18"/>
                <w:szCs w:val="18"/>
              </w:rPr>
              <w:t>Annual Cost</w:t>
            </w:r>
          </w:p>
          <w:p w:rsidR="00E17376" w:rsidRPr="00E17376" w:rsidP="00E17376" w14:paraId="034EC72A" w14:textId="77777777">
            <w:pPr>
              <w:overflowPunct/>
              <w:autoSpaceDE/>
              <w:autoSpaceDN/>
              <w:adjustRightInd/>
              <w:textAlignment w:val="auto"/>
              <w:rPr>
                <w:rFonts w:ascii="Calibri" w:hAnsi="Calibri" w:cs="Calibri"/>
                <w:sz w:val="18"/>
                <w:szCs w:val="18"/>
              </w:rPr>
            </w:pPr>
          </w:p>
        </w:tc>
      </w:tr>
      <w:tr w14:paraId="6FCB78E9" w14:textId="77777777" w:rsidTr="003D6E34">
        <w:tblPrEx>
          <w:tblW w:w="10260" w:type="dxa"/>
          <w:tblInd w:w="80" w:type="dxa"/>
          <w:tblLayout w:type="fixed"/>
          <w:tblCellMar>
            <w:left w:w="0" w:type="dxa"/>
            <w:right w:w="0" w:type="dxa"/>
          </w:tblCellMar>
          <w:tblLook w:val="04A0"/>
        </w:tblPrEx>
        <w:tc>
          <w:tcPr>
            <w:tcW w:w="2070" w:type="dxa"/>
            <w:tcMar>
              <w:top w:w="0" w:type="dxa"/>
              <w:left w:w="108" w:type="dxa"/>
              <w:bottom w:w="0" w:type="dxa"/>
              <w:right w:w="108" w:type="dxa"/>
            </w:tcMar>
            <w:hideMark/>
          </w:tcPr>
          <w:p w:rsidR="005D3DA9" w:rsidP="00E17376" w14:paraId="3A88C21E" w14:textId="2179FCD4">
            <w:pPr>
              <w:adjustRightInd/>
              <w:textAlignment w:val="auto"/>
              <w:rPr>
                <w:b/>
                <w:bCs/>
                <w:color w:val="000000"/>
                <w:sz w:val="18"/>
                <w:szCs w:val="18"/>
              </w:rPr>
            </w:pPr>
            <w:r>
              <w:rPr>
                <w:b/>
                <w:bCs/>
                <w:color w:val="000000"/>
                <w:sz w:val="18"/>
                <w:szCs w:val="18"/>
              </w:rPr>
              <w:t>Consolidated Plan an</w:t>
            </w:r>
            <w:r w:rsidR="00344AC9">
              <w:rPr>
                <w:b/>
                <w:bCs/>
                <w:color w:val="000000"/>
                <w:sz w:val="18"/>
                <w:szCs w:val="18"/>
              </w:rPr>
              <w:t>d</w:t>
            </w:r>
            <w:r>
              <w:rPr>
                <w:b/>
                <w:bCs/>
                <w:color w:val="000000"/>
                <w:sz w:val="18"/>
                <w:szCs w:val="18"/>
              </w:rPr>
              <w:t xml:space="preserve"> Annual Action Plan</w:t>
            </w:r>
          </w:p>
          <w:p w:rsidR="00E17376" w:rsidRPr="003D6E34" w:rsidP="003D6E34" w14:paraId="70357F7E" w14:textId="41CD4DBA">
            <w:pPr>
              <w:pStyle w:val="ListParagraph"/>
              <w:numPr>
                <w:ilvl w:val="0"/>
                <w:numId w:val="25"/>
              </w:numPr>
              <w:adjustRightInd/>
              <w:textAlignment w:val="auto"/>
              <w:rPr>
                <w:b/>
                <w:bCs/>
                <w:color w:val="000000"/>
                <w:sz w:val="18"/>
                <w:szCs w:val="18"/>
              </w:rPr>
            </w:pPr>
            <w:r w:rsidRPr="003D6E34">
              <w:rPr>
                <w:b/>
                <w:bCs/>
                <w:color w:val="000000"/>
                <w:sz w:val="18"/>
                <w:szCs w:val="18"/>
              </w:rPr>
              <w:t>L</w:t>
            </w:r>
            <w:r w:rsidRPr="003D6E34">
              <w:rPr>
                <w:b/>
                <w:bCs/>
                <w:color w:val="000000"/>
                <w:sz w:val="18"/>
                <w:szCs w:val="18"/>
              </w:rPr>
              <w:t>ocalities</w:t>
            </w:r>
          </w:p>
          <w:p w:rsidR="005D3DA9" w:rsidRPr="003D6E34" w:rsidP="003D6E34" w14:paraId="7BF05555" w14:textId="298CB3AA">
            <w:pPr>
              <w:pStyle w:val="ListParagraph"/>
              <w:numPr>
                <w:ilvl w:val="0"/>
                <w:numId w:val="25"/>
              </w:numPr>
              <w:adjustRightInd/>
              <w:textAlignment w:val="auto"/>
              <w:rPr>
                <w:b/>
                <w:bCs/>
                <w:color w:val="000000"/>
                <w:sz w:val="18"/>
                <w:szCs w:val="18"/>
              </w:rPr>
            </w:pPr>
            <w:r w:rsidRPr="003D6E34">
              <w:rPr>
                <w:b/>
                <w:bCs/>
                <w:color w:val="000000"/>
                <w:sz w:val="18"/>
                <w:szCs w:val="18"/>
              </w:rPr>
              <w:t>States</w:t>
            </w:r>
          </w:p>
        </w:tc>
        <w:tc>
          <w:tcPr>
            <w:tcW w:w="1260" w:type="dxa"/>
            <w:tcMar>
              <w:top w:w="0" w:type="dxa"/>
              <w:left w:w="108" w:type="dxa"/>
              <w:bottom w:w="0" w:type="dxa"/>
              <w:right w:w="108" w:type="dxa"/>
            </w:tcMar>
            <w:hideMark/>
          </w:tcPr>
          <w:p w:rsidR="00A46139" w:rsidP="00E17376" w14:paraId="41CE3ED6" w14:textId="77777777">
            <w:pPr>
              <w:adjustRightInd/>
              <w:jc w:val="right"/>
              <w:textAlignment w:val="auto"/>
              <w:rPr>
                <w:b/>
                <w:bCs/>
                <w:color w:val="000000"/>
                <w:sz w:val="18"/>
                <w:szCs w:val="18"/>
              </w:rPr>
            </w:pPr>
          </w:p>
          <w:p w:rsidR="00A46139" w:rsidP="00E17376" w14:paraId="5F1D26A4" w14:textId="77777777">
            <w:pPr>
              <w:adjustRightInd/>
              <w:jc w:val="right"/>
              <w:textAlignment w:val="auto"/>
              <w:rPr>
                <w:b/>
                <w:bCs/>
                <w:color w:val="000000"/>
                <w:sz w:val="18"/>
                <w:szCs w:val="18"/>
              </w:rPr>
            </w:pPr>
          </w:p>
          <w:p w:rsidR="00A46139" w:rsidP="00E17376" w14:paraId="07BFF272" w14:textId="77777777">
            <w:pPr>
              <w:adjustRightInd/>
              <w:jc w:val="right"/>
              <w:textAlignment w:val="auto"/>
              <w:rPr>
                <w:b/>
                <w:bCs/>
                <w:color w:val="000000"/>
                <w:sz w:val="18"/>
                <w:szCs w:val="18"/>
              </w:rPr>
            </w:pPr>
          </w:p>
          <w:p w:rsidR="00E17376" w:rsidP="00A46139" w14:paraId="0B334176" w14:textId="427FF9E4">
            <w:pPr>
              <w:adjustRightInd/>
              <w:jc w:val="right"/>
              <w:textAlignment w:val="auto"/>
              <w:rPr>
                <w:b/>
                <w:bCs/>
                <w:color w:val="000000"/>
                <w:sz w:val="18"/>
                <w:szCs w:val="18"/>
              </w:rPr>
            </w:pPr>
            <w:r w:rsidRPr="00E17376">
              <w:rPr>
                <w:b/>
                <w:bCs/>
                <w:color w:val="000000"/>
                <w:sz w:val="18"/>
                <w:szCs w:val="18"/>
              </w:rPr>
              <w:t>1,2</w:t>
            </w:r>
            <w:r w:rsidR="00DE481D">
              <w:rPr>
                <w:b/>
                <w:bCs/>
                <w:color w:val="000000"/>
                <w:sz w:val="18"/>
                <w:szCs w:val="18"/>
              </w:rPr>
              <w:t>50</w:t>
            </w:r>
          </w:p>
          <w:p w:rsidR="00A46139" w:rsidRPr="00E17376" w:rsidP="00A46139" w14:paraId="4E069802" w14:textId="10F96486">
            <w:pPr>
              <w:adjustRightInd/>
              <w:jc w:val="right"/>
              <w:textAlignment w:val="auto"/>
              <w:rPr>
                <w:b/>
                <w:bCs/>
                <w:color w:val="000000"/>
                <w:sz w:val="18"/>
                <w:szCs w:val="18"/>
              </w:rPr>
            </w:pPr>
            <w:r>
              <w:rPr>
                <w:b/>
                <w:bCs/>
                <w:color w:val="000000"/>
                <w:sz w:val="18"/>
                <w:szCs w:val="18"/>
              </w:rPr>
              <w:t>50</w:t>
            </w:r>
          </w:p>
        </w:tc>
        <w:tc>
          <w:tcPr>
            <w:tcW w:w="1170" w:type="dxa"/>
            <w:tcMar>
              <w:top w:w="0" w:type="dxa"/>
              <w:left w:w="108" w:type="dxa"/>
              <w:bottom w:w="0" w:type="dxa"/>
              <w:right w:w="108" w:type="dxa"/>
            </w:tcMar>
            <w:hideMark/>
          </w:tcPr>
          <w:p w:rsidR="00A46139" w:rsidP="00E17376" w14:paraId="53D1A957" w14:textId="77777777">
            <w:pPr>
              <w:adjustRightInd/>
              <w:jc w:val="right"/>
              <w:textAlignment w:val="auto"/>
              <w:rPr>
                <w:b/>
                <w:bCs/>
                <w:color w:val="000000"/>
                <w:sz w:val="18"/>
                <w:szCs w:val="18"/>
              </w:rPr>
            </w:pPr>
          </w:p>
          <w:p w:rsidR="00A46139" w:rsidP="00E17376" w14:paraId="3070AF98" w14:textId="77777777">
            <w:pPr>
              <w:adjustRightInd/>
              <w:jc w:val="right"/>
              <w:textAlignment w:val="auto"/>
              <w:rPr>
                <w:b/>
                <w:bCs/>
                <w:color w:val="000000"/>
                <w:sz w:val="18"/>
                <w:szCs w:val="18"/>
              </w:rPr>
            </w:pPr>
          </w:p>
          <w:p w:rsidR="00A46139" w:rsidP="00E17376" w14:paraId="3F038754" w14:textId="77777777">
            <w:pPr>
              <w:adjustRightInd/>
              <w:jc w:val="right"/>
              <w:textAlignment w:val="auto"/>
              <w:rPr>
                <w:b/>
                <w:bCs/>
                <w:color w:val="000000"/>
                <w:sz w:val="18"/>
                <w:szCs w:val="18"/>
              </w:rPr>
            </w:pPr>
          </w:p>
          <w:p w:rsidR="00E17376" w:rsidP="00E17376" w14:paraId="323F053E" w14:textId="025F71C3">
            <w:pPr>
              <w:adjustRightInd/>
              <w:jc w:val="right"/>
              <w:textAlignment w:val="auto"/>
              <w:rPr>
                <w:b/>
                <w:bCs/>
                <w:color w:val="000000"/>
                <w:sz w:val="18"/>
                <w:szCs w:val="18"/>
              </w:rPr>
            </w:pPr>
            <w:r>
              <w:rPr>
                <w:b/>
                <w:bCs/>
                <w:color w:val="000000"/>
                <w:sz w:val="18"/>
                <w:szCs w:val="18"/>
              </w:rPr>
              <w:t>1</w:t>
            </w:r>
          </w:p>
          <w:p w:rsidR="005C47AD" w:rsidRPr="00E17376" w:rsidP="00E17376" w14:paraId="6E02513A" w14:textId="0319982D">
            <w:pPr>
              <w:adjustRightInd/>
              <w:jc w:val="right"/>
              <w:textAlignment w:val="auto"/>
              <w:rPr>
                <w:b/>
                <w:bCs/>
                <w:color w:val="000000"/>
                <w:sz w:val="18"/>
                <w:szCs w:val="18"/>
              </w:rPr>
            </w:pPr>
            <w:r>
              <w:rPr>
                <w:b/>
                <w:bCs/>
                <w:color w:val="000000"/>
                <w:sz w:val="18"/>
                <w:szCs w:val="18"/>
              </w:rPr>
              <w:t>1</w:t>
            </w:r>
          </w:p>
        </w:tc>
        <w:tc>
          <w:tcPr>
            <w:tcW w:w="1170" w:type="dxa"/>
            <w:tcMar>
              <w:top w:w="0" w:type="dxa"/>
              <w:left w:w="108" w:type="dxa"/>
              <w:bottom w:w="0" w:type="dxa"/>
              <w:right w:w="108" w:type="dxa"/>
            </w:tcMar>
            <w:hideMark/>
          </w:tcPr>
          <w:p w:rsidR="005C47AD" w:rsidP="00E17376" w14:paraId="48BB16C5" w14:textId="77777777">
            <w:pPr>
              <w:adjustRightInd/>
              <w:jc w:val="right"/>
              <w:textAlignment w:val="auto"/>
              <w:rPr>
                <w:b/>
                <w:bCs/>
                <w:color w:val="000000"/>
                <w:sz w:val="18"/>
                <w:szCs w:val="18"/>
              </w:rPr>
            </w:pPr>
          </w:p>
          <w:p w:rsidR="005C47AD" w:rsidP="00E17376" w14:paraId="46460834" w14:textId="77777777">
            <w:pPr>
              <w:adjustRightInd/>
              <w:jc w:val="right"/>
              <w:textAlignment w:val="auto"/>
              <w:rPr>
                <w:b/>
                <w:bCs/>
                <w:color w:val="000000"/>
                <w:sz w:val="18"/>
                <w:szCs w:val="18"/>
              </w:rPr>
            </w:pPr>
          </w:p>
          <w:p w:rsidR="005C47AD" w:rsidP="00E17376" w14:paraId="3278D96F" w14:textId="77777777">
            <w:pPr>
              <w:adjustRightInd/>
              <w:jc w:val="right"/>
              <w:textAlignment w:val="auto"/>
              <w:rPr>
                <w:b/>
                <w:bCs/>
                <w:color w:val="000000"/>
                <w:sz w:val="18"/>
                <w:szCs w:val="18"/>
              </w:rPr>
            </w:pPr>
          </w:p>
          <w:p w:rsidR="00E17376" w:rsidP="00E17376" w14:paraId="5961F38D" w14:textId="450641A4">
            <w:pPr>
              <w:adjustRightInd/>
              <w:jc w:val="right"/>
              <w:textAlignment w:val="auto"/>
              <w:rPr>
                <w:b/>
                <w:bCs/>
                <w:color w:val="000000"/>
                <w:sz w:val="18"/>
                <w:szCs w:val="18"/>
              </w:rPr>
            </w:pPr>
            <w:r w:rsidRPr="00E17376">
              <w:rPr>
                <w:b/>
                <w:bCs/>
                <w:color w:val="000000"/>
                <w:sz w:val="18"/>
                <w:szCs w:val="18"/>
              </w:rPr>
              <w:t>1,2</w:t>
            </w:r>
            <w:r w:rsidR="00DE481D">
              <w:rPr>
                <w:b/>
                <w:bCs/>
                <w:color w:val="000000"/>
                <w:sz w:val="18"/>
                <w:szCs w:val="18"/>
              </w:rPr>
              <w:t>50</w:t>
            </w:r>
          </w:p>
          <w:p w:rsidR="002B1F46" w:rsidRPr="00E17376" w:rsidP="00E17376" w14:paraId="69F3095E" w14:textId="0968A465">
            <w:pPr>
              <w:adjustRightInd/>
              <w:jc w:val="right"/>
              <w:textAlignment w:val="auto"/>
              <w:rPr>
                <w:b/>
                <w:bCs/>
                <w:color w:val="000000"/>
                <w:sz w:val="18"/>
                <w:szCs w:val="18"/>
              </w:rPr>
            </w:pPr>
            <w:r>
              <w:rPr>
                <w:b/>
                <w:bCs/>
                <w:color w:val="000000"/>
                <w:sz w:val="18"/>
                <w:szCs w:val="18"/>
              </w:rPr>
              <w:t>50</w:t>
            </w:r>
          </w:p>
        </w:tc>
        <w:tc>
          <w:tcPr>
            <w:tcW w:w="1080" w:type="dxa"/>
            <w:tcMar>
              <w:top w:w="0" w:type="dxa"/>
              <w:left w:w="108" w:type="dxa"/>
              <w:bottom w:w="0" w:type="dxa"/>
              <w:right w:w="108" w:type="dxa"/>
            </w:tcMar>
            <w:hideMark/>
          </w:tcPr>
          <w:p w:rsidR="005C47AD" w:rsidP="00E17376" w14:paraId="3D925DA0" w14:textId="77777777">
            <w:pPr>
              <w:adjustRightInd/>
              <w:jc w:val="right"/>
              <w:textAlignment w:val="auto"/>
              <w:rPr>
                <w:b/>
                <w:bCs/>
                <w:color w:val="000000"/>
                <w:sz w:val="18"/>
                <w:szCs w:val="18"/>
              </w:rPr>
            </w:pPr>
          </w:p>
          <w:p w:rsidR="005C47AD" w:rsidP="00E17376" w14:paraId="4ADE5D1A" w14:textId="77777777">
            <w:pPr>
              <w:adjustRightInd/>
              <w:jc w:val="right"/>
              <w:textAlignment w:val="auto"/>
              <w:rPr>
                <w:b/>
                <w:bCs/>
                <w:color w:val="000000"/>
                <w:sz w:val="18"/>
                <w:szCs w:val="18"/>
              </w:rPr>
            </w:pPr>
          </w:p>
          <w:p w:rsidR="005C47AD" w:rsidP="00E17376" w14:paraId="3E30995F" w14:textId="77777777">
            <w:pPr>
              <w:adjustRightInd/>
              <w:jc w:val="right"/>
              <w:textAlignment w:val="auto"/>
              <w:rPr>
                <w:b/>
                <w:bCs/>
                <w:color w:val="000000"/>
                <w:sz w:val="18"/>
                <w:szCs w:val="18"/>
              </w:rPr>
            </w:pPr>
          </w:p>
          <w:p w:rsidR="00E17376" w:rsidP="00E17376" w14:paraId="7F0CD924" w14:textId="0280694C">
            <w:pPr>
              <w:adjustRightInd/>
              <w:jc w:val="right"/>
              <w:textAlignment w:val="auto"/>
              <w:rPr>
                <w:b/>
                <w:bCs/>
                <w:color w:val="000000"/>
                <w:sz w:val="18"/>
                <w:szCs w:val="18"/>
              </w:rPr>
            </w:pPr>
            <w:r>
              <w:rPr>
                <w:b/>
                <w:bCs/>
                <w:color w:val="000000"/>
                <w:sz w:val="18"/>
                <w:szCs w:val="18"/>
              </w:rPr>
              <w:t>230</w:t>
            </w:r>
          </w:p>
          <w:p w:rsidR="00ED0CED" w:rsidRPr="00E17376" w:rsidP="00E17376" w14:paraId="2BBB392F" w14:textId="02C181A1">
            <w:pPr>
              <w:adjustRightInd/>
              <w:jc w:val="right"/>
              <w:textAlignment w:val="auto"/>
              <w:rPr>
                <w:b/>
                <w:bCs/>
                <w:color w:val="000000"/>
                <w:sz w:val="18"/>
                <w:szCs w:val="18"/>
              </w:rPr>
            </w:pPr>
            <w:r>
              <w:rPr>
                <w:b/>
                <w:bCs/>
                <w:color w:val="000000"/>
                <w:sz w:val="18"/>
                <w:szCs w:val="18"/>
              </w:rPr>
              <w:t>556</w:t>
            </w:r>
          </w:p>
        </w:tc>
        <w:tc>
          <w:tcPr>
            <w:tcW w:w="900" w:type="dxa"/>
            <w:tcMar>
              <w:top w:w="0" w:type="dxa"/>
              <w:left w:w="108" w:type="dxa"/>
              <w:bottom w:w="0" w:type="dxa"/>
              <w:right w:w="108" w:type="dxa"/>
            </w:tcMar>
            <w:hideMark/>
          </w:tcPr>
          <w:p w:rsidR="005C47AD" w:rsidP="00E17376" w14:paraId="260F1D0E" w14:textId="77777777">
            <w:pPr>
              <w:adjustRightInd/>
              <w:jc w:val="right"/>
              <w:textAlignment w:val="auto"/>
              <w:rPr>
                <w:b/>
                <w:bCs/>
                <w:color w:val="000000"/>
                <w:sz w:val="18"/>
                <w:szCs w:val="18"/>
              </w:rPr>
            </w:pPr>
          </w:p>
          <w:p w:rsidR="005C47AD" w:rsidP="00E17376" w14:paraId="5F131EF6" w14:textId="77777777">
            <w:pPr>
              <w:adjustRightInd/>
              <w:jc w:val="right"/>
              <w:textAlignment w:val="auto"/>
              <w:rPr>
                <w:b/>
                <w:bCs/>
                <w:color w:val="000000"/>
                <w:sz w:val="18"/>
                <w:szCs w:val="18"/>
              </w:rPr>
            </w:pPr>
          </w:p>
          <w:p w:rsidR="005C47AD" w:rsidP="00E17376" w14:paraId="5304FEBE" w14:textId="77777777">
            <w:pPr>
              <w:adjustRightInd/>
              <w:jc w:val="right"/>
              <w:textAlignment w:val="auto"/>
              <w:rPr>
                <w:b/>
                <w:bCs/>
                <w:color w:val="000000"/>
                <w:sz w:val="18"/>
                <w:szCs w:val="18"/>
              </w:rPr>
            </w:pPr>
          </w:p>
          <w:p w:rsidR="00E17376" w:rsidP="00E17376" w14:paraId="29855940" w14:textId="5928DF73">
            <w:pPr>
              <w:adjustRightInd/>
              <w:jc w:val="right"/>
              <w:textAlignment w:val="auto"/>
              <w:rPr>
                <w:b/>
                <w:bCs/>
                <w:color w:val="000000"/>
                <w:sz w:val="18"/>
                <w:szCs w:val="18"/>
              </w:rPr>
            </w:pPr>
            <w:r>
              <w:rPr>
                <w:b/>
                <w:bCs/>
                <w:color w:val="000000"/>
                <w:sz w:val="18"/>
                <w:szCs w:val="18"/>
              </w:rPr>
              <w:t>287</w:t>
            </w:r>
            <w:r w:rsidR="00A1372F">
              <w:rPr>
                <w:b/>
                <w:bCs/>
                <w:color w:val="000000"/>
                <w:sz w:val="18"/>
                <w:szCs w:val="18"/>
              </w:rPr>
              <w:t>,500</w:t>
            </w:r>
          </w:p>
          <w:p w:rsidR="00327992" w:rsidRPr="00E17376" w:rsidP="00E17376" w14:paraId="488D9857" w14:textId="0540EFD3">
            <w:pPr>
              <w:adjustRightInd/>
              <w:jc w:val="right"/>
              <w:textAlignment w:val="auto"/>
              <w:rPr>
                <w:b/>
                <w:bCs/>
                <w:color w:val="000000"/>
                <w:sz w:val="18"/>
                <w:szCs w:val="18"/>
              </w:rPr>
            </w:pPr>
            <w:r>
              <w:rPr>
                <w:b/>
                <w:bCs/>
                <w:color w:val="000000"/>
                <w:sz w:val="18"/>
                <w:szCs w:val="18"/>
              </w:rPr>
              <w:t>27,800</w:t>
            </w:r>
          </w:p>
        </w:tc>
        <w:tc>
          <w:tcPr>
            <w:tcW w:w="1260" w:type="dxa"/>
            <w:tcMar>
              <w:top w:w="0" w:type="dxa"/>
              <w:left w:w="108" w:type="dxa"/>
              <w:bottom w:w="0" w:type="dxa"/>
              <w:right w:w="108" w:type="dxa"/>
            </w:tcMar>
            <w:hideMark/>
          </w:tcPr>
          <w:p w:rsidR="005C47AD" w:rsidP="00E17376" w14:paraId="510D0D4D" w14:textId="77777777">
            <w:pPr>
              <w:adjustRightInd/>
              <w:jc w:val="right"/>
              <w:textAlignment w:val="auto"/>
              <w:rPr>
                <w:b/>
                <w:bCs/>
                <w:color w:val="000000"/>
                <w:sz w:val="18"/>
                <w:szCs w:val="18"/>
              </w:rPr>
            </w:pPr>
          </w:p>
          <w:p w:rsidR="005C47AD" w:rsidP="00E17376" w14:paraId="6551B81A" w14:textId="77777777">
            <w:pPr>
              <w:adjustRightInd/>
              <w:jc w:val="right"/>
              <w:textAlignment w:val="auto"/>
              <w:rPr>
                <w:b/>
                <w:bCs/>
                <w:color w:val="000000"/>
                <w:sz w:val="18"/>
                <w:szCs w:val="18"/>
              </w:rPr>
            </w:pPr>
          </w:p>
          <w:p w:rsidR="005C47AD" w:rsidP="00E17376" w14:paraId="02EFD2F2" w14:textId="77777777">
            <w:pPr>
              <w:adjustRightInd/>
              <w:jc w:val="right"/>
              <w:textAlignment w:val="auto"/>
              <w:rPr>
                <w:b/>
                <w:bCs/>
                <w:color w:val="000000"/>
                <w:sz w:val="18"/>
                <w:szCs w:val="18"/>
              </w:rPr>
            </w:pPr>
          </w:p>
          <w:p w:rsidR="00E17376" w:rsidP="00E17376" w14:paraId="67B19D8E" w14:textId="77777777">
            <w:pPr>
              <w:adjustRightInd/>
              <w:jc w:val="right"/>
              <w:textAlignment w:val="auto"/>
              <w:rPr>
                <w:b/>
                <w:bCs/>
                <w:color w:val="000000"/>
                <w:sz w:val="18"/>
                <w:szCs w:val="18"/>
              </w:rPr>
            </w:pPr>
            <w:r w:rsidRPr="00E17376">
              <w:rPr>
                <w:b/>
                <w:bCs/>
                <w:color w:val="000000"/>
                <w:sz w:val="18"/>
                <w:szCs w:val="18"/>
              </w:rPr>
              <w:t>$4</w:t>
            </w:r>
            <w:r w:rsidR="00820FC9">
              <w:rPr>
                <w:b/>
                <w:bCs/>
                <w:color w:val="000000"/>
                <w:sz w:val="18"/>
                <w:szCs w:val="18"/>
              </w:rPr>
              <w:t>8.59</w:t>
            </w:r>
          </w:p>
          <w:p w:rsidR="002C3EF5" w:rsidRPr="00E17376" w:rsidP="00E17376" w14:paraId="7B1A1A64" w14:textId="7D46F395">
            <w:pPr>
              <w:adjustRightInd/>
              <w:jc w:val="right"/>
              <w:textAlignment w:val="auto"/>
              <w:rPr>
                <w:b/>
                <w:bCs/>
                <w:color w:val="000000"/>
                <w:sz w:val="18"/>
                <w:szCs w:val="18"/>
              </w:rPr>
            </w:pPr>
            <w:r>
              <w:rPr>
                <w:b/>
                <w:bCs/>
                <w:color w:val="000000"/>
                <w:sz w:val="18"/>
                <w:szCs w:val="18"/>
              </w:rPr>
              <w:t>$48.59</w:t>
            </w:r>
          </w:p>
        </w:tc>
        <w:tc>
          <w:tcPr>
            <w:tcW w:w="1350" w:type="dxa"/>
            <w:tcMar>
              <w:top w:w="0" w:type="dxa"/>
              <w:left w:w="108" w:type="dxa"/>
              <w:bottom w:w="0" w:type="dxa"/>
              <w:right w:w="108" w:type="dxa"/>
            </w:tcMar>
            <w:hideMark/>
          </w:tcPr>
          <w:p w:rsidR="005C47AD" w:rsidP="00E17376" w14:paraId="4E9F7BD7" w14:textId="77777777">
            <w:pPr>
              <w:adjustRightInd/>
              <w:jc w:val="right"/>
              <w:textAlignment w:val="auto"/>
              <w:rPr>
                <w:b/>
                <w:bCs/>
                <w:color w:val="000000"/>
                <w:sz w:val="18"/>
                <w:szCs w:val="18"/>
              </w:rPr>
            </w:pPr>
          </w:p>
          <w:p w:rsidR="005C47AD" w:rsidP="00E17376" w14:paraId="23456D6E" w14:textId="77777777">
            <w:pPr>
              <w:adjustRightInd/>
              <w:jc w:val="right"/>
              <w:textAlignment w:val="auto"/>
              <w:rPr>
                <w:b/>
                <w:bCs/>
                <w:color w:val="000000"/>
                <w:sz w:val="18"/>
                <w:szCs w:val="18"/>
              </w:rPr>
            </w:pPr>
          </w:p>
          <w:p w:rsidR="005C47AD" w:rsidP="00E17376" w14:paraId="563CB873" w14:textId="77777777">
            <w:pPr>
              <w:adjustRightInd/>
              <w:jc w:val="right"/>
              <w:textAlignment w:val="auto"/>
              <w:rPr>
                <w:b/>
                <w:bCs/>
                <w:color w:val="000000"/>
                <w:sz w:val="18"/>
                <w:szCs w:val="18"/>
              </w:rPr>
            </w:pPr>
          </w:p>
          <w:p w:rsidR="00E17376" w:rsidP="00E17376" w14:paraId="5439D0E3" w14:textId="6C2643A4">
            <w:pPr>
              <w:adjustRightInd/>
              <w:jc w:val="right"/>
              <w:textAlignment w:val="auto"/>
              <w:rPr>
                <w:b/>
                <w:bCs/>
                <w:color w:val="000000"/>
                <w:sz w:val="18"/>
                <w:szCs w:val="18"/>
              </w:rPr>
            </w:pPr>
            <w:r>
              <w:rPr>
                <w:b/>
                <w:bCs/>
                <w:color w:val="000000"/>
                <w:sz w:val="18"/>
                <w:szCs w:val="18"/>
              </w:rPr>
              <w:t>$13,</w:t>
            </w:r>
            <w:r w:rsidR="00A1372F">
              <w:rPr>
                <w:b/>
                <w:bCs/>
                <w:color w:val="000000"/>
                <w:sz w:val="18"/>
                <w:szCs w:val="18"/>
              </w:rPr>
              <w:t>969</w:t>
            </w:r>
            <w:r w:rsidR="00207C6D">
              <w:rPr>
                <w:b/>
                <w:bCs/>
                <w:color w:val="000000"/>
                <w:sz w:val="18"/>
                <w:szCs w:val="18"/>
              </w:rPr>
              <w:t>,625.00</w:t>
            </w:r>
          </w:p>
          <w:p w:rsidR="00774806" w:rsidRPr="00E17376" w:rsidP="00E17376" w14:paraId="337377E6" w14:textId="0508784A">
            <w:pPr>
              <w:adjustRightInd/>
              <w:jc w:val="right"/>
              <w:textAlignment w:val="auto"/>
              <w:rPr>
                <w:b/>
                <w:bCs/>
                <w:color w:val="000000"/>
                <w:sz w:val="18"/>
                <w:szCs w:val="18"/>
              </w:rPr>
            </w:pPr>
            <w:r>
              <w:rPr>
                <w:b/>
                <w:bCs/>
                <w:color w:val="000000"/>
                <w:sz w:val="18"/>
                <w:szCs w:val="18"/>
              </w:rPr>
              <w:t>$1,350.802.00</w:t>
            </w:r>
          </w:p>
        </w:tc>
      </w:tr>
      <w:tr w14:paraId="16F02842" w14:textId="77777777" w:rsidTr="003D6E34">
        <w:tblPrEx>
          <w:tblW w:w="10260" w:type="dxa"/>
          <w:tblInd w:w="80" w:type="dxa"/>
          <w:tblLayout w:type="fixed"/>
          <w:tblCellMar>
            <w:left w:w="0" w:type="dxa"/>
            <w:right w:w="0" w:type="dxa"/>
          </w:tblCellMar>
          <w:tblLook w:val="04A0"/>
        </w:tblPrEx>
        <w:tc>
          <w:tcPr>
            <w:tcW w:w="2070" w:type="dxa"/>
            <w:tcMar>
              <w:top w:w="0" w:type="dxa"/>
              <w:left w:w="108" w:type="dxa"/>
              <w:bottom w:w="0" w:type="dxa"/>
              <w:right w:w="108" w:type="dxa"/>
            </w:tcMar>
            <w:hideMark/>
          </w:tcPr>
          <w:p w:rsidR="004B0F39" w:rsidP="00E17376" w14:paraId="0B93C43B" w14:textId="686E0952">
            <w:pPr>
              <w:adjustRightInd/>
              <w:textAlignment w:val="auto"/>
              <w:rPr>
                <w:b/>
                <w:bCs/>
                <w:color w:val="000000"/>
                <w:sz w:val="18"/>
                <w:szCs w:val="18"/>
              </w:rPr>
            </w:pPr>
            <w:r>
              <w:rPr>
                <w:b/>
                <w:bCs/>
                <w:color w:val="000000"/>
                <w:sz w:val="18"/>
                <w:szCs w:val="18"/>
              </w:rPr>
              <w:t xml:space="preserve">Annual </w:t>
            </w:r>
            <w:r>
              <w:rPr>
                <w:b/>
                <w:bCs/>
                <w:color w:val="000000"/>
                <w:sz w:val="18"/>
                <w:szCs w:val="18"/>
              </w:rPr>
              <w:t>Performance Report</w:t>
            </w:r>
          </w:p>
          <w:p w:rsidR="00A44049" w:rsidRPr="003D6E34" w:rsidP="003D6E34" w14:paraId="49055A56" w14:textId="475ED1E6">
            <w:pPr>
              <w:pStyle w:val="ListParagraph"/>
              <w:numPr>
                <w:ilvl w:val="0"/>
                <w:numId w:val="26"/>
              </w:numPr>
              <w:adjustRightInd/>
              <w:textAlignment w:val="auto"/>
              <w:rPr>
                <w:b/>
                <w:bCs/>
                <w:color w:val="000000"/>
                <w:sz w:val="18"/>
                <w:szCs w:val="18"/>
              </w:rPr>
            </w:pPr>
            <w:r w:rsidRPr="003D6E34">
              <w:rPr>
                <w:b/>
                <w:bCs/>
                <w:color w:val="000000"/>
                <w:sz w:val="18"/>
                <w:szCs w:val="18"/>
              </w:rPr>
              <w:t>Localities</w:t>
            </w:r>
          </w:p>
          <w:p w:rsidR="00E17376" w:rsidRPr="003D6E34" w:rsidP="003D6E34" w14:paraId="6BEA71FC" w14:textId="175B3A30">
            <w:pPr>
              <w:pStyle w:val="ListParagraph"/>
              <w:numPr>
                <w:ilvl w:val="0"/>
                <w:numId w:val="26"/>
              </w:numPr>
              <w:adjustRightInd/>
              <w:textAlignment w:val="auto"/>
              <w:rPr>
                <w:b/>
                <w:bCs/>
                <w:color w:val="000000"/>
                <w:sz w:val="18"/>
                <w:szCs w:val="18"/>
              </w:rPr>
            </w:pPr>
            <w:r w:rsidRPr="003D6E34">
              <w:rPr>
                <w:b/>
                <w:bCs/>
                <w:color w:val="000000"/>
                <w:sz w:val="18"/>
                <w:szCs w:val="18"/>
              </w:rPr>
              <w:t>States</w:t>
            </w:r>
          </w:p>
        </w:tc>
        <w:tc>
          <w:tcPr>
            <w:tcW w:w="1260" w:type="dxa"/>
            <w:tcMar>
              <w:top w:w="0" w:type="dxa"/>
              <w:left w:w="108" w:type="dxa"/>
              <w:bottom w:w="0" w:type="dxa"/>
              <w:right w:w="108" w:type="dxa"/>
            </w:tcMar>
            <w:hideMark/>
          </w:tcPr>
          <w:p w:rsidR="002477A5" w:rsidP="00E17376" w14:paraId="7C41D91F" w14:textId="77777777">
            <w:pPr>
              <w:adjustRightInd/>
              <w:jc w:val="right"/>
              <w:textAlignment w:val="auto"/>
              <w:rPr>
                <w:b/>
                <w:bCs/>
                <w:color w:val="000000"/>
                <w:sz w:val="18"/>
                <w:szCs w:val="18"/>
              </w:rPr>
            </w:pPr>
          </w:p>
          <w:p w:rsidR="00740D01" w:rsidP="00E17376" w14:paraId="103C382B" w14:textId="77777777">
            <w:pPr>
              <w:adjustRightInd/>
              <w:jc w:val="right"/>
              <w:textAlignment w:val="auto"/>
              <w:rPr>
                <w:b/>
                <w:bCs/>
                <w:color w:val="000000"/>
                <w:sz w:val="18"/>
                <w:szCs w:val="18"/>
              </w:rPr>
            </w:pPr>
          </w:p>
          <w:p w:rsidR="00E17376" w:rsidP="00E17376" w14:paraId="1B7161AA" w14:textId="6BF5144A">
            <w:pPr>
              <w:adjustRightInd/>
              <w:jc w:val="right"/>
              <w:textAlignment w:val="auto"/>
              <w:rPr>
                <w:b/>
                <w:bCs/>
                <w:color w:val="000000"/>
                <w:sz w:val="18"/>
                <w:szCs w:val="18"/>
              </w:rPr>
            </w:pPr>
            <w:r>
              <w:rPr>
                <w:b/>
                <w:bCs/>
                <w:color w:val="000000"/>
                <w:sz w:val="18"/>
                <w:szCs w:val="18"/>
              </w:rPr>
              <w:t>1,2</w:t>
            </w:r>
            <w:r w:rsidR="00DE481D">
              <w:rPr>
                <w:b/>
                <w:bCs/>
                <w:color w:val="000000"/>
                <w:sz w:val="18"/>
                <w:szCs w:val="18"/>
              </w:rPr>
              <w:t>50</w:t>
            </w:r>
          </w:p>
          <w:p w:rsidR="002477A5" w:rsidRPr="00E17376" w:rsidP="00E17376" w14:paraId="1C23CDC1" w14:textId="19047FA4">
            <w:pPr>
              <w:adjustRightInd/>
              <w:jc w:val="right"/>
              <w:textAlignment w:val="auto"/>
              <w:rPr>
                <w:b/>
                <w:bCs/>
                <w:color w:val="000000"/>
                <w:sz w:val="18"/>
                <w:szCs w:val="18"/>
              </w:rPr>
            </w:pPr>
            <w:r>
              <w:rPr>
                <w:b/>
                <w:bCs/>
                <w:color w:val="000000"/>
                <w:sz w:val="18"/>
                <w:szCs w:val="18"/>
              </w:rPr>
              <w:t>50</w:t>
            </w:r>
          </w:p>
        </w:tc>
        <w:tc>
          <w:tcPr>
            <w:tcW w:w="1170" w:type="dxa"/>
            <w:tcMar>
              <w:top w:w="0" w:type="dxa"/>
              <w:left w:w="108" w:type="dxa"/>
              <w:bottom w:w="0" w:type="dxa"/>
              <w:right w:w="108" w:type="dxa"/>
            </w:tcMar>
            <w:hideMark/>
          </w:tcPr>
          <w:p w:rsidR="00E17376" w:rsidP="00E17376" w14:paraId="2DC822E5" w14:textId="50D07820">
            <w:pPr>
              <w:adjustRightInd/>
              <w:jc w:val="right"/>
              <w:textAlignment w:val="auto"/>
              <w:rPr>
                <w:b/>
                <w:bCs/>
                <w:color w:val="000000"/>
                <w:sz w:val="18"/>
                <w:szCs w:val="18"/>
              </w:rPr>
            </w:pPr>
          </w:p>
          <w:p w:rsidR="00740D01" w:rsidP="00E17376" w14:paraId="5CD6EFFE" w14:textId="77777777">
            <w:pPr>
              <w:adjustRightInd/>
              <w:jc w:val="right"/>
              <w:textAlignment w:val="auto"/>
              <w:rPr>
                <w:b/>
                <w:bCs/>
                <w:color w:val="000000"/>
                <w:sz w:val="18"/>
                <w:szCs w:val="18"/>
              </w:rPr>
            </w:pPr>
          </w:p>
          <w:p w:rsidR="002477A5" w:rsidP="00E17376" w14:paraId="34204B27" w14:textId="1C25450E">
            <w:pPr>
              <w:adjustRightInd/>
              <w:jc w:val="right"/>
              <w:textAlignment w:val="auto"/>
              <w:rPr>
                <w:b/>
                <w:bCs/>
                <w:color w:val="000000"/>
                <w:sz w:val="18"/>
                <w:szCs w:val="18"/>
              </w:rPr>
            </w:pPr>
            <w:r>
              <w:rPr>
                <w:b/>
                <w:bCs/>
                <w:color w:val="000000"/>
                <w:sz w:val="18"/>
                <w:szCs w:val="18"/>
              </w:rPr>
              <w:t>1</w:t>
            </w:r>
          </w:p>
          <w:p w:rsidR="002477A5" w:rsidRPr="00E17376" w:rsidP="00E17376" w14:paraId="24992CAC" w14:textId="7AF34879">
            <w:pPr>
              <w:adjustRightInd/>
              <w:jc w:val="right"/>
              <w:textAlignment w:val="auto"/>
              <w:rPr>
                <w:b/>
                <w:bCs/>
                <w:color w:val="000000"/>
                <w:sz w:val="18"/>
                <w:szCs w:val="18"/>
              </w:rPr>
            </w:pPr>
            <w:r>
              <w:rPr>
                <w:b/>
                <w:bCs/>
                <w:color w:val="000000"/>
                <w:sz w:val="18"/>
                <w:szCs w:val="18"/>
              </w:rPr>
              <w:t>1</w:t>
            </w:r>
          </w:p>
        </w:tc>
        <w:tc>
          <w:tcPr>
            <w:tcW w:w="1170" w:type="dxa"/>
            <w:tcMar>
              <w:top w:w="0" w:type="dxa"/>
              <w:left w:w="108" w:type="dxa"/>
              <w:bottom w:w="0" w:type="dxa"/>
              <w:right w:w="108" w:type="dxa"/>
            </w:tcMar>
            <w:hideMark/>
          </w:tcPr>
          <w:p w:rsidR="00E17376" w:rsidP="00E17376" w14:paraId="2B3FC663" w14:textId="689D573D">
            <w:pPr>
              <w:adjustRightInd/>
              <w:jc w:val="right"/>
              <w:textAlignment w:val="auto"/>
              <w:rPr>
                <w:b/>
                <w:bCs/>
                <w:color w:val="000000"/>
                <w:sz w:val="18"/>
                <w:szCs w:val="18"/>
              </w:rPr>
            </w:pPr>
          </w:p>
          <w:p w:rsidR="00740D01" w:rsidP="00E17376" w14:paraId="2C349D79" w14:textId="77777777">
            <w:pPr>
              <w:adjustRightInd/>
              <w:jc w:val="right"/>
              <w:textAlignment w:val="auto"/>
              <w:rPr>
                <w:b/>
                <w:bCs/>
                <w:color w:val="000000"/>
                <w:sz w:val="18"/>
                <w:szCs w:val="18"/>
              </w:rPr>
            </w:pPr>
          </w:p>
          <w:p w:rsidR="002477A5" w:rsidP="00E17376" w14:paraId="438F3EFC" w14:textId="36CB01FD">
            <w:pPr>
              <w:adjustRightInd/>
              <w:jc w:val="right"/>
              <w:textAlignment w:val="auto"/>
              <w:rPr>
                <w:b/>
                <w:bCs/>
                <w:color w:val="000000"/>
                <w:sz w:val="18"/>
                <w:szCs w:val="18"/>
              </w:rPr>
            </w:pPr>
            <w:r>
              <w:rPr>
                <w:b/>
                <w:bCs/>
                <w:color w:val="000000"/>
                <w:sz w:val="18"/>
                <w:szCs w:val="18"/>
              </w:rPr>
              <w:t>1,2</w:t>
            </w:r>
            <w:r w:rsidR="00DE481D">
              <w:rPr>
                <w:b/>
                <w:bCs/>
                <w:color w:val="000000"/>
                <w:sz w:val="18"/>
                <w:szCs w:val="18"/>
              </w:rPr>
              <w:t>50</w:t>
            </w:r>
          </w:p>
          <w:p w:rsidR="00DE1544" w:rsidRPr="00E17376" w:rsidP="00E17376" w14:paraId="235387DF" w14:textId="3D6B35E8">
            <w:pPr>
              <w:adjustRightInd/>
              <w:jc w:val="right"/>
              <w:textAlignment w:val="auto"/>
              <w:rPr>
                <w:b/>
                <w:bCs/>
                <w:color w:val="000000"/>
                <w:sz w:val="18"/>
                <w:szCs w:val="18"/>
              </w:rPr>
            </w:pPr>
            <w:r>
              <w:rPr>
                <w:b/>
                <w:bCs/>
                <w:color w:val="000000"/>
                <w:sz w:val="18"/>
                <w:szCs w:val="18"/>
              </w:rPr>
              <w:t>50</w:t>
            </w:r>
          </w:p>
        </w:tc>
        <w:tc>
          <w:tcPr>
            <w:tcW w:w="1080" w:type="dxa"/>
            <w:tcMar>
              <w:top w:w="0" w:type="dxa"/>
              <w:left w:w="108" w:type="dxa"/>
              <w:bottom w:w="0" w:type="dxa"/>
              <w:right w:w="108" w:type="dxa"/>
            </w:tcMar>
            <w:hideMark/>
          </w:tcPr>
          <w:p w:rsidR="00E17376" w:rsidP="00E17376" w14:paraId="7F8CF316" w14:textId="7728A369">
            <w:pPr>
              <w:adjustRightInd/>
              <w:jc w:val="right"/>
              <w:textAlignment w:val="auto"/>
              <w:rPr>
                <w:b/>
                <w:bCs/>
                <w:color w:val="000000"/>
                <w:sz w:val="18"/>
                <w:szCs w:val="18"/>
              </w:rPr>
            </w:pPr>
          </w:p>
          <w:p w:rsidR="00740D01" w:rsidP="00E17376" w14:paraId="1BC98449" w14:textId="77777777">
            <w:pPr>
              <w:adjustRightInd/>
              <w:jc w:val="right"/>
              <w:textAlignment w:val="auto"/>
              <w:rPr>
                <w:b/>
                <w:bCs/>
                <w:color w:val="000000"/>
                <w:sz w:val="18"/>
                <w:szCs w:val="18"/>
              </w:rPr>
            </w:pPr>
          </w:p>
          <w:p w:rsidR="00DE1544" w:rsidP="00E17376" w14:paraId="6BF76B85" w14:textId="24318BB6">
            <w:pPr>
              <w:adjustRightInd/>
              <w:jc w:val="right"/>
              <w:textAlignment w:val="auto"/>
              <w:rPr>
                <w:b/>
                <w:bCs/>
                <w:color w:val="000000"/>
                <w:sz w:val="18"/>
                <w:szCs w:val="18"/>
              </w:rPr>
            </w:pPr>
            <w:r>
              <w:rPr>
                <w:b/>
                <w:bCs/>
                <w:color w:val="000000"/>
                <w:sz w:val="18"/>
                <w:szCs w:val="18"/>
              </w:rPr>
              <w:t>75</w:t>
            </w:r>
          </w:p>
          <w:p w:rsidR="00DE1544" w:rsidRPr="00E17376" w:rsidP="00E17376" w14:paraId="56903121" w14:textId="45B8A556">
            <w:pPr>
              <w:adjustRightInd/>
              <w:jc w:val="right"/>
              <w:textAlignment w:val="auto"/>
              <w:rPr>
                <w:b/>
                <w:bCs/>
                <w:color w:val="000000"/>
                <w:sz w:val="18"/>
                <w:szCs w:val="18"/>
              </w:rPr>
            </w:pPr>
            <w:r>
              <w:rPr>
                <w:b/>
                <w:bCs/>
                <w:color w:val="000000"/>
                <w:sz w:val="18"/>
                <w:szCs w:val="18"/>
              </w:rPr>
              <w:t>185</w:t>
            </w:r>
          </w:p>
        </w:tc>
        <w:tc>
          <w:tcPr>
            <w:tcW w:w="900" w:type="dxa"/>
            <w:tcMar>
              <w:top w:w="0" w:type="dxa"/>
              <w:left w:w="108" w:type="dxa"/>
              <w:bottom w:w="0" w:type="dxa"/>
              <w:right w:w="108" w:type="dxa"/>
            </w:tcMar>
            <w:hideMark/>
          </w:tcPr>
          <w:p w:rsidR="00E17376" w:rsidP="00E17376" w14:paraId="211782B2" w14:textId="6D11F4B1">
            <w:pPr>
              <w:adjustRightInd/>
              <w:jc w:val="right"/>
              <w:textAlignment w:val="auto"/>
              <w:rPr>
                <w:b/>
                <w:bCs/>
                <w:color w:val="000000"/>
                <w:sz w:val="18"/>
                <w:szCs w:val="18"/>
              </w:rPr>
            </w:pPr>
          </w:p>
          <w:p w:rsidR="00740D01" w:rsidP="00E17376" w14:paraId="40C96DD6" w14:textId="77777777">
            <w:pPr>
              <w:adjustRightInd/>
              <w:jc w:val="right"/>
              <w:textAlignment w:val="auto"/>
              <w:rPr>
                <w:b/>
                <w:bCs/>
                <w:color w:val="000000"/>
                <w:sz w:val="18"/>
                <w:szCs w:val="18"/>
              </w:rPr>
            </w:pPr>
          </w:p>
          <w:p w:rsidR="00CB11EE" w:rsidP="00E17376" w14:paraId="673CC25C" w14:textId="79775C9C">
            <w:pPr>
              <w:adjustRightInd/>
              <w:jc w:val="right"/>
              <w:textAlignment w:val="auto"/>
              <w:rPr>
                <w:b/>
                <w:bCs/>
                <w:color w:val="000000"/>
                <w:sz w:val="18"/>
                <w:szCs w:val="18"/>
              </w:rPr>
            </w:pPr>
            <w:r>
              <w:rPr>
                <w:b/>
                <w:bCs/>
                <w:color w:val="000000"/>
                <w:sz w:val="18"/>
                <w:szCs w:val="18"/>
              </w:rPr>
              <w:t>93,</w:t>
            </w:r>
            <w:r w:rsidR="00207C6D">
              <w:rPr>
                <w:b/>
                <w:bCs/>
                <w:color w:val="000000"/>
                <w:sz w:val="18"/>
                <w:szCs w:val="18"/>
              </w:rPr>
              <w:t>750</w:t>
            </w:r>
          </w:p>
          <w:p w:rsidR="00CB11EE" w:rsidRPr="00E17376" w:rsidP="00E17376" w14:paraId="74B9A4E3" w14:textId="3C6762FF">
            <w:pPr>
              <w:adjustRightInd/>
              <w:jc w:val="right"/>
              <w:textAlignment w:val="auto"/>
              <w:rPr>
                <w:b/>
                <w:bCs/>
                <w:color w:val="000000"/>
                <w:sz w:val="18"/>
                <w:szCs w:val="18"/>
              </w:rPr>
            </w:pPr>
            <w:r>
              <w:rPr>
                <w:b/>
                <w:bCs/>
                <w:color w:val="000000"/>
                <w:sz w:val="18"/>
                <w:szCs w:val="18"/>
              </w:rPr>
              <w:t>9,250</w:t>
            </w:r>
          </w:p>
        </w:tc>
        <w:tc>
          <w:tcPr>
            <w:tcW w:w="1260" w:type="dxa"/>
            <w:tcMar>
              <w:top w:w="0" w:type="dxa"/>
              <w:left w:w="108" w:type="dxa"/>
              <w:bottom w:w="0" w:type="dxa"/>
              <w:right w:w="108" w:type="dxa"/>
            </w:tcMar>
            <w:hideMark/>
          </w:tcPr>
          <w:p w:rsidR="007E626E" w:rsidP="00E17376" w14:paraId="02445ED0" w14:textId="77777777">
            <w:pPr>
              <w:adjustRightInd/>
              <w:jc w:val="right"/>
              <w:textAlignment w:val="auto"/>
              <w:rPr>
                <w:b/>
                <w:bCs/>
                <w:color w:val="000000"/>
                <w:sz w:val="18"/>
                <w:szCs w:val="18"/>
              </w:rPr>
            </w:pPr>
          </w:p>
          <w:p w:rsidR="00740D01" w:rsidP="00E17376" w14:paraId="4B03641D" w14:textId="77777777">
            <w:pPr>
              <w:adjustRightInd/>
              <w:jc w:val="right"/>
              <w:textAlignment w:val="auto"/>
              <w:rPr>
                <w:b/>
                <w:bCs/>
                <w:color w:val="000000"/>
                <w:sz w:val="18"/>
                <w:szCs w:val="18"/>
              </w:rPr>
            </w:pPr>
          </w:p>
          <w:p w:rsidR="00D274E5" w:rsidP="00E17376" w14:paraId="133AF292" w14:textId="14C0FF00">
            <w:pPr>
              <w:adjustRightInd/>
              <w:jc w:val="right"/>
              <w:textAlignment w:val="auto"/>
              <w:rPr>
                <w:b/>
                <w:bCs/>
                <w:color w:val="000000"/>
                <w:sz w:val="18"/>
                <w:szCs w:val="18"/>
              </w:rPr>
            </w:pPr>
            <w:r>
              <w:rPr>
                <w:b/>
                <w:bCs/>
                <w:color w:val="000000"/>
                <w:sz w:val="18"/>
                <w:szCs w:val="18"/>
              </w:rPr>
              <w:t>$48.59</w:t>
            </w:r>
          </w:p>
          <w:p w:rsidR="00E17376" w:rsidRPr="00E17376" w:rsidP="00E17376" w14:paraId="10F799DF" w14:textId="3FA0B48A">
            <w:pPr>
              <w:adjustRightInd/>
              <w:jc w:val="right"/>
              <w:textAlignment w:val="auto"/>
              <w:rPr>
                <w:b/>
                <w:bCs/>
                <w:color w:val="000000"/>
                <w:sz w:val="18"/>
                <w:szCs w:val="18"/>
              </w:rPr>
            </w:pPr>
            <w:r w:rsidRPr="00E17376">
              <w:rPr>
                <w:b/>
                <w:bCs/>
                <w:color w:val="000000"/>
                <w:sz w:val="18"/>
                <w:szCs w:val="18"/>
              </w:rPr>
              <w:t>$4</w:t>
            </w:r>
            <w:r w:rsidR="00820FC9">
              <w:rPr>
                <w:b/>
                <w:bCs/>
                <w:color w:val="000000"/>
                <w:sz w:val="18"/>
                <w:szCs w:val="18"/>
              </w:rPr>
              <w:t>8</w:t>
            </w:r>
            <w:r w:rsidR="009304B7">
              <w:rPr>
                <w:b/>
                <w:bCs/>
                <w:color w:val="000000"/>
                <w:sz w:val="18"/>
                <w:szCs w:val="18"/>
              </w:rPr>
              <w:t>.5</w:t>
            </w:r>
            <w:r w:rsidR="00820FC9">
              <w:rPr>
                <w:b/>
                <w:bCs/>
                <w:color w:val="000000"/>
                <w:sz w:val="18"/>
                <w:szCs w:val="18"/>
              </w:rPr>
              <w:t>9</w:t>
            </w:r>
          </w:p>
        </w:tc>
        <w:tc>
          <w:tcPr>
            <w:tcW w:w="1350" w:type="dxa"/>
            <w:tcMar>
              <w:top w:w="0" w:type="dxa"/>
              <w:left w:w="108" w:type="dxa"/>
              <w:bottom w:w="0" w:type="dxa"/>
              <w:right w:w="108" w:type="dxa"/>
            </w:tcMar>
            <w:hideMark/>
          </w:tcPr>
          <w:p w:rsidR="00E23FBC" w:rsidP="00E17376" w14:paraId="3DEB59A2" w14:textId="77777777">
            <w:pPr>
              <w:adjustRightInd/>
              <w:jc w:val="right"/>
              <w:textAlignment w:val="auto"/>
              <w:rPr>
                <w:b/>
                <w:bCs/>
                <w:color w:val="000000"/>
                <w:sz w:val="18"/>
                <w:szCs w:val="18"/>
              </w:rPr>
            </w:pPr>
          </w:p>
          <w:p w:rsidR="00740D01" w:rsidP="00E17376" w14:paraId="03D236FF" w14:textId="77777777">
            <w:pPr>
              <w:adjustRightInd/>
              <w:jc w:val="right"/>
              <w:textAlignment w:val="auto"/>
              <w:rPr>
                <w:b/>
                <w:bCs/>
                <w:color w:val="000000"/>
                <w:sz w:val="18"/>
                <w:szCs w:val="18"/>
              </w:rPr>
            </w:pPr>
          </w:p>
          <w:p w:rsidR="00E17376" w:rsidP="00E17376" w14:paraId="2FD8EA13" w14:textId="6728901F">
            <w:pPr>
              <w:adjustRightInd/>
              <w:jc w:val="right"/>
              <w:textAlignment w:val="auto"/>
              <w:rPr>
                <w:b/>
                <w:bCs/>
                <w:color w:val="000000"/>
                <w:sz w:val="18"/>
                <w:szCs w:val="18"/>
              </w:rPr>
            </w:pPr>
            <w:r w:rsidRPr="00E17376">
              <w:rPr>
                <w:b/>
                <w:bCs/>
                <w:color w:val="000000"/>
                <w:sz w:val="18"/>
                <w:szCs w:val="18"/>
              </w:rPr>
              <w:t>$</w:t>
            </w:r>
            <w:r w:rsidR="007A7FFE">
              <w:rPr>
                <w:b/>
                <w:bCs/>
                <w:color w:val="000000"/>
                <w:sz w:val="18"/>
                <w:szCs w:val="18"/>
              </w:rPr>
              <w:t>4,</w:t>
            </w:r>
            <w:r w:rsidR="009B4C8D">
              <w:rPr>
                <w:b/>
                <w:bCs/>
                <w:color w:val="000000"/>
                <w:sz w:val="18"/>
                <w:szCs w:val="18"/>
              </w:rPr>
              <w:t>555,312</w:t>
            </w:r>
            <w:r w:rsidR="007A7FFE">
              <w:rPr>
                <w:b/>
                <w:bCs/>
                <w:color w:val="000000"/>
                <w:sz w:val="18"/>
                <w:szCs w:val="18"/>
              </w:rPr>
              <w:t>.</w:t>
            </w:r>
            <w:r w:rsidR="009B4C8D">
              <w:rPr>
                <w:b/>
                <w:bCs/>
                <w:color w:val="000000"/>
                <w:sz w:val="18"/>
                <w:szCs w:val="18"/>
              </w:rPr>
              <w:t>5</w:t>
            </w:r>
            <w:r w:rsidR="007A7FFE">
              <w:rPr>
                <w:b/>
                <w:bCs/>
                <w:color w:val="000000"/>
                <w:sz w:val="18"/>
                <w:szCs w:val="18"/>
              </w:rPr>
              <w:t>0</w:t>
            </w:r>
          </w:p>
          <w:p w:rsidR="006E1BFE" w:rsidRPr="00E17376" w:rsidP="00E17376" w14:paraId="05D6A7CD" w14:textId="6467E7C9">
            <w:pPr>
              <w:adjustRightInd/>
              <w:jc w:val="right"/>
              <w:textAlignment w:val="auto"/>
              <w:rPr>
                <w:b/>
                <w:bCs/>
                <w:color w:val="000000"/>
                <w:sz w:val="18"/>
                <w:szCs w:val="18"/>
              </w:rPr>
            </w:pPr>
            <w:r>
              <w:rPr>
                <w:b/>
                <w:bCs/>
                <w:color w:val="000000"/>
                <w:sz w:val="18"/>
                <w:szCs w:val="18"/>
              </w:rPr>
              <w:t>$449,457.50</w:t>
            </w:r>
          </w:p>
        </w:tc>
      </w:tr>
      <w:tr w14:paraId="60669621" w14:textId="77777777" w:rsidTr="003D6E34">
        <w:tblPrEx>
          <w:tblW w:w="10260" w:type="dxa"/>
          <w:tblInd w:w="80" w:type="dxa"/>
          <w:tblLayout w:type="fixed"/>
          <w:tblCellMar>
            <w:left w:w="0" w:type="dxa"/>
            <w:right w:w="0" w:type="dxa"/>
          </w:tblCellMar>
          <w:tblLook w:val="04A0"/>
        </w:tblPrEx>
        <w:trPr>
          <w:trHeight w:val="260"/>
        </w:trPr>
        <w:tc>
          <w:tcPr>
            <w:tcW w:w="2070" w:type="dxa"/>
            <w:tcMar>
              <w:top w:w="0" w:type="dxa"/>
              <w:left w:w="108" w:type="dxa"/>
              <w:bottom w:w="0" w:type="dxa"/>
              <w:right w:w="108" w:type="dxa"/>
            </w:tcMar>
            <w:hideMark/>
          </w:tcPr>
          <w:p w:rsidR="00E17376" w:rsidRPr="00E17376" w:rsidP="00EA1C58" w14:paraId="16453C14" w14:textId="118C901A">
            <w:pPr>
              <w:adjustRightInd/>
              <w:jc w:val="right"/>
              <w:textAlignment w:val="auto"/>
              <w:rPr>
                <w:b/>
                <w:bCs/>
                <w:color w:val="000000"/>
                <w:sz w:val="18"/>
                <w:szCs w:val="18"/>
              </w:rPr>
            </w:pPr>
            <w:r w:rsidRPr="00E17376">
              <w:rPr>
                <w:b/>
                <w:bCs/>
                <w:color w:val="000000"/>
                <w:sz w:val="18"/>
                <w:szCs w:val="18"/>
              </w:rPr>
              <w:t>Total</w:t>
            </w:r>
          </w:p>
        </w:tc>
        <w:tc>
          <w:tcPr>
            <w:tcW w:w="1260" w:type="dxa"/>
            <w:tcMar>
              <w:top w:w="0" w:type="dxa"/>
              <w:left w:w="108" w:type="dxa"/>
              <w:bottom w:w="0" w:type="dxa"/>
              <w:right w:w="108" w:type="dxa"/>
            </w:tcMar>
            <w:hideMark/>
          </w:tcPr>
          <w:p w:rsidR="00E17376" w:rsidRPr="00E17376" w:rsidP="008F0BAD" w14:paraId="791E8568" w14:textId="542DEF93">
            <w:pPr>
              <w:adjustRightInd/>
              <w:jc w:val="right"/>
              <w:textAlignment w:val="auto"/>
              <w:rPr>
                <w:b/>
                <w:bCs/>
                <w:color w:val="000000"/>
                <w:sz w:val="18"/>
                <w:szCs w:val="18"/>
              </w:rPr>
            </w:pPr>
            <w:r w:rsidRPr="00E17376">
              <w:rPr>
                <w:b/>
                <w:bCs/>
                <w:color w:val="000000"/>
                <w:sz w:val="18"/>
                <w:szCs w:val="18"/>
              </w:rPr>
              <w:t>1,</w:t>
            </w:r>
            <w:r w:rsidR="002B6A3F">
              <w:rPr>
                <w:b/>
                <w:bCs/>
                <w:color w:val="000000"/>
                <w:sz w:val="18"/>
                <w:szCs w:val="18"/>
              </w:rPr>
              <w:t>300</w:t>
            </w:r>
            <w:r w:rsidR="007C46D0">
              <w:rPr>
                <w:b/>
                <w:bCs/>
                <w:color w:val="000000"/>
                <w:sz w:val="18"/>
                <w:szCs w:val="18"/>
              </w:rPr>
              <w:t>*</w:t>
            </w:r>
          </w:p>
        </w:tc>
        <w:tc>
          <w:tcPr>
            <w:tcW w:w="1170" w:type="dxa"/>
            <w:tcMar>
              <w:top w:w="0" w:type="dxa"/>
              <w:left w:w="108" w:type="dxa"/>
              <w:bottom w:w="0" w:type="dxa"/>
              <w:right w:w="108" w:type="dxa"/>
            </w:tcMar>
            <w:hideMark/>
          </w:tcPr>
          <w:p w:rsidR="00E17376" w:rsidRPr="00E17376" w:rsidP="008F0BAD" w14:paraId="22F0E530" w14:textId="77777777">
            <w:pPr>
              <w:adjustRightInd/>
              <w:jc w:val="right"/>
              <w:textAlignment w:val="auto"/>
              <w:rPr>
                <w:b/>
                <w:bCs/>
                <w:color w:val="000000"/>
                <w:sz w:val="18"/>
                <w:szCs w:val="18"/>
              </w:rPr>
            </w:pPr>
          </w:p>
        </w:tc>
        <w:tc>
          <w:tcPr>
            <w:tcW w:w="1170" w:type="dxa"/>
            <w:tcMar>
              <w:top w:w="0" w:type="dxa"/>
              <w:left w:w="108" w:type="dxa"/>
              <w:bottom w:w="0" w:type="dxa"/>
              <w:right w:w="108" w:type="dxa"/>
            </w:tcMar>
            <w:hideMark/>
          </w:tcPr>
          <w:p w:rsidR="00E17376" w:rsidRPr="00E17376" w:rsidP="008F0BAD" w14:paraId="0E952667" w14:textId="77777777">
            <w:pPr>
              <w:adjustRightInd/>
              <w:jc w:val="right"/>
              <w:textAlignment w:val="auto"/>
              <w:rPr>
                <w:b/>
                <w:bCs/>
                <w:color w:val="000000"/>
                <w:sz w:val="18"/>
                <w:szCs w:val="18"/>
              </w:rPr>
            </w:pPr>
          </w:p>
        </w:tc>
        <w:tc>
          <w:tcPr>
            <w:tcW w:w="1080" w:type="dxa"/>
            <w:tcMar>
              <w:top w:w="0" w:type="dxa"/>
              <w:left w:w="108" w:type="dxa"/>
              <w:bottom w:w="0" w:type="dxa"/>
              <w:right w:w="108" w:type="dxa"/>
            </w:tcMar>
            <w:hideMark/>
          </w:tcPr>
          <w:p w:rsidR="00E17376" w:rsidRPr="00E17376" w:rsidP="008F0BAD" w14:paraId="0AEEE73B" w14:textId="77777777">
            <w:pPr>
              <w:adjustRightInd/>
              <w:jc w:val="right"/>
              <w:textAlignment w:val="auto"/>
              <w:rPr>
                <w:b/>
                <w:bCs/>
                <w:color w:val="000000"/>
                <w:sz w:val="18"/>
                <w:szCs w:val="18"/>
              </w:rPr>
            </w:pPr>
          </w:p>
        </w:tc>
        <w:tc>
          <w:tcPr>
            <w:tcW w:w="900" w:type="dxa"/>
            <w:tcMar>
              <w:top w:w="0" w:type="dxa"/>
              <w:left w:w="108" w:type="dxa"/>
              <w:bottom w:w="0" w:type="dxa"/>
              <w:right w:w="108" w:type="dxa"/>
            </w:tcMar>
            <w:hideMark/>
          </w:tcPr>
          <w:p w:rsidR="00E17376" w:rsidRPr="00E17376" w:rsidP="008F0BAD" w14:paraId="0A29838D" w14:textId="7356B9A8">
            <w:pPr>
              <w:adjustRightInd/>
              <w:jc w:val="right"/>
              <w:textAlignment w:val="auto"/>
              <w:rPr>
                <w:b/>
                <w:bCs/>
                <w:color w:val="000000"/>
                <w:sz w:val="18"/>
                <w:szCs w:val="18"/>
              </w:rPr>
            </w:pPr>
            <w:r>
              <w:rPr>
                <w:b/>
                <w:bCs/>
                <w:color w:val="000000"/>
                <w:sz w:val="18"/>
                <w:szCs w:val="18"/>
              </w:rPr>
              <w:t>418,300</w:t>
            </w:r>
          </w:p>
        </w:tc>
        <w:tc>
          <w:tcPr>
            <w:tcW w:w="1260" w:type="dxa"/>
            <w:tcMar>
              <w:top w:w="0" w:type="dxa"/>
              <w:left w:w="108" w:type="dxa"/>
              <w:bottom w:w="0" w:type="dxa"/>
              <w:right w:w="108" w:type="dxa"/>
            </w:tcMar>
            <w:hideMark/>
          </w:tcPr>
          <w:p w:rsidR="00E17376" w:rsidRPr="00E17376" w:rsidP="008F0BAD" w14:paraId="75A865C7" w14:textId="49D2F269">
            <w:pPr>
              <w:adjustRightInd/>
              <w:jc w:val="right"/>
              <w:textAlignment w:val="auto"/>
              <w:rPr>
                <w:b/>
                <w:bCs/>
                <w:color w:val="000000"/>
                <w:sz w:val="18"/>
                <w:szCs w:val="18"/>
              </w:rPr>
            </w:pPr>
            <w:r>
              <w:rPr>
                <w:b/>
                <w:bCs/>
                <w:color w:val="000000"/>
                <w:sz w:val="18"/>
                <w:szCs w:val="18"/>
              </w:rPr>
              <w:t>$</w:t>
            </w:r>
            <w:r w:rsidRPr="00E17376">
              <w:rPr>
                <w:b/>
                <w:bCs/>
                <w:color w:val="000000"/>
                <w:sz w:val="18"/>
                <w:szCs w:val="18"/>
              </w:rPr>
              <w:t>4</w:t>
            </w:r>
            <w:r w:rsidR="00820FC9">
              <w:rPr>
                <w:b/>
                <w:bCs/>
                <w:color w:val="000000"/>
                <w:sz w:val="18"/>
                <w:szCs w:val="18"/>
              </w:rPr>
              <w:t>8</w:t>
            </w:r>
            <w:r w:rsidR="009304B7">
              <w:rPr>
                <w:b/>
                <w:bCs/>
                <w:color w:val="000000"/>
                <w:sz w:val="18"/>
                <w:szCs w:val="18"/>
              </w:rPr>
              <w:t>.5</w:t>
            </w:r>
            <w:r w:rsidR="00820FC9">
              <w:rPr>
                <w:b/>
                <w:bCs/>
                <w:color w:val="000000"/>
                <w:sz w:val="18"/>
                <w:szCs w:val="18"/>
              </w:rPr>
              <w:t>9</w:t>
            </w:r>
            <w:r w:rsidR="006833A6">
              <w:rPr>
                <w:b/>
                <w:bCs/>
                <w:color w:val="000000"/>
                <w:sz w:val="18"/>
                <w:szCs w:val="18"/>
              </w:rPr>
              <w:t>**</w:t>
            </w:r>
          </w:p>
        </w:tc>
        <w:tc>
          <w:tcPr>
            <w:tcW w:w="1350" w:type="dxa"/>
            <w:tcMar>
              <w:top w:w="0" w:type="dxa"/>
              <w:left w:w="108" w:type="dxa"/>
              <w:bottom w:w="0" w:type="dxa"/>
              <w:right w:w="108" w:type="dxa"/>
            </w:tcMar>
            <w:hideMark/>
          </w:tcPr>
          <w:p w:rsidR="00E17376" w:rsidRPr="00E17376" w:rsidP="008F0BAD" w14:paraId="58556DEA" w14:textId="61DDE133">
            <w:pPr>
              <w:adjustRightInd/>
              <w:jc w:val="right"/>
              <w:textAlignment w:val="auto"/>
              <w:rPr>
                <w:b/>
                <w:bCs/>
                <w:color w:val="000000"/>
                <w:sz w:val="18"/>
                <w:szCs w:val="18"/>
              </w:rPr>
            </w:pPr>
            <w:r w:rsidRPr="00E17376">
              <w:rPr>
                <w:b/>
                <w:bCs/>
                <w:color w:val="000000"/>
                <w:sz w:val="18"/>
                <w:szCs w:val="18"/>
              </w:rPr>
              <w:t>$</w:t>
            </w:r>
            <w:r w:rsidR="00820FC9">
              <w:rPr>
                <w:b/>
                <w:bCs/>
                <w:color w:val="000000"/>
                <w:sz w:val="18"/>
                <w:szCs w:val="18"/>
              </w:rPr>
              <w:t>20,</w:t>
            </w:r>
            <w:r w:rsidR="00D75459">
              <w:rPr>
                <w:b/>
                <w:bCs/>
                <w:color w:val="000000"/>
                <w:sz w:val="18"/>
                <w:szCs w:val="18"/>
              </w:rPr>
              <w:t>325,197.00</w:t>
            </w:r>
          </w:p>
        </w:tc>
      </w:tr>
    </w:tbl>
    <w:p w:rsidR="00E17376" w:rsidRPr="00E17376" w:rsidP="00E17376" w14:paraId="5A9A4DF2" w14:textId="514371B3">
      <w:pPr>
        <w:overflowPunct/>
        <w:autoSpaceDE/>
        <w:autoSpaceDN/>
        <w:adjustRightInd/>
        <w:textAlignment w:val="auto"/>
        <w:rPr>
          <w:rFonts w:eastAsiaTheme="minorHAnsi"/>
          <w:sz w:val="18"/>
          <w:szCs w:val="18"/>
        </w:rPr>
      </w:pPr>
      <w:r w:rsidRPr="00E17376">
        <w:rPr>
          <w:rFonts w:eastAsiaTheme="minorHAnsi"/>
          <w:sz w:val="18"/>
          <w:szCs w:val="18"/>
        </w:rPr>
        <w:t>* Total number of respondents of 1,</w:t>
      </w:r>
      <w:r w:rsidR="004B45BE">
        <w:rPr>
          <w:rFonts w:eastAsiaTheme="minorHAnsi"/>
          <w:sz w:val="18"/>
          <w:szCs w:val="18"/>
        </w:rPr>
        <w:t>300</w:t>
      </w:r>
      <w:r w:rsidRPr="00E17376">
        <w:rPr>
          <w:rFonts w:eastAsiaTheme="minorHAnsi"/>
          <w:sz w:val="18"/>
          <w:szCs w:val="18"/>
        </w:rPr>
        <w:t xml:space="preserve"> = sum of localities (1,</w:t>
      </w:r>
      <w:r w:rsidRPr="00E17376" w:rsidR="00DD29E3">
        <w:rPr>
          <w:rFonts w:eastAsiaTheme="minorHAnsi"/>
          <w:sz w:val="18"/>
          <w:szCs w:val="18"/>
        </w:rPr>
        <w:t>2</w:t>
      </w:r>
      <w:r w:rsidR="00DE481D">
        <w:rPr>
          <w:rFonts w:eastAsiaTheme="minorHAnsi"/>
          <w:sz w:val="18"/>
          <w:szCs w:val="18"/>
        </w:rPr>
        <w:t>50</w:t>
      </w:r>
      <w:r w:rsidRPr="00E17376">
        <w:rPr>
          <w:rFonts w:eastAsiaTheme="minorHAnsi"/>
          <w:sz w:val="18"/>
          <w:szCs w:val="18"/>
        </w:rPr>
        <w:t>) and states (5</w:t>
      </w:r>
      <w:r w:rsidR="00254177">
        <w:rPr>
          <w:rFonts w:eastAsiaTheme="minorHAnsi"/>
          <w:sz w:val="18"/>
          <w:szCs w:val="18"/>
        </w:rPr>
        <w:t>0</w:t>
      </w:r>
      <w:r w:rsidRPr="00E17376">
        <w:rPr>
          <w:rFonts w:eastAsiaTheme="minorHAnsi"/>
          <w:sz w:val="18"/>
          <w:szCs w:val="18"/>
        </w:rPr>
        <w:t>). Total localities of 1,2</w:t>
      </w:r>
      <w:r w:rsidR="005B6DFC">
        <w:rPr>
          <w:rFonts w:eastAsiaTheme="minorHAnsi"/>
          <w:sz w:val="18"/>
          <w:szCs w:val="18"/>
        </w:rPr>
        <w:t>50</w:t>
      </w:r>
      <w:r w:rsidRPr="00E17376">
        <w:rPr>
          <w:rFonts w:eastAsiaTheme="minorHAnsi"/>
          <w:sz w:val="18"/>
          <w:szCs w:val="18"/>
        </w:rPr>
        <w:t xml:space="preserve"> includes</w:t>
      </w:r>
      <w:r w:rsidR="008558EA">
        <w:rPr>
          <w:rFonts w:eastAsiaTheme="minorHAnsi"/>
          <w:sz w:val="18"/>
          <w:szCs w:val="18"/>
        </w:rPr>
        <w:t xml:space="preserve"> </w:t>
      </w:r>
      <w:r w:rsidRPr="00E17376">
        <w:rPr>
          <w:rFonts w:eastAsiaTheme="minorHAnsi"/>
          <w:sz w:val="18"/>
          <w:szCs w:val="18"/>
        </w:rPr>
        <w:t>1,2</w:t>
      </w:r>
      <w:r w:rsidR="00DF77CA">
        <w:rPr>
          <w:rFonts w:eastAsiaTheme="minorHAnsi"/>
          <w:sz w:val="18"/>
          <w:szCs w:val="18"/>
        </w:rPr>
        <w:t>43</w:t>
      </w:r>
      <w:r w:rsidRPr="00E17376">
        <w:rPr>
          <w:rFonts w:eastAsiaTheme="minorHAnsi"/>
          <w:sz w:val="18"/>
          <w:szCs w:val="18"/>
        </w:rPr>
        <w:t xml:space="preserve"> entitlements + </w:t>
      </w:r>
      <w:r w:rsidR="00136D6C">
        <w:rPr>
          <w:rFonts w:eastAsiaTheme="minorHAnsi"/>
          <w:sz w:val="18"/>
          <w:szCs w:val="18"/>
        </w:rPr>
        <w:t>three</w:t>
      </w:r>
      <w:r w:rsidRPr="00E17376">
        <w:rPr>
          <w:rFonts w:eastAsiaTheme="minorHAnsi"/>
          <w:sz w:val="18"/>
          <w:szCs w:val="18"/>
        </w:rPr>
        <w:t xml:space="preserve"> non-entitlements (Hawaii, Kauai, Maui) and four Insular Areas (Guam, </w:t>
      </w:r>
      <w:r w:rsidR="004B7481">
        <w:rPr>
          <w:rFonts w:eastAsiaTheme="minorHAnsi"/>
          <w:sz w:val="18"/>
          <w:szCs w:val="18"/>
        </w:rPr>
        <w:t xml:space="preserve">Northern </w:t>
      </w:r>
      <w:r w:rsidRPr="00E17376">
        <w:rPr>
          <w:rFonts w:eastAsiaTheme="minorHAnsi"/>
          <w:sz w:val="18"/>
          <w:szCs w:val="18"/>
        </w:rPr>
        <w:t xml:space="preserve">Mariana Islands, </w:t>
      </w:r>
      <w:r w:rsidR="004B7481">
        <w:rPr>
          <w:rFonts w:eastAsiaTheme="minorHAnsi"/>
          <w:sz w:val="18"/>
          <w:szCs w:val="18"/>
        </w:rPr>
        <w:t xml:space="preserve">American </w:t>
      </w:r>
      <w:r w:rsidRPr="00E17376">
        <w:rPr>
          <w:rFonts w:eastAsiaTheme="minorHAnsi"/>
          <w:sz w:val="18"/>
          <w:szCs w:val="18"/>
        </w:rPr>
        <w:t xml:space="preserve">Samoa, </w:t>
      </w:r>
      <w:r w:rsidR="004B7481">
        <w:rPr>
          <w:rFonts w:eastAsiaTheme="minorHAnsi"/>
          <w:sz w:val="18"/>
          <w:szCs w:val="18"/>
        </w:rPr>
        <w:t xml:space="preserve">and the U.S. </w:t>
      </w:r>
      <w:r w:rsidRPr="00E17376">
        <w:rPr>
          <w:rFonts w:eastAsiaTheme="minorHAnsi"/>
          <w:sz w:val="18"/>
          <w:szCs w:val="18"/>
        </w:rPr>
        <w:t>Virgin Islands)</w:t>
      </w:r>
    </w:p>
    <w:p w:rsidR="00E17376" w:rsidRPr="00E17376" w:rsidP="00E17376" w14:paraId="6CAD3492" w14:textId="77777777">
      <w:pPr>
        <w:overflowPunct/>
        <w:autoSpaceDE/>
        <w:autoSpaceDN/>
        <w:adjustRightInd/>
        <w:textAlignment w:val="auto"/>
        <w:rPr>
          <w:rFonts w:eastAsiaTheme="minorHAnsi"/>
          <w:sz w:val="18"/>
          <w:szCs w:val="18"/>
        </w:rPr>
      </w:pPr>
      <w:r w:rsidRPr="00E17376">
        <w:rPr>
          <w:rFonts w:eastAsiaTheme="minorHAnsi"/>
          <w:sz w:val="18"/>
          <w:szCs w:val="18"/>
        </w:rPr>
        <w:t>**Estimates assume a blended hourly rate that is equivalent to a GS-12, Step 1, Federal Government Employee</w:t>
      </w:r>
    </w:p>
    <w:p w:rsidR="003D6E34" w:rsidP="003D6E34" w14:paraId="00507B2E" w14:textId="77777777">
      <w:pPr>
        <w:pStyle w:val="NoSpacing"/>
        <w:rPr>
          <w:sz w:val="24"/>
          <w:szCs w:val="24"/>
        </w:rPr>
      </w:pPr>
    </w:p>
    <w:p w:rsidR="000D5079" w:rsidRPr="00DB4FA0" w:rsidP="003D6E34" w14:paraId="1506D9C0" w14:textId="1FF6E5D9">
      <w:pPr>
        <w:pStyle w:val="NoSpacing"/>
        <w:numPr>
          <w:ilvl w:val="0"/>
          <w:numId w:val="19"/>
        </w:numPr>
        <w:rPr>
          <w:sz w:val="24"/>
          <w:szCs w:val="24"/>
        </w:rPr>
      </w:pPr>
      <w:r w:rsidRPr="00DB4FA0">
        <w:rPr>
          <w:sz w:val="24"/>
          <w:szCs w:val="24"/>
        </w:rPr>
        <w:t>Provide an estimate of the total annual cost burden to respondents or recordkeepers resulting from the collection of information</w:t>
      </w:r>
      <w:r w:rsidRPr="00DB4FA0">
        <w:rPr>
          <w:sz w:val="24"/>
          <w:szCs w:val="24"/>
        </w:rPr>
        <w:t>. (Do not include the cost of any hour burden already reflected on the burden worksheet</w:t>
      </w:r>
      <w:r w:rsidRPr="00DB4FA0">
        <w:rPr>
          <w:sz w:val="24"/>
          <w:szCs w:val="24"/>
        </w:rPr>
        <w:t xml:space="preserve"> shown in Items 12 and 14).</w:t>
      </w:r>
    </w:p>
    <w:p w:rsidR="00A868A2" w:rsidP="00913F57" w14:paraId="2A2638A8" w14:textId="77777777">
      <w:pPr>
        <w:pStyle w:val="NoSpacing"/>
        <w:ind w:left="360"/>
        <w:rPr>
          <w:sz w:val="24"/>
          <w:szCs w:val="24"/>
        </w:rPr>
      </w:pPr>
    </w:p>
    <w:p w:rsidR="009E13B1" w:rsidRPr="00DB4FA0" w:rsidP="003D6E34" w14:paraId="17A964A5" w14:textId="36F5B335">
      <w:pPr>
        <w:pStyle w:val="NoSpacing"/>
        <w:numPr>
          <w:ilvl w:val="0"/>
          <w:numId w:val="30"/>
        </w:numPr>
        <w:rPr>
          <w:sz w:val="24"/>
          <w:szCs w:val="24"/>
        </w:rPr>
      </w:pPr>
      <w:r w:rsidRPr="00DB4FA0">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B4FA0">
        <w:rPr>
          <w:sz w:val="24"/>
          <w:szCs w:val="24"/>
        </w:rPr>
        <w:t>take into account</w:t>
      </w:r>
      <w:r w:rsidRPr="00DB4FA0">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B4FA0">
        <w:rPr>
          <w:sz w:val="24"/>
          <w:szCs w:val="24"/>
        </w:rPr>
        <w:t>time period</w:t>
      </w:r>
      <w:r w:rsidRPr="00DB4FA0">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DB4FA0">
        <w:rPr>
          <w:sz w:val="24"/>
          <w:szCs w:val="24"/>
        </w:rPr>
        <w:t>facilities;</w:t>
      </w:r>
      <w:r w:rsidRPr="00DB4FA0">
        <w:rPr>
          <w:sz w:val="24"/>
          <w:szCs w:val="24"/>
        </w:rPr>
        <w:t xml:space="preserve"> </w:t>
      </w:r>
    </w:p>
    <w:p w:rsidR="00913F57" w:rsidP="003D6E34" w14:paraId="5A220495" w14:textId="77777777">
      <w:pPr>
        <w:pStyle w:val="NoSpacing"/>
        <w:rPr>
          <w:sz w:val="24"/>
          <w:szCs w:val="24"/>
        </w:rPr>
      </w:pPr>
    </w:p>
    <w:p w:rsidR="009E13B1" w:rsidRPr="00DB4FA0" w:rsidP="003D6E34" w14:paraId="5886BC79" w14:textId="67BD097E">
      <w:pPr>
        <w:pStyle w:val="NoSpacing"/>
        <w:numPr>
          <w:ilvl w:val="0"/>
          <w:numId w:val="30"/>
        </w:numPr>
        <w:rPr>
          <w:sz w:val="24"/>
          <w:szCs w:val="24"/>
        </w:rPr>
      </w:pPr>
      <w:r w:rsidRPr="00DB4FA0">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13F57" w:rsidP="003D6E34" w14:paraId="41013E3A" w14:textId="77777777">
      <w:pPr>
        <w:pStyle w:val="NoSpacing"/>
        <w:rPr>
          <w:sz w:val="24"/>
          <w:szCs w:val="24"/>
        </w:rPr>
      </w:pPr>
    </w:p>
    <w:p w:rsidR="009E13B1" w:rsidP="003D6E34" w14:paraId="43F94014" w14:textId="0133F316">
      <w:pPr>
        <w:pStyle w:val="NoSpacing"/>
        <w:numPr>
          <w:ilvl w:val="0"/>
          <w:numId w:val="30"/>
        </w:numPr>
        <w:rPr>
          <w:sz w:val="24"/>
          <w:szCs w:val="24"/>
        </w:rPr>
      </w:pPr>
      <w:r w:rsidRPr="00DB4FA0">
        <w:rPr>
          <w:sz w:val="24"/>
          <w:szCs w:val="24"/>
        </w:rPr>
        <w:t>G</w:t>
      </w:r>
      <w:r w:rsidRPr="00DB4FA0">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3F57" w:rsidP="00913F57" w14:paraId="0FB1DD5A" w14:textId="5DC2906E">
      <w:pPr>
        <w:pStyle w:val="NoSpacing"/>
        <w:rPr>
          <w:sz w:val="24"/>
          <w:szCs w:val="24"/>
        </w:rPr>
      </w:pPr>
    </w:p>
    <w:p w:rsidR="00913F57" w:rsidRPr="00DB4FA0" w:rsidP="003D6E34" w14:paraId="02816FC5" w14:textId="63A6BEAA">
      <w:pPr>
        <w:pStyle w:val="NoSpacing"/>
        <w:ind w:left="1080"/>
        <w:rPr>
          <w:sz w:val="24"/>
          <w:szCs w:val="24"/>
        </w:rPr>
      </w:pPr>
      <w:r w:rsidRPr="00E17376">
        <w:rPr>
          <w:sz w:val="24"/>
          <w:szCs w:val="24"/>
        </w:rPr>
        <w:t>There is no additional cost to respondents or record keepers for collection of this information for the elements: (a) a total capital and start-up cost component (annualized over its expected useful life) and (b) a total operation and maintenance and purchase of services component.</w:t>
      </w:r>
    </w:p>
    <w:p w:rsidR="003D6E34" w:rsidP="003D6E34" w14:paraId="6F511B08" w14:textId="77777777">
      <w:pPr>
        <w:pStyle w:val="NoSpacing"/>
        <w:rPr>
          <w:sz w:val="24"/>
          <w:szCs w:val="24"/>
        </w:rPr>
      </w:pPr>
    </w:p>
    <w:p w:rsidR="009E13B1" w:rsidP="003D6E34" w14:paraId="4C1C1C1A" w14:textId="4CEACF1D">
      <w:pPr>
        <w:pStyle w:val="NoSpacing"/>
        <w:numPr>
          <w:ilvl w:val="0"/>
          <w:numId w:val="19"/>
        </w:numPr>
        <w:rPr>
          <w:sz w:val="24"/>
          <w:szCs w:val="24"/>
        </w:rPr>
      </w:pPr>
      <w:r w:rsidRPr="00DB4FA0">
        <w:rPr>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DB4FA0">
        <w:rPr>
          <w:sz w:val="24"/>
          <w:szCs w:val="24"/>
        </w:rPr>
        <w:t>expense</w:t>
      </w:r>
      <w:r w:rsidRPr="00DB4FA0">
        <w:rPr>
          <w:sz w:val="24"/>
          <w:szCs w:val="24"/>
        </w:rPr>
        <w:t xml:space="preserve"> that would not have been incurred without this collection of information. Agencies also may aggregate cost estimates from Items 12, 13, and 14 in a single table.</w:t>
      </w:r>
    </w:p>
    <w:p w:rsidR="00C36A60" w:rsidRPr="00C36A60" w:rsidP="00C36A60" w14:paraId="768C88F4" w14:textId="6B39B125">
      <w:pPr>
        <w:overflowPunct/>
        <w:autoSpaceDE/>
        <w:autoSpaceDN/>
        <w:adjustRightInd/>
        <w:spacing w:after="160" w:line="259" w:lineRule="auto"/>
        <w:contextualSpacing/>
        <w:textAlignment w:val="auto"/>
        <w:rPr>
          <w:rFonts w:eastAsiaTheme="minorHAnsi"/>
          <w:sz w:val="24"/>
          <w:szCs w:val="24"/>
        </w:rPr>
      </w:pPr>
    </w:p>
    <w:tbl>
      <w:tblPr>
        <w:tblW w:w="9720" w:type="dxa"/>
        <w:tblInd w:w="-10" w:type="dxa"/>
        <w:tblLayout w:type="fixed"/>
        <w:tblCellMar>
          <w:left w:w="0" w:type="dxa"/>
          <w:right w:w="0" w:type="dxa"/>
        </w:tblCellMar>
        <w:tblLook w:val="04A0"/>
      </w:tblPr>
      <w:tblGrid>
        <w:gridCol w:w="1800"/>
        <w:gridCol w:w="1260"/>
        <w:gridCol w:w="1080"/>
        <w:gridCol w:w="1080"/>
        <w:gridCol w:w="1080"/>
        <w:gridCol w:w="990"/>
        <w:gridCol w:w="1170"/>
        <w:gridCol w:w="1260"/>
      </w:tblGrid>
      <w:tr w14:paraId="1DD618D9" w14:textId="77777777" w:rsidTr="00702C92">
        <w:tblPrEx>
          <w:tblW w:w="9720" w:type="dxa"/>
          <w:tblInd w:w="-10" w:type="dxa"/>
          <w:tblLayout w:type="fixed"/>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6A60" w:rsidRPr="00C36A60" w:rsidP="00C36A60" w14:paraId="086EEA03" w14:textId="77777777">
            <w:pPr>
              <w:adjustRightInd/>
              <w:jc w:val="center"/>
              <w:textAlignment w:val="auto"/>
              <w:rPr>
                <w:rFonts w:eastAsia="Calibri"/>
                <w:b/>
                <w:bCs/>
                <w:color w:val="000000"/>
                <w:sz w:val="18"/>
                <w:szCs w:val="18"/>
              </w:rPr>
            </w:pPr>
            <w:r w:rsidRPr="00C36A60">
              <w:rPr>
                <w:rFonts w:eastAsia="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6A60" w:rsidRPr="00C36A60" w:rsidP="00C36A60" w14:paraId="221421D3" w14:textId="77777777">
            <w:pPr>
              <w:adjustRightInd/>
              <w:jc w:val="center"/>
              <w:textAlignment w:val="auto"/>
              <w:rPr>
                <w:rFonts w:eastAsia="Calibri"/>
                <w:b/>
                <w:bCs/>
                <w:color w:val="000000"/>
                <w:sz w:val="18"/>
                <w:szCs w:val="18"/>
              </w:rPr>
            </w:pPr>
            <w:r w:rsidRPr="00C36A60">
              <w:rPr>
                <w:rFonts w:eastAsia="Calibri"/>
                <w:b/>
                <w:bCs/>
                <w:color w:val="000000"/>
                <w:sz w:val="18"/>
                <w:szCs w:val="18"/>
              </w:rPr>
              <w:t>Number of Respondents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6A60" w:rsidRPr="00C36A60" w:rsidP="00C36A60" w14:paraId="79625FFC" w14:textId="77777777">
            <w:pPr>
              <w:adjustRightInd/>
              <w:jc w:val="center"/>
              <w:textAlignment w:val="auto"/>
              <w:rPr>
                <w:rFonts w:eastAsia="Calibri"/>
                <w:b/>
                <w:bCs/>
                <w:color w:val="000000"/>
                <w:sz w:val="18"/>
                <w:szCs w:val="18"/>
              </w:rPr>
            </w:pPr>
            <w:r w:rsidRPr="00C36A60">
              <w:rPr>
                <w:rFonts w:eastAsia="Calibri"/>
                <w:b/>
                <w:bCs/>
                <w:color w:val="000000"/>
                <w:sz w:val="18"/>
                <w:szCs w:val="18"/>
              </w:rPr>
              <w:t>Frequency of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6A60" w:rsidRPr="00C36A60" w:rsidP="00C36A60" w14:paraId="4E093990" w14:textId="77777777">
            <w:pPr>
              <w:overflowPunct/>
              <w:autoSpaceDE/>
              <w:autoSpaceDN/>
              <w:adjustRightInd/>
              <w:jc w:val="center"/>
              <w:textAlignment w:val="auto"/>
              <w:rPr>
                <w:rFonts w:eastAsia="Calibri"/>
                <w:b/>
                <w:bCs/>
                <w:color w:val="000000"/>
                <w:sz w:val="18"/>
                <w:szCs w:val="18"/>
              </w:rPr>
            </w:pPr>
            <w:r w:rsidRPr="00C36A60">
              <w:rPr>
                <w:rFonts w:eastAsia="Calibri"/>
                <w:b/>
                <w:bCs/>
                <w:color w:val="000000"/>
                <w:sz w:val="18"/>
                <w:szCs w:val="18"/>
              </w:rPr>
              <w:t>Responses</w:t>
            </w:r>
          </w:p>
          <w:p w:rsidR="00C36A60" w:rsidRPr="00C36A60" w:rsidP="00C36A60" w14:paraId="52F21C42" w14:textId="77777777">
            <w:pPr>
              <w:adjustRightInd/>
              <w:jc w:val="center"/>
              <w:textAlignment w:val="auto"/>
              <w:rPr>
                <w:rFonts w:eastAsia="Calibri"/>
                <w:b/>
                <w:bCs/>
                <w:color w:val="000000"/>
                <w:sz w:val="18"/>
                <w:szCs w:val="18"/>
              </w:rPr>
            </w:pPr>
            <w:r w:rsidRPr="00C36A60">
              <w:rPr>
                <w:rFonts w:eastAsia="Calibri"/>
                <w:b/>
                <w:bCs/>
                <w:color w:val="000000"/>
                <w:sz w:val="18"/>
                <w:szCs w:val="18"/>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6A60" w:rsidRPr="00C36A60" w:rsidP="00C36A60" w14:paraId="2D32ECBD" w14:textId="77777777">
            <w:pPr>
              <w:adjustRightInd/>
              <w:jc w:val="center"/>
              <w:textAlignment w:val="auto"/>
              <w:rPr>
                <w:rFonts w:eastAsia="Calibri"/>
                <w:b/>
                <w:bCs/>
                <w:color w:val="000000"/>
                <w:sz w:val="18"/>
                <w:szCs w:val="18"/>
              </w:rPr>
            </w:pPr>
            <w:r w:rsidRPr="00C36A60">
              <w:rPr>
                <w:rFonts w:eastAsia="Calibri"/>
                <w:b/>
                <w:bCs/>
                <w:color w:val="000000"/>
                <w:sz w:val="18"/>
                <w:szCs w:val="18"/>
              </w:rPr>
              <w:t>Burden Hour Per Response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6A60" w:rsidRPr="00C36A60" w:rsidP="00C36A60" w14:paraId="15B0E38F" w14:textId="77777777">
            <w:pPr>
              <w:adjustRightInd/>
              <w:jc w:val="center"/>
              <w:textAlignment w:val="auto"/>
              <w:rPr>
                <w:rFonts w:eastAsia="Calibri"/>
                <w:b/>
                <w:bCs/>
                <w:color w:val="000000"/>
                <w:sz w:val="18"/>
                <w:szCs w:val="18"/>
              </w:rPr>
            </w:pPr>
            <w:r w:rsidRPr="00C36A60">
              <w:rPr>
                <w:rFonts w:eastAsia="Calibri"/>
                <w:b/>
                <w:bCs/>
                <w:color w:val="000000"/>
                <w:sz w:val="18"/>
                <w:szCs w:val="18"/>
              </w:rPr>
              <w:t>Annual Burden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6A60" w:rsidRPr="00C36A60" w:rsidP="00C36A60" w14:paraId="3E1690B5" w14:textId="77777777">
            <w:pPr>
              <w:adjustRightInd/>
              <w:jc w:val="center"/>
              <w:textAlignment w:val="auto"/>
              <w:rPr>
                <w:rFonts w:eastAsia="Calibri"/>
                <w:b/>
                <w:bCs/>
                <w:color w:val="000000"/>
                <w:sz w:val="18"/>
                <w:szCs w:val="18"/>
              </w:rPr>
            </w:pPr>
            <w:r w:rsidRPr="00C36A60">
              <w:rPr>
                <w:rFonts w:eastAsia="Calibri"/>
                <w:b/>
                <w:bCs/>
                <w:color w:val="000000"/>
                <w:sz w:val="18"/>
                <w:szCs w:val="18"/>
              </w:rPr>
              <w:t>Hourly Cost Per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6A60" w:rsidRPr="00C36A60" w:rsidP="00C36A60" w14:paraId="02BA4C98" w14:textId="77777777">
            <w:pPr>
              <w:overflowPunct/>
              <w:autoSpaceDE/>
              <w:autoSpaceDN/>
              <w:adjustRightInd/>
              <w:jc w:val="center"/>
              <w:textAlignment w:val="auto"/>
              <w:rPr>
                <w:rFonts w:eastAsia="Calibri"/>
                <w:b/>
                <w:bCs/>
                <w:color w:val="000000"/>
                <w:sz w:val="18"/>
                <w:szCs w:val="18"/>
              </w:rPr>
            </w:pPr>
            <w:r w:rsidRPr="00C36A60">
              <w:rPr>
                <w:rFonts w:eastAsia="Calibri"/>
                <w:b/>
                <w:bCs/>
                <w:color w:val="000000"/>
                <w:sz w:val="18"/>
                <w:szCs w:val="18"/>
              </w:rPr>
              <w:t>Annual Cost</w:t>
            </w:r>
          </w:p>
          <w:p w:rsidR="00C36A60" w:rsidRPr="00C36A60" w:rsidP="00C36A60" w14:paraId="401918B8" w14:textId="77777777">
            <w:pPr>
              <w:adjustRightInd/>
              <w:jc w:val="center"/>
              <w:textAlignment w:val="auto"/>
              <w:rPr>
                <w:rFonts w:eastAsia="Calibri"/>
                <w:b/>
                <w:bCs/>
                <w:color w:val="000000"/>
                <w:sz w:val="18"/>
                <w:szCs w:val="18"/>
              </w:rPr>
            </w:pPr>
          </w:p>
        </w:tc>
      </w:tr>
      <w:tr w14:paraId="08FD66D1" w14:textId="77777777" w:rsidTr="00702C92">
        <w:tblPrEx>
          <w:tblW w:w="9720" w:type="dxa"/>
          <w:tblInd w:w="-10" w:type="dxa"/>
          <w:tblLayout w:type="fixed"/>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6A60" w:rsidRPr="00C36A60" w:rsidP="00C36A60" w14:paraId="39840AAF" w14:textId="77777777">
            <w:pPr>
              <w:overflowPunct/>
              <w:autoSpaceDE/>
              <w:autoSpaceDN/>
              <w:adjustRightInd/>
              <w:spacing w:after="160" w:line="259" w:lineRule="auto"/>
              <w:textAlignment w:val="auto"/>
              <w:rPr>
                <w:rFonts w:eastAsiaTheme="minorHAnsi"/>
                <w:sz w:val="18"/>
                <w:szCs w:val="18"/>
              </w:rPr>
            </w:pPr>
            <w:r w:rsidRPr="00C36A60">
              <w:rPr>
                <w:rFonts w:eastAsiaTheme="minorHAnsi"/>
                <w:sz w:val="18"/>
                <w:szCs w:val="18"/>
              </w:rPr>
              <w:t>Consolidated Plan &amp; Performance Reports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199AAADA" w14:textId="57D71B54">
            <w:pPr>
              <w:adjustRightInd/>
              <w:jc w:val="center"/>
              <w:textAlignment w:val="auto"/>
              <w:rPr>
                <w:rFonts w:eastAsia="Calibri"/>
                <w:b/>
                <w:bCs/>
                <w:color w:val="000000"/>
                <w:sz w:val="18"/>
                <w:szCs w:val="18"/>
              </w:rPr>
            </w:pPr>
            <w:r w:rsidRPr="00C36A60">
              <w:rPr>
                <w:rFonts w:eastAsia="Calibri"/>
                <w:b/>
                <w:bCs/>
                <w:color w:val="000000"/>
                <w:sz w:val="18"/>
                <w:szCs w:val="18"/>
              </w:rPr>
              <w:t>1,</w:t>
            </w:r>
            <w:r w:rsidR="00130D4B">
              <w:rPr>
                <w:rFonts w:eastAsia="Calibri"/>
                <w:b/>
                <w:bCs/>
                <w:color w:val="000000"/>
                <w:sz w:val="18"/>
                <w:szCs w:val="18"/>
              </w:rPr>
              <w:t>300</w:t>
            </w:r>
            <w:r w:rsidRPr="00C36A60">
              <w:rPr>
                <w:rFonts w:eastAsia="Calibri"/>
                <w:b/>
                <w:bCs/>
                <w:color w:val="000000"/>
                <w:sz w:val="18"/>
                <w:szCs w:val="18"/>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5D99276A" w14:textId="52E5E8A0">
            <w:pPr>
              <w:adjustRightInd/>
              <w:jc w:val="center"/>
              <w:textAlignment w:val="auto"/>
              <w:rPr>
                <w:rFonts w:eastAsia="Calibri"/>
                <w:b/>
                <w:bCs/>
                <w:color w:val="000000"/>
                <w:sz w:val="18"/>
                <w:szCs w:val="18"/>
              </w:rPr>
            </w:pPr>
            <w:r w:rsidRPr="00C36A60">
              <w:rPr>
                <w:rFonts w:eastAsia="Calibri"/>
                <w:b/>
                <w:bCs/>
                <w:color w:val="000000"/>
                <w:sz w:val="18"/>
                <w:szCs w:val="18"/>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5789EC84" w14:textId="22790FAC">
            <w:pPr>
              <w:adjustRightInd/>
              <w:jc w:val="center"/>
              <w:textAlignment w:val="auto"/>
              <w:rPr>
                <w:rFonts w:eastAsia="Calibri"/>
                <w:b/>
                <w:bCs/>
                <w:color w:val="000000"/>
                <w:sz w:val="18"/>
                <w:szCs w:val="18"/>
              </w:rPr>
            </w:pPr>
            <w:r w:rsidRPr="00C36A60">
              <w:rPr>
                <w:rFonts w:eastAsia="Calibri"/>
                <w:b/>
                <w:bCs/>
                <w:color w:val="000000"/>
                <w:sz w:val="18"/>
                <w:szCs w:val="18"/>
              </w:rPr>
              <w:t>2,</w:t>
            </w:r>
            <w:r w:rsidR="00AA54DB">
              <w:rPr>
                <w:rFonts w:eastAsia="Calibri"/>
                <w:b/>
                <w:bCs/>
                <w:color w:val="000000"/>
                <w:sz w:val="18"/>
                <w:szCs w:val="18"/>
              </w:rPr>
              <w:t>600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61436A14" w14:textId="5B4AB1E8">
            <w:pPr>
              <w:adjustRightInd/>
              <w:jc w:val="center"/>
              <w:textAlignment w:val="auto"/>
              <w:rPr>
                <w:rFonts w:eastAsia="Calibri"/>
                <w:b/>
                <w:bCs/>
                <w:color w:val="000000"/>
                <w:sz w:val="18"/>
                <w:szCs w:val="18"/>
              </w:rPr>
            </w:pPr>
            <w:r w:rsidRPr="00C36A60">
              <w:rPr>
                <w:rFonts w:eastAsia="Calibri"/>
                <w:b/>
                <w:bCs/>
                <w:color w:val="000000"/>
                <w:sz w:val="18"/>
                <w:szCs w:val="18"/>
              </w:rPr>
              <w:t>15</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72497135" w14:textId="33E08BF6">
            <w:pPr>
              <w:adjustRightInd/>
              <w:jc w:val="center"/>
              <w:textAlignment w:val="auto"/>
              <w:rPr>
                <w:rFonts w:eastAsia="Calibri"/>
                <w:b/>
                <w:bCs/>
                <w:color w:val="000000"/>
                <w:sz w:val="18"/>
                <w:szCs w:val="18"/>
              </w:rPr>
            </w:pPr>
            <w:r>
              <w:rPr>
                <w:rFonts w:eastAsia="Calibri"/>
                <w:b/>
                <w:bCs/>
                <w:color w:val="000000"/>
                <w:sz w:val="18"/>
                <w:szCs w:val="18"/>
              </w:rPr>
              <w:t>39,000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0688E655" w14:textId="5E4C02F8">
            <w:pPr>
              <w:adjustRightInd/>
              <w:jc w:val="right"/>
              <w:textAlignment w:val="auto"/>
              <w:rPr>
                <w:rFonts w:eastAsia="Calibri"/>
                <w:b/>
                <w:bCs/>
                <w:color w:val="000000"/>
                <w:sz w:val="18"/>
                <w:szCs w:val="18"/>
              </w:rPr>
            </w:pPr>
            <w:r w:rsidRPr="00C36A60">
              <w:rPr>
                <w:rFonts w:eastAsia="Calibri"/>
                <w:b/>
                <w:bCs/>
                <w:color w:val="000000"/>
                <w:sz w:val="18"/>
                <w:szCs w:val="18"/>
              </w:rPr>
              <w:t>$4</w:t>
            </w:r>
            <w:r w:rsidR="0051520A">
              <w:rPr>
                <w:rFonts w:eastAsia="Calibri"/>
                <w:b/>
                <w:bCs/>
                <w:color w:val="000000"/>
                <w:sz w:val="18"/>
                <w:szCs w:val="18"/>
              </w:rPr>
              <w:t>8.59</w:t>
            </w:r>
            <w:r w:rsidRPr="00C36A60">
              <w:rPr>
                <w:rFonts w:eastAsia="Calibri"/>
                <w:b/>
                <w:bCs/>
                <w:color w:val="000000"/>
                <w:sz w:val="18"/>
                <w:szCs w:val="18"/>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C36A60" w:rsidRPr="00C36A60" w:rsidP="00C36A60" w14:paraId="4CF909E5" w14:textId="3F317056">
            <w:pPr>
              <w:adjustRightInd/>
              <w:jc w:val="right"/>
              <w:textAlignment w:val="auto"/>
              <w:rPr>
                <w:rFonts w:eastAsia="Calibri"/>
                <w:b/>
                <w:bCs/>
                <w:color w:val="000000"/>
                <w:sz w:val="18"/>
                <w:szCs w:val="18"/>
              </w:rPr>
            </w:pPr>
            <w:r w:rsidRPr="00C36A60">
              <w:rPr>
                <w:rFonts w:eastAsia="Calibri"/>
                <w:b/>
                <w:bCs/>
                <w:color w:val="000000"/>
                <w:sz w:val="18"/>
                <w:szCs w:val="18"/>
              </w:rPr>
              <w:t>$1,</w:t>
            </w:r>
            <w:r w:rsidR="00CF43EA">
              <w:rPr>
                <w:rFonts w:eastAsia="Calibri"/>
                <w:b/>
                <w:bCs/>
                <w:color w:val="000000"/>
                <w:sz w:val="18"/>
                <w:szCs w:val="18"/>
              </w:rPr>
              <w:t>895,010</w:t>
            </w:r>
            <w:r w:rsidR="00CC0430">
              <w:rPr>
                <w:rFonts w:eastAsia="Calibri"/>
                <w:b/>
                <w:bCs/>
                <w:color w:val="000000"/>
                <w:sz w:val="18"/>
                <w:szCs w:val="18"/>
              </w:rPr>
              <w:t>.</w:t>
            </w:r>
            <w:r w:rsidR="00CF43EA">
              <w:rPr>
                <w:rFonts w:eastAsia="Calibri"/>
                <w:b/>
                <w:bCs/>
                <w:color w:val="000000"/>
                <w:sz w:val="18"/>
                <w:szCs w:val="18"/>
              </w:rPr>
              <w:t>0</w:t>
            </w:r>
            <w:r w:rsidR="00CC0430">
              <w:rPr>
                <w:rFonts w:eastAsia="Calibri"/>
                <w:b/>
                <w:bCs/>
                <w:color w:val="000000"/>
                <w:sz w:val="18"/>
                <w:szCs w:val="18"/>
              </w:rPr>
              <w:t>0</w:t>
            </w:r>
          </w:p>
        </w:tc>
      </w:tr>
    </w:tbl>
    <w:p w:rsidR="00C36A60" w:rsidRPr="00C36A60" w:rsidP="00C36A60" w14:paraId="7C5E247B" w14:textId="07F1BCF1">
      <w:pPr>
        <w:overflowPunct/>
        <w:autoSpaceDE/>
        <w:autoSpaceDN/>
        <w:adjustRightInd/>
        <w:spacing w:line="259" w:lineRule="auto"/>
        <w:textAlignment w:val="auto"/>
        <w:rPr>
          <w:rFonts w:eastAsiaTheme="minorHAnsi"/>
          <w:sz w:val="18"/>
          <w:szCs w:val="18"/>
        </w:rPr>
      </w:pPr>
      <w:r w:rsidRPr="00C36A60">
        <w:rPr>
          <w:rFonts w:eastAsiaTheme="minorHAnsi"/>
          <w:sz w:val="18"/>
          <w:szCs w:val="18"/>
        </w:rPr>
        <w:t>*  Total responses of 2,</w:t>
      </w:r>
      <w:r w:rsidR="00CF43EA">
        <w:rPr>
          <w:rFonts w:eastAsiaTheme="minorHAnsi"/>
          <w:sz w:val="18"/>
          <w:szCs w:val="18"/>
        </w:rPr>
        <w:t>600</w:t>
      </w:r>
      <w:r w:rsidRPr="00C36A60">
        <w:rPr>
          <w:rFonts w:eastAsiaTheme="minorHAnsi"/>
          <w:sz w:val="18"/>
          <w:szCs w:val="18"/>
        </w:rPr>
        <w:t xml:space="preserve"> = Number of Combined Consolidated Plans and Action Plans for Localities and States (</w:t>
      </w:r>
      <w:r w:rsidRPr="00C36A60" w:rsidR="006E7F2E">
        <w:rPr>
          <w:rFonts w:eastAsiaTheme="minorHAnsi"/>
          <w:sz w:val="18"/>
          <w:szCs w:val="18"/>
        </w:rPr>
        <w:t>12</w:t>
      </w:r>
      <w:r w:rsidR="00CF43EA">
        <w:rPr>
          <w:rFonts w:eastAsiaTheme="minorHAnsi"/>
          <w:sz w:val="18"/>
          <w:szCs w:val="18"/>
        </w:rPr>
        <w:t>50</w:t>
      </w:r>
      <w:r w:rsidRPr="00C36A60">
        <w:rPr>
          <w:rFonts w:eastAsiaTheme="minorHAnsi"/>
          <w:sz w:val="18"/>
          <w:szCs w:val="18"/>
        </w:rPr>
        <w:t>+50) + Number of Performance Reports for Localities and States (1,</w:t>
      </w:r>
      <w:r w:rsidRPr="00C36A60" w:rsidR="008D7197">
        <w:rPr>
          <w:rFonts w:eastAsiaTheme="minorHAnsi"/>
          <w:sz w:val="18"/>
          <w:szCs w:val="18"/>
        </w:rPr>
        <w:t>2</w:t>
      </w:r>
      <w:r w:rsidR="00CF43EA">
        <w:rPr>
          <w:rFonts w:eastAsiaTheme="minorHAnsi"/>
          <w:sz w:val="18"/>
          <w:szCs w:val="18"/>
        </w:rPr>
        <w:t>50</w:t>
      </w:r>
      <w:r w:rsidRPr="00C36A60">
        <w:rPr>
          <w:rFonts w:eastAsiaTheme="minorHAnsi"/>
          <w:sz w:val="18"/>
          <w:szCs w:val="18"/>
        </w:rPr>
        <w:t xml:space="preserve">+50) + Number of abbreviated plans (0). </w:t>
      </w:r>
    </w:p>
    <w:p w:rsidR="00C36A60" w:rsidRPr="00C36A60" w:rsidP="00C36A60" w14:paraId="42AA8A9B" w14:textId="77777777">
      <w:pPr>
        <w:overflowPunct/>
        <w:autoSpaceDE/>
        <w:autoSpaceDN/>
        <w:adjustRightInd/>
        <w:spacing w:line="259" w:lineRule="auto"/>
        <w:textAlignment w:val="auto"/>
        <w:rPr>
          <w:rFonts w:eastAsiaTheme="minorHAnsi"/>
          <w:sz w:val="18"/>
          <w:szCs w:val="18"/>
        </w:rPr>
      </w:pPr>
      <w:r w:rsidRPr="00C36A60">
        <w:rPr>
          <w:rFonts w:eastAsiaTheme="minorHAnsi"/>
          <w:sz w:val="18"/>
          <w:szCs w:val="18"/>
        </w:rPr>
        <w:t>**Estimate assumes a blended hourly rate that is equivalent to a GS-12, Step 1, Federal Government Employee</w:t>
      </w:r>
    </w:p>
    <w:p w:rsidR="003D6E34" w:rsidP="003D6E34" w14:paraId="79FB06B8" w14:textId="77777777">
      <w:pPr>
        <w:pStyle w:val="NoSpacing"/>
        <w:rPr>
          <w:sz w:val="24"/>
          <w:szCs w:val="24"/>
        </w:rPr>
      </w:pPr>
    </w:p>
    <w:p w:rsidR="009E13B1" w:rsidP="003D6E34" w14:paraId="6D6F9FD7" w14:textId="7C51B339">
      <w:pPr>
        <w:pStyle w:val="NoSpacing"/>
        <w:numPr>
          <w:ilvl w:val="0"/>
          <w:numId w:val="19"/>
        </w:numPr>
        <w:rPr>
          <w:sz w:val="24"/>
          <w:szCs w:val="24"/>
        </w:rPr>
      </w:pPr>
      <w:r w:rsidRPr="00DB4FA0">
        <w:rPr>
          <w:sz w:val="24"/>
          <w:szCs w:val="24"/>
        </w:rPr>
        <w:t>Explain the reasons for any program changes or adjustments reported in Items 1</w:t>
      </w:r>
      <w:r w:rsidRPr="00DB4FA0" w:rsidR="000D5079">
        <w:rPr>
          <w:sz w:val="24"/>
          <w:szCs w:val="24"/>
        </w:rPr>
        <w:t>2</w:t>
      </w:r>
      <w:r w:rsidRPr="00DB4FA0">
        <w:rPr>
          <w:sz w:val="24"/>
          <w:szCs w:val="24"/>
        </w:rPr>
        <w:t xml:space="preserve"> and 14 of the </w:t>
      </w:r>
      <w:r w:rsidRPr="00DB4FA0" w:rsidR="00CA06CC">
        <w:rPr>
          <w:sz w:val="24"/>
          <w:szCs w:val="24"/>
        </w:rPr>
        <w:t>Supporting Statement</w:t>
      </w:r>
      <w:r w:rsidRPr="00DB4FA0">
        <w:rPr>
          <w:sz w:val="24"/>
          <w:szCs w:val="24"/>
        </w:rPr>
        <w:t>.</w:t>
      </w:r>
    </w:p>
    <w:p w:rsidR="00EF5D98" w:rsidP="00EF5D98" w14:paraId="52D9ABAE" w14:textId="77777777">
      <w:pPr>
        <w:pStyle w:val="NoSpacing"/>
        <w:ind w:left="360"/>
        <w:rPr>
          <w:sz w:val="24"/>
          <w:szCs w:val="24"/>
        </w:rPr>
      </w:pPr>
    </w:p>
    <w:p w:rsidR="00C36A60" w:rsidP="003D6E34" w14:paraId="0F3F32D5" w14:textId="0F102F5C">
      <w:pPr>
        <w:pStyle w:val="NoSpacing"/>
        <w:ind w:left="720"/>
        <w:rPr>
          <w:sz w:val="24"/>
          <w:szCs w:val="24"/>
        </w:rPr>
      </w:pPr>
      <w:r>
        <w:rPr>
          <w:sz w:val="24"/>
          <w:szCs w:val="24"/>
        </w:rPr>
        <w:t>Restatement with changes of a previously approved collection.</w:t>
      </w:r>
      <w:r w:rsidR="00ED0E76">
        <w:rPr>
          <w:sz w:val="24"/>
          <w:szCs w:val="24"/>
        </w:rPr>
        <w:t xml:space="preserve"> OBGA conducted a thorough review of previous Paperwork Reduction Act submissions for this information collection going back to 2008 to develop this burden hour statement.  </w:t>
      </w:r>
      <w:r w:rsidR="00FD324E">
        <w:rPr>
          <w:sz w:val="24"/>
          <w:szCs w:val="24"/>
        </w:rPr>
        <w:t>Several p</w:t>
      </w:r>
      <w:r w:rsidR="00C86B07">
        <w:rPr>
          <w:sz w:val="24"/>
          <w:szCs w:val="24"/>
        </w:rPr>
        <w:t xml:space="preserve">rior year estimates split </w:t>
      </w:r>
      <w:r w:rsidR="00FD324E">
        <w:rPr>
          <w:sz w:val="24"/>
          <w:szCs w:val="24"/>
        </w:rPr>
        <w:t xml:space="preserve">the number of responses and the response burden </w:t>
      </w:r>
      <w:r w:rsidR="007D4E34">
        <w:rPr>
          <w:sz w:val="24"/>
          <w:szCs w:val="24"/>
        </w:rPr>
        <w:t xml:space="preserve">associated </w:t>
      </w:r>
      <w:r w:rsidR="004F01DF">
        <w:rPr>
          <w:sz w:val="24"/>
          <w:szCs w:val="24"/>
        </w:rPr>
        <w:t xml:space="preserve">with each type of response </w:t>
      </w:r>
      <w:r w:rsidR="00FD324E">
        <w:rPr>
          <w:sz w:val="24"/>
          <w:szCs w:val="24"/>
        </w:rPr>
        <w:t xml:space="preserve">and it appears </w:t>
      </w:r>
      <w:r w:rsidR="00440305">
        <w:rPr>
          <w:sz w:val="24"/>
          <w:szCs w:val="24"/>
        </w:rPr>
        <w:t>that the response burden</w:t>
      </w:r>
      <w:r w:rsidR="004F01DF">
        <w:rPr>
          <w:sz w:val="24"/>
          <w:szCs w:val="24"/>
        </w:rPr>
        <w:t xml:space="preserve"> may have been </w:t>
      </w:r>
      <w:r w:rsidR="004F01DF">
        <w:rPr>
          <w:sz w:val="24"/>
          <w:szCs w:val="24"/>
        </w:rPr>
        <w:t>double</w:t>
      </w:r>
      <w:r w:rsidR="007D4E34">
        <w:rPr>
          <w:sz w:val="24"/>
          <w:szCs w:val="24"/>
        </w:rPr>
        <w:t>-counted</w:t>
      </w:r>
      <w:r w:rsidR="007D4E34">
        <w:rPr>
          <w:sz w:val="24"/>
          <w:szCs w:val="24"/>
        </w:rPr>
        <w:t xml:space="preserve"> in years </w:t>
      </w:r>
      <w:r w:rsidR="00823114">
        <w:rPr>
          <w:sz w:val="24"/>
          <w:szCs w:val="24"/>
        </w:rPr>
        <w:t xml:space="preserve">when </w:t>
      </w:r>
      <w:r w:rsidR="003D67BA">
        <w:rPr>
          <w:sz w:val="24"/>
          <w:szCs w:val="24"/>
        </w:rPr>
        <w:t>only one response was noted per grantee annually</w:t>
      </w:r>
      <w:r w:rsidRPr="0092352E" w:rsidR="00592FDB">
        <w:rPr>
          <w:sz w:val="24"/>
          <w:szCs w:val="24"/>
        </w:rPr>
        <w:t xml:space="preserve">. </w:t>
      </w:r>
      <w:r w:rsidRPr="0092352E" w:rsidR="003D67BA">
        <w:rPr>
          <w:sz w:val="24"/>
          <w:szCs w:val="24"/>
        </w:rPr>
        <w:t xml:space="preserve"> </w:t>
      </w:r>
      <w:r w:rsidRPr="0092352E">
        <w:rPr>
          <w:sz w:val="24"/>
          <w:szCs w:val="24"/>
        </w:rPr>
        <w:t xml:space="preserve">The calculation of </w:t>
      </w:r>
      <w:r w:rsidR="00E02CAB">
        <w:rPr>
          <w:sz w:val="24"/>
          <w:szCs w:val="24"/>
        </w:rPr>
        <w:t>418,300</w:t>
      </w:r>
      <w:r w:rsidRPr="0092352E">
        <w:rPr>
          <w:sz w:val="24"/>
          <w:szCs w:val="24"/>
        </w:rPr>
        <w:t xml:space="preserve"> burden hours in this document changed from </w:t>
      </w:r>
      <w:r w:rsidRPr="0092352E" w:rsidR="006B2A00">
        <w:rPr>
          <w:sz w:val="24"/>
          <w:szCs w:val="24"/>
        </w:rPr>
        <w:t>413,</w:t>
      </w:r>
      <w:r w:rsidRPr="0092352E" w:rsidR="0010505D">
        <w:rPr>
          <w:sz w:val="24"/>
          <w:szCs w:val="24"/>
        </w:rPr>
        <w:t>420</w:t>
      </w:r>
      <w:r w:rsidRPr="0092352E">
        <w:rPr>
          <w:sz w:val="24"/>
          <w:szCs w:val="24"/>
        </w:rPr>
        <w:t xml:space="preserve"> hours for the following reasons: (1) the change in the number of </w:t>
      </w:r>
      <w:r w:rsidRPr="00EA1C58" w:rsidR="00337D52">
        <w:rPr>
          <w:sz w:val="24"/>
          <w:szCs w:val="24"/>
        </w:rPr>
        <w:t>total grantees</w:t>
      </w:r>
      <w:r w:rsidRPr="0092352E" w:rsidR="00337D52">
        <w:rPr>
          <w:sz w:val="24"/>
          <w:szCs w:val="24"/>
        </w:rPr>
        <w:t xml:space="preserve"> </w:t>
      </w:r>
      <w:r w:rsidRPr="0092352E">
        <w:rPr>
          <w:sz w:val="24"/>
          <w:szCs w:val="24"/>
        </w:rPr>
        <w:t>from 1,2</w:t>
      </w:r>
      <w:r w:rsidRPr="0092352E" w:rsidR="0010505D">
        <w:rPr>
          <w:sz w:val="24"/>
          <w:szCs w:val="24"/>
        </w:rPr>
        <w:t>84</w:t>
      </w:r>
      <w:r w:rsidRPr="0092352E">
        <w:rPr>
          <w:sz w:val="24"/>
          <w:szCs w:val="24"/>
        </w:rPr>
        <w:t xml:space="preserve"> to 1,</w:t>
      </w:r>
      <w:r w:rsidR="00E02CAB">
        <w:rPr>
          <w:sz w:val="24"/>
          <w:szCs w:val="24"/>
        </w:rPr>
        <w:t>300</w:t>
      </w:r>
      <w:r w:rsidRPr="0092352E">
        <w:rPr>
          <w:sz w:val="24"/>
          <w:szCs w:val="24"/>
        </w:rPr>
        <w:t xml:space="preserve">; and (2) respondents have spent additional time preparing and having documents executed electronically </w:t>
      </w:r>
      <w:r w:rsidRPr="00EA1C58" w:rsidR="0092352E">
        <w:rPr>
          <w:sz w:val="24"/>
          <w:szCs w:val="24"/>
        </w:rPr>
        <w:t>since and following the pandemic</w:t>
      </w:r>
      <w:r w:rsidRPr="0092352E">
        <w:rPr>
          <w:sz w:val="24"/>
          <w:szCs w:val="24"/>
        </w:rPr>
        <w:t>.</w:t>
      </w:r>
    </w:p>
    <w:p w:rsidR="00C36A60" w:rsidRPr="00DB4FA0" w:rsidP="003D6E34" w14:paraId="308D30AE" w14:textId="77777777">
      <w:pPr>
        <w:pStyle w:val="NoSpacing"/>
        <w:ind w:left="720"/>
        <w:rPr>
          <w:sz w:val="24"/>
          <w:szCs w:val="24"/>
        </w:rPr>
      </w:pPr>
    </w:p>
    <w:p w:rsidR="009E13B1" w:rsidP="004650F9" w14:paraId="2481329B" w14:textId="282801B8">
      <w:pPr>
        <w:pStyle w:val="NoSpacing"/>
        <w:numPr>
          <w:ilvl w:val="0"/>
          <w:numId w:val="19"/>
        </w:numPr>
        <w:rPr>
          <w:sz w:val="24"/>
          <w:szCs w:val="24"/>
        </w:rPr>
      </w:pPr>
      <w:r w:rsidRPr="00DB4FA0">
        <w:rPr>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36A60" w:rsidP="00C36A60" w14:paraId="119D2B28" w14:textId="77777777">
      <w:pPr>
        <w:pStyle w:val="NoSpacing"/>
        <w:rPr>
          <w:sz w:val="24"/>
          <w:szCs w:val="24"/>
        </w:rPr>
      </w:pPr>
    </w:p>
    <w:p w:rsidR="00C36A60" w:rsidRPr="00DB4FA0" w:rsidP="003D6E34" w14:paraId="2B18B800" w14:textId="4D50EF20">
      <w:pPr>
        <w:pStyle w:val="NoSpacing"/>
        <w:ind w:left="720"/>
        <w:rPr>
          <w:sz w:val="24"/>
          <w:szCs w:val="24"/>
        </w:rPr>
      </w:pPr>
      <w:r w:rsidRPr="00C36A60">
        <w:rPr>
          <w:sz w:val="24"/>
          <w:szCs w:val="24"/>
        </w:rPr>
        <w:t>The results of this information collection will not be published, nor will any complex analytical techniques be used.</w:t>
      </w:r>
    </w:p>
    <w:p w:rsidR="009E13B1" w:rsidRPr="00DB4FA0" w:rsidP="00DB4FA0" w14:paraId="0B7F33D0" w14:textId="77777777">
      <w:pPr>
        <w:pStyle w:val="NoSpacing"/>
        <w:rPr>
          <w:sz w:val="24"/>
          <w:szCs w:val="24"/>
        </w:rPr>
      </w:pPr>
    </w:p>
    <w:p w:rsidR="009E13B1" w:rsidRPr="00DB4FA0" w:rsidP="00C55E17" w14:paraId="29F35B53" w14:textId="3C8AAFFF">
      <w:pPr>
        <w:pStyle w:val="NoSpacing"/>
        <w:numPr>
          <w:ilvl w:val="0"/>
          <w:numId w:val="19"/>
        </w:numPr>
        <w:rPr>
          <w:sz w:val="24"/>
          <w:szCs w:val="24"/>
        </w:rPr>
      </w:pPr>
      <w:r w:rsidRPr="00DB4FA0">
        <w:rPr>
          <w:sz w:val="24"/>
          <w:szCs w:val="24"/>
        </w:rPr>
        <w:t>If seeking approval to not display the expiration date for OMB approval of the information collection, explain the reasons that display would be inappropriate.</w:t>
      </w:r>
    </w:p>
    <w:p w:rsidR="00C36A60" w:rsidP="00DB4FA0" w14:paraId="5C68C1E4" w14:textId="77777777">
      <w:pPr>
        <w:pStyle w:val="NoSpacing"/>
        <w:rPr>
          <w:sz w:val="24"/>
          <w:szCs w:val="24"/>
        </w:rPr>
      </w:pPr>
    </w:p>
    <w:p w:rsidR="009E13B1" w:rsidP="003D6E34" w14:paraId="780351CC" w14:textId="38BD9779">
      <w:pPr>
        <w:pStyle w:val="NoSpacing"/>
        <w:ind w:left="360" w:firstLine="360"/>
        <w:rPr>
          <w:sz w:val="24"/>
          <w:szCs w:val="24"/>
        </w:rPr>
      </w:pPr>
      <w:r w:rsidRPr="00C36A60">
        <w:rPr>
          <w:sz w:val="24"/>
          <w:szCs w:val="24"/>
        </w:rPr>
        <w:t>HUD will display the expiration date for OMB approval of this information collection.</w:t>
      </w:r>
    </w:p>
    <w:p w:rsidR="00C55E17" w:rsidRPr="00DB4FA0" w:rsidP="00DB4FA0" w14:paraId="3A5A3A5F" w14:textId="77777777">
      <w:pPr>
        <w:pStyle w:val="NoSpacing"/>
        <w:rPr>
          <w:sz w:val="24"/>
          <w:szCs w:val="24"/>
        </w:rPr>
      </w:pPr>
    </w:p>
    <w:p w:rsidR="009E13B1" w:rsidRPr="00DB4FA0" w:rsidP="00C55E17" w14:paraId="3265E65D" w14:textId="4ACAD699">
      <w:pPr>
        <w:pStyle w:val="NoSpacing"/>
        <w:numPr>
          <w:ilvl w:val="0"/>
          <w:numId w:val="19"/>
        </w:numPr>
        <w:rPr>
          <w:sz w:val="24"/>
          <w:szCs w:val="24"/>
        </w:rPr>
      </w:pPr>
      <w:r w:rsidRPr="00DB4FA0">
        <w:rPr>
          <w:sz w:val="24"/>
          <w:szCs w:val="24"/>
        </w:rPr>
        <w:t>Explain each exception to the certification statement.</w:t>
      </w:r>
    </w:p>
    <w:p w:rsidR="00C55E17" w:rsidP="00DB4FA0" w14:paraId="628BF683" w14:textId="77777777">
      <w:pPr>
        <w:pStyle w:val="NoSpacing"/>
        <w:rPr>
          <w:sz w:val="24"/>
          <w:szCs w:val="24"/>
        </w:rPr>
      </w:pPr>
    </w:p>
    <w:p w:rsidR="00C55E17" w:rsidRPr="00DB4FA0" w:rsidP="003D6E34" w14:paraId="46AEA16F" w14:textId="3B294694">
      <w:pPr>
        <w:pStyle w:val="NoSpacing"/>
        <w:ind w:left="360" w:firstLine="360"/>
        <w:rPr>
          <w:sz w:val="24"/>
          <w:szCs w:val="24"/>
        </w:rPr>
      </w:pPr>
      <w:r w:rsidRPr="00C36A60">
        <w:rPr>
          <w:sz w:val="24"/>
          <w:szCs w:val="24"/>
        </w:rPr>
        <w:t>HUD does not request an exception to the certification of this information collection.</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61E66BE"/>
    <w:multiLevelType w:val="hybridMultilevel"/>
    <w:tmpl w:val="830CD6F8"/>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2">
    <w:nsid w:val="06C568D2"/>
    <w:multiLevelType w:val="hybridMultilevel"/>
    <w:tmpl w:val="146CDB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467B7B"/>
    <w:multiLevelType w:val="hybridMultilevel"/>
    <w:tmpl w:val="67C21BE6"/>
    <w:lvl w:ilvl="0">
      <w:start w:val="1"/>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67A695A"/>
    <w:multiLevelType w:val="hybridMultilevel"/>
    <w:tmpl w:val="4A5ADC2E"/>
    <w:lvl w:ilvl="0">
      <w:start w:val="1"/>
      <w:numFmt w:val="decimal"/>
      <w:lvlText w:val="%1."/>
      <w:lvlJc w:val="left"/>
      <w:pPr>
        <w:ind w:left="198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22682FD7"/>
    <w:multiLevelType w:val="hybridMultilevel"/>
    <w:tmpl w:val="0AAC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231D5714"/>
    <w:multiLevelType w:val="hybridMultilevel"/>
    <w:tmpl w:val="EF482C3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C65D64"/>
    <w:multiLevelType w:val="hybridMultilevel"/>
    <w:tmpl w:val="F9FA94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6E15F8"/>
    <w:multiLevelType w:val="hybridMultilevel"/>
    <w:tmpl w:val="6F765B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44DF63FF"/>
    <w:multiLevelType w:val="hybridMultilevel"/>
    <w:tmpl w:val="171E1B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53F5759"/>
    <w:multiLevelType w:val="hybridMultilevel"/>
    <w:tmpl w:val="5EE86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522270"/>
    <w:multiLevelType w:val="hybridMultilevel"/>
    <w:tmpl w:val="CD48E8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6006044D"/>
    <w:multiLevelType w:val="hybridMultilevel"/>
    <w:tmpl w:val="09765EC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A07680"/>
    <w:multiLevelType w:val="hybridMultilevel"/>
    <w:tmpl w:val="A75AA5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9C504C6"/>
    <w:multiLevelType w:val="hybridMultilevel"/>
    <w:tmpl w:val="84B6D128"/>
    <w:lvl w:ilvl="0">
      <w:start w:val="1"/>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5B332F8"/>
    <w:multiLevelType w:val="hybridMultilevel"/>
    <w:tmpl w:val="46F46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124BDD"/>
    <w:multiLevelType w:val="hybridMultilevel"/>
    <w:tmpl w:val="5A90A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476609236">
    <w:abstractNumId w:val="9"/>
  </w:num>
  <w:num w:numId="2" w16cid:durableId="1671525457">
    <w:abstractNumId w:val="5"/>
  </w:num>
  <w:num w:numId="3" w16cid:durableId="212470497">
    <w:abstractNumId w:val="19"/>
  </w:num>
  <w:num w:numId="4" w16cid:durableId="15349399">
    <w:abstractNumId w:val="13"/>
  </w:num>
  <w:num w:numId="5" w16cid:durableId="2006781123">
    <w:abstractNumId w:val="14"/>
  </w:num>
  <w:num w:numId="6" w16cid:durableId="927814916">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4302676">
    <w:abstractNumId w:val="6"/>
  </w:num>
  <w:num w:numId="8" w16cid:durableId="64185697">
    <w:abstractNumId w:val="27"/>
  </w:num>
  <w:num w:numId="9" w16cid:durableId="1961302834">
    <w:abstractNumId w:val="4"/>
  </w:num>
  <w:num w:numId="10" w16cid:durableId="2123645851">
    <w:abstractNumId w:val="26"/>
  </w:num>
  <w:num w:numId="11" w16cid:durableId="1332761230">
    <w:abstractNumId w:val="23"/>
  </w:num>
  <w:num w:numId="12" w16cid:durableId="1381899449">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625887492">
    <w:abstractNumId w:val="18"/>
  </w:num>
  <w:num w:numId="14" w16cid:durableId="141847644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2050955730">
    <w:abstractNumId w:val="7"/>
  </w:num>
  <w:num w:numId="16" w16cid:durableId="1418936866">
    <w:abstractNumId w:val="1"/>
  </w:num>
  <w:num w:numId="17" w16cid:durableId="999191510">
    <w:abstractNumId w:val="12"/>
  </w:num>
  <w:num w:numId="18" w16cid:durableId="1244611327">
    <w:abstractNumId w:val="10"/>
  </w:num>
  <w:num w:numId="19" w16cid:durableId="397094364">
    <w:abstractNumId w:val="20"/>
  </w:num>
  <w:num w:numId="20" w16cid:durableId="1112555774">
    <w:abstractNumId w:val="8"/>
  </w:num>
  <w:num w:numId="21" w16cid:durableId="232470966">
    <w:abstractNumId w:val="16"/>
  </w:num>
  <w:num w:numId="22" w16cid:durableId="1198857281">
    <w:abstractNumId w:val="11"/>
  </w:num>
  <w:num w:numId="23" w16cid:durableId="1322656457">
    <w:abstractNumId w:val="24"/>
  </w:num>
  <w:num w:numId="24" w16cid:durableId="337735228">
    <w:abstractNumId w:val="15"/>
  </w:num>
  <w:num w:numId="25" w16cid:durableId="1919173317">
    <w:abstractNumId w:val="17"/>
  </w:num>
  <w:num w:numId="26" w16cid:durableId="1148977704">
    <w:abstractNumId w:val="21"/>
  </w:num>
  <w:num w:numId="27" w16cid:durableId="1373115492">
    <w:abstractNumId w:val="25"/>
  </w:num>
  <w:num w:numId="28" w16cid:durableId="1615407359">
    <w:abstractNumId w:val="2"/>
  </w:num>
  <w:num w:numId="29" w16cid:durableId="1502504388">
    <w:abstractNumId w:val="22"/>
  </w:num>
  <w:num w:numId="30" w16cid:durableId="1225339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753"/>
    <w:rsid w:val="00040572"/>
    <w:rsid w:val="00056F97"/>
    <w:rsid w:val="00060336"/>
    <w:rsid w:val="000735C7"/>
    <w:rsid w:val="00075095"/>
    <w:rsid w:val="00076643"/>
    <w:rsid w:val="0008597F"/>
    <w:rsid w:val="00092D5F"/>
    <w:rsid w:val="00095A4D"/>
    <w:rsid w:val="000A1639"/>
    <w:rsid w:val="000A7603"/>
    <w:rsid w:val="000C117C"/>
    <w:rsid w:val="000C38FD"/>
    <w:rsid w:val="000C6430"/>
    <w:rsid w:val="000D5079"/>
    <w:rsid w:val="000E00A8"/>
    <w:rsid w:val="000E2A89"/>
    <w:rsid w:val="000F45DA"/>
    <w:rsid w:val="001040C3"/>
    <w:rsid w:val="0010505D"/>
    <w:rsid w:val="00107E4C"/>
    <w:rsid w:val="001162F0"/>
    <w:rsid w:val="00130D4B"/>
    <w:rsid w:val="00136D6C"/>
    <w:rsid w:val="00141FD2"/>
    <w:rsid w:val="0014202E"/>
    <w:rsid w:val="00150179"/>
    <w:rsid w:val="00160049"/>
    <w:rsid w:val="00161C58"/>
    <w:rsid w:val="00167D97"/>
    <w:rsid w:val="00167E53"/>
    <w:rsid w:val="001728FB"/>
    <w:rsid w:val="0017738A"/>
    <w:rsid w:val="0019464A"/>
    <w:rsid w:val="001C25CE"/>
    <w:rsid w:val="001D5529"/>
    <w:rsid w:val="001F56D5"/>
    <w:rsid w:val="001F7ACF"/>
    <w:rsid w:val="0020409A"/>
    <w:rsid w:val="00207C6D"/>
    <w:rsid w:val="002119E4"/>
    <w:rsid w:val="00212A9C"/>
    <w:rsid w:val="002167BC"/>
    <w:rsid w:val="00221DC2"/>
    <w:rsid w:val="00222F73"/>
    <w:rsid w:val="00226BE1"/>
    <w:rsid w:val="002313E8"/>
    <w:rsid w:val="0023256B"/>
    <w:rsid w:val="00236ACA"/>
    <w:rsid w:val="002477A5"/>
    <w:rsid w:val="002501BA"/>
    <w:rsid w:val="00254177"/>
    <w:rsid w:val="0026550C"/>
    <w:rsid w:val="00276614"/>
    <w:rsid w:val="002833FF"/>
    <w:rsid w:val="00285E11"/>
    <w:rsid w:val="00290200"/>
    <w:rsid w:val="00291370"/>
    <w:rsid w:val="002B1F46"/>
    <w:rsid w:val="002B4461"/>
    <w:rsid w:val="002B6A3F"/>
    <w:rsid w:val="002C1278"/>
    <w:rsid w:val="002C3EF5"/>
    <w:rsid w:val="002C5BA8"/>
    <w:rsid w:val="002C7B59"/>
    <w:rsid w:val="002E0294"/>
    <w:rsid w:val="002E7434"/>
    <w:rsid w:val="002F1C7F"/>
    <w:rsid w:val="002F510E"/>
    <w:rsid w:val="002F6CE8"/>
    <w:rsid w:val="00305298"/>
    <w:rsid w:val="00305714"/>
    <w:rsid w:val="00323162"/>
    <w:rsid w:val="00324BB3"/>
    <w:rsid w:val="00327992"/>
    <w:rsid w:val="00337198"/>
    <w:rsid w:val="00337D52"/>
    <w:rsid w:val="00344AC9"/>
    <w:rsid w:val="003468AE"/>
    <w:rsid w:val="003475D7"/>
    <w:rsid w:val="003579C6"/>
    <w:rsid w:val="00360090"/>
    <w:rsid w:val="003644C1"/>
    <w:rsid w:val="00366CD6"/>
    <w:rsid w:val="0037197D"/>
    <w:rsid w:val="003840FA"/>
    <w:rsid w:val="003845BA"/>
    <w:rsid w:val="00397F91"/>
    <w:rsid w:val="003A50C9"/>
    <w:rsid w:val="003A7FCC"/>
    <w:rsid w:val="003B49E6"/>
    <w:rsid w:val="003B7221"/>
    <w:rsid w:val="003C6570"/>
    <w:rsid w:val="003C6F68"/>
    <w:rsid w:val="003D4FBE"/>
    <w:rsid w:val="003D67BA"/>
    <w:rsid w:val="003D6E34"/>
    <w:rsid w:val="003E3813"/>
    <w:rsid w:val="003F2B60"/>
    <w:rsid w:val="00400FAB"/>
    <w:rsid w:val="00411456"/>
    <w:rsid w:val="0041337D"/>
    <w:rsid w:val="00413947"/>
    <w:rsid w:val="00423478"/>
    <w:rsid w:val="00440305"/>
    <w:rsid w:val="00450591"/>
    <w:rsid w:val="004650F9"/>
    <w:rsid w:val="004665D1"/>
    <w:rsid w:val="00471CA9"/>
    <w:rsid w:val="00490B68"/>
    <w:rsid w:val="00491466"/>
    <w:rsid w:val="004A57C7"/>
    <w:rsid w:val="004A5C1E"/>
    <w:rsid w:val="004A7ADC"/>
    <w:rsid w:val="004B0F39"/>
    <w:rsid w:val="004B45BE"/>
    <w:rsid w:val="004B7481"/>
    <w:rsid w:val="004D2741"/>
    <w:rsid w:val="004E0A30"/>
    <w:rsid w:val="004E558B"/>
    <w:rsid w:val="004F01DF"/>
    <w:rsid w:val="004F33C3"/>
    <w:rsid w:val="004F4CFB"/>
    <w:rsid w:val="005015CE"/>
    <w:rsid w:val="00505668"/>
    <w:rsid w:val="0051520A"/>
    <w:rsid w:val="0052288A"/>
    <w:rsid w:val="005237B9"/>
    <w:rsid w:val="00532200"/>
    <w:rsid w:val="00541902"/>
    <w:rsid w:val="00547717"/>
    <w:rsid w:val="00551E0C"/>
    <w:rsid w:val="005540C8"/>
    <w:rsid w:val="0056056F"/>
    <w:rsid w:val="005635FF"/>
    <w:rsid w:val="00565F7F"/>
    <w:rsid w:val="00575C5B"/>
    <w:rsid w:val="0058747D"/>
    <w:rsid w:val="00587925"/>
    <w:rsid w:val="00592FDB"/>
    <w:rsid w:val="005B3191"/>
    <w:rsid w:val="005B6959"/>
    <w:rsid w:val="005B6DFC"/>
    <w:rsid w:val="005C47AD"/>
    <w:rsid w:val="005D311E"/>
    <w:rsid w:val="005D3DA9"/>
    <w:rsid w:val="005D4A50"/>
    <w:rsid w:val="005E33BE"/>
    <w:rsid w:val="005F7343"/>
    <w:rsid w:val="0061726E"/>
    <w:rsid w:val="00617C1C"/>
    <w:rsid w:val="006205B4"/>
    <w:rsid w:val="006233F3"/>
    <w:rsid w:val="00635F76"/>
    <w:rsid w:val="006374C2"/>
    <w:rsid w:val="00662F9E"/>
    <w:rsid w:val="0067193F"/>
    <w:rsid w:val="00674631"/>
    <w:rsid w:val="006833A6"/>
    <w:rsid w:val="00684584"/>
    <w:rsid w:val="00686292"/>
    <w:rsid w:val="006905D9"/>
    <w:rsid w:val="00695C13"/>
    <w:rsid w:val="006B2A00"/>
    <w:rsid w:val="006B46DA"/>
    <w:rsid w:val="006B50B0"/>
    <w:rsid w:val="006B7674"/>
    <w:rsid w:val="006C4830"/>
    <w:rsid w:val="006C6C87"/>
    <w:rsid w:val="006C7FAE"/>
    <w:rsid w:val="006E1BFE"/>
    <w:rsid w:val="006E7F2E"/>
    <w:rsid w:val="006F3B8C"/>
    <w:rsid w:val="00707E7D"/>
    <w:rsid w:val="007252ED"/>
    <w:rsid w:val="007338F3"/>
    <w:rsid w:val="007346BB"/>
    <w:rsid w:val="00734F6B"/>
    <w:rsid w:val="00740D01"/>
    <w:rsid w:val="007426E3"/>
    <w:rsid w:val="00751D28"/>
    <w:rsid w:val="007547CB"/>
    <w:rsid w:val="00762887"/>
    <w:rsid w:val="00765127"/>
    <w:rsid w:val="00774806"/>
    <w:rsid w:val="007918B8"/>
    <w:rsid w:val="0079199B"/>
    <w:rsid w:val="00793F96"/>
    <w:rsid w:val="007A43E2"/>
    <w:rsid w:val="007A7FFE"/>
    <w:rsid w:val="007B2B99"/>
    <w:rsid w:val="007B4A33"/>
    <w:rsid w:val="007C0A9D"/>
    <w:rsid w:val="007C46D0"/>
    <w:rsid w:val="007C47C2"/>
    <w:rsid w:val="007C6421"/>
    <w:rsid w:val="007D4E34"/>
    <w:rsid w:val="007D50AD"/>
    <w:rsid w:val="007E5AC8"/>
    <w:rsid w:val="007E5CEE"/>
    <w:rsid w:val="007E626E"/>
    <w:rsid w:val="007E6B13"/>
    <w:rsid w:val="007F557D"/>
    <w:rsid w:val="007F639D"/>
    <w:rsid w:val="007F77D0"/>
    <w:rsid w:val="008021A1"/>
    <w:rsid w:val="0081300C"/>
    <w:rsid w:val="00820FC9"/>
    <w:rsid w:val="00823114"/>
    <w:rsid w:val="008259A1"/>
    <w:rsid w:val="00830FE4"/>
    <w:rsid w:val="008314BA"/>
    <w:rsid w:val="00832BE4"/>
    <w:rsid w:val="00833C04"/>
    <w:rsid w:val="008350B7"/>
    <w:rsid w:val="0083741E"/>
    <w:rsid w:val="008413A1"/>
    <w:rsid w:val="008446E8"/>
    <w:rsid w:val="008456FE"/>
    <w:rsid w:val="008520D9"/>
    <w:rsid w:val="008558EA"/>
    <w:rsid w:val="00855EAB"/>
    <w:rsid w:val="008653F9"/>
    <w:rsid w:val="00880AC6"/>
    <w:rsid w:val="0089061C"/>
    <w:rsid w:val="008968FF"/>
    <w:rsid w:val="00897104"/>
    <w:rsid w:val="008A20DA"/>
    <w:rsid w:val="008A7175"/>
    <w:rsid w:val="008B645C"/>
    <w:rsid w:val="008C6332"/>
    <w:rsid w:val="008C6695"/>
    <w:rsid w:val="008D7197"/>
    <w:rsid w:val="008F0BAD"/>
    <w:rsid w:val="00902F23"/>
    <w:rsid w:val="0090321D"/>
    <w:rsid w:val="00905D50"/>
    <w:rsid w:val="009076DC"/>
    <w:rsid w:val="0091082E"/>
    <w:rsid w:val="00910EFA"/>
    <w:rsid w:val="00913F57"/>
    <w:rsid w:val="0092352E"/>
    <w:rsid w:val="009304B7"/>
    <w:rsid w:val="00931D66"/>
    <w:rsid w:val="00935F3A"/>
    <w:rsid w:val="00936CC4"/>
    <w:rsid w:val="00942223"/>
    <w:rsid w:val="00950A9A"/>
    <w:rsid w:val="00954D9E"/>
    <w:rsid w:val="009660E1"/>
    <w:rsid w:val="0096787C"/>
    <w:rsid w:val="009779DF"/>
    <w:rsid w:val="00987631"/>
    <w:rsid w:val="00987A81"/>
    <w:rsid w:val="00995D1B"/>
    <w:rsid w:val="009B4C8D"/>
    <w:rsid w:val="009B6741"/>
    <w:rsid w:val="009B67AE"/>
    <w:rsid w:val="009C65A6"/>
    <w:rsid w:val="009D0F92"/>
    <w:rsid w:val="009D1103"/>
    <w:rsid w:val="009D5C39"/>
    <w:rsid w:val="009E0C3E"/>
    <w:rsid w:val="009E13B1"/>
    <w:rsid w:val="009F02BB"/>
    <w:rsid w:val="009F38B3"/>
    <w:rsid w:val="009F43E4"/>
    <w:rsid w:val="00A11D2C"/>
    <w:rsid w:val="00A1372F"/>
    <w:rsid w:val="00A339B2"/>
    <w:rsid w:val="00A34248"/>
    <w:rsid w:val="00A37C7A"/>
    <w:rsid w:val="00A44049"/>
    <w:rsid w:val="00A46139"/>
    <w:rsid w:val="00A47BBB"/>
    <w:rsid w:val="00A531B0"/>
    <w:rsid w:val="00A53735"/>
    <w:rsid w:val="00A53E4F"/>
    <w:rsid w:val="00A5587B"/>
    <w:rsid w:val="00A57569"/>
    <w:rsid w:val="00A61E22"/>
    <w:rsid w:val="00A65D7D"/>
    <w:rsid w:val="00A65F9E"/>
    <w:rsid w:val="00A71680"/>
    <w:rsid w:val="00A716AD"/>
    <w:rsid w:val="00A73AA7"/>
    <w:rsid w:val="00A83E46"/>
    <w:rsid w:val="00A868A2"/>
    <w:rsid w:val="00A94258"/>
    <w:rsid w:val="00AA39E3"/>
    <w:rsid w:val="00AA54DB"/>
    <w:rsid w:val="00AB0759"/>
    <w:rsid w:val="00AD1665"/>
    <w:rsid w:val="00AE4757"/>
    <w:rsid w:val="00AE7A60"/>
    <w:rsid w:val="00B01940"/>
    <w:rsid w:val="00B03398"/>
    <w:rsid w:val="00B04BA6"/>
    <w:rsid w:val="00B147D7"/>
    <w:rsid w:val="00B1526A"/>
    <w:rsid w:val="00B2018E"/>
    <w:rsid w:val="00B260DF"/>
    <w:rsid w:val="00B27FEE"/>
    <w:rsid w:val="00B471A3"/>
    <w:rsid w:val="00B476E0"/>
    <w:rsid w:val="00B56581"/>
    <w:rsid w:val="00B60EC0"/>
    <w:rsid w:val="00B64257"/>
    <w:rsid w:val="00B64B57"/>
    <w:rsid w:val="00B84725"/>
    <w:rsid w:val="00B90151"/>
    <w:rsid w:val="00B92462"/>
    <w:rsid w:val="00B92DA2"/>
    <w:rsid w:val="00B94401"/>
    <w:rsid w:val="00B951F9"/>
    <w:rsid w:val="00BB2518"/>
    <w:rsid w:val="00BB4B92"/>
    <w:rsid w:val="00BC10AF"/>
    <w:rsid w:val="00BC50C0"/>
    <w:rsid w:val="00BD16AE"/>
    <w:rsid w:val="00BE08A3"/>
    <w:rsid w:val="00BE3D1C"/>
    <w:rsid w:val="00BE6B4B"/>
    <w:rsid w:val="00BF584E"/>
    <w:rsid w:val="00C046F3"/>
    <w:rsid w:val="00C200CB"/>
    <w:rsid w:val="00C26693"/>
    <w:rsid w:val="00C31F7C"/>
    <w:rsid w:val="00C36A60"/>
    <w:rsid w:val="00C36FDA"/>
    <w:rsid w:val="00C55E17"/>
    <w:rsid w:val="00C57ADA"/>
    <w:rsid w:val="00C61260"/>
    <w:rsid w:val="00C66C8B"/>
    <w:rsid w:val="00C85C38"/>
    <w:rsid w:val="00C86B07"/>
    <w:rsid w:val="00C86C03"/>
    <w:rsid w:val="00C86FB8"/>
    <w:rsid w:val="00C920A9"/>
    <w:rsid w:val="00CA06CC"/>
    <w:rsid w:val="00CA6D14"/>
    <w:rsid w:val="00CB11EE"/>
    <w:rsid w:val="00CB5759"/>
    <w:rsid w:val="00CB5D06"/>
    <w:rsid w:val="00CB6843"/>
    <w:rsid w:val="00CC0430"/>
    <w:rsid w:val="00CC05EC"/>
    <w:rsid w:val="00CC0839"/>
    <w:rsid w:val="00CC4B95"/>
    <w:rsid w:val="00CC513F"/>
    <w:rsid w:val="00CD2577"/>
    <w:rsid w:val="00CD7B69"/>
    <w:rsid w:val="00CE1567"/>
    <w:rsid w:val="00CE4199"/>
    <w:rsid w:val="00CE59C3"/>
    <w:rsid w:val="00CE7939"/>
    <w:rsid w:val="00CF43EA"/>
    <w:rsid w:val="00D0440A"/>
    <w:rsid w:val="00D17EA2"/>
    <w:rsid w:val="00D2547B"/>
    <w:rsid w:val="00D274E5"/>
    <w:rsid w:val="00D301DB"/>
    <w:rsid w:val="00D438EB"/>
    <w:rsid w:val="00D464D5"/>
    <w:rsid w:val="00D46D3C"/>
    <w:rsid w:val="00D47564"/>
    <w:rsid w:val="00D717DB"/>
    <w:rsid w:val="00D74136"/>
    <w:rsid w:val="00D75459"/>
    <w:rsid w:val="00D91F93"/>
    <w:rsid w:val="00DA16AA"/>
    <w:rsid w:val="00DB4FA0"/>
    <w:rsid w:val="00DD29E3"/>
    <w:rsid w:val="00DD305C"/>
    <w:rsid w:val="00DD3286"/>
    <w:rsid w:val="00DD33DE"/>
    <w:rsid w:val="00DD777D"/>
    <w:rsid w:val="00DE1544"/>
    <w:rsid w:val="00DE481D"/>
    <w:rsid w:val="00DF673E"/>
    <w:rsid w:val="00DF77CA"/>
    <w:rsid w:val="00E00EF0"/>
    <w:rsid w:val="00E01140"/>
    <w:rsid w:val="00E02CAB"/>
    <w:rsid w:val="00E0466C"/>
    <w:rsid w:val="00E0757B"/>
    <w:rsid w:val="00E17376"/>
    <w:rsid w:val="00E23FBC"/>
    <w:rsid w:val="00E2737B"/>
    <w:rsid w:val="00E64225"/>
    <w:rsid w:val="00E9728A"/>
    <w:rsid w:val="00EA1C58"/>
    <w:rsid w:val="00EA362B"/>
    <w:rsid w:val="00EB0153"/>
    <w:rsid w:val="00ED0CED"/>
    <w:rsid w:val="00ED0E76"/>
    <w:rsid w:val="00EE77F5"/>
    <w:rsid w:val="00EF5D98"/>
    <w:rsid w:val="00F059EA"/>
    <w:rsid w:val="00F104C4"/>
    <w:rsid w:val="00F125AD"/>
    <w:rsid w:val="00F172F8"/>
    <w:rsid w:val="00F247D9"/>
    <w:rsid w:val="00F25871"/>
    <w:rsid w:val="00F263D2"/>
    <w:rsid w:val="00F27C8F"/>
    <w:rsid w:val="00F337B2"/>
    <w:rsid w:val="00F40C29"/>
    <w:rsid w:val="00F469BE"/>
    <w:rsid w:val="00F504C0"/>
    <w:rsid w:val="00F5145B"/>
    <w:rsid w:val="00F56D2C"/>
    <w:rsid w:val="00F610B3"/>
    <w:rsid w:val="00F616DB"/>
    <w:rsid w:val="00FB1DAC"/>
    <w:rsid w:val="00FB5D54"/>
    <w:rsid w:val="00FC0F41"/>
    <w:rsid w:val="00FC5519"/>
    <w:rsid w:val="00FD324E"/>
    <w:rsid w:val="00FE2100"/>
    <w:rsid w:val="00FF2B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D0B27D"/>
  <w15:chartTrackingRefBased/>
  <w15:docId w15:val="{0FDFD864-BABF-419E-8550-4E5BFC04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DB4FA0"/>
    <w:pPr>
      <w:overflowPunct w:val="0"/>
      <w:autoSpaceDE w:val="0"/>
      <w:autoSpaceDN w:val="0"/>
      <w:adjustRightInd w:val="0"/>
      <w:textAlignment w:val="baseline"/>
    </w:pPr>
  </w:style>
  <w:style w:type="paragraph" w:styleId="Revision">
    <w:name w:val="Revision"/>
    <w:hidden/>
    <w:uiPriority w:val="99"/>
    <w:semiHidden/>
    <w:rsid w:val="00A34248"/>
  </w:style>
  <w:style w:type="character" w:styleId="CommentReference">
    <w:name w:val="annotation reference"/>
    <w:basedOn w:val="DefaultParagraphFont"/>
    <w:uiPriority w:val="99"/>
    <w:semiHidden/>
    <w:unhideWhenUsed/>
    <w:rsid w:val="00F616DB"/>
    <w:rPr>
      <w:sz w:val="16"/>
      <w:szCs w:val="16"/>
    </w:rPr>
  </w:style>
  <w:style w:type="paragraph" w:styleId="CommentText">
    <w:name w:val="annotation text"/>
    <w:basedOn w:val="Normal"/>
    <w:link w:val="CommentTextChar"/>
    <w:uiPriority w:val="99"/>
    <w:unhideWhenUsed/>
    <w:rsid w:val="00F616DB"/>
  </w:style>
  <w:style w:type="character" w:customStyle="1" w:styleId="CommentTextChar">
    <w:name w:val="Comment Text Char"/>
    <w:basedOn w:val="DefaultParagraphFont"/>
    <w:link w:val="CommentText"/>
    <w:uiPriority w:val="99"/>
    <w:rsid w:val="00F616DB"/>
  </w:style>
  <w:style w:type="paragraph" w:styleId="CommentSubject">
    <w:name w:val="annotation subject"/>
    <w:basedOn w:val="CommentText"/>
    <w:next w:val="CommentText"/>
    <w:link w:val="CommentSubjectChar"/>
    <w:uiPriority w:val="99"/>
    <w:semiHidden/>
    <w:unhideWhenUsed/>
    <w:rsid w:val="00F616DB"/>
    <w:rPr>
      <w:b/>
      <w:bCs/>
    </w:rPr>
  </w:style>
  <w:style w:type="character" w:customStyle="1" w:styleId="CommentSubjectChar">
    <w:name w:val="Comment Subject Char"/>
    <w:basedOn w:val="CommentTextChar"/>
    <w:link w:val="CommentSubject"/>
    <w:uiPriority w:val="99"/>
    <w:semiHidden/>
    <w:rsid w:val="00F616DB"/>
    <w:rPr>
      <w:b/>
      <w:bCs/>
    </w:rPr>
  </w:style>
  <w:style w:type="table" w:styleId="TableGrid">
    <w:name w:val="Table Grid"/>
    <w:basedOn w:val="TableNormal"/>
    <w:uiPriority w:val="59"/>
    <w:rsid w:val="002902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HUDOGC-1479810509-73333</_dlc_DocId>
    <lcf76f155ced4ddcb4097134ff3c332f xmlns="1ea71733-1480-480c-8178-737b92910626">
      <Terms xmlns="http://schemas.microsoft.com/office/infopath/2007/PartnerControls"/>
    </lcf76f155ced4ddcb4097134ff3c332f>
    <TaxCatchAll xmlns="d4a638c4-874f-49c0-bb2b-5cb8563c2b18" xsi:nil="true"/>
    <_dlc_DocIdUrl xmlns="d4a638c4-874f-49c0-bb2b-5cb8563c2b18">
      <Url>https://hudgov.sharepoint.com/sites/OGC/OLR/_layouts/15/DocIdRedir.aspx?ID=HUDOGC-1479810509-73333</Url>
      <Description>HUDOGC-1479810509-73333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B740C-E126-4365-BBB5-D9CA05FE8EE2}">
  <ds:schemaRefs>
    <ds:schemaRef ds:uri="http://schemas.microsoft.com/office/2006/metadata/properties"/>
    <ds:schemaRef ds:uri="http://schemas.microsoft.com/office/infopath/2007/PartnerControls"/>
    <ds:schemaRef ds:uri="d4a638c4-874f-49c0-bb2b-5cb8563c2b18"/>
    <ds:schemaRef ds:uri="1ea71733-1480-480c-8178-737b92910626"/>
  </ds:schemaRefs>
</ds:datastoreItem>
</file>

<file path=customXml/itemProps2.xml><?xml version="1.0" encoding="utf-8"?>
<ds:datastoreItem xmlns:ds="http://schemas.openxmlformats.org/officeDocument/2006/customXml" ds:itemID="{5B8248AD-FE05-43B0-B384-9256EA12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Coates, Gloria L</dc:creator>
  <cp:lastModifiedBy>Guido, Anna P</cp:lastModifiedBy>
  <cp:revision>2</cp:revision>
  <cp:lastPrinted>2025-05-02T13:22:00Z</cp:lastPrinted>
  <dcterms:created xsi:type="dcterms:W3CDTF">2025-11-24T20:40:00Z</dcterms:created>
  <dcterms:modified xsi:type="dcterms:W3CDTF">2025-11-24T20:40:00Z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bf514c86-27dc-47f4-94cb-38c2d541b556</vt:lpwstr>
  </property>
</Properties>
</file>