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090A" w14:paraId="7FE02FCC" w14:textId="77777777">
      <w:pPr>
        <w:pStyle w:val="BodyText"/>
        <w:ind w:left="105"/>
        <w:rPr>
          <w:rFonts w:ascii="Times New Roman"/>
          <w:sz w:val="20"/>
        </w:rPr>
      </w:pPr>
      <w:r>
        <w:rPr>
          <w:rFonts w:ascii="Times New Roman"/>
          <w:noProof/>
          <w:sz w:val="20"/>
        </w:rPr>
        <w:drawing>
          <wp:inline distT="0" distB="0" distL="0" distR="0">
            <wp:extent cx="496229" cy="23802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496229" cy="238029"/>
                    </a:xfrm>
                    <a:prstGeom prst="rect">
                      <a:avLst/>
                    </a:prstGeom>
                  </pic:spPr>
                </pic:pic>
              </a:graphicData>
            </a:graphic>
          </wp:inline>
        </w:drawing>
      </w:r>
    </w:p>
    <w:p w:rsidR="003A090A" w14:paraId="56969BF2" w14:textId="77777777">
      <w:pPr>
        <w:tabs>
          <w:tab w:val="left" w:pos="9988"/>
        </w:tabs>
        <w:ind w:left="2038"/>
        <w:rPr>
          <w:rFonts w:ascii="Book Antiqua"/>
          <w:b/>
        </w:rPr>
      </w:pPr>
      <w:r>
        <w:rPr>
          <w:noProof/>
        </w:rPr>
        <mc:AlternateContent>
          <mc:Choice Requires="wpg">
            <w:drawing>
              <wp:anchor distT="0" distB="0" distL="0" distR="0" simplePos="0" relativeHeight="251662336" behindDoc="1" locked="0" layoutInCell="1" allowOverlap="1">
                <wp:simplePos x="0" y="0"/>
                <wp:positionH relativeFrom="page">
                  <wp:posOffset>571500</wp:posOffset>
                </wp:positionH>
                <wp:positionV relativeFrom="paragraph">
                  <wp:posOffset>192404</wp:posOffset>
                </wp:positionV>
                <wp:extent cx="6629400" cy="6667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3" name="Graphic 3"/>
                        <wps:cNvSpPr/>
                        <wps:spPr>
                          <a:xfrm>
                            <a:off x="0" y="13970"/>
                            <a:ext cx="6629400" cy="1270"/>
                          </a:xfrm>
                          <a:custGeom>
                            <a:avLst/>
                            <a:gdLst/>
                            <a:rect l="l" t="t" r="r" b="b"/>
                            <a:pathLst>
                              <a:path fill="norm"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64769"/>
                            <a:ext cx="6629400" cy="1270"/>
                          </a:xfrm>
                          <a:custGeom>
                            <a:avLst/>
                            <a:gdLst/>
                            <a:rect l="l" t="t" r="r" b="b"/>
                            <a:pathLst>
                              <a:path fill="norm"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522pt;height:5.25pt;margin-top:15.15pt;margin-left:45pt;mso-position-horizontal-relative:page;mso-wrap-distance-left:0;mso-wrap-distance-right:0;position:absolute;z-index:-251653120" coordsize="66294,666">
                <v:shape id="Graphic 3" o:spid="_x0000_s1026" style="width:66294;height:13;mso-wrap-style:square;position:absolute;top:139;visibility:visible;v-text-anchor:top" coordsize="6629400,1270" path="m,l6629400,e" filled="f" strokeweight="2.2pt">
                  <v:path arrowok="t"/>
                </v:shape>
                <v:shape id="Graphic 4" o:spid="_x0000_s1027" style="width:66294;height:13;mso-wrap-style:square;position:absolute;top:647;visibility:visible;v-text-anchor:top" coordsize="6629400,1270" path="m,l6629400,e" filled="f" strokeweight="0.3pt">
                  <v:path arrowok="t"/>
                </v:shape>
                <w10:wrap type="topAndBottom"/>
              </v:group>
            </w:pict>
          </mc:Fallback>
        </mc:AlternateContent>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5"/>
          <w:sz w:val="20"/>
        </w:rPr>
        <w:t xml:space="preserve"> </w:t>
      </w:r>
      <w:r>
        <w:rPr>
          <w:sz w:val="20"/>
        </w:rPr>
        <w:t>/</w:t>
      </w:r>
      <w:r>
        <w:rPr>
          <w:spacing w:val="-9"/>
          <w:sz w:val="20"/>
        </w:rPr>
        <w:t xml:space="preserve"> </w:t>
      </w:r>
      <w:r>
        <w:rPr>
          <w:sz w:val="20"/>
        </w:rPr>
        <w:t>Vol.</w:t>
      </w:r>
      <w:r>
        <w:rPr>
          <w:spacing w:val="62"/>
          <w:sz w:val="20"/>
        </w:rPr>
        <w:t xml:space="preserve"> </w:t>
      </w:r>
      <w:r>
        <w:rPr>
          <w:sz w:val="20"/>
        </w:rPr>
        <w:t>89,</w:t>
      </w:r>
      <w:r>
        <w:rPr>
          <w:spacing w:val="62"/>
          <w:sz w:val="20"/>
        </w:rPr>
        <w:t xml:space="preserve"> </w:t>
      </w:r>
      <w:r>
        <w:rPr>
          <w:sz w:val="20"/>
        </w:rPr>
        <w:t>No.</w:t>
      </w:r>
      <w:r>
        <w:rPr>
          <w:spacing w:val="61"/>
          <w:sz w:val="20"/>
        </w:rPr>
        <w:t xml:space="preserve"> </w:t>
      </w:r>
      <w:r>
        <w:rPr>
          <w:sz w:val="20"/>
        </w:rPr>
        <w:t>217</w:t>
      </w:r>
      <w:r>
        <w:rPr>
          <w:spacing w:val="-9"/>
          <w:sz w:val="20"/>
        </w:rPr>
        <w:t xml:space="preserve"> </w:t>
      </w:r>
      <w:r>
        <w:rPr>
          <w:sz w:val="20"/>
        </w:rPr>
        <w:t>/</w:t>
      </w:r>
      <w:r>
        <w:rPr>
          <w:spacing w:val="-9"/>
          <w:sz w:val="20"/>
        </w:rPr>
        <w:t xml:space="preserve"> </w:t>
      </w:r>
      <w:r>
        <w:rPr>
          <w:sz w:val="20"/>
        </w:rPr>
        <w:t>Friday,</w:t>
      </w:r>
      <w:r>
        <w:rPr>
          <w:spacing w:val="62"/>
          <w:sz w:val="20"/>
        </w:rPr>
        <w:t xml:space="preserve"> </w:t>
      </w:r>
      <w:r>
        <w:rPr>
          <w:sz w:val="20"/>
        </w:rPr>
        <w:t>November</w:t>
      </w:r>
      <w:r>
        <w:rPr>
          <w:spacing w:val="62"/>
          <w:sz w:val="20"/>
        </w:rPr>
        <w:t xml:space="preserve"> </w:t>
      </w:r>
      <w:r>
        <w:rPr>
          <w:sz w:val="20"/>
        </w:rPr>
        <w:t>8,</w:t>
      </w:r>
      <w:r>
        <w:rPr>
          <w:spacing w:val="61"/>
          <w:sz w:val="20"/>
        </w:rPr>
        <w:t xml:space="preserve"> </w:t>
      </w:r>
      <w:r>
        <w:rPr>
          <w:sz w:val="20"/>
        </w:rPr>
        <w:t>2024</w:t>
      </w:r>
      <w:r>
        <w:rPr>
          <w:spacing w:val="-9"/>
          <w:sz w:val="20"/>
        </w:rPr>
        <w:t xml:space="preserve"> </w:t>
      </w:r>
      <w:r>
        <w:rPr>
          <w:sz w:val="20"/>
        </w:rPr>
        <w:t>/</w:t>
      </w:r>
      <w:r>
        <w:rPr>
          <w:spacing w:val="-9"/>
          <w:sz w:val="20"/>
        </w:rPr>
        <w:t xml:space="preserve"> </w:t>
      </w:r>
      <w:r>
        <w:rPr>
          <w:spacing w:val="-2"/>
          <w:sz w:val="20"/>
        </w:rPr>
        <w:t>Notices</w:t>
      </w:r>
      <w:r>
        <w:rPr>
          <w:sz w:val="20"/>
        </w:rPr>
        <w:tab/>
      </w:r>
      <w:r>
        <w:rPr>
          <w:rFonts w:ascii="Book Antiqua"/>
          <w:b/>
          <w:spacing w:val="-2"/>
        </w:rPr>
        <w:t>88861</w:t>
      </w:r>
    </w:p>
    <w:p w:rsidR="003A090A" w14:paraId="6AE9700C" w14:textId="77777777">
      <w:pPr>
        <w:pStyle w:val="BodyText"/>
        <w:spacing w:before="9"/>
        <w:ind w:left="0"/>
        <w:rPr>
          <w:rFonts w:ascii="Book Antiqua"/>
          <w:b/>
          <w:sz w:val="5"/>
        </w:rPr>
      </w:pPr>
    </w:p>
    <w:p w:rsidR="003A090A" w14:paraId="187C7419" w14:textId="77777777">
      <w:pPr>
        <w:rPr>
          <w:rFonts w:ascii="Book Antiqua"/>
          <w:sz w:val="5"/>
        </w:rPr>
        <w:sectPr>
          <w:type w:val="continuous"/>
          <w:pgSz w:w="12240" w:h="15840"/>
          <w:pgMar w:top="260" w:right="780" w:bottom="280" w:left="740" w:header="720" w:footer="720" w:gutter="0"/>
          <w:cols w:space="720"/>
        </w:sectPr>
      </w:pPr>
    </w:p>
    <w:p w:rsidR="003A090A" w14:paraId="797EA0BF" w14:textId="77777777">
      <w:pPr>
        <w:pStyle w:val="BodyText"/>
        <w:spacing w:before="60" w:line="235" w:lineRule="auto"/>
      </w:pPr>
      <w:r>
        <w:rPr>
          <w:w w:val="110"/>
        </w:rPr>
        <w:t xml:space="preserve">allowing NHTSA to search and copy certain portions of your submissions. Comments may be submitted to the </w:t>
      </w:r>
      <w:r>
        <w:rPr>
          <w:spacing w:val="-2"/>
          <w:w w:val="110"/>
        </w:rPr>
        <w:t>docket</w:t>
      </w:r>
      <w:r>
        <w:rPr>
          <w:spacing w:val="-7"/>
          <w:w w:val="110"/>
        </w:rPr>
        <w:t xml:space="preserve"> </w:t>
      </w:r>
      <w:r>
        <w:rPr>
          <w:spacing w:val="-2"/>
          <w:w w:val="110"/>
        </w:rPr>
        <w:t>electronically</w:t>
      </w:r>
      <w:r>
        <w:rPr>
          <w:spacing w:val="-7"/>
          <w:w w:val="110"/>
        </w:rPr>
        <w:t xml:space="preserve"> </w:t>
      </w:r>
      <w:r>
        <w:rPr>
          <w:spacing w:val="-2"/>
          <w:w w:val="110"/>
        </w:rPr>
        <w:t>by</w:t>
      </w:r>
      <w:r>
        <w:rPr>
          <w:spacing w:val="-7"/>
          <w:w w:val="110"/>
        </w:rPr>
        <w:t xml:space="preserve"> </w:t>
      </w:r>
      <w:r>
        <w:rPr>
          <w:spacing w:val="-2"/>
          <w:w w:val="110"/>
        </w:rPr>
        <w:t>logging</w:t>
      </w:r>
      <w:r>
        <w:rPr>
          <w:spacing w:val="-7"/>
          <w:w w:val="110"/>
        </w:rPr>
        <w:t xml:space="preserve"> </w:t>
      </w:r>
      <w:r>
        <w:rPr>
          <w:spacing w:val="-2"/>
          <w:w w:val="110"/>
        </w:rPr>
        <w:t>onto</w:t>
      </w:r>
      <w:r>
        <w:rPr>
          <w:spacing w:val="-7"/>
          <w:w w:val="110"/>
        </w:rPr>
        <w:t xml:space="preserve"> </w:t>
      </w:r>
      <w:r>
        <w:rPr>
          <w:spacing w:val="-2"/>
          <w:w w:val="110"/>
        </w:rPr>
        <w:t xml:space="preserve">the </w:t>
      </w:r>
      <w:r>
        <w:rPr>
          <w:w w:val="110"/>
        </w:rPr>
        <w:t xml:space="preserve">Docket Management System website at </w:t>
      </w:r>
      <w:hyperlink r:id="rId5">
        <w:r>
          <w:rPr>
            <w:rFonts w:ascii="Book Antiqua"/>
            <w:i/>
            <w:w w:val="110"/>
          </w:rPr>
          <w:t>http://www.regulations.gov.</w:t>
        </w:r>
      </w:hyperlink>
      <w:r>
        <w:rPr>
          <w:rFonts w:ascii="Book Antiqua"/>
          <w:i/>
          <w:w w:val="110"/>
        </w:rPr>
        <w:t xml:space="preserve"> </w:t>
      </w:r>
      <w:r>
        <w:rPr>
          <w:w w:val="110"/>
        </w:rPr>
        <w:t xml:space="preserve">Follow the online instructions for submitting </w:t>
      </w:r>
      <w:r>
        <w:rPr>
          <w:spacing w:val="-2"/>
          <w:w w:val="110"/>
        </w:rPr>
        <w:t>comments.</w:t>
      </w:r>
    </w:p>
    <w:p w:rsidR="003A090A" w14:paraId="09E9AC09" w14:textId="77777777">
      <w:pPr>
        <w:pStyle w:val="ListParagraph"/>
        <w:numPr>
          <w:ilvl w:val="0"/>
          <w:numId w:val="4"/>
        </w:numPr>
        <w:tabs>
          <w:tab w:val="left" w:pos="522"/>
        </w:tabs>
        <w:spacing w:before="44" w:line="237" w:lineRule="auto"/>
        <w:ind w:right="106" w:firstLine="180"/>
        <w:rPr>
          <w:sz w:val="18"/>
        </w:rPr>
      </w:pPr>
      <w:r>
        <w:rPr>
          <w:w w:val="105"/>
          <w:sz w:val="18"/>
        </w:rPr>
        <w:t xml:space="preserve">You may also submit two copies of your comments, including the attachments, to Docket Management at the address given above under </w:t>
      </w:r>
      <w:r>
        <w:rPr>
          <w:rFonts w:ascii="Arial" w:hAnsi="Arial"/>
          <w:b/>
          <w:spacing w:val="-2"/>
          <w:w w:val="105"/>
          <w:sz w:val="15"/>
        </w:rPr>
        <w:t>ADDRESSES</w:t>
      </w:r>
      <w:r>
        <w:rPr>
          <w:spacing w:val="-2"/>
          <w:w w:val="105"/>
          <w:sz w:val="18"/>
        </w:rPr>
        <w:t>.</w:t>
      </w:r>
    </w:p>
    <w:p w:rsidR="003A090A" w14:paraId="6479976E" w14:textId="77777777">
      <w:pPr>
        <w:spacing w:before="56" w:line="230" w:lineRule="auto"/>
        <w:ind w:left="159" w:firstLine="180"/>
        <w:rPr>
          <w:rFonts w:ascii="Book Antiqua" w:hAnsi="Book Antiqua"/>
          <w:i/>
          <w:sz w:val="18"/>
        </w:rPr>
      </w:pPr>
      <w:r>
        <w:rPr>
          <w:w w:val="110"/>
          <w:sz w:val="18"/>
        </w:rPr>
        <w:t>Please</w:t>
      </w:r>
      <w:r>
        <w:rPr>
          <w:spacing w:val="-4"/>
          <w:w w:val="110"/>
          <w:sz w:val="18"/>
        </w:rPr>
        <w:t xml:space="preserve"> </w:t>
      </w:r>
      <w:r>
        <w:rPr>
          <w:w w:val="110"/>
          <w:sz w:val="18"/>
        </w:rPr>
        <w:t>note</w:t>
      </w:r>
      <w:r>
        <w:rPr>
          <w:spacing w:val="-4"/>
          <w:w w:val="110"/>
          <w:sz w:val="18"/>
        </w:rPr>
        <w:t xml:space="preserve"> </w:t>
      </w:r>
      <w:r>
        <w:rPr>
          <w:w w:val="110"/>
          <w:sz w:val="18"/>
        </w:rPr>
        <w:t>that</w:t>
      </w:r>
      <w:r>
        <w:rPr>
          <w:spacing w:val="-4"/>
          <w:w w:val="110"/>
          <w:sz w:val="18"/>
        </w:rPr>
        <w:t xml:space="preserve"> </w:t>
      </w:r>
      <w:r>
        <w:rPr>
          <w:w w:val="110"/>
          <w:sz w:val="18"/>
        </w:rPr>
        <w:t>pursuant</w:t>
      </w:r>
      <w:r>
        <w:rPr>
          <w:spacing w:val="-4"/>
          <w:w w:val="110"/>
          <w:sz w:val="18"/>
        </w:rPr>
        <w:t xml:space="preserve"> </w:t>
      </w:r>
      <w:r>
        <w:rPr>
          <w:w w:val="110"/>
          <w:sz w:val="18"/>
        </w:rPr>
        <w:t>to</w:t>
      </w:r>
      <w:r>
        <w:rPr>
          <w:spacing w:val="-4"/>
          <w:w w:val="110"/>
          <w:sz w:val="18"/>
        </w:rPr>
        <w:t xml:space="preserve"> </w:t>
      </w:r>
      <w:r>
        <w:rPr>
          <w:w w:val="110"/>
          <w:sz w:val="18"/>
        </w:rPr>
        <w:t>the</w:t>
      </w:r>
      <w:r>
        <w:rPr>
          <w:spacing w:val="-4"/>
          <w:w w:val="110"/>
          <w:sz w:val="18"/>
        </w:rPr>
        <w:t xml:space="preserve"> </w:t>
      </w:r>
      <w:r>
        <w:rPr>
          <w:w w:val="110"/>
          <w:sz w:val="18"/>
        </w:rPr>
        <w:t xml:space="preserve">Data Quality Act, in order for substantive data to be relied upon and used by the agency, it must meet the information quality standards set forth in the OMB and DOT Data Quality Act guidelines. Accordingly, we encourage you to </w:t>
      </w:r>
      <w:r>
        <w:rPr>
          <w:spacing w:val="-2"/>
          <w:w w:val="110"/>
          <w:sz w:val="18"/>
        </w:rPr>
        <w:t>consult</w:t>
      </w:r>
      <w:r>
        <w:rPr>
          <w:spacing w:val="-5"/>
          <w:w w:val="110"/>
          <w:sz w:val="18"/>
        </w:rPr>
        <w:t xml:space="preserve"> </w:t>
      </w:r>
      <w:r>
        <w:rPr>
          <w:spacing w:val="-2"/>
          <w:w w:val="110"/>
          <w:sz w:val="18"/>
        </w:rPr>
        <w:t>the</w:t>
      </w:r>
      <w:r>
        <w:rPr>
          <w:spacing w:val="-5"/>
          <w:w w:val="110"/>
          <w:sz w:val="18"/>
        </w:rPr>
        <w:t xml:space="preserve"> </w:t>
      </w:r>
      <w:r>
        <w:rPr>
          <w:spacing w:val="-2"/>
          <w:w w:val="110"/>
          <w:sz w:val="18"/>
        </w:rPr>
        <w:t>guidelines</w:t>
      </w:r>
      <w:r>
        <w:rPr>
          <w:spacing w:val="-5"/>
          <w:w w:val="110"/>
          <w:sz w:val="18"/>
        </w:rPr>
        <w:t xml:space="preserve"> </w:t>
      </w:r>
      <w:r>
        <w:rPr>
          <w:spacing w:val="-2"/>
          <w:w w:val="110"/>
          <w:sz w:val="18"/>
        </w:rPr>
        <w:t>in</w:t>
      </w:r>
      <w:r>
        <w:rPr>
          <w:spacing w:val="-5"/>
          <w:w w:val="110"/>
          <w:sz w:val="18"/>
        </w:rPr>
        <w:t xml:space="preserve"> </w:t>
      </w:r>
      <w:r>
        <w:rPr>
          <w:spacing w:val="-2"/>
          <w:w w:val="110"/>
          <w:sz w:val="18"/>
        </w:rPr>
        <w:t>preparing</w:t>
      </w:r>
      <w:r>
        <w:rPr>
          <w:spacing w:val="-5"/>
          <w:w w:val="110"/>
          <w:sz w:val="18"/>
        </w:rPr>
        <w:t xml:space="preserve"> </w:t>
      </w:r>
      <w:r>
        <w:rPr>
          <w:spacing w:val="-2"/>
          <w:w w:val="110"/>
          <w:sz w:val="18"/>
        </w:rPr>
        <w:t xml:space="preserve">your </w:t>
      </w:r>
      <w:r>
        <w:rPr>
          <w:w w:val="110"/>
          <w:sz w:val="18"/>
        </w:rPr>
        <w:t xml:space="preserve">comments. OMB’s guidelines may be accessed at </w:t>
      </w:r>
      <w:hyperlink r:id="rId6">
        <w:r>
          <w:rPr>
            <w:rFonts w:ascii="Book Antiqua" w:hAnsi="Book Antiqua"/>
            <w:i/>
            <w:w w:val="110"/>
            <w:sz w:val="18"/>
          </w:rPr>
          <w:t>http://www.whitehouse.gov/</w:t>
        </w:r>
      </w:hyperlink>
      <w:r>
        <w:rPr>
          <w:rFonts w:ascii="Book Antiqua" w:hAnsi="Book Antiqua"/>
          <w:i/>
          <w:w w:val="110"/>
          <w:sz w:val="18"/>
        </w:rPr>
        <w:t xml:space="preserve"> </w:t>
      </w:r>
      <w:hyperlink r:id="rId6">
        <w:r>
          <w:rPr>
            <w:rFonts w:ascii="Book Antiqua" w:hAnsi="Book Antiqua"/>
            <w:i/>
            <w:w w:val="110"/>
            <w:sz w:val="18"/>
          </w:rPr>
          <w:t>omb/fedreg/reproducible.html.</w:t>
        </w:r>
      </w:hyperlink>
      <w:r>
        <w:rPr>
          <w:rFonts w:ascii="Book Antiqua" w:hAnsi="Book Antiqua"/>
          <w:i/>
          <w:w w:val="110"/>
          <w:sz w:val="18"/>
        </w:rPr>
        <w:t xml:space="preserve"> </w:t>
      </w:r>
      <w:r>
        <w:rPr>
          <w:w w:val="110"/>
          <w:sz w:val="18"/>
        </w:rPr>
        <w:t xml:space="preserve">DOT’s guidelines may be accessed at </w:t>
      </w:r>
      <w:hyperlink r:id="rId7">
        <w:r>
          <w:rPr>
            <w:rFonts w:ascii="Book Antiqua" w:hAnsi="Book Antiqua"/>
            <w:i/>
            <w:w w:val="110"/>
            <w:sz w:val="18"/>
          </w:rPr>
          <w:t>http://</w:t>
        </w:r>
      </w:hyperlink>
      <w:r>
        <w:rPr>
          <w:rFonts w:ascii="Book Antiqua" w:hAnsi="Book Antiqua"/>
          <w:i/>
          <w:w w:val="110"/>
          <w:sz w:val="18"/>
        </w:rPr>
        <w:t xml:space="preserve"> </w:t>
      </w:r>
      <w:hyperlink r:id="rId7">
        <w:r>
          <w:rPr>
            <w:rFonts w:ascii="Book Antiqua" w:hAnsi="Book Antiqua"/>
            <w:i/>
            <w:spacing w:val="-2"/>
            <w:w w:val="110"/>
            <w:sz w:val="18"/>
          </w:rPr>
          <w:t>www.bts.gov/programs/statistical</w:t>
        </w:r>
        <w:r>
          <w:rPr>
            <w:rFonts w:ascii="Symbol" w:hAnsi="Symbol"/>
            <w:spacing w:val="-2"/>
            <w:w w:val="110"/>
            <w:sz w:val="18"/>
          </w:rPr>
          <w:sym w:font="Symbol" w:char="F05F"/>
        </w:r>
      </w:hyperlink>
      <w:r>
        <w:rPr>
          <w:rFonts w:ascii="Times New Roman" w:hAnsi="Times New Roman"/>
          <w:spacing w:val="-2"/>
          <w:w w:val="110"/>
          <w:sz w:val="18"/>
        </w:rPr>
        <w:t xml:space="preserve"> </w:t>
      </w:r>
      <w:hyperlink r:id="rId7">
        <w:r>
          <w:rPr>
            <w:rFonts w:ascii="Book Antiqua" w:hAnsi="Book Antiqua"/>
            <w:i/>
            <w:spacing w:val="-2"/>
            <w:w w:val="110"/>
            <w:sz w:val="18"/>
          </w:rPr>
          <w:t>policy</w:t>
        </w:r>
        <w:r>
          <w:rPr>
            <w:rFonts w:ascii="Symbol" w:hAnsi="Symbol"/>
            <w:spacing w:val="-2"/>
            <w:w w:val="110"/>
            <w:sz w:val="18"/>
          </w:rPr>
          <w:sym w:font="Symbol" w:char="F05F"/>
        </w:r>
        <w:r>
          <w:rPr>
            <w:rFonts w:ascii="Book Antiqua" w:hAnsi="Book Antiqua"/>
            <w:i/>
            <w:spacing w:val="-2"/>
            <w:w w:val="110"/>
            <w:sz w:val="18"/>
          </w:rPr>
          <w:t>and</w:t>
        </w:r>
        <w:r>
          <w:rPr>
            <w:rFonts w:ascii="Symbol" w:hAnsi="Symbol"/>
            <w:spacing w:val="-2"/>
            <w:w w:val="110"/>
            <w:sz w:val="18"/>
          </w:rPr>
          <w:sym w:font="Symbol" w:char="F05F"/>
        </w:r>
        <w:r>
          <w:rPr>
            <w:rFonts w:ascii="Book Antiqua" w:hAnsi="Book Antiqua"/>
            <w:i/>
            <w:spacing w:val="-2"/>
            <w:w w:val="110"/>
            <w:sz w:val="18"/>
          </w:rPr>
          <w:t>research/data</w:t>
        </w:r>
        <w:r>
          <w:rPr>
            <w:rFonts w:ascii="Symbol" w:hAnsi="Symbol"/>
            <w:spacing w:val="-2"/>
            <w:w w:val="110"/>
            <w:sz w:val="18"/>
          </w:rPr>
          <w:sym w:font="Symbol" w:char="F05F"/>
        </w:r>
        <w:r>
          <w:rPr>
            <w:rFonts w:ascii="Book Antiqua" w:hAnsi="Book Antiqua"/>
            <w:i/>
            <w:spacing w:val="-2"/>
            <w:w w:val="110"/>
            <w:sz w:val="18"/>
          </w:rPr>
          <w:t>quality</w:t>
        </w:r>
        <w:r>
          <w:rPr>
            <w:rFonts w:ascii="Symbol" w:hAnsi="Symbol"/>
            <w:spacing w:val="-2"/>
            <w:w w:val="110"/>
            <w:sz w:val="18"/>
          </w:rPr>
          <w:sym w:font="Symbol" w:char="F05F"/>
        </w:r>
      </w:hyperlink>
      <w:r>
        <w:rPr>
          <w:rFonts w:ascii="Times New Roman" w:hAnsi="Times New Roman"/>
          <w:spacing w:val="-2"/>
          <w:w w:val="110"/>
          <w:sz w:val="18"/>
        </w:rPr>
        <w:t xml:space="preserve"> </w:t>
      </w:r>
      <w:hyperlink r:id="rId7">
        <w:r>
          <w:rPr>
            <w:rFonts w:ascii="Book Antiqua" w:hAnsi="Book Antiqua"/>
            <w:i/>
            <w:spacing w:val="-2"/>
            <w:w w:val="110"/>
            <w:sz w:val="18"/>
          </w:rPr>
          <w:t>guidelines.</w:t>
        </w:r>
      </w:hyperlink>
    </w:p>
    <w:p w:rsidR="003A090A" w14:paraId="27B33FB6" w14:textId="77777777">
      <w:pPr>
        <w:pStyle w:val="BodyText"/>
        <w:spacing w:before="110" w:line="237" w:lineRule="auto"/>
        <w:ind w:left="159" w:right="133"/>
      </w:pPr>
      <w:r>
        <w:rPr>
          <w:w w:val="105"/>
        </w:rPr>
        <w:t xml:space="preserve">Will the Agency consider late </w:t>
      </w:r>
      <w:r>
        <w:rPr>
          <w:spacing w:val="-2"/>
          <w:w w:val="105"/>
        </w:rPr>
        <w:t>comments?</w:t>
      </w:r>
    </w:p>
    <w:p w:rsidR="003A090A" w14:paraId="22A00069" w14:textId="77777777">
      <w:pPr>
        <w:pStyle w:val="BodyText"/>
        <w:spacing w:before="135" w:line="235" w:lineRule="auto"/>
        <w:ind w:left="159" w:right="87" w:firstLine="180"/>
      </w:pPr>
      <w:r>
        <w:rPr>
          <w:w w:val="105"/>
        </w:rPr>
        <w:t>We will consider all comments that Docket Management receives before the close of business on the comment</w:t>
      </w:r>
      <w:r>
        <w:rPr>
          <w:spacing w:val="40"/>
          <w:w w:val="105"/>
        </w:rPr>
        <w:t xml:space="preserve"> </w:t>
      </w:r>
      <w:r>
        <w:rPr>
          <w:w w:val="105"/>
        </w:rPr>
        <w:t xml:space="preserve">closing date indicated above under </w:t>
      </w:r>
      <w:r>
        <w:rPr>
          <w:rFonts w:ascii="Arial"/>
          <w:b/>
          <w:w w:val="105"/>
          <w:sz w:val="15"/>
        </w:rPr>
        <w:t>DATES</w:t>
      </w:r>
      <w:r>
        <w:rPr>
          <w:w w:val="105"/>
        </w:rPr>
        <w:t>. To the extent possible, we will also consider comments that Docket Management receives after that date.</w:t>
      </w:r>
    </w:p>
    <w:p w:rsidR="003A090A" w14:paraId="6F3C8712" w14:textId="77777777">
      <w:pPr>
        <w:pStyle w:val="BodyText"/>
        <w:spacing w:before="114" w:line="237" w:lineRule="auto"/>
      </w:pPr>
      <w:r>
        <w:rPr>
          <w:w w:val="105"/>
        </w:rPr>
        <w:t>How can I read the comments submitted by other people?</w:t>
      </w:r>
    </w:p>
    <w:p w:rsidR="003A090A" w14:paraId="0016AFF5" w14:textId="77777777">
      <w:pPr>
        <w:pStyle w:val="BodyText"/>
        <w:spacing w:before="139" w:line="230" w:lineRule="auto"/>
        <w:ind w:firstLine="180"/>
      </w:pPr>
      <w:r>
        <w:rPr>
          <w:w w:val="110"/>
        </w:rPr>
        <w:t xml:space="preserve">You may see the comments on the internet. To read the comments on the internet, go to </w:t>
      </w:r>
      <w:hyperlink r:id="rId5">
        <w:r>
          <w:rPr>
            <w:rFonts w:ascii="Book Antiqua"/>
            <w:i/>
            <w:w w:val="110"/>
          </w:rPr>
          <w:t>http://</w:t>
        </w:r>
      </w:hyperlink>
      <w:r>
        <w:rPr>
          <w:rFonts w:ascii="Book Antiqua"/>
          <w:i/>
          <w:w w:val="110"/>
        </w:rPr>
        <w:t xml:space="preserve"> </w:t>
      </w:r>
      <w:hyperlink r:id="rId5">
        <w:r>
          <w:rPr>
            <w:rFonts w:ascii="Book Antiqua"/>
            <w:i/>
            <w:w w:val="110"/>
          </w:rPr>
          <w:t>www.regulations.gov.</w:t>
        </w:r>
      </w:hyperlink>
      <w:r>
        <w:rPr>
          <w:rFonts w:ascii="Book Antiqua"/>
          <w:i/>
          <w:spacing w:val="-13"/>
          <w:w w:val="110"/>
        </w:rPr>
        <w:t xml:space="preserve"> </w:t>
      </w:r>
      <w:r>
        <w:rPr>
          <w:w w:val="110"/>
        </w:rPr>
        <w:t>Follow</w:t>
      </w:r>
      <w:r>
        <w:rPr>
          <w:spacing w:val="-11"/>
          <w:w w:val="110"/>
        </w:rPr>
        <w:t xml:space="preserve"> </w:t>
      </w:r>
      <w:r>
        <w:rPr>
          <w:w w:val="110"/>
        </w:rPr>
        <w:t>the</w:t>
      </w:r>
      <w:r>
        <w:rPr>
          <w:spacing w:val="-11"/>
          <w:w w:val="110"/>
        </w:rPr>
        <w:t xml:space="preserve"> </w:t>
      </w:r>
      <w:r>
        <w:rPr>
          <w:w w:val="110"/>
        </w:rPr>
        <w:t>online instructions for accessing the dockets.</w:t>
      </w:r>
    </w:p>
    <w:p w:rsidR="003A090A" w14:paraId="01690B92" w14:textId="77777777">
      <w:pPr>
        <w:pStyle w:val="BodyText"/>
        <w:spacing w:before="58" w:line="237" w:lineRule="auto"/>
        <w:ind w:right="17" w:firstLine="180"/>
      </w:pPr>
      <w:r>
        <w:rPr>
          <w:w w:val="105"/>
        </w:rPr>
        <w:t>Please note that, even after the comment closing date, we will continue</w:t>
      </w:r>
      <w:r>
        <w:rPr>
          <w:spacing w:val="40"/>
          <w:w w:val="105"/>
        </w:rPr>
        <w:t xml:space="preserve"> </w:t>
      </w:r>
      <w:r>
        <w:rPr>
          <w:w w:val="105"/>
        </w:rPr>
        <w:t>to</w:t>
      </w:r>
      <w:r>
        <w:rPr>
          <w:spacing w:val="40"/>
          <w:w w:val="105"/>
        </w:rPr>
        <w:t xml:space="preserve"> </w:t>
      </w:r>
      <w:r>
        <w:rPr>
          <w:w w:val="105"/>
        </w:rPr>
        <w:t>file</w:t>
      </w:r>
      <w:r>
        <w:rPr>
          <w:spacing w:val="40"/>
          <w:w w:val="105"/>
        </w:rPr>
        <w:t xml:space="preserve"> </w:t>
      </w:r>
      <w:r>
        <w:rPr>
          <w:w w:val="105"/>
        </w:rPr>
        <w:t>relevant</w:t>
      </w:r>
      <w:r>
        <w:rPr>
          <w:spacing w:val="40"/>
          <w:w w:val="105"/>
        </w:rPr>
        <w:t xml:space="preserve"> </w:t>
      </w:r>
      <w:r>
        <w:rPr>
          <w:w w:val="105"/>
        </w:rPr>
        <w:t>information</w:t>
      </w:r>
      <w:r>
        <w:rPr>
          <w:spacing w:val="40"/>
          <w:w w:val="105"/>
        </w:rPr>
        <w:t xml:space="preserve"> </w:t>
      </w:r>
      <w:r>
        <w:rPr>
          <w:w w:val="105"/>
        </w:rPr>
        <w:t>in</w:t>
      </w:r>
      <w:r>
        <w:rPr>
          <w:spacing w:val="40"/>
          <w:w w:val="105"/>
        </w:rPr>
        <w:t xml:space="preserve"> </w:t>
      </w:r>
      <w:r>
        <w:rPr>
          <w:w w:val="105"/>
        </w:rPr>
        <w:t xml:space="preserve">the Docket as it becomes available. Further, some people may submit late comments. Accordingly, we recommend that you periodically check the Docket for new </w:t>
      </w:r>
      <w:r>
        <w:rPr>
          <w:spacing w:val="-2"/>
          <w:w w:val="105"/>
        </w:rPr>
        <w:t>material.</w:t>
      </w:r>
    </w:p>
    <w:p w:rsidR="003A090A" w14:paraId="35ED910B" w14:textId="77777777">
      <w:pPr>
        <w:spacing w:before="78" w:line="249" w:lineRule="auto"/>
        <w:ind w:left="160"/>
        <w:rPr>
          <w:sz w:val="16"/>
        </w:rPr>
      </w:pPr>
      <w:r>
        <w:rPr>
          <w:w w:val="110"/>
          <w:sz w:val="16"/>
        </w:rPr>
        <w:t>(Authority:</w:t>
      </w:r>
      <w:r>
        <w:rPr>
          <w:spacing w:val="-1"/>
          <w:w w:val="110"/>
          <w:sz w:val="16"/>
        </w:rPr>
        <w:t xml:space="preserve"> </w:t>
      </w:r>
      <w:r>
        <w:rPr>
          <w:w w:val="110"/>
          <w:sz w:val="16"/>
        </w:rPr>
        <w:t>49</w:t>
      </w:r>
      <w:r>
        <w:rPr>
          <w:spacing w:val="-1"/>
          <w:w w:val="110"/>
          <w:sz w:val="16"/>
        </w:rPr>
        <w:t xml:space="preserve"> </w:t>
      </w:r>
      <w:r>
        <w:rPr>
          <w:w w:val="110"/>
          <w:sz w:val="16"/>
        </w:rPr>
        <w:t>U.S.C.</w:t>
      </w:r>
      <w:r>
        <w:rPr>
          <w:spacing w:val="-1"/>
          <w:w w:val="110"/>
          <w:sz w:val="16"/>
        </w:rPr>
        <w:t xml:space="preserve"> </w:t>
      </w:r>
      <w:r>
        <w:rPr>
          <w:w w:val="110"/>
          <w:sz w:val="16"/>
        </w:rPr>
        <w:t>30113</w:t>
      </w:r>
      <w:r>
        <w:rPr>
          <w:spacing w:val="-1"/>
          <w:w w:val="110"/>
          <w:sz w:val="16"/>
        </w:rPr>
        <w:t xml:space="preserve"> </w:t>
      </w:r>
      <w:r>
        <w:rPr>
          <w:w w:val="110"/>
          <w:sz w:val="16"/>
        </w:rPr>
        <w:t>and</w:t>
      </w:r>
      <w:r>
        <w:rPr>
          <w:spacing w:val="-1"/>
          <w:w w:val="110"/>
          <w:sz w:val="16"/>
        </w:rPr>
        <w:t xml:space="preserve"> </w:t>
      </w:r>
      <w:r>
        <w:rPr>
          <w:w w:val="110"/>
          <w:sz w:val="16"/>
        </w:rPr>
        <w:t>49</w:t>
      </w:r>
      <w:r>
        <w:rPr>
          <w:spacing w:val="-1"/>
          <w:w w:val="110"/>
          <w:sz w:val="16"/>
        </w:rPr>
        <w:t xml:space="preserve"> </w:t>
      </w:r>
      <w:r>
        <w:rPr>
          <w:w w:val="110"/>
          <w:sz w:val="16"/>
        </w:rPr>
        <w:t>U.S.C.</w:t>
      </w:r>
      <w:r>
        <w:rPr>
          <w:spacing w:val="40"/>
          <w:w w:val="110"/>
          <w:sz w:val="16"/>
        </w:rPr>
        <w:t xml:space="preserve"> </w:t>
      </w:r>
      <w:r>
        <w:rPr>
          <w:w w:val="110"/>
          <w:sz w:val="16"/>
        </w:rPr>
        <w:t>30166;</w:t>
      </w:r>
      <w:r>
        <w:rPr>
          <w:spacing w:val="-10"/>
          <w:w w:val="110"/>
          <w:sz w:val="16"/>
        </w:rPr>
        <w:t xml:space="preserve"> </w:t>
      </w:r>
      <w:r>
        <w:rPr>
          <w:w w:val="110"/>
          <w:sz w:val="16"/>
        </w:rPr>
        <w:t>delegations</w:t>
      </w:r>
      <w:r>
        <w:rPr>
          <w:spacing w:val="-10"/>
          <w:w w:val="110"/>
          <w:sz w:val="16"/>
        </w:rPr>
        <w:t xml:space="preserve"> </w:t>
      </w:r>
      <w:r>
        <w:rPr>
          <w:w w:val="110"/>
          <w:sz w:val="16"/>
        </w:rPr>
        <w:t>of</w:t>
      </w:r>
      <w:r>
        <w:rPr>
          <w:spacing w:val="-10"/>
          <w:w w:val="110"/>
          <w:sz w:val="16"/>
        </w:rPr>
        <w:t xml:space="preserve"> </w:t>
      </w:r>
      <w:r>
        <w:rPr>
          <w:w w:val="110"/>
          <w:sz w:val="16"/>
        </w:rPr>
        <w:t>authority</w:t>
      </w:r>
      <w:r>
        <w:rPr>
          <w:spacing w:val="-9"/>
          <w:w w:val="110"/>
          <w:sz w:val="16"/>
        </w:rPr>
        <w:t xml:space="preserve"> </w:t>
      </w:r>
      <w:r>
        <w:rPr>
          <w:w w:val="110"/>
          <w:sz w:val="16"/>
        </w:rPr>
        <w:t>at</w:t>
      </w:r>
      <w:r>
        <w:rPr>
          <w:spacing w:val="-10"/>
          <w:w w:val="110"/>
          <w:sz w:val="16"/>
        </w:rPr>
        <w:t xml:space="preserve"> </w:t>
      </w:r>
      <w:r>
        <w:rPr>
          <w:w w:val="110"/>
          <w:sz w:val="16"/>
        </w:rPr>
        <w:t>49</w:t>
      </w:r>
      <w:r>
        <w:rPr>
          <w:spacing w:val="-10"/>
          <w:w w:val="110"/>
          <w:sz w:val="16"/>
        </w:rPr>
        <w:t xml:space="preserve"> </w:t>
      </w:r>
      <w:r>
        <w:rPr>
          <w:w w:val="110"/>
          <w:sz w:val="16"/>
        </w:rPr>
        <w:t>CFR</w:t>
      </w:r>
    </w:p>
    <w:p w:rsidR="003A090A" w14:paraId="75E2328B" w14:textId="77777777">
      <w:pPr>
        <w:spacing w:before="2"/>
        <w:ind w:left="160"/>
        <w:rPr>
          <w:sz w:val="16"/>
        </w:rPr>
      </w:pPr>
      <w:r>
        <w:rPr>
          <w:w w:val="105"/>
          <w:sz w:val="16"/>
        </w:rPr>
        <w:t>1.95</w:t>
      </w:r>
      <w:r>
        <w:rPr>
          <w:spacing w:val="7"/>
          <w:w w:val="105"/>
          <w:sz w:val="16"/>
        </w:rPr>
        <w:t xml:space="preserve"> </w:t>
      </w:r>
      <w:r>
        <w:rPr>
          <w:w w:val="105"/>
          <w:sz w:val="16"/>
        </w:rPr>
        <w:t>and</w:t>
      </w:r>
      <w:r>
        <w:rPr>
          <w:spacing w:val="7"/>
          <w:w w:val="105"/>
          <w:sz w:val="16"/>
        </w:rPr>
        <w:t xml:space="preserve"> </w:t>
      </w:r>
      <w:r>
        <w:rPr>
          <w:spacing w:val="-2"/>
          <w:w w:val="105"/>
          <w:sz w:val="16"/>
        </w:rPr>
        <w:t>501.5.)</w:t>
      </w:r>
    </w:p>
    <w:p w:rsidR="003A090A" w14:paraId="01BA0213" w14:textId="77777777">
      <w:pPr>
        <w:spacing w:before="88" w:line="249" w:lineRule="auto"/>
        <w:ind w:left="160" w:firstLine="160"/>
        <w:rPr>
          <w:sz w:val="16"/>
        </w:rPr>
      </w:pPr>
      <w:r>
        <w:rPr>
          <w:w w:val="105"/>
          <w:sz w:val="16"/>
        </w:rPr>
        <w:t>Issued in Washington, DC, under authority</w:t>
      </w:r>
      <w:r>
        <w:rPr>
          <w:spacing w:val="40"/>
          <w:w w:val="105"/>
          <w:sz w:val="16"/>
        </w:rPr>
        <w:t xml:space="preserve"> </w:t>
      </w:r>
      <w:r>
        <w:rPr>
          <w:w w:val="105"/>
          <w:sz w:val="16"/>
        </w:rPr>
        <w:t>delegated in 49 CFR 1.95 and 501.5.</w:t>
      </w:r>
    </w:p>
    <w:p w:rsidR="003A090A" w14:paraId="57EE44E1" w14:textId="77777777">
      <w:pPr>
        <w:spacing w:before="43"/>
        <w:ind w:left="160"/>
        <w:rPr>
          <w:rFonts w:ascii="Book Antiqua"/>
          <w:b/>
          <w:sz w:val="16"/>
        </w:rPr>
      </w:pPr>
      <w:r>
        <w:rPr>
          <w:rFonts w:ascii="Book Antiqua"/>
          <w:b/>
          <w:sz w:val="16"/>
        </w:rPr>
        <w:t>Sophie</w:t>
      </w:r>
      <w:r>
        <w:rPr>
          <w:rFonts w:ascii="Book Antiqua"/>
          <w:b/>
          <w:spacing w:val="4"/>
          <w:sz w:val="16"/>
        </w:rPr>
        <w:t xml:space="preserve"> </w:t>
      </w:r>
      <w:r>
        <w:rPr>
          <w:rFonts w:ascii="Book Antiqua"/>
          <w:b/>
          <w:spacing w:val="-2"/>
          <w:sz w:val="16"/>
        </w:rPr>
        <w:t>Shulman,</w:t>
      </w:r>
    </w:p>
    <w:p w:rsidR="003A090A" w14:paraId="6AD54B7F" w14:textId="77777777">
      <w:pPr>
        <w:spacing w:before="46"/>
        <w:ind w:left="160"/>
        <w:rPr>
          <w:rFonts w:ascii="Book Antiqua"/>
          <w:i/>
          <w:sz w:val="16"/>
        </w:rPr>
      </w:pPr>
      <w:r>
        <w:rPr>
          <w:rFonts w:ascii="Book Antiqua"/>
          <w:i/>
          <w:w w:val="105"/>
          <w:sz w:val="16"/>
        </w:rPr>
        <w:t>Deputy</w:t>
      </w:r>
      <w:r>
        <w:rPr>
          <w:rFonts w:ascii="Book Antiqua"/>
          <w:i/>
          <w:w w:val="110"/>
          <w:sz w:val="16"/>
        </w:rPr>
        <w:t xml:space="preserve"> </w:t>
      </w:r>
      <w:r>
        <w:rPr>
          <w:rFonts w:ascii="Book Antiqua"/>
          <w:i/>
          <w:spacing w:val="-2"/>
          <w:w w:val="110"/>
          <w:sz w:val="16"/>
        </w:rPr>
        <w:t>Administrator.</w:t>
      </w:r>
    </w:p>
    <w:p w:rsidR="003A090A" w14:paraId="13BE3D3A" w14:textId="77777777">
      <w:pPr>
        <w:spacing w:before="42"/>
        <w:ind w:left="160"/>
        <w:rPr>
          <w:sz w:val="14"/>
        </w:rPr>
      </w:pPr>
      <w:r>
        <w:rPr>
          <w:w w:val="105"/>
          <w:sz w:val="14"/>
        </w:rPr>
        <w:t>[FR</w:t>
      </w:r>
      <w:r>
        <w:rPr>
          <w:spacing w:val="3"/>
          <w:w w:val="105"/>
          <w:sz w:val="14"/>
        </w:rPr>
        <w:t xml:space="preserve"> </w:t>
      </w:r>
      <w:r>
        <w:rPr>
          <w:w w:val="105"/>
          <w:sz w:val="14"/>
        </w:rPr>
        <w:t>Doc.</w:t>
      </w:r>
      <w:r>
        <w:rPr>
          <w:spacing w:val="3"/>
          <w:w w:val="105"/>
          <w:sz w:val="14"/>
        </w:rPr>
        <w:t xml:space="preserve"> </w:t>
      </w:r>
      <w:r>
        <w:rPr>
          <w:w w:val="105"/>
          <w:sz w:val="14"/>
        </w:rPr>
        <w:t>2024–25990</w:t>
      </w:r>
      <w:r>
        <w:rPr>
          <w:spacing w:val="3"/>
          <w:w w:val="105"/>
          <w:sz w:val="14"/>
        </w:rPr>
        <w:t xml:space="preserve"> </w:t>
      </w:r>
      <w:r>
        <w:rPr>
          <w:w w:val="105"/>
          <w:sz w:val="14"/>
        </w:rPr>
        <w:t>Filed</w:t>
      </w:r>
      <w:r>
        <w:rPr>
          <w:spacing w:val="3"/>
          <w:w w:val="105"/>
          <w:sz w:val="14"/>
        </w:rPr>
        <w:t xml:space="preserve"> </w:t>
      </w:r>
      <w:r>
        <w:rPr>
          <w:w w:val="105"/>
          <w:sz w:val="14"/>
        </w:rPr>
        <w:t>11–7–24;</w:t>
      </w:r>
      <w:r>
        <w:rPr>
          <w:spacing w:val="3"/>
          <w:w w:val="105"/>
          <w:sz w:val="14"/>
        </w:rPr>
        <w:t xml:space="preserve"> </w:t>
      </w:r>
      <w:r>
        <w:rPr>
          <w:w w:val="105"/>
          <w:sz w:val="14"/>
        </w:rPr>
        <w:t>8:45</w:t>
      </w:r>
      <w:r>
        <w:rPr>
          <w:spacing w:val="3"/>
          <w:w w:val="105"/>
          <w:sz w:val="14"/>
        </w:rPr>
        <w:t xml:space="preserve"> </w:t>
      </w:r>
      <w:r>
        <w:rPr>
          <w:spacing w:val="-5"/>
          <w:w w:val="105"/>
          <w:sz w:val="14"/>
        </w:rPr>
        <w:t>am]</w:t>
      </w:r>
    </w:p>
    <w:p w:rsidR="003A090A" w14:paraId="043F97BE" w14:textId="77777777">
      <w:pPr>
        <w:spacing w:before="92"/>
        <w:ind w:left="160"/>
        <w:rPr>
          <w:rFonts w:ascii="Arial" w:hAnsi="Arial"/>
          <w:b/>
          <w:sz w:val="12"/>
        </w:rPr>
      </w:pP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4910–59–P</w:t>
      </w:r>
    </w:p>
    <w:p w:rsidR="003A090A" w14:paraId="16ACF3F2" w14:textId="77777777">
      <w:pPr>
        <w:pStyle w:val="Heading1"/>
        <w:spacing w:before="79"/>
      </w:pPr>
      <w:r>
        <w:rPr>
          <w:b w:val="0"/>
        </w:rPr>
        <w:br w:type="column"/>
      </w:r>
      <w:r>
        <w:t>DEPARTMENT</w:t>
      </w:r>
      <w:r>
        <w:rPr>
          <w:spacing w:val="-8"/>
        </w:rPr>
        <w:t xml:space="preserve"> </w:t>
      </w:r>
      <w:r>
        <w:t>OF</w:t>
      </w:r>
      <w:r>
        <w:rPr>
          <w:spacing w:val="-7"/>
        </w:rPr>
        <w:t xml:space="preserve"> </w:t>
      </w:r>
      <w:r>
        <w:rPr>
          <w:spacing w:val="-2"/>
        </w:rPr>
        <w:t>TRANSPORTATION</w:t>
      </w:r>
    </w:p>
    <w:p w:rsidR="003A090A" w14:paraId="04174CEE" w14:textId="77777777">
      <w:pPr>
        <w:spacing w:before="153"/>
        <w:ind w:left="143"/>
        <w:rPr>
          <w:rFonts w:ascii="Arial"/>
          <w:b/>
          <w:sz w:val="18"/>
        </w:rPr>
      </w:pPr>
      <w:r>
        <w:rPr>
          <w:rFonts w:ascii="Arial"/>
          <w:b/>
          <w:sz w:val="18"/>
        </w:rPr>
        <w:t>Transportation</w:t>
      </w:r>
      <w:r>
        <w:rPr>
          <w:rFonts w:ascii="Arial"/>
          <w:b/>
          <w:spacing w:val="-6"/>
          <w:sz w:val="18"/>
        </w:rPr>
        <w:t xml:space="preserve"> </w:t>
      </w:r>
      <w:r>
        <w:rPr>
          <w:rFonts w:ascii="Arial"/>
          <w:b/>
          <w:sz w:val="18"/>
        </w:rPr>
        <w:t>Statistics</w:t>
      </w:r>
      <w:r>
        <w:rPr>
          <w:rFonts w:ascii="Arial"/>
          <w:b/>
          <w:spacing w:val="-5"/>
          <w:sz w:val="18"/>
        </w:rPr>
        <w:t xml:space="preserve"> </w:t>
      </w:r>
      <w:r>
        <w:rPr>
          <w:rFonts w:ascii="Arial"/>
          <w:b/>
          <w:spacing w:val="-2"/>
          <w:sz w:val="18"/>
        </w:rPr>
        <w:t>Bureau</w:t>
      </w:r>
    </w:p>
    <w:p w:rsidR="003A090A" w14:paraId="0CEEFAEA" w14:textId="77777777">
      <w:pPr>
        <w:spacing w:before="99"/>
        <w:ind w:left="143"/>
        <w:rPr>
          <w:rFonts w:ascii="Arial" w:hAnsi="Arial"/>
          <w:b/>
          <w:sz w:val="16"/>
        </w:rPr>
      </w:pPr>
      <w:r>
        <w:rPr>
          <w:rFonts w:ascii="Arial" w:hAnsi="Arial"/>
          <w:b/>
          <w:sz w:val="16"/>
        </w:rPr>
        <w:t>[Docket</w:t>
      </w:r>
      <w:r>
        <w:rPr>
          <w:rFonts w:ascii="Arial" w:hAnsi="Arial"/>
          <w:b/>
          <w:spacing w:val="-3"/>
          <w:sz w:val="16"/>
        </w:rPr>
        <w:t xml:space="preserve"> </w:t>
      </w:r>
      <w:r>
        <w:rPr>
          <w:rFonts w:ascii="Arial" w:hAnsi="Arial"/>
          <w:b/>
          <w:sz w:val="16"/>
        </w:rPr>
        <w:t>ID</w:t>
      </w:r>
      <w:r>
        <w:rPr>
          <w:rFonts w:ascii="Arial" w:hAnsi="Arial"/>
          <w:b/>
          <w:spacing w:val="-3"/>
          <w:sz w:val="16"/>
        </w:rPr>
        <w:t xml:space="preserve"> </w:t>
      </w:r>
      <w:r>
        <w:rPr>
          <w:rFonts w:ascii="Arial" w:hAnsi="Arial"/>
          <w:b/>
          <w:sz w:val="16"/>
        </w:rPr>
        <w:t>Number:</w:t>
      </w:r>
      <w:r>
        <w:rPr>
          <w:rFonts w:ascii="Arial" w:hAnsi="Arial"/>
          <w:b/>
          <w:spacing w:val="-3"/>
          <w:sz w:val="16"/>
        </w:rPr>
        <w:t xml:space="preserve"> </w:t>
      </w:r>
      <w:r>
        <w:rPr>
          <w:rFonts w:ascii="Arial" w:hAnsi="Arial"/>
          <w:b/>
          <w:spacing w:val="-2"/>
          <w:sz w:val="16"/>
        </w:rPr>
        <w:t>DOT–OST–2014–0031]</w:t>
      </w:r>
    </w:p>
    <w:p w:rsidR="003A090A" w14:paraId="471C9C2E" w14:textId="77777777">
      <w:pPr>
        <w:pStyle w:val="Heading1"/>
        <w:spacing w:before="163" w:line="232" w:lineRule="auto"/>
      </w:pPr>
      <w:r>
        <w:t>Notice of Submission of Proposed Information</w:t>
      </w:r>
      <w:r>
        <w:rPr>
          <w:spacing w:val="-11"/>
        </w:rPr>
        <w:t xml:space="preserve"> </w:t>
      </w:r>
      <w:r>
        <w:t>Collection</w:t>
      </w:r>
      <w:r>
        <w:rPr>
          <w:spacing w:val="-11"/>
        </w:rPr>
        <w:t xml:space="preserve"> </w:t>
      </w:r>
      <w:r>
        <w:t>to</w:t>
      </w:r>
      <w:r>
        <w:rPr>
          <w:spacing w:val="-11"/>
        </w:rPr>
        <w:t xml:space="preserve"> </w:t>
      </w:r>
      <w:r>
        <w:t>OMB;</w:t>
      </w:r>
      <w:r>
        <w:rPr>
          <w:spacing w:val="-11"/>
        </w:rPr>
        <w:t xml:space="preserve"> </w:t>
      </w:r>
      <w:r>
        <w:t>Agency Request for Renewal of a Previously Approved Collection: Airline Service Quality Performance—Part 234</w:t>
      </w:r>
    </w:p>
    <w:p w:rsidR="003A090A" w14:paraId="2FA05AE4" w14:textId="77777777">
      <w:pPr>
        <w:pStyle w:val="BodyText"/>
        <w:spacing w:before="115" w:line="228" w:lineRule="auto"/>
        <w:ind w:left="143" w:right="127" w:hanging="1"/>
      </w:pPr>
      <w:r>
        <w:rPr>
          <w:rFonts w:ascii="Arial" w:hAnsi="Arial"/>
          <w:b/>
          <w:w w:val="105"/>
          <w:sz w:val="15"/>
        </w:rPr>
        <w:t>AGENCY</w:t>
      </w:r>
      <w:r>
        <w:rPr>
          <w:rFonts w:ascii="Arial" w:hAnsi="Arial"/>
          <w:b/>
          <w:w w:val="105"/>
        </w:rPr>
        <w:t xml:space="preserve">: </w:t>
      </w:r>
      <w:r>
        <w:rPr>
          <w:w w:val="105"/>
        </w:rPr>
        <w:t>Office of the Assistant Secretary for Research and Technology (OST–R), Bureau of Transportation Statistics (BTS), Department of Transportation (DOT).</w:t>
      </w:r>
    </w:p>
    <w:p w:rsidR="003A090A" w14:paraId="35CBAFED" w14:textId="77777777">
      <w:pPr>
        <w:pStyle w:val="BodyText"/>
        <w:spacing w:before="36" w:line="228" w:lineRule="auto"/>
        <w:ind w:left="143" w:right="865" w:hanging="1"/>
      </w:pPr>
      <w:r>
        <w:rPr>
          <w:rFonts w:ascii="Arial"/>
          <w:b/>
          <w:w w:val="105"/>
          <w:sz w:val="15"/>
        </w:rPr>
        <w:t>ACTION</w:t>
      </w:r>
      <w:r>
        <w:rPr>
          <w:rFonts w:ascii="Arial"/>
          <w:b/>
          <w:w w:val="105"/>
        </w:rPr>
        <w:t>:</w:t>
      </w:r>
      <w:r>
        <w:rPr>
          <w:rFonts w:ascii="Arial"/>
          <w:b/>
          <w:spacing w:val="-14"/>
          <w:w w:val="105"/>
        </w:rPr>
        <w:t xml:space="preserve"> </w:t>
      </w:r>
      <w:r>
        <w:rPr>
          <w:w w:val="105"/>
        </w:rPr>
        <w:t>Notice</w:t>
      </w:r>
      <w:r>
        <w:rPr>
          <w:spacing w:val="-10"/>
          <w:w w:val="105"/>
        </w:rPr>
        <w:t xml:space="preserve"> </w:t>
      </w:r>
      <w:r>
        <w:rPr>
          <w:w w:val="105"/>
        </w:rPr>
        <w:t>and</w:t>
      </w:r>
      <w:r>
        <w:rPr>
          <w:spacing w:val="-10"/>
          <w:w w:val="105"/>
        </w:rPr>
        <w:t xml:space="preserve"> </w:t>
      </w:r>
      <w:r>
        <w:rPr>
          <w:w w:val="105"/>
        </w:rPr>
        <w:t>request</w:t>
      </w:r>
      <w:r>
        <w:rPr>
          <w:spacing w:val="-10"/>
          <w:w w:val="105"/>
        </w:rPr>
        <w:t xml:space="preserve"> </w:t>
      </w:r>
      <w:r>
        <w:rPr>
          <w:w w:val="105"/>
        </w:rPr>
        <w:t xml:space="preserve">for </w:t>
      </w:r>
      <w:r>
        <w:rPr>
          <w:spacing w:val="-2"/>
          <w:w w:val="105"/>
        </w:rPr>
        <w:t>comments.</w:t>
      </w:r>
    </w:p>
    <w:p w:rsidR="003A090A" w14:paraId="6228DB6E" w14:textId="77777777">
      <w:pPr>
        <w:pStyle w:val="BodyText"/>
        <w:spacing w:before="6"/>
        <w:ind w:left="0"/>
        <w:rPr>
          <w:sz w:val="5"/>
        </w:rPr>
      </w:pPr>
    </w:p>
    <w:p w:rsidR="003A090A" w14:paraId="5476FDFA" w14:textId="77777777">
      <w:pPr>
        <w:pStyle w:val="BodyText"/>
        <w:spacing w:line="20" w:lineRule="exact"/>
        <w:ind w:left="143" w:right="-72"/>
        <w:rPr>
          <w:sz w:val="2"/>
        </w:rPr>
      </w:pPr>
      <w:r>
        <w:rPr>
          <w:noProof/>
          <w:sz w:val="2"/>
        </w:rPr>
        <mc:AlternateContent>
          <mc:Choice Requires="wpg">
            <w:drawing>
              <wp:inline distT="0" distB="0" distL="0" distR="0">
                <wp:extent cx="2133600" cy="3810"/>
                <wp:effectExtent l="9525" t="0" r="0" b="571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3810"/>
                          <a:chOff x="0" y="0"/>
                          <a:chExt cx="2133600" cy="3810"/>
                        </a:xfrm>
                      </wpg:grpSpPr>
                      <wps:wsp xmlns:wps="http://schemas.microsoft.com/office/word/2010/wordprocessingShape">
                        <wps:cNvPr id="6" name="Graphic 6"/>
                        <wps:cNvSpPr/>
                        <wps:spPr>
                          <a:xfrm>
                            <a:off x="0" y="1905"/>
                            <a:ext cx="2133600" cy="1270"/>
                          </a:xfrm>
                          <a:custGeom>
                            <a:avLst/>
                            <a:gdLst/>
                            <a:rect l="l" t="t" r="r" b="b"/>
                            <a:pathLst>
                              <a:path fill="norm"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8" style="width:168pt;height:0.3pt;mso-position-horizontal-relative:char;mso-position-vertical-relative:line" coordsize="21336,38">
                <v:shape id="Graphic 6" o:spid="_x0000_s1029" style="width:21336;height:12;mso-wrap-style:square;position:absolute;top:19;visibility:visible;v-text-anchor:top" coordsize="2133600,1270" path="m,l2133600,e" filled="f" strokeweight="0.3pt">
                  <v:path arrowok="t"/>
                </v:shape>
                <w10:wrap type="none"/>
                <w10:anchorlock/>
              </v:group>
            </w:pict>
          </mc:Fallback>
        </mc:AlternateContent>
      </w:r>
    </w:p>
    <w:p w:rsidR="003A090A" w14:paraId="73FA32B0" w14:textId="77777777">
      <w:pPr>
        <w:pStyle w:val="BodyText"/>
        <w:spacing w:before="58" w:line="228" w:lineRule="auto"/>
        <w:ind w:left="143" w:right="137" w:hanging="1"/>
      </w:pPr>
      <w:r>
        <w:rPr>
          <w:rFonts w:ascii="Arial" w:hAnsi="Arial"/>
          <w:b/>
          <w:w w:val="105"/>
          <w:sz w:val="15"/>
        </w:rPr>
        <w:t>SUMMARY</w:t>
      </w:r>
      <w:r>
        <w:rPr>
          <w:rFonts w:ascii="Arial" w:hAnsi="Arial"/>
          <w:b/>
          <w:w w:val="105"/>
        </w:rPr>
        <w:t xml:space="preserve">: </w:t>
      </w:r>
      <w:r>
        <w:rPr>
          <w:w w:val="105"/>
        </w:rPr>
        <w:t>In accordance with the Paperwork Reduction Act of 1995, this notice announces DOT’s intention to renew Office of Management and Budget (OMB) Control Number 2138– 0041 covering Airline Service Quality Performance On-time Performance and Mishandled Baggage reports that the largest U.S. air carriers file with DOT.</w:t>
      </w:r>
    </w:p>
    <w:p w:rsidR="003A090A" w14:paraId="60778618" w14:textId="77777777">
      <w:pPr>
        <w:pStyle w:val="BodyText"/>
        <w:spacing w:before="34" w:line="228" w:lineRule="auto"/>
        <w:ind w:left="143" w:hanging="1"/>
      </w:pPr>
      <w:r>
        <w:rPr>
          <w:rFonts w:ascii="Arial"/>
          <w:b/>
          <w:w w:val="105"/>
          <w:sz w:val="15"/>
        </w:rPr>
        <w:t>DATES</w:t>
      </w:r>
      <w:r>
        <w:rPr>
          <w:rFonts w:ascii="Arial"/>
          <w:b/>
          <w:w w:val="105"/>
        </w:rPr>
        <w:t>:</w:t>
      </w:r>
      <w:r>
        <w:rPr>
          <w:rFonts w:ascii="Arial"/>
          <w:b/>
          <w:spacing w:val="-12"/>
          <w:w w:val="105"/>
        </w:rPr>
        <w:t xml:space="preserve"> </w:t>
      </w:r>
      <w:r>
        <w:rPr>
          <w:w w:val="105"/>
        </w:rPr>
        <w:t>Comments</w:t>
      </w:r>
      <w:r>
        <w:rPr>
          <w:spacing w:val="-1"/>
          <w:w w:val="105"/>
        </w:rPr>
        <w:t xml:space="preserve"> </w:t>
      </w:r>
      <w:r>
        <w:rPr>
          <w:w w:val="105"/>
        </w:rPr>
        <w:t>on</w:t>
      </w:r>
      <w:r>
        <w:rPr>
          <w:spacing w:val="-1"/>
          <w:w w:val="105"/>
        </w:rPr>
        <w:t xml:space="preserve"> </w:t>
      </w:r>
      <w:r>
        <w:rPr>
          <w:w w:val="105"/>
        </w:rPr>
        <w:t>this</w:t>
      </w:r>
      <w:r>
        <w:rPr>
          <w:spacing w:val="-1"/>
          <w:w w:val="105"/>
        </w:rPr>
        <w:t xml:space="preserve"> </w:t>
      </w:r>
      <w:r>
        <w:rPr>
          <w:w w:val="105"/>
        </w:rPr>
        <w:t>notice</w:t>
      </w:r>
      <w:r>
        <w:rPr>
          <w:spacing w:val="-1"/>
          <w:w w:val="105"/>
        </w:rPr>
        <w:t xml:space="preserve"> </w:t>
      </w:r>
      <w:r>
        <w:rPr>
          <w:w w:val="105"/>
        </w:rPr>
        <w:t>must</w:t>
      </w:r>
      <w:r>
        <w:rPr>
          <w:spacing w:val="-1"/>
          <w:w w:val="105"/>
        </w:rPr>
        <w:t xml:space="preserve"> </w:t>
      </w:r>
      <w:r>
        <w:rPr>
          <w:w w:val="105"/>
        </w:rPr>
        <w:t>be received by January 7, 2025. Interested persons are invited to submit comments regarding this proposal.</w:t>
      </w:r>
    </w:p>
    <w:p w:rsidR="003A090A" w14:paraId="64601FCE" w14:textId="77777777">
      <w:pPr>
        <w:pStyle w:val="BodyText"/>
        <w:spacing w:before="36" w:line="228" w:lineRule="auto"/>
        <w:ind w:left="143" w:right="127" w:hanging="1"/>
      </w:pPr>
      <w:r>
        <w:rPr>
          <w:rFonts w:ascii="Arial" w:hAnsi="Arial"/>
          <w:b/>
          <w:w w:val="105"/>
          <w:sz w:val="15"/>
        </w:rPr>
        <w:t>ADDRESSES</w:t>
      </w:r>
      <w:r>
        <w:rPr>
          <w:rFonts w:ascii="Arial" w:hAnsi="Arial"/>
          <w:b/>
          <w:w w:val="105"/>
        </w:rPr>
        <w:t>:</w:t>
      </w:r>
      <w:r>
        <w:rPr>
          <w:rFonts w:ascii="Arial" w:hAnsi="Arial"/>
          <w:b/>
          <w:spacing w:val="-1"/>
          <w:w w:val="105"/>
        </w:rPr>
        <w:t xml:space="preserve"> </w:t>
      </w:r>
      <w:r>
        <w:rPr>
          <w:w w:val="105"/>
        </w:rPr>
        <w:t>To ensure that you don’t duplicate your docket submissions, please submit them by only one of the following means:</w:t>
      </w:r>
    </w:p>
    <w:p w:rsidR="003A090A" w14:paraId="56B120EA" w14:textId="77777777">
      <w:pPr>
        <w:pStyle w:val="ListParagraph"/>
        <w:numPr>
          <w:ilvl w:val="0"/>
          <w:numId w:val="3"/>
        </w:numPr>
        <w:tabs>
          <w:tab w:val="left" w:pos="505"/>
        </w:tabs>
        <w:spacing w:line="220" w:lineRule="auto"/>
        <w:ind w:right="89" w:firstLine="180"/>
        <w:rPr>
          <w:sz w:val="18"/>
        </w:rPr>
      </w:pPr>
      <w:r>
        <w:rPr>
          <w:rFonts w:ascii="Book Antiqua" w:hAnsi="Book Antiqua"/>
          <w:i/>
          <w:w w:val="110"/>
          <w:sz w:val="18"/>
        </w:rPr>
        <w:t xml:space="preserve">Federal eRulemaking Portal: </w:t>
      </w:r>
      <w:r>
        <w:rPr>
          <w:w w:val="110"/>
          <w:sz w:val="18"/>
        </w:rPr>
        <w:t xml:space="preserve">Go to </w:t>
      </w:r>
      <w:hyperlink r:id="rId8">
        <w:r>
          <w:rPr>
            <w:rFonts w:ascii="Book Antiqua" w:hAnsi="Book Antiqua"/>
            <w:i/>
            <w:w w:val="110"/>
            <w:sz w:val="18"/>
          </w:rPr>
          <w:t>https://www.regulations.gov</w:t>
        </w:r>
      </w:hyperlink>
      <w:r>
        <w:rPr>
          <w:rFonts w:ascii="Book Antiqua" w:hAnsi="Book Antiqua"/>
          <w:i/>
          <w:spacing w:val="-4"/>
          <w:w w:val="110"/>
          <w:sz w:val="18"/>
        </w:rPr>
        <w:t xml:space="preserve"> </w:t>
      </w:r>
      <w:r>
        <w:rPr>
          <w:w w:val="110"/>
          <w:sz w:val="18"/>
        </w:rPr>
        <w:t>and follow the online instructions for submitting comments.</w:t>
      </w:r>
      <w:r>
        <w:rPr>
          <w:spacing w:val="-11"/>
          <w:w w:val="110"/>
          <w:sz w:val="18"/>
        </w:rPr>
        <w:t xml:space="preserve"> </w:t>
      </w:r>
      <w:r>
        <w:rPr>
          <w:w w:val="110"/>
          <w:sz w:val="18"/>
        </w:rPr>
        <w:t>(You</w:t>
      </w:r>
      <w:r>
        <w:rPr>
          <w:spacing w:val="-11"/>
          <w:w w:val="110"/>
          <w:sz w:val="18"/>
        </w:rPr>
        <w:t xml:space="preserve"> </w:t>
      </w:r>
      <w:r>
        <w:rPr>
          <w:w w:val="110"/>
          <w:sz w:val="18"/>
        </w:rPr>
        <w:t>may</w:t>
      </w:r>
      <w:r>
        <w:rPr>
          <w:spacing w:val="-11"/>
          <w:w w:val="110"/>
          <w:sz w:val="18"/>
        </w:rPr>
        <w:t xml:space="preserve"> </w:t>
      </w:r>
      <w:r>
        <w:rPr>
          <w:w w:val="110"/>
          <w:sz w:val="18"/>
        </w:rPr>
        <w:t>access</w:t>
      </w:r>
      <w:r>
        <w:rPr>
          <w:spacing w:val="-11"/>
          <w:w w:val="110"/>
          <w:sz w:val="18"/>
        </w:rPr>
        <w:t xml:space="preserve"> </w:t>
      </w:r>
      <w:r>
        <w:rPr>
          <w:w w:val="110"/>
          <w:sz w:val="18"/>
        </w:rPr>
        <w:t xml:space="preserve">comments received for this notice at </w:t>
      </w:r>
      <w:hyperlink r:id="rId5">
        <w:r>
          <w:rPr>
            <w:rFonts w:ascii="Book Antiqua" w:hAnsi="Book Antiqua"/>
            <w:i/>
            <w:w w:val="110"/>
            <w:sz w:val="18"/>
          </w:rPr>
          <w:t>http://</w:t>
        </w:r>
      </w:hyperlink>
      <w:r>
        <w:rPr>
          <w:rFonts w:ascii="Book Antiqua" w:hAnsi="Book Antiqua"/>
          <w:i/>
          <w:w w:val="110"/>
          <w:sz w:val="18"/>
        </w:rPr>
        <w:t xml:space="preserve"> </w:t>
      </w:r>
      <w:hyperlink r:id="rId5">
        <w:r>
          <w:rPr>
            <w:rFonts w:ascii="Book Antiqua" w:hAnsi="Book Antiqua"/>
            <w:i/>
            <w:w w:val="110"/>
            <w:sz w:val="18"/>
          </w:rPr>
          <w:t>www.regulations.gov</w:t>
        </w:r>
      </w:hyperlink>
      <w:r>
        <w:rPr>
          <w:rFonts w:ascii="Book Antiqua" w:hAnsi="Book Antiqua"/>
          <w:i/>
          <w:w w:val="110"/>
          <w:sz w:val="18"/>
        </w:rPr>
        <w:t xml:space="preserve"> </w:t>
      </w:r>
      <w:r>
        <w:rPr>
          <w:w w:val="110"/>
          <w:sz w:val="18"/>
        </w:rPr>
        <w:t>by searching docket DOT–OST–2014–0031.)</w:t>
      </w:r>
    </w:p>
    <w:p w:rsidR="003A090A" w14:paraId="64488D3E" w14:textId="77777777">
      <w:pPr>
        <w:pStyle w:val="ListParagraph"/>
        <w:numPr>
          <w:ilvl w:val="0"/>
          <w:numId w:val="3"/>
        </w:numPr>
        <w:tabs>
          <w:tab w:val="left" w:pos="505"/>
        </w:tabs>
        <w:spacing w:line="197" w:lineRule="exact"/>
        <w:ind w:left="505" w:hanging="182"/>
        <w:rPr>
          <w:sz w:val="18"/>
        </w:rPr>
      </w:pPr>
      <w:r>
        <w:rPr>
          <w:rFonts w:ascii="Book Antiqua" w:hAnsi="Book Antiqua"/>
          <w:i/>
          <w:w w:val="105"/>
          <w:sz w:val="18"/>
        </w:rPr>
        <w:t>Mail:</w:t>
      </w:r>
      <w:r>
        <w:rPr>
          <w:rFonts w:ascii="Book Antiqua" w:hAnsi="Book Antiqua"/>
          <w:i/>
          <w:spacing w:val="9"/>
          <w:w w:val="105"/>
          <w:sz w:val="18"/>
        </w:rPr>
        <w:t xml:space="preserve"> </w:t>
      </w:r>
      <w:r>
        <w:rPr>
          <w:w w:val="105"/>
          <w:sz w:val="18"/>
        </w:rPr>
        <w:t>Docket</w:t>
      </w:r>
      <w:r>
        <w:rPr>
          <w:spacing w:val="15"/>
          <w:w w:val="105"/>
          <w:sz w:val="18"/>
        </w:rPr>
        <w:t xml:space="preserve"> </w:t>
      </w:r>
      <w:r>
        <w:rPr>
          <w:w w:val="105"/>
          <w:sz w:val="18"/>
        </w:rPr>
        <w:t>Management</w:t>
      </w:r>
      <w:r>
        <w:rPr>
          <w:spacing w:val="15"/>
          <w:w w:val="105"/>
          <w:sz w:val="18"/>
        </w:rPr>
        <w:t xml:space="preserve"> </w:t>
      </w:r>
      <w:r>
        <w:rPr>
          <w:spacing w:val="-2"/>
          <w:w w:val="105"/>
          <w:sz w:val="18"/>
        </w:rPr>
        <w:t>Facility,</w:t>
      </w:r>
    </w:p>
    <w:p w:rsidR="003A090A" w14:paraId="4E5F745D" w14:textId="77777777">
      <w:pPr>
        <w:pStyle w:val="BodyText"/>
        <w:spacing w:line="228" w:lineRule="auto"/>
        <w:ind w:left="143" w:right="1"/>
      </w:pPr>
      <w:r>
        <w:rPr>
          <w:w w:val="105"/>
        </w:rPr>
        <w:t>U.S. Department of Transportation, 1200 New Jersey Ave. SE, West Building</w:t>
      </w:r>
      <w:r>
        <w:rPr>
          <w:spacing w:val="40"/>
          <w:w w:val="105"/>
        </w:rPr>
        <w:t xml:space="preserve"> </w:t>
      </w:r>
      <w:r>
        <w:rPr>
          <w:w w:val="105"/>
        </w:rPr>
        <w:t>Ground Floor Room W12–140, Washington, DC 20590–0001.</w:t>
      </w:r>
    </w:p>
    <w:p w:rsidR="003A090A" w14:paraId="3F0002C1" w14:textId="77777777">
      <w:pPr>
        <w:pStyle w:val="ListParagraph"/>
        <w:numPr>
          <w:ilvl w:val="0"/>
          <w:numId w:val="2"/>
        </w:numPr>
        <w:tabs>
          <w:tab w:val="left" w:pos="505"/>
        </w:tabs>
        <w:spacing w:line="225" w:lineRule="auto"/>
        <w:ind w:left="143" w:firstLine="180"/>
        <w:rPr>
          <w:sz w:val="18"/>
        </w:rPr>
      </w:pPr>
      <w:r>
        <w:rPr>
          <w:rFonts w:ascii="Book Antiqua" w:hAnsi="Book Antiqua"/>
          <w:i/>
          <w:w w:val="105"/>
          <w:sz w:val="18"/>
        </w:rPr>
        <w:t xml:space="preserve">Hand Delivery: </w:t>
      </w:r>
      <w:r>
        <w:rPr>
          <w:w w:val="105"/>
          <w:sz w:val="18"/>
        </w:rPr>
        <w:t>West Building</w:t>
      </w:r>
      <w:r>
        <w:rPr>
          <w:spacing w:val="40"/>
          <w:w w:val="105"/>
          <w:sz w:val="18"/>
        </w:rPr>
        <w:t xml:space="preserve"> </w:t>
      </w:r>
      <w:r>
        <w:rPr>
          <w:w w:val="105"/>
          <w:sz w:val="18"/>
        </w:rPr>
        <w:t>Ground Floor, Room W12–140, 1200</w:t>
      </w:r>
      <w:r>
        <w:rPr>
          <w:spacing w:val="40"/>
          <w:w w:val="105"/>
          <w:sz w:val="18"/>
        </w:rPr>
        <w:t xml:space="preserve"> </w:t>
      </w:r>
      <w:r>
        <w:rPr>
          <w:w w:val="105"/>
          <w:sz w:val="18"/>
        </w:rPr>
        <w:t>New Jersey Ave. SE, between 9 a.m. and</w:t>
      </w:r>
      <w:r>
        <w:rPr>
          <w:spacing w:val="80"/>
          <w:w w:val="150"/>
          <w:sz w:val="18"/>
        </w:rPr>
        <w:t xml:space="preserve"> </w:t>
      </w:r>
      <w:r>
        <w:rPr>
          <w:w w:val="105"/>
          <w:sz w:val="18"/>
        </w:rPr>
        <w:t>5 p.m., Monday through Friday, except Federal holidays. The telephone number is 202–366–9329.</w:t>
      </w:r>
    </w:p>
    <w:p w:rsidR="003A090A" w14:paraId="7E768053" w14:textId="77777777">
      <w:pPr>
        <w:pStyle w:val="BodyText"/>
        <w:spacing w:line="225" w:lineRule="auto"/>
        <w:ind w:left="143" w:right="127" w:firstLine="180"/>
      </w:pPr>
      <w:r>
        <w:rPr>
          <w:rFonts w:ascii="Book Antiqua" w:hAnsi="Book Antiqua"/>
          <w:i/>
          <w:w w:val="105"/>
        </w:rPr>
        <w:t xml:space="preserve">Privacy Act: </w:t>
      </w:r>
      <w:r>
        <w:rPr>
          <w:w w:val="105"/>
        </w:rPr>
        <w:t>Anyone is able to search the electronic form of all comments received into any of DOT’s dockets by</w:t>
      </w:r>
      <w:r>
        <w:rPr>
          <w:spacing w:val="40"/>
          <w:w w:val="105"/>
        </w:rPr>
        <w:t xml:space="preserve"> </w:t>
      </w:r>
      <w:r>
        <w:rPr>
          <w:w w:val="105"/>
        </w:rPr>
        <w:t>the name of the individual submitting</w:t>
      </w:r>
      <w:r>
        <w:rPr>
          <w:spacing w:val="40"/>
          <w:w w:val="105"/>
        </w:rPr>
        <w:t xml:space="preserve"> </w:t>
      </w:r>
      <w:r>
        <w:rPr>
          <w:w w:val="105"/>
        </w:rPr>
        <w:t>the comment (or signing the comment,</w:t>
      </w:r>
      <w:r>
        <w:rPr>
          <w:spacing w:val="80"/>
          <w:w w:val="105"/>
        </w:rPr>
        <w:t xml:space="preserve"> </w:t>
      </w:r>
      <w:r>
        <w:rPr>
          <w:w w:val="105"/>
        </w:rPr>
        <w:t xml:space="preserve">if submitted on behalf of an association, business, labor union, etc.). You may review DOT’s complete Privacy Act Statement in the </w:t>
      </w:r>
      <w:r>
        <w:rPr>
          <w:rFonts w:ascii="Book Antiqua" w:hAnsi="Book Antiqua"/>
          <w:b/>
          <w:w w:val="105"/>
        </w:rPr>
        <w:t xml:space="preserve">Federal Register </w:t>
      </w:r>
      <w:r>
        <w:rPr>
          <w:w w:val="105"/>
        </w:rPr>
        <w:t>published on April 11, 2000 (65 FR</w:t>
      </w:r>
    </w:p>
    <w:p w:rsidR="003A090A" w14:paraId="2325E4AB" w14:textId="77777777">
      <w:pPr>
        <w:pStyle w:val="BodyText"/>
        <w:spacing w:line="200" w:lineRule="exact"/>
        <w:ind w:left="143"/>
      </w:pPr>
      <w:r>
        <w:rPr>
          <w:spacing w:val="-2"/>
        </w:rPr>
        <w:t>19477–78).</w:t>
      </w:r>
    </w:p>
    <w:p w:rsidR="003A090A" w14:paraId="7FC238FA" w14:textId="77777777">
      <w:pPr>
        <w:spacing w:before="10" w:line="202" w:lineRule="exact"/>
        <w:ind w:left="143"/>
        <w:rPr>
          <w:rFonts w:ascii="Arial"/>
          <w:b/>
          <w:sz w:val="18"/>
        </w:rPr>
      </w:pPr>
      <w:r>
        <w:rPr>
          <w:rFonts w:ascii="Arial"/>
          <w:b/>
          <w:spacing w:val="-4"/>
          <w:sz w:val="15"/>
        </w:rPr>
        <w:t>FOR</w:t>
      </w:r>
      <w:r>
        <w:rPr>
          <w:rFonts w:ascii="Arial"/>
          <w:b/>
          <w:spacing w:val="4"/>
          <w:sz w:val="15"/>
        </w:rPr>
        <w:t xml:space="preserve"> </w:t>
      </w:r>
      <w:r>
        <w:rPr>
          <w:rFonts w:ascii="Arial"/>
          <w:b/>
          <w:spacing w:val="-4"/>
          <w:sz w:val="15"/>
        </w:rPr>
        <w:t>FURTHER</w:t>
      </w:r>
      <w:r>
        <w:rPr>
          <w:rFonts w:ascii="Arial"/>
          <w:b/>
          <w:spacing w:val="5"/>
          <w:sz w:val="15"/>
        </w:rPr>
        <w:t xml:space="preserve"> </w:t>
      </w:r>
      <w:r>
        <w:rPr>
          <w:rFonts w:ascii="Arial"/>
          <w:b/>
          <w:spacing w:val="-4"/>
          <w:sz w:val="15"/>
        </w:rPr>
        <w:t>INFORMATION</w:t>
      </w:r>
      <w:r>
        <w:rPr>
          <w:rFonts w:ascii="Arial"/>
          <w:b/>
          <w:spacing w:val="5"/>
          <w:sz w:val="15"/>
        </w:rPr>
        <w:t xml:space="preserve"> </w:t>
      </w:r>
      <w:r>
        <w:rPr>
          <w:rFonts w:ascii="Arial"/>
          <w:b/>
          <w:spacing w:val="-4"/>
          <w:sz w:val="15"/>
        </w:rPr>
        <w:t>CONTACT</w:t>
      </w:r>
      <w:r>
        <w:rPr>
          <w:rFonts w:ascii="Arial"/>
          <w:b/>
          <w:spacing w:val="-4"/>
          <w:sz w:val="18"/>
        </w:rPr>
        <w:t>:</w:t>
      </w:r>
    </w:p>
    <w:p w:rsidR="003A090A" w14:paraId="5910CC40" w14:textId="77777777">
      <w:pPr>
        <w:pStyle w:val="BodyText"/>
        <w:spacing w:before="4" w:line="228" w:lineRule="auto"/>
        <w:ind w:left="143" w:right="137"/>
      </w:pPr>
      <w:r>
        <w:rPr>
          <w:w w:val="110"/>
        </w:rPr>
        <w:t>Cecelia Robinson, Office of Airline Information,</w:t>
      </w:r>
      <w:r>
        <w:rPr>
          <w:spacing w:val="1"/>
          <w:w w:val="110"/>
        </w:rPr>
        <w:t xml:space="preserve"> </w:t>
      </w:r>
      <w:r>
        <w:rPr>
          <w:w w:val="110"/>
        </w:rPr>
        <w:t>RTS–42,</w:t>
      </w:r>
      <w:r>
        <w:rPr>
          <w:spacing w:val="1"/>
          <w:w w:val="110"/>
        </w:rPr>
        <w:t xml:space="preserve"> </w:t>
      </w:r>
      <w:r>
        <w:rPr>
          <w:w w:val="110"/>
        </w:rPr>
        <w:t>OST–R,</w:t>
      </w:r>
      <w:r>
        <w:rPr>
          <w:spacing w:val="2"/>
          <w:w w:val="110"/>
        </w:rPr>
        <w:t xml:space="preserve"> </w:t>
      </w:r>
      <w:r>
        <w:rPr>
          <w:spacing w:val="-4"/>
          <w:w w:val="110"/>
        </w:rPr>
        <w:t>BTS,</w:t>
      </w:r>
    </w:p>
    <w:p w:rsidR="003A090A" w14:paraId="74788FC9" w14:textId="77777777">
      <w:pPr>
        <w:pStyle w:val="BodyText"/>
        <w:spacing w:before="67" w:line="225" w:lineRule="auto"/>
        <w:ind w:left="142" w:right="170"/>
      </w:pPr>
      <w:r>
        <w:br w:type="column"/>
      </w:r>
      <w:r>
        <w:rPr>
          <w:w w:val="105"/>
        </w:rPr>
        <w:t>1200 New Jersey Avenue SE,</w:t>
      </w:r>
      <w:r>
        <w:rPr>
          <w:spacing w:val="40"/>
          <w:w w:val="105"/>
        </w:rPr>
        <w:t xml:space="preserve"> </w:t>
      </w:r>
      <w:r>
        <w:rPr>
          <w:w w:val="105"/>
        </w:rPr>
        <w:t>Washington, DC 20590–0001, telephone number (202) 893–0515 (voice), fax</w:t>
      </w:r>
    </w:p>
    <w:p w:rsidR="003A090A" w14:paraId="5030F85F" w14:textId="77777777">
      <w:pPr>
        <w:pStyle w:val="BodyText"/>
        <w:spacing w:line="195" w:lineRule="exact"/>
        <w:ind w:left="142"/>
      </w:pPr>
      <w:r>
        <w:t>number</w:t>
      </w:r>
      <w:r>
        <w:rPr>
          <w:spacing w:val="12"/>
        </w:rPr>
        <w:t xml:space="preserve"> </w:t>
      </w:r>
      <w:r>
        <w:t>(202)</w:t>
      </w:r>
      <w:r>
        <w:rPr>
          <w:spacing w:val="13"/>
        </w:rPr>
        <w:t xml:space="preserve"> </w:t>
      </w:r>
      <w:r>
        <w:t>366–3383</w:t>
      </w:r>
      <w:r>
        <w:rPr>
          <w:spacing w:val="13"/>
        </w:rPr>
        <w:t xml:space="preserve"> </w:t>
      </w:r>
      <w:r>
        <w:t>or</w:t>
      </w:r>
      <w:r>
        <w:rPr>
          <w:spacing w:val="12"/>
        </w:rPr>
        <w:t xml:space="preserve"> </w:t>
      </w:r>
      <w:r>
        <w:rPr>
          <w:spacing w:val="-2"/>
        </w:rPr>
        <w:t>email</w:t>
      </w:r>
    </w:p>
    <w:p w:rsidR="003A090A" w14:paraId="01B53326" w14:textId="77777777">
      <w:pPr>
        <w:spacing w:line="213" w:lineRule="exact"/>
        <w:ind w:left="142"/>
        <w:rPr>
          <w:rFonts w:ascii="Book Antiqua"/>
          <w:i/>
          <w:sz w:val="18"/>
        </w:rPr>
      </w:pPr>
      <w:hyperlink r:id="rId9">
        <w:r>
          <w:rPr>
            <w:rFonts w:ascii="Book Antiqua"/>
            <w:i/>
            <w:spacing w:val="-2"/>
            <w:w w:val="115"/>
            <w:sz w:val="18"/>
          </w:rPr>
          <w:t>cecelia.robinson@dot.gov.</w:t>
        </w:r>
      </w:hyperlink>
    </w:p>
    <w:p w:rsidR="003A090A" w14:paraId="1F77FC18" w14:textId="77777777">
      <w:pPr>
        <w:spacing w:before="2" w:line="205" w:lineRule="exact"/>
        <w:ind w:left="142"/>
        <w:rPr>
          <w:sz w:val="18"/>
        </w:rPr>
      </w:pPr>
      <w:r>
        <w:rPr>
          <w:rFonts w:ascii="Arial"/>
          <w:b/>
          <w:spacing w:val="-4"/>
          <w:sz w:val="15"/>
        </w:rPr>
        <w:t>SUPPLEMENTARY</w:t>
      </w:r>
      <w:r>
        <w:rPr>
          <w:rFonts w:ascii="Arial"/>
          <w:b/>
          <w:spacing w:val="1"/>
          <w:sz w:val="15"/>
        </w:rPr>
        <w:t xml:space="preserve"> </w:t>
      </w:r>
      <w:r>
        <w:rPr>
          <w:rFonts w:ascii="Arial"/>
          <w:b/>
          <w:spacing w:val="-4"/>
          <w:sz w:val="15"/>
        </w:rPr>
        <w:t>INFORMATION</w:t>
      </w:r>
      <w:r>
        <w:rPr>
          <w:rFonts w:ascii="Arial"/>
          <w:b/>
          <w:spacing w:val="-4"/>
          <w:sz w:val="18"/>
        </w:rPr>
        <w:t>:</w:t>
      </w:r>
      <w:r>
        <w:rPr>
          <w:rFonts w:ascii="Arial"/>
          <w:b/>
          <w:spacing w:val="-6"/>
          <w:sz w:val="18"/>
        </w:rPr>
        <w:t xml:space="preserve"> </w:t>
      </w:r>
      <w:r>
        <w:rPr>
          <w:spacing w:val="-5"/>
          <w:sz w:val="18"/>
        </w:rPr>
        <w:t>DOT</w:t>
      </w:r>
    </w:p>
    <w:p w:rsidR="003A090A" w14:paraId="590EDC8B" w14:textId="77777777">
      <w:pPr>
        <w:pStyle w:val="BodyText"/>
        <w:spacing w:before="4" w:line="225" w:lineRule="auto"/>
        <w:ind w:left="142" w:right="123"/>
      </w:pPr>
      <w:r>
        <w:rPr>
          <w:w w:val="105"/>
        </w:rPr>
        <w:t>collects information regarding flight performance and mishandled baggage, wheelchairs, and scooters from the largest U.S. air carriers under 14 CFR</w:t>
      </w:r>
      <w:r>
        <w:rPr>
          <w:spacing w:val="80"/>
          <w:w w:val="105"/>
        </w:rPr>
        <w:t xml:space="preserve"> </w:t>
      </w:r>
      <w:r>
        <w:rPr>
          <w:w w:val="105"/>
        </w:rPr>
        <w:t>part 234. The air carriers required to provide this information to DOT consist</w:t>
      </w:r>
      <w:r>
        <w:rPr>
          <w:spacing w:val="40"/>
          <w:w w:val="105"/>
        </w:rPr>
        <w:t xml:space="preserve"> </w:t>
      </w:r>
      <w:r>
        <w:rPr>
          <w:w w:val="105"/>
        </w:rPr>
        <w:t>of the U.S. air carriers that accounted for at least half of one percent of domestic scheduled-passenger revenues (Reporting Carriers) as most recently determined by the DOT’s Office of</w:t>
      </w:r>
      <w:r>
        <w:rPr>
          <w:spacing w:val="80"/>
          <w:w w:val="150"/>
        </w:rPr>
        <w:t xml:space="preserve"> </w:t>
      </w:r>
      <w:r>
        <w:rPr>
          <w:w w:val="105"/>
        </w:rPr>
        <w:t>Airline</w:t>
      </w:r>
      <w:r>
        <w:rPr>
          <w:spacing w:val="40"/>
          <w:w w:val="105"/>
        </w:rPr>
        <w:t xml:space="preserve"> </w:t>
      </w:r>
      <w:r>
        <w:rPr>
          <w:w w:val="105"/>
        </w:rPr>
        <w:t>Information.</w:t>
      </w:r>
      <w:r>
        <w:rPr>
          <w:spacing w:val="40"/>
          <w:w w:val="105"/>
        </w:rPr>
        <w:t xml:space="preserve"> </w:t>
      </w:r>
      <w:r>
        <w:rPr>
          <w:w w:val="105"/>
        </w:rPr>
        <w:t>An</w:t>
      </w:r>
      <w:r>
        <w:rPr>
          <w:spacing w:val="40"/>
          <w:w w:val="105"/>
        </w:rPr>
        <w:t xml:space="preserve"> </w:t>
      </w:r>
      <w:r>
        <w:rPr>
          <w:w w:val="105"/>
        </w:rPr>
        <w:t>air</w:t>
      </w:r>
      <w:r>
        <w:rPr>
          <w:spacing w:val="40"/>
          <w:w w:val="105"/>
        </w:rPr>
        <w:t xml:space="preserve"> </w:t>
      </w:r>
      <w:r>
        <w:rPr>
          <w:w w:val="105"/>
        </w:rPr>
        <w:t>carrier</w:t>
      </w:r>
      <w:r>
        <w:rPr>
          <w:spacing w:val="40"/>
          <w:w w:val="105"/>
        </w:rPr>
        <w:t xml:space="preserve"> </w:t>
      </w:r>
      <w:r>
        <w:rPr>
          <w:w w:val="105"/>
        </w:rPr>
        <w:t>that is not a Reporting Carrier may</w:t>
      </w:r>
      <w:r>
        <w:rPr>
          <w:spacing w:val="40"/>
          <w:w w:val="105"/>
        </w:rPr>
        <w:t xml:space="preserve"> </w:t>
      </w:r>
      <w:r>
        <w:rPr>
          <w:w w:val="105"/>
        </w:rPr>
        <w:t>voluntarily submit the flight</w:t>
      </w:r>
      <w:r>
        <w:rPr>
          <w:spacing w:val="80"/>
          <w:w w:val="105"/>
        </w:rPr>
        <w:t xml:space="preserve"> </w:t>
      </w:r>
      <w:r>
        <w:rPr>
          <w:w w:val="105"/>
        </w:rPr>
        <w:t>performance and mishandled baggage, wheelchairs,</w:t>
      </w:r>
      <w:r>
        <w:rPr>
          <w:spacing w:val="40"/>
          <w:w w:val="105"/>
        </w:rPr>
        <w:t xml:space="preserve"> </w:t>
      </w:r>
      <w:r>
        <w:rPr>
          <w:w w:val="105"/>
        </w:rPr>
        <w:t>and</w:t>
      </w:r>
      <w:r>
        <w:rPr>
          <w:spacing w:val="40"/>
          <w:w w:val="105"/>
        </w:rPr>
        <w:t xml:space="preserve"> </w:t>
      </w:r>
      <w:r>
        <w:rPr>
          <w:w w:val="105"/>
        </w:rPr>
        <w:t>scooters</w:t>
      </w:r>
      <w:r>
        <w:rPr>
          <w:spacing w:val="40"/>
          <w:w w:val="105"/>
        </w:rPr>
        <w:t xml:space="preserve"> </w:t>
      </w:r>
      <w:r>
        <w:rPr>
          <w:w w:val="105"/>
        </w:rPr>
        <w:t xml:space="preserve">information to the Department pursuant to 14 CFR </w:t>
      </w:r>
      <w:r>
        <w:rPr>
          <w:spacing w:val="-2"/>
          <w:w w:val="105"/>
        </w:rPr>
        <w:t>234.7.</w:t>
      </w:r>
    </w:p>
    <w:p w:rsidR="003A090A" w14:paraId="2A2F9757" w14:textId="77777777">
      <w:pPr>
        <w:pStyle w:val="BodyText"/>
        <w:spacing w:line="174" w:lineRule="exact"/>
        <w:ind w:left="322"/>
      </w:pPr>
      <w:r>
        <w:rPr>
          <w:w w:val="105"/>
        </w:rPr>
        <w:t>Specifically,</w:t>
      </w:r>
      <w:r>
        <w:rPr>
          <w:spacing w:val="26"/>
          <w:w w:val="105"/>
        </w:rPr>
        <w:t xml:space="preserve"> </w:t>
      </w:r>
      <w:r>
        <w:rPr>
          <w:w w:val="105"/>
        </w:rPr>
        <w:t>Reporting</w:t>
      </w:r>
      <w:r>
        <w:rPr>
          <w:spacing w:val="27"/>
          <w:w w:val="105"/>
        </w:rPr>
        <w:t xml:space="preserve"> </w:t>
      </w:r>
      <w:r>
        <w:rPr>
          <w:w w:val="105"/>
        </w:rPr>
        <w:t>Carriers</w:t>
      </w:r>
      <w:r>
        <w:rPr>
          <w:spacing w:val="27"/>
          <w:w w:val="105"/>
        </w:rPr>
        <w:t xml:space="preserve"> </w:t>
      </w:r>
      <w:r>
        <w:rPr>
          <w:spacing w:val="-4"/>
          <w:w w:val="105"/>
        </w:rPr>
        <w:t>must</w:t>
      </w:r>
    </w:p>
    <w:p w:rsidR="003A090A" w14:paraId="7ECDAC15" w14:textId="77777777">
      <w:pPr>
        <w:pStyle w:val="BodyText"/>
        <w:spacing w:before="4" w:line="225" w:lineRule="auto"/>
        <w:ind w:left="142" w:right="123"/>
      </w:pPr>
      <w:r>
        <w:rPr>
          <w:w w:val="105"/>
        </w:rPr>
        <w:t>submit</w:t>
      </w:r>
      <w:r>
        <w:rPr>
          <w:spacing w:val="-2"/>
          <w:w w:val="105"/>
        </w:rPr>
        <w:t xml:space="preserve"> </w:t>
      </w:r>
      <w:r>
        <w:rPr>
          <w:w w:val="105"/>
        </w:rPr>
        <w:t>Part</w:t>
      </w:r>
      <w:r>
        <w:rPr>
          <w:spacing w:val="-2"/>
          <w:w w:val="105"/>
        </w:rPr>
        <w:t xml:space="preserve"> </w:t>
      </w:r>
      <w:r>
        <w:rPr>
          <w:w w:val="105"/>
        </w:rPr>
        <w:t>234</w:t>
      </w:r>
      <w:r>
        <w:rPr>
          <w:spacing w:val="-2"/>
          <w:w w:val="105"/>
        </w:rPr>
        <w:t xml:space="preserve"> </w:t>
      </w:r>
      <w:r>
        <w:rPr>
          <w:w w:val="105"/>
        </w:rPr>
        <w:t>On-time</w:t>
      </w:r>
      <w:r>
        <w:rPr>
          <w:spacing w:val="-2"/>
          <w:w w:val="105"/>
        </w:rPr>
        <w:t xml:space="preserve"> </w:t>
      </w:r>
      <w:r>
        <w:rPr>
          <w:w w:val="105"/>
        </w:rPr>
        <w:t>Performance reports to DOT with information on domestic flight operations and performance as described in 14 CFR</w:t>
      </w:r>
    </w:p>
    <w:p w:rsidR="003A090A" w14:paraId="334FACC6" w14:textId="77777777">
      <w:pPr>
        <w:pStyle w:val="BodyText"/>
        <w:spacing w:line="225" w:lineRule="auto"/>
        <w:ind w:left="142" w:right="159"/>
      </w:pPr>
      <w:r>
        <w:rPr>
          <w:w w:val="105"/>
        </w:rPr>
        <w:t>234.4.</w:t>
      </w:r>
      <w:r>
        <w:rPr>
          <w:w w:val="105"/>
          <w:position w:val="5"/>
          <w:sz w:val="11"/>
        </w:rPr>
        <w:t>1</w:t>
      </w:r>
      <w:r>
        <w:rPr>
          <w:spacing w:val="32"/>
          <w:w w:val="105"/>
          <w:position w:val="5"/>
          <w:sz w:val="11"/>
        </w:rPr>
        <w:t xml:space="preserve"> </w:t>
      </w:r>
      <w:r>
        <w:rPr>
          <w:w w:val="105"/>
        </w:rPr>
        <w:t>In addition, under 14 CFR 234.6, Reporting Carriers must submit Part 234 Mishandled Baggage reports to DOT that include the following information for covered domestic flights: (1) the number of bags mishandled in its custody, (2)</w:t>
      </w:r>
      <w:r>
        <w:rPr>
          <w:spacing w:val="80"/>
          <w:w w:val="150"/>
        </w:rPr>
        <w:t xml:space="preserve"> </w:t>
      </w:r>
      <w:r>
        <w:rPr>
          <w:w w:val="105"/>
        </w:rPr>
        <w:t>the number of bags enplaned into the aircraft cargo compartment, (3) the number of mishandled wheelchairs and scooters mishandled in its custody, and</w:t>
      </w:r>
    </w:p>
    <w:p w:rsidR="003A090A" w14:paraId="12A3E73F" w14:textId="77777777">
      <w:pPr>
        <w:pStyle w:val="BodyText"/>
        <w:spacing w:line="225" w:lineRule="auto"/>
        <w:ind w:left="142" w:right="148"/>
      </w:pPr>
      <w:r>
        <w:rPr>
          <w:w w:val="105"/>
        </w:rPr>
        <w:t>(4) the number of wheelchairs and scooters enplaned into the aircraft cargo compartment.</w:t>
      </w:r>
      <w:r>
        <w:rPr>
          <w:w w:val="105"/>
          <w:position w:val="5"/>
          <w:sz w:val="11"/>
        </w:rPr>
        <w:t>2</w:t>
      </w:r>
      <w:r>
        <w:rPr>
          <w:spacing w:val="23"/>
          <w:w w:val="105"/>
          <w:position w:val="5"/>
          <w:sz w:val="11"/>
        </w:rPr>
        <w:t xml:space="preserve"> </w:t>
      </w:r>
      <w:r>
        <w:rPr>
          <w:w w:val="105"/>
        </w:rPr>
        <w:t>Each Reporting Carrier is required</w:t>
      </w:r>
      <w:r>
        <w:rPr>
          <w:spacing w:val="-3"/>
          <w:w w:val="105"/>
        </w:rPr>
        <w:t xml:space="preserve"> </w:t>
      </w:r>
      <w:r>
        <w:rPr>
          <w:w w:val="105"/>
        </w:rPr>
        <w:t>to</w:t>
      </w:r>
      <w:r>
        <w:rPr>
          <w:spacing w:val="-3"/>
          <w:w w:val="105"/>
        </w:rPr>
        <w:t xml:space="preserve"> </w:t>
      </w:r>
      <w:r>
        <w:rPr>
          <w:w w:val="105"/>
        </w:rPr>
        <w:t>report</w:t>
      </w:r>
      <w:r>
        <w:rPr>
          <w:spacing w:val="-3"/>
          <w:w w:val="105"/>
        </w:rPr>
        <w:t xml:space="preserve"> </w:t>
      </w:r>
      <w:r>
        <w:rPr>
          <w:w w:val="105"/>
        </w:rPr>
        <w:t>the</w:t>
      </w:r>
      <w:r>
        <w:rPr>
          <w:spacing w:val="-3"/>
          <w:w w:val="105"/>
        </w:rPr>
        <w:t xml:space="preserve"> </w:t>
      </w:r>
      <w:r>
        <w:rPr>
          <w:w w:val="105"/>
        </w:rPr>
        <w:t>flight</w:t>
      </w:r>
      <w:r>
        <w:rPr>
          <w:spacing w:val="-3"/>
          <w:w w:val="105"/>
        </w:rPr>
        <w:t xml:space="preserve"> </w:t>
      </w:r>
      <w:r>
        <w:rPr>
          <w:w w:val="105"/>
        </w:rPr>
        <w:t>performance and mishandled baggage, wheelchair,</w:t>
      </w:r>
      <w:r>
        <w:rPr>
          <w:spacing w:val="40"/>
          <w:w w:val="105"/>
        </w:rPr>
        <w:t xml:space="preserve"> </w:t>
      </w:r>
      <w:r>
        <w:rPr>
          <w:w w:val="105"/>
        </w:rPr>
        <w:t>and scooter information to DOT on a monthly basis for the covered flights it operates</w:t>
      </w:r>
      <w:r>
        <w:rPr>
          <w:spacing w:val="40"/>
          <w:w w:val="105"/>
        </w:rPr>
        <w:t xml:space="preserve"> </w:t>
      </w:r>
      <w:r>
        <w:rPr>
          <w:w w:val="105"/>
        </w:rPr>
        <w:t>and</w:t>
      </w:r>
      <w:r>
        <w:rPr>
          <w:spacing w:val="40"/>
          <w:w w:val="105"/>
        </w:rPr>
        <w:t xml:space="preserve"> </w:t>
      </w:r>
      <w:r>
        <w:rPr>
          <w:w w:val="105"/>
        </w:rPr>
        <w:t>for</w:t>
      </w:r>
      <w:r>
        <w:rPr>
          <w:spacing w:val="40"/>
          <w:w w:val="105"/>
        </w:rPr>
        <w:t xml:space="preserve"> </w:t>
      </w:r>
      <w:r>
        <w:rPr>
          <w:w w:val="105"/>
        </w:rPr>
        <w:t>any</w:t>
      </w:r>
      <w:r>
        <w:rPr>
          <w:spacing w:val="40"/>
          <w:w w:val="105"/>
        </w:rPr>
        <w:t xml:space="preserve"> </w:t>
      </w:r>
      <w:r>
        <w:rPr>
          <w:w w:val="105"/>
        </w:rPr>
        <w:t>covered</w:t>
      </w:r>
      <w:r>
        <w:rPr>
          <w:spacing w:val="40"/>
          <w:w w:val="105"/>
        </w:rPr>
        <w:t xml:space="preserve"> </w:t>
      </w:r>
      <w:r>
        <w:rPr>
          <w:w w:val="105"/>
        </w:rPr>
        <w:t>flights held out under the Reporting Carrier’s code (as the only U.S. carrier code) and operated by a codeshare partner of the Reporting Carrier.</w:t>
      </w:r>
    </w:p>
    <w:p w:rsidR="003A090A" w14:paraId="34EB2205" w14:textId="77777777">
      <w:pPr>
        <w:pStyle w:val="BodyText"/>
        <w:spacing w:line="176" w:lineRule="exact"/>
        <w:ind w:left="322"/>
      </w:pPr>
      <w:r>
        <w:rPr>
          <w:w w:val="105"/>
        </w:rPr>
        <w:t>DOT</w:t>
      </w:r>
      <w:r>
        <w:rPr>
          <w:spacing w:val="9"/>
          <w:w w:val="105"/>
        </w:rPr>
        <w:t xml:space="preserve"> </w:t>
      </w:r>
      <w:r>
        <w:rPr>
          <w:w w:val="105"/>
        </w:rPr>
        <w:t>uses</w:t>
      </w:r>
      <w:r>
        <w:rPr>
          <w:spacing w:val="10"/>
          <w:w w:val="105"/>
        </w:rPr>
        <w:t xml:space="preserve"> </w:t>
      </w:r>
      <w:r>
        <w:rPr>
          <w:w w:val="105"/>
        </w:rPr>
        <w:t>the</w:t>
      </w:r>
      <w:r>
        <w:rPr>
          <w:spacing w:val="10"/>
          <w:w w:val="105"/>
        </w:rPr>
        <w:t xml:space="preserve"> </w:t>
      </w:r>
      <w:r>
        <w:rPr>
          <w:w w:val="105"/>
        </w:rPr>
        <w:t>information</w:t>
      </w:r>
      <w:r>
        <w:rPr>
          <w:spacing w:val="10"/>
          <w:w w:val="105"/>
        </w:rPr>
        <w:t xml:space="preserve"> </w:t>
      </w:r>
      <w:r>
        <w:rPr>
          <w:w w:val="105"/>
        </w:rPr>
        <w:t>reported</w:t>
      </w:r>
      <w:r>
        <w:rPr>
          <w:spacing w:val="9"/>
          <w:w w:val="105"/>
        </w:rPr>
        <w:t xml:space="preserve"> </w:t>
      </w:r>
      <w:r>
        <w:rPr>
          <w:spacing w:val="-5"/>
          <w:w w:val="105"/>
        </w:rPr>
        <w:t>by</w:t>
      </w:r>
    </w:p>
    <w:p w:rsidR="003A090A" w14:paraId="3B84F441" w14:textId="77777777">
      <w:pPr>
        <w:pStyle w:val="BodyText"/>
        <w:spacing w:line="225" w:lineRule="auto"/>
        <w:ind w:left="142"/>
      </w:pPr>
      <w:r>
        <w:rPr>
          <w:w w:val="105"/>
        </w:rPr>
        <w:t>airlines to provide airline performance information and statistics on the BTS</w:t>
      </w:r>
    </w:p>
    <w:p w:rsidR="003A090A" w14:paraId="769B44AA" w14:textId="77777777">
      <w:pPr>
        <w:pStyle w:val="BodyText"/>
        <w:spacing w:before="10"/>
        <w:ind w:left="0"/>
        <w:rPr>
          <w:sz w:val="12"/>
        </w:rPr>
      </w:pPr>
      <w:r>
        <w:rPr>
          <w:noProof/>
        </w:rPr>
        <mc:AlternateContent>
          <mc:Choice Requires="wps">
            <w:drawing>
              <wp:anchor distT="0" distB="0" distL="0" distR="0" simplePos="0" relativeHeight="251664384" behindDoc="1" locked="0" layoutInCell="1" allowOverlap="1">
                <wp:simplePos x="0" y="0"/>
                <wp:positionH relativeFrom="page">
                  <wp:posOffset>5067300</wp:posOffset>
                </wp:positionH>
                <wp:positionV relativeFrom="paragraph">
                  <wp:posOffset>111019</wp:posOffset>
                </wp:positionV>
                <wp:extent cx="6350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35000" cy="1270"/>
                        </a:xfrm>
                        <a:custGeom>
                          <a:avLst/>
                          <a:gdLst/>
                          <a:rect l="l" t="t" r="r" b="b"/>
                          <a:pathLst>
                            <a:path fill="norm" w="635000" stroke="1">
                              <a:moveTo>
                                <a:pt x="0" y="0"/>
                              </a:moveTo>
                              <a:lnTo>
                                <a:pt x="635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0" style="width:50pt;height:0.1pt;margin-top:8.75pt;margin-left:399pt;mso-position-horizontal-relative:page;mso-wrap-distance-bottom:0;mso-wrap-distance-left:0;mso-wrap-distance-right:0;mso-wrap-distance-top:0;mso-wrap-style:square;position:absolute;visibility:visible;v-text-anchor:top;z-index:-251651072" coordsize="635000,1270" path="m,l635000,e" filled="f" strokeweight="0.5pt">
                <v:path arrowok="t"/>
                <w10:wrap type="topAndBottom"/>
              </v:shape>
            </w:pict>
          </mc:Fallback>
        </mc:AlternateContent>
      </w:r>
    </w:p>
    <w:p w:rsidR="003A090A" w14:paraId="3DA632E8" w14:textId="77777777">
      <w:pPr>
        <w:spacing w:before="42" w:line="228" w:lineRule="auto"/>
        <w:ind w:left="142" w:right="332" w:firstLine="139"/>
        <w:rPr>
          <w:rFonts w:ascii="Book Antiqua" w:hAnsi="Book Antiqua"/>
          <w:i/>
          <w:sz w:val="14"/>
        </w:rPr>
      </w:pPr>
      <w:r>
        <w:rPr>
          <w:position w:val="4"/>
          <w:sz w:val="9"/>
        </w:rPr>
        <w:t xml:space="preserve">1 </w:t>
      </w:r>
      <w:r>
        <w:rPr>
          <w:sz w:val="14"/>
        </w:rPr>
        <w:t>The format and instructions for reporting this</w:t>
      </w:r>
      <w:r>
        <w:rPr>
          <w:spacing w:val="40"/>
          <w:w w:val="110"/>
          <w:sz w:val="14"/>
        </w:rPr>
        <w:t xml:space="preserve"> </w:t>
      </w:r>
      <w:r>
        <w:rPr>
          <w:spacing w:val="-2"/>
          <w:w w:val="110"/>
          <w:sz w:val="14"/>
        </w:rPr>
        <w:t>information are in Technical Reporting Directive</w:t>
      </w:r>
      <w:r>
        <w:rPr>
          <w:spacing w:val="40"/>
          <w:w w:val="110"/>
          <w:sz w:val="14"/>
        </w:rPr>
        <w:t xml:space="preserve"> </w:t>
      </w:r>
      <w:r>
        <w:rPr>
          <w:sz w:val="14"/>
        </w:rPr>
        <w:t>#27—On-Time Performance, effective January 1,</w:t>
      </w:r>
      <w:r>
        <w:rPr>
          <w:spacing w:val="40"/>
          <w:w w:val="110"/>
          <w:sz w:val="14"/>
        </w:rPr>
        <w:t xml:space="preserve"> </w:t>
      </w:r>
      <w:r>
        <w:rPr>
          <w:w w:val="110"/>
          <w:sz w:val="14"/>
        </w:rPr>
        <w:t xml:space="preserve">2018, available at: </w:t>
      </w:r>
      <w:hyperlink r:id="rId10">
        <w:r>
          <w:rPr>
            <w:rFonts w:ascii="Book Antiqua" w:hAnsi="Book Antiqua"/>
            <w:i/>
            <w:w w:val="110"/>
            <w:sz w:val="14"/>
          </w:rPr>
          <w:t>https://cms7.bts.dot.gov/sites/</w:t>
        </w:r>
      </w:hyperlink>
      <w:r>
        <w:rPr>
          <w:rFonts w:ascii="Book Antiqua" w:hAnsi="Book Antiqua"/>
          <w:i/>
          <w:spacing w:val="40"/>
          <w:w w:val="110"/>
          <w:sz w:val="14"/>
        </w:rPr>
        <w:t xml:space="preserve"> </w:t>
      </w:r>
      <w:hyperlink r:id="rId10">
        <w:r>
          <w:rPr>
            <w:rFonts w:ascii="Book Antiqua" w:hAnsi="Book Antiqua"/>
            <w:i/>
            <w:spacing w:val="-2"/>
            <w:w w:val="110"/>
            <w:sz w:val="14"/>
          </w:rPr>
          <w:t>bts.dot.gov/files/docs/explore-topics-and-</w:t>
        </w:r>
      </w:hyperlink>
      <w:r>
        <w:rPr>
          <w:rFonts w:ascii="Book Antiqua" w:hAnsi="Book Antiqua"/>
          <w:i/>
          <w:spacing w:val="40"/>
          <w:w w:val="110"/>
          <w:sz w:val="14"/>
        </w:rPr>
        <w:t xml:space="preserve"> </w:t>
      </w:r>
      <w:hyperlink r:id="rId10">
        <w:r>
          <w:rPr>
            <w:rFonts w:ascii="Book Antiqua" w:hAnsi="Book Antiqua"/>
            <w:i/>
            <w:spacing w:val="-2"/>
            <w:w w:val="110"/>
            <w:sz w:val="14"/>
          </w:rPr>
          <w:t>geography/topics/airlines-and-airports/207741/</w:t>
        </w:r>
      </w:hyperlink>
      <w:r>
        <w:rPr>
          <w:rFonts w:ascii="Book Antiqua" w:hAnsi="Book Antiqua"/>
          <w:i/>
          <w:spacing w:val="40"/>
          <w:w w:val="110"/>
          <w:sz w:val="14"/>
        </w:rPr>
        <w:t xml:space="preserve"> </w:t>
      </w:r>
      <w:hyperlink r:id="rId10">
        <w:r>
          <w:rPr>
            <w:rFonts w:ascii="Book Antiqua" w:hAnsi="Book Antiqua"/>
            <w:i/>
            <w:spacing w:val="-2"/>
            <w:w w:val="110"/>
            <w:sz w:val="14"/>
          </w:rPr>
          <w:t>technical-directive-no-27-time-2018.pdf.</w:t>
        </w:r>
      </w:hyperlink>
    </w:p>
    <w:p w:rsidR="003A090A" w14:paraId="2BFBBF94" w14:textId="77777777">
      <w:pPr>
        <w:spacing w:before="12" w:line="230" w:lineRule="auto"/>
        <w:ind w:left="142" w:right="239" w:firstLine="139"/>
        <w:rPr>
          <w:rFonts w:ascii="Book Antiqua" w:hAnsi="Book Antiqua"/>
          <w:i/>
          <w:sz w:val="14"/>
        </w:rPr>
      </w:pPr>
      <w:r>
        <w:rPr>
          <w:w w:val="110"/>
          <w:position w:val="4"/>
          <w:sz w:val="9"/>
        </w:rPr>
        <w:t xml:space="preserve">2 </w:t>
      </w:r>
      <w:r>
        <w:rPr>
          <w:w w:val="110"/>
          <w:sz w:val="14"/>
        </w:rPr>
        <w:t>The format and instructions for reporting</w:t>
      </w:r>
      <w:r>
        <w:rPr>
          <w:spacing w:val="40"/>
          <w:w w:val="110"/>
          <w:sz w:val="14"/>
        </w:rPr>
        <w:t xml:space="preserve"> </w:t>
      </w:r>
      <w:r>
        <w:rPr>
          <w:w w:val="110"/>
          <w:sz w:val="14"/>
        </w:rPr>
        <w:t>mishandled baggage and wheelchair and scooter</w:t>
      </w:r>
      <w:r>
        <w:rPr>
          <w:spacing w:val="40"/>
          <w:w w:val="110"/>
          <w:sz w:val="14"/>
        </w:rPr>
        <w:t xml:space="preserve"> </w:t>
      </w:r>
      <w:r>
        <w:rPr>
          <w:w w:val="110"/>
          <w:sz w:val="14"/>
        </w:rPr>
        <w:t>information to DOT are in Technical Reporting</w:t>
      </w:r>
      <w:r>
        <w:rPr>
          <w:spacing w:val="40"/>
          <w:w w:val="110"/>
          <w:sz w:val="14"/>
        </w:rPr>
        <w:t xml:space="preserve"> </w:t>
      </w:r>
      <w:r>
        <w:rPr>
          <w:w w:val="110"/>
          <w:sz w:val="14"/>
        </w:rPr>
        <w:t>Directive #30A—Mishandled Baggage and</w:t>
      </w:r>
      <w:r>
        <w:rPr>
          <w:spacing w:val="40"/>
          <w:w w:val="110"/>
          <w:sz w:val="14"/>
        </w:rPr>
        <w:t xml:space="preserve"> </w:t>
      </w:r>
      <w:r>
        <w:rPr>
          <w:w w:val="110"/>
          <w:sz w:val="14"/>
        </w:rPr>
        <w:t>Wheelchairs and Scooters (Amended), effective</w:t>
      </w:r>
      <w:r>
        <w:rPr>
          <w:spacing w:val="40"/>
          <w:w w:val="110"/>
          <w:sz w:val="14"/>
        </w:rPr>
        <w:t xml:space="preserve"> </w:t>
      </w:r>
      <w:r>
        <w:rPr>
          <w:w w:val="110"/>
          <w:sz w:val="14"/>
        </w:rPr>
        <w:t xml:space="preserve">January 1, 2019, available at: </w:t>
      </w:r>
      <w:hyperlink r:id="rId11">
        <w:r>
          <w:rPr>
            <w:rFonts w:ascii="Book Antiqua" w:hAnsi="Book Antiqua"/>
            <w:i/>
            <w:w w:val="110"/>
            <w:sz w:val="14"/>
          </w:rPr>
          <w:t>https://</w:t>
        </w:r>
      </w:hyperlink>
      <w:r>
        <w:rPr>
          <w:rFonts w:ascii="Book Antiqua" w:hAnsi="Book Antiqua"/>
          <w:i/>
          <w:spacing w:val="40"/>
          <w:w w:val="110"/>
          <w:sz w:val="14"/>
        </w:rPr>
        <w:t xml:space="preserve"> </w:t>
      </w:r>
      <w:hyperlink r:id="rId11">
        <w:r>
          <w:rPr>
            <w:rFonts w:ascii="Book Antiqua" w:hAnsi="Book Antiqua"/>
            <w:i/>
            <w:spacing w:val="-2"/>
            <w:w w:val="110"/>
            <w:sz w:val="14"/>
          </w:rPr>
          <w:t>www.bts.dot.gov/sites/bts.dot.gov/files/docs/</w:t>
        </w:r>
      </w:hyperlink>
      <w:r>
        <w:rPr>
          <w:rFonts w:ascii="Book Antiqua" w:hAnsi="Book Antiqua"/>
          <w:i/>
          <w:spacing w:val="40"/>
          <w:w w:val="110"/>
          <w:sz w:val="14"/>
        </w:rPr>
        <w:t xml:space="preserve">  </w:t>
      </w:r>
      <w:hyperlink r:id="rId11">
        <w:r>
          <w:rPr>
            <w:rFonts w:ascii="Book Antiqua" w:hAnsi="Book Antiqua"/>
            <w:i/>
            <w:spacing w:val="-2"/>
            <w:w w:val="110"/>
            <w:sz w:val="14"/>
          </w:rPr>
          <w:t>explore-topics-and-geography/topics/airlines-and-</w:t>
        </w:r>
      </w:hyperlink>
      <w:r>
        <w:rPr>
          <w:rFonts w:ascii="Book Antiqua" w:hAnsi="Book Antiqua"/>
          <w:i/>
          <w:spacing w:val="40"/>
          <w:w w:val="110"/>
          <w:sz w:val="14"/>
        </w:rPr>
        <w:t xml:space="preserve"> </w:t>
      </w:r>
      <w:hyperlink r:id="rId11">
        <w:r>
          <w:rPr>
            <w:rFonts w:ascii="Book Antiqua" w:hAnsi="Book Antiqua"/>
            <w:i/>
            <w:spacing w:val="-2"/>
            <w:w w:val="110"/>
            <w:sz w:val="14"/>
          </w:rPr>
          <w:t>airports/224606/technicaldirective30</w:t>
        </w:r>
      </w:hyperlink>
      <w:r>
        <w:rPr>
          <w:rFonts w:ascii="Book Antiqua" w:hAnsi="Book Antiqua"/>
          <w:i/>
          <w:spacing w:val="40"/>
          <w:w w:val="110"/>
          <w:sz w:val="14"/>
        </w:rPr>
        <w:t xml:space="preserve"> </w:t>
      </w:r>
      <w:hyperlink r:id="rId11">
        <w:r>
          <w:rPr>
            <w:rFonts w:ascii="Book Antiqua" w:hAnsi="Book Antiqua"/>
            <w:i/>
            <w:spacing w:val="-2"/>
            <w:w w:val="110"/>
            <w:sz w:val="14"/>
          </w:rPr>
          <w:t>abaggage2019amended.pdf.</w:t>
        </w:r>
      </w:hyperlink>
    </w:p>
    <w:p w:rsidR="003A090A" w14:paraId="73F16DAD" w14:textId="77777777">
      <w:pPr>
        <w:spacing w:line="230" w:lineRule="auto"/>
        <w:rPr>
          <w:rFonts w:ascii="Book Antiqua" w:hAnsi="Book Antiqua"/>
          <w:sz w:val="14"/>
        </w:rPr>
        <w:sectPr>
          <w:type w:val="continuous"/>
          <w:pgSz w:w="12240" w:h="15840"/>
          <w:pgMar w:top="260" w:right="780" w:bottom="280" w:left="740" w:header="720" w:footer="720" w:gutter="0"/>
          <w:cols w:num="3" w:space="720" w:equalWidth="0">
            <w:col w:w="3517" w:space="40"/>
            <w:col w:w="3502" w:space="39"/>
            <w:col w:w="3622"/>
          </w:cols>
        </w:sectPr>
      </w:pPr>
    </w:p>
    <w:p w:rsidR="003A090A" w14:paraId="100968AE" w14:textId="77777777">
      <w:pPr>
        <w:tabs>
          <w:tab w:val="left" w:pos="2037"/>
        </w:tabs>
        <w:spacing w:before="93"/>
        <w:ind w:left="160"/>
        <w:rPr>
          <w:sz w:val="20"/>
        </w:rPr>
      </w:pPr>
      <w:r>
        <w:rPr>
          <w:noProof/>
        </w:rPr>
        <mc:AlternateContent>
          <mc:Choice Requires="wpg">
            <w:drawing>
              <wp:anchor distT="0" distB="0" distL="0" distR="0" simplePos="0" relativeHeight="251666432" behindDoc="1" locked="0" layoutInCell="1" allowOverlap="1">
                <wp:simplePos x="0" y="0"/>
                <wp:positionH relativeFrom="page">
                  <wp:posOffset>571500</wp:posOffset>
                </wp:positionH>
                <wp:positionV relativeFrom="paragraph">
                  <wp:posOffset>252729</wp:posOffset>
                </wp:positionV>
                <wp:extent cx="6629400" cy="66675"/>
                <wp:effectExtent l="0" t="0" r="0" b="0"/>
                <wp:wrapTopAndBottom/>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9" name="Graphic 9"/>
                        <wps:cNvSpPr/>
                        <wps:spPr>
                          <a:xfrm>
                            <a:off x="0" y="13970"/>
                            <a:ext cx="6629400" cy="1270"/>
                          </a:xfrm>
                          <a:custGeom>
                            <a:avLst/>
                            <a:gdLst/>
                            <a:rect l="l" t="t" r="r" b="b"/>
                            <a:pathLst>
                              <a:path fill="norm"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64769"/>
                            <a:ext cx="6629400" cy="1270"/>
                          </a:xfrm>
                          <a:custGeom>
                            <a:avLst/>
                            <a:gdLst/>
                            <a:rect l="l" t="t" r="r" b="b"/>
                            <a:pathLst>
                              <a:path fill="norm"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1" style="width:522pt;height:5.25pt;margin-top:19.9pt;margin-left:45pt;mso-position-horizontal-relative:page;mso-wrap-distance-left:0;mso-wrap-distance-right:0;position:absolute;z-index:-251649024" coordsize="66294,666">
                <v:shape id="Graphic 9" o:spid="_x0000_s1032" style="width:66294;height:13;mso-wrap-style:square;position:absolute;top:139;visibility:visible;v-text-anchor:top" coordsize="6629400,1270" path="m,l6629400,e" filled="f" strokeweight="2.2pt">
                  <v:path arrowok="t"/>
                </v:shape>
                <v:shape id="Graphic 10" o:spid="_x0000_s1033" style="width:66294;height:13;mso-wrap-style:square;position:absolute;top:647;visibility:visible;v-text-anchor:top" coordsize="6629400,1270" path="m,l6629400,e" filled="f" strokeweight="0.3pt">
                  <v:path arrowok="t"/>
                </v:shape>
                <w10:wrap type="topAndBottom"/>
              </v:group>
            </w:pict>
          </mc:Fallback>
        </mc:AlternateContent>
      </w:r>
      <w:r>
        <w:rPr>
          <w:rFonts w:ascii="Book Antiqua"/>
          <w:b/>
          <w:spacing w:val="-2"/>
        </w:rPr>
        <w:t>88862</w:t>
      </w:r>
      <w:r>
        <w:rPr>
          <w:rFonts w:ascii="Book Antiqua"/>
          <w:b/>
        </w:rPr>
        <w:tab/>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5"/>
          <w:sz w:val="20"/>
        </w:rPr>
        <w:t xml:space="preserve"> </w:t>
      </w:r>
      <w:r>
        <w:rPr>
          <w:sz w:val="20"/>
        </w:rPr>
        <w:t>/</w:t>
      </w:r>
      <w:r>
        <w:rPr>
          <w:spacing w:val="-9"/>
          <w:sz w:val="20"/>
        </w:rPr>
        <w:t xml:space="preserve"> </w:t>
      </w:r>
      <w:r>
        <w:rPr>
          <w:sz w:val="20"/>
        </w:rPr>
        <w:t>Vol.</w:t>
      </w:r>
      <w:r>
        <w:rPr>
          <w:spacing w:val="62"/>
          <w:sz w:val="20"/>
        </w:rPr>
        <w:t xml:space="preserve"> </w:t>
      </w:r>
      <w:r>
        <w:rPr>
          <w:sz w:val="20"/>
        </w:rPr>
        <w:t>89,</w:t>
      </w:r>
      <w:r>
        <w:rPr>
          <w:spacing w:val="62"/>
          <w:sz w:val="20"/>
        </w:rPr>
        <w:t xml:space="preserve"> </w:t>
      </w:r>
      <w:r>
        <w:rPr>
          <w:sz w:val="20"/>
        </w:rPr>
        <w:t>No.</w:t>
      </w:r>
      <w:r>
        <w:rPr>
          <w:spacing w:val="61"/>
          <w:sz w:val="20"/>
        </w:rPr>
        <w:t xml:space="preserve"> </w:t>
      </w:r>
      <w:r>
        <w:rPr>
          <w:sz w:val="20"/>
        </w:rPr>
        <w:t>217</w:t>
      </w:r>
      <w:r>
        <w:rPr>
          <w:spacing w:val="-9"/>
          <w:sz w:val="20"/>
        </w:rPr>
        <w:t xml:space="preserve"> </w:t>
      </w:r>
      <w:r>
        <w:rPr>
          <w:sz w:val="20"/>
        </w:rPr>
        <w:t>/</w:t>
      </w:r>
      <w:r>
        <w:rPr>
          <w:spacing w:val="-9"/>
          <w:sz w:val="20"/>
        </w:rPr>
        <w:t xml:space="preserve"> </w:t>
      </w:r>
      <w:r>
        <w:rPr>
          <w:sz w:val="20"/>
        </w:rPr>
        <w:t>Friday,</w:t>
      </w:r>
      <w:r>
        <w:rPr>
          <w:spacing w:val="62"/>
          <w:sz w:val="20"/>
        </w:rPr>
        <w:t xml:space="preserve"> </w:t>
      </w:r>
      <w:r>
        <w:rPr>
          <w:sz w:val="20"/>
        </w:rPr>
        <w:t>November</w:t>
      </w:r>
      <w:r>
        <w:rPr>
          <w:spacing w:val="62"/>
          <w:sz w:val="20"/>
        </w:rPr>
        <w:t xml:space="preserve"> </w:t>
      </w:r>
      <w:r>
        <w:rPr>
          <w:sz w:val="20"/>
        </w:rPr>
        <w:t>8,</w:t>
      </w:r>
      <w:r>
        <w:rPr>
          <w:spacing w:val="61"/>
          <w:sz w:val="20"/>
        </w:rPr>
        <w:t xml:space="preserve"> </w:t>
      </w:r>
      <w:r>
        <w:rPr>
          <w:sz w:val="20"/>
        </w:rPr>
        <w:t>2024</w:t>
      </w:r>
      <w:r>
        <w:rPr>
          <w:spacing w:val="-9"/>
          <w:sz w:val="20"/>
        </w:rPr>
        <w:t xml:space="preserve"> </w:t>
      </w:r>
      <w:r>
        <w:rPr>
          <w:sz w:val="20"/>
        </w:rPr>
        <w:t>/</w:t>
      </w:r>
      <w:r>
        <w:rPr>
          <w:spacing w:val="-9"/>
          <w:sz w:val="20"/>
        </w:rPr>
        <w:t xml:space="preserve"> </w:t>
      </w:r>
      <w:r>
        <w:rPr>
          <w:spacing w:val="-2"/>
          <w:sz w:val="20"/>
        </w:rPr>
        <w:t>Notices</w:t>
      </w:r>
    </w:p>
    <w:p w:rsidR="003A090A" w14:paraId="5401A52A" w14:textId="77777777">
      <w:pPr>
        <w:pStyle w:val="BodyText"/>
        <w:spacing w:before="11"/>
        <w:ind w:left="0"/>
        <w:rPr>
          <w:sz w:val="5"/>
        </w:rPr>
      </w:pPr>
    </w:p>
    <w:p w:rsidR="003A090A" w14:paraId="5E2A20CF" w14:textId="77777777">
      <w:pPr>
        <w:rPr>
          <w:sz w:val="5"/>
        </w:rPr>
        <w:sectPr>
          <w:pgSz w:w="12240" w:h="15840"/>
          <w:pgMar w:top="540" w:right="780" w:bottom="280" w:left="740" w:header="720" w:footer="720" w:gutter="0"/>
          <w:cols w:space="720"/>
        </w:sectPr>
      </w:pPr>
    </w:p>
    <w:p w:rsidR="003A090A" w14:paraId="11399C43" w14:textId="77777777">
      <w:pPr>
        <w:pStyle w:val="BodyText"/>
        <w:spacing w:before="66" w:line="225" w:lineRule="auto"/>
        <w:ind w:right="101"/>
      </w:pPr>
      <w:r>
        <w:rPr>
          <w:w w:val="105"/>
        </w:rPr>
        <w:t>website and in the Air Travel Consumer Report</w:t>
      </w:r>
      <w:r>
        <w:rPr>
          <w:spacing w:val="40"/>
          <w:w w:val="105"/>
        </w:rPr>
        <w:t xml:space="preserve"> </w:t>
      </w:r>
      <w:r>
        <w:rPr>
          <w:w w:val="105"/>
        </w:rPr>
        <w:t>(ATCR),</w:t>
      </w:r>
      <w:r>
        <w:rPr>
          <w:spacing w:val="40"/>
          <w:w w:val="105"/>
        </w:rPr>
        <w:t xml:space="preserve"> </w:t>
      </w:r>
      <w:r>
        <w:rPr>
          <w:w w:val="105"/>
        </w:rPr>
        <w:t>a</w:t>
      </w:r>
      <w:r>
        <w:rPr>
          <w:spacing w:val="40"/>
          <w:w w:val="105"/>
        </w:rPr>
        <w:t xml:space="preserve"> </w:t>
      </w:r>
      <w:r>
        <w:rPr>
          <w:w w:val="105"/>
        </w:rPr>
        <w:t>monthly</w:t>
      </w:r>
      <w:r>
        <w:rPr>
          <w:spacing w:val="40"/>
          <w:w w:val="105"/>
        </w:rPr>
        <w:t xml:space="preserve"> </w:t>
      </w:r>
      <w:r>
        <w:rPr>
          <w:w w:val="105"/>
        </w:rPr>
        <w:t>publication of DOT’s Office of Aviation Consumer Protection (OACP). Air transportation consumers and other stakeholders use the information DOT publishes to understand and compare airlines’</w:t>
      </w:r>
      <w:r>
        <w:rPr>
          <w:spacing w:val="40"/>
          <w:w w:val="105"/>
        </w:rPr>
        <w:t xml:space="preserve"> </w:t>
      </w:r>
      <w:r>
        <w:rPr>
          <w:w w:val="105"/>
        </w:rPr>
        <w:t>service quality performance, including airlines’ rates of on-time performance and cancellation and rates of baggage and wheelchair and scooter</w:t>
      </w:r>
      <w:r>
        <w:rPr>
          <w:spacing w:val="80"/>
          <w:w w:val="105"/>
        </w:rPr>
        <w:t xml:space="preserve"> </w:t>
      </w:r>
      <w:r>
        <w:rPr>
          <w:spacing w:val="-2"/>
          <w:w w:val="105"/>
        </w:rPr>
        <w:t>mishandling.</w:t>
      </w:r>
    </w:p>
    <w:p w:rsidR="003A090A" w14:paraId="6A2C81DE" w14:textId="77777777">
      <w:pPr>
        <w:pStyle w:val="BodyText"/>
        <w:spacing w:line="176" w:lineRule="exact"/>
        <w:ind w:left="340"/>
      </w:pPr>
      <w:r>
        <w:rPr>
          <w:w w:val="110"/>
        </w:rPr>
        <w:t>DOT’s</w:t>
      </w:r>
      <w:r>
        <w:rPr>
          <w:spacing w:val="-3"/>
          <w:w w:val="110"/>
        </w:rPr>
        <w:t xml:space="preserve"> </w:t>
      </w:r>
      <w:r>
        <w:rPr>
          <w:w w:val="110"/>
        </w:rPr>
        <w:t>Federal</w:t>
      </w:r>
      <w:r>
        <w:rPr>
          <w:spacing w:val="-2"/>
          <w:w w:val="110"/>
        </w:rPr>
        <w:t xml:space="preserve"> Aviation</w:t>
      </w:r>
    </w:p>
    <w:p w:rsidR="003A090A" w14:paraId="487EFF15" w14:textId="77777777">
      <w:pPr>
        <w:pStyle w:val="BodyText"/>
        <w:spacing w:before="4" w:line="225" w:lineRule="auto"/>
        <w:ind w:right="27"/>
      </w:pPr>
      <w:r>
        <w:rPr>
          <w:w w:val="110"/>
        </w:rPr>
        <w:t xml:space="preserve">Administration (FAA) uses data </w:t>
      </w:r>
      <w:r>
        <w:t>reported by airlines in Part 234 On-time</w:t>
      </w:r>
      <w:r>
        <w:rPr>
          <w:spacing w:val="40"/>
          <w:w w:val="110"/>
        </w:rPr>
        <w:t xml:space="preserve"> </w:t>
      </w:r>
      <w:r>
        <w:rPr>
          <w:w w:val="110"/>
        </w:rPr>
        <w:t>Performance reports to analyze air traffic delays. Wheels-up and wheels- down times are used by the FAA in conjunction</w:t>
      </w:r>
      <w:r>
        <w:rPr>
          <w:spacing w:val="-4"/>
          <w:w w:val="110"/>
        </w:rPr>
        <w:t xml:space="preserve"> </w:t>
      </w:r>
      <w:r>
        <w:rPr>
          <w:w w:val="110"/>
        </w:rPr>
        <w:t>with</w:t>
      </w:r>
      <w:r>
        <w:rPr>
          <w:spacing w:val="-4"/>
          <w:w w:val="110"/>
        </w:rPr>
        <w:t xml:space="preserve"> </w:t>
      </w:r>
      <w:r>
        <w:rPr>
          <w:w w:val="110"/>
        </w:rPr>
        <w:t>departure</w:t>
      </w:r>
      <w:r>
        <w:rPr>
          <w:spacing w:val="-4"/>
          <w:w w:val="110"/>
        </w:rPr>
        <w:t xml:space="preserve"> </w:t>
      </w:r>
      <w:r>
        <w:rPr>
          <w:w w:val="110"/>
        </w:rPr>
        <w:t>and</w:t>
      </w:r>
      <w:r>
        <w:rPr>
          <w:spacing w:val="-4"/>
          <w:w w:val="110"/>
        </w:rPr>
        <w:t xml:space="preserve"> </w:t>
      </w:r>
      <w:r>
        <w:rPr>
          <w:w w:val="110"/>
        </w:rPr>
        <w:t xml:space="preserve">arrival times to show the extent of ground delays. Actual elapsed flight time </w:t>
      </w:r>
      <w:r>
        <w:t>(wheels-down minus wheels-up time) is</w:t>
      </w:r>
      <w:r>
        <w:rPr>
          <w:spacing w:val="40"/>
          <w:w w:val="110"/>
        </w:rPr>
        <w:t xml:space="preserve"> </w:t>
      </w:r>
      <w:r>
        <w:rPr>
          <w:w w:val="110"/>
        </w:rPr>
        <w:t>compared by the FAA to scheduled elapsed flight time to identify airborne delays.</w:t>
      </w:r>
      <w:r>
        <w:rPr>
          <w:spacing w:val="-6"/>
          <w:w w:val="110"/>
        </w:rPr>
        <w:t xml:space="preserve"> </w:t>
      </w:r>
      <w:r>
        <w:rPr>
          <w:w w:val="110"/>
        </w:rPr>
        <w:t>The</w:t>
      </w:r>
      <w:r>
        <w:rPr>
          <w:spacing w:val="-6"/>
          <w:w w:val="110"/>
        </w:rPr>
        <w:t xml:space="preserve"> </w:t>
      </w:r>
      <w:r>
        <w:rPr>
          <w:w w:val="110"/>
        </w:rPr>
        <w:t>reporting</w:t>
      </w:r>
      <w:r>
        <w:rPr>
          <w:spacing w:val="-6"/>
          <w:w w:val="110"/>
        </w:rPr>
        <w:t xml:space="preserve"> </w:t>
      </w:r>
      <w:r>
        <w:rPr>
          <w:w w:val="110"/>
        </w:rPr>
        <w:t>of</w:t>
      </w:r>
      <w:r>
        <w:rPr>
          <w:spacing w:val="-6"/>
          <w:w w:val="110"/>
        </w:rPr>
        <w:t xml:space="preserve"> </w:t>
      </w:r>
      <w:r>
        <w:rPr>
          <w:w w:val="110"/>
        </w:rPr>
        <w:t>the</w:t>
      </w:r>
      <w:r>
        <w:rPr>
          <w:spacing w:val="-6"/>
          <w:w w:val="110"/>
        </w:rPr>
        <w:t xml:space="preserve"> </w:t>
      </w:r>
      <w:r>
        <w:rPr>
          <w:w w:val="110"/>
        </w:rPr>
        <w:t>aircraft</w:t>
      </w:r>
      <w:r>
        <w:rPr>
          <w:spacing w:val="-6"/>
          <w:w w:val="110"/>
        </w:rPr>
        <w:t xml:space="preserve"> </w:t>
      </w:r>
      <w:r>
        <w:rPr>
          <w:w w:val="110"/>
        </w:rPr>
        <w:t>tail number allows the FAA to track an aircraft</w:t>
      </w:r>
      <w:r>
        <w:rPr>
          <w:spacing w:val="-5"/>
          <w:w w:val="110"/>
        </w:rPr>
        <w:t xml:space="preserve"> </w:t>
      </w:r>
      <w:r>
        <w:rPr>
          <w:w w:val="110"/>
        </w:rPr>
        <w:t>through</w:t>
      </w:r>
      <w:r>
        <w:rPr>
          <w:spacing w:val="-5"/>
          <w:w w:val="110"/>
        </w:rPr>
        <w:t xml:space="preserve"> </w:t>
      </w:r>
      <w:r>
        <w:rPr>
          <w:w w:val="110"/>
        </w:rPr>
        <w:t>the</w:t>
      </w:r>
      <w:r>
        <w:rPr>
          <w:spacing w:val="-5"/>
          <w:w w:val="110"/>
        </w:rPr>
        <w:t xml:space="preserve"> </w:t>
      </w:r>
      <w:r>
        <w:rPr>
          <w:w w:val="110"/>
        </w:rPr>
        <w:t>air</w:t>
      </w:r>
      <w:r>
        <w:rPr>
          <w:spacing w:val="-5"/>
          <w:w w:val="110"/>
        </w:rPr>
        <w:t xml:space="preserve"> </w:t>
      </w:r>
      <w:r>
        <w:rPr>
          <w:w w:val="110"/>
        </w:rPr>
        <w:t>network,</w:t>
      </w:r>
      <w:r>
        <w:rPr>
          <w:spacing w:val="-5"/>
          <w:w w:val="110"/>
        </w:rPr>
        <w:t xml:space="preserve"> </w:t>
      </w:r>
      <w:r>
        <w:rPr>
          <w:w w:val="110"/>
        </w:rPr>
        <w:t>which enables the FAA to study the ripple effects of delays at hub airports. The data can be analyzed by the FAA for airport</w:t>
      </w:r>
      <w:r>
        <w:rPr>
          <w:spacing w:val="-11"/>
          <w:w w:val="110"/>
        </w:rPr>
        <w:t xml:space="preserve"> </w:t>
      </w:r>
      <w:r>
        <w:rPr>
          <w:w w:val="110"/>
        </w:rPr>
        <w:t>design</w:t>
      </w:r>
      <w:r>
        <w:rPr>
          <w:spacing w:val="-11"/>
          <w:w w:val="110"/>
        </w:rPr>
        <w:t xml:space="preserve"> </w:t>
      </w:r>
      <w:r>
        <w:rPr>
          <w:w w:val="110"/>
        </w:rPr>
        <w:t>changes,</w:t>
      </w:r>
      <w:r>
        <w:rPr>
          <w:spacing w:val="-11"/>
          <w:w w:val="110"/>
        </w:rPr>
        <w:t xml:space="preserve"> </w:t>
      </w:r>
      <w:r>
        <w:rPr>
          <w:w w:val="110"/>
        </w:rPr>
        <w:t>new</w:t>
      </w:r>
      <w:r>
        <w:rPr>
          <w:spacing w:val="-11"/>
          <w:w w:val="110"/>
        </w:rPr>
        <w:t xml:space="preserve"> </w:t>
      </w:r>
      <w:r>
        <w:rPr>
          <w:w w:val="110"/>
        </w:rPr>
        <w:t>equipment purchases, and the planning of new runways or airports based on current and</w:t>
      </w:r>
      <w:r>
        <w:rPr>
          <w:spacing w:val="-6"/>
          <w:w w:val="110"/>
        </w:rPr>
        <w:t xml:space="preserve"> </w:t>
      </w:r>
      <w:r>
        <w:rPr>
          <w:w w:val="110"/>
        </w:rPr>
        <w:t>projected</w:t>
      </w:r>
      <w:r>
        <w:rPr>
          <w:spacing w:val="-6"/>
          <w:w w:val="110"/>
        </w:rPr>
        <w:t xml:space="preserve"> </w:t>
      </w:r>
      <w:r>
        <w:rPr>
          <w:w w:val="110"/>
        </w:rPr>
        <w:t>airport</w:t>
      </w:r>
      <w:r>
        <w:rPr>
          <w:spacing w:val="-6"/>
          <w:w w:val="110"/>
        </w:rPr>
        <w:t xml:space="preserve"> </w:t>
      </w:r>
      <w:r>
        <w:rPr>
          <w:w w:val="110"/>
        </w:rPr>
        <w:t>delays</w:t>
      </w:r>
      <w:r>
        <w:rPr>
          <w:spacing w:val="-6"/>
          <w:w w:val="110"/>
        </w:rPr>
        <w:t xml:space="preserve"> </w:t>
      </w:r>
      <w:r>
        <w:rPr>
          <w:w w:val="110"/>
        </w:rPr>
        <w:t>and</w:t>
      </w:r>
      <w:r>
        <w:rPr>
          <w:spacing w:val="-6"/>
          <w:w w:val="110"/>
        </w:rPr>
        <w:t xml:space="preserve"> </w:t>
      </w:r>
      <w:r>
        <w:rPr>
          <w:w w:val="110"/>
        </w:rPr>
        <w:t>traffic levels. The identification of the reason for delays allows the FAA, airport operators, and air carriers to pinpoint delays under their control.</w:t>
      </w:r>
    </w:p>
    <w:p w:rsidR="003A090A" w14:paraId="4B0CB5E0" w14:textId="77777777">
      <w:pPr>
        <w:pStyle w:val="BodyText"/>
        <w:spacing w:line="171" w:lineRule="exact"/>
        <w:ind w:left="340"/>
      </w:pPr>
      <w:r>
        <w:rPr>
          <w:w w:val="110"/>
        </w:rPr>
        <w:t>DOT is</w:t>
      </w:r>
      <w:r>
        <w:rPr>
          <w:spacing w:val="1"/>
          <w:w w:val="110"/>
        </w:rPr>
        <w:t xml:space="preserve"> </w:t>
      </w:r>
      <w:r>
        <w:rPr>
          <w:w w:val="110"/>
        </w:rPr>
        <w:t>publishing this</w:t>
      </w:r>
      <w:r>
        <w:rPr>
          <w:spacing w:val="1"/>
          <w:w w:val="110"/>
        </w:rPr>
        <w:t xml:space="preserve"> </w:t>
      </w:r>
      <w:r>
        <w:rPr>
          <w:w w:val="110"/>
        </w:rPr>
        <w:t>notice</w:t>
      </w:r>
      <w:r>
        <w:rPr>
          <w:spacing w:val="1"/>
          <w:w w:val="110"/>
        </w:rPr>
        <w:t xml:space="preserve"> </w:t>
      </w:r>
      <w:r>
        <w:rPr>
          <w:spacing w:val="-5"/>
          <w:w w:val="110"/>
        </w:rPr>
        <w:t>to</w:t>
      </w:r>
    </w:p>
    <w:p w:rsidR="003A090A" w14:paraId="41AA25C5" w14:textId="77777777">
      <w:pPr>
        <w:pStyle w:val="BodyText"/>
        <w:spacing w:before="4" w:line="225" w:lineRule="auto"/>
      </w:pPr>
      <w:r>
        <w:rPr>
          <w:w w:val="105"/>
        </w:rPr>
        <w:t>announce its intent to request extension of the previously approved information collections described above under OMB Control Number 2138–0041. Without further action, OMB authorization of the information collections would expire March 25, 2025.</w:t>
      </w:r>
    </w:p>
    <w:p w:rsidR="003A090A" w14:paraId="3777D6C6" w14:textId="77777777">
      <w:pPr>
        <w:pStyle w:val="BodyText"/>
        <w:spacing w:line="178" w:lineRule="exact"/>
        <w:ind w:left="340"/>
      </w:pPr>
      <w:r>
        <w:rPr>
          <w:w w:val="105"/>
        </w:rPr>
        <w:t>The</w:t>
      </w:r>
      <w:r>
        <w:rPr>
          <w:spacing w:val="14"/>
          <w:w w:val="105"/>
        </w:rPr>
        <w:t xml:space="preserve"> </w:t>
      </w:r>
      <w:r>
        <w:rPr>
          <w:w w:val="105"/>
        </w:rPr>
        <w:t>Paperwork</w:t>
      </w:r>
      <w:r>
        <w:rPr>
          <w:spacing w:val="15"/>
          <w:w w:val="105"/>
        </w:rPr>
        <w:t xml:space="preserve"> </w:t>
      </w:r>
      <w:r>
        <w:rPr>
          <w:w w:val="105"/>
        </w:rPr>
        <w:t>Reduction</w:t>
      </w:r>
      <w:r>
        <w:rPr>
          <w:spacing w:val="15"/>
          <w:w w:val="105"/>
        </w:rPr>
        <w:t xml:space="preserve"> </w:t>
      </w:r>
      <w:r>
        <w:rPr>
          <w:w w:val="105"/>
        </w:rPr>
        <w:t>Act</w:t>
      </w:r>
      <w:r>
        <w:rPr>
          <w:spacing w:val="15"/>
          <w:w w:val="105"/>
        </w:rPr>
        <w:t xml:space="preserve"> </w:t>
      </w:r>
      <w:r>
        <w:rPr>
          <w:w w:val="105"/>
        </w:rPr>
        <w:t>of</w:t>
      </w:r>
      <w:r>
        <w:rPr>
          <w:spacing w:val="15"/>
          <w:w w:val="105"/>
        </w:rPr>
        <w:t xml:space="preserve"> </w:t>
      </w:r>
      <w:r>
        <w:rPr>
          <w:spacing w:val="-4"/>
          <w:w w:val="105"/>
        </w:rPr>
        <w:t>1995</w:t>
      </w:r>
    </w:p>
    <w:p w:rsidR="003A090A" w14:paraId="0B774C77" w14:textId="77777777">
      <w:pPr>
        <w:pStyle w:val="BodyText"/>
        <w:spacing w:before="2" w:line="228" w:lineRule="auto"/>
        <w:ind w:right="65"/>
      </w:pPr>
      <w:r>
        <w:rPr>
          <w:w w:val="105"/>
        </w:rPr>
        <w:t>(PRA) and its implementing regulations,</w:t>
      </w:r>
      <w:r>
        <w:rPr>
          <w:spacing w:val="40"/>
          <w:w w:val="105"/>
        </w:rPr>
        <w:t xml:space="preserve"> </w:t>
      </w:r>
      <w:r>
        <w:rPr>
          <w:w w:val="105"/>
        </w:rPr>
        <w:t>5 CFR part 1320, require Federal</w:t>
      </w:r>
      <w:r>
        <w:rPr>
          <w:spacing w:val="40"/>
          <w:w w:val="105"/>
        </w:rPr>
        <w:t xml:space="preserve"> </w:t>
      </w:r>
      <w:r>
        <w:rPr>
          <w:w w:val="105"/>
        </w:rPr>
        <w:t>agencies to issue two notices seeking public comment on information</w:t>
      </w:r>
      <w:r>
        <w:rPr>
          <w:spacing w:val="40"/>
          <w:w w:val="105"/>
        </w:rPr>
        <w:t xml:space="preserve"> </w:t>
      </w:r>
      <w:r>
        <w:rPr>
          <w:w w:val="105"/>
        </w:rPr>
        <w:t>collection activities before OMB may approve paperwork packages. A Federal agency generally cannot conduct or sponsor a collection of information, and the public is generally not required to respond to an information collection, unless it is approved by the OMB under the PRA and displays a currently valid OMB Control Number. In addition, notwithstanding any other provisions of law, no person shall generally be subject to monetary penalty for failing to</w:t>
      </w:r>
      <w:r>
        <w:rPr>
          <w:spacing w:val="80"/>
          <w:w w:val="150"/>
        </w:rPr>
        <w:t xml:space="preserve"> </w:t>
      </w:r>
      <w:r>
        <w:rPr>
          <w:w w:val="105"/>
        </w:rPr>
        <w:t>comply with a collection of information</w:t>
      </w:r>
      <w:r>
        <w:rPr>
          <w:spacing w:val="80"/>
          <w:w w:val="105"/>
        </w:rPr>
        <w:t xml:space="preserve"> </w:t>
      </w:r>
      <w:r>
        <w:rPr>
          <w:w w:val="105"/>
        </w:rPr>
        <w:t>if the collection of information does not display a valid OMB Control Number.</w:t>
      </w:r>
    </w:p>
    <w:p w:rsidR="003A090A" w14:paraId="7ABD1F3C" w14:textId="77777777">
      <w:pPr>
        <w:pStyle w:val="BodyText"/>
        <w:spacing w:line="172" w:lineRule="exact"/>
      </w:pPr>
      <w:r>
        <w:rPr>
          <w:w w:val="105"/>
        </w:rPr>
        <w:t>See</w:t>
      </w:r>
      <w:r>
        <w:rPr>
          <w:spacing w:val="5"/>
          <w:w w:val="105"/>
        </w:rPr>
        <w:t xml:space="preserve"> </w:t>
      </w:r>
      <w:r>
        <w:rPr>
          <w:w w:val="105"/>
        </w:rPr>
        <w:t>5</w:t>
      </w:r>
      <w:r>
        <w:rPr>
          <w:spacing w:val="5"/>
          <w:w w:val="105"/>
        </w:rPr>
        <w:t xml:space="preserve"> </w:t>
      </w:r>
      <w:r>
        <w:rPr>
          <w:w w:val="105"/>
        </w:rPr>
        <w:t>CFR</w:t>
      </w:r>
      <w:r>
        <w:rPr>
          <w:spacing w:val="5"/>
          <w:w w:val="105"/>
        </w:rPr>
        <w:t xml:space="preserve"> </w:t>
      </w:r>
      <w:r>
        <w:rPr>
          <w:w w:val="105"/>
        </w:rPr>
        <w:t>1320.5(a)</w:t>
      </w:r>
      <w:r>
        <w:rPr>
          <w:spacing w:val="5"/>
          <w:w w:val="105"/>
        </w:rPr>
        <w:t xml:space="preserve"> </w:t>
      </w:r>
      <w:r>
        <w:rPr>
          <w:w w:val="105"/>
        </w:rPr>
        <w:t>and</w:t>
      </w:r>
      <w:r>
        <w:rPr>
          <w:spacing w:val="5"/>
          <w:w w:val="105"/>
        </w:rPr>
        <w:t xml:space="preserve"> </w:t>
      </w:r>
      <w:r>
        <w:rPr>
          <w:spacing w:val="-2"/>
          <w:w w:val="105"/>
        </w:rPr>
        <w:t>1320.6.</w:t>
      </w:r>
    </w:p>
    <w:p w:rsidR="003A090A" w14:paraId="44642EDE" w14:textId="77777777">
      <w:pPr>
        <w:pStyle w:val="BodyText"/>
        <w:spacing w:line="228" w:lineRule="auto"/>
        <w:ind w:firstLine="180"/>
      </w:pPr>
      <w:r>
        <w:rPr>
          <w:w w:val="105"/>
        </w:rPr>
        <w:t>For each of these information collections, the title, a description of the</w:t>
      </w:r>
    </w:p>
    <w:p w:rsidR="003A090A" w14:paraId="5266CE0B" w14:textId="77777777">
      <w:pPr>
        <w:pStyle w:val="BodyText"/>
        <w:spacing w:before="62" w:line="230" w:lineRule="auto"/>
        <w:ind w:left="154"/>
      </w:pPr>
      <w:r>
        <w:br w:type="column"/>
      </w:r>
      <w:r>
        <w:rPr>
          <w:w w:val="105"/>
        </w:rPr>
        <w:t>respondents, and an estimate of the annual recordkeeping and periodic reporting</w:t>
      </w:r>
      <w:r>
        <w:rPr>
          <w:spacing w:val="-3"/>
          <w:w w:val="105"/>
        </w:rPr>
        <w:t xml:space="preserve"> </w:t>
      </w:r>
      <w:r>
        <w:rPr>
          <w:w w:val="105"/>
        </w:rPr>
        <w:t>burden</w:t>
      </w:r>
      <w:r>
        <w:rPr>
          <w:spacing w:val="-2"/>
          <w:w w:val="105"/>
        </w:rPr>
        <w:t xml:space="preserve"> </w:t>
      </w:r>
      <w:r>
        <w:rPr>
          <w:w w:val="105"/>
        </w:rPr>
        <w:t>are</w:t>
      </w:r>
      <w:r>
        <w:rPr>
          <w:spacing w:val="-2"/>
          <w:w w:val="105"/>
        </w:rPr>
        <w:t xml:space="preserve"> </w:t>
      </w:r>
      <w:r>
        <w:rPr>
          <w:w w:val="105"/>
        </w:rPr>
        <w:t>set</w:t>
      </w:r>
      <w:r>
        <w:rPr>
          <w:spacing w:val="-3"/>
          <w:w w:val="105"/>
        </w:rPr>
        <w:t xml:space="preserve"> </w:t>
      </w:r>
      <w:r>
        <w:rPr>
          <w:w w:val="105"/>
        </w:rPr>
        <w:t>forth</w:t>
      </w:r>
      <w:r>
        <w:rPr>
          <w:spacing w:val="-2"/>
          <w:w w:val="105"/>
        </w:rPr>
        <w:t xml:space="preserve"> below.</w:t>
      </w:r>
    </w:p>
    <w:p w:rsidR="003A090A" w14:paraId="4CFB5C34" w14:textId="77777777">
      <w:pPr>
        <w:pStyle w:val="Heading1"/>
        <w:numPr>
          <w:ilvl w:val="0"/>
          <w:numId w:val="1"/>
        </w:numPr>
        <w:tabs>
          <w:tab w:val="left" w:pos="353"/>
        </w:tabs>
        <w:spacing w:before="119" w:line="223" w:lineRule="auto"/>
        <w:ind w:right="75" w:firstLine="0"/>
        <w:rPr>
          <w:rFonts w:ascii="Book Antiqua" w:hAnsi="Book Antiqua"/>
        </w:rPr>
      </w:pPr>
      <w:r>
        <w:rPr>
          <w:rFonts w:ascii="Book Antiqua" w:hAnsi="Book Antiqua"/>
        </w:rPr>
        <w:t xml:space="preserve">Airline Service Quality Performance Reports—Part 234 On-Time </w:t>
      </w:r>
      <w:r>
        <w:rPr>
          <w:rFonts w:ascii="Book Antiqua" w:hAnsi="Book Antiqua"/>
          <w:spacing w:val="-2"/>
        </w:rPr>
        <w:t>Performance</w:t>
      </w:r>
    </w:p>
    <w:p w:rsidR="003A090A" w14:paraId="620D196B" w14:textId="77777777">
      <w:pPr>
        <w:pStyle w:val="BodyText"/>
        <w:spacing w:before="138" w:line="228" w:lineRule="auto"/>
        <w:ind w:left="154" w:right="84" w:firstLine="180"/>
      </w:pPr>
      <w:r>
        <w:rPr>
          <w:rFonts w:ascii="Book Antiqua" w:hAnsi="Book Antiqua"/>
          <w:i/>
          <w:w w:val="105"/>
        </w:rPr>
        <w:t xml:space="preserve">Respondents: </w:t>
      </w:r>
      <w:r>
        <w:rPr>
          <w:w w:val="105"/>
        </w:rPr>
        <w:t>Certificated air carriers that account for at least half of one percent of the domestic scheduled- service</w:t>
      </w:r>
      <w:r>
        <w:rPr>
          <w:spacing w:val="-8"/>
          <w:w w:val="105"/>
        </w:rPr>
        <w:t xml:space="preserve"> </w:t>
      </w:r>
      <w:r>
        <w:rPr>
          <w:w w:val="105"/>
        </w:rPr>
        <w:t>passenger</w:t>
      </w:r>
      <w:r>
        <w:rPr>
          <w:spacing w:val="-8"/>
          <w:w w:val="105"/>
        </w:rPr>
        <w:t xml:space="preserve"> </w:t>
      </w:r>
      <w:r>
        <w:rPr>
          <w:w w:val="105"/>
        </w:rPr>
        <w:t>revenues</w:t>
      </w:r>
      <w:r>
        <w:rPr>
          <w:spacing w:val="-8"/>
          <w:w w:val="105"/>
        </w:rPr>
        <w:t xml:space="preserve"> </w:t>
      </w:r>
      <w:r>
        <w:rPr>
          <w:w w:val="105"/>
        </w:rPr>
        <w:t>are</w:t>
      </w:r>
      <w:r>
        <w:rPr>
          <w:spacing w:val="-8"/>
          <w:w w:val="105"/>
        </w:rPr>
        <w:t xml:space="preserve"> </w:t>
      </w:r>
      <w:r>
        <w:rPr>
          <w:w w:val="105"/>
        </w:rPr>
        <w:t>required to report flight performance data for flights that they operate as described in 14 CFR 234.4; Certificated air carriers that account for at least half of one percent of domestic scheduled-service passenger revenues that market code- share flights carrying the carrier’s code as the only U.S. carrier code are</w:t>
      </w:r>
      <w:r>
        <w:rPr>
          <w:spacing w:val="80"/>
          <w:w w:val="105"/>
        </w:rPr>
        <w:t xml:space="preserve"> </w:t>
      </w:r>
      <w:r>
        <w:rPr>
          <w:w w:val="105"/>
        </w:rPr>
        <w:t xml:space="preserve">required to report flight performance data for these code-share flights as described in 14 CFR 234.4; Air carriers may voluntarily report flight performance data pursuant to 14 CFR </w:t>
      </w:r>
      <w:r>
        <w:rPr>
          <w:spacing w:val="-2"/>
          <w:w w:val="105"/>
        </w:rPr>
        <w:t>234.7.</w:t>
      </w:r>
    </w:p>
    <w:p w:rsidR="003A090A" w14:paraId="2B95189B" w14:textId="77777777">
      <w:pPr>
        <w:spacing w:before="82" w:line="223" w:lineRule="auto"/>
        <w:ind w:left="154" w:firstLine="180"/>
        <w:rPr>
          <w:sz w:val="18"/>
        </w:rPr>
      </w:pPr>
      <w:r>
        <w:rPr>
          <w:rFonts w:ascii="Book Antiqua"/>
          <w:i/>
          <w:w w:val="110"/>
          <w:sz w:val="18"/>
        </w:rPr>
        <w:t xml:space="preserve">Estimated Number of Respondents: </w:t>
      </w:r>
      <w:r>
        <w:rPr>
          <w:w w:val="110"/>
          <w:sz w:val="18"/>
        </w:rPr>
        <w:t>15 air carriers (4 of which market codeshare flights).</w:t>
      </w:r>
    </w:p>
    <w:p w:rsidR="003A090A" w14:paraId="11DDBA05" w14:textId="77777777">
      <w:pPr>
        <w:spacing w:before="57"/>
        <w:ind w:left="334"/>
        <w:rPr>
          <w:sz w:val="18"/>
        </w:rPr>
      </w:pPr>
      <w:r>
        <w:rPr>
          <w:rFonts w:ascii="Book Antiqua"/>
          <w:i/>
          <w:w w:val="110"/>
          <w:sz w:val="18"/>
        </w:rPr>
        <w:t>Frequency:</w:t>
      </w:r>
      <w:r>
        <w:rPr>
          <w:rFonts w:ascii="Book Antiqua"/>
          <w:i/>
          <w:spacing w:val="23"/>
          <w:w w:val="110"/>
          <w:sz w:val="18"/>
        </w:rPr>
        <w:t xml:space="preserve"> </w:t>
      </w:r>
      <w:r>
        <w:rPr>
          <w:spacing w:val="-2"/>
          <w:w w:val="110"/>
          <w:sz w:val="18"/>
        </w:rPr>
        <w:t>Monthly.</w:t>
      </w:r>
    </w:p>
    <w:p w:rsidR="003A090A" w14:paraId="0235FEC7" w14:textId="77777777">
      <w:pPr>
        <w:pStyle w:val="BodyText"/>
        <w:spacing w:before="57" w:line="225" w:lineRule="auto"/>
        <w:ind w:left="154" w:right="66" w:firstLine="180"/>
      </w:pPr>
      <w:r>
        <w:rPr>
          <w:rFonts w:ascii="Book Antiqua"/>
          <w:i/>
          <w:w w:val="105"/>
        </w:rPr>
        <w:t>Estimated Average Burden per</w:t>
      </w:r>
      <w:r>
        <w:rPr>
          <w:rFonts w:ascii="Book Antiqua"/>
          <w:i/>
          <w:spacing w:val="40"/>
          <w:w w:val="105"/>
        </w:rPr>
        <w:t xml:space="preserve"> </w:t>
      </w:r>
      <w:r>
        <w:rPr>
          <w:rFonts w:ascii="Book Antiqua"/>
          <w:i/>
          <w:w w:val="105"/>
        </w:rPr>
        <w:t xml:space="preserve">Response: </w:t>
      </w:r>
      <w:r>
        <w:rPr>
          <w:w w:val="105"/>
        </w:rPr>
        <w:t>10 hours for each respondent to report for the flights operated by the respondent plus an additional 16 hours</w:t>
      </w:r>
      <w:r>
        <w:rPr>
          <w:spacing w:val="40"/>
          <w:w w:val="105"/>
        </w:rPr>
        <w:t xml:space="preserve"> </w:t>
      </w:r>
      <w:r>
        <w:rPr>
          <w:w w:val="105"/>
        </w:rPr>
        <w:t>if the respondent reports for flights operated by code-share partners.</w:t>
      </w:r>
    </w:p>
    <w:p w:rsidR="003A090A" w14:paraId="6C7BCB2B" w14:textId="77777777">
      <w:pPr>
        <w:pStyle w:val="BodyText"/>
        <w:spacing w:before="70" w:line="223" w:lineRule="auto"/>
        <w:ind w:left="154" w:right="6" w:firstLine="180"/>
      </w:pPr>
      <w:r>
        <w:rPr>
          <w:rFonts w:ascii="Book Antiqua" w:hAnsi="Book Antiqua"/>
          <w:i/>
          <w:w w:val="105"/>
        </w:rPr>
        <w:t>Estimated</w:t>
      </w:r>
      <w:r>
        <w:rPr>
          <w:rFonts w:ascii="Book Antiqua" w:hAnsi="Book Antiqua"/>
          <w:i/>
          <w:spacing w:val="37"/>
          <w:w w:val="105"/>
        </w:rPr>
        <w:t xml:space="preserve"> </w:t>
      </w:r>
      <w:r>
        <w:rPr>
          <w:rFonts w:ascii="Book Antiqua" w:hAnsi="Book Antiqua"/>
          <w:i/>
          <w:w w:val="105"/>
        </w:rPr>
        <w:t>Total</w:t>
      </w:r>
      <w:r>
        <w:rPr>
          <w:rFonts w:ascii="Book Antiqua" w:hAnsi="Book Antiqua"/>
          <w:i/>
          <w:spacing w:val="37"/>
          <w:w w:val="105"/>
        </w:rPr>
        <w:t xml:space="preserve"> </w:t>
      </w:r>
      <w:r>
        <w:rPr>
          <w:rFonts w:ascii="Book Antiqua" w:hAnsi="Book Antiqua"/>
          <w:i/>
          <w:w w:val="105"/>
        </w:rPr>
        <w:t>Annual</w:t>
      </w:r>
      <w:r>
        <w:rPr>
          <w:rFonts w:ascii="Book Antiqua" w:hAnsi="Book Antiqua"/>
          <w:i/>
          <w:spacing w:val="37"/>
          <w:w w:val="105"/>
        </w:rPr>
        <w:t xml:space="preserve"> </w:t>
      </w:r>
      <w:r>
        <w:rPr>
          <w:rFonts w:ascii="Book Antiqua" w:hAnsi="Book Antiqua"/>
          <w:i/>
          <w:w w:val="105"/>
        </w:rPr>
        <w:t>Burden:</w:t>
      </w:r>
      <w:r>
        <w:rPr>
          <w:rFonts w:ascii="Book Antiqua" w:hAnsi="Book Antiqua"/>
          <w:i/>
          <w:spacing w:val="80"/>
          <w:w w:val="105"/>
        </w:rPr>
        <w:t xml:space="preserve"> </w:t>
      </w:r>
      <w:r>
        <w:rPr>
          <w:w w:val="105"/>
        </w:rPr>
        <w:t>2,568</w:t>
      </w:r>
      <w:r>
        <w:rPr>
          <w:spacing w:val="-8"/>
          <w:w w:val="105"/>
        </w:rPr>
        <w:t xml:space="preserve"> </w:t>
      </w:r>
      <w:r>
        <w:rPr>
          <w:w w:val="105"/>
        </w:rPr>
        <w:t>hours</w:t>
      </w:r>
      <w:r>
        <w:rPr>
          <w:spacing w:val="-8"/>
          <w:w w:val="105"/>
        </w:rPr>
        <w:t xml:space="preserve"> </w:t>
      </w:r>
      <w:r>
        <w:rPr>
          <w:w w:val="105"/>
        </w:rPr>
        <w:t>(15</w:t>
      </w:r>
      <w:r>
        <w:rPr>
          <w:spacing w:val="-8"/>
          <w:w w:val="105"/>
        </w:rPr>
        <w:t xml:space="preserve"> </w:t>
      </w:r>
      <w:r>
        <w:rPr>
          <w:w w:val="105"/>
        </w:rPr>
        <w:t>air</w:t>
      </w:r>
      <w:r>
        <w:rPr>
          <w:spacing w:val="-8"/>
          <w:w w:val="105"/>
        </w:rPr>
        <w:t xml:space="preserve"> </w:t>
      </w:r>
      <w:r>
        <w:rPr>
          <w:w w:val="105"/>
        </w:rPr>
        <w:t>carriers</w:t>
      </w:r>
      <w:r>
        <w:rPr>
          <w:spacing w:val="-8"/>
          <w:w w:val="105"/>
        </w:rPr>
        <w:t xml:space="preserve"> </w:t>
      </w:r>
      <w:r>
        <w:rPr>
          <w:w w:val="105"/>
        </w:rPr>
        <w:t>reporting</w:t>
      </w:r>
      <w:r>
        <w:rPr>
          <w:spacing w:val="-8"/>
          <w:w w:val="105"/>
        </w:rPr>
        <w:t xml:space="preserve"> </w:t>
      </w:r>
      <w:r>
        <w:rPr>
          <w:w w:val="105"/>
        </w:rPr>
        <w:t xml:space="preserve">the flight performance information for the flights they operate </w:t>
      </w:r>
      <w:r>
        <w:rPr>
          <w:rFonts w:ascii="Symbol" w:hAnsi="Symbol"/>
          <w:w w:val="105"/>
        </w:rPr>
        <w:sym w:font="Symbol" w:char="F0B4"/>
      </w:r>
      <w:r>
        <w:rPr>
          <w:rFonts w:ascii="Times New Roman" w:hAnsi="Times New Roman"/>
          <w:w w:val="105"/>
        </w:rPr>
        <w:t xml:space="preserve"> </w:t>
      </w:r>
      <w:r>
        <w:rPr>
          <w:w w:val="105"/>
        </w:rPr>
        <w:t xml:space="preserve">10 hours per response </w:t>
      </w:r>
      <w:r>
        <w:rPr>
          <w:rFonts w:ascii="Symbol" w:hAnsi="Symbol"/>
          <w:w w:val="105"/>
        </w:rPr>
        <w:sym w:font="Symbol" w:char="F0B4"/>
      </w:r>
      <w:r>
        <w:rPr>
          <w:rFonts w:ascii="Times New Roman" w:hAnsi="Times New Roman"/>
          <w:w w:val="105"/>
        </w:rPr>
        <w:t xml:space="preserve"> </w:t>
      </w:r>
      <w:r>
        <w:rPr>
          <w:w w:val="105"/>
        </w:rPr>
        <w:t xml:space="preserve">12 months = 1,800 hours) + (4 air carriers reporting the flight performance information for flights operated by their codeshare partners </w:t>
      </w:r>
      <w:r>
        <w:rPr>
          <w:rFonts w:ascii="Symbol" w:hAnsi="Symbol"/>
          <w:w w:val="105"/>
        </w:rPr>
        <w:sym w:font="Symbol" w:char="F0B4"/>
      </w:r>
      <w:r>
        <w:rPr>
          <w:rFonts w:ascii="Times New Roman" w:hAnsi="Times New Roman"/>
          <w:w w:val="105"/>
        </w:rPr>
        <w:t xml:space="preserve"> </w:t>
      </w:r>
      <w:r>
        <w:rPr>
          <w:w w:val="105"/>
        </w:rPr>
        <w:t xml:space="preserve">16 hours per response </w:t>
      </w:r>
      <w:r>
        <w:rPr>
          <w:rFonts w:ascii="Symbol" w:hAnsi="Symbol"/>
          <w:w w:val="105"/>
        </w:rPr>
        <w:sym w:font="Symbol" w:char="F0B4"/>
      </w:r>
      <w:r>
        <w:rPr>
          <w:rFonts w:ascii="Times New Roman" w:hAnsi="Times New Roman"/>
          <w:w w:val="105"/>
        </w:rPr>
        <w:t xml:space="preserve"> </w:t>
      </w:r>
      <w:r>
        <w:rPr>
          <w:w w:val="105"/>
        </w:rPr>
        <w:t>12 months =</w:t>
      </w:r>
      <w:r>
        <w:rPr>
          <w:spacing w:val="40"/>
          <w:w w:val="105"/>
        </w:rPr>
        <w:t xml:space="preserve"> </w:t>
      </w:r>
      <w:r>
        <w:rPr>
          <w:w w:val="105"/>
        </w:rPr>
        <w:t>768 hours). This estimate is based on</w:t>
      </w:r>
      <w:r>
        <w:rPr>
          <w:spacing w:val="80"/>
          <w:w w:val="105"/>
        </w:rPr>
        <w:t xml:space="preserve"> </w:t>
      </w:r>
      <w:r>
        <w:rPr>
          <w:w w:val="105"/>
        </w:rPr>
        <w:t>the following information: 15 carriers reported the flight performance data for the flights they operated to DOT in calendar year 2019, 2020, and 2021,</w:t>
      </w:r>
    </w:p>
    <w:p w:rsidR="003A090A" w14:paraId="642E1746" w14:textId="77777777">
      <w:pPr>
        <w:pStyle w:val="BodyText"/>
        <w:spacing w:before="6" w:line="228" w:lineRule="auto"/>
        <w:ind w:left="155" w:right="184"/>
        <w:jc w:val="both"/>
      </w:pPr>
      <w:r>
        <w:rPr>
          <w:w w:val="105"/>
        </w:rPr>
        <w:t>2022,</w:t>
      </w:r>
      <w:r>
        <w:rPr>
          <w:spacing w:val="-3"/>
          <w:w w:val="105"/>
        </w:rPr>
        <w:t xml:space="preserve"> </w:t>
      </w:r>
      <w:r>
        <w:rPr>
          <w:w w:val="105"/>
        </w:rPr>
        <w:t>2023,</w:t>
      </w:r>
      <w:r>
        <w:rPr>
          <w:spacing w:val="-4"/>
          <w:w w:val="105"/>
        </w:rPr>
        <w:t xml:space="preserve"> </w:t>
      </w:r>
      <w:r>
        <w:rPr>
          <w:w w:val="105"/>
        </w:rPr>
        <w:t>2024.</w:t>
      </w:r>
      <w:r>
        <w:rPr>
          <w:spacing w:val="-3"/>
          <w:w w:val="105"/>
        </w:rPr>
        <w:t xml:space="preserve"> </w:t>
      </w:r>
      <w:r>
        <w:rPr>
          <w:w w:val="105"/>
        </w:rPr>
        <w:t>Currently,</w:t>
      </w:r>
      <w:r>
        <w:rPr>
          <w:spacing w:val="-4"/>
          <w:w w:val="105"/>
        </w:rPr>
        <w:t xml:space="preserve"> </w:t>
      </w:r>
      <w:r>
        <w:rPr>
          <w:w w:val="105"/>
        </w:rPr>
        <w:t>4</w:t>
      </w:r>
      <w:r>
        <w:rPr>
          <w:spacing w:val="-3"/>
          <w:w w:val="105"/>
        </w:rPr>
        <w:t xml:space="preserve"> </w:t>
      </w:r>
      <w:r>
        <w:rPr>
          <w:w w:val="105"/>
        </w:rPr>
        <w:t>carriers report flight performance data to DOT for their codeshare operations.</w:t>
      </w:r>
    </w:p>
    <w:p w:rsidR="003A090A" w14:paraId="573FC380" w14:textId="77777777">
      <w:pPr>
        <w:pStyle w:val="BodyText"/>
        <w:spacing w:before="63" w:line="228" w:lineRule="auto"/>
        <w:ind w:left="155" w:firstLine="180"/>
      </w:pPr>
      <w:r>
        <w:rPr>
          <w:w w:val="105"/>
        </w:rPr>
        <w:t>DOT estimates that respondents will encounter on average a 10-hour burden per month to report flight performance data to DOT for the flights they operate. DOT estimates the respondents that market codeshare flights will encounter on average an additional burden of 16 hours per month to report flight performance data to DOT for their codeshare operations. The burden estimates include staff time to manage and process the data and to submit the report through DOT’s electronic submission system.</w:t>
      </w:r>
    </w:p>
    <w:p w:rsidR="003A090A" w14:paraId="443BF4FE" w14:textId="77777777">
      <w:pPr>
        <w:pStyle w:val="Heading1"/>
        <w:numPr>
          <w:ilvl w:val="0"/>
          <w:numId w:val="1"/>
        </w:numPr>
        <w:tabs>
          <w:tab w:val="left" w:pos="355"/>
        </w:tabs>
        <w:spacing w:before="69" w:line="220" w:lineRule="auto"/>
        <w:ind w:left="156" w:right="170" w:firstLine="0"/>
        <w:rPr>
          <w:rFonts w:ascii="Book Antiqua" w:hAnsi="Book Antiqua"/>
        </w:rPr>
      </w:pPr>
      <w:r>
        <w:rPr>
          <w:b w:val="0"/>
        </w:rPr>
        <w:br w:type="column"/>
      </w:r>
      <w:r>
        <w:rPr>
          <w:rFonts w:ascii="Book Antiqua" w:hAnsi="Book Antiqua"/>
        </w:rPr>
        <w:t>Airline Service Quality Performance Reports—Part</w:t>
      </w:r>
      <w:r>
        <w:rPr>
          <w:rFonts w:ascii="Book Antiqua" w:hAnsi="Book Antiqua"/>
          <w:spacing w:val="21"/>
        </w:rPr>
        <w:t xml:space="preserve"> </w:t>
      </w:r>
      <w:r>
        <w:rPr>
          <w:rFonts w:ascii="Book Antiqua" w:hAnsi="Book Antiqua"/>
        </w:rPr>
        <w:t>234</w:t>
      </w:r>
      <w:r>
        <w:rPr>
          <w:rFonts w:ascii="Book Antiqua" w:hAnsi="Book Antiqua"/>
          <w:spacing w:val="22"/>
        </w:rPr>
        <w:t xml:space="preserve"> </w:t>
      </w:r>
      <w:r>
        <w:rPr>
          <w:rFonts w:ascii="Book Antiqua" w:hAnsi="Book Antiqua"/>
        </w:rPr>
        <w:t>Mishandled</w:t>
      </w:r>
      <w:r>
        <w:rPr>
          <w:rFonts w:ascii="Book Antiqua" w:hAnsi="Book Antiqua"/>
          <w:spacing w:val="21"/>
        </w:rPr>
        <w:t xml:space="preserve"> </w:t>
      </w:r>
      <w:r>
        <w:rPr>
          <w:rFonts w:ascii="Book Antiqua" w:hAnsi="Book Antiqua"/>
          <w:spacing w:val="-2"/>
        </w:rPr>
        <w:t>Baggage</w:t>
      </w:r>
    </w:p>
    <w:p w:rsidR="003A090A" w14:paraId="4B3298E7" w14:textId="77777777">
      <w:pPr>
        <w:pStyle w:val="BodyText"/>
        <w:spacing w:before="68" w:line="225" w:lineRule="auto"/>
        <w:ind w:left="156" w:right="103" w:firstLine="180"/>
      </w:pPr>
      <w:r>
        <w:rPr>
          <w:rFonts w:ascii="Book Antiqua"/>
          <w:i/>
          <w:w w:val="105"/>
        </w:rPr>
        <w:t xml:space="preserve">Respondents: </w:t>
      </w:r>
      <w:r>
        <w:rPr>
          <w:w w:val="105"/>
        </w:rPr>
        <w:t>Certificated air carriers that account for at least half of one percent of the domestic scheduled- service passenger revenues are required to report mishandled baggage and wheelchairs and scooters data for flights that</w:t>
      </w:r>
      <w:r>
        <w:rPr>
          <w:spacing w:val="3"/>
          <w:w w:val="105"/>
        </w:rPr>
        <w:t xml:space="preserve"> </w:t>
      </w:r>
      <w:r>
        <w:rPr>
          <w:w w:val="105"/>
        </w:rPr>
        <w:t>they</w:t>
      </w:r>
      <w:r>
        <w:rPr>
          <w:spacing w:val="3"/>
          <w:w w:val="105"/>
        </w:rPr>
        <w:t xml:space="preserve"> </w:t>
      </w:r>
      <w:r>
        <w:rPr>
          <w:w w:val="105"/>
        </w:rPr>
        <w:t>operate</w:t>
      </w:r>
      <w:r>
        <w:rPr>
          <w:spacing w:val="4"/>
          <w:w w:val="105"/>
        </w:rPr>
        <w:t xml:space="preserve"> </w:t>
      </w:r>
      <w:r>
        <w:rPr>
          <w:w w:val="105"/>
        </w:rPr>
        <w:t>as</w:t>
      </w:r>
      <w:r>
        <w:rPr>
          <w:spacing w:val="3"/>
          <w:w w:val="105"/>
        </w:rPr>
        <w:t xml:space="preserve"> </w:t>
      </w:r>
      <w:r>
        <w:rPr>
          <w:w w:val="105"/>
        </w:rPr>
        <w:t>described</w:t>
      </w:r>
      <w:r>
        <w:rPr>
          <w:spacing w:val="4"/>
          <w:w w:val="105"/>
        </w:rPr>
        <w:t xml:space="preserve"> </w:t>
      </w:r>
      <w:r>
        <w:rPr>
          <w:w w:val="105"/>
        </w:rPr>
        <w:t>in</w:t>
      </w:r>
      <w:r>
        <w:rPr>
          <w:spacing w:val="3"/>
          <w:w w:val="105"/>
        </w:rPr>
        <w:t xml:space="preserve"> </w:t>
      </w:r>
      <w:r>
        <w:rPr>
          <w:w w:val="105"/>
        </w:rPr>
        <w:t>14</w:t>
      </w:r>
      <w:r>
        <w:rPr>
          <w:spacing w:val="4"/>
          <w:w w:val="105"/>
        </w:rPr>
        <w:t xml:space="preserve"> </w:t>
      </w:r>
      <w:r>
        <w:rPr>
          <w:spacing w:val="-5"/>
          <w:w w:val="105"/>
        </w:rPr>
        <w:t>CFR</w:t>
      </w:r>
    </w:p>
    <w:p w:rsidR="003A090A" w14:paraId="6F20AD95" w14:textId="77777777">
      <w:pPr>
        <w:pStyle w:val="BodyText"/>
        <w:spacing w:line="228" w:lineRule="auto"/>
        <w:ind w:left="156" w:right="103"/>
      </w:pPr>
      <w:r>
        <w:rPr>
          <w:w w:val="105"/>
        </w:rPr>
        <w:t>234.6; Certificated air carriers that account</w:t>
      </w:r>
      <w:r>
        <w:rPr>
          <w:spacing w:val="33"/>
          <w:w w:val="105"/>
        </w:rPr>
        <w:t xml:space="preserve"> </w:t>
      </w:r>
      <w:r>
        <w:rPr>
          <w:w w:val="105"/>
        </w:rPr>
        <w:t>for</w:t>
      </w:r>
      <w:r>
        <w:rPr>
          <w:spacing w:val="33"/>
          <w:w w:val="105"/>
        </w:rPr>
        <w:t xml:space="preserve"> </w:t>
      </w:r>
      <w:r>
        <w:rPr>
          <w:w w:val="105"/>
        </w:rPr>
        <w:t>at</w:t>
      </w:r>
      <w:r>
        <w:rPr>
          <w:spacing w:val="33"/>
          <w:w w:val="105"/>
        </w:rPr>
        <w:t xml:space="preserve"> </w:t>
      </w:r>
      <w:r>
        <w:rPr>
          <w:w w:val="105"/>
        </w:rPr>
        <w:t>least</w:t>
      </w:r>
      <w:r>
        <w:rPr>
          <w:spacing w:val="33"/>
          <w:w w:val="105"/>
        </w:rPr>
        <w:t xml:space="preserve"> </w:t>
      </w:r>
      <w:r>
        <w:rPr>
          <w:w w:val="105"/>
        </w:rPr>
        <w:t>half</w:t>
      </w:r>
      <w:r>
        <w:rPr>
          <w:spacing w:val="33"/>
          <w:w w:val="105"/>
        </w:rPr>
        <w:t xml:space="preserve"> </w:t>
      </w:r>
      <w:r>
        <w:rPr>
          <w:w w:val="105"/>
        </w:rPr>
        <w:t>of</w:t>
      </w:r>
      <w:r>
        <w:rPr>
          <w:spacing w:val="33"/>
          <w:w w:val="105"/>
        </w:rPr>
        <w:t xml:space="preserve"> </w:t>
      </w:r>
      <w:r>
        <w:rPr>
          <w:w w:val="105"/>
        </w:rPr>
        <w:t>one</w:t>
      </w:r>
      <w:r>
        <w:rPr>
          <w:spacing w:val="33"/>
          <w:w w:val="105"/>
        </w:rPr>
        <w:t xml:space="preserve"> </w:t>
      </w:r>
      <w:r>
        <w:rPr>
          <w:w w:val="105"/>
        </w:rPr>
        <w:t>percent of domestic scheduled-service passenger revenues that market code-share flights carrying the carrier’s code as the only</w:t>
      </w:r>
    </w:p>
    <w:p w:rsidR="003A090A" w14:paraId="53B01AE6" w14:textId="77777777">
      <w:pPr>
        <w:pStyle w:val="BodyText"/>
        <w:spacing w:line="228" w:lineRule="auto"/>
        <w:ind w:left="156" w:right="165"/>
      </w:pPr>
      <w:r>
        <w:rPr>
          <w:w w:val="105"/>
        </w:rPr>
        <w:t>U.S. carrier code are required to report mishandled baggage and wheelchairs</w:t>
      </w:r>
      <w:r>
        <w:rPr>
          <w:spacing w:val="40"/>
          <w:w w:val="105"/>
        </w:rPr>
        <w:t xml:space="preserve"> </w:t>
      </w:r>
      <w:r>
        <w:rPr>
          <w:w w:val="105"/>
        </w:rPr>
        <w:t>and scooters data for these code-share flights as described in 14 CFR 234.6; Air carriers may voluntarily report mishandled baggage and wheelchairs</w:t>
      </w:r>
      <w:r>
        <w:rPr>
          <w:spacing w:val="40"/>
          <w:w w:val="105"/>
        </w:rPr>
        <w:t xml:space="preserve"> </w:t>
      </w:r>
      <w:r>
        <w:rPr>
          <w:w w:val="105"/>
        </w:rPr>
        <w:t xml:space="preserve">and scooters data pursuant to 14 CFR </w:t>
      </w:r>
      <w:r>
        <w:rPr>
          <w:spacing w:val="-2"/>
          <w:w w:val="105"/>
        </w:rPr>
        <w:t>234.7.</w:t>
      </w:r>
    </w:p>
    <w:p w:rsidR="003A090A" w14:paraId="2604C771" w14:textId="77777777">
      <w:pPr>
        <w:spacing w:line="220" w:lineRule="auto"/>
        <w:ind w:left="156" w:right="103" w:firstLine="180"/>
        <w:rPr>
          <w:sz w:val="18"/>
        </w:rPr>
      </w:pPr>
      <w:r>
        <w:rPr>
          <w:rFonts w:ascii="Book Antiqua"/>
          <w:i/>
          <w:w w:val="110"/>
          <w:sz w:val="18"/>
        </w:rPr>
        <w:t xml:space="preserve">Estimated Number of Respondents: </w:t>
      </w:r>
      <w:r>
        <w:rPr>
          <w:w w:val="110"/>
          <w:sz w:val="18"/>
        </w:rPr>
        <w:t xml:space="preserve">15 air carriers (4 that market codeshare </w:t>
      </w:r>
      <w:r>
        <w:rPr>
          <w:spacing w:val="-2"/>
          <w:w w:val="110"/>
          <w:sz w:val="18"/>
        </w:rPr>
        <w:t>flights).</w:t>
      </w:r>
    </w:p>
    <w:p w:rsidR="003A090A" w14:paraId="20640462" w14:textId="77777777">
      <w:pPr>
        <w:spacing w:line="198" w:lineRule="exact"/>
        <w:ind w:left="336"/>
        <w:rPr>
          <w:sz w:val="18"/>
        </w:rPr>
      </w:pPr>
      <w:r>
        <w:rPr>
          <w:rFonts w:ascii="Book Antiqua"/>
          <w:i/>
          <w:w w:val="110"/>
          <w:sz w:val="18"/>
        </w:rPr>
        <w:t>Frequency:</w:t>
      </w:r>
      <w:r>
        <w:rPr>
          <w:rFonts w:ascii="Book Antiqua"/>
          <w:i/>
          <w:spacing w:val="23"/>
          <w:w w:val="110"/>
          <w:sz w:val="18"/>
        </w:rPr>
        <w:t xml:space="preserve"> </w:t>
      </w:r>
      <w:r>
        <w:rPr>
          <w:spacing w:val="-2"/>
          <w:w w:val="110"/>
          <w:sz w:val="18"/>
        </w:rPr>
        <w:t>Monthly.</w:t>
      </w:r>
    </w:p>
    <w:p w:rsidR="003A090A" w14:paraId="3808DE45" w14:textId="77777777">
      <w:pPr>
        <w:pStyle w:val="BodyText"/>
        <w:spacing w:line="223" w:lineRule="auto"/>
        <w:ind w:left="156" w:right="191" w:firstLine="180"/>
      </w:pPr>
      <w:r>
        <w:rPr>
          <w:rFonts w:ascii="Book Antiqua"/>
          <w:i/>
          <w:w w:val="105"/>
        </w:rPr>
        <w:t>Estimated Average Burden per</w:t>
      </w:r>
      <w:r>
        <w:rPr>
          <w:rFonts w:ascii="Book Antiqua"/>
          <w:i/>
          <w:spacing w:val="40"/>
          <w:w w:val="105"/>
        </w:rPr>
        <w:t xml:space="preserve"> </w:t>
      </w:r>
      <w:r>
        <w:rPr>
          <w:rFonts w:ascii="Book Antiqua"/>
          <w:i/>
          <w:w w:val="105"/>
        </w:rPr>
        <w:t xml:space="preserve">Response: </w:t>
      </w:r>
      <w:r>
        <w:rPr>
          <w:w w:val="105"/>
        </w:rPr>
        <w:t>10 hours for each respondent to report for the flights operated by the respondent plus an additional 16 hours</w:t>
      </w:r>
      <w:r>
        <w:rPr>
          <w:spacing w:val="40"/>
          <w:w w:val="105"/>
        </w:rPr>
        <w:t xml:space="preserve"> </w:t>
      </w:r>
      <w:r>
        <w:rPr>
          <w:w w:val="105"/>
        </w:rPr>
        <w:t>if the respondent reports for flights operated by code-share partners.</w:t>
      </w:r>
    </w:p>
    <w:p w:rsidR="003A090A" w14:paraId="4743DF86" w14:textId="77777777">
      <w:pPr>
        <w:pStyle w:val="BodyText"/>
        <w:spacing w:line="223" w:lineRule="auto"/>
        <w:ind w:left="156" w:right="142" w:firstLine="180"/>
      </w:pPr>
      <w:r>
        <w:rPr>
          <w:rFonts w:ascii="Book Antiqua" w:hAnsi="Book Antiqua"/>
          <w:i/>
          <w:w w:val="105"/>
        </w:rPr>
        <w:t>Estimated</w:t>
      </w:r>
      <w:r>
        <w:rPr>
          <w:rFonts w:ascii="Book Antiqua" w:hAnsi="Book Antiqua"/>
          <w:i/>
          <w:spacing w:val="37"/>
          <w:w w:val="105"/>
        </w:rPr>
        <w:t xml:space="preserve"> </w:t>
      </w:r>
      <w:r>
        <w:rPr>
          <w:rFonts w:ascii="Book Antiqua" w:hAnsi="Book Antiqua"/>
          <w:i/>
          <w:w w:val="105"/>
        </w:rPr>
        <w:t>Total</w:t>
      </w:r>
      <w:r>
        <w:rPr>
          <w:rFonts w:ascii="Book Antiqua" w:hAnsi="Book Antiqua"/>
          <w:i/>
          <w:spacing w:val="37"/>
          <w:w w:val="105"/>
        </w:rPr>
        <w:t xml:space="preserve"> </w:t>
      </w:r>
      <w:r>
        <w:rPr>
          <w:rFonts w:ascii="Book Antiqua" w:hAnsi="Book Antiqua"/>
          <w:i/>
          <w:w w:val="105"/>
        </w:rPr>
        <w:t>Annual</w:t>
      </w:r>
      <w:r>
        <w:rPr>
          <w:rFonts w:ascii="Book Antiqua" w:hAnsi="Book Antiqua"/>
          <w:i/>
          <w:spacing w:val="37"/>
          <w:w w:val="105"/>
        </w:rPr>
        <w:t xml:space="preserve"> </w:t>
      </w:r>
      <w:r>
        <w:rPr>
          <w:rFonts w:ascii="Book Antiqua" w:hAnsi="Book Antiqua"/>
          <w:i/>
          <w:w w:val="105"/>
        </w:rPr>
        <w:t>Burden:</w:t>
      </w:r>
      <w:r>
        <w:rPr>
          <w:rFonts w:ascii="Book Antiqua" w:hAnsi="Book Antiqua"/>
          <w:i/>
          <w:spacing w:val="80"/>
          <w:w w:val="105"/>
        </w:rPr>
        <w:t xml:space="preserve"> </w:t>
      </w:r>
      <w:r>
        <w:rPr>
          <w:w w:val="105"/>
        </w:rPr>
        <w:t>2,568</w:t>
      </w:r>
      <w:r>
        <w:rPr>
          <w:spacing w:val="-8"/>
          <w:w w:val="105"/>
        </w:rPr>
        <w:t xml:space="preserve"> </w:t>
      </w:r>
      <w:r>
        <w:rPr>
          <w:w w:val="105"/>
        </w:rPr>
        <w:t>hours</w:t>
      </w:r>
      <w:r>
        <w:rPr>
          <w:spacing w:val="-8"/>
          <w:w w:val="105"/>
        </w:rPr>
        <w:t xml:space="preserve"> </w:t>
      </w:r>
      <w:r>
        <w:rPr>
          <w:w w:val="105"/>
        </w:rPr>
        <w:t>(15</w:t>
      </w:r>
      <w:r>
        <w:rPr>
          <w:spacing w:val="-8"/>
          <w:w w:val="105"/>
        </w:rPr>
        <w:t xml:space="preserve"> </w:t>
      </w:r>
      <w:r>
        <w:rPr>
          <w:w w:val="105"/>
        </w:rPr>
        <w:t>air</w:t>
      </w:r>
      <w:r>
        <w:rPr>
          <w:spacing w:val="-8"/>
          <w:w w:val="105"/>
        </w:rPr>
        <w:t xml:space="preserve"> </w:t>
      </w:r>
      <w:r>
        <w:rPr>
          <w:w w:val="105"/>
        </w:rPr>
        <w:t>carriers</w:t>
      </w:r>
      <w:r>
        <w:rPr>
          <w:spacing w:val="-8"/>
          <w:w w:val="105"/>
        </w:rPr>
        <w:t xml:space="preserve"> </w:t>
      </w:r>
      <w:r>
        <w:rPr>
          <w:w w:val="105"/>
        </w:rPr>
        <w:t>reporting</w:t>
      </w:r>
      <w:r>
        <w:rPr>
          <w:spacing w:val="-8"/>
          <w:w w:val="105"/>
        </w:rPr>
        <w:t xml:space="preserve"> </w:t>
      </w:r>
      <w:r>
        <w:rPr>
          <w:w w:val="105"/>
        </w:rPr>
        <w:t>the mishandled baggage and mishandled wheelchairs and scooters information</w:t>
      </w:r>
      <w:r>
        <w:rPr>
          <w:spacing w:val="80"/>
          <w:w w:val="105"/>
        </w:rPr>
        <w:t xml:space="preserve"> </w:t>
      </w:r>
      <w:r>
        <w:rPr>
          <w:w w:val="105"/>
        </w:rPr>
        <w:t xml:space="preserve">for flights they operate </w:t>
      </w:r>
      <w:r>
        <w:rPr>
          <w:rFonts w:ascii="Symbol" w:hAnsi="Symbol"/>
          <w:w w:val="105"/>
        </w:rPr>
        <w:sym w:font="Symbol" w:char="F0B4"/>
      </w:r>
      <w:r>
        <w:rPr>
          <w:rFonts w:ascii="Times New Roman" w:hAnsi="Times New Roman"/>
          <w:w w:val="105"/>
        </w:rPr>
        <w:t xml:space="preserve"> </w:t>
      </w:r>
      <w:r>
        <w:rPr>
          <w:w w:val="105"/>
        </w:rPr>
        <w:t xml:space="preserve">10 hours per response </w:t>
      </w:r>
      <w:r>
        <w:rPr>
          <w:rFonts w:ascii="Symbol" w:hAnsi="Symbol"/>
          <w:w w:val="105"/>
        </w:rPr>
        <w:sym w:font="Symbol" w:char="F0B4"/>
      </w:r>
      <w:r>
        <w:rPr>
          <w:rFonts w:ascii="Times New Roman" w:hAnsi="Times New Roman"/>
          <w:w w:val="105"/>
        </w:rPr>
        <w:t xml:space="preserve"> </w:t>
      </w:r>
      <w:r>
        <w:rPr>
          <w:w w:val="105"/>
        </w:rPr>
        <w:t>12 months = 1,800 hours) + (4 air carriers reporting the mishandled baggage and mishandled wheelchairs</w:t>
      </w:r>
      <w:r>
        <w:rPr>
          <w:spacing w:val="40"/>
          <w:w w:val="105"/>
        </w:rPr>
        <w:t xml:space="preserve"> </w:t>
      </w:r>
      <w:r>
        <w:rPr>
          <w:w w:val="105"/>
        </w:rPr>
        <w:t xml:space="preserve">and scooters information for flights operated by their codeshare partners </w:t>
      </w:r>
      <w:r>
        <w:rPr>
          <w:rFonts w:ascii="Symbol" w:hAnsi="Symbol"/>
          <w:w w:val="105"/>
        </w:rPr>
        <w:sym w:font="Symbol" w:char="F0B4"/>
      </w:r>
      <w:r>
        <w:rPr>
          <w:rFonts w:ascii="Times New Roman" w:hAnsi="Times New Roman"/>
          <w:w w:val="105"/>
        </w:rPr>
        <w:t xml:space="preserve"> </w:t>
      </w:r>
      <w:r>
        <w:rPr>
          <w:w w:val="105"/>
        </w:rPr>
        <w:t xml:space="preserve">16 hours per response </w:t>
      </w:r>
      <w:r>
        <w:rPr>
          <w:rFonts w:ascii="Symbol" w:hAnsi="Symbol"/>
          <w:w w:val="105"/>
        </w:rPr>
        <w:sym w:font="Symbol" w:char="F0B4"/>
      </w:r>
      <w:r>
        <w:rPr>
          <w:rFonts w:ascii="Times New Roman" w:hAnsi="Times New Roman"/>
          <w:w w:val="105"/>
        </w:rPr>
        <w:t xml:space="preserve"> </w:t>
      </w:r>
      <w:r>
        <w:rPr>
          <w:w w:val="105"/>
        </w:rPr>
        <w:t>12 months =</w:t>
      </w:r>
      <w:r>
        <w:rPr>
          <w:spacing w:val="40"/>
          <w:w w:val="105"/>
        </w:rPr>
        <w:t xml:space="preserve"> </w:t>
      </w:r>
      <w:r>
        <w:rPr>
          <w:w w:val="105"/>
        </w:rPr>
        <w:t xml:space="preserve">768 hours) + (.00138 hours for manual data entry related to wheelchair or scooters </w:t>
      </w:r>
      <w:r>
        <w:rPr>
          <w:rFonts w:ascii="Symbol" w:hAnsi="Symbol"/>
          <w:w w:val="105"/>
        </w:rPr>
        <w:sym w:font="Symbol" w:char="F0B4"/>
      </w:r>
      <w:r>
        <w:rPr>
          <w:rFonts w:ascii="Times New Roman" w:hAnsi="Times New Roman"/>
          <w:w w:val="105"/>
        </w:rPr>
        <w:t xml:space="preserve"> </w:t>
      </w:r>
      <w:r>
        <w:rPr>
          <w:w w:val="105"/>
        </w:rPr>
        <w:t>12,000 manual entries = 17 hours). This estimate is based on the following information: 17 carriers reported mishandled baggage and wheelchair and scooter information to DOT in calendar year 2019, 2020, and 2021, 2022, 2023, 2024. Currently, 4</w:t>
      </w:r>
    </w:p>
    <w:p w:rsidR="003A090A" w14:paraId="11E2E515" w14:textId="77777777">
      <w:pPr>
        <w:pStyle w:val="BodyText"/>
        <w:spacing w:before="6" w:line="228" w:lineRule="auto"/>
        <w:ind w:left="156" w:right="103"/>
      </w:pPr>
      <w:r>
        <w:rPr>
          <w:w w:val="105"/>
        </w:rPr>
        <w:t>carriers</w:t>
      </w:r>
      <w:r>
        <w:rPr>
          <w:spacing w:val="-5"/>
          <w:w w:val="105"/>
        </w:rPr>
        <w:t xml:space="preserve"> </w:t>
      </w:r>
      <w:r>
        <w:rPr>
          <w:w w:val="105"/>
        </w:rPr>
        <w:t>report</w:t>
      </w:r>
      <w:r>
        <w:rPr>
          <w:spacing w:val="-5"/>
          <w:w w:val="105"/>
        </w:rPr>
        <w:t xml:space="preserve"> </w:t>
      </w:r>
      <w:r>
        <w:rPr>
          <w:w w:val="105"/>
        </w:rPr>
        <w:t>mishandled</w:t>
      </w:r>
      <w:r>
        <w:rPr>
          <w:spacing w:val="-5"/>
          <w:w w:val="105"/>
        </w:rPr>
        <w:t xml:space="preserve"> </w:t>
      </w:r>
      <w:r>
        <w:rPr>
          <w:w w:val="105"/>
        </w:rPr>
        <w:t>baggage</w:t>
      </w:r>
      <w:r>
        <w:rPr>
          <w:spacing w:val="-5"/>
          <w:w w:val="105"/>
        </w:rPr>
        <w:t xml:space="preserve"> </w:t>
      </w:r>
      <w:r>
        <w:rPr>
          <w:w w:val="105"/>
        </w:rPr>
        <w:t>and wheelchair and scooter information to DOT for their codeshare operations.</w:t>
      </w:r>
    </w:p>
    <w:p w:rsidR="003A090A" w14:paraId="487B2275" w14:textId="77777777">
      <w:pPr>
        <w:pStyle w:val="BodyText"/>
        <w:spacing w:line="228" w:lineRule="auto"/>
        <w:ind w:left="156" w:right="178" w:firstLine="180"/>
      </w:pPr>
      <w:r>
        <w:rPr>
          <w:w w:val="105"/>
        </w:rPr>
        <w:t>DOT estimates that respondents will encounter on average 10-hours burden per month to report the mishandled baggage and wheelchair and scooter</w:t>
      </w:r>
      <w:r>
        <w:rPr>
          <w:spacing w:val="80"/>
          <w:w w:val="105"/>
        </w:rPr>
        <w:t xml:space="preserve"> </w:t>
      </w:r>
      <w:r>
        <w:rPr>
          <w:w w:val="105"/>
        </w:rPr>
        <w:t>data to DOT for the flights they operate. DOT estimates that respondents that market codeshare flights will encounter on average an additional burden of 16 hours per month to report the mishandled baggage and wheelchair and scooter data to DOT for their codeshare operations. The burden estimates</w:t>
      </w:r>
      <w:r>
        <w:rPr>
          <w:spacing w:val="80"/>
          <w:w w:val="105"/>
        </w:rPr>
        <w:t xml:space="preserve"> </w:t>
      </w:r>
      <w:r>
        <w:rPr>
          <w:w w:val="105"/>
        </w:rPr>
        <w:t>include staff time to manage and</w:t>
      </w:r>
    </w:p>
    <w:p w:rsidR="003A090A" w14:paraId="36E5B573" w14:textId="77777777">
      <w:pPr>
        <w:spacing w:line="228" w:lineRule="auto"/>
        <w:sectPr>
          <w:type w:val="continuous"/>
          <w:pgSz w:w="12240" w:h="15840"/>
          <w:pgMar w:top="260" w:right="780" w:bottom="280" w:left="740" w:header="720" w:footer="720" w:gutter="0"/>
          <w:cols w:num="3" w:space="720" w:equalWidth="0">
            <w:col w:w="3506" w:space="40"/>
            <w:col w:w="3499" w:space="39"/>
            <w:col w:w="3636"/>
          </w:cols>
        </w:sectPr>
      </w:pPr>
    </w:p>
    <w:p w:rsidR="003A090A" w14:paraId="256ED98A" w14:textId="77777777">
      <w:pPr>
        <w:tabs>
          <w:tab w:val="left" w:pos="9988"/>
        </w:tabs>
        <w:spacing w:before="93"/>
        <w:ind w:left="2038"/>
        <w:rPr>
          <w:rFonts w:ascii="Book Antiqua"/>
          <w:b/>
        </w:rPr>
      </w:pPr>
      <w:r>
        <w:rPr>
          <w:noProof/>
        </w:rPr>
        <mc:AlternateContent>
          <mc:Choice Requires="wpg">
            <w:drawing>
              <wp:anchor distT="0" distB="0" distL="0" distR="0" simplePos="0" relativeHeight="251668480" behindDoc="1" locked="0" layoutInCell="1" allowOverlap="1">
                <wp:simplePos x="0" y="0"/>
                <wp:positionH relativeFrom="page">
                  <wp:posOffset>571500</wp:posOffset>
                </wp:positionH>
                <wp:positionV relativeFrom="paragraph">
                  <wp:posOffset>252729</wp:posOffset>
                </wp:positionV>
                <wp:extent cx="6629400" cy="66675"/>
                <wp:effectExtent l="0" t="0" r="0" b="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12" name="Graphic 12"/>
                        <wps:cNvSpPr/>
                        <wps:spPr>
                          <a:xfrm>
                            <a:off x="0" y="13970"/>
                            <a:ext cx="6629400" cy="1270"/>
                          </a:xfrm>
                          <a:custGeom>
                            <a:avLst/>
                            <a:gdLst/>
                            <a:rect l="l" t="t" r="r" b="b"/>
                            <a:pathLst>
                              <a:path fill="norm"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0" y="64769"/>
                            <a:ext cx="6629400" cy="1270"/>
                          </a:xfrm>
                          <a:custGeom>
                            <a:avLst/>
                            <a:gdLst/>
                            <a:rect l="l" t="t" r="r" b="b"/>
                            <a:pathLst>
                              <a:path fill="norm"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4" style="width:522pt;height:5.25pt;margin-top:19.9pt;margin-left:45pt;mso-position-horizontal-relative:page;mso-wrap-distance-left:0;mso-wrap-distance-right:0;position:absolute;z-index:-251646976" coordsize="66294,666">
                <v:shape id="Graphic 12" o:spid="_x0000_s1035" style="width:66294;height:13;mso-wrap-style:square;position:absolute;top:139;visibility:visible;v-text-anchor:top" coordsize="6629400,1270" path="m,l6629400,e" filled="f" strokeweight="2.2pt">
                  <v:path arrowok="t"/>
                </v:shape>
                <v:shape id="Graphic 13" o:spid="_x0000_s1036" style="width:66294;height:13;mso-wrap-style:square;position:absolute;top:647;visibility:visible;v-text-anchor:top" coordsize="6629400,1270" path="m,l6629400,e" filled="f" strokeweight="0.3pt">
                  <v:path arrowok="t"/>
                </v:shape>
                <w10:wrap type="topAndBottom"/>
              </v:group>
            </w:pict>
          </mc:Fallback>
        </mc:AlternateContent>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5"/>
          <w:sz w:val="20"/>
        </w:rPr>
        <w:t xml:space="preserve"> </w:t>
      </w:r>
      <w:r>
        <w:rPr>
          <w:sz w:val="20"/>
        </w:rPr>
        <w:t>/</w:t>
      </w:r>
      <w:r>
        <w:rPr>
          <w:spacing w:val="-9"/>
          <w:sz w:val="20"/>
        </w:rPr>
        <w:t xml:space="preserve"> </w:t>
      </w:r>
      <w:r>
        <w:rPr>
          <w:sz w:val="20"/>
        </w:rPr>
        <w:t>Vol.</w:t>
      </w:r>
      <w:r>
        <w:rPr>
          <w:spacing w:val="62"/>
          <w:sz w:val="20"/>
        </w:rPr>
        <w:t xml:space="preserve"> </w:t>
      </w:r>
      <w:r>
        <w:rPr>
          <w:sz w:val="20"/>
        </w:rPr>
        <w:t>89,</w:t>
      </w:r>
      <w:r>
        <w:rPr>
          <w:spacing w:val="62"/>
          <w:sz w:val="20"/>
        </w:rPr>
        <w:t xml:space="preserve"> </w:t>
      </w:r>
      <w:r>
        <w:rPr>
          <w:sz w:val="20"/>
        </w:rPr>
        <w:t>No.</w:t>
      </w:r>
      <w:r>
        <w:rPr>
          <w:spacing w:val="61"/>
          <w:sz w:val="20"/>
        </w:rPr>
        <w:t xml:space="preserve"> </w:t>
      </w:r>
      <w:r>
        <w:rPr>
          <w:sz w:val="20"/>
        </w:rPr>
        <w:t>217</w:t>
      </w:r>
      <w:r>
        <w:rPr>
          <w:spacing w:val="-9"/>
          <w:sz w:val="20"/>
        </w:rPr>
        <w:t xml:space="preserve"> </w:t>
      </w:r>
      <w:r>
        <w:rPr>
          <w:sz w:val="20"/>
        </w:rPr>
        <w:t>/</w:t>
      </w:r>
      <w:r>
        <w:rPr>
          <w:spacing w:val="-9"/>
          <w:sz w:val="20"/>
        </w:rPr>
        <w:t xml:space="preserve"> </w:t>
      </w:r>
      <w:r>
        <w:rPr>
          <w:sz w:val="20"/>
        </w:rPr>
        <w:t>Friday,</w:t>
      </w:r>
      <w:r>
        <w:rPr>
          <w:spacing w:val="62"/>
          <w:sz w:val="20"/>
        </w:rPr>
        <w:t xml:space="preserve"> </w:t>
      </w:r>
      <w:r>
        <w:rPr>
          <w:sz w:val="20"/>
        </w:rPr>
        <w:t>November</w:t>
      </w:r>
      <w:r>
        <w:rPr>
          <w:spacing w:val="62"/>
          <w:sz w:val="20"/>
        </w:rPr>
        <w:t xml:space="preserve"> </w:t>
      </w:r>
      <w:r>
        <w:rPr>
          <w:sz w:val="20"/>
        </w:rPr>
        <w:t>8,</w:t>
      </w:r>
      <w:r>
        <w:rPr>
          <w:spacing w:val="61"/>
          <w:sz w:val="20"/>
        </w:rPr>
        <w:t xml:space="preserve"> </w:t>
      </w:r>
      <w:r>
        <w:rPr>
          <w:sz w:val="20"/>
        </w:rPr>
        <w:t>2024</w:t>
      </w:r>
      <w:r>
        <w:rPr>
          <w:spacing w:val="-9"/>
          <w:sz w:val="20"/>
        </w:rPr>
        <w:t xml:space="preserve"> </w:t>
      </w:r>
      <w:r>
        <w:rPr>
          <w:sz w:val="20"/>
        </w:rPr>
        <w:t>/</w:t>
      </w:r>
      <w:r>
        <w:rPr>
          <w:spacing w:val="-9"/>
          <w:sz w:val="20"/>
        </w:rPr>
        <w:t xml:space="preserve"> </w:t>
      </w:r>
      <w:r>
        <w:rPr>
          <w:spacing w:val="-2"/>
          <w:sz w:val="20"/>
        </w:rPr>
        <w:t>Notices</w:t>
      </w:r>
      <w:r>
        <w:rPr>
          <w:sz w:val="20"/>
        </w:rPr>
        <w:tab/>
      </w:r>
      <w:r>
        <w:rPr>
          <w:rFonts w:ascii="Book Antiqua"/>
          <w:b/>
          <w:spacing w:val="-2"/>
        </w:rPr>
        <w:t>88863</w:t>
      </w:r>
    </w:p>
    <w:p w:rsidR="003A090A" w14:paraId="289C5807" w14:textId="77777777">
      <w:pPr>
        <w:pStyle w:val="BodyText"/>
        <w:spacing w:before="9"/>
        <w:ind w:left="0"/>
        <w:rPr>
          <w:rFonts w:ascii="Book Antiqua"/>
          <w:b/>
          <w:sz w:val="5"/>
        </w:rPr>
      </w:pPr>
    </w:p>
    <w:p w:rsidR="003A090A" w14:paraId="10E9D6AB" w14:textId="77777777">
      <w:pPr>
        <w:rPr>
          <w:rFonts w:ascii="Book Antiqua"/>
          <w:sz w:val="5"/>
        </w:rPr>
        <w:sectPr>
          <w:pgSz w:w="12240" w:h="15840"/>
          <w:pgMar w:top="540" w:right="780" w:bottom="280" w:left="740" w:header="720" w:footer="720" w:gutter="0"/>
          <w:cols w:space="720"/>
        </w:sectPr>
      </w:pPr>
    </w:p>
    <w:p w:rsidR="003A090A" w14:paraId="75DD1497" w14:textId="77777777">
      <w:pPr>
        <w:pStyle w:val="BodyText"/>
        <w:spacing w:before="58" w:line="237" w:lineRule="auto"/>
        <w:ind w:right="81"/>
      </w:pPr>
      <w:r>
        <w:rPr>
          <w:w w:val="105"/>
        </w:rPr>
        <w:t>process the data and to submit the report through DOT’s electronic submission system.</w:t>
      </w:r>
    </w:p>
    <w:p w:rsidR="003A090A" w14:paraId="3D6BE715" w14:textId="77777777">
      <w:pPr>
        <w:pStyle w:val="BodyText"/>
        <w:spacing w:before="54" w:line="237" w:lineRule="auto"/>
        <w:ind w:right="15" w:firstLine="180"/>
      </w:pPr>
      <w:r>
        <w:rPr>
          <w:w w:val="105"/>
        </w:rPr>
        <w:t>In addition, the estimated total annual burden is based on the assumption that most respondents employ automated processes to record that an item</w:t>
      </w:r>
      <w:r>
        <w:rPr>
          <w:spacing w:val="40"/>
          <w:w w:val="105"/>
        </w:rPr>
        <w:t xml:space="preserve"> </w:t>
      </w:r>
      <w:r>
        <w:rPr>
          <w:w w:val="105"/>
        </w:rPr>
        <w:t>enplaned is a wheelchair or scooter for the purposes of reporting data on wheelchairs and scooters to DOT. For a carrier that manually records this information, such as by having their</w:t>
      </w:r>
      <w:r>
        <w:rPr>
          <w:spacing w:val="40"/>
          <w:w w:val="105"/>
        </w:rPr>
        <w:t xml:space="preserve"> </w:t>
      </w:r>
      <w:r>
        <w:rPr>
          <w:w w:val="105"/>
        </w:rPr>
        <w:t>agent type information describing a wheelchair or scooter into the airline’s system, DOT estimates that the airline would spend approximately 5 seconds (.00138 hours) per item to manually enter the data.</w:t>
      </w:r>
      <w:r>
        <w:rPr>
          <w:w w:val="105"/>
          <w:position w:val="5"/>
          <w:sz w:val="11"/>
        </w:rPr>
        <w:t>3</w:t>
      </w:r>
      <w:r>
        <w:rPr>
          <w:spacing w:val="40"/>
          <w:w w:val="105"/>
          <w:position w:val="5"/>
          <w:sz w:val="11"/>
        </w:rPr>
        <w:t xml:space="preserve"> </w:t>
      </w:r>
      <w:r>
        <w:rPr>
          <w:w w:val="105"/>
        </w:rPr>
        <w:t>DOT estimates that 12,000 Wheelchairs and scooters total are recorded manually per year.</w:t>
      </w:r>
    </w:p>
    <w:p w:rsidR="003A090A" w14:paraId="6F8CDEC7" w14:textId="77777777">
      <w:pPr>
        <w:pStyle w:val="Heading1"/>
        <w:spacing w:before="92"/>
        <w:ind w:left="160"/>
        <w:rPr>
          <w:rFonts w:ascii="Book Antiqua"/>
        </w:rPr>
      </w:pPr>
      <w:r>
        <w:rPr>
          <w:rFonts w:ascii="Book Antiqua"/>
        </w:rPr>
        <w:t>Administrative</w:t>
      </w:r>
      <w:r>
        <w:rPr>
          <w:rFonts w:ascii="Book Antiqua"/>
          <w:spacing w:val="16"/>
        </w:rPr>
        <w:t xml:space="preserve"> </w:t>
      </w:r>
      <w:r>
        <w:rPr>
          <w:rFonts w:ascii="Book Antiqua"/>
          <w:spacing w:val="-2"/>
        </w:rPr>
        <w:t>Issues</w:t>
      </w:r>
    </w:p>
    <w:p w:rsidR="003A090A" w14:paraId="0A4B6372" w14:textId="77777777">
      <w:pPr>
        <w:pStyle w:val="BodyText"/>
        <w:spacing w:before="129" w:line="235" w:lineRule="auto"/>
        <w:ind w:right="83" w:firstLine="180"/>
      </w:pPr>
      <w:r>
        <w:rPr>
          <w:w w:val="105"/>
        </w:rPr>
        <w:t>The</w:t>
      </w:r>
      <w:r>
        <w:rPr>
          <w:spacing w:val="35"/>
          <w:w w:val="105"/>
        </w:rPr>
        <w:t xml:space="preserve"> </w:t>
      </w:r>
      <w:r>
        <w:rPr>
          <w:rFonts w:ascii="Book Antiqua" w:hAnsi="Book Antiqua"/>
          <w:i/>
          <w:w w:val="105"/>
        </w:rPr>
        <w:t>Confidential</w:t>
      </w:r>
      <w:r>
        <w:rPr>
          <w:rFonts w:ascii="Book Antiqua" w:hAnsi="Book Antiqua"/>
          <w:i/>
          <w:spacing w:val="30"/>
          <w:w w:val="105"/>
        </w:rPr>
        <w:t xml:space="preserve"> </w:t>
      </w:r>
      <w:r>
        <w:rPr>
          <w:rFonts w:ascii="Book Antiqua" w:hAnsi="Book Antiqua"/>
          <w:i/>
          <w:w w:val="105"/>
        </w:rPr>
        <w:t>Information</w:t>
      </w:r>
      <w:r>
        <w:rPr>
          <w:rFonts w:ascii="Book Antiqua" w:hAnsi="Book Antiqua"/>
          <w:i/>
          <w:spacing w:val="40"/>
          <w:w w:val="105"/>
        </w:rPr>
        <w:t xml:space="preserve"> </w:t>
      </w:r>
      <w:r>
        <w:rPr>
          <w:rFonts w:ascii="Book Antiqua" w:hAnsi="Book Antiqua"/>
          <w:i/>
          <w:w w:val="105"/>
        </w:rPr>
        <w:t>Protection</w:t>
      </w:r>
      <w:r>
        <w:rPr>
          <w:rFonts w:ascii="Book Antiqua" w:hAnsi="Book Antiqua"/>
          <w:i/>
          <w:spacing w:val="40"/>
          <w:w w:val="105"/>
        </w:rPr>
        <w:t xml:space="preserve"> </w:t>
      </w:r>
      <w:r>
        <w:rPr>
          <w:rFonts w:ascii="Book Antiqua" w:hAnsi="Book Antiqua"/>
          <w:i/>
          <w:w w:val="105"/>
        </w:rPr>
        <w:t>and</w:t>
      </w:r>
      <w:r>
        <w:rPr>
          <w:rFonts w:ascii="Book Antiqua" w:hAnsi="Book Antiqua"/>
          <w:i/>
          <w:spacing w:val="40"/>
          <w:w w:val="105"/>
        </w:rPr>
        <w:t xml:space="preserve"> </w:t>
      </w:r>
      <w:r>
        <w:rPr>
          <w:rFonts w:ascii="Book Antiqua" w:hAnsi="Book Antiqua"/>
          <w:i/>
          <w:w w:val="105"/>
        </w:rPr>
        <w:t>Statistical</w:t>
      </w:r>
      <w:r>
        <w:rPr>
          <w:rFonts w:ascii="Book Antiqua" w:hAnsi="Book Antiqua"/>
          <w:i/>
          <w:spacing w:val="40"/>
          <w:w w:val="105"/>
        </w:rPr>
        <w:t xml:space="preserve"> </w:t>
      </w:r>
      <w:r>
        <w:rPr>
          <w:rFonts w:ascii="Book Antiqua" w:hAnsi="Book Antiqua"/>
          <w:i/>
          <w:w w:val="105"/>
        </w:rPr>
        <w:t>Efficiency</w:t>
      </w:r>
      <w:r>
        <w:rPr>
          <w:rFonts w:ascii="Book Antiqua" w:hAnsi="Book Antiqua"/>
          <w:i/>
          <w:spacing w:val="40"/>
          <w:w w:val="105"/>
        </w:rPr>
        <w:t xml:space="preserve"> </w:t>
      </w:r>
      <w:r>
        <w:rPr>
          <w:rFonts w:ascii="Book Antiqua" w:hAnsi="Book Antiqua"/>
          <w:i/>
          <w:w w:val="105"/>
        </w:rPr>
        <w:t xml:space="preserve">Act of 2002 </w:t>
      </w:r>
      <w:r>
        <w:rPr>
          <w:w w:val="105"/>
        </w:rPr>
        <w:t>(44 U.S.C. 3501) requires a statistical agency to clearly identify information it collects for non-statistical purposes. BTS hereby notifies the respondents and the public that BTS</w:t>
      </w:r>
      <w:r>
        <w:rPr>
          <w:spacing w:val="80"/>
          <w:w w:val="105"/>
        </w:rPr>
        <w:t xml:space="preserve"> </w:t>
      </w:r>
      <w:r>
        <w:rPr>
          <w:w w:val="105"/>
        </w:rPr>
        <w:t>uses the information it collects under</w:t>
      </w:r>
      <w:r>
        <w:rPr>
          <w:spacing w:val="40"/>
          <w:w w:val="105"/>
        </w:rPr>
        <w:t xml:space="preserve"> </w:t>
      </w:r>
      <w:r>
        <w:rPr>
          <w:w w:val="105"/>
        </w:rPr>
        <w:t>this OMB approval for non-statistical purposes including, but not limited to, publication of both respondent’s</w:t>
      </w:r>
      <w:r>
        <w:rPr>
          <w:spacing w:val="80"/>
          <w:w w:val="105"/>
        </w:rPr>
        <w:t xml:space="preserve"> </w:t>
      </w:r>
      <w:r>
        <w:rPr>
          <w:w w:val="105"/>
        </w:rPr>
        <w:t xml:space="preserve">identity and its data, submission of the information to agencies outside BTS for review, analysis and possible use in regulatory and other administrative </w:t>
      </w:r>
      <w:r>
        <w:rPr>
          <w:spacing w:val="-2"/>
          <w:w w:val="105"/>
        </w:rPr>
        <w:t>matters.</w:t>
      </w:r>
    </w:p>
    <w:p w:rsidR="003A090A" w14:paraId="0932B64D" w14:textId="77777777">
      <w:pPr>
        <w:pStyle w:val="Heading1"/>
        <w:spacing w:before="100"/>
        <w:ind w:left="160"/>
        <w:rPr>
          <w:rFonts w:ascii="Book Antiqua"/>
        </w:rPr>
      </w:pPr>
      <w:r>
        <w:rPr>
          <w:rFonts w:ascii="Book Antiqua"/>
          <w:spacing w:val="-2"/>
        </w:rPr>
        <w:t>Comments</w:t>
      </w:r>
      <w:r>
        <w:rPr>
          <w:rFonts w:ascii="Book Antiqua"/>
          <w:spacing w:val="2"/>
        </w:rPr>
        <w:t xml:space="preserve"> </w:t>
      </w:r>
      <w:r>
        <w:rPr>
          <w:rFonts w:ascii="Book Antiqua"/>
          <w:spacing w:val="-2"/>
        </w:rPr>
        <w:t>Invited</w:t>
      </w:r>
    </w:p>
    <w:p w:rsidR="003A090A" w14:paraId="7988700D" w14:textId="77777777">
      <w:pPr>
        <w:pStyle w:val="BodyText"/>
        <w:spacing w:before="129" w:line="235" w:lineRule="auto"/>
        <w:ind w:right="88" w:firstLine="180"/>
      </w:pPr>
      <w:r>
        <w:rPr>
          <w:rFonts w:ascii="Book Antiqua" w:hAnsi="Book Antiqua"/>
          <w:i/>
          <w:w w:val="105"/>
        </w:rPr>
        <w:t xml:space="preserve">We invite comments on: </w:t>
      </w:r>
      <w:r>
        <w:rPr>
          <w:w w:val="105"/>
        </w:rPr>
        <w:t>(a) Whether the collection of information is</w:t>
      </w:r>
      <w:r>
        <w:rPr>
          <w:spacing w:val="40"/>
          <w:w w:val="105"/>
        </w:rPr>
        <w:t xml:space="preserve"> </w:t>
      </w:r>
      <w:r>
        <w:rPr>
          <w:w w:val="105"/>
        </w:rPr>
        <w:t>necessary</w:t>
      </w:r>
      <w:r>
        <w:rPr>
          <w:spacing w:val="-3"/>
          <w:w w:val="105"/>
        </w:rPr>
        <w:t xml:space="preserve"> </w:t>
      </w:r>
      <w:r>
        <w:rPr>
          <w:w w:val="105"/>
        </w:rPr>
        <w:t>for</w:t>
      </w:r>
      <w:r>
        <w:rPr>
          <w:spacing w:val="-4"/>
          <w:w w:val="105"/>
        </w:rPr>
        <w:t xml:space="preserve"> </w:t>
      </w:r>
      <w:r>
        <w:rPr>
          <w:w w:val="105"/>
        </w:rPr>
        <w:t>the</w:t>
      </w:r>
      <w:r>
        <w:rPr>
          <w:spacing w:val="-3"/>
          <w:w w:val="105"/>
        </w:rPr>
        <w:t xml:space="preserve"> </w:t>
      </w:r>
      <w:r>
        <w:rPr>
          <w:w w:val="105"/>
        </w:rPr>
        <w:t>proper</w:t>
      </w:r>
      <w:r>
        <w:rPr>
          <w:spacing w:val="-4"/>
          <w:w w:val="105"/>
        </w:rPr>
        <w:t xml:space="preserve"> </w:t>
      </w:r>
      <w:r>
        <w:rPr>
          <w:w w:val="105"/>
        </w:rPr>
        <w:t>performance</w:t>
      </w:r>
      <w:r>
        <w:rPr>
          <w:spacing w:val="-3"/>
          <w:w w:val="105"/>
        </w:rPr>
        <w:t xml:space="preserve"> </w:t>
      </w:r>
      <w:r>
        <w:rPr>
          <w:w w:val="105"/>
        </w:rPr>
        <w:t>of the</w:t>
      </w:r>
      <w:r>
        <w:rPr>
          <w:spacing w:val="40"/>
          <w:w w:val="105"/>
        </w:rPr>
        <w:t xml:space="preserve"> </w:t>
      </w:r>
      <w:r>
        <w:rPr>
          <w:w w:val="105"/>
        </w:rPr>
        <w:t>functions</w:t>
      </w:r>
      <w:r>
        <w:rPr>
          <w:spacing w:val="40"/>
          <w:w w:val="105"/>
        </w:rPr>
        <w:t xml:space="preserve"> </w:t>
      </w:r>
      <w:r>
        <w:rPr>
          <w:w w:val="105"/>
        </w:rPr>
        <w:t>of</w:t>
      </w:r>
      <w:r>
        <w:rPr>
          <w:spacing w:val="40"/>
          <w:w w:val="105"/>
        </w:rPr>
        <w:t xml:space="preserve"> </w:t>
      </w:r>
      <w:r>
        <w:rPr>
          <w:w w:val="105"/>
        </w:rPr>
        <w:t>DOT,</w:t>
      </w:r>
      <w:r>
        <w:rPr>
          <w:spacing w:val="40"/>
          <w:w w:val="105"/>
        </w:rPr>
        <w:t xml:space="preserve"> </w:t>
      </w:r>
      <w:r>
        <w:rPr>
          <w:w w:val="105"/>
        </w:rPr>
        <w:t>including whether the information will have practical utility; (b) the accuracy of DOT’s estimate of the burden of the proposed information collection; (c) ways to enhance the quality, utility and clarity of the information to be</w:t>
      </w:r>
      <w:r>
        <w:rPr>
          <w:spacing w:val="80"/>
          <w:w w:val="105"/>
        </w:rPr>
        <w:t xml:space="preserve"> </w:t>
      </w:r>
      <w:r>
        <w:rPr>
          <w:w w:val="105"/>
        </w:rPr>
        <w:t>collected; and (d) ways to minimize the burden of the collection of information on respondents.</w:t>
      </w:r>
    </w:p>
    <w:p w:rsidR="003A090A" w14:paraId="023F98E4" w14:textId="77777777">
      <w:pPr>
        <w:pStyle w:val="BodyText"/>
        <w:spacing w:before="60" w:line="237" w:lineRule="auto"/>
        <w:ind w:firstLine="180"/>
      </w:pPr>
      <w:r>
        <w:rPr>
          <w:w w:val="105"/>
        </w:rPr>
        <w:t>All responses to this notice will be summarized and included in the request for OMB approval. All comments will</w:t>
      </w:r>
      <w:r>
        <w:rPr>
          <w:spacing w:val="80"/>
          <w:w w:val="105"/>
        </w:rPr>
        <w:t xml:space="preserve"> </w:t>
      </w:r>
      <w:r>
        <w:rPr>
          <w:w w:val="105"/>
        </w:rPr>
        <w:t>also become a matter of public record on the docket.</w:t>
      </w:r>
    </w:p>
    <w:p w:rsidR="003A090A" w14:paraId="5CD9012C" w14:textId="77777777">
      <w:pPr>
        <w:pStyle w:val="BodyText"/>
        <w:spacing w:before="40"/>
        <w:ind w:left="0"/>
        <w:rPr>
          <w:sz w:val="20"/>
        </w:rPr>
      </w:pPr>
      <w:r>
        <w:rPr>
          <w:noProof/>
        </w:rPr>
        <mc:AlternateContent>
          <mc:Choice Requires="wps">
            <w:drawing>
              <wp:anchor distT="0" distB="0" distL="0" distR="0" simplePos="0" relativeHeight="251670528" behindDoc="1" locked="0" layoutInCell="1" allowOverlap="1">
                <wp:simplePos x="0" y="0"/>
                <wp:positionH relativeFrom="page">
                  <wp:posOffset>571500</wp:posOffset>
                </wp:positionH>
                <wp:positionV relativeFrom="paragraph">
                  <wp:posOffset>189792</wp:posOffset>
                </wp:positionV>
                <wp:extent cx="6350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35000" cy="1270"/>
                        </a:xfrm>
                        <a:custGeom>
                          <a:avLst/>
                          <a:gdLst/>
                          <a:rect l="l" t="t" r="r" b="b"/>
                          <a:pathLst>
                            <a:path fill="norm" w="635000" stroke="1">
                              <a:moveTo>
                                <a:pt x="0" y="0"/>
                              </a:moveTo>
                              <a:lnTo>
                                <a:pt x="635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7" style="width:50pt;height:0.1pt;margin-top:14.95pt;margin-left:45pt;mso-position-horizontal-relative:page;mso-wrap-distance-bottom:0;mso-wrap-distance-left:0;mso-wrap-distance-right:0;mso-wrap-distance-top:0;mso-wrap-style:square;position:absolute;visibility:visible;v-text-anchor:top;z-index:-251644928" coordsize="635000,1270" path="m,l635000,e" filled="f" strokeweight="0.5pt">
                <v:path arrowok="t"/>
                <w10:wrap type="topAndBottom"/>
              </v:shape>
            </w:pict>
          </mc:Fallback>
        </mc:AlternateContent>
      </w:r>
    </w:p>
    <w:p w:rsidR="003A090A" w14:paraId="0C0EE47C" w14:textId="77777777">
      <w:pPr>
        <w:spacing w:before="36" w:line="256" w:lineRule="auto"/>
        <w:ind w:left="160" w:right="38" w:firstLine="139"/>
        <w:rPr>
          <w:sz w:val="14"/>
        </w:rPr>
      </w:pPr>
      <w:r>
        <w:rPr>
          <w:w w:val="105"/>
          <w:position w:val="4"/>
          <w:sz w:val="9"/>
        </w:rPr>
        <w:t xml:space="preserve">3 </w:t>
      </w:r>
      <w:r>
        <w:rPr>
          <w:w w:val="105"/>
          <w:sz w:val="14"/>
        </w:rPr>
        <w:t>The Final Rule to Amend Rules Requiring</w:t>
      </w:r>
      <w:r>
        <w:rPr>
          <w:spacing w:val="40"/>
          <w:w w:val="105"/>
          <w:sz w:val="14"/>
        </w:rPr>
        <w:t xml:space="preserve"> </w:t>
      </w:r>
      <w:r>
        <w:rPr>
          <w:w w:val="105"/>
          <w:sz w:val="14"/>
        </w:rPr>
        <w:t>Reporting of Mishandled Baggage, Regulatory</w:t>
      </w:r>
      <w:r>
        <w:rPr>
          <w:spacing w:val="80"/>
          <w:w w:val="105"/>
          <w:sz w:val="14"/>
        </w:rPr>
        <w:t xml:space="preserve"> </w:t>
      </w:r>
      <w:r>
        <w:rPr>
          <w:w w:val="105"/>
          <w:sz w:val="14"/>
        </w:rPr>
        <w:t>Impact Analysis, October 18, 2016, estimated a data</w:t>
      </w:r>
      <w:r>
        <w:rPr>
          <w:spacing w:val="40"/>
          <w:w w:val="105"/>
          <w:sz w:val="14"/>
        </w:rPr>
        <w:t xml:space="preserve"> </w:t>
      </w:r>
      <w:r>
        <w:rPr>
          <w:w w:val="105"/>
          <w:sz w:val="14"/>
        </w:rPr>
        <w:t>entry burden of 5 seconds per wheelchair or scooter</w:t>
      </w:r>
      <w:r>
        <w:rPr>
          <w:spacing w:val="40"/>
          <w:w w:val="105"/>
          <w:sz w:val="14"/>
        </w:rPr>
        <w:t xml:space="preserve"> </w:t>
      </w:r>
      <w:r>
        <w:rPr>
          <w:w w:val="105"/>
          <w:sz w:val="14"/>
        </w:rPr>
        <w:t>recorded manually. See Docket No. RITA–2011–</w:t>
      </w:r>
      <w:r>
        <w:rPr>
          <w:spacing w:val="40"/>
          <w:w w:val="105"/>
          <w:sz w:val="14"/>
        </w:rPr>
        <w:t xml:space="preserve"> </w:t>
      </w:r>
      <w:r>
        <w:rPr>
          <w:spacing w:val="-2"/>
          <w:w w:val="105"/>
          <w:sz w:val="14"/>
        </w:rPr>
        <w:t>0001.</w:t>
      </w:r>
    </w:p>
    <w:p w:rsidR="003A090A" w14:paraId="326017F4" w14:textId="77777777">
      <w:pPr>
        <w:spacing w:before="61" w:line="230" w:lineRule="auto"/>
        <w:ind w:left="145" w:firstLine="160"/>
        <w:rPr>
          <w:sz w:val="16"/>
        </w:rPr>
      </w:pPr>
      <w:r>
        <w:br w:type="column"/>
      </w:r>
      <w:r>
        <w:rPr>
          <w:w w:val="105"/>
          <w:sz w:val="16"/>
        </w:rPr>
        <w:t>Issued this 4th day of November 2024 at</w:t>
      </w:r>
      <w:r>
        <w:rPr>
          <w:spacing w:val="40"/>
          <w:w w:val="105"/>
          <w:sz w:val="16"/>
        </w:rPr>
        <w:t xml:space="preserve"> </w:t>
      </w:r>
      <w:r>
        <w:rPr>
          <w:w w:val="105"/>
          <w:sz w:val="16"/>
        </w:rPr>
        <w:t>Washington, DC.</w:t>
      </w:r>
    </w:p>
    <w:p w:rsidR="003A090A" w14:paraId="2B83BA3E" w14:textId="77777777">
      <w:pPr>
        <w:spacing w:before="36"/>
        <w:ind w:left="145"/>
        <w:rPr>
          <w:rFonts w:ascii="Book Antiqua"/>
          <w:b/>
          <w:sz w:val="16"/>
        </w:rPr>
      </w:pPr>
      <w:r>
        <w:rPr>
          <w:rFonts w:ascii="Book Antiqua"/>
          <w:b/>
          <w:sz w:val="16"/>
        </w:rPr>
        <w:t>Rolf</w:t>
      </w:r>
      <w:r>
        <w:rPr>
          <w:rFonts w:ascii="Book Antiqua"/>
          <w:b/>
          <w:spacing w:val="-6"/>
          <w:sz w:val="16"/>
        </w:rPr>
        <w:t xml:space="preserve"> </w:t>
      </w:r>
      <w:r>
        <w:rPr>
          <w:rFonts w:ascii="Book Antiqua"/>
          <w:b/>
          <w:spacing w:val="-2"/>
          <w:sz w:val="16"/>
        </w:rPr>
        <w:t>Schmitt,</w:t>
      </w:r>
    </w:p>
    <w:p w:rsidR="003A090A" w14:paraId="778CA4C0" w14:textId="77777777">
      <w:pPr>
        <w:spacing w:before="40" w:line="223" w:lineRule="auto"/>
        <w:ind w:left="145"/>
        <w:rPr>
          <w:rFonts w:ascii="Book Antiqua"/>
          <w:i/>
          <w:sz w:val="16"/>
        </w:rPr>
      </w:pPr>
      <w:r>
        <w:rPr>
          <w:rFonts w:ascii="Book Antiqua"/>
          <w:i/>
          <w:w w:val="110"/>
          <w:sz w:val="16"/>
        </w:rPr>
        <w:t>Acting</w:t>
      </w:r>
      <w:r>
        <w:rPr>
          <w:rFonts w:ascii="Book Antiqua"/>
          <w:i/>
          <w:spacing w:val="-7"/>
          <w:w w:val="110"/>
          <w:sz w:val="16"/>
        </w:rPr>
        <w:t xml:space="preserve"> </w:t>
      </w:r>
      <w:r>
        <w:rPr>
          <w:rFonts w:ascii="Book Antiqua"/>
          <w:i/>
          <w:w w:val="110"/>
          <w:sz w:val="16"/>
        </w:rPr>
        <w:t>Director,</w:t>
      </w:r>
      <w:r>
        <w:rPr>
          <w:rFonts w:ascii="Book Antiqua"/>
          <w:i/>
          <w:spacing w:val="-7"/>
          <w:w w:val="110"/>
          <w:sz w:val="16"/>
        </w:rPr>
        <w:t xml:space="preserve"> </w:t>
      </w:r>
      <w:r>
        <w:rPr>
          <w:rFonts w:ascii="Book Antiqua"/>
          <w:i/>
          <w:w w:val="110"/>
          <w:sz w:val="16"/>
        </w:rPr>
        <w:t>Office</w:t>
      </w:r>
      <w:r>
        <w:rPr>
          <w:rFonts w:ascii="Book Antiqua"/>
          <w:i/>
          <w:spacing w:val="-7"/>
          <w:w w:val="110"/>
          <w:sz w:val="16"/>
        </w:rPr>
        <w:t xml:space="preserve"> </w:t>
      </w:r>
      <w:r>
        <w:rPr>
          <w:rFonts w:ascii="Book Antiqua"/>
          <w:i/>
          <w:w w:val="110"/>
          <w:sz w:val="16"/>
        </w:rPr>
        <w:t>of</w:t>
      </w:r>
      <w:r>
        <w:rPr>
          <w:rFonts w:ascii="Book Antiqua"/>
          <w:i/>
          <w:spacing w:val="-7"/>
          <w:w w:val="110"/>
          <w:sz w:val="16"/>
        </w:rPr>
        <w:t xml:space="preserve"> </w:t>
      </w:r>
      <w:r>
        <w:rPr>
          <w:rFonts w:ascii="Book Antiqua"/>
          <w:i/>
          <w:w w:val="110"/>
          <w:sz w:val="16"/>
        </w:rPr>
        <w:t>Airline</w:t>
      </w:r>
      <w:r>
        <w:rPr>
          <w:rFonts w:ascii="Book Antiqua"/>
          <w:i/>
          <w:spacing w:val="-7"/>
          <w:w w:val="110"/>
          <w:sz w:val="16"/>
        </w:rPr>
        <w:t xml:space="preserve"> </w:t>
      </w:r>
      <w:r>
        <w:rPr>
          <w:rFonts w:ascii="Book Antiqua"/>
          <w:i/>
          <w:w w:val="110"/>
          <w:sz w:val="16"/>
        </w:rPr>
        <w:t xml:space="preserve">Information, </w:t>
      </w:r>
      <w:r>
        <w:rPr>
          <w:rFonts w:ascii="Book Antiqua"/>
          <w:i/>
          <w:w w:val="115"/>
          <w:sz w:val="16"/>
        </w:rPr>
        <w:t>Bureau</w:t>
      </w:r>
      <w:r>
        <w:rPr>
          <w:rFonts w:ascii="Book Antiqua"/>
          <w:i/>
          <w:spacing w:val="-12"/>
          <w:w w:val="115"/>
          <w:sz w:val="16"/>
        </w:rPr>
        <w:t xml:space="preserve"> </w:t>
      </w:r>
      <w:r>
        <w:rPr>
          <w:rFonts w:ascii="Book Antiqua"/>
          <w:i/>
          <w:w w:val="115"/>
          <w:sz w:val="16"/>
        </w:rPr>
        <w:t>of</w:t>
      </w:r>
      <w:r>
        <w:rPr>
          <w:rFonts w:ascii="Book Antiqua"/>
          <w:i/>
          <w:spacing w:val="-11"/>
          <w:w w:val="115"/>
          <w:sz w:val="16"/>
        </w:rPr>
        <w:t xml:space="preserve"> </w:t>
      </w:r>
      <w:r>
        <w:rPr>
          <w:rFonts w:ascii="Book Antiqua"/>
          <w:i/>
          <w:w w:val="115"/>
          <w:sz w:val="16"/>
        </w:rPr>
        <w:t>Transportation</w:t>
      </w:r>
      <w:r>
        <w:rPr>
          <w:rFonts w:ascii="Book Antiqua"/>
          <w:i/>
          <w:spacing w:val="-12"/>
          <w:w w:val="115"/>
          <w:sz w:val="16"/>
        </w:rPr>
        <w:t xml:space="preserve"> </w:t>
      </w:r>
      <w:r>
        <w:rPr>
          <w:rFonts w:ascii="Book Antiqua"/>
          <w:i/>
          <w:w w:val="115"/>
          <w:sz w:val="16"/>
        </w:rPr>
        <w:t>Statistics,</w:t>
      </w:r>
      <w:r>
        <w:rPr>
          <w:rFonts w:ascii="Book Antiqua"/>
          <w:i/>
          <w:spacing w:val="-11"/>
          <w:w w:val="115"/>
          <w:sz w:val="16"/>
        </w:rPr>
        <w:t xml:space="preserve"> </w:t>
      </w:r>
      <w:r>
        <w:rPr>
          <w:rFonts w:ascii="Book Antiqua"/>
          <w:i/>
          <w:w w:val="115"/>
          <w:sz w:val="16"/>
        </w:rPr>
        <w:t>Office</w:t>
      </w:r>
      <w:r>
        <w:rPr>
          <w:rFonts w:ascii="Book Antiqua"/>
          <w:i/>
          <w:spacing w:val="-12"/>
          <w:w w:val="115"/>
          <w:sz w:val="16"/>
        </w:rPr>
        <w:t xml:space="preserve"> </w:t>
      </w:r>
      <w:r>
        <w:rPr>
          <w:rFonts w:ascii="Book Antiqua"/>
          <w:i/>
          <w:w w:val="115"/>
          <w:sz w:val="16"/>
        </w:rPr>
        <w:t xml:space="preserve">of the Assistant Secretary for Research and </w:t>
      </w:r>
      <w:r>
        <w:rPr>
          <w:rFonts w:ascii="Book Antiqua"/>
          <w:i/>
          <w:spacing w:val="-2"/>
          <w:w w:val="115"/>
          <w:sz w:val="16"/>
        </w:rPr>
        <w:t>Technology.</w:t>
      </w:r>
    </w:p>
    <w:p w:rsidR="003A090A" w14:paraId="69995DD9" w14:textId="77777777">
      <w:pPr>
        <w:spacing w:before="47"/>
        <w:ind w:left="145"/>
        <w:rPr>
          <w:sz w:val="14"/>
        </w:rPr>
      </w:pPr>
      <w:r>
        <w:rPr>
          <w:w w:val="105"/>
          <w:sz w:val="14"/>
        </w:rPr>
        <w:t>[FR</w:t>
      </w:r>
      <w:r>
        <w:rPr>
          <w:spacing w:val="3"/>
          <w:w w:val="105"/>
          <w:sz w:val="14"/>
        </w:rPr>
        <w:t xml:space="preserve"> </w:t>
      </w:r>
      <w:r>
        <w:rPr>
          <w:w w:val="105"/>
          <w:sz w:val="14"/>
        </w:rPr>
        <w:t>Doc.</w:t>
      </w:r>
      <w:r>
        <w:rPr>
          <w:spacing w:val="3"/>
          <w:w w:val="105"/>
          <w:sz w:val="14"/>
        </w:rPr>
        <w:t xml:space="preserve"> </w:t>
      </w:r>
      <w:r>
        <w:rPr>
          <w:w w:val="105"/>
          <w:sz w:val="14"/>
        </w:rPr>
        <w:t>2024–25927</w:t>
      </w:r>
      <w:r>
        <w:rPr>
          <w:spacing w:val="3"/>
          <w:w w:val="105"/>
          <w:sz w:val="14"/>
        </w:rPr>
        <w:t xml:space="preserve"> </w:t>
      </w:r>
      <w:r>
        <w:rPr>
          <w:w w:val="105"/>
          <w:sz w:val="14"/>
        </w:rPr>
        <w:t>Filed</w:t>
      </w:r>
      <w:r>
        <w:rPr>
          <w:spacing w:val="3"/>
          <w:w w:val="105"/>
          <w:sz w:val="14"/>
        </w:rPr>
        <w:t xml:space="preserve"> </w:t>
      </w:r>
      <w:r>
        <w:rPr>
          <w:w w:val="105"/>
          <w:sz w:val="14"/>
        </w:rPr>
        <w:t>11–7–24;</w:t>
      </w:r>
      <w:r>
        <w:rPr>
          <w:spacing w:val="3"/>
          <w:w w:val="105"/>
          <w:sz w:val="14"/>
        </w:rPr>
        <w:t xml:space="preserve"> </w:t>
      </w:r>
      <w:r>
        <w:rPr>
          <w:w w:val="105"/>
          <w:sz w:val="14"/>
        </w:rPr>
        <w:t>8:45</w:t>
      </w:r>
      <w:r>
        <w:rPr>
          <w:spacing w:val="3"/>
          <w:w w:val="105"/>
          <w:sz w:val="14"/>
        </w:rPr>
        <w:t xml:space="preserve"> </w:t>
      </w:r>
      <w:r>
        <w:rPr>
          <w:spacing w:val="-5"/>
          <w:w w:val="105"/>
          <w:sz w:val="14"/>
        </w:rPr>
        <w:t>am]</w:t>
      </w:r>
    </w:p>
    <w:p w:rsidR="003A090A" w14:paraId="3BB230AA" w14:textId="77777777">
      <w:pPr>
        <w:spacing w:before="76"/>
        <w:ind w:left="145"/>
        <w:rPr>
          <w:rFonts w:ascii="Arial" w:hAnsi="Arial"/>
          <w:b/>
          <w:sz w:val="12"/>
        </w:rPr>
      </w:pPr>
      <w:r>
        <w:rPr>
          <w:noProof/>
        </w:rPr>
        <mc:AlternateContent>
          <mc:Choice Requires="wps">
            <w:drawing>
              <wp:anchor distT="0" distB="0" distL="0" distR="0" simplePos="0" relativeHeight="251658240" behindDoc="0" locked="0" layoutInCell="1" allowOverlap="1">
                <wp:simplePos x="0" y="0"/>
                <wp:positionH relativeFrom="page">
                  <wp:posOffset>2819400</wp:posOffset>
                </wp:positionH>
                <wp:positionV relativeFrom="paragraph">
                  <wp:posOffset>249045</wp:posOffset>
                </wp:positionV>
                <wp:extent cx="2133600" cy="12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8" style="width:168pt;height:0.1pt;margin-top:19.6pt;margin-left:222pt;mso-position-horizontal-relative:page;mso-wrap-distance-bottom:0;mso-wrap-distance-left:0;mso-wrap-distance-right:0;mso-wrap-distance-top:0;mso-wrap-style:square;position:absolute;visibility:visible;v-text-anchor:top;z-index:251659264" coordsize="2133600,1270" path="m,l2133600,e" filled="f" strokeweight="0.3pt">
                <v:path arrowok="t"/>
              </v:shape>
            </w:pict>
          </mc:Fallback>
        </mc:AlternateContent>
      </w: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4910–9X–P</w:t>
      </w:r>
    </w:p>
    <w:p w:rsidR="003A090A" w14:paraId="3E01B3A3" w14:textId="77777777">
      <w:pPr>
        <w:pStyle w:val="BodyText"/>
        <w:ind w:left="0"/>
        <w:rPr>
          <w:rFonts w:ascii="Arial"/>
          <w:b/>
          <w:sz w:val="12"/>
        </w:rPr>
      </w:pPr>
    </w:p>
    <w:p w:rsidR="003A090A" w14:paraId="625551CC" w14:textId="77777777">
      <w:pPr>
        <w:pStyle w:val="BodyText"/>
        <w:spacing w:before="96"/>
        <w:ind w:left="0"/>
        <w:rPr>
          <w:rFonts w:ascii="Arial"/>
          <w:b/>
          <w:sz w:val="12"/>
        </w:rPr>
      </w:pPr>
    </w:p>
    <w:p w:rsidR="003A090A" w14:paraId="7E2FFA4A" w14:textId="77777777">
      <w:pPr>
        <w:pStyle w:val="Heading1"/>
        <w:ind w:left="145"/>
      </w:pPr>
      <w:r>
        <w:t>DEPARTMENT</w:t>
      </w:r>
      <w:r>
        <w:rPr>
          <w:spacing w:val="-8"/>
        </w:rPr>
        <w:t xml:space="preserve"> </w:t>
      </w:r>
      <w:r>
        <w:t>OF</w:t>
      </w:r>
      <w:r>
        <w:rPr>
          <w:spacing w:val="-7"/>
        </w:rPr>
        <w:t xml:space="preserve"> </w:t>
      </w:r>
      <w:r>
        <w:rPr>
          <w:spacing w:val="-2"/>
        </w:rPr>
        <w:t>TRANSPORTATION</w:t>
      </w:r>
    </w:p>
    <w:p w:rsidR="003A090A" w14:paraId="11A1DA67" w14:textId="77777777">
      <w:pPr>
        <w:spacing w:before="153"/>
        <w:ind w:left="145"/>
        <w:rPr>
          <w:rFonts w:ascii="Arial"/>
          <w:b/>
          <w:sz w:val="18"/>
        </w:rPr>
      </w:pPr>
      <w:r>
        <w:rPr>
          <w:rFonts w:ascii="Arial"/>
          <w:b/>
          <w:sz w:val="18"/>
        </w:rPr>
        <w:t>Bureau</w:t>
      </w:r>
      <w:r>
        <w:rPr>
          <w:rFonts w:ascii="Arial"/>
          <w:b/>
          <w:spacing w:val="-4"/>
          <w:sz w:val="18"/>
        </w:rPr>
        <w:t xml:space="preserve"> </w:t>
      </w:r>
      <w:r>
        <w:rPr>
          <w:rFonts w:ascii="Arial"/>
          <w:b/>
          <w:sz w:val="18"/>
        </w:rPr>
        <w:t>of</w:t>
      </w:r>
      <w:r>
        <w:rPr>
          <w:rFonts w:ascii="Arial"/>
          <w:b/>
          <w:spacing w:val="-3"/>
          <w:sz w:val="18"/>
        </w:rPr>
        <w:t xml:space="preserve"> </w:t>
      </w:r>
      <w:r>
        <w:rPr>
          <w:rFonts w:ascii="Arial"/>
          <w:b/>
          <w:sz w:val="18"/>
        </w:rPr>
        <w:t>Transportation</w:t>
      </w:r>
      <w:r>
        <w:rPr>
          <w:rFonts w:ascii="Arial"/>
          <w:b/>
          <w:spacing w:val="-3"/>
          <w:sz w:val="18"/>
        </w:rPr>
        <w:t xml:space="preserve"> </w:t>
      </w:r>
      <w:r>
        <w:rPr>
          <w:rFonts w:ascii="Arial"/>
          <w:b/>
          <w:spacing w:val="-2"/>
          <w:sz w:val="18"/>
        </w:rPr>
        <w:t>Statistics</w:t>
      </w:r>
    </w:p>
    <w:p w:rsidR="003A090A" w14:paraId="09445C17" w14:textId="77777777">
      <w:pPr>
        <w:spacing w:before="160"/>
        <w:ind w:left="145"/>
        <w:rPr>
          <w:rFonts w:ascii="Arial" w:hAnsi="Arial"/>
          <w:b/>
          <w:sz w:val="16"/>
        </w:rPr>
      </w:pPr>
      <w:r>
        <w:rPr>
          <w:rFonts w:ascii="Arial" w:hAnsi="Arial"/>
          <w:b/>
          <w:sz w:val="16"/>
        </w:rPr>
        <w:t>[Docket</w:t>
      </w:r>
      <w:r>
        <w:rPr>
          <w:rFonts w:ascii="Arial" w:hAnsi="Arial"/>
          <w:b/>
          <w:spacing w:val="-3"/>
          <w:sz w:val="16"/>
        </w:rPr>
        <w:t xml:space="preserve"> </w:t>
      </w:r>
      <w:r>
        <w:rPr>
          <w:rFonts w:ascii="Arial" w:hAnsi="Arial"/>
          <w:b/>
          <w:sz w:val="16"/>
        </w:rPr>
        <w:t>ID</w:t>
      </w:r>
      <w:r>
        <w:rPr>
          <w:rFonts w:ascii="Arial" w:hAnsi="Arial"/>
          <w:b/>
          <w:spacing w:val="-3"/>
          <w:sz w:val="16"/>
        </w:rPr>
        <w:t xml:space="preserve"> </w:t>
      </w:r>
      <w:r>
        <w:rPr>
          <w:rFonts w:ascii="Arial" w:hAnsi="Arial"/>
          <w:b/>
          <w:sz w:val="16"/>
        </w:rPr>
        <w:t>Number</w:t>
      </w:r>
      <w:r>
        <w:rPr>
          <w:rFonts w:ascii="Arial" w:hAnsi="Arial"/>
          <w:b/>
          <w:spacing w:val="-3"/>
          <w:sz w:val="16"/>
        </w:rPr>
        <w:t xml:space="preserve"> </w:t>
      </w:r>
      <w:r>
        <w:rPr>
          <w:rFonts w:ascii="Arial" w:hAnsi="Arial"/>
          <w:b/>
          <w:spacing w:val="-2"/>
          <w:sz w:val="16"/>
        </w:rPr>
        <w:t>DOT–OST–2014–0031]</w:t>
      </w:r>
    </w:p>
    <w:p w:rsidR="003A090A" w14:paraId="1E8D9A73" w14:textId="77777777">
      <w:pPr>
        <w:pStyle w:val="Heading1"/>
        <w:spacing w:before="162" w:line="232" w:lineRule="auto"/>
        <w:ind w:left="145" w:right="35"/>
      </w:pPr>
      <w:r>
        <w:t>Agency Information Collection; Activity</w:t>
      </w:r>
      <w:r>
        <w:rPr>
          <w:spacing w:val="-9"/>
        </w:rPr>
        <w:t xml:space="preserve"> </w:t>
      </w:r>
      <w:r>
        <w:t>Under</w:t>
      </w:r>
      <w:r>
        <w:rPr>
          <w:spacing w:val="-9"/>
        </w:rPr>
        <w:t xml:space="preserve"> </w:t>
      </w:r>
      <w:r>
        <w:t>OMB</w:t>
      </w:r>
      <w:r>
        <w:rPr>
          <w:spacing w:val="-9"/>
        </w:rPr>
        <w:t xml:space="preserve"> </w:t>
      </w:r>
      <w:r>
        <w:t>Review;</w:t>
      </w:r>
      <w:r>
        <w:rPr>
          <w:spacing w:val="-9"/>
        </w:rPr>
        <w:t xml:space="preserve"> </w:t>
      </w:r>
      <w:r>
        <w:t>Report</w:t>
      </w:r>
      <w:r>
        <w:rPr>
          <w:spacing w:val="-9"/>
        </w:rPr>
        <w:t xml:space="preserve"> </w:t>
      </w:r>
      <w:r>
        <w:t>of Financial and Operating Statistics for Small Aircraft Operators</w:t>
      </w:r>
    </w:p>
    <w:p w:rsidR="003A090A" w14:paraId="396AFB2E" w14:textId="77777777">
      <w:pPr>
        <w:pStyle w:val="BodyText"/>
        <w:spacing w:before="118" w:line="228" w:lineRule="auto"/>
        <w:ind w:left="145" w:hanging="1"/>
      </w:pPr>
      <w:r>
        <w:rPr>
          <w:rFonts w:ascii="Arial"/>
          <w:b/>
          <w:spacing w:val="-2"/>
          <w:w w:val="105"/>
          <w:sz w:val="15"/>
        </w:rPr>
        <w:t>AGENCY</w:t>
      </w:r>
      <w:r>
        <w:rPr>
          <w:rFonts w:ascii="Arial"/>
          <w:b/>
          <w:spacing w:val="-2"/>
          <w:w w:val="105"/>
        </w:rPr>
        <w:t>:</w:t>
      </w:r>
      <w:r>
        <w:rPr>
          <w:rFonts w:ascii="Arial"/>
          <w:b/>
          <w:spacing w:val="-12"/>
          <w:w w:val="105"/>
        </w:rPr>
        <w:t xml:space="preserve"> </w:t>
      </w:r>
      <w:r>
        <w:rPr>
          <w:spacing w:val="-2"/>
          <w:w w:val="105"/>
        </w:rPr>
        <w:t>Bureau</w:t>
      </w:r>
      <w:r>
        <w:rPr>
          <w:spacing w:val="-7"/>
          <w:w w:val="105"/>
        </w:rPr>
        <w:t xml:space="preserve"> </w:t>
      </w:r>
      <w:r>
        <w:rPr>
          <w:spacing w:val="-2"/>
          <w:w w:val="105"/>
        </w:rPr>
        <w:t>of</w:t>
      </w:r>
      <w:r>
        <w:rPr>
          <w:spacing w:val="-4"/>
          <w:w w:val="105"/>
        </w:rPr>
        <w:t xml:space="preserve"> </w:t>
      </w:r>
      <w:r>
        <w:rPr>
          <w:spacing w:val="-2"/>
          <w:w w:val="105"/>
        </w:rPr>
        <w:t>Transportation</w:t>
      </w:r>
      <w:r>
        <w:rPr>
          <w:w w:val="105"/>
        </w:rPr>
        <w:t xml:space="preserve"> Statistics (BTS), DOT.</w:t>
      </w:r>
    </w:p>
    <w:p w:rsidR="003A090A" w14:paraId="5832DF8A" w14:textId="77777777">
      <w:pPr>
        <w:spacing w:before="31"/>
        <w:ind w:left="145"/>
        <w:rPr>
          <w:sz w:val="18"/>
        </w:rPr>
      </w:pPr>
      <w:r>
        <w:rPr>
          <w:noProof/>
        </w:rPr>
        <mc:AlternateContent>
          <mc:Choice Requires="wps">
            <w:drawing>
              <wp:anchor distT="0" distB="0" distL="0" distR="0" simplePos="0" relativeHeight="251660288" behindDoc="0" locked="0" layoutInCell="1" allowOverlap="1">
                <wp:simplePos x="0" y="0"/>
                <wp:positionH relativeFrom="page">
                  <wp:posOffset>2819400</wp:posOffset>
                </wp:positionH>
                <wp:positionV relativeFrom="paragraph">
                  <wp:posOffset>193829</wp:posOffset>
                </wp:positionV>
                <wp:extent cx="2133600"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9" style="width:168pt;height:0.1pt;margin-top:15.25pt;margin-left:222pt;mso-position-horizontal-relative:page;mso-wrap-distance-bottom:0;mso-wrap-distance-left:0;mso-wrap-distance-right:0;mso-wrap-distance-top:0;mso-wrap-style:square;position:absolute;visibility:visible;v-text-anchor:top;z-index:251661312" coordsize="2133600,1270" path="m,l2133600,e" filled="f" strokeweight="0.3pt">
                <v:path arrowok="t"/>
              </v:shape>
            </w:pict>
          </mc:Fallback>
        </mc:AlternateContent>
      </w:r>
      <w:r>
        <w:rPr>
          <w:rFonts w:ascii="Arial"/>
          <w:b/>
          <w:spacing w:val="-4"/>
          <w:sz w:val="15"/>
        </w:rPr>
        <w:t>ACTION</w:t>
      </w:r>
      <w:r>
        <w:rPr>
          <w:rFonts w:ascii="Arial"/>
          <w:b/>
          <w:spacing w:val="-4"/>
          <w:sz w:val="18"/>
        </w:rPr>
        <w:t>:</w:t>
      </w:r>
      <w:r>
        <w:rPr>
          <w:rFonts w:ascii="Arial"/>
          <w:b/>
          <w:spacing w:val="2"/>
          <w:sz w:val="18"/>
        </w:rPr>
        <w:t xml:space="preserve"> </w:t>
      </w:r>
      <w:r>
        <w:rPr>
          <w:spacing w:val="-2"/>
          <w:sz w:val="18"/>
        </w:rPr>
        <w:t>Notice.</w:t>
      </w:r>
    </w:p>
    <w:p w:rsidR="003A090A" w14:paraId="32B68414" w14:textId="77777777">
      <w:pPr>
        <w:pStyle w:val="BodyText"/>
        <w:spacing w:before="143" w:line="228" w:lineRule="auto"/>
        <w:ind w:left="145" w:right="35" w:hanging="1"/>
      </w:pPr>
      <w:r>
        <w:rPr>
          <w:rFonts w:ascii="Arial" w:hAnsi="Arial"/>
          <w:b/>
          <w:w w:val="105"/>
          <w:sz w:val="15"/>
        </w:rPr>
        <w:t>SUMMARY</w:t>
      </w:r>
      <w:r>
        <w:rPr>
          <w:rFonts w:ascii="Arial" w:hAnsi="Arial"/>
          <w:b/>
          <w:w w:val="105"/>
        </w:rPr>
        <w:t xml:space="preserve">: </w:t>
      </w:r>
      <w:r>
        <w:rPr>
          <w:w w:val="105"/>
        </w:rPr>
        <w:t>In compliance with the Paperwork Reduction Act of 1995, the Bureau of Transportation Statistics invites the general public, industry and other governmental parties to comment on the continuing need for and usefulness of BTS collecting financial, traffic and operating statistics from</w:t>
      </w:r>
      <w:r>
        <w:rPr>
          <w:spacing w:val="40"/>
          <w:w w:val="105"/>
        </w:rPr>
        <w:t xml:space="preserve"> </w:t>
      </w:r>
      <w:r>
        <w:rPr>
          <w:w w:val="105"/>
        </w:rPr>
        <w:t>small certificated and commuter air carriers. Small certificated air carriers (operate aircraft with 60 seats or less or with 18,000 pounds of payload capacity or less) currently must file the two quarterly schedules: F–1 ‘‘Report of Financial Data’’, F–2 ‘‘Report of Aircraft Operating Expenses and Related Statistics’’, and Commuter air carriers must file the Schedule F–1 ‘‘Report of Financial Data’’. Commenters should address whether BTS accurately estimated the reporting burden and if there are other ways to enhance the quality, utility, and clarity of the information collected.</w:t>
      </w:r>
    </w:p>
    <w:p w:rsidR="003A090A" w14:paraId="1EF5D007" w14:textId="77777777">
      <w:pPr>
        <w:pStyle w:val="BodyText"/>
        <w:spacing w:before="29" w:line="228" w:lineRule="auto"/>
        <w:ind w:left="145" w:right="327" w:hanging="1"/>
      </w:pPr>
      <w:r>
        <w:rPr>
          <w:rFonts w:ascii="Arial"/>
          <w:b/>
          <w:w w:val="105"/>
          <w:sz w:val="15"/>
        </w:rPr>
        <w:t>DATES</w:t>
      </w:r>
      <w:r>
        <w:rPr>
          <w:rFonts w:ascii="Arial"/>
          <w:b/>
          <w:w w:val="105"/>
        </w:rPr>
        <w:t>:</w:t>
      </w:r>
      <w:r>
        <w:rPr>
          <w:rFonts w:ascii="Arial"/>
          <w:b/>
          <w:spacing w:val="-14"/>
          <w:w w:val="105"/>
        </w:rPr>
        <w:t xml:space="preserve"> </w:t>
      </w:r>
      <w:r>
        <w:rPr>
          <w:w w:val="105"/>
        </w:rPr>
        <w:t>Written</w:t>
      </w:r>
      <w:r>
        <w:rPr>
          <w:spacing w:val="-10"/>
          <w:w w:val="105"/>
        </w:rPr>
        <w:t xml:space="preserve"> </w:t>
      </w:r>
      <w:r>
        <w:rPr>
          <w:w w:val="105"/>
        </w:rPr>
        <w:t>comments</w:t>
      </w:r>
      <w:r>
        <w:rPr>
          <w:spacing w:val="-8"/>
          <w:w w:val="105"/>
        </w:rPr>
        <w:t xml:space="preserve"> </w:t>
      </w:r>
      <w:r>
        <w:rPr>
          <w:w w:val="105"/>
        </w:rPr>
        <w:t>should</w:t>
      </w:r>
      <w:r>
        <w:rPr>
          <w:spacing w:val="-7"/>
          <w:w w:val="105"/>
        </w:rPr>
        <w:t xml:space="preserve"> </w:t>
      </w:r>
      <w:r>
        <w:rPr>
          <w:w w:val="105"/>
        </w:rPr>
        <w:t>be submitted by January 7, 2025.</w:t>
      </w:r>
    </w:p>
    <w:p w:rsidR="003A090A" w14:paraId="573A7170" w14:textId="77777777">
      <w:pPr>
        <w:spacing w:before="33" w:line="202" w:lineRule="exact"/>
        <w:ind w:left="145"/>
        <w:rPr>
          <w:rFonts w:ascii="Arial"/>
          <w:b/>
          <w:sz w:val="18"/>
        </w:rPr>
      </w:pPr>
      <w:r>
        <w:rPr>
          <w:rFonts w:ascii="Arial"/>
          <w:b/>
          <w:spacing w:val="-4"/>
          <w:sz w:val="15"/>
        </w:rPr>
        <w:t>FOR</w:t>
      </w:r>
      <w:r>
        <w:rPr>
          <w:rFonts w:ascii="Arial"/>
          <w:b/>
          <w:spacing w:val="4"/>
          <w:sz w:val="15"/>
        </w:rPr>
        <w:t xml:space="preserve"> </w:t>
      </w:r>
      <w:r>
        <w:rPr>
          <w:rFonts w:ascii="Arial"/>
          <w:b/>
          <w:spacing w:val="-4"/>
          <w:sz w:val="15"/>
        </w:rPr>
        <w:t>FURTHER</w:t>
      </w:r>
      <w:r>
        <w:rPr>
          <w:rFonts w:ascii="Arial"/>
          <w:b/>
          <w:spacing w:val="5"/>
          <w:sz w:val="15"/>
        </w:rPr>
        <w:t xml:space="preserve"> </w:t>
      </w:r>
      <w:r>
        <w:rPr>
          <w:rFonts w:ascii="Arial"/>
          <w:b/>
          <w:spacing w:val="-4"/>
          <w:sz w:val="15"/>
        </w:rPr>
        <w:t>INFORMATION</w:t>
      </w:r>
      <w:r>
        <w:rPr>
          <w:rFonts w:ascii="Arial"/>
          <w:b/>
          <w:spacing w:val="5"/>
          <w:sz w:val="15"/>
        </w:rPr>
        <w:t xml:space="preserve"> </w:t>
      </w:r>
      <w:r>
        <w:rPr>
          <w:rFonts w:ascii="Arial"/>
          <w:b/>
          <w:spacing w:val="-4"/>
          <w:sz w:val="15"/>
        </w:rPr>
        <w:t>CONTACT</w:t>
      </w:r>
      <w:r>
        <w:rPr>
          <w:rFonts w:ascii="Arial"/>
          <w:b/>
          <w:spacing w:val="-4"/>
          <w:sz w:val="18"/>
        </w:rPr>
        <w:t>:</w:t>
      </w:r>
    </w:p>
    <w:p w:rsidR="003A090A" w14:paraId="781EA7CE" w14:textId="77777777">
      <w:pPr>
        <w:pStyle w:val="BodyText"/>
        <w:spacing w:before="4" w:line="228" w:lineRule="auto"/>
        <w:ind w:left="145" w:right="55" w:firstLine="180"/>
      </w:pPr>
      <w:r>
        <w:rPr>
          <w:w w:val="105"/>
        </w:rPr>
        <w:t>Cecelia Robinson, Office of Airline Information, RTS–42, Room E34–110, OST–R, BTS, 1200 New Jersey Avenue SE, Washington, DC 20590–0001, telephone</w:t>
      </w:r>
      <w:r>
        <w:rPr>
          <w:spacing w:val="-5"/>
          <w:w w:val="105"/>
        </w:rPr>
        <w:t xml:space="preserve"> </w:t>
      </w:r>
      <w:r>
        <w:rPr>
          <w:w w:val="105"/>
        </w:rPr>
        <w:t>number</w:t>
      </w:r>
      <w:r>
        <w:rPr>
          <w:spacing w:val="-5"/>
          <w:w w:val="105"/>
        </w:rPr>
        <w:t xml:space="preserve"> </w:t>
      </w:r>
      <w:r>
        <w:rPr>
          <w:w w:val="105"/>
        </w:rPr>
        <w:t>(202)</w:t>
      </w:r>
      <w:r>
        <w:rPr>
          <w:spacing w:val="-5"/>
          <w:w w:val="105"/>
        </w:rPr>
        <w:t xml:space="preserve"> </w:t>
      </w:r>
      <w:r>
        <w:rPr>
          <w:w w:val="105"/>
        </w:rPr>
        <w:t>893–0515,</w:t>
      </w:r>
      <w:r>
        <w:rPr>
          <w:spacing w:val="-5"/>
          <w:w w:val="105"/>
        </w:rPr>
        <w:t xml:space="preserve"> </w:t>
      </w:r>
      <w:r>
        <w:rPr>
          <w:w w:val="105"/>
        </w:rPr>
        <w:t>fax</w:t>
      </w:r>
    </w:p>
    <w:p w:rsidR="003A090A" w14:paraId="4B188D09" w14:textId="77777777">
      <w:pPr>
        <w:pStyle w:val="BodyText"/>
        <w:spacing w:line="197" w:lineRule="exact"/>
        <w:ind w:left="145"/>
      </w:pPr>
      <w:r>
        <w:t>number</w:t>
      </w:r>
      <w:r>
        <w:rPr>
          <w:spacing w:val="12"/>
        </w:rPr>
        <w:t xml:space="preserve"> </w:t>
      </w:r>
      <w:r>
        <w:t>(202)</w:t>
      </w:r>
      <w:r>
        <w:rPr>
          <w:spacing w:val="13"/>
        </w:rPr>
        <w:t xml:space="preserve"> </w:t>
      </w:r>
      <w:r>
        <w:t>366–3383</w:t>
      </w:r>
      <w:r>
        <w:rPr>
          <w:spacing w:val="13"/>
        </w:rPr>
        <w:t xml:space="preserve"> </w:t>
      </w:r>
      <w:r>
        <w:t>or</w:t>
      </w:r>
      <w:r>
        <w:rPr>
          <w:spacing w:val="12"/>
        </w:rPr>
        <w:t xml:space="preserve"> </w:t>
      </w:r>
      <w:r>
        <w:rPr>
          <w:spacing w:val="-2"/>
        </w:rPr>
        <w:t>email</w:t>
      </w:r>
    </w:p>
    <w:p w:rsidR="003A090A" w14:paraId="07E76E36" w14:textId="77777777">
      <w:pPr>
        <w:spacing w:line="203" w:lineRule="exact"/>
        <w:ind w:left="145"/>
        <w:rPr>
          <w:rFonts w:ascii="Book Antiqua"/>
          <w:i/>
          <w:sz w:val="18"/>
        </w:rPr>
      </w:pPr>
      <w:hyperlink r:id="rId9">
        <w:r>
          <w:rPr>
            <w:rFonts w:ascii="Book Antiqua"/>
            <w:i/>
            <w:spacing w:val="-2"/>
            <w:w w:val="115"/>
            <w:sz w:val="18"/>
          </w:rPr>
          <w:t>cecelia.robinson@dot.gov.</w:t>
        </w:r>
      </w:hyperlink>
    </w:p>
    <w:p w:rsidR="003A090A" w14:paraId="547BBC39" w14:textId="77777777">
      <w:pPr>
        <w:pStyle w:val="BodyText"/>
        <w:spacing w:line="228" w:lineRule="auto"/>
        <w:ind w:left="145" w:right="55" w:firstLine="180"/>
      </w:pPr>
      <w:r>
        <w:rPr>
          <w:w w:val="105"/>
        </w:rPr>
        <w:t>Jennifer Rodes, Office of Airline Information, RTS–42, Room E32–103, OST–R, BTS, 1200 New Jersey Avenue SE, Washington, DC 20590–0001, telephone</w:t>
      </w:r>
      <w:r>
        <w:rPr>
          <w:spacing w:val="-5"/>
          <w:w w:val="105"/>
        </w:rPr>
        <w:t xml:space="preserve"> </w:t>
      </w:r>
      <w:r>
        <w:rPr>
          <w:w w:val="105"/>
        </w:rPr>
        <w:t>number</w:t>
      </w:r>
      <w:r>
        <w:rPr>
          <w:spacing w:val="-5"/>
          <w:w w:val="105"/>
        </w:rPr>
        <w:t xml:space="preserve"> </w:t>
      </w:r>
      <w:r>
        <w:rPr>
          <w:w w:val="105"/>
        </w:rPr>
        <w:t>(202)</w:t>
      </w:r>
      <w:r>
        <w:rPr>
          <w:spacing w:val="-5"/>
          <w:w w:val="105"/>
        </w:rPr>
        <w:t xml:space="preserve"> </w:t>
      </w:r>
      <w:r>
        <w:rPr>
          <w:w w:val="105"/>
        </w:rPr>
        <w:t>366–8513,</w:t>
      </w:r>
      <w:r>
        <w:rPr>
          <w:spacing w:val="-5"/>
          <w:w w:val="105"/>
        </w:rPr>
        <w:t xml:space="preserve"> </w:t>
      </w:r>
      <w:r>
        <w:rPr>
          <w:w w:val="105"/>
        </w:rPr>
        <w:t>fax</w:t>
      </w:r>
    </w:p>
    <w:p w:rsidR="003A090A" w14:paraId="29F0AFCC" w14:textId="77777777">
      <w:pPr>
        <w:pStyle w:val="BodyText"/>
        <w:spacing w:line="194" w:lineRule="exact"/>
        <w:ind w:left="145"/>
      </w:pPr>
      <w:r>
        <w:t>number</w:t>
      </w:r>
      <w:r>
        <w:rPr>
          <w:spacing w:val="12"/>
        </w:rPr>
        <w:t xml:space="preserve"> </w:t>
      </w:r>
      <w:r>
        <w:t>(202)</w:t>
      </w:r>
      <w:r>
        <w:rPr>
          <w:spacing w:val="13"/>
        </w:rPr>
        <w:t xml:space="preserve"> </w:t>
      </w:r>
      <w:r>
        <w:t>366–3383</w:t>
      </w:r>
      <w:r>
        <w:rPr>
          <w:spacing w:val="13"/>
        </w:rPr>
        <w:t xml:space="preserve"> </w:t>
      </w:r>
      <w:r>
        <w:t>or</w:t>
      </w:r>
      <w:r>
        <w:rPr>
          <w:spacing w:val="12"/>
        </w:rPr>
        <w:t xml:space="preserve"> </w:t>
      </w:r>
      <w:r>
        <w:rPr>
          <w:spacing w:val="-2"/>
        </w:rPr>
        <w:t>email</w:t>
      </w:r>
    </w:p>
    <w:p w:rsidR="003A090A" w14:paraId="1194FDD4" w14:textId="77777777">
      <w:pPr>
        <w:spacing w:line="216" w:lineRule="exact"/>
        <w:ind w:left="145"/>
        <w:rPr>
          <w:sz w:val="18"/>
        </w:rPr>
      </w:pPr>
      <w:hyperlink r:id="rId12">
        <w:r>
          <w:rPr>
            <w:rFonts w:ascii="Book Antiqua"/>
            <w:i/>
            <w:spacing w:val="-2"/>
            <w:w w:val="115"/>
            <w:sz w:val="18"/>
          </w:rPr>
          <w:t>Jennifer.rodes@dot.gov</w:t>
        </w:r>
        <w:r>
          <w:rPr>
            <w:spacing w:val="-2"/>
            <w:w w:val="115"/>
            <w:sz w:val="18"/>
          </w:rPr>
          <w:t>.</w:t>
        </w:r>
      </w:hyperlink>
    </w:p>
    <w:p w:rsidR="003A090A" w14:paraId="1BDA63E4" w14:textId="77777777">
      <w:pPr>
        <w:pStyle w:val="BodyText"/>
        <w:spacing w:before="25" w:line="228" w:lineRule="auto"/>
        <w:ind w:left="145" w:hanging="1"/>
      </w:pPr>
      <w:r>
        <w:rPr>
          <w:rFonts w:ascii="Arial"/>
          <w:b/>
          <w:sz w:val="15"/>
        </w:rPr>
        <w:t>ADDRESSES</w:t>
      </w:r>
      <w:r>
        <w:rPr>
          <w:rFonts w:ascii="Arial"/>
          <w:b/>
        </w:rPr>
        <w:t xml:space="preserve">: </w:t>
      </w:r>
      <w:r>
        <w:t>You may submit comments</w:t>
      </w:r>
      <w:r>
        <w:rPr>
          <w:w w:val="110"/>
        </w:rPr>
        <w:t xml:space="preserve"> identified by DOT Docket ID Number</w:t>
      </w:r>
    </w:p>
    <w:p w:rsidR="003A090A" w14:paraId="2436EC4F" w14:textId="77777777">
      <w:pPr>
        <w:pStyle w:val="BodyText"/>
        <w:spacing w:before="65" w:line="228" w:lineRule="auto"/>
        <w:ind w:right="98"/>
      </w:pPr>
      <w:r>
        <w:br w:type="column"/>
      </w:r>
      <w:r>
        <w:rPr>
          <w:w w:val="105"/>
        </w:rPr>
        <w:t>DOT–OST–2014–0031 by any of the following methods:</w:t>
      </w:r>
    </w:p>
    <w:p w:rsidR="003A090A" w14:paraId="6A145B4D" w14:textId="77777777">
      <w:pPr>
        <w:spacing w:before="20" w:line="220" w:lineRule="auto"/>
        <w:ind w:left="160" w:right="98" w:firstLine="180"/>
        <w:rPr>
          <w:sz w:val="18"/>
        </w:rPr>
      </w:pPr>
      <w:r>
        <w:rPr>
          <w:rFonts w:ascii="Book Antiqua"/>
          <w:i/>
          <w:w w:val="110"/>
          <w:sz w:val="18"/>
        </w:rPr>
        <w:t xml:space="preserve">Federal eRulemaking Portal: </w:t>
      </w:r>
      <w:r>
        <w:rPr>
          <w:w w:val="110"/>
          <w:sz w:val="18"/>
        </w:rPr>
        <w:t xml:space="preserve">Go to </w:t>
      </w:r>
      <w:hyperlink r:id="rId5">
        <w:r>
          <w:rPr>
            <w:rFonts w:ascii="Book Antiqua"/>
            <w:i/>
            <w:w w:val="110"/>
            <w:sz w:val="18"/>
          </w:rPr>
          <w:t>http://www.regulations.gov.</w:t>
        </w:r>
      </w:hyperlink>
      <w:r>
        <w:rPr>
          <w:rFonts w:ascii="Book Antiqua"/>
          <w:i/>
          <w:spacing w:val="-7"/>
          <w:w w:val="110"/>
          <w:sz w:val="18"/>
        </w:rPr>
        <w:t xml:space="preserve"> </w:t>
      </w:r>
      <w:r>
        <w:rPr>
          <w:w w:val="110"/>
          <w:sz w:val="18"/>
        </w:rPr>
        <w:t>Follow</w:t>
      </w:r>
      <w:r>
        <w:rPr>
          <w:spacing w:val="-1"/>
          <w:w w:val="110"/>
          <w:sz w:val="18"/>
        </w:rPr>
        <w:t xml:space="preserve"> </w:t>
      </w:r>
      <w:r>
        <w:rPr>
          <w:w w:val="110"/>
          <w:sz w:val="18"/>
        </w:rPr>
        <w:t xml:space="preserve">the online instructions for submitting </w:t>
      </w:r>
      <w:r>
        <w:rPr>
          <w:spacing w:val="-2"/>
          <w:w w:val="110"/>
          <w:sz w:val="18"/>
        </w:rPr>
        <w:t>comments.</w:t>
      </w:r>
    </w:p>
    <w:p w:rsidR="003A090A" w14:paraId="29FF998D" w14:textId="77777777">
      <w:pPr>
        <w:pStyle w:val="BodyText"/>
        <w:spacing w:before="16" w:line="225" w:lineRule="auto"/>
        <w:ind w:right="236" w:firstLine="180"/>
      </w:pPr>
      <w:r>
        <w:rPr>
          <w:rFonts w:ascii="Book Antiqua" w:hAnsi="Book Antiqua"/>
          <w:i/>
          <w:w w:val="105"/>
        </w:rPr>
        <w:t xml:space="preserve">Mail: </w:t>
      </w:r>
      <w:r>
        <w:rPr>
          <w:w w:val="105"/>
        </w:rPr>
        <w:t>Docket Services: U.S. Department of Transportation, 1200 New Jersey Avenue SE, West Building Ground Floor, Room W12–140, Washington, DC 20590–0001.</w:t>
      </w:r>
    </w:p>
    <w:p w:rsidR="003A090A" w14:paraId="4DB2845F" w14:textId="77777777">
      <w:pPr>
        <w:spacing w:before="17" w:line="220" w:lineRule="auto"/>
        <w:ind w:left="160" w:right="96" w:firstLine="180"/>
        <w:rPr>
          <w:sz w:val="18"/>
        </w:rPr>
      </w:pPr>
      <w:r>
        <w:rPr>
          <w:rFonts w:ascii="Book Antiqua" w:hAnsi="Book Antiqua"/>
          <w:i/>
          <w:w w:val="110"/>
          <w:sz w:val="18"/>
        </w:rPr>
        <w:t xml:space="preserve">Hand Delivery or Courier: </w:t>
      </w:r>
      <w:r>
        <w:rPr>
          <w:w w:val="110"/>
          <w:sz w:val="18"/>
        </w:rPr>
        <w:t xml:space="preserve">West </w:t>
      </w:r>
      <w:r>
        <w:rPr>
          <w:spacing w:val="-2"/>
          <w:w w:val="110"/>
          <w:sz w:val="18"/>
        </w:rPr>
        <w:t>Building</w:t>
      </w:r>
      <w:r>
        <w:rPr>
          <w:spacing w:val="-3"/>
          <w:w w:val="110"/>
          <w:sz w:val="18"/>
        </w:rPr>
        <w:t xml:space="preserve"> </w:t>
      </w:r>
      <w:r>
        <w:rPr>
          <w:spacing w:val="-2"/>
          <w:w w:val="110"/>
          <w:sz w:val="18"/>
        </w:rPr>
        <w:t>Ground</w:t>
      </w:r>
      <w:r>
        <w:rPr>
          <w:spacing w:val="-3"/>
          <w:w w:val="110"/>
          <w:sz w:val="18"/>
        </w:rPr>
        <w:t xml:space="preserve"> </w:t>
      </w:r>
      <w:r>
        <w:rPr>
          <w:spacing w:val="-2"/>
          <w:w w:val="110"/>
          <w:sz w:val="18"/>
        </w:rPr>
        <w:t>Floor,</w:t>
      </w:r>
      <w:r>
        <w:rPr>
          <w:spacing w:val="-3"/>
          <w:w w:val="110"/>
          <w:sz w:val="18"/>
        </w:rPr>
        <w:t xml:space="preserve"> </w:t>
      </w:r>
      <w:r>
        <w:rPr>
          <w:spacing w:val="-2"/>
          <w:w w:val="110"/>
          <w:sz w:val="18"/>
        </w:rPr>
        <w:t>Room</w:t>
      </w:r>
      <w:r>
        <w:rPr>
          <w:spacing w:val="-3"/>
          <w:w w:val="110"/>
          <w:sz w:val="18"/>
        </w:rPr>
        <w:t xml:space="preserve"> </w:t>
      </w:r>
      <w:r>
        <w:rPr>
          <w:spacing w:val="-2"/>
          <w:w w:val="110"/>
          <w:sz w:val="18"/>
        </w:rPr>
        <w:t xml:space="preserve">W12–140, </w:t>
      </w:r>
      <w:r>
        <w:rPr>
          <w:w w:val="110"/>
          <w:sz w:val="18"/>
        </w:rPr>
        <w:t>1200</w:t>
      </w:r>
      <w:r>
        <w:rPr>
          <w:spacing w:val="-4"/>
          <w:w w:val="110"/>
          <w:sz w:val="18"/>
        </w:rPr>
        <w:t xml:space="preserve"> </w:t>
      </w:r>
      <w:r>
        <w:rPr>
          <w:w w:val="110"/>
          <w:sz w:val="18"/>
        </w:rPr>
        <w:t>New</w:t>
      </w:r>
      <w:r>
        <w:rPr>
          <w:spacing w:val="-4"/>
          <w:w w:val="110"/>
          <w:sz w:val="18"/>
        </w:rPr>
        <w:t xml:space="preserve"> </w:t>
      </w:r>
      <w:r>
        <w:rPr>
          <w:w w:val="110"/>
          <w:sz w:val="18"/>
        </w:rPr>
        <w:t>Jersey</w:t>
      </w:r>
      <w:r>
        <w:rPr>
          <w:spacing w:val="-4"/>
          <w:w w:val="110"/>
          <w:sz w:val="18"/>
        </w:rPr>
        <w:t xml:space="preserve"> </w:t>
      </w:r>
      <w:r>
        <w:rPr>
          <w:w w:val="110"/>
          <w:sz w:val="18"/>
        </w:rPr>
        <w:t>Avenue</w:t>
      </w:r>
      <w:r>
        <w:rPr>
          <w:spacing w:val="-4"/>
          <w:w w:val="110"/>
          <w:sz w:val="18"/>
        </w:rPr>
        <w:t xml:space="preserve"> </w:t>
      </w:r>
      <w:r>
        <w:rPr>
          <w:w w:val="110"/>
          <w:sz w:val="18"/>
        </w:rPr>
        <w:t>SE,</w:t>
      </w:r>
      <w:r>
        <w:rPr>
          <w:spacing w:val="-4"/>
          <w:w w:val="110"/>
          <w:sz w:val="18"/>
        </w:rPr>
        <w:t xml:space="preserve"> </w:t>
      </w:r>
      <w:r>
        <w:rPr>
          <w:w w:val="110"/>
          <w:sz w:val="18"/>
        </w:rPr>
        <w:t>between</w:t>
      </w:r>
      <w:r>
        <w:rPr>
          <w:spacing w:val="-4"/>
          <w:w w:val="110"/>
          <w:sz w:val="18"/>
        </w:rPr>
        <w:t xml:space="preserve"> </w:t>
      </w:r>
      <w:r>
        <w:rPr>
          <w:w w:val="110"/>
          <w:sz w:val="18"/>
        </w:rPr>
        <w:t>9</w:t>
      </w:r>
    </w:p>
    <w:p w:rsidR="003A090A" w14:paraId="548D1BA9" w14:textId="77777777">
      <w:pPr>
        <w:pStyle w:val="BodyText"/>
        <w:spacing w:before="3" w:line="228" w:lineRule="auto"/>
        <w:ind w:right="98"/>
      </w:pPr>
      <w:r>
        <w:rPr>
          <w:w w:val="110"/>
        </w:rPr>
        <w:t>a.m.</w:t>
      </w:r>
      <w:r>
        <w:rPr>
          <w:spacing w:val="-4"/>
          <w:w w:val="110"/>
        </w:rPr>
        <w:t xml:space="preserve"> </w:t>
      </w:r>
      <w:r>
        <w:rPr>
          <w:w w:val="110"/>
        </w:rPr>
        <w:t>and</w:t>
      </w:r>
      <w:r>
        <w:rPr>
          <w:spacing w:val="-4"/>
          <w:w w:val="110"/>
        </w:rPr>
        <w:t xml:space="preserve"> </w:t>
      </w:r>
      <w:r>
        <w:rPr>
          <w:w w:val="110"/>
        </w:rPr>
        <w:t>5</w:t>
      </w:r>
      <w:r>
        <w:rPr>
          <w:spacing w:val="-5"/>
          <w:w w:val="110"/>
        </w:rPr>
        <w:t xml:space="preserve"> </w:t>
      </w:r>
      <w:r>
        <w:rPr>
          <w:w w:val="110"/>
        </w:rPr>
        <w:t>p.m.</w:t>
      </w:r>
      <w:r>
        <w:rPr>
          <w:spacing w:val="-4"/>
          <w:w w:val="110"/>
        </w:rPr>
        <w:t xml:space="preserve"> </w:t>
      </w:r>
      <w:r>
        <w:rPr>
          <w:w w:val="110"/>
        </w:rPr>
        <w:t>ET,</w:t>
      </w:r>
      <w:r>
        <w:rPr>
          <w:spacing w:val="-4"/>
          <w:w w:val="110"/>
        </w:rPr>
        <w:t xml:space="preserve"> </w:t>
      </w:r>
      <w:r>
        <w:rPr>
          <w:w w:val="110"/>
        </w:rPr>
        <w:t>Monday</w:t>
      </w:r>
      <w:r>
        <w:rPr>
          <w:spacing w:val="-5"/>
          <w:w w:val="110"/>
        </w:rPr>
        <w:t xml:space="preserve"> </w:t>
      </w:r>
      <w:r>
        <w:rPr>
          <w:w w:val="110"/>
        </w:rPr>
        <w:t>through Friday, except Federal holidays.</w:t>
      </w:r>
    </w:p>
    <w:p w:rsidR="003A090A" w14:paraId="446AF27E" w14:textId="77777777">
      <w:pPr>
        <w:spacing w:before="7" w:line="219" w:lineRule="exact"/>
        <w:ind w:left="340"/>
        <w:rPr>
          <w:sz w:val="18"/>
        </w:rPr>
      </w:pPr>
      <w:r>
        <w:rPr>
          <w:rFonts w:ascii="Book Antiqua" w:hAnsi="Book Antiqua"/>
          <w:i/>
          <w:w w:val="105"/>
          <w:sz w:val="18"/>
        </w:rPr>
        <w:t>Fax:</w:t>
      </w:r>
      <w:r>
        <w:rPr>
          <w:rFonts w:ascii="Book Antiqua" w:hAnsi="Book Antiqua"/>
          <w:i/>
          <w:spacing w:val="26"/>
          <w:w w:val="105"/>
          <w:sz w:val="18"/>
        </w:rPr>
        <w:t xml:space="preserve"> </w:t>
      </w:r>
      <w:r>
        <w:rPr>
          <w:spacing w:val="-2"/>
          <w:w w:val="105"/>
          <w:sz w:val="18"/>
        </w:rPr>
        <w:t>202–366–3383.</w:t>
      </w:r>
    </w:p>
    <w:p w:rsidR="003A090A" w14:paraId="55E5AC48" w14:textId="77777777">
      <w:pPr>
        <w:pStyle w:val="BodyText"/>
        <w:spacing w:before="7" w:line="225" w:lineRule="auto"/>
        <w:ind w:right="152" w:firstLine="180"/>
      </w:pPr>
      <w:r>
        <w:rPr>
          <w:rFonts w:ascii="Book Antiqua" w:hAnsi="Book Antiqua"/>
          <w:i/>
          <w:w w:val="110"/>
        </w:rPr>
        <w:t>Instructions:</w:t>
      </w:r>
      <w:r>
        <w:rPr>
          <w:rFonts w:ascii="Book Antiqua" w:hAnsi="Book Antiqua"/>
          <w:i/>
          <w:spacing w:val="-6"/>
          <w:w w:val="110"/>
        </w:rPr>
        <w:t xml:space="preserve"> </w:t>
      </w:r>
      <w:r>
        <w:rPr>
          <w:w w:val="110"/>
        </w:rPr>
        <w:t>Identify</w:t>
      </w:r>
      <w:r>
        <w:rPr>
          <w:spacing w:val="-1"/>
          <w:w w:val="110"/>
        </w:rPr>
        <w:t xml:space="preserve"> </w:t>
      </w:r>
      <w:r>
        <w:rPr>
          <w:w w:val="110"/>
        </w:rPr>
        <w:t>docket</w:t>
      </w:r>
      <w:r>
        <w:rPr>
          <w:spacing w:val="-1"/>
          <w:w w:val="110"/>
        </w:rPr>
        <w:t xml:space="preserve"> </w:t>
      </w:r>
      <w:r>
        <w:rPr>
          <w:w w:val="110"/>
        </w:rPr>
        <w:t>number, DOT–OST–2014–0031,</w:t>
      </w:r>
      <w:r>
        <w:rPr>
          <w:spacing w:val="-11"/>
          <w:w w:val="110"/>
        </w:rPr>
        <w:t xml:space="preserve"> </w:t>
      </w:r>
      <w:r>
        <w:rPr>
          <w:w w:val="110"/>
        </w:rPr>
        <w:t>at</w:t>
      </w:r>
      <w:r>
        <w:rPr>
          <w:spacing w:val="-11"/>
          <w:w w:val="110"/>
        </w:rPr>
        <w:t xml:space="preserve"> </w:t>
      </w:r>
      <w:r>
        <w:rPr>
          <w:w w:val="110"/>
        </w:rPr>
        <w:t>the</w:t>
      </w:r>
      <w:r>
        <w:rPr>
          <w:spacing w:val="-11"/>
          <w:w w:val="110"/>
        </w:rPr>
        <w:t xml:space="preserve"> </w:t>
      </w:r>
      <w:r>
        <w:rPr>
          <w:w w:val="110"/>
        </w:rPr>
        <w:t>beginning of</w:t>
      </w:r>
      <w:r>
        <w:rPr>
          <w:spacing w:val="-11"/>
          <w:w w:val="110"/>
        </w:rPr>
        <w:t xml:space="preserve"> </w:t>
      </w:r>
      <w:r>
        <w:rPr>
          <w:w w:val="110"/>
        </w:rPr>
        <w:t>your</w:t>
      </w:r>
      <w:r>
        <w:rPr>
          <w:spacing w:val="-11"/>
          <w:w w:val="110"/>
        </w:rPr>
        <w:t xml:space="preserve"> </w:t>
      </w:r>
      <w:r>
        <w:rPr>
          <w:w w:val="110"/>
        </w:rPr>
        <w:t>comments,</w:t>
      </w:r>
      <w:r>
        <w:rPr>
          <w:spacing w:val="-11"/>
          <w:w w:val="110"/>
        </w:rPr>
        <w:t xml:space="preserve"> </w:t>
      </w:r>
      <w:r>
        <w:rPr>
          <w:w w:val="110"/>
        </w:rPr>
        <w:t>and</w:t>
      </w:r>
      <w:r>
        <w:rPr>
          <w:spacing w:val="-11"/>
          <w:w w:val="110"/>
        </w:rPr>
        <w:t xml:space="preserve"> </w:t>
      </w:r>
      <w:r>
        <w:rPr>
          <w:w w:val="110"/>
        </w:rPr>
        <w:t>send</w:t>
      </w:r>
      <w:r>
        <w:rPr>
          <w:spacing w:val="-11"/>
          <w:w w:val="110"/>
        </w:rPr>
        <w:t xml:space="preserve"> </w:t>
      </w:r>
      <w:r>
        <w:rPr>
          <w:w w:val="110"/>
        </w:rPr>
        <w:t>two</w:t>
      </w:r>
      <w:r>
        <w:rPr>
          <w:spacing w:val="-11"/>
          <w:w w:val="110"/>
        </w:rPr>
        <w:t xml:space="preserve"> </w:t>
      </w:r>
      <w:r>
        <w:rPr>
          <w:w w:val="110"/>
        </w:rPr>
        <w:t>copies. To receive confirmation that DOT received</w:t>
      </w:r>
      <w:r>
        <w:rPr>
          <w:spacing w:val="-11"/>
          <w:w w:val="110"/>
        </w:rPr>
        <w:t xml:space="preserve"> </w:t>
      </w:r>
      <w:r>
        <w:rPr>
          <w:w w:val="110"/>
        </w:rPr>
        <w:t>your</w:t>
      </w:r>
      <w:r>
        <w:rPr>
          <w:spacing w:val="-11"/>
          <w:w w:val="110"/>
        </w:rPr>
        <w:t xml:space="preserve"> </w:t>
      </w:r>
      <w:r>
        <w:rPr>
          <w:w w:val="110"/>
        </w:rPr>
        <w:t>comments,</w:t>
      </w:r>
      <w:r>
        <w:rPr>
          <w:spacing w:val="-11"/>
          <w:w w:val="110"/>
        </w:rPr>
        <w:t xml:space="preserve"> </w:t>
      </w:r>
      <w:r>
        <w:rPr>
          <w:w w:val="110"/>
        </w:rPr>
        <w:t>include</w:t>
      </w:r>
      <w:r>
        <w:rPr>
          <w:spacing w:val="-11"/>
          <w:w w:val="110"/>
        </w:rPr>
        <w:t xml:space="preserve"> </w:t>
      </w:r>
      <w:r>
        <w:rPr>
          <w:w w:val="110"/>
        </w:rPr>
        <w:t>a</w:t>
      </w:r>
      <w:r>
        <w:rPr>
          <w:spacing w:val="-10"/>
          <w:w w:val="110"/>
        </w:rPr>
        <w:t xml:space="preserve"> </w:t>
      </w:r>
      <w:r>
        <w:rPr>
          <w:w w:val="110"/>
        </w:rPr>
        <w:t xml:space="preserve">self- addressed stamped postcard. Internet </w:t>
      </w:r>
      <w:r>
        <w:t>users may access all comments received</w:t>
      </w:r>
      <w:r>
        <w:rPr>
          <w:spacing w:val="80"/>
          <w:w w:val="110"/>
        </w:rPr>
        <w:t xml:space="preserve"> </w:t>
      </w:r>
      <w:r>
        <w:rPr>
          <w:w w:val="110"/>
        </w:rPr>
        <w:t xml:space="preserve">by DOT at </w:t>
      </w:r>
      <w:hyperlink r:id="rId5">
        <w:r>
          <w:rPr>
            <w:rFonts w:ascii="Book Antiqua" w:hAnsi="Book Antiqua"/>
            <w:i/>
            <w:w w:val="110"/>
          </w:rPr>
          <w:t>http://www.regulations.gov.</w:t>
        </w:r>
      </w:hyperlink>
      <w:r>
        <w:rPr>
          <w:rFonts w:ascii="Book Antiqua" w:hAnsi="Book Antiqua"/>
          <w:i/>
          <w:w w:val="110"/>
        </w:rPr>
        <w:t xml:space="preserve"> </w:t>
      </w:r>
      <w:r>
        <w:rPr>
          <w:w w:val="110"/>
        </w:rPr>
        <w:t>All comments are posted electronically without charge or edits, including any personal information provided.</w:t>
      </w:r>
    </w:p>
    <w:p w:rsidR="003A090A" w14:paraId="670F1E32" w14:textId="77777777">
      <w:pPr>
        <w:pStyle w:val="BodyText"/>
        <w:spacing w:before="14" w:line="225" w:lineRule="auto"/>
        <w:ind w:right="96" w:firstLine="180"/>
      </w:pPr>
      <w:r>
        <w:rPr>
          <w:rFonts w:ascii="Book Antiqua" w:hAnsi="Book Antiqua"/>
          <w:i/>
          <w:w w:val="105"/>
        </w:rPr>
        <w:t xml:space="preserve">Comments: </w:t>
      </w:r>
      <w:r>
        <w:rPr>
          <w:w w:val="105"/>
        </w:rPr>
        <w:t>Comments should identify the associated OMB approval #2138– 0009 and Docket ID Number DOT–OST– 2014–0031. Persons wishing the Department to acknowledge receipt of their comments must submit with those comments a self-addressed stamped postcard on which the following statement is made: Comments on OMB #2138–0009, Docket—DOT–OST–2014–</w:t>
      </w:r>
    </w:p>
    <w:p w:rsidR="003A090A" w14:paraId="4A064E69" w14:textId="77777777">
      <w:pPr>
        <w:pStyle w:val="BodyText"/>
        <w:spacing w:before="4" w:line="228" w:lineRule="auto"/>
        <w:ind w:right="236"/>
      </w:pPr>
      <w:r>
        <w:rPr>
          <w:w w:val="105"/>
        </w:rPr>
        <w:t>0031. The postcard will be date/time stamped and returned.</w:t>
      </w:r>
    </w:p>
    <w:p w:rsidR="003A090A" w14:paraId="6EFB01B6" w14:textId="77777777">
      <w:pPr>
        <w:pStyle w:val="BodyText"/>
        <w:spacing w:before="17" w:line="225" w:lineRule="auto"/>
        <w:ind w:right="98" w:firstLine="180"/>
      </w:pPr>
      <w:r>
        <w:rPr>
          <w:rFonts w:ascii="Book Antiqua" w:hAnsi="Book Antiqua"/>
          <w:i/>
          <w:w w:val="105"/>
        </w:rPr>
        <w:t xml:space="preserve">Privacy Act: </w:t>
      </w:r>
      <w:r>
        <w:rPr>
          <w:w w:val="105"/>
        </w:rPr>
        <w:t xml:space="preserve">Anyone is able to search the electronic form of all comments received into any of our dockets by the name of the individual submitting the comment (or signing the comment, if submitted on behalf of an association, business, labor union, etc.). You may review DOT’s complete Privacy Act Statement in the </w:t>
      </w:r>
      <w:r>
        <w:rPr>
          <w:rFonts w:ascii="Book Antiqua" w:hAnsi="Book Antiqua"/>
          <w:b/>
          <w:w w:val="105"/>
        </w:rPr>
        <w:t xml:space="preserve">Federal Register </w:t>
      </w:r>
      <w:r>
        <w:rPr>
          <w:w w:val="105"/>
        </w:rPr>
        <w:t>published on April 11, 2000 (65 FR</w:t>
      </w:r>
    </w:p>
    <w:p w:rsidR="003A090A" w14:paraId="2E7D8EB7" w14:textId="77777777">
      <w:pPr>
        <w:pStyle w:val="BodyText"/>
        <w:spacing w:line="200" w:lineRule="exact"/>
      </w:pPr>
      <w:r>
        <w:rPr>
          <w:spacing w:val="-2"/>
        </w:rPr>
        <w:t>19477–78).</w:t>
      </w:r>
    </w:p>
    <w:p w:rsidR="003A090A" w14:paraId="21D8D607" w14:textId="77777777">
      <w:pPr>
        <w:pStyle w:val="BodyText"/>
        <w:spacing w:before="18" w:line="220" w:lineRule="auto"/>
        <w:ind w:right="236" w:firstLine="180"/>
      </w:pPr>
      <w:r>
        <w:rPr>
          <w:rFonts w:ascii="Book Antiqua"/>
          <w:i/>
          <w:w w:val="110"/>
        </w:rPr>
        <w:t xml:space="preserve">Docket: </w:t>
      </w:r>
      <w:r>
        <w:rPr>
          <w:w w:val="110"/>
        </w:rPr>
        <w:t xml:space="preserve">For access to the docket to read background documents or comments received, go to </w:t>
      </w:r>
      <w:hyperlink r:id="rId5">
        <w:r>
          <w:rPr>
            <w:rFonts w:ascii="Book Antiqua"/>
            <w:i/>
            <w:w w:val="110"/>
          </w:rPr>
          <w:t>http://</w:t>
        </w:r>
      </w:hyperlink>
      <w:r>
        <w:rPr>
          <w:rFonts w:ascii="Book Antiqua"/>
          <w:i/>
          <w:w w:val="110"/>
        </w:rPr>
        <w:t xml:space="preserve"> </w:t>
      </w:r>
      <w:hyperlink r:id="rId5">
        <w:r>
          <w:rPr>
            <w:rFonts w:ascii="Book Antiqua"/>
            <w:i/>
            <w:w w:val="110"/>
          </w:rPr>
          <w:t>www.regulations.gov</w:t>
        </w:r>
      </w:hyperlink>
      <w:r>
        <w:rPr>
          <w:rFonts w:ascii="Book Antiqua"/>
          <w:i/>
          <w:w w:val="110"/>
        </w:rPr>
        <w:t xml:space="preserve"> </w:t>
      </w:r>
      <w:r>
        <w:rPr>
          <w:w w:val="110"/>
        </w:rPr>
        <w:t>or the street address</w:t>
      </w:r>
      <w:r>
        <w:rPr>
          <w:spacing w:val="-11"/>
          <w:w w:val="110"/>
        </w:rPr>
        <w:t xml:space="preserve"> </w:t>
      </w:r>
      <w:r>
        <w:rPr>
          <w:w w:val="110"/>
        </w:rPr>
        <w:t>listed</w:t>
      </w:r>
      <w:r>
        <w:rPr>
          <w:spacing w:val="-11"/>
          <w:w w:val="110"/>
        </w:rPr>
        <w:t xml:space="preserve"> </w:t>
      </w:r>
      <w:r>
        <w:rPr>
          <w:w w:val="110"/>
        </w:rPr>
        <w:t>above.</w:t>
      </w:r>
      <w:r>
        <w:rPr>
          <w:spacing w:val="-11"/>
          <w:w w:val="110"/>
        </w:rPr>
        <w:t xml:space="preserve"> </w:t>
      </w:r>
      <w:r>
        <w:rPr>
          <w:w w:val="110"/>
        </w:rPr>
        <w:t>Follow</w:t>
      </w:r>
      <w:r>
        <w:rPr>
          <w:spacing w:val="-11"/>
          <w:w w:val="110"/>
        </w:rPr>
        <w:t xml:space="preserve"> </w:t>
      </w:r>
      <w:r>
        <w:rPr>
          <w:w w:val="110"/>
        </w:rPr>
        <w:t>the</w:t>
      </w:r>
      <w:r>
        <w:rPr>
          <w:spacing w:val="-11"/>
          <w:w w:val="110"/>
        </w:rPr>
        <w:t xml:space="preserve"> </w:t>
      </w:r>
      <w:r>
        <w:rPr>
          <w:w w:val="110"/>
        </w:rPr>
        <w:t>online instructions</w:t>
      </w:r>
      <w:r>
        <w:rPr>
          <w:spacing w:val="-3"/>
          <w:w w:val="110"/>
        </w:rPr>
        <w:t xml:space="preserve"> </w:t>
      </w:r>
      <w:r>
        <w:rPr>
          <w:w w:val="110"/>
        </w:rPr>
        <w:t>for</w:t>
      </w:r>
      <w:r>
        <w:rPr>
          <w:spacing w:val="-3"/>
          <w:w w:val="110"/>
        </w:rPr>
        <w:t xml:space="preserve"> </w:t>
      </w:r>
      <w:r>
        <w:rPr>
          <w:w w:val="110"/>
        </w:rPr>
        <w:t>accessing</w:t>
      </w:r>
      <w:r>
        <w:rPr>
          <w:spacing w:val="-3"/>
          <w:w w:val="110"/>
        </w:rPr>
        <w:t xml:space="preserve"> </w:t>
      </w:r>
      <w:r>
        <w:rPr>
          <w:w w:val="110"/>
        </w:rPr>
        <w:t>the</w:t>
      </w:r>
      <w:r>
        <w:rPr>
          <w:spacing w:val="-3"/>
          <w:w w:val="110"/>
        </w:rPr>
        <w:t xml:space="preserve"> </w:t>
      </w:r>
      <w:r>
        <w:rPr>
          <w:w w:val="110"/>
        </w:rPr>
        <w:t>dockets.</w:t>
      </w:r>
    </w:p>
    <w:p w:rsidR="003A090A" w14:paraId="16979254" w14:textId="77777777">
      <w:pPr>
        <w:spacing w:before="22" w:line="220" w:lineRule="auto"/>
        <w:ind w:left="160" w:right="236" w:firstLine="180"/>
        <w:rPr>
          <w:sz w:val="18"/>
        </w:rPr>
      </w:pPr>
      <w:r>
        <w:rPr>
          <w:rFonts w:ascii="Book Antiqua" w:hAnsi="Book Antiqua"/>
          <w:i/>
          <w:w w:val="110"/>
          <w:sz w:val="18"/>
        </w:rPr>
        <w:t xml:space="preserve">Electronic Access: </w:t>
      </w:r>
      <w:r>
        <w:rPr>
          <w:w w:val="110"/>
          <w:sz w:val="18"/>
        </w:rPr>
        <w:t xml:space="preserve">You may access comments received for this notice at </w:t>
      </w:r>
      <w:hyperlink r:id="rId5">
        <w:r>
          <w:rPr>
            <w:rFonts w:ascii="Book Antiqua" w:hAnsi="Book Antiqua"/>
            <w:i/>
            <w:w w:val="110"/>
            <w:sz w:val="18"/>
          </w:rPr>
          <w:t>http://www.regulations.gov,</w:t>
        </w:r>
      </w:hyperlink>
      <w:r>
        <w:rPr>
          <w:rFonts w:ascii="Book Antiqua" w:hAnsi="Book Antiqua"/>
          <w:i/>
          <w:w w:val="110"/>
          <w:sz w:val="18"/>
        </w:rPr>
        <w:t xml:space="preserve"> </w:t>
      </w:r>
      <w:r>
        <w:rPr>
          <w:w w:val="110"/>
          <w:sz w:val="18"/>
        </w:rPr>
        <w:t>by</w:t>
      </w:r>
      <w:r>
        <w:rPr>
          <w:spacing w:val="80"/>
          <w:w w:val="150"/>
          <w:sz w:val="18"/>
        </w:rPr>
        <w:t xml:space="preserve"> </w:t>
      </w:r>
      <w:r>
        <w:rPr>
          <w:sz w:val="18"/>
        </w:rPr>
        <w:t>searching</w:t>
      </w:r>
      <w:r>
        <w:rPr>
          <w:spacing w:val="37"/>
          <w:sz w:val="18"/>
        </w:rPr>
        <w:t xml:space="preserve"> </w:t>
      </w:r>
      <w:r>
        <w:rPr>
          <w:sz w:val="18"/>
        </w:rPr>
        <w:t>docket</w:t>
      </w:r>
      <w:r>
        <w:rPr>
          <w:spacing w:val="37"/>
          <w:sz w:val="18"/>
        </w:rPr>
        <w:t xml:space="preserve"> </w:t>
      </w:r>
      <w:r>
        <w:rPr>
          <w:sz w:val="18"/>
        </w:rPr>
        <w:t>DOT–OST–2014–0031.</w:t>
      </w:r>
    </w:p>
    <w:p w:rsidR="003A090A" w14:paraId="4FD55471" w14:textId="77777777">
      <w:pPr>
        <w:spacing w:before="47"/>
        <w:ind w:left="160"/>
        <w:rPr>
          <w:rFonts w:ascii="Arial"/>
          <w:b/>
          <w:sz w:val="18"/>
        </w:rPr>
      </w:pPr>
      <w:r>
        <w:rPr>
          <w:rFonts w:ascii="Arial"/>
          <w:b/>
          <w:spacing w:val="-5"/>
          <w:sz w:val="15"/>
        </w:rPr>
        <w:t>SUPPLEMENTARY</w:t>
      </w:r>
      <w:r>
        <w:rPr>
          <w:rFonts w:ascii="Arial"/>
          <w:b/>
          <w:spacing w:val="4"/>
          <w:sz w:val="15"/>
        </w:rPr>
        <w:t xml:space="preserve"> </w:t>
      </w:r>
      <w:r>
        <w:rPr>
          <w:rFonts w:ascii="Arial"/>
          <w:b/>
          <w:spacing w:val="-2"/>
          <w:sz w:val="15"/>
        </w:rPr>
        <w:t>INFORMATION</w:t>
      </w:r>
      <w:r>
        <w:rPr>
          <w:rFonts w:ascii="Arial"/>
          <w:b/>
          <w:spacing w:val="-2"/>
          <w:sz w:val="18"/>
        </w:rPr>
        <w:t>:</w:t>
      </w:r>
    </w:p>
    <w:p w:rsidR="003A090A" w14:paraId="4615482B" w14:textId="77777777">
      <w:pPr>
        <w:spacing w:before="5" w:line="218" w:lineRule="exact"/>
        <w:ind w:left="340"/>
        <w:rPr>
          <w:sz w:val="18"/>
        </w:rPr>
      </w:pPr>
      <w:r>
        <w:rPr>
          <w:rFonts w:ascii="Book Antiqua" w:hAnsi="Book Antiqua"/>
          <w:i/>
          <w:w w:val="105"/>
          <w:sz w:val="18"/>
        </w:rPr>
        <w:t>OMB</w:t>
      </w:r>
      <w:r>
        <w:rPr>
          <w:rFonts w:ascii="Book Antiqua" w:hAnsi="Book Antiqua"/>
          <w:i/>
          <w:spacing w:val="17"/>
          <w:w w:val="105"/>
          <w:sz w:val="18"/>
        </w:rPr>
        <w:t xml:space="preserve"> </w:t>
      </w:r>
      <w:r>
        <w:rPr>
          <w:rFonts w:ascii="Book Antiqua" w:hAnsi="Book Antiqua"/>
          <w:i/>
          <w:w w:val="105"/>
          <w:sz w:val="18"/>
        </w:rPr>
        <w:t>Approval</w:t>
      </w:r>
      <w:r>
        <w:rPr>
          <w:rFonts w:ascii="Book Antiqua" w:hAnsi="Book Antiqua"/>
          <w:i/>
          <w:spacing w:val="18"/>
          <w:w w:val="105"/>
          <w:sz w:val="18"/>
        </w:rPr>
        <w:t xml:space="preserve"> </w:t>
      </w:r>
      <w:r>
        <w:rPr>
          <w:rFonts w:ascii="Book Antiqua" w:hAnsi="Book Antiqua"/>
          <w:i/>
          <w:w w:val="105"/>
          <w:sz w:val="18"/>
        </w:rPr>
        <w:t>No.:</w:t>
      </w:r>
      <w:r>
        <w:rPr>
          <w:rFonts w:ascii="Book Antiqua" w:hAnsi="Book Antiqua"/>
          <w:i/>
          <w:spacing w:val="18"/>
          <w:w w:val="105"/>
          <w:sz w:val="18"/>
        </w:rPr>
        <w:t xml:space="preserve"> </w:t>
      </w:r>
      <w:r>
        <w:rPr>
          <w:spacing w:val="-2"/>
          <w:w w:val="105"/>
          <w:sz w:val="18"/>
        </w:rPr>
        <w:t>2138–0009.</w:t>
      </w:r>
    </w:p>
    <w:p w:rsidR="003A090A" w14:paraId="397E80A6" w14:textId="77777777">
      <w:pPr>
        <w:pStyle w:val="BodyText"/>
        <w:spacing w:before="10" w:line="220" w:lineRule="auto"/>
        <w:ind w:right="236" w:firstLine="180"/>
      </w:pPr>
      <w:r>
        <w:rPr>
          <w:rFonts w:ascii="Book Antiqua"/>
          <w:i/>
          <w:w w:val="105"/>
        </w:rPr>
        <w:t xml:space="preserve">Title: </w:t>
      </w:r>
      <w:r>
        <w:rPr>
          <w:w w:val="105"/>
        </w:rPr>
        <w:t xml:space="preserve">Report of Financial and Operating Statistics for Small Aircraft </w:t>
      </w:r>
      <w:r>
        <w:rPr>
          <w:spacing w:val="-2"/>
          <w:w w:val="105"/>
        </w:rPr>
        <w:t>Operators.</w:t>
      </w:r>
    </w:p>
    <w:p w:rsidR="003A090A" w14:paraId="451A30C7" w14:textId="77777777">
      <w:pPr>
        <w:spacing w:before="8"/>
        <w:ind w:left="340"/>
        <w:rPr>
          <w:sz w:val="18"/>
        </w:rPr>
      </w:pPr>
      <w:r>
        <w:rPr>
          <w:rFonts w:ascii="Book Antiqua" w:hAnsi="Book Antiqua"/>
          <w:i/>
          <w:w w:val="110"/>
          <w:sz w:val="18"/>
        </w:rPr>
        <w:t>Form</w:t>
      </w:r>
      <w:r>
        <w:rPr>
          <w:rFonts w:ascii="Book Antiqua" w:hAnsi="Book Antiqua"/>
          <w:i/>
          <w:spacing w:val="-3"/>
          <w:w w:val="110"/>
          <w:sz w:val="18"/>
        </w:rPr>
        <w:t xml:space="preserve"> </w:t>
      </w:r>
      <w:r>
        <w:rPr>
          <w:rFonts w:ascii="Book Antiqua" w:hAnsi="Book Antiqua"/>
          <w:i/>
          <w:w w:val="110"/>
          <w:sz w:val="18"/>
        </w:rPr>
        <w:t>No.:</w:t>
      </w:r>
      <w:r>
        <w:rPr>
          <w:rFonts w:ascii="Book Antiqua" w:hAnsi="Book Antiqua"/>
          <w:i/>
          <w:spacing w:val="-2"/>
          <w:w w:val="110"/>
          <w:sz w:val="18"/>
        </w:rPr>
        <w:t xml:space="preserve"> </w:t>
      </w:r>
      <w:r>
        <w:rPr>
          <w:w w:val="110"/>
          <w:sz w:val="18"/>
        </w:rPr>
        <w:t>BTS</w:t>
      </w:r>
      <w:r>
        <w:rPr>
          <w:spacing w:val="3"/>
          <w:w w:val="110"/>
          <w:sz w:val="18"/>
        </w:rPr>
        <w:t xml:space="preserve"> </w:t>
      </w:r>
      <w:r>
        <w:rPr>
          <w:w w:val="110"/>
          <w:sz w:val="18"/>
        </w:rPr>
        <w:t>Form</w:t>
      </w:r>
      <w:r>
        <w:rPr>
          <w:spacing w:val="3"/>
          <w:w w:val="110"/>
          <w:sz w:val="18"/>
        </w:rPr>
        <w:t xml:space="preserve"> </w:t>
      </w:r>
      <w:r>
        <w:rPr>
          <w:spacing w:val="-2"/>
          <w:w w:val="110"/>
          <w:sz w:val="18"/>
        </w:rPr>
        <w:t>298–C.</w:t>
      </w:r>
    </w:p>
    <w:sectPr>
      <w:type w:val="continuous"/>
      <w:pgSz w:w="12240" w:h="15840"/>
      <w:pgMar w:top="260" w:right="780" w:bottom="280" w:left="740" w:header="720" w:footer="720" w:gutter="0"/>
      <w:cols w:num="3" w:space="720" w:equalWidth="0">
        <w:col w:w="3515" w:space="40"/>
        <w:col w:w="3460" w:space="65"/>
        <w:col w:w="3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6041A4"/>
    <w:multiLevelType w:val="hybridMultilevel"/>
    <w:tmpl w:val="E2F46AD8"/>
    <w:lvl w:ilvl="0">
      <w:start w:val="0"/>
      <w:numFmt w:val="bullet"/>
      <w:lvlText w:val=""/>
      <w:lvlJc w:val="left"/>
      <w:pPr>
        <w:ind w:left="143" w:hanging="18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476" w:hanging="183"/>
      </w:pPr>
      <w:rPr>
        <w:rFonts w:hint="default"/>
        <w:lang w:val="en-US" w:eastAsia="en-US" w:bidi="ar-SA"/>
      </w:rPr>
    </w:lvl>
    <w:lvl w:ilvl="2">
      <w:start w:val="0"/>
      <w:numFmt w:val="bullet"/>
      <w:lvlText w:val="•"/>
      <w:lvlJc w:val="left"/>
      <w:pPr>
        <w:ind w:left="812" w:hanging="183"/>
      </w:pPr>
      <w:rPr>
        <w:rFonts w:hint="default"/>
        <w:lang w:val="en-US" w:eastAsia="en-US" w:bidi="ar-SA"/>
      </w:rPr>
    </w:lvl>
    <w:lvl w:ilvl="3">
      <w:start w:val="0"/>
      <w:numFmt w:val="bullet"/>
      <w:lvlText w:val="•"/>
      <w:lvlJc w:val="left"/>
      <w:pPr>
        <w:ind w:left="1148" w:hanging="183"/>
      </w:pPr>
      <w:rPr>
        <w:rFonts w:hint="default"/>
        <w:lang w:val="en-US" w:eastAsia="en-US" w:bidi="ar-SA"/>
      </w:rPr>
    </w:lvl>
    <w:lvl w:ilvl="4">
      <w:start w:val="0"/>
      <w:numFmt w:val="bullet"/>
      <w:lvlText w:val="•"/>
      <w:lvlJc w:val="left"/>
      <w:pPr>
        <w:ind w:left="1484" w:hanging="183"/>
      </w:pPr>
      <w:rPr>
        <w:rFonts w:hint="default"/>
        <w:lang w:val="en-US" w:eastAsia="en-US" w:bidi="ar-SA"/>
      </w:rPr>
    </w:lvl>
    <w:lvl w:ilvl="5">
      <w:start w:val="0"/>
      <w:numFmt w:val="bullet"/>
      <w:lvlText w:val="•"/>
      <w:lvlJc w:val="left"/>
      <w:pPr>
        <w:ind w:left="1820" w:hanging="183"/>
      </w:pPr>
      <w:rPr>
        <w:rFonts w:hint="default"/>
        <w:lang w:val="en-US" w:eastAsia="en-US" w:bidi="ar-SA"/>
      </w:rPr>
    </w:lvl>
    <w:lvl w:ilvl="6">
      <w:start w:val="0"/>
      <w:numFmt w:val="bullet"/>
      <w:lvlText w:val="•"/>
      <w:lvlJc w:val="left"/>
      <w:pPr>
        <w:ind w:left="2156" w:hanging="183"/>
      </w:pPr>
      <w:rPr>
        <w:rFonts w:hint="default"/>
        <w:lang w:val="en-US" w:eastAsia="en-US" w:bidi="ar-SA"/>
      </w:rPr>
    </w:lvl>
    <w:lvl w:ilvl="7">
      <w:start w:val="0"/>
      <w:numFmt w:val="bullet"/>
      <w:lvlText w:val="•"/>
      <w:lvlJc w:val="left"/>
      <w:pPr>
        <w:ind w:left="2492" w:hanging="183"/>
      </w:pPr>
      <w:rPr>
        <w:rFonts w:hint="default"/>
        <w:lang w:val="en-US" w:eastAsia="en-US" w:bidi="ar-SA"/>
      </w:rPr>
    </w:lvl>
    <w:lvl w:ilvl="8">
      <w:start w:val="0"/>
      <w:numFmt w:val="bullet"/>
      <w:lvlText w:val="•"/>
      <w:lvlJc w:val="left"/>
      <w:pPr>
        <w:ind w:left="2829" w:hanging="183"/>
      </w:pPr>
      <w:rPr>
        <w:rFonts w:hint="default"/>
        <w:lang w:val="en-US" w:eastAsia="en-US" w:bidi="ar-SA"/>
      </w:rPr>
    </w:lvl>
  </w:abstractNum>
  <w:abstractNum w:abstractNumId="1">
    <w:nsid w:val="49EB6EC7"/>
    <w:multiLevelType w:val="hybridMultilevel"/>
    <w:tmpl w:val="15D4ADE0"/>
    <w:lvl w:ilvl="0">
      <w:start w:val="0"/>
      <w:numFmt w:val="bullet"/>
      <w:lvlText w:val=""/>
      <w:lvlJc w:val="left"/>
      <w:pPr>
        <w:ind w:left="144" w:hanging="18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476" w:hanging="183"/>
      </w:pPr>
      <w:rPr>
        <w:rFonts w:hint="default"/>
        <w:lang w:val="en-US" w:eastAsia="en-US" w:bidi="ar-SA"/>
      </w:rPr>
    </w:lvl>
    <w:lvl w:ilvl="2">
      <w:start w:val="0"/>
      <w:numFmt w:val="bullet"/>
      <w:lvlText w:val="•"/>
      <w:lvlJc w:val="left"/>
      <w:pPr>
        <w:ind w:left="812" w:hanging="183"/>
      </w:pPr>
      <w:rPr>
        <w:rFonts w:hint="default"/>
        <w:lang w:val="en-US" w:eastAsia="en-US" w:bidi="ar-SA"/>
      </w:rPr>
    </w:lvl>
    <w:lvl w:ilvl="3">
      <w:start w:val="0"/>
      <w:numFmt w:val="bullet"/>
      <w:lvlText w:val="•"/>
      <w:lvlJc w:val="left"/>
      <w:pPr>
        <w:ind w:left="1148" w:hanging="183"/>
      </w:pPr>
      <w:rPr>
        <w:rFonts w:hint="default"/>
        <w:lang w:val="en-US" w:eastAsia="en-US" w:bidi="ar-SA"/>
      </w:rPr>
    </w:lvl>
    <w:lvl w:ilvl="4">
      <w:start w:val="0"/>
      <w:numFmt w:val="bullet"/>
      <w:lvlText w:val="•"/>
      <w:lvlJc w:val="left"/>
      <w:pPr>
        <w:ind w:left="1484" w:hanging="183"/>
      </w:pPr>
      <w:rPr>
        <w:rFonts w:hint="default"/>
        <w:lang w:val="en-US" w:eastAsia="en-US" w:bidi="ar-SA"/>
      </w:rPr>
    </w:lvl>
    <w:lvl w:ilvl="5">
      <w:start w:val="0"/>
      <w:numFmt w:val="bullet"/>
      <w:lvlText w:val="•"/>
      <w:lvlJc w:val="left"/>
      <w:pPr>
        <w:ind w:left="1820" w:hanging="183"/>
      </w:pPr>
      <w:rPr>
        <w:rFonts w:hint="default"/>
        <w:lang w:val="en-US" w:eastAsia="en-US" w:bidi="ar-SA"/>
      </w:rPr>
    </w:lvl>
    <w:lvl w:ilvl="6">
      <w:start w:val="0"/>
      <w:numFmt w:val="bullet"/>
      <w:lvlText w:val="•"/>
      <w:lvlJc w:val="left"/>
      <w:pPr>
        <w:ind w:left="2156" w:hanging="183"/>
      </w:pPr>
      <w:rPr>
        <w:rFonts w:hint="default"/>
        <w:lang w:val="en-US" w:eastAsia="en-US" w:bidi="ar-SA"/>
      </w:rPr>
    </w:lvl>
    <w:lvl w:ilvl="7">
      <w:start w:val="0"/>
      <w:numFmt w:val="bullet"/>
      <w:lvlText w:val="•"/>
      <w:lvlJc w:val="left"/>
      <w:pPr>
        <w:ind w:left="2492" w:hanging="183"/>
      </w:pPr>
      <w:rPr>
        <w:rFonts w:hint="default"/>
        <w:lang w:val="en-US" w:eastAsia="en-US" w:bidi="ar-SA"/>
      </w:rPr>
    </w:lvl>
    <w:lvl w:ilvl="8">
      <w:start w:val="0"/>
      <w:numFmt w:val="bullet"/>
      <w:lvlText w:val="•"/>
      <w:lvlJc w:val="left"/>
      <w:pPr>
        <w:ind w:left="2829" w:hanging="183"/>
      </w:pPr>
      <w:rPr>
        <w:rFonts w:hint="default"/>
        <w:lang w:val="en-US" w:eastAsia="en-US" w:bidi="ar-SA"/>
      </w:rPr>
    </w:lvl>
  </w:abstractNum>
  <w:abstractNum w:abstractNumId="2">
    <w:nsid w:val="6512416A"/>
    <w:multiLevelType w:val="hybridMultilevel"/>
    <w:tmpl w:val="A3BE47BC"/>
    <w:lvl w:ilvl="0">
      <w:start w:val="1"/>
      <w:numFmt w:val="decimal"/>
      <w:lvlText w:val="%1."/>
      <w:lvlJc w:val="left"/>
      <w:pPr>
        <w:ind w:left="154" w:hanging="200"/>
        <w:jc w:val="left"/>
      </w:pPr>
      <w:rPr>
        <w:rFonts w:ascii="Book Antiqua" w:eastAsia="Book Antiqua" w:hAnsi="Book Antiqua" w:cs="Book Antiqua" w:hint="default"/>
        <w:b/>
        <w:bCs/>
        <w:i w:val="0"/>
        <w:iCs w:val="0"/>
        <w:spacing w:val="0"/>
        <w:w w:val="111"/>
        <w:sz w:val="18"/>
        <w:szCs w:val="18"/>
        <w:lang w:val="en-US" w:eastAsia="en-US" w:bidi="ar-SA"/>
      </w:rPr>
    </w:lvl>
    <w:lvl w:ilvl="1">
      <w:start w:val="0"/>
      <w:numFmt w:val="bullet"/>
      <w:lvlText w:val="•"/>
      <w:lvlJc w:val="left"/>
      <w:pPr>
        <w:ind w:left="493" w:hanging="200"/>
      </w:pPr>
      <w:rPr>
        <w:rFonts w:hint="default"/>
        <w:lang w:val="en-US" w:eastAsia="en-US" w:bidi="ar-SA"/>
      </w:rPr>
    </w:lvl>
    <w:lvl w:ilvl="2">
      <w:start w:val="0"/>
      <w:numFmt w:val="bullet"/>
      <w:lvlText w:val="•"/>
      <w:lvlJc w:val="left"/>
      <w:pPr>
        <w:ind w:left="827" w:hanging="200"/>
      </w:pPr>
      <w:rPr>
        <w:rFonts w:hint="default"/>
        <w:lang w:val="en-US" w:eastAsia="en-US" w:bidi="ar-SA"/>
      </w:rPr>
    </w:lvl>
    <w:lvl w:ilvl="3">
      <w:start w:val="0"/>
      <w:numFmt w:val="bullet"/>
      <w:lvlText w:val="•"/>
      <w:lvlJc w:val="left"/>
      <w:pPr>
        <w:ind w:left="1161" w:hanging="200"/>
      </w:pPr>
      <w:rPr>
        <w:rFonts w:hint="default"/>
        <w:lang w:val="en-US" w:eastAsia="en-US" w:bidi="ar-SA"/>
      </w:rPr>
    </w:lvl>
    <w:lvl w:ilvl="4">
      <w:start w:val="0"/>
      <w:numFmt w:val="bullet"/>
      <w:lvlText w:val="•"/>
      <w:lvlJc w:val="left"/>
      <w:pPr>
        <w:ind w:left="1495" w:hanging="200"/>
      </w:pPr>
      <w:rPr>
        <w:rFonts w:hint="default"/>
        <w:lang w:val="en-US" w:eastAsia="en-US" w:bidi="ar-SA"/>
      </w:rPr>
    </w:lvl>
    <w:lvl w:ilvl="5">
      <w:start w:val="0"/>
      <w:numFmt w:val="bullet"/>
      <w:lvlText w:val="•"/>
      <w:lvlJc w:val="left"/>
      <w:pPr>
        <w:ind w:left="1829" w:hanging="200"/>
      </w:pPr>
      <w:rPr>
        <w:rFonts w:hint="default"/>
        <w:lang w:val="en-US" w:eastAsia="en-US" w:bidi="ar-SA"/>
      </w:rPr>
    </w:lvl>
    <w:lvl w:ilvl="6">
      <w:start w:val="0"/>
      <w:numFmt w:val="bullet"/>
      <w:lvlText w:val="•"/>
      <w:lvlJc w:val="left"/>
      <w:pPr>
        <w:ind w:left="2163" w:hanging="200"/>
      </w:pPr>
      <w:rPr>
        <w:rFonts w:hint="default"/>
        <w:lang w:val="en-US" w:eastAsia="en-US" w:bidi="ar-SA"/>
      </w:rPr>
    </w:lvl>
    <w:lvl w:ilvl="7">
      <w:start w:val="0"/>
      <w:numFmt w:val="bullet"/>
      <w:lvlText w:val="•"/>
      <w:lvlJc w:val="left"/>
      <w:pPr>
        <w:ind w:left="2497" w:hanging="200"/>
      </w:pPr>
      <w:rPr>
        <w:rFonts w:hint="default"/>
        <w:lang w:val="en-US" w:eastAsia="en-US" w:bidi="ar-SA"/>
      </w:rPr>
    </w:lvl>
    <w:lvl w:ilvl="8">
      <w:start w:val="0"/>
      <w:numFmt w:val="bullet"/>
      <w:lvlText w:val="•"/>
      <w:lvlJc w:val="left"/>
      <w:pPr>
        <w:ind w:left="2830" w:hanging="200"/>
      </w:pPr>
      <w:rPr>
        <w:rFonts w:hint="default"/>
        <w:lang w:val="en-US" w:eastAsia="en-US" w:bidi="ar-SA"/>
      </w:rPr>
    </w:lvl>
  </w:abstractNum>
  <w:abstractNum w:abstractNumId="3">
    <w:nsid w:val="65C8020C"/>
    <w:multiLevelType w:val="hybridMultilevel"/>
    <w:tmpl w:val="78A2393A"/>
    <w:lvl w:ilvl="0">
      <w:start w:val="0"/>
      <w:numFmt w:val="bullet"/>
      <w:lvlText w:val=""/>
      <w:lvlJc w:val="left"/>
      <w:pPr>
        <w:ind w:left="160" w:hanging="18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495" w:hanging="183"/>
      </w:pPr>
      <w:rPr>
        <w:rFonts w:hint="default"/>
        <w:lang w:val="en-US" w:eastAsia="en-US" w:bidi="ar-SA"/>
      </w:rPr>
    </w:lvl>
    <w:lvl w:ilvl="2">
      <w:start w:val="0"/>
      <w:numFmt w:val="bullet"/>
      <w:lvlText w:val="•"/>
      <w:lvlJc w:val="left"/>
      <w:pPr>
        <w:ind w:left="831" w:hanging="183"/>
      </w:pPr>
      <w:rPr>
        <w:rFonts w:hint="default"/>
        <w:lang w:val="en-US" w:eastAsia="en-US" w:bidi="ar-SA"/>
      </w:rPr>
    </w:lvl>
    <w:lvl w:ilvl="3">
      <w:start w:val="0"/>
      <w:numFmt w:val="bullet"/>
      <w:lvlText w:val="•"/>
      <w:lvlJc w:val="left"/>
      <w:pPr>
        <w:ind w:left="1166" w:hanging="183"/>
      </w:pPr>
      <w:rPr>
        <w:rFonts w:hint="default"/>
        <w:lang w:val="en-US" w:eastAsia="en-US" w:bidi="ar-SA"/>
      </w:rPr>
    </w:lvl>
    <w:lvl w:ilvl="4">
      <w:start w:val="0"/>
      <w:numFmt w:val="bullet"/>
      <w:lvlText w:val="•"/>
      <w:lvlJc w:val="left"/>
      <w:pPr>
        <w:ind w:left="1502" w:hanging="183"/>
      </w:pPr>
      <w:rPr>
        <w:rFonts w:hint="default"/>
        <w:lang w:val="en-US" w:eastAsia="en-US" w:bidi="ar-SA"/>
      </w:rPr>
    </w:lvl>
    <w:lvl w:ilvl="5">
      <w:start w:val="0"/>
      <w:numFmt w:val="bullet"/>
      <w:lvlText w:val="•"/>
      <w:lvlJc w:val="left"/>
      <w:pPr>
        <w:ind w:left="1838" w:hanging="183"/>
      </w:pPr>
      <w:rPr>
        <w:rFonts w:hint="default"/>
        <w:lang w:val="en-US" w:eastAsia="en-US" w:bidi="ar-SA"/>
      </w:rPr>
    </w:lvl>
    <w:lvl w:ilvl="6">
      <w:start w:val="0"/>
      <w:numFmt w:val="bullet"/>
      <w:lvlText w:val="•"/>
      <w:lvlJc w:val="left"/>
      <w:pPr>
        <w:ind w:left="2173" w:hanging="183"/>
      </w:pPr>
      <w:rPr>
        <w:rFonts w:hint="default"/>
        <w:lang w:val="en-US" w:eastAsia="en-US" w:bidi="ar-SA"/>
      </w:rPr>
    </w:lvl>
    <w:lvl w:ilvl="7">
      <w:start w:val="0"/>
      <w:numFmt w:val="bullet"/>
      <w:lvlText w:val="•"/>
      <w:lvlJc w:val="left"/>
      <w:pPr>
        <w:ind w:left="2509" w:hanging="183"/>
      </w:pPr>
      <w:rPr>
        <w:rFonts w:hint="default"/>
        <w:lang w:val="en-US" w:eastAsia="en-US" w:bidi="ar-SA"/>
      </w:rPr>
    </w:lvl>
    <w:lvl w:ilvl="8">
      <w:start w:val="0"/>
      <w:numFmt w:val="bullet"/>
      <w:lvlText w:val="•"/>
      <w:lvlJc w:val="left"/>
      <w:pPr>
        <w:ind w:left="2845" w:hanging="183"/>
      </w:pPr>
      <w:rPr>
        <w:rFonts w:hint="default"/>
        <w:lang w:val="en-US" w:eastAsia="en-US" w:bidi="ar-SA"/>
      </w:rPr>
    </w:lvl>
  </w:abstractNum>
  <w:num w:numId="1" w16cid:durableId="64882327">
    <w:abstractNumId w:val="2"/>
  </w:num>
  <w:num w:numId="2" w16cid:durableId="1527211275">
    <w:abstractNumId w:val="1"/>
  </w:num>
  <w:num w:numId="3" w16cid:durableId="1389692883">
    <w:abstractNumId w:val="0"/>
  </w:num>
  <w:num w:numId="4" w16cid:durableId="632253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0A"/>
    <w:rsid w:val="000D59D4"/>
    <w:rsid w:val="001A0C0D"/>
    <w:rsid w:val="003A0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1A8A24"/>
  <w15:docId w15:val="{63CB1A4E-A8E2-47F6-9DAE-E0B8505E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3"/>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18"/>
      <w:szCs w:val="18"/>
    </w:rPr>
  </w:style>
  <w:style w:type="paragraph" w:styleId="ListParagraph">
    <w:name w:val="List Paragraph"/>
    <w:basedOn w:val="Normal"/>
    <w:uiPriority w:val="1"/>
    <w:qFormat/>
    <w:pPr>
      <w:ind w:left="143" w:firstLine="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ms7.bts.dot.gov/sites/bts.dot.gov/files/docs/explore-topics-and-geography/topics/airlines-and-airports/207741/technical-directive-no-27-time-2018.pdf" TargetMode="External" /><Relationship Id="rId11" Type="http://schemas.openxmlformats.org/officeDocument/2006/relationships/hyperlink" Target="https://www.bts.dot.gov/sites/bts.dot.gov/files/docs/explore-topics-and-geography/topics/airlines-and-airports/224606/technicaldirective30abaggage2019amended.pdf" TargetMode="External" /><Relationship Id="rId12" Type="http://schemas.openxmlformats.org/officeDocument/2006/relationships/hyperlink" Target="mailto:Jennifer.rodes@dot.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regulations.gov/" TargetMode="External" /><Relationship Id="rId6" Type="http://schemas.openxmlformats.org/officeDocument/2006/relationships/hyperlink" Target="http://www.whitehouse.gov/omb/fedreg/reproducible.html" TargetMode="External" /><Relationship Id="rId7" Type="http://schemas.openxmlformats.org/officeDocument/2006/relationships/hyperlink" Target="http://www.bts.gov/programs/statistical_policy_and_research/data_quality_guidelines" TargetMode="External" /><Relationship Id="rId8" Type="http://schemas.openxmlformats.org/officeDocument/2006/relationships/hyperlink" Target="https://www.regulations.gov/" TargetMode="External" /><Relationship Id="rId9" Type="http://schemas.openxmlformats.org/officeDocument/2006/relationships/hyperlink" Target="mailto:cecelia.robinson@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3533</Words>
  <Characters>20142</Characters>
  <Application>Microsoft Office Word</Application>
  <DocSecurity>0</DocSecurity>
  <Lines>167</Lines>
  <Paragraphs>47</Paragraphs>
  <ScaleCrop>false</ScaleCrop>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Kimberly (OST)</dc:creator>
  <cp:lastModifiedBy>Webb, Kimberly (OST)</cp:lastModifiedBy>
  <cp:revision>2</cp:revision>
  <dcterms:created xsi:type="dcterms:W3CDTF">2024-12-03T14:21:00Z</dcterms:created>
  <dcterms:modified xsi:type="dcterms:W3CDTF">2024-12-03T14:21:00Z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govinfo, U. S. Government Publishing Office</vt:lpwstr>
  </property>
  <property fmtid="{D5CDD505-2E9C-101B-9397-08002B2CF9AE}" pid="4" name="LastSaved">
    <vt:filetime>2024-12-03T00:00:00Z</vt:filetime>
  </property>
  <property fmtid="{D5CDD505-2E9C-101B-9397-08002B2CF9AE}" pid="5" name="Producer">
    <vt:lpwstr>iText® Core 7.2.3 (production version) ©2000-2022 iText Group NV, Government Publishing Office</vt:lpwstr>
  </property>
</Properties>
</file>