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6BECD836" w14:textId="5EE50B4A">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14:paraId="782F7957" w14:textId="77777777">
      <w:pPr>
        <w:jc w:val="center"/>
        <w:rPr>
          <w:rFonts w:eastAsia="Calibri"/>
        </w:rPr>
      </w:pPr>
    </w:p>
    <w:p w:rsidR="00357C8A" w:rsidP="00357C8A" w14:paraId="504EE3D5" w14:textId="77777777">
      <w:pPr>
        <w:jc w:val="center"/>
        <w:rPr>
          <w:rFonts w:eastAsia="Calibri"/>
        </w:rPr>
      </w:pPr>
      <w:r w:rsidRPr="00D63EC2">
        <w:rPr>
          <w:rFonts w:eastAsia="Calibri"/>
        </w:rPr>
        <w:t>Food Labeling Regulations</w:t>
      </w:r>
    </w:p>
    <w:p w:rsidR="00357C8A" w:rsidP="00357C8A" w14:paraId="7D874B80" w14:textId="77777777">
      <w:pPr>
        <w:jc w:val="center"/>
        <w:rPr>
          <w:rFonts w:eastAsia="Calibri"/>
        </w:rPr>
      </w:pPr>
    </w:p>
    <w:p w:rsidR="00357C8A" w:rsidRPr="001E3C08" w:rsidP="00357C8A" w14:paraId="4A6867A2" w14:textId="77777777">
      <w:pPr>
        <w:jc w:val="center"/>
        <w:rPr>
          <w:rFonts w:eastAsia="Calibri"/>
          <w:u w:val="single"/>
        </w:rPr>
      </w:pPr>
      <w:r w:rsidRPr="001E3C08">
        <w:rPr>
          <w:rFonts w:eastAsia="Calibri"/>
          <w:u w:val="single"/>
        </w:rPr>
        <w:t>OMB Control No. 0910-</w:t>
      </w:r>
      <w:r w:rsidRPr="001E3C08" w:rsidR="00D63EC2">
        <w:rPr>
          <w:rFonts w:eastAsia="Calibri"/>
          <w:u w:val="single"/>
        </w:rPr>
        <w:t>0381</w:t>
      </w:r>
    </w:p>
    <w:p w:rsidR="00D63EC2" w:rsidP="00357C8A" w14:paraId="225C8EB1" w14:textId="77777777">
      <w:pPr>
        <w:jc w:val="center"/>
        <w:rPr>
          <w:rFonts w:eastAsia="Calibri"/>
        </w:rPr>
      </w:pPr>
      <w:r w:rsidRPr="00D63EC2">
        <w:rPr>
          <w:rFonts w:eastAsia="Calibri"/>
        </w:rPr>
        <w:t>RIN 0910-AI13</w:t>
      </w:r>
    </w:p>
    <w:p w:rsidR="00357C8A" w:rsidP="00357C8A" w14:paraId="53DAD1CC" w14:textId="77777777">
      <w:pPr>
        <w:jc w:val="center"/>
        <w:rPr>
          <w:rFonts w:eastAsia="Calibri"/>
        </w:rPr>
      </w:pPr>
    </w:p>
    <w:p w:rsidR="00357C8A" w:rsidP="00357C8A" w14:paraId="0CAF737A" w14:textId="62AC10F4">
      <w:pPr>
        <w:jc w:val="center"/>
        <w:rPr>
          <w:rFonts w:eastAsia="Calibri"/>
        </w:rPr>
      </w:pPr>
      <w:r w:rsidRPr="00357C8A">
        <w:rPr>
          <w:rFonts w:eastAsia="Calibri"/>
        </w:rPr>
        <w:t>SUPPORTING STATEMENT</w:t>
      </w:r>
      <w:r w:rsidR="007D0495">
        <w:rPr>
          <w:rFonts w:eastAsia="Calibri"/>
        </w:rPr>
        <w:t>--Revision</w:t>
      </w:r>
    </w:p>
    <w:p w:rsidR="009B4DF2" w:rsidP="00357C8A" w14:paraId="41EDC62B" w14:textId="77777777">
      <w:pPr>
        <w:jc w:val="center"/>
        <w:rPr>
          <w:rFonts w:eastAsia="Calibri"/>
        </w:rPr>
      </w:pPr>
    </w:p>
    <w:p w:rsidR="00357C8A" w:rsidP="000D79CC" w14:paraId="59D837F6" w14:textId="77777777">
      <w:pPr>
        <w:rPr>
          <w:rFonts w:eastAsia="Calibri"/>
        </w:rPr>
      </w:pPr>
      <w:r w:rsidRPr="00357C8A">
        <w:rPr>
          <w:rFonts w:eastAsia="Calibri"/>
          <w:b/>
        </w:rPr>
        <w:t>Part A:  Justification</w:t>
      </w:r>
      <w:r w:rsidRPr="00357C8A">
        <w:rPr>
          <w:rFonts w:eastAsia="Calibri"/>
        </w:rPr>
        <w:t>:</w:t>
      </w:r>
    </w:p>
    <w:p w:rsidR="000D79CC" w:rsidRPr="00357C8A" w:rsidP="000D79CC" w14:paraId="56E7B820" w14:textId="77777777">
      <w:pPr>
        <w:rPr>
          <w:rFonts w:eastAsia="Calibri"/>
        </w:rPr>
      </w:pPr>
    </w:p>
    <w:p w:rsidR="00357C8A" w:rsidRPr="00357C8A" w:rsidP="006705EA" w14:paraId="128F82B6"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23272" w:rsidP="00596AF5" w14:paraId="18D35776" w14:textId="1D0DD890">
      <w:pPr>
        <w:rPr>
          <w:rFonts w:eastAsia="Calibri"/>
        </w:rPr>
      </w:pPr>
      <w:r w:rsidRPr="005C71CA">
        <w:rPr>
          <w:rFonts w:eastAsia="Calibri"/>
        </w:rPr>
        <w:t xml:space="preserve">This information collection supports Food and Drug Administration (FDA or we) </w:t>
      </w:r>
      <w:r w:rsidR="009B74B7">
        <w:rPr>
          <w:rFonts w:eastAsia="Calibri"/>
        </w:rPr>
        <w:t>rulemaking</w:t>
      </w:r>
      <w:r w:rsidR="00CC6F90">
        <w:rPr>
          <w:rFonts w:eastAsia="Calibri"/>
        </w:rPr>
        <w:t xml:space="preserve"> that </w:t>
      </w:r>
      <w:r w:rsidR="003E43B4">
        <w:rPr>
          <w:rFonts w:eastAsia="Calibri"/>
        </w:rPr>
        <w:t>revise</w:t>
      </w:r>
      <w:r w:rsidR="00642EB9">
        <w:rPr>
          <w:rFonts w:eastAsia="Calibri"/>
        </w:rPr>
        <w:t>s</w:t>
      </w:r>
      <w:r w:rsidR="003E43B4">
        <w:rPr>
          <w:rFonts w:eastAsia="Calibri"/>
        </w:rPr>
        <w:t xml:space="preserve"> </w:t>
      </w:r>
      <w:bookmarkStart w:id="0" w:name="_Hlk49940677"/>
      <w:r w:rsidR="003E43B4">
        <w:rPr>
          <w:rFonts w:eastAsia="Calibri"/>
        </w:rPr>
        <w:t>21 CFR</w:t>
      </w:r>
      <w:r w:rsidR="00596AF5">
        <w:rPr>
          <w:rFonts w:eastAsia="Calibri"/>
        </w:rPr>
        <w:t> </w:t>
      </w:r>
      <w:r w:rsidR="008D0B9A">
        <w:rPr>
          <w:rFonts w:eastAsia="Calibri"/>
        </w:rPr>
        <w:t>101.65</w:t>
      </w:r>
      <w:bookmarkEnd w:id="0"/>
      <w:r w:rsidR="009E00AD">
        <w:rPr>
          <w:rFonts w:eastAsia="Calibri"/>
        </w:rPr>
        <w:t xml:space="preserve"> so</w:t>
      </w:r>
      <w:r w:rsidR="00596AF5">
        <w:rPr>
          <w:rFonts w:eastAsia="Calibri"/>
        </w:rPr>
        <w:t xml:space="preserve"> </w:t>
      </w:r>
      <w:r w:rsidRPr="002A1591" w:rsidR="002A1591">
        <w:rPr>
          <w:rFonts w:eastAsia="Calibri"/>
        </w:rPr>
        <w:t xml:space="preserve">manufacturers </w:t>
      </w:r>
      <w:r w:rsidR="003E43B4">
        <w:rPr>
          <w:rFonts w:eastAsia="Calibri"/>
        </w:rPr>
        <w:t xml:space="preserve">who </w:t>
      </w:r>
      <w:r w:rsidRPr="002A1591" w:rsidR="002A1591">
        <w:rPr>
          <w:rFonts w:eastAsia="Calibri"/>
        </w:rPr>
        <w:t>us</w:t>
      </w:r>
      <w:r w:rsidR="003E43B4">
        <w:rPr>
          <w:rFonts w:eastAsia="Calibri"/>
        </w:rPr>
        <w:t>e</w:t>
      </w:r>
      <w:r w:rsidRPr="002A1591" w:rsidR="002A1591">
        <w:rPr>
          <w:rFonts w:eastAsia="Calibri"/>
        </w:rPr>
        <w:t xml:space="preserve"> the </w:t>
      </w:r>
      <w:r w:rsidR="003E43B4">
        <w:rPr>
          <w:rFonts w:eastAsia="Calibri"/>
        </w:rPr>
        <w:t xml:space="preserve">term </w:t>
      </w:r>
      <w:r w:rsidRPr="002A1591" w:rsidR="002A1591">
        <w:rPr>
          <w:rFonts w:eastAsia="Calibri"/>
        </w:rPr>
        <w:t>“</w:t>
      </w:r>
      <w:r w:rsidRPr="002A1591" w:rsidR="002A1591">
        <w:rPr>
          <w:rFonts w:eastAsia="Calibri"/>
          <w:i/>
        </w:rPr>
        <w:t>healthy</w:t>
      </w:r>
      <w:r w:rsidRPr="002A1591" w:rsidR="002A1591">
        <w:rPr>
          <w:rFonts w:eastAsia="Calibri"/>
        </w:rPr>
        <w:t>”</w:t>
      </w:r>
      <w:r w:rsidR="003E43B4">
        <w:rPr>
          <w:rFonts w:eastAsia="Calibri"/>
        </w:rPr>
        <w:t xml:space="preserve"> in the labeling of </w:t>
      </w:r>
      <w:r w:rsidRPr="002A1591" w:rsidR="002A1591">
        <w:rPr>
          <w:rFonts w:eastAsia="Calibri"/>
        </w:rPr>
        <w:t xml:space="preserve">their products </w:t>
      </w:r>
      <w:r w:rsidR="003E43B4">
        <w:rPr>
          <w:rFonts w:eastAsia="Calibri"/>
        </w:rPr>
        <w:t xml:space="preserve">must </w:t>
      </w:r>
      <w:r w:rsidR="002A1591">
        <w:rPr>
          <w:rFonts w:eastAsia="Calibri"/>
        </w:rPr>
        <w:t>create</w:t>
      </w:r>
      <w:r w:rsidRPr="002A1591" w:rsidR="002A1591">
        <w:rPr>
          <w:rFonts w:eastAsia="Calibri"/>
        </w:rPr>
        <w:t xml:space="preserve"> and </w:t>
      </w:r>
      <w:r w:rsidR="002A1591">
        <w:rPr>
          <w:rFonts w:eastAsia="Calibri"/>
        </w:rPr>
        <w:t>maintain</w:t>
      </w:r>
      <w:r w:rsidRPr="002A1591" w:rsidR="002A1591">
        <w:rPr>
          <w:rFonts w:eastAsia="Calibri"/>
        </w:rPr>
        <w:t xml:space="preserve"> written records to verify that the products comply with th</w:t>
      </w:r>
      <w:r w:rsidR="003E43B4">
        <w:rPr>
          <w:rFonts w:eastAsia="Calibri"/>
        </w:rPr>
        <w:t>e</w:t>
      </w:r>
      <w:r w:rsidRPr="002A1591" w:rsidR="002A1591">
        <w:rPr>
          <w:rFonts w:eastAsia="Calibri"/>
        </w:rPr>
        <w:t xml:space="preserve"> </w:t>
      </w:r>
      <w:r w:rsidR="003E43B4">
        <w:rPr>
          <w:rFonts w:eastAsia="Calibri"/>
        </w:rPr>
        <w:t xml:space="preserve">applicable </w:t>
      </w:r>
      <w:r w:rsidRPr="002A1591" w:rsidR="002A1591">
        <w:rPr>
          <w:rFonts w:eastAsia="Calibri"/>
        </w:rPr>
        <w:t xml:space="preserve">requirement. </w:t>
      </w:r>
      <w:r w:rsidR="003E43B4">
        <w:rPr>
          <w:rFonts w:eastAsia="Calibri"/>
        </w:rPr>
        <w:t>In addition, and consistent with current provisions, m</w:t>
      </w:r>
      <w:r w:rsidRPr="002A1591" w:rsidR="002A1591">
        <w:rPr>
          <w:rFonts w:eastAsia="Calibri"/>
        </w:rPr>
        <w:t xml:space="preserve">anufacturers must provide these records upon request from FDA during an inspection for official review and photocopying or other means of reproduction. The </w:t>
      </w:r>
      <w:r w:rsidR="002C78DB">
        <w:rPr>
          <w:rFonts w:eastAsia="Calibri"/>
        </w:rPr>
        <w:t>final</w:t>
      </w:r>
      <w:r w:rsidRPr="002A1591" w:rsidR="002A1591">
        <w:rPr>
          <w:rFonts w:eastAsia="Calibri"/>
        </w:rPr>
        <w:t xml:space="preserve"> rule also require</w:t>
      </w:r>
      <w:r w:rsidR="002C78DB">
        <w:rPr>
          <w:rFonts w:eastAsia="Calibri"/>
        </w:rPr>
        <w:t>s</w:t>
      </w:r>
      <w:r w:rsidRPr="002A1591" w:rsidR="002A1591">
        <w:rPr>
          <w:rFonts w:eastAsia="Calibri"/>
        </w:rPr>
        <w:t xml:space="preserve"> </w:t>
      </w:r>
      <w:r w:rsidR="003E43B4">
        <w:rPr>
          <w:rFonts w:eastAsia="Calibri"/>
        </w:rPr>
        <w:t xml:space="preserve">that </w:t>
      </w:r>
      <w:r w:rsidRPr="002A1591" w:rsidR="002A1591">
        <w:rPr>
          <w:rFonts w:eastAsia="Calibri"/>
        </w:rPr>
        <w:t xml:space="preserve">some manufacturers relabel products to comply with the </w:t>
      </w:r>
      <w:r w:rsidR="003E43B4">
        <w:rPr>
          <w:rFonts w:eastAsia="Calibri"/>
        </w:rPr>
        <w:t>new requirement</w:t>
      </w:r>
      <w:r w:rsidR="007C4E59">
        <w:rPr>
          <w:rFonts w:eastAsia="Calibri"/>
        </w:rPr>
        <w:t xml:space="preserve"> and allows</w:t>
      </w:r>
      <w:r w:rsidR="00277DFC">
        <w:rPr>
          <w:rFonts w:eastAsia="Calibri"/>
        </w:rPr>
        <w:t xml:space="preserve"> manufactu</w:t>
      </w:r>
      <w:r w:rsidR="00FC4703">
        <w:rPr>
          <w:rFonts w:eastAsia="Calibri"/>
        </w:rPr>
        <w:t xml:space="preserve">rers to relabel </w:t>
      </w:r>
      <w:r w:rsidR="00277DFC">
        <w:rPr>
          <w:rFonts w:eastAsia="Calibri"/>
        </w:rPr>
        <w:t xml:space="preserve">products </w:t>
      </w:r>
      <w:r w:rsidR="00784E2D">
        <w:rPr>
          <w:rFonts w:eastAsia="Calibri"/>
        </w:rPr>
        <w:t>using the term “healthy” if it now meets the new definition</w:t>
      </w:r>
      <w:r w:rsidR="003E43B4">
        <w:rPr>
          <w:rFonts w:eastAsia="Calibri"/>
        </w:rPr>
        <w:t>.</w:t>
      </w:r>
      <w:r w:rsidR="003F6395">
        <w:rPr>
          <w:rFonts w:eastAsia="Calibri"/>
        </w:rPr>
        <w:t xml:space="preserve">  </w:t>
      </w:r>
      <w:r w:rsidR="003E43B4">
        <w:rPr>
          <w:rFonts w:eastAsia="Calibri"/>
        </w:rPr>
        <w:t xml:space="preserve">Products that do not comply with the requirement </w:t>
      </w:r>
      <w:r w:rsidR="00D63157">
        <w:rPr>
          <w:rFonts w:eastAsia="Calibri"/>
        </w:rPr>
        <w:t>ar</w:t>
      </w:r>
      <w:r w:rsidR="003E43B4">
        <w:rPr>
          <w:rFonts w:eastAsia="Calibri"/>
        </w:rPr>
        <w:t xml:space="preserve">e subject to regulatory enforcement under provisions of the Federal Food, Drug, and Cosmetic Act.  </w:t>
      </w:r>
    </w:p>
    <w:p w:rsidR="003F6395" w:rsidP="006A4393" w14:paraId="348E06D9" w14:textId="77777777">
      <w:pPr>
        <w:rPr>
          <w:rFonts w:eastAsia="Calibri"/>
        </w:rPr>
      </w:pPr>
    </w:p>
    <w:p w:rsidR="00357C8A" w:rsidP="006A4393" w14:paraId="7ECF1A30" w14:textId="174DAFF7">
      <w:pPr>
        <w:rPr>
          <w:rFonts w:eastAsia="Calibri"/>
        </w:rPr>
      </w:pPr>
      <w:r w:rsidRPr="005C71CA">
        <w:rPr>
          <w:rFonts w:eastAsia="Calibri"/>
        </w:rPr>
        <w:t xml:space="preserve">We therefore request OMB approval of </w:t>
      </w:r>
      <w:r w:rsidR="003E43B4">
        <w:rPr>
          <w:rFonts w:eastAsia="Calibri"/>
        </w:rPr>
        <w:t xml:space="preserve">the information collection </w:t>
      </w:r>
      <w:r w:rsidR="00F51F82">
        <w:rPr>
          <w:rFonts w:eastAsia="Calibri"/>
        </w:rPr>
        <w:t xml:space="preserve">provisions </w:t>
      </w:r>
      <w:r w:rsidR="00982119">
        <w:rPr>
          <w:rFonts w:eastAsia="Calibri"/>
        </w:rPr>
        <w:t>applicable to</w:t>
      </w:r>
      <w:r w:rsidR="003E43B4">
        <w:rPr>
          <w:rFonts w:eastAsia="Calibri"/>
        </w:rPr>
        <w:t xml:space="preserve"> </w:t>
      </w:r>
      <w:r w:rsidRPr="005C71CA">
        <w:rPr>
          <w:rFonts w:eastAsia="Calibri"/>
        </w:rPr>
        <w:t xml:space="preserve">21 CFR </w:t>
      </w:r>
      <w:r w:rsidR="006A4393">
        <w:rPr>
          <w:rFonts w:eastAsia="Calibri"/>
        </w:rPr>
        <w:t>101.65</w:t>
      </w:r>
      <w:r w:rsidR="003E43B4">
        <w:rPr>
          <w:rFonts w:eastAsia="Calibri"/>
        </w:rPr>
        <w:t>,</w:t>
      </w:r>
      <w:r w:rsidRPr="005C71CA">
        <w:rPr>
          <w:rFonts w:eastAsia="Calibri"/>
        </w:rPr>
        <w:t xml:space="preserve"> as discussed in this supporting statement.</w:t>
      </w:r>
    </w:p>
    <w:p w:rsidR="006A4393" w:rsidRPr="00357C8A" w:rsidP="006A4393" w14:paraId="6A2C98D9" w14:textId="77777777">
      <w:pPr>
        <w:rPr>
          <w:rFonts w:eastAsia="Calibri"/>
          <w:color w:val="FF0000"/>
        </w:rPr>
      </w:pPr>
    </w:p>
    <w:p w:rsidR="00357C8A" w:rsidRPr="00357C8A" w:rsidP="006705EA" w14:paraId="4BF0AEF3"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57C8A" w:rsidP="0022425B" w14:paraId="6B746C41" w14:textId="52563D73">
      <w:pPr>
        <w:spacing w:after="200"/>
        <w:rPr>
          <w:rFonts w:eastAsia="Calibri"/>
        </w:rPr>
      </w:pPr>
      <w:r w:rsidRPr="002A1591">
        <w:rPr>
          <w:rFonts w:eastAsia="Calibri"/>
        </w:rPr>
        <w:t xml:space="preserve">The purpose of our food labeling requirements allows consumers to be knowledgeable about the foods they purchase. </w:t>
      </w:r>
      <w:r w:rsidRPr="001E7F98" w:rsidR="001E7F98">
        <w:rPr>
          <w:rFonts w:eastAsia="Calibri"/>
        </w:rPr>
        <w:t xml:space="preserve">The primary user of the information to be disclosed on the label or labeling of food products is the consumer that purchases the food product.  Consumers use the information to assist them in making choices concerning their purchase of a food product. This information also enables the consumer to determine the role of the food product in a healthful diet. </w:t>
      </w:r>
      <w:r w:rsidRPr="00194C3C">
        <w:rPr>
          <w:rFonts w:eastAsia="Calibri"/>
        </w:rPr>
        <w:t xml:space="preserve">Nutrition labeling provides information for use by consumers in selecting a nutritious diet.  Other information enables a consumer to comparison shop.  </w:t>
      </w:r>
    </w:p>
    <w:p w:rsidR="001E7F98" w:rsidP="0022425B" w14:paraId="6C69DA7E" w14:textId="42368AD1">
      <w:pPr>
        <w:spacing w:after="200"/>
        <w:rPr>
          <w:rFonts w:eastAsia="Calibri"/>
        </w:rPr>
      </w:pPr>
      <w:r w:rsidRPr="00194C3C">
        <w:rPr>
          <w:rFonts w:eastAsia="Calibri"/>
        </w:rPr>
        <w:t xml:space="preserve">Additionally, </w:t>
      </w:r>
      <w:r>
        <w:rPr>
          <w:rFonts w:eastAsia="Calibri"/>
        </w:rPr>
        <w:t>we</w:t>
      </w:r>
      <w:r w:rsidRPr="00194C3C">
        <w:rPr>
          <w:rFonts w:eastAsia="Calibri"/>
        </w:rPr>
        <w:t xml:space="preserve"> use the information to determine whether a manufacturer or other supplier of food products is meeting its statutory and regulatory obligations. </w:t>
      </w:r>
      <w:r w:rsidRPr="001E7F98">
        <w:rPr>
          <w:rFonts w:eastAsia="Calibri"/>
        </w:rPr>
        <w:t xml:space="preserve">Recordkeeping requirements enable us to monitor the basis upon which certain label statements are made for food products and whether those statements </w:t>
      </w:r>
      <w:r w:rsidRPr="001E7F98">
        <w:rPr>
          <w:rFonts w:eastAsia="Calibri"/>
        </w:rPr>
        <w:t>are in compliance with</w:t>
      </w:r>
      <w:r w:rsidRPr="001E7F98">
        <w:rPr>
          <w:rFonts w:eastAsia="Calibri"/>
        </w:rPr>
        <w:t xml:space="preserve"> the requirements of the FD&amp;C Act or the </w:t>
      </w:r>
      <w:r w:rsidRPr="00B6481F" w:rsidR="00B6481F">
        <w:rPr>
          <w:rFonts w:eastAsia="Calibri"/>
        </w:rPr>
        <w:t>Fair Packaging and Labeling Act</w:t>
      </w:r>
      <w:r w:rsidRPr="001E7F98">
        <w:rPr>
          <w:rFonts w:eastAsia="Calibri"/>
        </w:rPr>
        <w:t>.</w:t>
      </w:r>
      <w:r>
        <w:rPr>
          <w:rFonts w:eastAsia="Calibri"/>
        </w:rPr>
        <w:t xml:space="preserve"> </w:t>
      </w:r>
      <w:r w:rsidRPr="00194C3C">
        <w:rPr>
          <w:rFonts w:eastAsia="Calibri"/>
        </w:rPr>
        <w:t xml:space="preserve">Failure of a manufacturer or other supplier of food products to label its products in compliance with section 403 of the FD&amp;C Act and parts 101, 102, 104, and 105 of FDA’s food labeling regulations may result in a product being misbranded under the FD&amp;C Act and the </w:t>
      </w:r>
      <w:r w:rsidRPr="00780783">
        <w:rPr>
          <w:rFonts w:eastAsia="Calibri"/>
        </w:rPr>
        <w:t>manufacturer</w:t>
      </w:r>
      <w:r w:rsidRPr="00194C3C">
        <w:rPr>
          <w:rFonts w:eastAsia="Calibri"/>
        </w:rPr>
        <w:t xml:space="preserve"> and the product subject to regulatory action.</w:t>
      </w:r>
    </w:p>
    <w:p w:rsidR="001E7F98" w:rsidRPr="001E7F98" w:rsidP="0022425B" w14:paraId="33F00EBB" w14:textId="77777777">
      <w:pPr>
        <w:spacing w:after="200"/>
        <w:rPr>
          <w:rFonts w:eastAsia="Calibri"/>
        </w:rPr>
      </w:pPr>
      <w:r w:rsidRPr="001E7F98">
        <w:rPr>
          <w:rFonts w:eastAsia="Calibri"/>
          <w:i/>
        </w:rPr>
        <w:t>Description of Respondents</w:t>
      </w:r>
      <w:r w:rsidRPr="001E7F98">
        <w:rPr>
          <w:rFonts w:eastAsia="Calibri"/>
        </w:rPr>
        <w:t xml:space="preserve">:  The respondents to this information collection are </w:t>
      </w:r>
      <w:bookmarkStart w:id="1" w:name="_Hlk529197472"/>
      <w:r w:rsidRPr="001E7F98">
        <w:rPr>
          <w:rFonts w:eastAsia="Calibri"/>
        </w:rPr>
        <w:t>manufacturers</w:t>
      </w:r>
      <w:bookmarkEnd w:id="1"/>
      <w:r w:rsidRPr="001E7F98">
        <w:rPr>
          <w:rFonts w:eastAsia="Calibri"/>
        </w:rPr>
        <w:t xml:space="preserve"> of food products using the “</w:t>
      </w:r>
      <w:r w:rsidRPr="001E7F98">
        <w:rPr>
          <w:rFonts w:eastAsia="Calibri"/>
          <w:i/>
        </w:rPr>
        <w:t>healthy</w:t>
      </w:r>
      <w:r w:rsidRPr="001E7F98">
        <w:rPr>
          <w:rFonts w:eastAsia="Calibri"/>
        </w:rPr>
        <w:t>” implied nutrient content claim marketed in the United States.</w:t>
      </w:r>
    </w:p>
    <w:p w:rsidR="00357C8A" w:rsidRPr="00357C8A" w:rsidP="006705EA" w14:paraId="1B71F89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357C8A" w:rsidP="0022425B" w14:paraId="7E5BB9AF" w14:textId="40577DD9">
      <w:pPr>
        <w:spacing w:after="200"/>
        <w:rPr>
          <w:rFonts w:eastAsia="Calibri"/>
          <w:color w:val="FF0000"/>
        </w:rPr>
      </w:pPr>
      <w:r>
        <w:rPr>
          <w:rFonts w:eastAsia="Calibri"/>
        </w:rPr>
        <w:t xml:space="preserve">Revised </w:t>
      </w:r>
      <w:r w:rsidRPr="009703E5">
        <w:rPr>
          <w:rFonts w:eastAsia="Calibri"/>
        </w:rPr>
        <w:t>§ 101.65 do</w:t>
      </w:r>
      <w:r>
        <w:rPr>
          <w:rFonts w:eastAsia="Calibri"/>
        </w:rPr>
        <w:t>es</w:t>
      </w:r>
      <w:r w:rsidRPr="009703E5">
        <w:rPr>
          <w:rFonts w:eastAsia="Calibri"/>
        </w:rPr>
        <w:t xml:space="preserve"> not specifically prescribe the use of automated, electronic, mechanical, or other technological techniques or other forms of information technology as necessary for use by manufacturers. </w:t>
      </w:r>
      <w:r>
        <w:rPr>
          <w:rFonts w:eastAsia="Calibri"/>
        </w:rPr>
        <w:t>M</w:t>
      </w:r>
      <w:r w:rsidRPr="009703E5">
        <w:rPr>
          <w:rFonts w:eastAsia="Calibri"/>
        </w:rPr>
        <w:t xml:space="preserve">anufacturers are free to use whatever forms of information technology may best assist them </w:t>
      </w:r>
      <w:r w:rsidRPr="00975965" w:rsidR="00975965">
        <w:rPr>
          <w:rFonts w:eastAsia="Calibri"/>
        </w:rPr>
        <w:t>in retaining the appropriate records</w:t>
      </w:r>
      <w:r w:rsidRPr="009703E5">
        <w:rPr>
          <w:rFonts w:eastAsia="Calibri"/>
        </w:rPr>
        <w:t xml:space="preserve"> </w:t>
      </w:r>
      <w:r w:rsidR="00275C12">
        <w:rPr>
          <w:rFonts w:eastAsia="Calibri"/>
        </w:rPr>
        <w:t xml:space="preserve">and </w:t>
      </w:r>
      <w:r w:rsidR="00E11DF7">
        <w:rPr>
          <w:rFonts w:eastAsia="Calibri"/>
        </w:rPr>
        <w:t>making the</w:t>
      </w:r>
      <w:r w:rsidR="00975965">
        <w:rPr>
          <w:rFonts w:eastAsia="Calibri"/>
        </w:rPr>
        <w:t>m</w:t>
      </w:r>
      <w:r w:rsidR="00E11DF7">
        <w:rPr>
          <w:rFonts w:eastAsia="Calibri"/>
        </w:rPr>
        <w:t xml:space="preserve"> available </w:t>
      </w:r>
      <w:r w:rsidRPr="00275C12" w:rsidR="00275C12">
        <w:rPr>
          <w:rFonts w:eastAsia="Calibri"/>
        </w:rPr>
        <w:t>upon request from FDA during an inspection for official review and photocopying or other means of reproduction</w:t>
      </w:r>
      <w:r w:rsidR="00975965">
        <w:rPr>
          <w:rFonts w:eastAsia="Calibri"/>
        </w:rPr>
        <w:t>.</w:t>
      </w:r>
      <w:r w:rsidRPr="00275C12" w:rsidR="00275C12">
        <w:rPr>
          <w:rFonts w:eastAsia="Calibri"/>
        </w:rPr>
        <w:t xml:space="preserve"> </w:t>
      </w:r>
      <w:r w:rsidRPr="004609DA" w:rsidR="004609DA">
        <w:rPr>
          <w:rFonts w:eastAsia="Calibri"/>
        </w:rPr>
        <w:t xml:space="preserve">Manufacturers are </w:t>
      </w:r>
      <w:r w:rsidR="0000595B">
        <w:rPr>
          <w:rFonts w:eastAsia="Calibri"/>
        </w:rPr>
        <w:t xml:space="preserve">also </w:t>
      </w:r>
      <w:r w:rsidRPr="004609DA" w:rsidR="004609DA">
        <w:rPr>
          <w:rFonts w:eastAsia="Calibri"/>
        </w:rPr>
        <w:t>free to use whatever forms of information technology may best assist them</w:t>
      </w:r>
      <w:r w:rsidRPr="009703E5">
        <w:rPr>
          <w:rFonts w:eastAsia="Calibri"/>
        </w:rPr>
        <w:t xml:space="preserve"> </w:t>
      </w:r>
      <w:r w:rsidR="0000595B">
        <w:rPr>
          <w:rFonts w:eastAsia="Calibri"/>
        </w:rPr>
        <w:t xml:space="preserve">in </w:t>
      </w:r>
      <w:r w:rsidRPr="009703E5">
        <w:rPr>
          <w:rFonts w:eastAsia="Calibri"/>
        </w:rPr>
        <w:t>meeting labeling requirements for food.</w:t>
      </w:r>
    </w:p>
    <w:p w:rsidR="00357C8A" w:rsidRPr="00357C8A" w:rsidP="006705EA" w14:paraId="1FEF6B2F"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9703E5" w:rsidP="0053380B" w14:paraId="3EEFA03F" w14:textId="77777777">
      <w:pPr>
        <w:spacing w:after="200"/>
      </w:pPr>
      <w:r w:rsidRPr="005C71CA">
        <w:t>We are unaware of duplicative information collection.</w:t>
      </w:r>
    </w:p>
    <w:p w:rsidR="00357C8A" w:rsidRPr="00357C8A" w:rsidP="006705EA" w14:paraId="09E3773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76623DA4" w14:textId="5DC3E51A">
      <w:pPr>
        <w:spacing w:after="200"/>
        <w:rPr>
          <w:rFonts w:eastAsia="Calibri"/>
        </w:rPr>
      </w:pPr>
      <w:r w:rsidRPr="009703E5">
        <w:rPr>
          <w:rFonts w:eastAsia="Calibri"/>
        </w:rPr>
        <w:t xml:space="preserve">We estimate that approximately ten percent (10%) of the respondents are small businesses. The requirements are the minimum requirements for complying with the provisions of the FD&amp;C Act. In most cases, the information that is required </w:t>
      </w:r>
      <w:r>
        <w:rPr>
          <w:rFonts w:eastAsia="Calibri"/>
        </w:rPr>
        <w:t>for recordkeeping</w:t>
      </w:r>
      <w:r w:rsidRPr="009703E5">
        <w:rPr>
          <w:rFonts w:eastAsia="Calibri"/>
        </w:rPr>
        <w:t xml:space="preserve"> is information that is available to a </w:t>
      </w:r>
      <w:r>
        <w:rPr>
          <w:rFonts w:eastAsia="Calibri"/>
        </w:rPr>
        <w:t>manufacturer</w:t>
      </w:r>
      <w:r w:rsidRPr="009703E5">
        <w:rPr>
          <w:rFonts w:eastAsia="Calibri"/>
        </w:rPr>
        <w:t xml:space="preserve">, including a small business, as a normal course of its doing business.  We aid small businesses in dealing with the requirements of the FD&amp;C Act through the agency’s Regional Small Business Representatives and through the scientific and administrative staffs within the agency. </w:t>
      </w:r>
      <w:r w:rsidRPr="003F6093" w:rsidR="003F6093">
        <w:rPr>
          <w:rFonts w:eastAsia="Calibri"/>
        </w:rPr>
        <w:t xml:space="preserve">We also </w:t>
      </w:r>
      <w:r w:rsidRPr="003F6093" w:rsidR="003F6093">
        <w:rPr>
          <w:rFonts w:eastAsia="Calibri"/>
        </w:rPr>
        <w:t>provide assistance</w:t>
      </w:r>
      <w:r w:rsidRPr="003F6093" w:rsidR="003F6093">
        <w:rPr>
          <w:rFonts w:eastAsia="Calibri"/>
        </w:rPr>
        <w:t xml:space="preserve"> via </w:t>
      </w:r>
      <w:r w:rsidR="008D176B">
        <w:rPr>
          <w:rFonts w:eastAsia="Calibri"/>
        </w:rPr>
        <w:t>FDA’s</w:t>
      </w:r>
      <w:r w:rsidRPr="003F6093" w:rsidR="003F6093">
        <w:rPr>
          <w:rFonts w:eastAsia="Calibri"/>
        </w:rPr>
        <w:t xml:space="preserve"> Small Business Assistance webpage on the agency’s website at </w:t>
      </w:r>
      <w:hyperlink r:id="rId4" w:history="1">
        <w:r w:rsidRPr="003F6093" w:rsidR="003F6093">
          <w:rPr>
            <w:rStyle w:val="Hyperlink"/>
            <w:rFonts w:eastAsia="Calibri"/>
          </w:rPr>
          <w:t>https://www.fda.gov/industry/small-business-assistance</w:t>
        </w:r>
      </w:hyperlink>
      <w:r w:rsidRPr="003F6093" w:rsidR="003F6093">
        <w:rPr>
          <w:rFonts w:eastAsia="Calibri"/>
        </w:rPr>
        <w:t>.</w:t>
      </w:r>
    </w:p>
    <w:p w:rsidR="00357C8A" w:rsidRPr="00357C8A" w:rsidP="006705EA" w14:paraId="31E3BE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0915F319" w14:textId="77BC2D02">
      <w:pPr>
        <w:spacing w:after="200"/>
        <w:rPr>
          <w:rFonts w:eastAsia="Calibri"/>
          <w:color w:val="FF0000"/>
        </w:rPr>
      </w:pPr>
      <w:r>
        <w:rPr>
          <w:rFonts w:eastAsia="Calibri"/>
        </w:rPr>
        <w:t>The information collection is consistent with statutory and regulatory requirements.</w:t>
      </w:r>
    </w:p>
    <w:p w:rsidR="00357C8A" w:rsidRPr="00357C8A" w:rsidP="006705EA" w14:paraId="2A1BC52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06680094" w14:textId="77777777">
      <w:pPr>
        <w:spacing w:after="200"/>
        <w:rPr>
          <w:rFonts w:eastAsia="Calibri"/>
        </w:rPr>
      </w:pPr>
      <w:r w:rsidRPr="00EC66C9">
        <w:rPr>
          <w:rFonts w:eastAsia="Calibri"/>
        </w:rPr>
        <w:t>There are no special circumstances associated with this collection of information.</w:t>
      </w:r>
    </w:p>
    <w:p w:rsidR="00357C8A" w:rsidRPr="00357C8A" w:rsidP="006705EA" w14:paraId="5EEAEE3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2F1C64" w:rsidP="00A376CD" w14:paraId="302D6EE5" w14:textId="629E7554">
      <w:pPr>
        <w:autoSpaceDE w:val="0"/>
        <w:autoSpaceDN w:val="0"/>
        <w:adjustRightInd w:val="0"/>
      </w:pPr>
      <w:r>
        <w:t>In accordance with 5 CFR 1320.11 we published a proposed rule i</w:t>
      </w:r>
      <w:r w:rsidRPr="009A6BD5" w:rsidR="009A6BD5">
        <w:t xml:space="preserve">n the </w:t>
      </w:r>
      <w:r w:rsidRPr="007C2EE9" w:rsidR="009A6BD5">
        <w:rPr>
          <w:i/>
          <w:iCs/>
        </w:rPr>
        <w:t>Federal Register</w:t>
      </w:r>
      <w:r w:rsidRPr="009A6BD5" w:rsidR="009A6BD5">
        <w:t xml:space="preserve"> of </w:t>
      </w:r>
      <w:r w:rsidR="00E72D6C">
        <w:t>September 29</w:t>
      </w:r>
      <w:r w:rsidRPr="009A6BD5" w:rsidR="009A6BD5">
        <w:t xml:space="preserve">, 2022 (87 FR </w:t>
      </w:r>
      <w:r w:rsidR="00EB2765">
        <w:t>59</w:t>
      </w:r>
      <w:r w:rsidR="00A13C47">
        <w:t>16</w:t>
      </w:r>
      <w:r w:rsidR="003C1E9E">
        <w:t>8</w:t>
      </w:r>
      <w:r w:rsidRPr="009A6BD5" w:rsidR="009A6BD5">
        <w:t xml:space="preserve">), </w:t>
      </w:r>
      <w:r>
        <w:t xml:space="preserve">including </w:t>
      </w:r>
      <w:r>
        <w:t>a</w:t>
      </w:r>
      <w:r>
        <w:t xml:space="preserve"> request for comments on the</w:t>
      </w:r>
      <w:r w:rsidRPr="009A6BD5" w:rsidR="009A6BD5">
        <w:t xml:space="preserve"> proposed information collection. </w:t>
      </w:r>
      <w:r w:rsidR="00F80C90">
        <w:t>O</w:t>
      </w:r>
      <w:r w:rsidRPr="009A6BD5" w:rsidR="009A6BD5">
        <w:t xml:space="preserve">ur responses to the comments are found in Section V of the final rule </w:t>
      </w:r>
      <w:r>
        <w:t>to be published i</w:t>
      </w:r>
      <w:r w:rsidRPr="009A6BD5" w:rsidR="009A6BD5">
        <w:t xml:space="preserve">n the </w:t>
      </w:r>
      <w:r w:rsidRPr="004E78A4" w:rsidR="009A6BD5">
        <w:rPr>
          <w:i/>
          <w:iCs/>
        </w:rPr>
        <w:t>Federal Register</w:t>
      </w:r>
      <w:r w:rsidRPr="009A6BD5" w:rsidR="009A6BD5">
        <w:t xml:space="preserve"> of </w:t>
      </w:r>
      <w:r w:rsidRPr="00F316A0">
        <w:t>December 27,</w:t>
      </w:r>
      <w:r w:rsidRPr="00F316A0" w:rsidR="009A6BD5">
        <w:t xml:space="preserve"> 202</w:t>
      </w:r>
      <w:r w:rsidRPr="00F316A0" w:rsidR="00522390">
        <w:t>4</w:t>
      </w:r>
      <w:r w:rsidRPr="00F316A0" w:rsidR="009A6BD5">
        <w:t xml:space="preserve"> (</w:t>
      </w:r>
      <w:r w:rsidRPr="007328AE" w:rsidR="007328AE">
        <w:t>Docket No. FDA-2016-D-2335</w:t>
      </w:r>
      <w:r w:rsidRPr="009A6BD5" w:rsidR="009A6BD5">
        <w:t>)</w:t>
      </w:r>
      <w:r w:rsidR="00F81EBF">
        <w:t>.</w:t>
      </w:r>
    </w:p>
    <w:p w:rsidR="00EC66C9" w:rsidRPr="00EC66C9" w:rsidP="00EC66C9" w14:paraId="5A040E26" w14:textId="77777777">
      <w:pPr>
        <w:autoSpaceDE w:val="0"/>
        <w:autoSpaceDN w:val="0"/>
        <w:adjustRightInd w:val="0"/>
      </w:pPr>
    </w:p>
    <w:p w:rsidR="00357C8A" w:rsidRPr="00357C8A" w:rsidP="006705EA" w14:paraId="689FA22B"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B63B0E" w:rsidP="00357C8A" w14:paraId="4F1D27B5"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6705EA" w14:paraId="2C892DA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4A5950" w:rsidRPr="004A5950" w:rsidP="004A5950" w14:paraId="07593A9B" w14:textId="3F96AF33">
      <w:pPr>
        <w:spacing w:after="200"/>
        <w:rPr>
          <w:rFonts w:eastAsia="Calibri"/>
        </w:rPr>
      </w:pPr>
      <w:r w:rsidRPr="004A5950">
        <w:rPr>
          <w:rFonts w:eastAsia="Calibri"/>
        </w:rPr>
        <w:t xml:space="preserve">In preparing this </w:t>
      </w:r>
      <w:r>
        <w:rPr>
          <w:rFonts w:eastAsia="Calibri"/>
        </w:rPr>
        <w:t>s</w:t>
      </w:r>
      <w:r w:rsidRPr="004A5950">
        <w:rPr>
          <w:rFonts w:eastAsia="Calibri"/>
        </w:rPr>
        <w:t xml:space="preserve">upporting </w:t>
      </w:r>
      <w:r>
        <w:rPr>
          <w:rFonts w:eastAsia="Calibri"/>
        </w:rPr>
        <w:t>s</w:t>
      </w:r>
      <w:r w:rsidRPr="004A5950">
        <w:rPr>
          <w:rFonts w:eastAsia="Calibri"/>
        </w:rPr>
        <w:t>tatement, we consulted our Privacy Office to ensure appropriate identification and handling of information collected.</w:t>
      </w:r>
    </w:p>
    <w:p w:rsidR="004A5950" w:rsidRPr="004A5950" w:rsidP="004A5950" w14:paraId="052A05C8" w14:textId="69E851F3">
      <w:pPr>
        <w:spacing w:after="200"/>
        <w:rPr>
          <w:rFonts w:eastAsia="Calibri"/>
        </w:rPr>
      </w:pPr>
      <w:r w:rsidRPr="004A5950">
        <w:rPr>
          <w:rFonts w:eastAsia="Calibri"/>
        </w:rPr>
        <w:t>This ICR does not collect personally identifiable information (PII) or information of a personal nature. This information collection supports the Labeling of Certain Foods Subject to the Labeling Jurisdiction of the Food and Drug Administration Guidance for Industry and will be merged with an existing collection of information that includes PII but is not subject to the requirements of the Privacy Act of 1974 (</w:t>
      </w:r>
      <w:r w:rsidRPr="008654D1">
        <w:rPr>
          <w:rFonts w:eastAsia="Calibri"/>
          <w:i/>
          <w:iCs/>
        </w:rPr>
        <w:t>see</w:t>
      </w:r>
      <w:r w:rsidRPr="004A5950">
        <w:rPr>
          <w:rFonts w:eastAsia="Calibri"/>
        </w:rPr>
        <w:t xml:space="preserve"> OMB </w:t>
      </w:r>
      <w:r w:rsidR="008654D1">
        <w:rPr>
          <w:rFonts w:eastAsia="Calibri"/>
        </w:rPr>
        <w:t xml:space="preserve">control </w:t>
      </w:r>
      <w:r w:rsidR="00E85D66">
        <w:rPr>
          <w:rFonts w:eastAsia="Calibri"/>
        </w:rPr>
        <w:t>n</w:t>
      </w:r>
      <w:r w:rsidRPr="004A5950">
        <w:rPr>
          <w:rFonts w:eastAsia="Calibri"/>
        </w:rPr>
        <w:t xml:space="preserve">o. 0910-0381). All records included in this collection are maintained at the manufacturing facility. Because neither FDA nor any party acting on behalf of the agency collects PII, the ICR is not subject to the Privacy Act of 1974 and the requirements of the Privacy Act such as displaying a Privacy Act Statement on a collection form do not apply.  </w:t>
      </w:r>
    </w:p>
    <w:p w:rsidR="001075D3" w:rsidRPr="004A5950" w:rsidP="004A5950" w14:paraId="31CB9B1B" w14:textId="6B82012C">
      <w:pPr>
        <w:spacing w:after="200"/>
        <w:rPr>
          <w:rFonts w:eastAsia="Calibri"/>
        </w:rPr>
      </w:pPr>
      <w:r w:rsidRPr="004A5950">
        <w:rPr>
          <w:rFonts w:eastAsia="Calibri"/>
        </w:rPr>
        <w:t>Under the Freedom of Information Act (FOIA) (5 U.S.C. 552), the public has broad access to government documents.</w:t>
      </w:r>
      <w:r w:rsidR="001D2650">
        <w:rPr>
          <w:rFonts w:eastAsia="Calibri"/>
        </w:rPr>
        <w:t xml:space="preserve"> </w:t>
      </w:r>
      <w:r w:rsidRPr="004A5950">
        <w:rPr>
          <w:rFonts w:eastAsia="Calibri"/>
        </w:rPr>
        <w:t>However, FOIA provides certain exemptions from mandatory public disclosure of government records (5 U.S.C. 552(b</w:t>
      </w:r>
      <w:r w:rsidRPr="004A5950">
        <w:rPr>
          <w:rFonts w:eastAsia="Calibri"/>
        </w:rPr>
        <w:t>)(</w:t>
      </w:r>
      <w:r w:rsidRPr="004A5950">
        <w:rPr>
          <w:rFonts w:eastAsia="Calibri"/>
        </w:rPr>
        <w:t>1-9)). FDA will make the fullest possible disclosure of records to the public, consistent with the rights of individuals to privacy, the property rights of persons in trade and confidential commercial or financial information</w:t>
      </w:r>
      <w:r w:rsidRPr="004A5950" w:rsidR="00F12AA2">
        <w:rPr>
          <w:rFonts w:eastAsia="Calibri"/>
        </w:rPr>
        <w:t>.</w:t>
      </w:r>
      <w:r w:rsidRPr="004A5950" w:rsidR="00F81EBF">
        <w:rPr>
          <w:rFonts w:eastAsia="Calibri"/>
        </w:rPr>
        <w:t xml:space="preserve"> </w:t>
      </w:r>
    </w:p>
    <w:p w:rsidR="00357C8A" w:rsidRPr="00357C8A" w:rsidP="006705EA" w14:paraId="6B0A2283"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B63B0E" w:rsidP="0022425B" w14:paraId="7EDAF545" w14:textId="77777777">
      <w:pPr>
        <w:spacing w:after="200"/>
        <w:rPr>
          <w:rFonts w:eastAsia="Calibri"/>
        </w:rPr>
      </w:pPr>
      <w:r w:rsidRPr="00B63B0E">
        <w:rPr>
          <w:rFonts w:eastAsia="Calibri"/>
        </w:rPr>
        <w:t>The collection of information does not involve sensitive questions.</w:t>
      </w:r>
      <w:r w:rsidRPr="002A47D2">
        <w:rPr>
          <w:rFonts w:eastAsia="Calibri"/>
          <w:color w:val="FF0000"/>
        </w:rPr>
        <w:t xml:space="preserve"> </w:t>
      </w:r>
    </w:p>
    <w:p w:rsidR="00357C8A" w:rsidRPr="00357C8A" w:rsidP="006705EA" w14:paraId="310057A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D03623" w:rsidP="0022425B" w14:paraId="753021D8" w14:textId="77777777">
      <w:pPr>
        <w:spacing w:after="200"/>
        <w:ind w:left="360"/>
        <w:rPr>
          <w:rFonts w:eastAsia="Calibri"/>
          <w:i/>
          <w:iCs/>
        </w:rPr>
      </w:pPr>
      <w:r w:rsidRPr="00D03623">
        <w:rPr>
          <w:rFonts w:eastAsia="Calibri"/>
          <w:i/>
          <w:iCs/>
        </w:rPr>
        <w:t>12a.  Annualized Hour Burden Estimate</w:t>
      </w:r>
    </w:p>
    <w:p w:rsidR="00B63B0E" w:rsidRPr="00B63B0E" w:rsidP="00B63B0E" w14:paraId="60E7C55D" w14:textId="77777777">
      <w:pPr>
        <w:ind w:left="360"/>
        <w:jc w:val="center"/>
        <w:rPr>
          <w:rFonts w:eastAsia="Calibri"/>
          <w:sz w:val="20"/>
          <w:szCs w:val="20"/>
        </w:rPr>
      </w:pPr>
      <w:r w:rsidRPr="00B63B0E">
        <w:rPr>
          <w:rFonts w:eastAsia="Calibri"/>
          <w:sz w:val="20"/>
          <w:szCs w:val="20"/>
        </w:rPr>
        <w:t xml:space="preserve">Table </w:t>
      </w:r>
      <w:r w:rsidRPr="00B63B0E">
        <w:rPr>
          <w:rFonts w:eastAsia="Calibri"/>
          <w:sz w:val="20"/>
          <w:szCs w:val="20"/>
        </w:rPr>
        <w:t>1.--</w:t>
      </w:r>
      <w:r w:rsidRPr="00B63B0E">
        <w:rPr>
          <w:rFonts w:eastAsia="Calibri"/>
          <w:sz w:val="20"/>
          <w:szCs w:val="20"/>
        </w:rPr>
        <w:t>Estimated Annual Recordkeeping Burden</w:t>
      </w:r>
      <w:r w:rsidRPr="00B63B0E">
        <w:rPr>
          <w:rFonts w:eastAsia="Calibri"/>
          <w:sz w:val="20"/>
          <w:szCs w:val="20"/>
          <w:vertAlign w:val="superscript"/>
        </w:rPr>
        <w:t>1</w:t>
      </w:r>
    </w:p>
    <w:tbl>
      <w:tblPr>
        <w:tblW w:w="949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1440"/>
        <w:gridCol w:w="1710"/>
        <w:gridCol w:w="1044"/>
        <w:gridCol w:w="1842"/>
        <w:gridCol w:w="735"/>
      </w:tblGrid>
      <w:tr w14:paraId="05E95C6A" w14:textId="77777777" w:rsidTr="002646DE">
        <w:tblPrEx>
          <w:tblW w:w="949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30"/>
          <w:tblHeader/>
        </w:trPr>
        <w:tc>
          <w:tcPr>
            <w:tcW w:w="2723" w:type="dxa"/>
            <w:shd w:val="clear" w:color="auto" w:fill="auto"/>
          </w:tcPr>
          <w:p w:rsidR="00B63B0E" w:rsidRPr="00B63B0E" w:rsidP="00B63B0E" w14:paraId="368B7706" w14:textId="0B2CDF13">
            <w:pPr>
              <w:jc w:val="center"/>
              <w:rPr>
                <w:sz w:val="20"/>
                <w:szCs w:val="20"/>
              </w:rPr>
            </w:pPr>
            <w:r w:rsidRPr="00B63B0E">
              <w:rPr>
                <w:sz w:val="20"/>
                <w:szCs w:val="20"/>
              </w:rPr>
              <w:t>21 CFR Section</w:t>
            </w:r>
            <w:r w:rsidR="005013C5">
              <w:rPr>
                <w:sz w:val="20"/>
                <w:szCs w:val="20"/>
              </w:rPr>
              <w:t>/</w:t>
            </w:r>
            <w:r w:rsidRPr="00B63B0E">
              <w:rPr>
                <w:sz w:val="20"/>
                <w:szCs w:val="20"/>
              </w:rPr>
              <w:t>Activity</w:t>
            </w:r>
          </w:p>
        </w:tc>
        <w:tc>
          <w:tcPr>
            <w:tcW w:w="1440" w:type="dxa"/>
            <w:shd w:val="clear" w:color="auto" w:fill="auto"/>
          </w:tcPr>
          <w:p w:rsidR="00B63B0E" w:rsidRPr="00B63B0E" w:rsidP="00B63B0E" w14:paraId="1F61ECC9" w14:textId="77777777">
            <w:pPr>
              <w:jc w:val="center"/>
              <w:rPr>
                <w:sz w:val="20"/>
                <w:szCs w:val="20"/>
              </w:rPr>
            </w:pPr>
            <w:r w:rsidRPr="00B63B0E">
              <w:rPr>
                <w:sz w:val="20"/>
                <w:szCs w:val="20"/>
              </w:rPr>
              <w:t>No. of Recordkeepers</w:t>
            </w:r>
          </w:p>
        </w:tc>
        <w:tc>
          <w:tcPr>
            <w:tcW w:w="1710" w:type="dxa"/>
            <w:shd w:val="clear" w:color="auto" w:fill="auto"/>
          </w:tcPr>
          <w:p w:rsidR="00B63B0E" w:rsidRPr="00B63B0E" w:rsidP="00B63B0E" w14:paraId="0AC59910" w14:textId="77777777">
            <w:pPr>
              <w:jc w:val="center"/>
              <w:rPr>
                <w:sz w:val="20"/>
                <w:szCs w:val="20"/>
              </w:rPr>
            </w:pPr>
            <w:r w:rsidRPr="00B63B0E">
              <w:rPr>
                <w:bCs/>
                <w:sz w:val="20"/>
                <w:szCs w:val="20"/>
              </w:rPr>
              <w:t>No. of Records per Recordkeeper</w:t>
            </w:r>
          </w:p>
        </w:tc>
        <w:tc>
          <w:tcPr>
            <w:tcW w:w="1044" w:type="dxa"/>
            <w:shd w:val="clear" w:color="auto" w:fill="auto"/>
          </w:tcPr>
          <w:p w:rsidR="00B63B0E" w:rsidRPr="00B63B0E" w:rsidP="00B63B0E" w14:paraId="598DBD93" w14:textId="77777777">
            <w:pPr>
              <w:jc w:val="center"/>
              <w:rPr>
                <w:sz w:val="20"/>
                <w:szCs w:val="20"/>
              </w:rPr>
            </w:pPr>
            <w:r w:rsidRPr="00B63B0E">
              <w:rPr>
                <w:sz w:val="20"/>
                <w:szCs w:val="20"/>
              </w:rPr>
              <w:t>Total Annual Records</w:t>
            </w:r>
          </w:p>
        </w:tc>
        <w:tc>
          <w:tcPr>
            <w:tcW w:w="1842" w:type="dxa"/>
            <w:shd w:val="clear" w:color="auto" w:fill="auto"/>
          </w:tcPr>
          <w:p w:rsidR="00B63B0E" w:rsidRPr="00B63B0E" w:rsidP="00B63B0E" w14:paraId="2DAE842C" w14:textId="77777777">
            <w:pPr>
              <w:jc w:val="center"/>
              <w:rPr>
                <w:sz w:val="20"/>
                <w:szCs w:val="20"/>
              </w:rPr>
            </w:pPr>
            <w:r w:rsidRPr="00B63B0E">
              <w:rPr>
                <w:bCs/>
                <w:sz w:val="20"/>
                <w:szCs w:val="20"/>
              </w:rPr>
              <w:t xml:space="preserve">Average Burden per Recordkeeping </w:t>
            </w:r>
          </w:p>
        </w:tc>
        <w:tc>
          <w:tcPr>
            <w:tcW w:w="735" w:type="dxa"/>
            <w:shd w:val="clear" w:color="auto" w:fill="auto"/>
          </w:tcPr>
          <w:p w:rsidR="00B63B0E" w:rsidRPr="00B63B0E" w:rsidP="00B63B0E" w14:paraId="1B1168AC" w14:textId="77777777">
            <w:pPr>
              <w:jc w:val="center"/>
              <w:rPr>
                <w:sz w:val="20"/>
                <w:szCs w:val="20"/>
              </w:rPr>
            </w:pPr>
            <w:r w:rsidRPr="00B63B0E">
              <w:rPr>
                <w:sz w:val="20"/>
                <w:szCs w:val="20"/>
              </w:rPr>
              <w:t>Total Hours</w:t>
            </w:r>
          </w:p>
        </w:tc>
      </w:tr>
      <w:tr w14:paraId="4603AEC5" w14:textId="77777777" w:rsidTr="002646DE">
        <w:tblPrEx>
          <w:tblW w:w="9494" w:type="dxa"/>
          <w:tblInd w:w="175" w:type="dxa"/>
          <w:tblLayout w:type="fixed"/>
          <w:tblLook w:val="01E0"/>
        </w:tblPrEx>
        <w:trPr>
          <w:trHeight w:val="701"/>
        </w:trPr>
        <w:tc>
          <w:tcPr>
            <w:tcW w:w="2723" w:type="dxa"/>
            <w:shd w:val="clear" w:color="auto" w:fill="auto"/>
          </w:tcPr>
          <w:p w:rsidR="00B63B0E" w:rsidRPr="00B63B0E" w:rsidP="00B63B0E" w14:paraId="648AFE63" w14:textId="77777777">
            <w:pPr>
              <w:rPr>
                <w:sz w:val="20"/>
                <w:szCs w:val="20"/>
              </w:rPr>
            </w:pPr>
            <w:r w:rsidRPr="00B63B0E">
              <w:rPr>
                <w:sz w:val="20"/>
                <w:szCs w:val="20"/>
              </w:rPr>
              <w:t>101.65; recordkeeping to verify “</w:t>
            </w:r>
            <w:r w:rsidRPr="00B63B0E">
              <w:rPr>
                <w:i/>
                <w:sz w:val="20"/>
                <w:szCs w:val="20"/>
              </w:rPr>
              <w:t>healthy</w:t>
            </w:r>
            <w:r w:rsidRPr="00B63B0E">
              <w:rPr>
                <w:sz w:val="20"/>
                <w:szCs w:val="20"/>
              </w:rPr>
              <w:t>” nutrient content claim</w:t>
            </w:r>
          </w:p>
        </w:tc>
        <w:tc>
          <w:tcPr>
            <w:tcW w:w="1440" w:type="dxa"/>
            <w:shd w:val="clear" w:color="auto" w:fill="auto"/>
          </w:tcPr>
          <w:p w:rsidR="00B63B0E" w:rsidRPr="00B63B0E" w:rsidP="00B63B0E" w14:paraId="434DF86D" w14:textId="2F62F1F7">
            <w:pPr>
              <w:jc w:val="right"/>
              <w:rPr>
                <w:sz w:val="20"/>
                <w:szCs w:val="20"/>
              </w:rPr>
            </w:pPr>
            <w:r>
              <w:rPr>
                <w:sz w:val="20"/>
                <w:szCs w:val="20"/>
              </w:rPr>
              <w:t>1,900</w:t>
            </w:r>
          </w:p>
        </w:tc>
        <w:tc>
          <w:tcPr>
            <w:tcW w:w="1710" w:type="dxa"/>
            <w:shd w:val="clear" w:color="auto" w:fill="auto"/>
          </w:tcPr>
          <w:p w:rsidR="00B63B0E" w:rsidRPr="00B63B0E" w:rsidP="00B63B0E" w14:paraId="21404CFC" w14:textId="77777777">
            <w:pPr>
              <w:jc w:val="right"/>
              <w:rPr>
                <w:sz w:val="20"/>
                <w:szCs w:val="20"/>
              </w:rPr>
            </w:pPr>
            <w:r>
              <w:rPr>
                <w:sz w:val="20"/>
                <w:szCs w:val="20"/>
              </w:rPr>
              <w:t>1</w:t>
            </w:r>
          </w:p>
        </w:tc>
        <w:tc>
          <w:tcPr>
            <w:tcW w:w="1044" w:type="dxa"/>
            <w:shd w:val="clear" w:color="auto" w:fill="auto"/>
          </w:tcPr>
          <w:p w:rsidR="00B63B0E" w:rsidRPr="00B63B0E" w:rsidP="00B63B0E" w14:paraId="3AD61BCA" w14:textId="01E94C7D">
            <w:pPr>
              <w:jc w:val="right"/>
              <w:rPr>
                <w:sz w:val="20"/>
                <w:szCs w:val="20"/>
              </w:rPr>
            </w:pPr>
            <w:r>
              <w:rPr>
                <w:sz w:val="20"/>
                <w:szCs w:val="20"/>
              </w:rPr>
              <w:t>1,900</w:t>
            </w:r>
          </w:p>
        </w:tc>
        <w:tc>
          <w:tcPr>
            <w:tcW w:w="1842" w:type="dxa"/>
            <w:shd w:val="clear" w:color="auto" w:fill="auto"/>
          </w:tcPr>
          <w:p w:rsidR="00B63B0E" w:rsidRPr="00B63B0E" w:rsidP="00B63B0E" w14:paraId="42F4EFB8" w14:textId="77777777">
            <w:pPr>
              <w:jc w:val="right"/>
              <w:rPr>
                <w:sz w:val="20"/>
                <w:szCs w:val="20"/>
              </w:rPr>
            </w:pPr>
            <w:r w:rsidRPr="00B63B0E">
              <w:rPr>
                <w:sz w:val="20"/>
                <w:szCs w:val="20"/>
              </w:rPr>
              <w:t xml:space="preserve">0.5 </w:t>
            </w:r>
          </w:p>
          <w:p w:rsidR="00B63B0E" w:rsidRPr="00B63B0E" w:rsidP="00B63B0E" w14:paraId="499D4FCB" w14:textId="77777777">
            <w:pPr>
              <w:jc w:val="right"/>
              <w:rPr>
                <w:sz w:val="20"/>
                <w:szCs w:val="20"/>
              </w:rPr>
            </w:pPr>
            <w:r w:rsidRPr="00B63B0E">
              <w:rPr>
                <w:sz w:val="20"/>
                <w:szCs w:val="20"/>
              </w:rPr>
              <w:t>(30 minutes)</w:t>
            </w:r>
          </w:p>
        </w:tc>
        <w:tc>
          <w:tcPr>
            <w:tcW w:w="735" w:type="dxa"/>
            <w:shd w:val="clear" w:color="auto" w:fill="auto"/>
          </w:tcPr>
          <w:p w:rsidR="00B63B0E" w:rsidRPr="00B63B0E" w:rsidP="00B63B0E" w14:paraId="330AF271" w14:textId="6E2818A2">
            <w:pPr>
              <w:jc w:val="right"/>
              <w:rPr>
                <w:sz w:val="20"/>
                <w:szCs w:val="20"/>
              </w:rPr>
            </w:pPr>
            <w:r>
              <w:rPr>
                <w:sz w:val="20"/>
                <w:szCs w:val="20"/>
              </w:rPr>
              <w:t>950</w:t>
            </w:r>
          </w:p>
        </w:tc>
      </w:tr>
    </w:tbl>
    <w:p w:rsidR="000D79CC" w:rsidP="00DC371B" w14:paraId="16548D9E" w14:textId="77777777">
      <w:pPr>
        <w:spacing w:after="200"/>
        <w:ind w:left="360"/>
        <w:rPr>
          <w:rFonts w:eastAsia="Calibri"/>
        </w:rPr>
      </w:pPr>
      <w:r w:rsidRPr="0034564B">
        <w:rPr>
          <w:sz w:val="20"/>
          <w:szCs w:val="20"/>
          <w:vertAlign w:val="superscript"/>
        </w:rPr>
        <w:t>1</w:t>
      </w:r>
      <w:r w:rsidRPr="0034564B">
        <w:rPr>
          <w:sz w:val="20"/>
          <w:szCs w:val="20"/>
        </w:rPr>
        <w:t xml:space="preserve"> There are no capital costs or operating and maintenance costs associated with this collection of information.</w:t>
      </w:r>
    </w:p>
    <w:p w:rsidR="00060C9A" w:rsidP="00060C9A" w14:paraId="428A76DD" w14:textId="2D949C7D">
      <w:pPr>
        <w:spacing w:after="200"/>
        <w:ind w:left="86"/>
        <w:rPr>
          <w:rFonts w:eastAsia="Calibri"/>
        </w:rPr>
      </w:pPr>
      <w:r w:rsidRPr="00E53B3B">
        <w:rPr>
          <w:rFonts w:eastAsia="Calibri"/>
          <w:lang w:val="en"/>
        </w:rPr>
        <w:t xml:space="preserve">The </w:t>
      </w:r>
      <w:r w:rsidR="00170C2A">
        <w:rPr>
          <w:rFonts w:eastAsia="Calibri"/>
          <w:lang w:val="en"/>
        </w:rPr>
        <w:t>final</w:t>
      </w:r>
      <w:r w:rsidRPr="00E53B3B">
        <w:rPr>
          <w:rFonts w:eastAsia="Calibri"/>
          <w:lang w:val="en"/>
        </w:rPr>
        <w:t xml:space="preserve"> rule requires that each</w:t>
      </w:r>
      <w:r w:rsidRPr="00E53B3B">
        <w:rPr>
          <w:rFonts w:eastAsia="Calibri"/>
        </w:rPr>
        <w:t xml:space="preserve"> manufacturer of a food that bears the implied nutrient content claim “</w:t>
      </w:r>
      <w:r w:rsidRPr="00E53B3B">
        <w:rPr>
          <w:rFonts w:eastAsia="Calibri"/>
          <w:i/>
        </w:rPr>
        <w:t>healthy</w:t>
      </w:r>
      <w:r w:rsidRPr="00E53B3B">
        <w:rPr>
          <w:rFonts w:eastAsia="Calibri"/>
        </w:rPr>
        <w:t xml:space="preserve">” must </w:t>
      </w:r>
      <w:bookmarkStart w:id="2" w:name="_Hlk50015782"/>
      <w:r w:rsidR="00AF7C94">
        <w:rPr>
          <w:rFonts w:eastAsia="Calibri"/>
        </w:rPr>
        <w:t>create</w:t>
      </w:r>
      <w:r w:rsidRPr="00E53B3B">
        <w:rPr>
          <w:rFonts w:eastAsia="Calibri"/>
        </w:rPr>
        <w:t xml:space="preserve"> and </w:t>
      </w:r>
      <w:r w:rsidR="00AF7C94">
        <w:rPr>
          <w:rFonts w:eastAsia="Calibri"/>
        </w:rPr>
        <w:t>maintain</w:t>
      </w:r>
      <w:bookmarkEnd w:id="2"/>
      <w:r w:rsidRPr="00E53B3B">
        <w:rPr>
          <w:rFonts w:eastAsia="Calibri"/>
        </w:rPr>
        <w:t xml:space="preserve"> written records to verify that the food meets the food group equivalent requirements when it is not apparent from the label of the food.  Examples of records include analyses of databases, recipes, formulations, information from recipes or formulations, or batch records. However, the product label (including the Nutrition Facts Label</w:t>
      </w:r>
      <w:r w:rsidR="00E9036E">
        <w:rPr>
          <w:rFonts w:eastAsia="Calibri"/>
        </w:rPr>
        <w:t xml:space="preserve"> (NFL)</w:t>
      </w:r>
      <w:r w:rsidRPr="00E53B3B">
        <w:rPr>
          <w:rFonts w:eastAsia="Calibri"/>
        </w:rPr>
        <w:t>, the ingredient list, the statement of identity, and any other information) may be used to verify compliance with the food group requirements for certain foods. For example, it would be apparent from the ingredient list of an oil product whether the product contains 100 percent oil.  Similarly, it would likely be ascertainable from the ingredient list of a frozen spinach product that contains only spinach and salt whether the product contains enough spinach (vegetables) to bear the “</w:t>
      </w:r>
      <w:r w:rsidRPr="00E53B3B">
        <w:rPr>
          <w:rFonts w:eastAsia="Calibri"/>
          <w:i/>
        </w:rPr>
        <w:t>healthy</w:t>
      </w:r>
      <w:r w:rsidRPr="00E53B3B">
        <w:rPr>
          <w:rFonts w:eastAsia="Calibri"/>
        </w:rPr>
        <w:t xml:space="preserve">” claim. Thus, this recordkeeping estimate does not include food groups where the equivalent requirements are apparent from the label of the food. </w:t>
      </w:r>
      <w:bookmarkStart w:id="3" w:name="_Hlk531342036"/>
      <w:r w:rsidRPr="00E53B3B">
        <w:rPr>
          <w:rFonts w:eastAsia="Calibri"/>
        </w:rPr>
        <w:t>The</w:t>
      </w:r>
      <w:r w:rsidR="00AF7C94">
        <w:rPr>
          <w:rFonts w:eastAsia="Calibri"/>
        </w:rPr>
        <w:t>se</w:t>
      </w:r>
      <w:r w:rsidRPr="00E53B3B">
        <w:rPr>
          <w:rFonts w:eastAsia="Calibri"/>
        </w:rPr>
        <w:t xml:space="preserve"> estimates are based on the analysis in </w:t>
      </w:r>
      <w:r w:rsidR="00D10DAA">
        <w:rPr>
          <w:rFonts w:eastAsia="Calibri"/>
        </w:rPr>
        <w:t>T</w:t>
      </w:r>
      <w:r w:rsidRPr="00E53B3B">
        <w:rPr>
          <w:rFonts w:eastAsia="Calibri"/>
        </w:rPr>
        <w:t>able 1</w:t>
      </w:r>
      <w:r w:rsidR="00AD540D">
        <w:rPr>
          <w:rFonts w:eastAsia="Calibri"/>
        </w:rPr>
        <w:t>2</w:t>
      </w:r>
      <w:r w:rsidR="00B92485">
        <w:rPr>
          <w:rFonts w:eastAsia="Calibri"/>
        </w:rPr>
        <w:t xml:space="preserve"> </w:t>
      </w:r>
      <w:r w:rsidRPr="00E53B3B">
        <w:rPr>
          <w:rFonts w:eastAsia="Calibri"/>
        </w:rPr>
        <w:t xml:space="preserve">of the </w:t>
      </w:r>
      <w:bookmarkStart w:id="4" w:name="_Hlk50016539"/>
      <w:r w:rsidR="00B92485">
        <w:rPr>
          <w:rFonts w:eastAsia="Calibri"/>
        </w:rPr>
        <w:t>Final</w:t>
      </w:r>
      <w:r w:rsidRPr="00E53B3B">
        <w:rPr>
          <w:rFonts w:eastAsia="Calibri"/>
        </w:rPr>
        <w:t xml:space="preserve"> Regulatory Impact Analysis</w:t>
      </w:r>
      <w:bookmarkEnd w:id="3"/>
      <w:bookmarkEnd w:id="4"/>
      <w:r w:rsidRPr="00E53B3B">
        <w:rPr>
          <w:rFonts w:eastAsia="Calibri"/>
        </w:rPr>
        <w:t xml:space="preserve"> </w:t>
      </w:r>
      <w:r w:rsidR="00E9036E">
        <w:rPr>
          <w:rFonts w:eastAsia="Calibri"/>
        </w:rPr>
        <w:t>(</w:t>
      </w:r>
      <w:r w:rsidR="00B92485">
        <w:rPr>
          <w:rFonts w:eastAsia="Calibri"/>
        </w:rPr>
        <w:t>F</w:t>
      </w:r>
      <w:r w:rsidR="00E9036E">
        <w:rPr>
          <w:rFonts w:eastAsia="Calibri"/>
        </w:rPr>
        <w:t xml:space="preserve">RIA) </w:t>
      </w:r>
      <w:r w:rsidRPr="00E53B3B">
        <w:rPr>
          <w:rFonts w:eastAsia="Calibri"/>
        </w:rPr>
        <w:t>(</w:t>
      </w:r>
      <w:r w:rsidRPr="00AF7C94" w:rsidR="00AF7C94">
        <w:rPr>
          <w:rFonts w:eastAsia="Calibri"/>
        </w:rPr>
        <w:t>Docket No. FDA-2016-D-2335</w:t>
      </w:r>
      <w:r w:rsidRPr="00E53B3B">
        <w:rPr>
          <w:rFonts w:eastAsia="Calibri"/>
        </w:rPr>
        <w:t xml:space="preserve">). </w:t>
      </w:r>
      <w:r w:rsidRPr="004B6586" w:rsidR="004B6586">
        <w:rPr>
          <w:rFonts w:eastAsia="Calibri"/>
        </w:rPr>
        <w:t xml:space="preserve">Table 12 of the FRIA estimates that </w:t>
      </w:r>
      <w:r w:rsidR="003F5E5B">
        <w:rPr>
          <w:rFonts w:eastAsia="Calibri"/>
        </w:rPr>
        <w:t>5,7</w:t>
      </w:r>
      <w:r w:rsidR="00CD22F9">
        <w:rPr>
          <w:rFonts w:eastAsia="Calibri"/>
        </w:rPr>
        <w:t>02</w:t>
      </w:r>
      <w:r w:rsidRPr="004B6586" w:rsidR="004B6586">
        <w:rPr>
          <w:rFonts w:eastAsia="Calibri"/>
        </w:rPr>
        <w:t xml:space="preserve"> products will need recordkeeping, </w:t>
      </w:r>
      <w:r w:rsidRPr="004B6586" w:rsidR="004B6586">
        <w:rPr>
          <w:rFonts w:eastAsia="Calibri"/>
        </w:rPr>
        <w:t xml:space="preserve">which equals about </w:t>
      </w:r>
      <w:r w:rsidR="00CD22F9">
        <w:rPr>
          <w:rFonts w:eastAsia="Calibri"/>
        </w:rPr>
        <w:t>1,900</w:t>
      </w:r>
      <w:r w:rsidRPr="004B6586" w:rsidR="004B6586">
        <w:rPr>
          <w:rFonts w:eastAsia="Calibri"/>
        </w:rPr>
        <w:t xml:space="preserve"> products annually over a 3-year period (</w:t>
      </w:r>
      <w:r w:rsidR="00110577">
        <w:rPr>
          <w:rFonts w:eastAsia="Calibri"/>
        </w:rPr>
        <w:t>5,702</w:t>
      </w:r>
      <w:r w:rsidRPr="004B6586" w:rsidR="004B6586">
        <w:rPr>
          <w:rFonts w:eastAsia="Calibri"/>
        </w:rPr>
        <w:t xml:space="preserve"> ÷ 3).</w:t>
      </w:r>
      <w:r w:rsidR="001704A7">
        <w:rPr>
          <w:rFonts w:eastAsia="Calibri"/>
        </w:rPr>
        <w:t xml:space="preserve"> </w:t>
      </w:r>
      <w:r w:rsidR="00AF7C94">
        <w:rPr>
          <w:rFonts w:eastAsia="Calibri"/>
        </w:rPr>
        <w:t>We</w:t>
      </w:r>
      <w:r w:rsidRPr="00E53B3B">
        <w:rPr>
          <w:rFonts w:eastAsia="Calibri"/>
        </w:rPr>
        <w:t xml:space="preserve"> estimate that </w:t>
      </w:r>
      <w:bookmarkStart w:id="5" w:name="_Hlk531269108"/>
      <w:r w:rsidRPr="00E53B3B">
        <w:rPr>
          <w:rFonts w:eastAsia="Calibri"/>
        </w:rPr>
        <w:t xml:space="preserve">each year </w:t>
      </w:r>
      <w:bookmarkEnd w:id="5"/>
      <w:r w:rsidR="00A47587">
        <w:rPr>
          <w:rFonts w:eastAsia="Calibri"/>
        </w:rPr>
        <w:t>1,900</w:t>
      </w:r>
      <w:r w:rsidRPr="00E53B3B">
        <w:rPr>
          <w:rFonts w:eastAsia="Calibri"/>
        </w:rPr>
        <w:t xml:space="preserve"> manufacturers will each </w:t>
      </w:r>
      <w:r w:rsidRPr="00FF7148" w:rsidR="00FF7148">
        <w:rPr>
          <w:rFonts w:eastAsia="Calibri"/>
        </w:rPr>
        <w:t>create and maintain</w:t>
      </w:r>
      <w:r w:rsidRPr="00E53B3B">
        <w:rPr>
          <w:rFonts w:eastAsia="Calibri"/>
        </w:rPr>
        <w:t xml:space="preserve"> </w:t>
      </w:r>
      <w:r w:rsidR="00F12AA2">
        <w:rPr>
          <w:rFonts w:eastAsia="Calibri"/>
        </w:rPr>
        <w:t>1</w:t>
      </w:r>
      <w:r w:rsidRPr="00E53B3B">
        <w:rPr>
          <w:rFonts w:eastAsia="Calibri"/>
        </w:rPr>
        <w:t xml:space="preserve"> written record for a total of </w:t>
      </w:r>
      <w:r w:rsidR="00B423AA">
        <w:rPr>
          <w:rFonts w:eastAsia="Calibri"/>
        </w:rPr>
        <w:t>1,900</w:t>
      </w:r>
      <w:r w:rsidRPr="00E53B3B">
        <w:rPr>
          <w:rFonts w:eastAsia="Calibri"/>
        </w:rPr>
        <w:t xml:space="preserve"> records. </w:t>
      </w:r>
      <w:r w:rsidRPr="00E53B3B">
        <w:rPr>
          <w:rFonts w:eastAsia="Calibri"/>
          <w:lang w:val="en"/>
        </w:rPr>
        <w:t xml:space="preserve">We estimate that each record will require 15 to 30 minutes of recordkeeping for an annual recordkeeping burden of </w:t>
      </w:r>
      <w:r w:rsidR="00B423AA">
        <w:rPr>
          <w:rFonts w:eastAsia="Calibri"/>
          <w:lang w:val="en"/>
        </w:rPr>
        <w:t>950</w:t>
      </w:r>
      <w:r w:rsidRPr="00451AB3" w:rsidR="00451AB3">
        <w:rPr>
          <w:rFonts w:eastAsia="Calibri"/>
          <w:lang w:val="en"/>
        </w:rPr>
        <w:t xml:space="preserve"> hours (</w:t>
      </w:r>
      <w:r w:rsidR="00885280">
        <w:rPr>
          <w:rFonts w:eastAsia="Calibri"/>
          <w:lang w:val="en"/>
        </w:rPr>
        <w:t>1,900</w:t>
      </w:r>
      <w:r w:rsidRPr="00451AB3" w:rsidR="00451AB3">
        <w:rPr>
          <w:rFonts w:eastAsia="Calibri"/>
          <w:lang w:val="en"/>
        </w:rPr>
        <w:t xml:space="preserve"> records </w:t>
      </w:r>
      <w:bookmarkStart w:id="6" w:name="_Hlk168061323"/>
      <w:r w:rsidRPr="00451AB3" w:rsidR="00451AB3">
        <w:rPr>
          <w:rFonts w:eastAsia="Calibri"/>
          <w:lang w:val="en"/>
        </w:rPr>
        <w:t>×</w:t>
      </w:r>
      <w:bookmarkEnd w:id="6"/>
      <w:r w:rsidRPr="00451AB3" w:rsidR="00451AB3">
        <w:rPr>
          <w:rFonts w:eastAsia="Calibri"/>
          <w:lang w:val="en"/>
        </w:rPr>
        <w:t xml:space="preserve"> 0.5 hour)</w:t>
      </w:r>
      <w:r w:rsidRPr="00E53B3B">
        <w:rPr>
          <w:rFonts w:eastAsia="Calibri"/>
          <w:lang w:val="en"/>
        </w:rPr>
        <w:t>.</w:t>
      </w:r>
      <w:r w:rsidRPr="00E53B3B">
        <w:rPr>
          <w:rFonts w:eastAsia="Calibri"/>
        </w:rPr>
        <w:t xml:space="preserve"> </w:t>
      </w:r>
      <w:bookmarkStart w:id="7" w:name="_Hlk529271090"/>
      <w:r w:rsidR="00FF7148">
        <w:rPr>
          <w:rFonts w:eastAsia="Calibri"/>
        </w:rPr>
        <w:t xml:space="preserve"> </w:t>
      </w:r>
      <w:bookmarkEnd w:id="7"/>
    </w:p>
    <w:p w:rsidR="0034564B" w:rsidP="00060C9A" w14:paraId="04889EE8" w14:textId="2E6A63FC">
      <w:pPr>
        <w:jc w:val="center"/>
        <w:rPr>
          <w:sz w:val="20"/>
          <w:szCs w:val="20"/>
        </w:rPr>
      </w:pPr>
      <w:r w:rsidRPr="00FF1ED4">
        <w:rPr>
          <w:sz w:val="20"/>
          <w:szCs w:val="20"/>
        </w:rPr>
        <w:t xml:space="preserve">Table </w:t>
      </w:r>
      <w:r w:rsidR="008E6B3B">
        <w:rPr>
          <w:sz w:val="20"/>
          <w:szCs w:val="20"/>
        </w:rPr>
        <w:t>2</w:t>
      </w:r>
      <w:r w:rsidRPr="00FF1ED4">
        <w:rPr>
          <w:sz w:val="20"/>
          <w:szCs w:val="20"/>
        </w:rPr>
        <w:t>.--</w:t>
      </w:r>
      <w:r w:rsidRPr="00FF1ED4">
        <w:rPr>
          <w:sz w:val="20"/>
          <w:szCs w:val="20"/>
        </w:rPr>
        <w:t xml:space="preserve">Estimated One-Time </w:t>
      </w:r>
      <w:r w:rsidR="006503FF">
        <w:rPr>
          <w:sz w:val="20"/>
          <w:szCs w:val="20"/>
        </w:rPr>
        <w:t>Relabeling</w:t>
      </w:r>
      <w:r w:rsidRPr="00FF1ED4">
        <w:rPr>
          <w:sz w:val="20"/>
          <w:szCs w:val="20"/>
        </w:rPr>
        <w:t xml:space="preserve"> Burden</w:t>
      </w:r>
      <w:r w:rsidRPr="00FF1ED4">
        <w:rPr>
          <w:sz w:val="20"/>
          <w:szCs w:val="20"/>
          <w:vertAlign w:val="superscript"/>
        </w:rPr>
        <w:t>1</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350"/>
        <w:gridCol w:w="1529"/>
        <w:gridCol w:w="1260"/>
        <w:gridCol w:w="1350"/>
        <w:gridCol w:w="810"/>
        <w:gridCol w:w="1350"/>
      </w:tblGrid>
      <w:tr w14:paraId="700A2200" w14:textId="77777777" w:rsidTr="00DE437D">
        <w:tblPrEx>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46"/>
          <w:tblHeader/>
        </w:trPr>
        <w:tc>
          <w:tcPr>
            <w:tcW w:w="914" w:type="pct"/>
            <w:shd w:val="clear" w:color="auto" w:fill="auto"/>
          </w:tcPr>
          <w:p w:rsidR="00D10DAA" w:rsidRPr="00FF1ED4" w:rsidP="00DE437D" w14:paraId="0844D18C" w14:textId="1E19C11D">
            <w:pPr>
              <w:jc w:val="center"/>
              <w:rPr>
                <w:sz w:val="20"/>
                <w:szCs w:val="20"/>
              </w:rPr>
            </w:pPr>
            <w:r>
              <w:rPr>
                <w:sz w:val="20"/>
                <w:szCs w:val="20"/>
              </w:rPr>
              <w:t xml:space="preserve">21 CFR Section/ </w:t>
            </w:r>
            <w:r w:rsidRPr="00FF1ED4" w:rsidR="00F81EBF">
              <w:rPr>
                <w:sz w:val="20"/>
                <w:szCs w:val="20"/>
              </w:rPr>
              <w:t>Activity</w:t>
            </w:r>
          </w:p>
        </w:tc>
        <w:tc>
          <w:tcPr>
            <w:tcW w:w="721" w:type="pct"/>
            <w:shd w:val="clear" w:color="auto" w:fill="auto"/>
          </w:tcPr>
          <w:p w:rsidR="00D10DAA" w:rsidRPr="00FF1ED4" w:rsidP="00DE437D" w14:paraId="5327A23A" w14:textId="77777777">
            <w:pPr>
              <w:jc w:val="center"/>
              <w:rPr>
                <w:sz w:val="20"/>
                <w:szCs w:val="20"/>
              </w:rPr>
            </w:pPr>
            <w:r w:rsidRPr="00FF1ED4">
              <w:rPr>
                <w:sz w:val="20"/>
                <w:szCs w:val="20"/>
              </w:rPr>
              <w:t>No. of Respondents</w:t>
            </w:r>
          </w:p>
        </w:tc>
        <w:tc>
          <w:tcPr>
            <w:tcW w:w="817" w:type="pct"/>
            <w:shd w:val="clear" w:color="auto" w:fill="auto"/>
          </w:tcPr>
          <w:p w:rsidR="00D10DAA" w:rsidRPr="00FF1ED4" w:rsidP="00DE437D" w14:paraId="32877804" w14:textId="77777777">
            <w:pPr>
              <w:jc w:val="center"/>
              <w:rPr>
                <w:sz w:val="20"/>
                <w:szCs w:val="20"/>
              </w:rPr>
            </w:pPr>
            <w:r w:rsidRPr="00FF1ED4">
              <w:rPr>
                <w:bCs/>
                <w:sz w:val="20"/>
                <w:szCs w:val="20"/>
              </w:rPr>
              <w:t>No. of Disclosures per Respondent</w:t>
            </w:r>
          </w:p>
        </w:tc>
        <w:tc>
          <w:tcPr>
            <w:tcW w:w="673" w:type="pct"/>
            <w:shd w:val="clear" w:color="auto" w:fill="auto"/>
          </w:tcPr>
          <w:p w:rsidR="00D10DAA" w:rsidRPr="00FF1ED4" w:rsidP="00DE437D" w14:paraId="12140F57" w14:textId="77777777">
            <w:pPr>
              <w:jc w:val="center"/>
              <w:rPr>
                <w:sz w:val="20"/>
                <w:szCs w:val="20"/>
              </w:rPr>
            </w:pPr>
            <w:r w:rsidRPr="00FF1ED4">
              <w:rPr>
                <w:sz w:val="20"/>
                <w:szCs w:val="20"/>
              </w:rPr>
              <w:t>Total Annual Disclosures</w:t>
            </w:r>
          </w:p>
        </w:tc>
        <w:tc>
          <w:tcPr>
            <w:tcW w:w="721" w:type="pct"/>
            <w:shd w:val="clear" w:color="auto" w:fill="auto"/>
          </w:tcPr>
          <w:p w:rsidR="00D10DAA" w:rsidRPr="00FF1ED4" w:rsidP="00DE437D" w14:paraId="269D46F0" w14:textId="77777777">
            <w:pPr>
              <w:jc w:val="center"/>
              <w:rPr>
                <w:sz w:val="20"/>
                <w:szCs w:val="20"/>
              </w:rPr>
            </w:pPr>
            <w:r w:rsidRPr="00FF1ED4">
              <w:rPr>
                <w:bCs/>
                <w:sz w:val="20"/>
                <w:szCs w:val="20"/>
              </w:rPr>
              <w:t xml:space="preserve">Average Burden per Disclosure </w:t>
            </w:r>
          </w:p>
        </w:tc>
        <w:tc>
          <w:tcPr>
            <w:tcW w:w="433" w:type="pct"/>
            <w:shd w:val="clear" w:color="auto" w:fill="auto"/>
          </w:tcPr>
          <w:p w:rsidR="00D10DAA" w:rsidRPr="00FF1ED4" w:rsidP="00DE437D" w14:paraId="7AB71FDA" w14:textId="77777777">
            <w:pPr>
              <w:jc w:val="center"/>
              <w:rPr>
                <w:sz w:val="20"/>
                <w:szCs w:val="20"/>
              </w:rPr>
            </w:pPr>
            <w:r w:rsidRPr="00FF1ED4">
              <w:rPr>
                <w:sz w:val="20"/>
                <w:szCs w:val="20"/>
              </w:rPr>
              <w:t>Total Hours</w:t>
            </w:r>
          </w:p>
        </w:tc>
        <w:tc>
          <w:tcPr>
            <w:tcW w:w="721" w:type="pct"/>
          </w:tcPr>
          <w:p w:rsidR="00D10DAA" w:rsidRPr="00FF1ED4" w:rsidP="00DE437D" w14:paraId="5E4DF703" w14:textId="77777777">
            <w:pPr>
              <w:jc w:val="center"/>
              <w:rPr>
                <w:sz w:val="20"/>
                <w:szCs w:val="20"/>
              </w:rPr>
            </w:pPr>
            <w:r w:rsidRPr="00FF1ED4">
              <w:rPr>
                <w:sz w:val="20"/>
                <w:szCs w:val="20"/>
              </w:rPr>
              <w:t>Total Capital Costs</w:t>
            </w:r>
            <w:r w:rsidRPr="00FF1ED4">
              <w:rPr>
                <w:sz w:val="20"/>
                <w:szCs w:val="20"/>
                <w:vertAlign w:val="superscript"/>
              </w:rPr>
              <w:t>2</w:t>
            </w:r>
          </w:p>
        </w:tc>
      </w:tr>
      <w:tr w14:paraId="033A7310" w14:textId="77777777" w:rsidTr="00DE437D">
        <w:tblPrEx>
          <w:tblW w:w="5005" w:type="pct"/>
          <w:tblInd w:w="-5" w:type="dxa"/>
          <w:tblLayout w:type="fixed"/>
          <w:tblLook w:val="01E0"/>
        </w:tblPrEx>
        <w:trPr>
          <w:trHeight w:val="467"/>
        </w:trPr>
        <w:tc>
          <w:tcPr>
            <w:tcW w:w="914" w:type="pct"/>
            <w:shd w:val="clear" w:color="auto" w:fill="auto"/>
          </w:tcPr>
          <w:p w:rsidR="00D10DAA" w:rsidRPr="00FF1ED4" w:rsidP="00DE437D" w14:paraId="4FC75A20" w14:textId="1F76AA56">
            <w:pPr>
              <w:rPr>
                <w:sz w:val="20"/>
                <w:szCs w:val="20"/>
              </w:rPr>
            </w:pPr>
            <w:r>
              <w:rPr>
                <w:sz w:val="20"/>
                <w:szCs w:val="20"/>
              </w:rPr>
              <w:t xml:space="preserve">101; </w:t>
            </w:r>
            <w:r w:rsidRPr="00FF1ED4" w:rsidR="00F81EBF">
              <w:rPr>
                <w:sz w:val="20"/>
                <w:szCs w:val="20"/>
              </w:rPr>
              <w:t>Relabel for “</w:t>
            </w:r>
            <w:r w:rsidRPr="005B6D8B" w:rsidR="00F81EBF">
              <w:rPr>
                <w:i/>
                <w:sz w:val="20"/>
                <w:szCs w:val="20"/>
              </w:rPr>
              <w:t>healthy</w:t>
            </w:r>
            <w:r w:rsidRPr="00FF1ED4" w:rsidR="00F81EBF">
              <w:rPr>
                <w:sz w:val="20"/>
                <w:szCs w:val="20"/>
              </w:rPr>
              <w:t>” claim</w:t>
            </w:r>
          </w:p>
        </w:tc>
        <w:tc>
          <w:tcPr>
            <w:tcW w:w="721" w:type="pct"/>
            <w:shd w:val="clear" w:color="auto" w:fill="auto"/>
          </w:tcPr>
          <w:p w:rsidR="00D10DAA" w:rsidRPr="00FF1ED4" w:rsidP="00DE437D" w14:paraId="2DD96ED8" w14:textId="02E745DD">
            <w:pPr>
              <w:jc w:val="right"/>
              <w:rPr>
                <w:sz w:val="20"/>
                <w:szCs w:val="20"/>
              </w:rPr>
            </w:pPr>
            <w:r w:rsidRPr="00594FAF">
              <w:rPr>
                <w:sz w:val="20"/>
                <w:szCs w:val="20"/>
              </w:rPr>
              <w:t>7,109</w:t>
            </w:r>
          </w:p>
        </w:tc>
        <w:tc>
          <w:tcPr>
            <w:tcW w:w="817" w:type="pct"/>
            <w:shd w:val="clear" w:color="auto" w:fill="auto"/>
          </w:tcPr>
          <w:p w:rsidR="00D10DAA" w:rsidRPr="00FF1ED4" w:rsidP="00DE437D" w14:paraId="097E198E" w14:textId="77777777">
            <w:pPr>
              <w:jc w:val="right"/>
              <w:rPr>
                <w:sz w:val="20"/>
                <w:szCs w:val="20"/>
              </w:rPr>
            </w:pPr>
            <w:r>
              <w:rPr>
                <w:sz w:val="20"/>
                <w:szCs w:val="20"/>
              </w:rPr>
              <w:t>1</w:t>
            </w:r>
          </w:p>
        </w:tc>
        <w:tc>
          <w:tcPr>
            <w:tcW w:w="673" w:type="pct"/>
            <w:shd w:val="clear" w:color="auto" w:fill="auto"/>
          </w:tcPr>
          <w:p w:rsidR="00D10DAA" w:rsidRPr="00FF1ED4" w:rsidP="00DE437D" w14:paraId="45A72232" w14:textId="1708B767">
            <w:pPr>
              <w:jc w:val="right"/>
              <w:rPr>
                <w:sz w:val="20"/>
                <w:szCs w:val="20"/>
              </w:rPr>
            </w:pPr>
            <w:r w:rsidRPr="00594FAF">
              <w:rPr>
                <w:sz w:val="20"/>
                <w:szCs w:val="20"/>
              </w:rPr>
              <w:t>7,109</w:t>
            </w:r>
          </w:p>
        </w:tc>
        <w:tc>
          <w:tcPr>
            <w:tcW w:w="721" w:type="pct"/>
            <w:shd w:val="clear" w:color="auto" w:fill="auto"/>
          </w:tcPr>
          <w:p w:rsidR="00D10DAA" w:rsidRPr="00FF1ED4" w:rsidP="00DE437D" w14:paraId="37D7A830" w14:textId="77777777">
            <w:pPr>
              <w:jc w:val="right"/>
              <w:rPr>
                <w:sz w:val="20"/>
                <w:szCs w:val="20"/>
              </w:rPr>
            </w:pPr>
            <w:r w:rsidRPr="00FF1ED4">
              <w:rPr>
                <w:sz w:val="20"/>
                <w:szCs w:val="20"/>
              </w:rPr>
              <w:t>1</w:t>
            </w:r>
          </w:p>
        </w:tc>
        <w:tc>
          <w:tcPr>
            <w:tcW w:w="433" w:type="pct"/>
            <w:shd w:val="clear" w:color="auto" w:fill="auto"/>
          </w:tcPr>
          <w:p w:rsidR="00D10DAA" w:rsidRPr="00FF1ED4" w:rsidP="00DE437D" w14:paraId="675C12FA" w14:textId="1B5511C1">
            <w:pPr>
              <w:jc w:val="right"/>
              <w:rPr>
                <w:sz w:val="20"/>
                <w:szCs w:val="20"/>
              </w:rPr>
            </w:pPr>
            <w:r w:rsidRPr="000D7B83">
              <w:rPr>
                <w:sz w:val="20"/>
                <w:szCs w:val="20"/>
              </w:rPr>
              <w:t>7,109</w:t>
            </w:r>
          </w:p>
        </w:tc>
        <w:tc>
          <w:tcPr>
            <w:tcW w:w="721" w:type="pct"/>
          </w:tcPr>
          <w:p w:rsidR="00D10DAA" w:rsidRPr="00FF1ED4" w:rsidP="00DE437D" w14:paraId="5250DCFB" w14:textId="09C172D1">
            <w:pPr>
              <w:jc w:val="right"/>
              <w:rPr>
                <w:sz w:val="20"/>
                <w:szCs w:val="20"/>
              </w:rPr>
            </w:pPr>
            <w:bookmarkStart w:id="8" w:name="_Hlk530040798"/>
            <w:r w:rsidRPr="00FF1ED4">
              <w:rPr>
                <w:sz w:val="20"/>
                <w:szCs w:val="20"/>
              </w:rPr>
              <w:t>$</w:t>
            </w:r>
            <w:bookmarkEnd w:id="8"/>
            <w:r w:rsidRPr="000D7B83" w:rsidR="000D7B83">
              <w:rPr>
                <w:sz w:val="20"/>
                <w:szCs w:val="20"/>
              </w:rPr>
              <w:t>19,750,964</w:t>
            </w:r>
          </w:p>
        </w:tc>
      </w:tr>
    </w:tbl>
    <w:p w:rsidR="00D10DAA" w:rsidRPr="00FF1ED4" w:rsidP="00D10DAA" w14:paraId="745CD32C" w14:textId="77777777">
      <w:pPr>
        <w:ind w:firstLine="360"/>
        <w:rPr>
          <w:sz w:val="20"/>
          <w:szCs w:val="20"/>
        </w:rPr>
      </w:pPr>
      <w:r w:rsidRPr="00FF1ED4">
        <w:rPr>
          <w:sz w:val="20"/>
          <w:szCs w:val="20"/>
          <w:vertAlign w:val="superscript"/>
        </w:rPr>
        <w:t>1</w:t>
      </w:r>
      <w:r w:rsidRPr="00FF1ED4">
        <w:rPr>
          <w:sz w:val="20"/>
          <w:szCs w:val="20"/>
        </w:rPr>
        <w:t xml:space="preserve"> One-time labeling burden.</w:t>
      </w:r>
    </w:p>
    <w:p w:rsidR="00D10DAA" w:rsidP="00D10DAA" w14:paraId="281E3F31" w14:textId="77777777">
      <w:pPr>
        <w:spacing w:after="200"/>
        <w:ind w:left="360"/>
        <w:rPr>
          <w:sz w:val="20"/>
          <w:szCs w:val="20"/>
        </w:rPr>
      </w:pPr>
      <w:r w:rsidRPr="00FF1ED4">
        <w:rPr>
          <w:sz w:val="20"/>
          <w:szCs w:val="20"/>
          <w:vertAlign w:val="superscript"/>
        </w:rPr>
        <w:t>2</w:t>
      </w:r>
      <w:r w:rsidRPr="00FF1ED4">
        <w:rPr>
          <w:sz w:val="20"/>
          <w:szCs w:val="20"/>
        </w:rPr>
        <w:t xml:space="preserve"> There are no operating and maintenance costs associated with this collection of information.</w:t>
      </w:r>
      <w:r>
        <w:rPr>
          <w:sz w:val="20"/>
          <w:szCs w:val="20"/>
        </w:rPr>
        <w:t xml:space="preserve"> </w:t>
      </w:r>
    </w:p>
    <w:p w:rsidR="00E9036E" w:rsidRPr="00E9036E" w:rsidP="00BD41F2" w14:paraId="2B6AFD1D" w14:textId="17EC6B84">
      <w:pPr>
        <w:spacing w:after="200"/>
        <w:rPr>
          <w:rFonts w:eastAsia="Calibri"/>
        </w:rPr>
      </w:pPr>
      <w:r w:rsidRPr="00E9036E">
        <w:rPr>
          <w:rFonts w:eastAsia="Calibri"/>
        </w:rPr>
        <w:t>We assume there are two categories of UPCs that could require re-labeling. First, if a UPC currently labeled “</w:t>
      </w:r>
      <w:r w:rsidRPr="00201860">
        <w:rPr>
          <w:rFonts w:eastAsia="Calibri"/>
          <w:i/>
          <w:iCs/>
        </w:rPr>
        <w:t>healthy</w:t>
      </w:r>
      <w:r w:rsidRPr="00E9036E">
        <w:rPr>
          <w:rFonts w:eastAsia="Calibri"/>
        </w:rPr>
        <w:t xml:space="preserve">” does not meet the </w:t>
      </w:r>
      <w:r w:rsidR="00B95ADF">
        <w:rPr>
          <w:rFonts w:eastAsia="Calibri"/>
        </w:rPr>
        <w:t>requir</w:t>
      </w:r>
      <w:r w:rsidRPr="00E9036E">
        <w:rPr>
          <w:rFonts w:eastAsia="Calibri"/>
        </w:rPr>
        <w:t>ed criteria, the manufacturer could choose to remove the “</w:t>
      </w:r>
      <w:r w:rsidRPr="00201860">
        <w:rPr>
          <w:rFonts w:eastAsia="Calibri"/>
          <w:i/>
          <w:iCs/>
        </w:rPr>
        <w:t>healthy</w:t>
      </w:r>
      <w:r w:rsidRPr="00E9036E">
        <w:rPr>
          <w:rFonts w:eastAsia="Calibri"/>
        </w:rPr>
        <w:t>” claim or reformulate. In either case, the label would need to be changed, either to remove the “</w:t>
      </w:r>
      <w:r w:rsidRPr="00201860">
        <w:rPr>
          <w:rFonts w:eastAsia="Calibri"/>
          <w:i/>
          <w:iCs/>
        </w:rPr>
        <w:t>healthy</w:t>
      </w:r>
      <w:r w:rsidRPr="00E9036E">
        <w:rPr>
          <w:rFonts w:eastAsia="Calibri"/>
        </w:rPr>
        <w:t>” claim or to change the NFL after reformulation.</w:t>
      </w:r>
      <w:r>
        <w:rPr>
          <w:rFonts w:eastAsia="Calibri"/>
        </w:rPr>
        <w:t xml:space="preserve"> </w:t>
      </w:r>
      <w:r w:rsidRPr="00E9036E">
        <w:rPr>
          <w:rFonts w:eastAsia="Calibri"/>
        </w:rPr>
        <w:t>Given the current UPCs labeled “</w:t>
      </w:r>
      <w:r w:rsidRPr="00201860">
        <w:rPr>
          <w:rFonts w:eastAsia="Calibri"/>
          <w:i/>
          <w:iCs/>
        </w:rPr>
        <w:t>healthy</w:t>
      </w:r>
      <w:r w:rsidRPr="00E9036E">
        <w:rPr>
          <w:rFonts w:eastAsia="Calibri"/>
        </w:rPr>
        <w:t xml:space="preserve">” that </w:t>
      </w:r>
      <w:r w:rsidR="00A64BF0">
        <w:rPr>
          <w:rFonts w:eastAsia="Calibri"/>
        </w:rPr>
        <w:t>do</w:t>
      </w:r>
      <w:r w:rsidRPr="00E9036E">
        <w:rPr>
          <w:rFonts w:eastAsia="Calibri"/>
        </w:rPr>
        <w:t xml:space="preserve"> not </w:t>
      </w:r>
      <w:r w:rsidR="00A64BF0">
        <w:rPr>
          <w:rFonts w:eastAsia="Calibri"/>
        </w:rPr>
        <w:t>meet</w:t>
      </w:r>
      <w:r w:rsidRPr="00E9036E">
        <w:rPr>
          <w:rFonts w:eastAsia="Calibri"/>
        </w:rPr>
        <w:t xml:space="preserve"> the </w:t>
      </w:r>
      <w:r w:rsidR="000F5AC6">
        <w:rPr>
          <w:rFonts w:eastAsia="Calibri"/>
        </w:rPr>
        <w:t>requir</w:t>
      </w:r>
      <w:r w:rsidRPr="00E9036E">
        <w:rPr>
          <w:rFonts w:eastAsia="Calibri"/>
        </w:rPr>
        <w:t>ed criteria, we estimate the number of UPCs that would remove the “</w:t>
      </w:r>
      <w:r w:rsidRPr="00201860">
        <w:rPr>
          <w:rFonts w:eastAsia="Calibri"/>
          <w:i/>
          <w:iCs/>
        </w:rPr>
        <w:t>healthy</w:t>
      </w:r>
      <w:r w:rsidRPr="00E9036E">
        <w:rPr>
          <w:rFonts w:eastAsia="Calibri"/>
        </w:rPr>
        <w:t xml:space="preserve">” claim or reformulate. Second, if a UPC not </w:t>
      </w:r>
      <w:r w:rsidR="007C6D76">
        <w:rPr>
          <w:rFonts w:eastAsia="Calibri"/>
        </w:rPr>
        <w:t>labeled</w:t>
      </w:r>
      <w:r w:rsidRPr="00E9036E">
        <w:rPr>
          <w:rFonts w:eastAsia="Calibri"/>
        </w:rPr>
        <w:t xml:space="preserve"> “</w:t>
      </w:r>
      <w:r w:rsidRPr="00201860">
        <w:rPr>
          <w:rFonts w:eastAsia="Calibri"/>
          <w:i/>
          <w:iCs/>
        </w:rPr>
        <w:t>healthy</w:t>
      </w:r>
      <w:r w:rsidRPr="00E9036E">
        <w:rPr>
          <w:rFonts w:eastAsia="Calibri"/>
        </w:rPr>
        <w:t xml:space="preserve">” </w:t>
      </w:r>
      <w:r w:rsidR="007C6D76">
        <w:rPr>
          <w:rFonts w:eastAsia="Calibri"/>
        </w:rPr>
        <w:t>now</w:t>
      </w:r>
      <w:r w:rsidRPr="00E9036E">
        <w:rPr>
          <w:rFonts w:eastAsia="Calibri"/>
        </w:rPr>
        <w:t xml:space="preserve"> meet</w:t>
      </w:r>
      <w:r w:rsidR="007C6D76">
        <w:rPr>
          <w:rFonts w:eastAsia="Calibri"/>
        </w:rPr>
        <w:t>s</w:t>
      </w:r>
      <w:r w:rsidRPr="00E9036E">
        <w:rPr>
          <w:rFonts w:eastAsia="Calibri"/>
        </w:rPr>
        <w:t xml:space="preserve"> the </w:t>
      </w:r>
      <w:r w:rsidR="004B3628">
        <w:rPr>
          <w:rFonts w:eastAsia="Calibri"/>
        </w:rPr>
        <w:t>requir</w:t>
      </w:r>
      <w:r w:rsidRPr="00E9036E">
        <w:rPr>
          <w:rFonts w:eastAsia="Calibri"/>
        </w:rPr>
        <w:t>ed criteria, the manufacturer could choose to add the “</w:t>
      </w:r>
      <w:r w:rsidRPr="00201860">
        <w:rPr>
          <w:rFonts w:eastAsia="Calibri"/>
          <w:i/>
          <w:iCs/>
        </w:rPr>
        <w:t>healthy</w:t>
      </w:r>
      <w:r w:rsidRPr="00E9036E">
        <w:rPr>
          <w:rFonts w:eastAsia="Calibri"/>
        </w:rPr>
        <w:t xml:space="preserve">” claim. </w:t>
      </w:r>
      <w:r>
        <w:rPr>
          <w:rFonts w:eastAsia="Calibri"/>
        </w:rPr>
        <w:t xml:space="preserve"> </w:t>
      </w:r>
      <w:r w:rsidRPr="00E9036E">
        <w:rPr>
          <w:rFonts w:eastAsia="Calibri"/>
        </w:rPr>
        <w:t>T</w:t>
      </w:r>
      <w:r w:rsidR="002F2B50">
        <w:rPr>
          <w:rFonts w:eastAsia="Calibri"/>
        </w:rPr>
        <w:t xml:space="preserve">able </w:t>
      </w:r>
      <w:r w:rsidR="007E65A1">
        <w:rPr>
          <w:rFonts w:eastAsia="Calibri"/>
        </w:rPr>
        <w:t xml:space="preserve">8 </w:t>
      </w:r>
      <w:r w:rsidR="002F2B50">
        <w:rPr>
          <w:rFonts w:eastAsia="Calibri"/>
        </w:rPr>
        <w:t>of t</w:t>
      </w:r>
      <w:r w:rsidRPr="00E9036E">
        <w:rPr>
          <w:rFonts w:eastAsia="Calibri"/>
        </w:rPr>
        <w:t xml:space="preserve">he </w:t>
      </w:r>
      <w:r w:rsidR="007E65A1">
        <w:rPr>
          <w:rFonts w:eastAsia="Calibri"/>
        </w:rPr>
        <w:t>F</w:t>
      </w:r>
      <w:r w:rsidRPr="00E9036E">
        <w:rPr>
          <w:rFonts w:eastAsia="Calibri"/>
        </w:rPr>
        <w:t xml:space="preserve">RIA estimates the need for </w:t>
      </w:r>
      <w:r w:rsidRPr="00EC19D4" w:rsidR="00EC19D4">
        <w:rPr>
          <w:rFonts w:eastAsia="Calibri"/>
        </w:rPr>
        <w:t>21,328</w:t>
      </w:r>
      <w:r w:rsidR="00EC19D4">
        <w:rPr>
          <w:rFonts w:eastAsia="Calibri"/>
        </w:rPr>
        <w:t xml:space="preserve"> </w:t>
      </w:r>
      <w:r w:rsidRPr="00E9036E">
        <w:rPr>
          <w:rFonts w:eastAsia="Calibri"/>
        </w:rPr>
        <w:t>total label changes</w:t>
      </w:r>
      <w:r>
        <w:rPr>
          <w:rFonts w:eastAsia="Calibri"/>
        </w:rPr>
        <w:t xml:space="preserve">, which would be about </w:t>
      </w:r>
      <w:r w:rsidRPr="00EC19D4" w:rsidR="00EC19D4">
        <w:rPr>
          <w:rFonts w:eastAsia="Calibri"/>
        </w:rPr>
        <w:t>7,109</w:t>
      </w:r>
      <w:r>
        <w:rPr>
          <w:rFonts w:eastAsia="Calibri"/>
        </w:rPr>
        <w:t xml:space="preserve"> label changes </w:t>
      </w:r>
      <w:r w:rsidR="002F2B50">
        <w:rPr>
          <w:rFonts w:eastAsia="Calibri"/>
        </w:rPr>
        <w:t xml:space="preserve">annually </w:t>
      </w:r>
      <w:r>
        <w:rPr>
          <w:rFonts w:eastAsia="Calibri"/>
        </w:rPr>
        <w:t>over a 3-year period</w:t>
      </w:r>
      <w:r w:rsidRPr="00E9036E">
        <w:rPr>
          <w:rFonts w:eastAsia="Calibri"/>
        </w:rPr>
        <w:t>. Because this claim is voluntary, we do not know how many establishments will make labeling changes.</w:t>
      </w:r>
      <w:r>
        <w:rPr>
          <w:rFonts w:eastAsia="Calibri"/>
        </w:rPr>
        <w:t xml:space="preserve"> </w:t>
      </w:r>
      <w:r w:rsidRPr="00E9036E">
        <w:rPr>
          <w:rFonts w:eastAsia="Calibri"/>
        </w:rPr>
        <w:t xml:space="preserve">For </w:t>
      </w:r>
      <w:r w:rsidR="000F0FED">
        <w:rPr>
          <w:rFonts w:eastAsia="Calibri"/>
        </w:rPr>
        <w:t xml:space="preserve">the </w:t>
      </w:r>
      <w:r w:rsidRPr="00E9036E">
        <w:rPr>
          <w:rFonts w:eastAsia="Calibri"/>
        </w:rPr>
        <w:t xml:space="preserve">purpose of </w:t>
      </w:r>
      <w:r>
        <w:rPr>
          <w:rFonts w:eastAsia="Calibri"/>
        </w:rPr>
        <w:t>this analysis</w:t>
      </w:r>
      <w:r w:rsidRPr="00E9036E">
        <w:rPr>
          <w:rFonts w:eastAsia="Calibri"/>
        </w:rPr>
        <w:t>, we assume that the number of respondents is the same as the number of disclosures.</w:t>
      </w:r>
      <w:r>
        <w:rPr>
          <w:rFonts w:eastAsia="Calibri"/>
        </w:rPr>
        <w:t xml:space="preserve"> </w:t>
      </w:r>
      <w:r w:rsidRPr="00E9036E">
        <w:rPr>
          <w:rFonts w:eastAsia="Calibri"/>
        </w:rPr>
        <w:t xml:space="preserve">Each disclosure will take an estimated 1 hour to complete for an annual third-party disclosure burden of </w:t>
      </w:r>
      <w:r w:rsidRPr="00127FC6" w:rsidR="00127FC6">
        <w:rPr>
          <w:rFonts w:eastAsia="Calibri"/>
        </w:rPr>
        <w:t>7,109</w:t>
      </w:r>
      <w:r w:rsidRPr="00E9036E">
        <w:rPr>
          <w:rFonts w:eastAsia="Calibri"/>
        </w:rPr>
        <w:t xml:space="preserve"> hours</w:t>
      </w:r>
      <w:r w:rsidR="002F2B50">
        <w:rPr>
          <w:rFonts w:eastAsia="Calibri"/>
        </w:rPr>
        <w:t>.</w:t>
      </w:r>
      <w:r w:rsidR="00F80C90">
        <w:rPr>
          <w:rFonts w:eastAsia="Calibri"/>
        </w:rPr>
        <w:t xml:space="preserve"> (For the purpose of ROCIS entry, we have entered one-third of the respondents, one-third of the total annualized burden hours and one-third of the total capital costs</w:t>
      </w:r>
      <w:r w:rsidR="008B5907">
        <w:rPr>
          <w:rFonts w:eastAsia="Calibri"/>
        </w:rPr>
        <w:t xml:space="preserve"> for the one-time relabeling.</w:t>
      </w:r>
      <w:r w:rsidR="00F80C90">
        <w:rPr>
          <w:rFonts w:eastAsia="Calibri"/>
        </w:rPr>
        <w:t>)</w:t>
      </w:r>
    </w:p>
    <w:p w:rsidR="00357C8A" w:rsidRPr="00D03623" w:rsidP="00BD41F2" w14:paraId="427D11DC" w14:textId="77777777">
      <w:pPr>
        <w:spacing w:after="200"/>
        <w:rPr>
          <w:rFonts w:eastAsia="Calibri"/>
          <w:i/>
          <w:iCs/>
        </w:rPr>
      </w:pPr>
      <w:r w:rsidRPr="00D03623">
        <w:rPr>
          <w:rFonts w:eastAsia="Calibri"/>
          <w:i/>
          <w:iCs/>
        </w:rPr>
        <w:t>12b.  Annualized Cost Burden Estimate</w:t>
      </w:r>
    </w:p>
    <w:p w:rsidR="00357C8A" w:rsidP="0006329D" w14:paraId="7EF66322" w14:textId="6EBFA9B8">
      <w:pPr>
        <w:spacing w:after="200"/>
        <w:rPr>
          <w:rFonts w:eastAsia="Calibri"/>
        </w:rPr>
      </w:pPr>
      <w:r w:rsidRPr="00273308">
        <w:rPr>
          <w:rFonts w:eastAsia="Calibri"/>
        </w:rPr>
        <w:t xml:space="preserve">We estimate that the total annualized cost burden to respondents associated with the requirements of </w:t>
      </w:r>
      <w:r w:rsidR="00F96E08">
        <w:rPr>
          <w:rFonts w:eastAsia="Calibri"/>
        </w:rPr>
        <w:t>the new</w:t>
      </w:r>
      <w:r>
        <w:rPr>
          <w:rFonts w:eastAsia="Calibri"/>
        </w:rPr>
        <w:t xml:space="preserve"> </w:t>
      </w:r>
      <w:r w:rsidRPr="00273308">
        <w:rPr>
          <w:rFonts w:eastAsia="Calibri"/>
        </w:rPr>
        <w:t>§</w:t>
      </w:r>
      <w:r>
        <w:rPr>
          <w:rFonts w:eastAsia="Calibri"/>
        </w:rPr>
        <w:t xml:space="preserve"> 101.65</w:t>
      </w:r>
      <w:r w:rsidRPr="00273308">
        <w:rPr>
          <w:rFonts w:eastAsia="Calibri"/>
        </w:rPr>
        <w:t xml:space="preserve"> to be approximately $</w:t>
      </w:r>
      <w:r w:rsidRPr="00AB3B58" w:rsidR="00AB3B58">
        <w:rPr>
          <w:rFonts w:eastAsia="Calibri"/>
        </w:rPr>
        <w:t>910,989.36</w:t>
      </w:r>
      <w:r w:rsidRPr="00273308">
        <w:rPr>
          <w:rFonts w:eastAsia="Calibri"/>
        </w:rPr>
        <w:t xml:space="preserve">. We estimate a respondent’s average wage to be commensurate to that of a </w:t>
      </w:r>
      <w:r w:rsidRPr="00273308" w:rsidR="00F80C90">
        <w:rPr>
          <w:rFonts w:eastAsia="Calibri"/>
        </w:rPr>
        <w:t>federal</w:t>
      </w:r>
      <w:r w:rsidRPr="00273308">
        <w:rPr>
          <w:rFonts w:eastAsia="Calibri"/>
        </w:rPr>
        <w:t xml:space="preserve"> government employee at the GS-13/Step-1 rate for the Washington-Baltimore locality pay area for the year 202</w:t>
      </w:r>
      <w:r w:rsidR="00DE7734">
        <w:rPr>
          <w:rFonts w:eastAsia="Calibri"/>
        </w:rPr>
        <w:t>4</w:t>
      </w:r>
      <w:r w:rsidRPr="00273308">
        <w:rPr>
          <w:rFonts w:eastAsia="Calibri"/>
        </w:rPr>
        <w:t>, $</w:t>
      </w:r>
      <w:r w:rsidR="000C0C41">
        <w:rPr>
          <w:rFonts w:eastAsia="Calibri"/>
        </w:rPr>
        <w:t>56.52</w:t>
      </w:r>
      <w:r w:rsidRPr="00273308">
        <w:rPr>
          <w:rFonts w:eastAsia="Calibri"/>
        </w:rPr>
        <w:t xml:space="preserve"> per hour. To account for overhead, this cost is increased by 100 percent, making the estimated cost burden to the respondent $</w:t>
      </w:r>
      <w:bookmarkStart w:id="9" w:name="_Hlk159408468"/>
      <w:r w:rsidR="005A400A">
        <w:rPr>
          <w:rFonts w:eastAsia="Calibri"/>
        </w:rPr>
        <w:t>113.04</w:t>
      </w:r>
      <w:bookmarkEnd w:id="9"/>
      <w:r w:rsidRPr="00273308">
        <w:rPr>
          <w:rFonts w:eastAsia="Calibri"/>
        </w:rPr>
        <w:t xml:space="preserve"> per hour. Using these figures, </w:t>
      </w:r>
      <w:r w:rsidR="00A604A9">
        <w:rPr>
          <w:rFonts w:eastAsia="Calibri"/>
        </w:rPr>
        <w:t>we</w:t>
      </w:r>
      <w:r w:rsidRPr="00273308">
        <w:rPr>
          <w:rFonts w:eastAsia="Calibri"/>
        </w:rPr>
        <w:t xml:space="preserve"> estimate the cost burden for </w:t>
      </w:r>
      <w:r w:rsidR="00A604A9">
        <w:rPr>
          <w:rFonts w:eastAsia="Calibri"/>
        </w:rPr>
        <w:t>recordkeeping</w:t>
      </w:r>
      <w:r w:rsidRPr="00273308">
        <w:rPr>
          <w:rFonts w:eastAsia="Calibri"/>
        </w:rPr>
        <w:t xml:space="preserve"> to be $</w:t>
      </w:r>
      <w:r w:rsidRPr="00B33909" w:rsidR="00B33909">
        <w:rPr>
          <w:rFonts w:eastAsia="Calibri"/>
        </w:rPr>
        <w:t>107,388.00</w:t>
      </w:r>
      <w:r w:rsidRPr="00273308">
        <w:rPr>
          <w:rFonts w:eastAsia="Calibri"/>
        </w:rPr>
        <w:t xml:space="preserve"> (</w:t>
      </w:r>
      <w:r w:rsidR="00802024">
        <w:rPr>
          <w:rFonts w:eastAsia="Calibri"/>
        </w:rPr>
        <w:t>950</w:t>
      </w:r>
      <w:r w:rsidRPr="00273308">
        <w:rPr>
          <w:rFonts w:eastAsia="Calibri"/>
        </w:rPr>
        <w:t xml:space="preserve"> hours </w:t>
      </w:r>
      <w:r w:rsidRPr="007D5C8F" w:rsidR="007D5C8F">
        <w:rPr>
          <w:rFonts w:eastAsia="Calibri"/>
          <w:lang w:val="en"/>
        </w:rPr>
        <w:t>×</w:t>
      </w:r>
      <w:r w:rsidRPr="00273308">
        <w:rPr>
          <w:rFonts w:eastAsia="Calibri"/>
        </w:rPr>
        <w:t xml:space="preserve"> $</w:t>
      </w:r>
      <w:r w:rsidRPr="00D850E1" w:rsidR="00D850E1">
        <w:rPr>
          <w:rFonts w:eastAsia="Calibri"/>
        </w:rPr>
        <w:t>113.04</w:t>
      </w:r>
      <w:r w:rsidRPr="00273308">
        <w:rPr>
          <w:rFonts w:eastAsia="Calibri"/>
        </w:rPr>
        <w:t xml:space="preserve"> per hour) and the cost burden for </w:t>
      </w:r>
      <w:r>
        <w:rPr>
          <w:rFonts w:eastAsia="Calibri"/>
        </w:rPr>
        <w:t>relabeling</w:t>
      </w:r>
      <w:r w:rsidRPr="00273308">
        <w:rPr>
          <w:rFonts w:eastAsia="Calibri"/>
        </w:rPr>
        <w:t xml:space="preserve"> to be $</w:t>
      </w:r>
      <w:r w:rsidR="00252B1C">
        <w:rPr>
          <w:rFonts w:eastAsia="Calibri"/>
        </w:rPr>
        <w:t>803,601.36</w:t>
      </w:r>
      <w:r w:rsidRPr="00273308">
        <w:rPr>
          <w:rFonts w:eastAsia="Calibri"/>
        </w:rPr>
        <w:t xml:space="preserve"> (</w:t>
      </w:r>
      <w:r w:rsidRPr="00AD230E" w:rsidR="00AD230E">
        <w:rPr>
          <w:rFonts w:eastAsia="Calibri"/>
        </w:rPr>
        <w:t>7,109</w:t>
      </w:r>
      <w:r w:rsidRPr="00273308">
        <w:rPr>
          <w:rFonts w:eastAsia="Calibri"/>
        </w:rPr>
        <w:t xml:space="preserve"> hours </w:t>
      </w:r>
      <w:r w:rsidRPr="007D5C8F" w:rsidR="007D5C8F">
        <w:rPr>
          <w:rFonts w:eastAsia="Calibri"/>
          <w:lang w:val="en"/>
        </w:rPr>
        <w:t>×</w:t>
      </w:r>
      <w:r w:rsidRPr="00273308">
        <w:rPr>
          <w:rFonts w:eastAsia="Calibri"/>
        </w:rPr>
        <w:t xml:space="preserve"> $</w:t>
      </w:r>
      <w:r w:rsidRPr="00CC6C05" w:rsidR="00CC6C05">
        <w:rPr>
          <w:rFonts w:eastAsia="Calibri"/>
        </w:rPr>
        <w:t>113.04</w:t>
      </w:r>
      <w:r w:rsidRPr="00273308">
        <w:rPr>
          <w:rFonts w:eastAsia="Calibri"/>
        </w:rPr>
        <w:t xml:space="preserve"> per hour), for a total annualized burden hour cost of $</w:t>
      </w:r>
      <w:r w:rsidRPr="00E160A3" w:rsidR="00E160A3">
        <w:rPr>
          <w:rFonts w:eastAsia="Calibri"/>
        </w:rPr>
        <w:t>910,989.36</w:t>
      </w:r>
      <w:r w:rsidRPr="00273308">
        <w:rPr>
          <w:rFonts w:eastAsia="Calibri"/>
        </w:rPr>
        <w:t>.</w:t>
      </w:r>
      <w:r w:rsidRPr="003F7E41" w:rsidR="003F7E41">
        <w:t xml:space="preserve"> </w:t>
      </w:r>
      <w:r w:rsidR="003F7E41">
        <w:t xml:space="preserve"> </w:t>
      </w:r>
    </w:p>
    <w:p w:rsidR="008E6B3B" w:rsidRPr="008E6B3B" w:rsidP="008E6B3B" w14:paraId="4D45FAB9" w14:textId="77777777">
      <w:pPr>
        <w:ind w:left="720"/>
        <w:jc w:val="center"/>
        <w:rPr>
          <w:rFonts w:eastAsia="Calibri"/>
          <w:sz w:val="20"/>
          <w:szCs w:val="20"/>
        </w:rPr>
      </w:pPr>
      <w:r w:rsidRPr="008E6B3B">
        <w:rPr>
          <w:rFonts w:eastAsia="Calibri"/>
          <w:sz w:val="20"/>
          <w:szCs w:val="20"/>
        </w:rPr>
        <w:t xml:space="preserve">Table </w:t>
      </w:r>
      <w:r w:rsidRPr="008E6B3B">
        <w:rPr>
          <w:rFonts w:eastAsia="Calibri"/>
          <w:sz w:val="20"/>
          <w:szCs w:val="20"/>
        </w:rPr>
        <w:t>3.--</w:t>
      </w:r>
      <w:r w:rsidRPr="008E6B3B">
        <w:rPr>
          <w:rFonts w:eastAsia="Calibri"/>
          <w:sz w:val="20"/>
          <w:szCs w:val="20"/>
        </w:rPr>
        <w:t>Estimated Annual Cost Burden</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1800"/>
        <w:gridCol w:w="2394"/>
        <w:gridCol w:w="2366"/>
      </w:tblGrid>
      <w:tr w14:paraId="62BCD2D8" w14:textId="77777777" w:rsidTr="00D41ED6">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0"/>
        </w:trPr>
        <w:tc>
          <w:tcPr>
            <w:tcW w:w="2890" w:type="dxa"/>
          </w:tcPr>
          <w:p w:rsidR="00A604A9" w:rsidRPr="00A604A9" w:rsidP="00DE437D" w14:paraId="10B0704A" w14:textId="77777777">
            <w:pPr>
              <w:widowControl w:val="0"/>
              <w:autoSpaceDE w:val="0"/>
              <w:autoSpaceDN w:val="0"/>
              <w:spacing w:line="274" w:lineRule="exact"/>
              <w:ind w:left="102"/>
              <w:rPr>
                <w:sz w:val="20"/>
                <w:szCs w:val="20"/>
              </w:rPr>
            </w:pPr>
            <w:r w:rsidRPr="00A604A9">
              <w:rPr>
                <w:sz w:val="20"/>
                <w:szCs w:val="20"/>
              </w:rPr>
              <w:t>Activity</w:t>
            </w:r>
          </w:p>
        </w:tc>
        <w:tc>
          <w:tcPr>
            <w:tcW w:w="1800" w:type="dxa"/>
          </w:tcPr>
          <w:p w:rsidR="00A604A9" w:rsidRPr="00A604A9" w:rsidP="00A604A9" w14:paraId="5BD07BA2" w14:textId="77777777">
            <w:pPr>
              <w:widowControl w:val="0"/>
              <w:autoSpaceDE w:val="0"/>
              <w:autoSpaceDN w:val="0"/>
              <w:ind w:left="101" w:right="389"/>
              <w:jc w:val="center"/>
              <w:rPr>
                <w:sz w:val="20"/>
                <w:szCs w:val="20"/>
              </w:rPr>
            </w:pPr>
            <w:r w:rsidRPr="00A604A9">
              <w:rPr>
                <w:sz w:val="20"/>
                <w:szCs w:val="20"/>
              </w:rPr>
              <w:t>Total Burden Hours</w:t>
            </w:r>
          </w:p>
        </w:tc>
        <w:tc>
          <w:tcPr>
            <w:tcW w:w="2394" w:type="dxa"/>
          </w:tcPr>
          <w:p w:rsidR="00A604A9" w:rsidRPr="00A604A9" w:rsidP="00A604A9" w14:paraId="6823CAE5" w14:textId="77777777">
            <w:pPr>
              <w:widowControl w:val="0"/>
              <w:autoSpaceDE w:val="0"/>
              <w:autoSpaceDN w:val="0"/>
              <w:spacing w:line="274" w:lineRule="exact"/>
              <w:ind w:left="103"/>
              <w:jc w:val="center"/>
              <w:rPr>
                <w:sz w:val="20"/>
                <w:szCs w:val="20"/>
              </w:rPr>
            </w:pPr>
            <w:r w:rsidRPr="00A604A9">
              <w:rPr>
                <w:sz w:val="20"/>
                <w:szCs w:val="20"/>
              </w:rPr>
              <w:t>Hourly Wage Rate</w:t>
            </w:r>
          </w:p>
        </w:tc>
        <w:tc>
          <w:tcPr>
            <w:tcW w:w="2366" w:type="dxa"/>
          </w:tcPr>
          <w:p w:rsidR="00A604A9" w:rsidRPr="00A604A9" w:rsidP="00A604A9" w14:paraId="402B9340" w14:textId="77777777">
            <w:pPr>
              <w:widowControl w:val="0"/>
              <w:autoSpaceDE w:val="0"/>
              <w:autoSpaceDN w:val="0"/>
              <w:ind w:left="101" w:right="101"/>
              <w:jc w:val="center"/>
              <w:rPr>
                <w:sz w:val="20"/>
                <w:szCs w:val="20"/>
              </w:rPr>
            </w:pPr>
            <w:r w:rsidRPr="00A604A9">
              <w:rPr>
                <w:sz w:val="20"/>
                <w:szCs w:val="20"/>
              </w:rPr>
              <w:t>Total Respondent Costs</w:t>
            </w:r>
          </w:p>
        </w:tc>
      </w:tr>
      <w:tr w14:paraId="6144670F" w14:textId="77777777" w:rsidTr="00D41ED6">
        <w:tblPrEx>
          <w:tblW w:w="9450" w:type="dxa"/>
          <w:tblInd w:w="5" w:type="dxa"/>
          <w:tblLayout w:type="fixed"/>
          <w:tblCellMar>
            <w:left w:w="0" w:type="dxa"/>
            <w:right w:w="0" w:type="dxa"/>
          </w:tblCellMar>
          <w:tblLook w:val="01E0"/>
        </w:tblPrEx>
        <w:trPr>
          <w:trHeight w:val="350"/>
        </w:trPr>
        <w:tc>
          <w:tcPr>
            <w:tcW w:w="2890" w:type="dxa"/>
          </w:tcPr>
          <w:p w:rsidR="00A604A9" w:rsidRPr="00A604A9" w:rsidP="00DE437D" w14:paraId="00F18516" w14:textId="77777777">
            <w:pPr>
              <w:widowControl w:val="0"/>
              <w:autoSpaceDE w:val="0"/>
              <w:autoSpaceDN w:val="0"/>
              <w:spacing w:line="256" w:lineRule="exact"/>
              <w:ind w:left="103"/>
              <w:rPr>
                <w:sz w:val="20"/>
                <w:szCs w:val="20"/>
              </w:rPr>
            </w:pPr>
            <w:r w:rsidRPr="00A604A9">
              <w:rPr>
                <w:sz w:val="20"/>
                <w:szCs w:val="20"/>
              </w:rPr>
              <w:t>Recordkeeping</w:t>
            </w:r>
          </w:p>
        </w:tc>
        <w:tc>
          <w:tcPr>
            <w:tcW w:w="1800" w:type="dxa"/>
          </w:tcPr>
          <w:p w:rsidR="00A604A9" w:rsidRPr="00A604A9" w:rsidP="004C5605" w14:paraId="4C8B3D96" w14:textId="5226E80C">
            <w:pPr>
              <w:widowControl w:val="0"/>
              <w:autoSpaceDE w:val="0"/>
              <w:autoSpaceDN w:val="0"/>
              <w:spacing w:line="256" w:lineRule="exact"/>
              <w:ind w:left="102" w:right="100"/>
              <w:jc w:val="right"/>
              <w:rPr>
                <w:sz w:val="20"/>
                <w:szCs w:val="20"/>
              </w:rPr>
            </w:pPr>
            <w:r>
              <w:rPr>
                <w:sz w:val="20"/>
                <w:szCs w:val="20"/>
              </w:rPr>
              <w:t>950</w:t>
            </w:r>
          </w:p>
        </w:tc>
        <w:tc>
          <w:tcPr>
            <w:tcW w:w="2394" w:type="dxa"/>
          </w:tcPr>
          <w:p w:rsidR="00A604A9" w:rsidRPr="00A604A9" w:rsidP="004C5605" w14:paraId="14C67DDC" w14:textId="339F1646">
            <w:pPr>
              <w:widowControl w:val="0"/>
              <w:autoSpaceDE w:val="0"/>
              <w:autoSpaceDN w:val="0"/>
              <w:spacing w:line="256" w:lineRule="exact"/>
              <w:ind w:left="102" w:right="60"/>
              <w:jc w:val="right"/>
              <w:rPr>
                <w:sz w:val="20"/>
                <w:szCs w:val="20"/>
              </w:rPr>
            </w:pPr>
            <w:r w:rsidRPr="00A604A9">
              <w:rPr>
                <w:sz w:val="20"/>
                <w:szCs w:val="20"/>
              </w:rPr>
              <w:t>$</w:t>
            </w:r>
            <w:r w:rsidRPr="00C745D7" w:rsidR="00C745D7">
              <w:rPr>
                <w:sz w:val="20"/>
                <w:szCs w:val="20"/>
              </w:rPr>
              <w:t>113.04</w:t>
            </w:r>
          </w:p>
        </w:tc>
        <w:tc>
          <w:tcPr>
            <w:tcW w:w="2366" w:type="dxa"/>
          </w:tcPr>
          <w:p w:rsidR="00A604A9" w:rsidRPr="00A604A9" w:rsidP="00A604A9" w14:paraId="1DD7221D" w14:textId="39A0FBD6">
            <w:pPr>
              <w:widowControl w:val="0"/>
              <w:autoSpaceDE w:val="0"/>
              <w:autoSpaceDN w:val="0"/>
              <w:spacing w:line="256" w:lineRule="exact"/>
              <w:ind w:right="101"/>
              <w:jc w:val="right"/>
              <w:rPr>
                <w:sz w:val="20"/>
                <w:szCs w:val="20"/>
              </w:rPr>
            </w:pPr>
            <w:r w:rsidRPr="00A604A9">
              <w:rPr>
                <w:sz w:val="20"/>
                <w:szCs w:val="20"/>
              </w:rPr>
              <w:t>$</w:t>
            </w:r>
            <w:r w:rsidR="00AD069A">
              <w:rPr>
                <w:sz w:val="20"/>
                <w:szCs w:val="20"/>
              </w:rPr>
              <w:t>107,</w:t>
            </w:r>
            <w:r w:rsidR="00EE28CB">
              <w:rPr>
                <w:sz w:val="20"/>
                <w:szCs w:val="20"/>
              </w:rPr>
              <w:t>388.00</w:t>
            </w:r>
          </w:p>
        </w:tc>
      </w:tr>
      <w:tr w14:paraId="333A4279" w14:textId="77777777" w:rsidTr="00D41ED6">
        <w:tblPrEx>
          <w:tblW w:w="9450" w:type="dxa"/>
          <w:tblInd w:w="5" w:type="dxa"/>
          <w:tblLayout w:type="fixed"/>
          <w:tblCellMar>
            <w:left w:w="0" w:type="dxa"/>
            <w:right w:w="0" w:type="dxa"/>
          </w:tblCellMar>
          <w:tblLook w:val="01E0"/>
        </w:tblPrEx>
        <w:trPr>
          <w:trHeight w:val="341"/>
        </w:trPr>
        <w:tc>
          <w:tcPr>
            <w:tcW w:w="2890" w:type="dxa"/>
          </w:tcPr>
          <w:p w:rsidR="00A604A9" w:rsidRPr="00A604A9" w:rsidP="00DE437D" w14:paraId="183290F4" w14:textId="77777777">
            <w:pPr>
              <w:widowControl w:val="0"/>
              <w:autoSpaceDE w:val="0"/>
              <w:autoSpaceDN w:val="0"/>
              <w:spacing w:line="259" w:lineRule="exact"/>
              <w:ind w:left="103"/>
              <w:rPr>
                <w:sz w:val="20"/>
                <w:szCs w:val="20"/>
              </w:rPr>
            </w:pPr>
            <w:r>
              <w:rPr>
                <w:sz w:val="20"/>
                <w:szCs w:val="20"/>
              </w:rPr>
              <w:t>Relabeling</w:t>
            </w:r>
          </w:p>
        </w:tc>
        <w:tc>
          <w:tcPr>
            <w:tcW w:w="1800" w:type="dxa"/>
          </w:tcPr>
          <w:p w:rsidR="00A604A9" w:rsidRPr="00A604A9" w:rsidP="004C5605" w14:paraId="66EFA6B2" w14:textId="3D71D9E2">
            <w:pPr>
              <w:widowControl w:val="0"/>
              <w:autoSpaceDE w:val="0"/>
              <w:autoSpaceDN w:val="0"/>
              <w:spacing w:line="273" w:lineRule="exact"/>
              <w:ind w:left="102" w:right="100"/>
              <w:jc w:val="right"/>
              <w:rPr>
                <w:sz w:val="20"/>
                <w:szCs w:val="20"/>
              </w:rPr>
            </w:pPr>
            <w:r w:rsidRPr="00C745D7">
              <w:rPr>
                <w:sz w:val="20"/>
                <w:szCs w:val="20"/>
              </w:rPr>
              <w:t>7,109</w:t>
            </w:r>
          </w:p>
        </w:tc>
        <w:tc>
          <w:tcPr>
            <w:tcW w:w="2394" w:type="dxa"/>
          </w:tcPr>
          <w:p w:rsidR="00A604A9" w:rsidRPr="00A604A9" w:rsidP="004C5605" w14:paraId="12DAF480" w14:textId="12D12837">
            <w:pPr>
              <w:widowControl w:val="0"/>
              <w:autoSpaceDE w:val="0"/>
              <w:autoSpaceDN w:val="0"/>
              <w:spacing w:line="273" w:lineRule="exact"/>
              <w:ind w:left="103" w:right="60"/>
              <w:jc w:val="right"/>
              <w:rPr>
                <w:sz w:val="20"/>
                <w:szCs w:val="20"/>
              </w:rPr>
            </w:pPr>
            <w:r w:rsidRPr="00A604A9">
              <w:rPr>
                <w:sz w:val="20"/>
                <w:szCs w:val="20"/>
              </w:rPr>
              <w:t>$</w:t>
            </w:r>
            <w:r w:rsidRPr="00C745D7" w:rsidR="00C745D7">
              <w:rPr>
                <w:sz w:val="20"/>
                <w:szCs w:val="20"/>
              </w:rPr>
              <w:t>113.04</w:t>
            </w:r>
          </w:p>
        </w:tc>
        <w:tc>
          <w:tcPr>
            <w:tcW w:w="2366" w:type="dxa"/>
          </w:tcPr>
          <w:p w:rsidR="00A604A9" w:rsidRPr="00A604A9" w:rsidP="00A604A9" w14:paraId="74E2934F" w14:textId="3E471BA9">
            <w:pPr>
              <w:widowControl w:val="0"/>
              <w:autoSpaceDE w:val="0"/>
              <w:autoSpaceDN w:val="0"/>
              <w:spacing w:line="273" w:lineRule="exact"/>
              <w:ind w:right="102"/>
              <w:jc w:val="right"/>
              <w:rPr>
                <w:sz w:val="20"/>
                <w:szCs w:val="20"/>
              </w:rPr>
            </w:pPr>
            <w:r w:rsidRPr="00A604A9">
              <w:rPr>
                <w:sz w:val="20"/>
                <w:szCs w:val="20"/>
              </w:rPr>
              <w:t>$</w:t>
            </w:r>
            <w:r w:rsidRPr="00D62ECD" w:rsidR="00D62ECD">
              <w:rPr>
                <w:sz w:val="20"/>
                <w:szCs w:val="20"/>
              </w:rPr>
              <w:t>803,601.36</w:t>
            </w:r>
          </w:p>
        </w:tc>
      </w:tr>
      <w:tr w14:paraId="7941057A" w14:textId="77777777" w:rsidTr="0006329D">
        <w:tblPrEx>
          <w:tblW w:w="9450" w:type="dxa"/>
          <w:tblInd w:w="5" w:type="dxa"/>
          <w:tblLayout w:type="fixed"/>
          <w:tblCellMar>
            <w:left w:w="0" w:type="dxa"/>
            <w:right w:w="0" w:type="dxa"/>
          </w:tblCellMar>
          <w:tblLook w:val="01E0"/>
        </w:tblPrEx>
        <w:trPr>
          <w:trHeight w:val="278"/>
        </w:trPr>
        <w:tc>
          <w:tcPr>
            <w:tcW w:w="7084" w:type="dxa"/>
            <w:gridSpan w:val="3"/>
          </w:tcPr>
          <w:p w:rsidR="00A604A9" w:rsidRPr="00A604A9" w:rsidP="00DE437D" w14:paraId="5D14F0B3" w14:textId="77777777">
            <w:pPr>
              <w:widowControl w:val="0"/>
              <w:autoSpaceDE w:val="0"/>
              <w:autoSpaceDN w:val="0"/>
              <w:spacing w:line="257" w:lineRule="exact"/>
              <w:ind w:left="103"/>
              <w:rPr>
                <w:sz w:val="20"/>
                <w:szCs w:val="20"/>
              </w:rPr>
            </w:pPr>
            <w:r w:rsidRPr="00A604A9">
              <w:rPr>
                <w:sz w:val="20"/>
                <w:szCs w:val="20"/>
              </w:rPr>
              <w:t>Total</w:t>
            </w:r>
          </w:p>
        </w:tc>
        <w:tc>
          <w:tcPr>
            <w:tcW w:w="2366" w:type="dxa"/>
          </w:tcPr>
          <w:p w:rsidR="00A604A9" w:rsidRPr="00A604A9" w:rsidP="00DE437D" w14:paraId="0762ED94" w14:textId="6FEA14A9">
            <w:pPr>
              <w:widowControl w:val="0"/>
              <w:autoSpaceDE w:val="0"/>
              <w:autoSpaceDN w:val="0"/>
              <w:spacing w:line="257" w:lineRule="exact"/>
              <w:ind w:right="101"/>
              <w:jc w:val="right"/>
              <w:rPr>
                <w:sz w:val="20"/>
                <w:szCs w:val="20"/>
              </w:rPr>
            </w:pPr>
            <w:r w:rsidRPr="00A604A9">
              <w:rPr>
                <w:sz w:val="20"/>
                <w:szCs w:val="20"/>
              </w:rPr>
              <w:t>$</w:t>
            </w:r>
            <w:bookmarkStart w:id="10" w:name="_Hlk168061159"/>
            <w:r w:rsidR="00E67216">
              <w:rPr>
                <w:sz w:val="20"/>
                <w:szCs w:val="20"/>
              </w:rPr>
              <w:t>910</w:t>
            </w:r>
            <w:r w:rsidR="00AB3B58">
              <w:rPr>
                <w:sz w:val="20"/>
                <w:szCs w:val="20"/>
              </w:rPr>
              <w:t>,989.36</w:t>
            </w:r>
            <w:bookmarkEnd w:id="10"/>
          </w:p>
        </w:tc>
      </w:tr>
    </w:tbl>
    <w:p w:rsidR="00357C8A" w:rsidRPr="00357C8A" w:rsidP="00031910" w14:paraId="0A1CD928" w14:textId="6F661632">
      <w:pPr>
        <w:numPr>
          <w:ilvl w:val="0"/>
          <w:numId w:val="6"/>
        </w:numPr>
        <w:rPr>
          <w:rFonts w:eastAsia="Calibri"/>
        </w:rPr>
      </w:pPr>
      <w:r>
        <w:rPr>
          <w:rFonts w:eastAsia="Calibri"/>
          <w:u w:val="single"/>
        </w:rPr>
        <w:br w:type="page"/>
      </w: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B45D1E" w:rsidP="0009601C" w14:paraId="47999A9B" w14:textId="77777777">
      <w:pPr>
        <w:rPr>
          <w:rFonts w:eastAsia="Calibri"/>
        </w:rPr>
      </w:pPr>
    </w:p>
    <w:p w:rsidR="0022425B" w:rsidP="0009601C" w14:paraId="0FC38D3B" w14:textId="49DEFC9E">
      <w:pPr>
        <w:rPr>
          <w:rFonts w:eastAsia="Calibri"/>
        </w:rPr>
      </w:pPr>
      <w:r w:rsidRPr="00123712">
        <w:rPr>
          <w:rFonts w:eastAsia="Calibri"/>
        </w:rPr>
        <w:t xml:space="preserve">Table 8 of the FRIA estimates </w:t>
      </w:r>
      <w:r w:rsidRPr="009F6B8A" w:rsidR="009F6B8A">
        <w:rPr>
          <w:rFonts w:eastAsia="Calibri"/>
        </w:rPr>
        <w:t xml:space="preserve">capital costs of </w:t>
      </w:r>
      <w:r w:rsidRPr="00C45A9A" w:rsidR="00C45A9A">
        <w:rPr>
          <w:rFonts w:eastAsia="Calibri"/>
        </w:rPr>
        <w:t>$59,252,892</w:t>
      </w:r>
      <w:r w:rsidR="008E69D8">
        <w:rPr>
          <w:rFonts w:eastAsia="Calibri"/>
        </w:rPr>
        <w:t xml:space="preserve"> for </w:t>
      </w:r>
      <w:r w:rsidR="00A52A68">
        <w:rPr>
          <w:rFonts w:eastAsia="Calibri"/>
        </w:rPr>
        <w:t>labeling</w:t>
      </w:r>
      <w:r w:rsidRPr="00123712">
        <w:rPr>
          <w:rFonts w:eastAsia="Calibri"/>
        </w:rPr>
        <w:t xml:space="preserve">, which </w:t>
      </w:r>
      <w:r w:rsidR="00BF776D">
        <w:rPr>
          <w:rFonts w:eastAsia="Calibri"/>
        </w:rPr>
        <w:t>equals</w:t>
      </w:r>
      <w:r w:rsidRPr="00123712">
        <w:rPr>
          <w:rFonts w:eastAsia="Calibri"/>
        </w:rPr>
        <w:t xml:space="preserve"> </w:t>
      </w:r>
      <w:r w:rsidRPr="00BF776D" w:rsidR="00BF776D">
        <w:rPr>
          <w:rFonts w:eastAsia="Calibri"/>
        </w:rPr>
        <w:t>$19,750,964</w:t>
      </w:r>
      <w:r w:rsidR="00BF776D">
        <w:rPr>
          <w:rFonts w:eastAsia="Calibri"/>
        </w:rPr>
        <w:t xml:space="preserve"> </w:t>
      </w:r>
      <w:r w:rsidRPr="00123712">
        <w:rPr>
          <w:rFonts w:eastAsia="Calibri"/>
        </w:rPr>
        <w:t>annually over a 3-year period.</w:t>
      </w:r>
      <w:r w:rsidR="00BF776D">
        <w:rPr>
          <w:rFonts w:eastAsia="Calibri"/>
        </w:rPr>
        <w:t xml:space="preserve"> </w:t>
      </w:r>
      <w:r w:rsidR="0068300D">
        <w:rPr>
          <w:rFonts w:eastAsia="Calibri"/>
        </w:rPr>
        <w:t>Thus</w:t>
      </w:r>
      <w:r w:rsidRPr="008A52CF" w:rsidR="008A52CF">
        <w:rPr>
          <w:rFonts w:eastAsia="Calibri"/>
        </w:rPr>
        <w:t>, we estimate capital cost</w:t>
      </w:r>
      <w:r w:rsidR="00F81EBF">
        <w:rPr>
          <w:rFonts w:eastAsia="Calibri"/>
        </w:rPr>
        <w:t xml:space="preserve">s </w:t>
      </w:r>
      <w:r w:rsidRPr="008A52CF" w:rsidR="008A52CF">
        <w:rPr>
          <w:rFonts w:eastAsia="Calibri"/>
        </w:rPr>
        <w:t>of $</w:t>
      </w:r>
      <w:r w:rsidRPr="00701843" w:rsidR="00701843">
        <w:rPr>
          <w:rFonts w:eastAsia="Calibri"/>
        </w:rPr>
        <w:t>19,750,964</w:t>
      </w:r>
      <w:r w:rsidRPr="008A52CF" w:rsidR="008A52CF">
        <w:rPr>
          <w:rFonts w:eastAsia="Calibri"/>
        </w:rPr>
        <w:t xml:space="preserve"> </w:t>
      </w:r>
      <w:r w:rsidR="00F81EBF">
        <w:rPr>
          <w:rFonts w:eastAsia="Calibri"/>
        </w:rPr>
        <w:t xml:space="preserve">attributable to one-time costs for </w:t>
      </w:r>
      <w:r w:rsidRPr="008A52CF" w:rsidR="008A52CF">
        <w:rPr>
          <w:rFonts w:eastAsia="Calibri"/>
        </w:rPr>
        <w:t>relabeling</w:t>
      </w:r>
      <w:r w:rsidR="00F81EBF">
        <w:rPr>
          <w:rFonts w:eastAsia="Calibri"/>
        </w:rPr>
        <w:t xml:space="preserve"> products and for revising new </w:t>
      </w:r>
      <w:r w:rsidRPr="008A52CF" w:rsidR="008A52CF">
        <w:rPr>
          <w:rFonts w:eastAsia="Calibri"/>
        </w:rPr>
        <w:t>label</w:t>
      </w:r>
      <w:r w:rsidR="00F81EBF">
        <w:rPr>
          <w:rFonts w:eastAsia="Calibri"/>
        </w:rPr>
        <w:t>s</w:t>
      </w:r>
      <w:r w:rsidRPr="008A52CF" w:rsidR="008A52CF">
        <w:rPr>
          <w:rFonts w:eastAsia="Calibri"/>
        </w:rPr>
        <w:t xml:space="preserve"> into the manufacturing process. </w:t>
      </w:r>
      <w:r w:rsidR="008A52CF">
        <w:rPr>
          <w:rFonts w:eastAsia="Calibri"/>
        </w:rPr>
        <w:t xml:space="preserve"> </w:t>
      </w:r>
    </w:p>
    <w:p w:rsidR="0009601C" w:rsidP="0009601C" w14:paraId="4DEBBCD7" w14:textId="77777777">
      <w:pPr>
        <w:rPr>
          <w:rFonts w:eastAsia="Calibri"/>
          <w:u w:val="single"/>
        </w:rPr>
      </w:pPr>
    </w:p>
    <w:p w:rsidR="00357C8A" w:rsidRPr="00357C8A" w:rsidP="00031910" w14:paraId="5C0DBEAA" w14:textId="77777777">
      <w:pPr>
        <w:numPr>
          <w:ilvl w:val="0"/>
          <w:numId w:val="6"/>
        </w:numPr>
        <w:rPr>
          <w:rFonts w:eastAsia="Calibri"/>
          <w:u w:val="single"/>
        </w:rPr>
      </w:pPr>
      <w:r w:rsidRPr="00357C8A">
        <w:rPr>
          <w:rFonts w:eastAsia="Calibri"/>
          <w:u w:val="single"/>
        </w:rPr>
        <w:t>Annualized Cost to the Federal Government</w:t>
      </w:r>
    </w:p>
    <w:p w:rsidR="00B45D1E" w:rsidP="0009601C" w14:paraId="5757A721" w14:textId="77777777"/>
    <w:p w:rsidR="00D41ED6" w:rsidRPr="00D41ED6" w:rsidP="0009601C" w14:paraId="78166873" w14:textId="768BFF59">
      <w:pPr>
        <w:rPr>
          <w:rFonts w:eastAsia="Calibri"/>
          <w:u w:val="single"/>
        </w:rPr>
      </w:pPr>
      <w:r>
        <w:t>Currently</w:t>
      </w:r>
      <w:r w:rsidR="004B4504">
        <w:t>,</w:t>
      </w:r>
      <w:r>
        <w:t xml:space="preserve"> FDA estimates </w:t>
      </w:r>
      <w:r w:rsidRPr="002641BC" w:rsidR="002641BC">
        <w:t>$</w:t>
      </w:r>
      <w:r w:rsidRPr="003442A0" w:rsidR="003442A0">
        <w:t>6,542,114</w:t>
      </w:r>
      <w:r w:rsidR="00F35A4E">
        <w:t xml:space="preserve"> for </w:t>
      </w:r>
      <w:r>
        <w:t xml:space="preserve">costs of administering food labeling requirements, including this rulemaking.  </w:t>
      </w:r>
    </w:p>
    <w:p w:rsidR="00D41ED6" w:rsidRPr="00D41ED6" w:rsidP="0009601C" w14:paraId="5CF9753E" w14:textId="77777777">
      <w:pPr>
        <w:rPr>
          <w:rFonts w:eastAsia="Calibri"/>
          <w:u w:val="single"/>
        </w:rPr>
      </w:pPr>
    </w:p>
    <w:p w:rsidR="00357C8A" w:rsidP="00031910" w14:paraId="61AD28F5" w14:textId="0EB1FB11">
      <w:pPr>
        <w:numPr>
          <w:ilvl w:val="0"/>
          <w:numId w:val="6"/>
        </w:numPr>
        <w:rPr>
          <w:rFonts w:eastAsia="Calibri"/>
          <w:u w:val="single"/>
        </w:rPr>
      </w:pPr>
      <w:r w:rsidRPr="00357C8A">
        <w:rPr>
          <w:rFonts w:eastAsia="Calibri"/>
          <w:u w:val="single"/>
        </w:rPr>
        <w:t>Explanation for Program Changes or Adjustments</w:t>
      </w:r>
    </w:p>
    <w:p w:rsidR="00B45D1E" w:rsidP="0009601C" w14:paraId="7A2CDA4D" w14:textId="77777777">
      <w:pPr>
        <w:rPr>
          <w:rFonts w:eastAsia="Calibri"/>
        </w:rPr>
      </w:pPr>
    </w:p>
    <w:p w:rsidR="00357C8A" w:rsidP="0009601C" w14:paraId="4B091B17" w14:textId="0A8E0E25">
      <w:pPr>
        <w:rPr>
          <w:rFonts w:eastAsia="Calibri"/>
        </w:rPr>
      </w:pPr>
      <w:r w:rsidRPr="006A4B69">
        <w:rPr>
          <w:rFonts w:eastAsia="Calibri"/>
        </w:rPr>
        <w:t xml:space="preserve">The information collection includes a one-time burden of </w:t>
      </w:r>
      <w:r w:rsidRPr="00A3485B" w:rsidR="00A3485B">
        <w:rPr>
          <w:rFonts w:eastAsia="Calibri"/>
          <w:bCs/>
        </w:rPr>
        <w:t>7,109</w:t>
      </w:r>
      <w:r w:rsidR="00F63EDA">
        <w:rPr>
          <w:rFonts w:eastAsia="Calibri"/>
          <w:bCs/>
        </w:rPr>
        <w:t xml:space="preserve"> responses</w:t>
      </w:r>
      <w:r w:rsidRPr="007C29D3">
        <w:rPr>
          <w:rFonts w:eastAsia="Calibri"/>
          <w:bCs/>
        </w:rPr>
        <w:t xml:space="preserve"> and </w:t>
      </w:r>
      <w:r w:rsidRPr="00A3485B" w:rsidR="00A3485B">
        <w:rPr>
          <w:rFonts w:eastAsia="Calibri"/>
          <w:bCs/>
        </w:rPr>
        <w:t>7,109</w:t>
      </w:r>
      <w:r w:rsidRPr="007C29D3">
        <w:rPr>
          <w:rFonts w:eastAsia="Calibri"/>
          <w:bCs/>
        </w:rPr>
        <w:t xml:space="preserve"> hours</w:t>
      </w:r>
      <w:r w:rsidRPr="006A4B69">
        <w:rPr>
          <w:rFonts w:eastAsia="Calibri"/>
          <w:b/>
          <w:bCs/>
        </w:rPr>
        <w:t xml:space="preserve"> </w:t>
      </w:r>
      <w:r w:rsidRPr="006A4B69">
        <w:rPr>
          <w:rFonts w:eastAsia="Calibri"/>
        </w:rPr>
        <w:t xml:space="preserve">to reflect </w:t>
      </w:r>
      <w:r w:rsidR="00F63EDA">
        <w:rPr>
          <w:rFonts w:eastAsia="Calibri"/>
        </w:rPr>
        <w:t xml:space="preserve">relabeling activities. </w:t>
      </w:r>
      <w:r w:rsidR="00140945">
        <w:rPr>
          <w:rFonts w:eastAsia="Calibri"/>
        </w:rPr>
        <w:t>The information collection w</w:t>
      </w:r>
      <w:r w:rsidR="00A3485B">
        <w:rPr>
          <w:rFonts w:eastAsia="Calibri"/>
        </w:rPr>
        <w:t>ill</w:t>
      </w:r>
      <w:r w:rsidR="00140945">
        <w:rPr>
          <w:rFonts w:eastAsia="Calibri"/>
        </w:rPr>
        <w:t xml:space="preserve"> also </w:t>
      </w:r>
      <w:r w:rsidR="00205023">
        <w:rPr>
          <w:rFonts w:eastAsia="Calibri"/>
        </w:rPr>
        <w:t xml:space="preserve">result in an additional </w:t>
      </w:r>
      <w:r w:rsidR="00E70E02">
        <w:rPr>
          <w:rFonts w:eastAsia="Calibri"/>
          <w:bCs/>
        </w:rPr>
        <w:t>1,900</w:t>
      </w:r>
      <w:r w:rsidRPr="007C29D3">
        <w:rPr>
          <w:rFonts w:eastAsia="Calibri"/>
          <w:bCs/>
        </w:rPr>
        <w:t xml:space="preserve"> </w:t>
      </w:r>
      <w:r w:rsidRPr="007C29D3" w:rsidR="007C29D3">
        <w:rPr>
          <w:rFonts w:eastAsia="Calibri"/>
          <w:bCs/>
        </w:rPr>
        <w:t>records</w:t>
      </w:r>
      <w:r w:rsidRPr="007C29D3">
        <w:rPr>
          <w:rFonts w:eastAsia="Calibri"/>
          <w:bCs/>
        </w:rPr>
        <w:t xml:space="preserve"> and </w:t>
      </w:r>
      <w:r w:rsidR="0078314C">
        <w:rPr>
          <w:rFonts w:eastAsia="Calibri"/>
          <w:bCs/>
        </w:rPr>
        <w:t>950</w:t>
      </w:r>
      <w:r w:rsidRPr="007C29D3">
        <w:rPr>
          <w:rFonts w:eastAsia="Calibri"/>
          <w:bCs/>
        </w:rPr>
        <w:t xml:space="preserve"> hours</w:t>
      </w:r>
      <w:r w:rsidRPr="006A4B69">
        <w:rPr>
          <w:rFonts w:eastAsia="Calibri"/>
          <w:bCs/>
        </w:rPr>
        <w:t xml:space="preserve"> </w:t>
      </w:r>
      <w:r w:rsidR="00205023">
        <w:rPr>
          <w:rFonts w:eastAsia="Calibri"/>
          <w:bCs/>
        </w:rPr>
        <w:t xml:space="preserve">annually, which we attribute to </w:t>
      </w:r>
      <w:r w:rsidR="000D3E64">
        <w:rPr>
          <w:rFonts w:eastAsia="Calibri"/>
          <w:bCs/>
        </w:rPr>
        <w:t xml:space="preserve">new </w:t>
      </w:r>
      <w:r w:rsidR="00A11370">
        <w:rPr>
          <w:rFonts w:eastAsia="Calibri"/>
          <w:bCs/>
        </w:rPr>
        <w:t xml:space="preserve">recordkeeping </w:t>
      </w:r>
      <w:r w:rsidR="00205023">
        <w:rPr>
          <w:rFonts w:eastAsia="Calibri"/>
          <w:bCs/>
        </w:rPr>
        <w:t>requirement</w:t>
      </w:r>
      <w:r w:rsidR="00A11370">
        <w:rPr>
          <w:rFonts w:eastAsia="Calibri"/>
          <w:bCs/>
        </w:rPr>
        <w:t>s</w:t>
      </w:r>
      <w:r w:rsidR="00205023">
        <w:rPr>
          <w:rFonts w:eastAsia="Calibri"/>
          <w:bCs/>
        </w:rPr>
        <w:t>.</w:t>
      </w:r>
    </w:p>
    <w:p w:rsidR="00D41ED6" w:rsidRPr="00357C8A" w:rsidP="0009601C" w14:paraId="05EB5CC8" w14:textId="77777777">
      <w:pPr>
        <w:rPr>
          <w:rFonts w:eastAsia="Calibri"/>
          <w:color w:val="FF0000"/>
        </w:rPr>
      </w:pPr>
    </w:p>
    <w:p w:rsidR="00357C8A" w:rsidRPr="00357C8A" w:rsidP="00031910" w14:paraId="37612443" w14:textId="77777777">
      <w:pPr>
        <w:numPr>
          <w:ilvl w:val="0"/>
          <w:numId w:val="6"/>
        </w:numPr>
        <w:rPr>
          <w:rFonts w:eastAsia="Calibri"/>
          <w:u w:val="single"/>
        </w:rPr>
      </w:pPr>
      <w:r w:rsidRPr="00357C8A">
        <w:rPr>
          <w:rFonts w:eastAsia="Calibri"/>
          <w:u w:val="single"/>
        </w:rPr>
        <w:t>Plans for Tabulation and Publication and Project Time Schedule</w:t>
      </w:r>
    </w:p>
    <w:p w:rsidR="00D41ED6" w:rsidP="0009601C" w14:paraId="4D6F8DFA" w14:textId="77777777">
      <w:pPr>
        <w:rPr>
          <w:rFonts w:eastAsia="Calibri"/>
        </w:rPr>
      </w:pPr>
    </w:p>
    <w:p w:rsidR="00357C8A" w:rsidP="0009601C" w14:paraId="24B8EF31" w14:textId="5A98AF97">
      <w:pPr>
        <w:rPr>
          <w:rFonts w:eastAsia="Calibri"/>
        </w:rPr>
      </w:pPr>
      <w:r w:rsidRPr="005C71CA">
        <w:rPr>
          <w:rFonts w:eastAsia="Calibri"/>
        </w:rPr>
        <w:t>This information collected will not be published or tabulated.</w:t>
      </w:r>
    </w:p>
    <w:p w:rsidR="00D41ED6" w:rsidRPr="007C29D3" w:rsidP="0009601C" w14:paraId="2E951D95" w14:textId="77777777">
      <w:pPr>
        <w:rPr>
          <w:rFonts w:eastAsia="Calibri"/>
        </w:rPr>
      </w:pPr>
    </w:p>
    <w:p w:rsidR="00357C8A" w:rsidRPr="00357C8A" w:rsidP="00031910" w14:paraId="65BCDDE6" w14:textId="77777777">
      <w:pPr>
        <w:numPr>
          <w:ilvl w:val="0"/>
          <w:numId w:val="6"/>
        </w:numPr>
        <w:rPr>
          <w:rFonts w:eastAsia="Calibri"/>
          <w:u w:val="single"/>
        </w:rPr>
      </w:pPr>
      <w:r w:rsidRPr="00357C8A">
        <w:rPr>
          <w:rFonts w:eastAsia="Calibri"/>
          <w:u w:val="single"/>
        </w:rPr>
        <w:t>Reason(s) Display of OMB Expiration Date is Inappropriate</w:t>
      </w:r>
    </w:p>
    <w:p w:rsidR="00D41ED6" w:rsidP="0009601C" w14:paraId="51BC2A61" w14:textId="77777777">
      <w:pPr>
        <w:rPr>
          <w:rFonts w:eastAsia="Calibri"/>
        </w:rPr>
      </w:pPr>
    </w:p>
    <w:p w:rsidR="00357C8A" w:rsidP="0009601C" w14:paraId="1999BC1D" w14:textId="1E3BCE14">
      <w:pPr>
        <w:rPr>
          <w:rFonts w:eastAsia="Calibri"/>
          <w:color w:val="FF0000"/>
        </w:rPr>
      </w:pPr>
      <w:r w:rsidRPr="007C29D3">
        <w:rPr>
          <w:rFonts w:eastAsia="Calibri"/>
        </w:rPr>
        <w:t>Display of OMB expiration date is appropriate.</w:t>
      </w:r>
      <w:r w:rsidRPr="00357C8A">
        <w:rPr>
          <w:rFonts w:eastAsia="Calibri"/>
          <w:color w:val="FF0000"/>
        </w:rPr>
        <w:t xml:space="preserve"> </w:t>
      </w:r>
    </w:p>
    <w:p w:rsidR="00D41ED6" w:rsidRPr="00357C8A" w:rsidP="0009601C" w14:paraId="775D8A89" w14:textId="77777777">
      <w:pPr>
        <w:rPr>
          <w:rFonts w:eastAsia="Calibri"/>
          <w:color w:val="FF0000"/>
        </w:rPr>
      </w:pPr>
    </w:p>
    <w:p w:rsidR="00357C8A" w:rsidRPr="00357C8A" w:rsidP="00031910" w14:paraId="39D26C2B" w14:textId="77777777">
      <w:pPr>
        <w:numPr>
          <w:ilvl w:val="0"/>
          <w:numId w:val="6"/>
        </w:numPr>
        <w:rPr>
          <w:rFonts w:eastAsia="Calibri"/>
          <w:u w:val="single"/>
        </w:rPr>
      </w:pPr>
      <w:r w:rsidRPr="00357C8A">
        <w:rPr>
          <w:rFonts w:eastAsia="Calibri"/>
          <w:u w:val="single"/>
        </w:rPr>
        <w:t>Exceptions to Certification for Paperwork Reduction Act Submissions</w:t>
      </w:r>
    </w:p>
    <w:p w:rsidR="00D41ED6" w:rsidP="0009601C" w14:paraId="764DB593" w14:textId="77777777">
      <w:pPr>
        <w:rPr>
          <w:rFonts w:eastAsia="Calibri"/>
        </w:rPr>
      </w:pPr>
    </w:p>
    <w:p w:rsidR="007C29D3" w:rsidRPr="00357C8A" w:rsidP="0009601C" w14:paraId="588C79F9" w14:textId="3AB2BEC7">
      <w:pPr>
        <w:rPr>
          <w:rFonts w:eastAsia="Calibri"/>
        </w:rPr>
      </w:pPr>
      <w:r w:rsidRPr="007E59A8">
        <w:rPr>
          <w:rFonts w:eastAsia="Calibri"/>
        </w:rPr>
        <w:t>There are no exceptions to the certification</w:t>
      </w:r>
      <w:r>
        <w:rPr>
          <w:rFonts w:eastAsia="Calibri"/>
        </w:rPr>
        <w:t>.</w:t>
      </w:r>
    </w:p>
    <w:p w:rsidR="00544138" w:rsidRPr="00C20690" w:rsidP="0009601C" w14:paraId="203022D2" w14:textId="77777777">
      <w:pPr>
        <w:rPr>
          <w:rFonts w:eastAsia="Calibri"/>
        </w:rPr>
      </w:pPr>
    </w:p>
    <w:sectPr w:rsidSect="001E3C08">
      <w:footerReference w:type="even" r:id="rId5"/>
      <w:footerReference w:type="defaul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AD1474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316A0">
      <w:rPr>
        <w:rStyle w:val="PageNumber"/>
      </w:rPr>
      <w:fldChar w:fldCharType="separate"/>
    </w:r>
    <w:r>
      <w:rPr>
        <w:rStyle w:val="PageNumber"/>
      </w:rPr>
      <w:fldChar w:fldCharType="end"/>
    </w:r>
  </w:p>
  <w:p w:rsidR="00E63DE5" w14:paraId="59A85C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4B04F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AF05B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53552744">
    <w:abstractNumId w:val="5"/>
  </w:num>
  <w:num w:numId="2" w16cid:durableId="1479614971">
    <w:abstractNumId w:val="1"/>
  </w:num>
  <w:num w:numId="3" w16cid:durableId="767236296">
    <w:abstractNumId w:val="6"/>
  </w:num>
  <w:num w:numId="4" w16cid:durableId="939486474">
    <w:abstractNumId w:val="3"/>
  </w:num>
  <w:num w:numId="5" w16cid:durableId="1274363434">
    <w:abstractNumId w:val="7"/>
  </w:num>
  <w:num w:numId="6" w16cid:durableId="497118087">
    <w:abstractNumId w:val="0"/>
  </w:num>
  <w:num w:numId="7" w16cid:durableId="1033655930">
    <w:abstractNumId w:val="2"/>
  </w:num>
  <w:num w:numId="8" w16cid:durableId="5188579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95B"/>
    <w:rsid w:val="00031910"/>
    <w:rsid w:val="00031A2C"/>
    <w:rsid w:val="00042B93"/>
    <w:rsid w:val="00043C7F"/>
    <w:rsid w:val="000467A8"/>
    <w:rsid w:val="00060C9A"/>
    <w:rsid w:val="0006329D"/>
    <w:rsid w:val="0006570F"/>
    <w:rsid w:val="00073224"/>
    <w:rsid w:val="00075DE8"/>
    <w:rsid w:val="00087439"/>
    <w:rsid w:val="0009601C"/>
    <w:rsid w:val="000A74B9"/>
    <w:rsid w:val="000C0C41"/>
    <w:rsid w:val="000C1260"/>
    <w:rsid w:val="000C560C"/>
    <w:rsid w:val="000D080B"/>
    <w:rsid w:val="000D3E64"/>
    <w:rsid w:val="000D48FD"/>
    <w:rsid w:val="000D79CC"/>
    <w:rsid w:val="000D7B83"/>
    <w:rsid w:val="000E1C64"/>
    <w:rsid w:val="000F0FED"/>
    <w:rsid w:val="000F1E29"/>
    <w:rsid w:val="000F5AC6"/>
    <w:rsid w:val="000F7119"/>
    <w:rsid w:val="00100739"/>
    <w:rsid w:val="0010493E"/>
    <w:rsid w:val="001075D3"/>
    <w:rsid w:val="00107885"/>
    <w:rsid w:val="00110577"/>
    <w:rsid w:val="00114FC4"/>
    <w:rsid w:val="0012329C"/>
    <w:rsid w:val="00123712"/>
    <w:rsid w:val="00127FC6"/>
    <w:rsid w:val="00134FA7"/>
    <w:rsid w:val="00137950"/>
    <w:rsid w:val="00140945"/>
    <w:rsid w:val="00152F29"/>
    <w:rsid w:val="00154F0D"/>
    <w:rsid w:val="001639FB"/>
    <w:rsid w:val="001704A7"/>
    <w:rsid w:val="00170C2A"/>
    <w:rsid w:val="00174D54"/>
    <w:rsid w:val="0017702C"/>
    <w:rsid w:val="00185270"/>
    <w:rsid w:val="00194C3C"/>
    <w:rsid w:val="0019749C"/>
    <w:rsid w:val="001A081B"/>
    <w:rsid w:val="001A3B5A"/>
    <w:rsid w:val="001B7CE9"/>
    <w:rsid w:val="001C7A57"/>
    <w:rsid w:val="001D2650"/>
    <w:rsid w:val="001D495A"/>
    <w:rsid w:val="001D7C5D"/>
    <w:rsid w:val="001E244C"/>
    <w:rsid w:val="001E3C08"/>
    <w:rsid w:val="001E7F98"/>
    <w:rsid w:val="001F1437"/>
    <w:rsid w:val="001F2538"/>
    <w:rsid w:val="00201860"/>
    <w:rsid w:val="00205023"/>
    <w:rsid w:val="00206799"/>
    <w:rsid w:val="002074FE"/>
    <w:rsid w:val="0022425B"/>
    <w:rsid w:val="002259EF"/>
    <w:rsid w:val="00242ED1"/>
    <w:rsid w:val="002444BB"/>
    <w:rsid w:val="00252B1C"/>
    <w:rsid w:val="00254069"/>
    <w:rsid w:val="00256A7B"/>
    <w:rsid w:val="002641BC"/>
    <w:rsid w:val="002646DE"/>
    <w:rsid w:val="00270748"/>
    <w:rsid w:val="00273308"/>
    <w:rsid w:val="002734E5"/>
    <w:rsid w:val="002746DB"/>
    <w:rsid w:val="00275C12"/>
    <w:rsid w:val="00277DFC"/>
    <w:rsid w:val="00280CAF"/>
    <w:rsid w:val="00282F09"/>
    <w:rsid w:val="00291810"/>
    <w:rsid w:val="00293E57"/>
    <w:rsid w:val="00294D62"/>
    <w:rsid w:val="00297532"/>
    <w:rsid w:val="00297FFD"/>
    <w:rsid w:val="002A1210"/>
    <w:rsid w:val="002A1591"/>
    <w:rsid w:val="002A47D2"/>
    <w:rsid w:val="002A7FB5"/>
    <w:rsid w:val="002B2074"/>
    <w:rsid w:val="002C78DB"/>
    <w:rsid w:val="002D14D8"/>
    <w:rsid w:val="002D2B46"/>
    <w:rsid w:val="002D4799"/>
    <w:rsid w:val="002E3FA4"/>
    <w:rsid w:val="002E53A5"/>
    <w:rsid w:val="002E64B8"/>
    <w:rsid w:val="002E6834"/>
    <w:rsid w:val="002F0375"/>
    <w:rsid w:val="002F1C64"/>
    <w:rsid w:val="002F2B50"/>
    <w:rsid w:val="002F7134"/>
    <w:rsid w:val="00304ED9"/>
    <w:rsid w:val="003113FF"/>
    <w:rsid w:val="00312622"/>
    <w:rsid w:val="0032277F"/>
    <w:rsid w:val="00336B69"/>
    <w:rsid w:val="0034302B"/>
    <w:rsid w:val="003442A0"/>
    <w:rsid w:val="0034564B"/>
    <w:rsid w:val="00350523"/>
    <w:rsid w:val="0035189D"/>
    <w:rsid w:val="00355B62"/>
    <w:rsid w:val="00357C8A"/>
    <w:rsid w:val="003740BC"/>
    <w:rsid w:val="003740F0"/>
    <w:rsid w:val="0037456B"/>
    <w:rsid w:val="00376335"/>
    <w:rsid w:val="003801A3"/>
    <w:rsid w:val="00383D90"/>
    <w:rsid w:val="003870AE"/>
    <w:rsid w:val="003A1A27"/>
    <w:rsid w:val="003A50CC"/>
    <w:rsid w:val="003B42B3"/>
    <w:rsid w:val="003B48B9"/>
    <w:rsid w:val="003B6384"/>
    <w:rsid w:val="003C0FE2"/>
    <w:rsid w:val="003C1E9E"/>
    <w:rsid w:val="003C4EBB"/>
    <w:rsid w:val="003D1531"/>
    <w:rsid w:val="003E43B4"/>
    <w:rsid w:val="003E4EC6"/>
    <w:rsid w:val="003E527E"/>
    <w:rsid w:val="003E553E"/>
    <w:rsid w:val="003E7078"/>
    <w:rsid w:val="003F1474"/>
    <w:rsid w:val="003F3DF5"/>
    <w:rsid w:val="003F5E5B"/>
    <w:rsid w:val="003F6093"/>
    <w:rsid w:val="003F6395"/>
    <w:rsid w:val="003F73B8"/>
    <w:rsid w:val="003F7E41"/>
    <w:rsid w:val="0040297E"/>
    <w:rsid w:val="0040427E"/>
    <w:rsid w:val="00406133"/>
    <w:rsid w:val="00411D11"/>
    <w:rsid w:val="00414494"/>
    <w:rsid w:val="00415E23"/>
    <w:rsid w:val="0041670D"/>
    <w:rsid w:val="00423272"/>
    <w:rsid w:val="00423F53"/>
    <w:rsid w:val="00424061"/>
    <w:rsid w:val="00442A3C"/>
    <w:rsid w:val="00443969"/>
    <w:rsid w:val="00447D74"/>
    <w:rsid w:val="00450A74"/>
    <w:rsid w:val="00451AB3"/>
    <w:rsid w:val="004546BF"/>
    <w:rsid w:val="004609DA"/>
    <w:rsid w:val="00465350"/>
    <w:rsid w:val="004750BE"/>
    <w:rsid w:val="00476B91"/>
    <w:rsid w:val="00484226"/>
    <w:rsid w:val="004846BF"/>
    <w:rsid w:val="00494912"/>
    <w:rsid w:val="004A5323"/>
    <w:rsid w:val="004A5950"/>
    <w:rsid w:val="004A5A99"/>
    <w:rsid w:val="004B3628"/>
    <w:rsid w:val="004B4504"/>
    <w:rsid w:val="004B6586"/>
    <w:rsid w:val="004C0EDE"/>
    <w:rsid w:val="004C5605"/>
    <w:rsid w:val="004C6979"/>
    <w:rsid w:val="004D13A2"/>
    <w:rsid w:val="004D3E7A"/>
    <w:rsid w:val="004E78A4"/>
    <w:rsid w:val="004F594B"/>
    <w:rsid w:val="004F61E1"/>
    <w:rsid w:val="005013C5"/>
    <w:rsid w:val="00522390"/>
    <w:rsid w:val="0053380B"/>
    <w:rsid w:val="00543194"/>
    <w:rsid w:val="00544138"/>
    <w:rsid w:val="0055421D"/>
    <w:rsid w:val="00554E34"/>
    <w:rsid w:val="00584583"/>
    <w:rsid w:val="00586B59"/>
    <w:rsid w:val="00590E90"/>
    <w:rsid w:val="00590EEB"/>
    <w:rsid w:val="00594FAF"/>
    <w:rsid w:val="00596AF5"/>
    <w:rsid w:val="005A400A"/>
    <w:rsid w:val="005A4099"/>
    <w:rsid w:val="005B4634"/>
    <w:rsid w:val="005B6D8B"/>
    <w:rsid w:val="005C38B2"/>
    <w:rsid w:val="005C5029"/>
    <w:rsid w:val="005C55C2"/>
    <w:rsid w:val="005C71CA"/>
    <w:rsid w:val="005C745C"/>
    <w:rsid w:val="005D4DF5"/>
    <w:rsid w:val="005E42BA"/>
    <w:rsid w:val="00611D6B"/>
    <w:rsid w:val="0061531D"/>
    <w:rsid w:val="00624D3E"/>
    <w:rsid w:val="006326EC"/>
    <w:rsid w:val="00642EB9"/>
    <w:rsid w:val="006503FF"/>
    <w:rsid w:val="00663A42"/>
    <w:rsid w:val="006641C7"/>
    <w:rsid w:val="00665A7C"/>
    <w:rsid w:val="00670216"/>
    <w:rsid w:val="006705EA"/>
    <w:rsid w:val="00670BE2"/>
    <w:rsid w:val="00672AE9"/>
    <w:rsid w:val="006828B5"/>
    <w:rsid w:val="0068300D"/>
    <w:rsid w:val="006916D9"/>
    <w:rsid w:val="006A0E05"/>
    <w:rsid w:val="006A26C6"/>
    <w:rsid w:val="006A4393"/>
    <w:rsid w:val="006A465A"/>
    <w:rsid w:val="006A4B69"/>
    <w:rsid w:val="006A7D5D"/>
    <w:rsid w:val="006D0C12"/>
    <w:rsid w:val="006D5D57"/>
    <w:rsid w:val="006E2538"/>
    <w:rsid w:val="006E2796"/>
    <w:rsid w:val="006E302F"/>
    <w:rsid w:val="006F4D6D"/>
    <w:rsid w:val="00701843"/>
    <w:rsid w:val="00705086"/>
    <w:rsid w:val="00722001"/>
    <w:rsid w:val="007328AE"/>
    <w:rsid w:val="007440F2"/>
    <w:rsid w:val="00751E66"/>
    <w:rsid w:val="00754497"/>
    <w:rsid w:val="0076080E"/>
    <w:rsid w:val="00780783"/>
    <w:rsid w:val="0078314C"/>
    <w:rsid w:val="00784E2D"/>
    <w:rsid w:val="00787C39"/>
    <w:rsid w:val="00792947"/>
    <w:rsid w:val="00795DF3"/>
    <w:rsid w:val="007A373C"/>
    <w:rsid w:val="007B225C"/>
    <w:rsid w:val="007B6C68"/>
    <w:rsid w:val="007B7CF3"/>
    <w:rsid w:val="007C29D3"/>
    <w:rsid w:val="007C2EE9"/>
    <w:rsid w:val="007C4E59"/>
    <w:rsid w:val="007C5BEA"/>
    <w:rsid w:val="007C6D76"/>
    <w:rsid w:val="007C75B1"/>
    <w:rsid w:val="007D0495"/>
    <w:rsid w:val="007D3DFC"/>
    <w:rsid w:val="007D5C8F"/>
    <w:rsid w:val="007E2F07"/>
    <w:rsid w:val="007E59A8"/>
    <w:rsid w:val="007E65A1"/>
    <w:rsid w:val="00802024"/>
    <w:rsid w:val="0080776D"/>
    <w:rsid w:val="00807897"/>
    <w:rsid w:val="00810145"/>
    <w:rsid w:val="008108FA"/>
    <w:rsid w:val="00810FF1"/>
    <w:rsid w:val="008171BA"/>
    <w:rsid w:val="00822336"/>
    <w:rsid w:val="00823DFA"/>
    <w:rsid w:val="00842DB7"/>
    <w:rsid w:val="00843752"/>
    <w:rsid w:val="00843938"/>
    <w:rsid w:val="0084479F"/>
    <w:rsid w:val="0085725E"/>
    <w:rsid w:val="008630B9"/>
    <w:rsid w:val="0086450E"/>
    <w:rsid w:val="008654D1"/>
    <w:rsid w:val="00873D4F"/>
    <w:rsid w:val="0087509F"/>
    <w:rsid w:val="00883295"/>
    <w:rsid w:val="00885280"/>
    <w:rsid w:val="00885B09"/>
    <w:rsid w:val="00892400"/>
    <w:rsid w:val="008A209D"/>
    <w:rsid w:val="008A22BB"/>
    <w:rsid w:val="008A52CF"/>
    <w:rsid w:val="008B035D"/>
    <w:rsid w:val="008B0E29"/>
    <w:rsid w:val="008B0EFA"/>
    <w:rsid w:val="008B30AB"/>
    <w:rsid w:val="008B5907"/>
    <w:rsid w:val="008C3BB8"/>
    <w:rsid w:val="008C4B65"/>
    <w:rsid w:val="008D0B9A"/>
    <w:rsid w:val="008D176B"/>
    <w:rsid w:val="008E5F55"/>
    <w:rsid w:val="008E69D8"/>
    <w:rsid w:val="008E6B3B"/>
    <w:rsid w:val="009009E7"/>
    <w:rsid w:val="00905DEF"/>
    <w:rsid w:val="00906056"/>
    <w:rsid w:val="009122AE"/>
    <w:rsid w:val="00913B43"/>
    <w:rsid w:val="00930203"/>
    <w:rsid w:val="009311D2"/>
    <w:rsid w:val="009311E6"/>
    <w:rsid w:val="00931275"/>
    <w:rsid w:val="00934758"/>
    <w:rsid w:val="009357CE"/>
    <w:rsid w:val="00936AC7"/>
    <w:rsid w:val="00953B64"/>
    <w:rsid w:val="009646A7"/>
    <w:rsid w:val="009703E5"/>
    <w:rsid w:val="00970A88"/>
    <w:rsid w:val="00970FBA"/>
    <w:rsid w:val="00975965"/>
    <w:rsid w:val="009818A1"/>
    <w:rsid w:val="00982119"/>
    <w:rsid w:val="009A1674"/>
    <w:rsid w:val="009A5D6A"/>
    <w:rsid w:val="009A6BD5"/>
    <w:rsid w:val="009B38BE"/>
    <w:rsid w:val="009B4DF2"/>
    <w:rsid w:val="009B74B7"/>
    <w:rsid w:val="009C684F"/>
    <w:rsid w:val="009D074C"/>
    <w:rsid w:val="009D6E73"/>
    <w:rsid w:val="009E00AD"/>
    <w:rsid w:val="009F1F1D"/>
    <w:rsid w:val="009F2B4F"/>
    <w:rsid w:val="009F3C63"/>
    <w:rsid w:val="009F66B5"/>
    <w:rsid w:val="009F6B8A"/>
    <w:rsid w:val="00A02F10"/>
    <w:rsid w:val="00A11370"/>
    <w:rsid w:val="00A13C47"/>
    <w:rsid w:val="00A16221"/>
    <w:rsid w:val="00A17B9B"/>
    <w:rsid w:val="00A20A7D"/>
    <w:rsid w:val="00A3485B"/>
    <w:rsid w:val="00A35D42"/>
    <w:rsid w:val="00A35E9B"/>
    <w:rsid w:val="00A376CD"/>
    <w:rsid w:val="00A46BF1"/>
    <w:rsid w:val="00A46CCF"/>
    <w:rsid w:val="00A47587"/>
    <w:rsid w:val="00A506DE"/>
    <w:rsid w:val="00A52A68"/>
    <w:rsid w:val="00A53451"/>
    <w:rsid w:val="00A604A9"/>
    <w:rsid w:val="00A64BF0"/>
    <w:rsid w:val="00A70426"/>
    <w:rsid w:val="00A70501"/>
    <w:rsid w:val="00A707CC"/>
    <w:rsid w:val="00A71410"/>
    <w:rsid w:val="00A85D9B"/>
    <w:rsid w:val="00A91E9A"/>
    <w:rsid w:val="00A93ED9"/>
    <w:rsid w:val="00A96221"/>
    <w:rsid w:val="00AB3B58"/>
    <w:rsid w:val="00AC25CC"/>
    <w:rsid w:val="00AC2DBB"/>
    <w:rsid w:val="00AC6A99"/>
    <w:rsid w:val="00AD069A"/>
    <w:rsid w:val="00AD230E"/>
    <w:rsid w:val="00AD540D"/>
    <w:rsid w:val="00AD6048"/>
    <w:rsid w:val="00AF7C94"/>
    <w:rsid w:val="00B055EF"/>
    <w:rsid w:val="00B06B5B"/>
    <w:rsid w:val="00B23769"/>
    <w:rsid w:val="00B33909"/>
    <w:rsid w:val="00B41789"/>
    <w:rsid w:val="00B423AA"/>
    <w:rsid w:val="00B45D1E"/>
    <w:rsid w:val="00B614C7"/>
    <w:rsid w:val="00B63B0E"/>
    <w:rsid w:val="00B6481F"/>
    <w:rsid w:val="00B81808"/>
    <w:rsid w:val="00B83B21"/>
    <w:rsid w:val="00B867DC"/>
    <w:rsid w:val="00B86DFA"/>
    <w:rsid w:val="00B92485"/>
    <w:rsid w:val="00B936D0"/>
    <w:rsid w:val="00B95ADF"/>
    <w:rsid w:val="00BB15FB"/>
    <w:rsid w:val="00BC1E6D"/>
    <w:rsid w:val="00BD3D5B"/>
    <w:rsid w:val="00BD41F2"/>
    <w:rsid w:val="00BE3600"/>
    <w:rsid w:val="00BF776D"/>
    <w:rsid w:val="00C01F6F"/>
    <w:rsid w:val="00C041EA"/>
    <w:rsid w:val="00C13BBD"/>
    <w:rsid w:val="00C149AB"/>
    <w:rsid w:val="00C16929"/>
    <w:rsid w:val="00C20690"/>
    <w:rsid w:val="00C32545"/>
    <w:rsid w:val="00C36020"/>
    <w:rsid w:val="00C40694"/>
    <w:rsid w:val="00C45A9A"/>
    <w:rsid w:val="00C4683D"/>
    <w:rsid w:val="00C479BF"/>
    <w:rsid w:val="00C5124B"/>
    <w:rsid w:val="00C70542"/>
    <w:rsid w:val="00C7205F"/>
    <w:rsid w:val="00C745D7"/>
    <w:rsid w:val="00C75CBF"/>
    <w:rsid w:val="00C85409"/>
    <w:rsid w:val="00C86180"/>
    <w:rsid w:val="00CA72DB"/>
    <w:rsid w:val="00CC10F7"/>
    <w:rsid w:val="00CC2894"/>
    <w:rsid w:val="00CC6C05"/>
    <w:rsid w:val="00CC6F90"/>
    <w:rsid w:val="00CD22F9"/>
    <w:rsid w:val="00CD77C3"/>
    <w:rsid w:val="00CE112C"/>
    <w:rsid w:val="00CF55D4"/>
    <w:rsid w:val="00D03623"/>
    <w:rsid w:val="00D10DAA"/>
    <w:rsid w:val="00D41DEF"/>
    <w:rsid w:val="00D41ED6"/>
    <w:rsid w:val="00D608DA"/>
    <w:rsid w:val="00D62ECD"/>
    <w:rsid w:val="00D63157"/>
    <w:rsid w:val="00D63EC2"/>
    <w:rsid w:val="00D730BF"/>
    <w:rsid w:val="00D850E1"/>
    <w:rsid w:val="00D852F4"/>
    <w:rsid w:val="00D96AC9"/>
    <w:rsid w:val="00DB1110"/>
    <w:rsid w:val="00DB3730"/>
    <w:rsid w:val="00DC371B"/>
    <w:rsid w:val="00DC3788"/>
    <w:rsid w:val="00DC76C7"/>
    <w:rsid w:val="00DD09F5"/>
    <w:rsid w:val="00DD0E02"/>
    <w:rsid w:val="00DD4201"/>
    <w:rsid w:val="00DD5E9F"/>
    <w:rsid w:val="00DE437D"/>
    <w:rsid w:val="00DE5711"/>
    <w:rsid w:val="00DE7734"/>
    <w:rsid w:val="00DF1C32"/>
    <w:rsid w:val="00E00EA0"/>
    <w:rsid w:val="00E021CB"/>
    <w:rsid w:val="00E11DF7"/>
    <w:rsid w:val="00E138F1"/>
    <w:rsid w:val="00E160A3"/>
    <w:rsid w:val="00E2309D"/>
    <w:rsid w:val="00E26758"/>
    <w:rsid w:val="00E4357B"/>
    <w:rsid w:val="00E443A7"/>
    <w:rsid w:val="00E45904"/>
    <w:rsid w:val="00E53B3B"/>
    <w:rsid w:val="00E61258"/>
    <w:rsid w:val="00E63DE5"/>
    <w:rsid w:val="00E647AF"/>
    <w:rsid w:val="00E647C7"/>
    <w:rsid w:val="00E65A37"/>
    <w:rsid w:val="00E65EF7"/>
    <w:rsid w:val="00E67216"/>
    <w:rsid w:val="00E70E02"/>
    <w:rsid w:val="00E72D6C"/>
    <w:rsid w:val="00E76CE5"/>
    <w:rsid w:val="00E77B48"/>
    <w:rsid w:val="00E857FB"/>
    <w:rsid w:val="00E85D66"/>
    <w:rsid w:val="00E9036E"/>
    <w:rsid w:val="00E91799"/>
    <w:rsid w:val="00E97DF8"/>
    <w:rsid w:val="00EA21FE"/>
    <w:rsid w:val="00EA34E3"/>
    <w:rsid w:val="00EB2765"/>
    <w:rsid w:val="00EB5012"/>
    <w:rsid w:val="00EB7538"/>
    <w:rsid w:val="00EC1868"/>
    <w:rsid w:val="00EC19D4"/>
    <w:rsid w:val="00EC66C9"/>
    <w:rsid w:val="00EE28CB"/>
    <w:rsid w:val="00EE6468"/>
    <w:rsid w:val="00F1299B"/>
    <w:rsid w:val="00F12AA2"/>
    <w:rsid w:val="00F207A4"/>
    <w:rsid w:val="00F25173"/>
    <w:rsid w:val="00F316A0"/>
    <w:rsid w:val="00F355AC"/>
    <w:rsid w:val="00F35A4E"/>
    <w:rsid w:val="00F40CF7"/>
    <w:rsid w:val="00F44194"/>
    <w:rsid w:val="00F51F82"/>
    <w:rsid w:val="00F63EDA"/>
    <w:rsid w:val="00F71A5A"/>
    <w:rsid w:val="00F73A1A"/>
    <w:rsid w:val="00F769E0"/>
    <w:rsid w:val="00F80C90"/>
    <w:rsid w:val="00F8193A"/>
    <w:rsid w:val="00F81EBF"/>
    <w:rsid w:val="00F82D25"/>
    <w:rsid w:val="00F95E7B"/>
    <w:rsid w:val="00F96E08"/>
    <w:rsid w:val="00F9711C"/>
    <w:rsid w:val="00FA2084"/>
    <w:rsid w:val="00FA4A46"/>
    <w:rsid w:val="00FA628D"/>
    <w:rsid w:val="00FA66DE"/>
    <w:rsid w:val="00FA75FE"/>
    <w:rsid w:val="00FB1032"/>
    <w:rsid w:val="00FB39BC"/>
    <w:rsid w:val="00FB6A53"/>
    <w:rsid w:val="00FC11CA"/>
    <w:rsid w:val="00FC4703"/>
    <w:rsid w:val="00FC6BDE"/>
    <w:rsid w:val="00FD0A97"/>
    <w:rsid w:val="00FD711C"/>
    <w:rsid w:val="00FF1ED4"/>
    <w:rsid w:val="00FF6138"/>
    <w:rsid w:val="00FF71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0413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883295"/>
    <w:rPr>
      <w:sz w:val="16"/>
      <w:szCs w:val="16"/>
    </w:rPr>
  </w:style>
  <w:style w:type="paragraph" w:styleId="CommentText">
    <w:name w:val="annotation text"/>
    <w:basedOn w:val="Normal"/>
    <w:link w:val="CommentTextChar"/>
    <w:rsid w:val="00883295"/>
    <w:rPr>
      <w:sz w:val="20"/>
      <w:szCs w:val="20"/>
    </w:rPr>
  </w:style>
  <w:style w:type="character" w:customStyle="1" w:styleId="CommentTextChar">
    <w:name w:val="Comment Text Char"/>
    <w:basedOn w:val="DefaultParagraphFont"/>
    <w:link w:val="CommentText"/>
    <w:rsid w:val="00883295"/>
  </w:style>
  <w:style w:type="paragraph" w:styleId="CommentSubject">
    <w:name w:val="annotation subject"/>
    <w:basedOn w:val="CommentText"/>
    <w:next w:val="CommentText"/>
    <w:link w:val="CommentSubjectChar"/>
    <w:rsid w:val="00883295"/>
    <w:rPr>
      <w:b/>
      <w:bCs/>
    </w:rPr>
  </w:style>
  <w:style w:type="character" w:customStyle="1" w:styleId="CommentSubjectChar">
    <w:name w:val="Comment Subject Char"/>
    <w:basedOn w:val="CommentTextChar"/>
    <w:link w:val="CommentSubject"/>
    <w:rsid w:val="00883295"/>
    <w:rPr>
      <w:b/>
      <w:bCs/>
    </w:rPr>
  </w:style>
  <w:style w:type="paragraph" w:styleId="Revision">
    <w:name w:val="Revision"/>
    <w:hidden/>
    <w:uiPriority w:val="99"/>
    <w:semiHidden/>
    <w:rsid w:val="00B648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industry/small-business-assistance/"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1969</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2024-12-20T15:59:00Z</dcterms:created>
  <dcterms:modified xsi:type="dcterms:W3CDTF">2024-12-20T19:19:00Z</dcterms:modified>
</cp:coreProperties>
</file>