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65CE" w:rsidRPr="003065CE" w:rsidP="003065CE" w14:paraId="212374C5" w14:textId="510E4E5C">
      <w:pPr>
        <w:spacing w:after="0" w:line="240" w:lineRule="auto"/>
        <w:rPr>
          <w:rFonts w:ascii="Times New Roman" w:eastAsia="Times New Roman" w:hAnsi="Times New Roman" w:cs="Times New Roman"/>
          <w:i/>
          <w:sz w:val="24"/>
          <w:szCs w:val="24"/>
        </w:rPr>
      </w:pPr>
      <w:r w:rsidRPr="00753C80">
        <w:rPr>
          <w:rFonts w:ascii="Times New Roman" w:eastAsia="Times New Roman" w:hAnsi="Times New Roman" w:cs="Times New Roman"/>
          <w:i/>
          <w:sz w:val="24"/>
          <w:szCs w:val="24"/>
        </w:rPr>
        <w:t>Regulations related to PRA Collection 0648-0352 highlighted in yellow</w:t>
      </w:r>
      <w:r w:rsidR="00753C80">
        <w:rPr>
          <w:rFonts w:ascii="Times New Roman" w:eastAsia="Times New Roman" w:hAnsi="Times New Roman" w:cs="Times New Roman"/>
          <w:i/>
          <w:sz w:val="24"/>
          <w:szCs w:val="24"/>
        </w:rPr>
        <w:t xml:space="preserve"> (pulled from </w:t>
      </w:r>
      <w:r w:rsidR="00753C80">
        <w:rPr>
          <w:rFonts w:ascii="Times New Roman" w:eastAsia="Times New Roman" w:hAnsi="Times New Roman" w:cs="Times New Roman"/>
          <w:i/>
          <w:sz w:val="24"/>
          <w:szCs w:val="24"/>
        </w:rPr>
        <w:t>eCFR</w:t>
      </w:r>
      <w:r w:rsidR="00753C80">
        <w:rPr>
          <w:rFonts w:ascii="Times New Roman" w:eastAsia="Times New Roman" w:hAnsi="Times New Roman" w:cs="Times New Roman"/>
          <w:i/>
          <w:sz w:val="24"/>
          <w:szCs w:val="24"/>
        </w:rPr>
        <w:t xml:space="preserve"> 11/25/2024)</w:t>
      </w:r>
    </w:p>
    <w:p w:rsidR="003065CE" w:rsidRPr="003065CE" w:rsidP="003065CE" w14:paraId="1B75A359" w14:textId="179EB83C">
      <w:pPr>
        <w:spacing w:before="100" w:beforeAutospacing="1" w:after="100" w:afterAutospacing="1" w:line="240" w:lineRule="auto"/>
        <w:outlineLvl w:val="1"/>
        <w:rPr>
          <w:rFonts w:ascii="Times New Roman" w:eastAsia="Times New Roman" w:hAnsi="Times New Roman" w:cs="Times New Roman"/>
          <w:b/>
          <w:bCs/>
          <w:sz w:val="36"/>
          <w:szCs w:val="36"/>
        </w:rPr>
      </w:pPr>
      <w:r w:rsidRPr="003065CE">
        <w:rPr>
          <w:rFonts w:ascii="Times New Roman" w:eastAsia="Times New Roman" w:hAnsi="Times New Roman" w:cs="Times New Roman"/>
          <w:b/>
          <w:bCs/>
          <w:sz w:val="36"/>
          <w:szCs w:val="36"/>
        </w:rPr>
        <w:t>§ 660.12 General groundfish prohibitions.</w:t>
      </w:r>
    </w:p>
    <w:p w:rsidR="003065CE" w:rsidRPr="003065CE" w:rsidP="003065CE" w14:paraId="0B08545E" w14:textId="77777777">
      <w:pPr>
        <w:spacing w:before="100" w:beforeAutospacing="1" w:after="100" w:afterAutospacing="1" w:line="240" w:lineRule="auto"/>
        <w:rPr>
          <w:rFonts w:ascii="Times New Roman" w:eastAsia="Times New Roman" w:hAnsi="Times New Roman" w:cs="Times New Roman"/>
          <w:sz w:val="24"/>
          <w:szCs w:val="24"/>
        </w:rPr>
      </w:pPr>
      <w:r w:rsidRPr="003065CE">
        <w:rPr>
          <w:rFonts w:ascii="Times New Roman" w:eastAsia="Times New Roman" w:hAnsi="Times New Roman" w:cs="Times New Roman"/>
          <w:sz w:val="24"/>
          <w:szCs w:val="24"/>
        </w:rPr>
        <w:t>In addition to the general proh</w:t>
      </w:r>
      <w:bookmarkStart w:id="0" w:name="_GoBack"/>
      <w:bookmarkEnd w:id="0"/>
      <w:r w:rsidRPr="003065CE">
        <w:rPr>
          <w:rFonts w:ascii="Times New Roman" w:eastAsia="Times New Roman" w:hAnsi="Times New Roman" w:cs="Times New Roman"/>
          <w:sz w:val="24"/>
          <w:szCs w:val="24"/>
        </w:rPr>
        <w:t xml:space="preserve">ibitions specified in </w:t>
      </w:r>
      <w:hyperlink r:id="rId4" w:history="1">
        <w:r w:rsidRPr="003065CE">
          <w:rPr>
            <w:rFonts w:ascii="Times New Roman" w:eastAsia="Times New Roman" w:hAnsi="Times New Roman" w:cs="Times New Roman"/>
            <w:color w:val="0000FF"/>
            <w:sz w:val="24"/>
            <w:szCs w:val="24"/>
            <w:u w:val="single"/>
          </w:rPr>
          <w:t>§ 600.725 of this chapter</w:t>
        </w:r>
      </w:hyperlink>
      <w:r w:rsidRPr="003065CE">
        <w:rPr>
          <w:rFonts w:ascii="Times New Roman" w:eastAsia="Times New Roman" w:hAnsi="Times New Roman" w:cs="Times New Roman"/>
          <w:sz w:val="24"/>
          <w:szCs w:val="24"/>
        </w:rPr>
        <w:t>, it is unlawful for any person to:</w:t>
      </w:r>
    </w:p>
    <w:p w:rsidR="003065CE" w:rsidRPr="003065CE" w:rsidP="003065CE" w14:paraId="5999551E" w14:textId="77777777">
      <w:pPr>
        <w:spacing w:before="100" w:beforeAutospacing="1" w:after="100" w:afterAutospacing="1" w:line="240" w:lineRule="auto"/>
        <w:ind w:left="180"/>
        <w:rPr>
          <w:rFonts w:ascii="Times New Roman" w:eastAsia="Times New Roman" w:hAnsi="Times New Roman" w:cs="Times New Roman"/>
          <w:sz w:val="24"/>
          <w:szCs w:val="24"/>
        </w:rPr>
      </w:pPr>
      <w:r w:rsidRPr="003065CE">
        <w:rPr>
          <w:rFonts w:ascii="Times New Roman" w:eastAsia="Times New Roman" w:hAnsi="Times New Roman" w:cs="Times New Roman"/>
          <w:sz w:val="24"/>
          <w:szCs w:val="24"/>
        </w:rPr>
        <w:t xml:space="preserve">(a) </w:t>
      </w:r>
      <w:r w:rsidRPr="003065CE">
        <w:rPr>
          <w:rFonts w:ascii="Times New Roman" w:eastAsia="Times New Roman" w:hAnsi="Times New Roman" w:cs="Times New Roman"/>
          <w:b/>
          <w:bCs/>
          <w:i/>
          <w:iCs/>
          <w:sz w:val="24"/>
          <w:szCs w:val="24"/>
        </w:rPr>
        <w:t>General.</w:t>
      </w:r>
      <w:r w:rsidRPr="003065CE">
        <w:rPr>
          <w:rFonts w:ascii="Times New Roman" w:eastAsia="Times New Roman" w:hAnsi="Times New Roman" w:cs="Times New Roman"/>
          <w:sz w:val="24"/>
          <w:szCs w:val="24"/>
        </w:rPr>
        <w:t xml:space="preserve"> </w:t>
      </w:r>
    </w:p>
    <w:p w:rsidR="003065CE" w:rsidRPr="003065CE" w:rsidP="003065CE" w14:paraId="6A6337DD" w14:textId="77777777">
      <w:pPr>
        <w:spacing w:before="100" w:beforeAutospacing="1" w:after="100" w:afterAutospacing="1" w:line="240" w:lineRule="auto"/>
        <w:ind w:left="360"/>
        <w:rPr>
          <w:rFonts w:ascii="Times New Roman" w:eastAsia="Times New Roman" w:hAnsi="Times New Roman" w:cs="Times New Roman"/>
          <w:sz w:val="24"/>
          <w:szCs w:val="24"/>
        </w:rPr>
      </w:pPr>
      <w:r w:rsidRPr="003065CE">
        <w:rPr>
          <w:rFonts w:ascii="Times New Roman" w:eastAsia="Times New Roman" w:hAnsi="Times New Roman" w:cs="Times New Roman"/>
          <w:sz w:val="24"/>
          <w:szCs w:val="24"/>
        </w:rPr>
        <w:t>(1) Retain any prohibited or protected species caught by means of fishing gear authorized under this subpart, unless otherwise authorized. Except as otherwise authorized, prohibited and protected species must be returned to the sea as soon as practicable with a minimum of injury when caught and brought on board.</w:t>
      </w:r>
    </w:p>
    <w:p w:rsidR="003065CE" w:rsidRPr="003065CE" w:rsidP="003065CE" w14:paraId="7B62FC90" w14:textId="77777777">
      <w:pPr>
        <w:spacing w:before="100" w:beforeAutospacing="1" w:after="100" w:afterAutospacing="1" w:line="240" w:lineRule="auto"/>
        <w:ind w:left="360"/>
        <w:rPr>
          <w:rFonts w:ascii="Times New Roman" w:eastAsia="Times New Roman" w:hAnsi="Times New Roman" w:cs="Times New Roman"/>
          <w:sz w:val="24"/>
          <w:szCs w:val="24"/>
        </w:rPr>
      </w:pPr>
      <w:r w:rsidRPr="003065CE">
        <w:rPr>
          <w:rFonts w:ascii="Times New Roman" w:eastAsia="Times New Roman" w:hAnsi="Times New Roman" w:cs="Times New Roman"/>
          <w:sz w:val="24"/>
          <w:szCs w:val="24"/>
          <w:highlight w:val="yellow"/>
        </w:rPr>
        <w:t xml:space="preserve">(2) Falsify or fail to affix and maintain vessel and gear markings as required by </w:t>
      </w:r>
      <w:hyperlink r:id="rId5" w:history="1">
        <w:r w:rsidRPr="003065CE">
          <w:rPr>
            <w:rFonts w:ascii="Times New Roman" w:eastAsia="Times New Roman" w:hAnsi="Times New Roman" w:cs="Times New Roman"/>
            <w:color w:val="0000FF"/>
            <w:sz w:val="24"/>
            <w:szCs w:val="24"/>
            <w:highlight w:val="yellow"/>
            <w:u w:val="single"/>
          </w:rPr>
          <w:t>§ 660.20</w:t>
        </w:r>
      </w:hyperlink>
      <w:r w:rsidRPr="003065CE">
        <w:rPr>
          <w:rFonts w:ascii="Times New Roman" w:eastAsia="Times New Roman" w:hAnsi="Times New Roman" w:cs="Times New Roman"/>
          <w:sz w:val="24"/>
          <w:szCs w:val="24"/>
          <w:highlight w:val="yellow"/>
        </w:rPr>
        <w:t xml:space="preserve"> or § 660.219, subpart E or § 660.319, subpart F.</w:t>
      </w:r>
    </w:p>
    <w:p w:rsidR="003065CE" w:rsidRPr="003065CE" w:rsidP="003065CE" w14:paraId="1F801401" w14:textId="0B17705B">
      <w:pPr>
        <w:spacing w:before="100" w:beforeAutospacing="1" w:after="100" w:afterAutospacing="1" w:line="240" w:lineRule="auto"/>
        <w:ind w:left="360"/>
        <w:rPr>
          <w:rFonts w:ascii="Times New Roman" w:eastAsia="Times New Roman" w:hAnsi="Times New Roman" w:cs="Times New Roman"/>
          <w:sz w:val="24"/>
          <w:szCs w:val="24"/>
        </w:rPr>
      </w:pPr>
      <w:r w:rsidRPr="003065CE">
        <w:rPr>
          <w:rFonts w:ascii="Times New Roman" w:eastAsia="Times New Roman" w:hAnsi="Times New Roman" w:cs="Times New Roman"/>
          <w:sz w:val="24"/>
          <w:szCs w:val="24"/>
        </w:rPr>
        <w:t>* * * * *</w:t>
      </w:r>
    </w:p>
    <w:p w:rsidR="003065CE" w:rsidP="003065CE" w14:paraId="58D070B3" w14:textId="6E17D840">
      <w:pPr>
        <w:spacing w:before="100" w:beforeAutospacing="1" w:after="100" w:afterAutospacing="1" w:line="240" w:lineRule="auto"/>
        <w:ind w:left="360"/>
        <w:rPr>
          <w:rFonts w:ascii="Times New Roman" w:hAnsi="Times New Roman"/>
          <w:sz w:val="24"/>
          <w:szCs w:val="24"/>
        </w:rPr>
      </w:pPr>
      <w:r w:rsidRPr="003065CE">
        <w:rPr>
          <w:rStyle w:val="paren"/>
          <w:rFonts w:ascii="Times New Roman" w:hAnsi="Times New Roman"/>
          <w:sz w:val="24"/>
          <w:szCs w:val="24"/>
          <w:highlight w:val="yellow"/>
        </w:rPr>
        <w:t>(</w:t>
      </w:r>
      <w:r w:rsidRPr="003065CE">
        <w:rPr>
          <w:rStyle w:val="paragraph-hierarchy"/>
          <w:rFonts w:ascii="Times New Roman" w:hAnsi="Times New Roman"/>
          <w:sz w:val="24"/>
          <w:szCs w:val="24"/>
          <w:highlight w:val="yellow"/>
        </w:rPr>
        <w:t>9</w:t>
      </w:r>
      <w:r w:rsidRPr="003065CE">
        <w:rPr>
          <w:rStyle w:val="paren"/>
          <w:rFonts w:ascii="Times New Roman" w:hAnsi="Times New Roman"/>
          <w:sz w:val="24"/>
          <w:szCs w:val="24"/>
          <w:highlight w:val="yellow"/>
        </w:rPr>
        <w:t>)</w:t>
      </w:r>
      <w:r w:rsidRPr="003065CE">
        <w:rPr>
          <w:rFonts w:ascii="Times New Roman" w:hAnsi="Times New Roman"/>
          <w:sz w:val="24"/>
          <w:szCs w:val="24"/>
          <w:highlight w:val="yellow"/>
        </w:rPr>
        <w:t xml:space="preserve"> When requested or required by an authorized officer, refuse to present fishing gear for inspection,</w:t>
      </w:r>
      <w:r w:rsidRPr="003065CE">
        <w:rPr>
          <w:rFonts w:ascii="Times New Roman" w:hAnsi="Times New Roman"/>
          <w:sz w:val="24"/>
          <w:szCs w:val="24"/>
        </w:rPr>
        <w:t xml:space="preserve"> refuse to present fish subject to such persons control for inspection; or interfere with a fishing gear or marine animal or plant life inspection.</w:t>
      </w:r>
    </w:p>
    <w:p w:rsidR="003065CE" w:rsidP="003065CE" w14:paraId="23D00DA8" w14:textId="19321C6A">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 * * *</w:t>
      </w:r>
    </w:p>
    <w:p w:rsidR="003065CE" w:rsidP="003065CE" w14:paraId="49A6779B" w14:textId="77777777">
      <w:pPr>
        <w:pStyle w:val="Heading2"/>
      </w:pPr>
      <w:r>
        <w:t xml:space="preserve">§ </w:t>
      </w:r>
      <w:r w:rsidRPr="003065CE">
        <w:rPr>
          <w:highlight w:val="yellow"/>
        </w:rPr>
        <w:t>660.20 Vessel and gear identification</w:t>
      </w:r>
      <w:r>
        <w:t>.</w:t>
      </w:r>
    </w:p>
    <w:p w:rsidR="003065CE" w:rsidP="003065CE" w14:paraId="12475CDD" w14:textId="77777777">
      <w:pPr>
        <w:pStyle w:val="indent-1"/>
        <w:ind w:left="180"/>
      </w:pPr>
      <w:r>
        <w:rPr>
          <w:rStyle w:val="paren"/>
        </w:rPr>
        <w:t>(</w:t>
      </w:r>
      <w:r>
        <w:rPr>
          <w:rStyle w:val="paragraph-hierarchy"/>
        </w:rPr>
        <w:t>a</w:t>
      </w:r>
      <w:r>
        <w:rPr>
          <w:rStyle w:val="paren"/>
        </w:rPr>
        <w:t>)</w:t>
      </w:r>
      <w:r>
        <w:t xml:space="preserve"> </w:t>
      </w:r>
      <w:r>
        <w:rPr>
          <w:rStyle w:val="Emphasis"/>
          <w:b/>
          <w:bCs/>
        </w:rPr>
        <w:t>Vessel identification</w:t>
      </w:r>
      <w:r>
        <w:t xml:space="preserve"> —</w:t>
      </w:r>
    </w:p>
    <w:p w:rsidR="003065CE" w:rsidP="003065CE" w14:paraId="56C23ECF" w14:textId="77777777">
      <w:pPr>
        <w:pStyle w:val="indent-2"/>
        <w:ind w:left="360"/>
      </w:pPr>
      <w:r>
        <w:rPr>
          <w:rStyle w:val="paren"/>
        </w:rPr>
        <w:t>(</w:t>
      </w:r>
      <w:r>
        <w:rPr>
          <w:rStyle w:val="paragraph-hierarchy"/>
        </w:rPr>
        <w:t>1</w:t>
      </w:r>
      <w:r>
        <w:rPr>
          <w:rStyle w:val="paren"/>
        </w:rPr>
        <w:t>)</w:t>
      </w:r>
      <w:r>
        <w:t xml:space="preserve"> </w:t>
      </w:r>
      <w:r>
        <w:rPr>
          <w:rStyle w:val="Emphasis"/>
          <w:b/>
          <w:bCs/>
        </w:rPr>
        <w:t>Display.</w:t>
      </w:r>
      <w:r>
        <w:t xml:space="preserve"> The operator of a vessel that is over 25 ft (7.6 m) in length and is engaged in commercial fishing for groundfish must display the vessel's official number on the port and starboard sides of the deckhouse or hull, and on a weather deck so as to be visible from above. The number must contrast with the background and be in block Arabic numerals at least 18 inches (45.7 cm) high for vessels over 65 ft (19.8 m) long and at least 10 inches (25.4 cm) high for vessels between 25 and 65 ft (7.6 and 19.8 m) in length. The length of a vessel for purposes of this section is the length set forth in USCG records or in state records, if no USCG record exists.</w:t>
      </w:r>
    </w:p>
    <w:p w:rsidR="003065CE" w:rsidP="003065CE" w14:paraId="74F071B3" w14:textId="77777777">
      <w:pPr>
        <w:pStyle w:val="indent-2"/>
        <w:ind w:left="360"/>
      </w:pPr>
      <w:r>
        <w:rPr>
          <w:rStyle w:val="paren"/>
        </w:rPr>
        <w:t>(</w:t>
      </w:r>
      <w:r>
        <w:rPr>
          <w:rStyle w:val="paragraph-hierarchy"/>
        </w:rPr>
        <w:t>2</w:t>
      </w:r>
      <w:r>
        <w:rPr>
          <w:rStyle w:val="paren"/>
        </w:rPr>
        <w:t>)</w:t>
      </w:r>
      <w:r>
        <w:t xml:space="preserve"> </w:t>
      </w:r>
      <w:r>
        <w:rPr>
          <w:rStyle w:val="Emphasis"/>
          <w:b/>
          <w:bCs/>
        </w:rPr>
        <w:t>Maintenance of numbers.</w:t>
      </w:r>
      <w:r>
        <w:t xml:space="preserve"> The operator of a vessel engaged in commercial fishing for groundfish must keep the identifying markings required by </w:t>
      </w:r>
      <w:hyperlink r:id="rId5" w:anchor="p-660.20(a)(1)" w:history="1">
        <w:r>
          <w:rPr>
            <w:rStyle w:val="Hyperlink"/>
          </w:rPr>
          <w:t>paragraph (a)(1)</w:t>
        </w:r>
      </w:hyperlink>
      <w:r>
        <w:t xml:space="preserve"> of this section clearly legible and in good repair, and must ensure that no part of the vessel, its rigging, or its fishing gear obstructs the view of the official number from an enforcement vessel or aircraft.</w:t>
      </w:r>
    </w:p>
    <w:p w:rsidR="003065CE" w:rsidP="003065CE" w14:paraId="4746CC73" w14:textId="77777777">
      <w:pPr>
        <w:pStyle w:val="indent-2"/>
        <w:ind w:left="360"/>
      </w:pPr>
      <w:r>
        <w:rPr>
          <w:rStyle w:val="paren"/>
        </w:rPr>
        <w:t>(</w:t>
      </w:r>
      <w:r>
        <w:rPr>
          <w:rStyle w:val="paragraph-hierarchy"/>
        </w:rPr>
        <w:t>3</w:t>
      </w:r>
      <w:r>
        <w:rPr>
          <w:rStyle w:val="paren"/>
        </w:rPr>
        <w:t>)</w:t>
      </w:r>
      <w:r>
        <w:t xml:space="preserve"> </w:t>
      </w:r>
      <w:r>
        <w:rPr>
          <w:rStyle w:val="Emphasis"/>
          <w:b/>
          <w:bCs/>
        </w:rPr>
        <w:t>Commercial passenger vessels.</w:t>
      </w:r>
      <w:r>
        <w:t xml:space="preserve"> This section does not apply to vessels carrying fishing parties on a per-capita basis or by charter.</w:t>
      </w:r>
    </w:p>
    <w:p w:rsidR="003065CE" w:rsidP="003065CE" w14:paraId="021E2B54" w14:textId="77777777">
      <w:pPr>
        <w:pStyle w:val="indent-1"/>
        <w:ind w:left="180"/>
      </w:pPr>
      <w:r>
        <w:rPr>
          <w:rStyle w:val="paren"/>
        </w:rPr>
        <w:t>(</w:t>
      </w:r>
      <w:r>
        <w:rPr>
          <w:rStyle w:val="paragraph-hierarchy"/>
        </w:rPr>
        <w:t>b</w:t>
      </w:r>
      <w:r>
        <w:rPr>
          <w:rStyle w:val="paren"/>
        </w:rPr>
        <w:t>)</w:t>
      </w:r>
      <w:r>
        <w:t xml:space="preserve"> </w:t>
      </w:r>
      <w:r>
        <w:rPr>
          <w:rStyle w:val="Emphasis"/>
          <w:b/>
          <w:bCs/>
        </w:rPr>
        <w:t>Gear identification.</w:t>
      </w:r>
      <w:r>
        <w:t xml:space="preserve"> Gear identification requirements specific to fisheries using fixed gear (limited entry and open access) are described at § 660.219, subpart E and § 660.319, subpart F.</w:t>
      </w:r>
    </w:p>
    <w:p w:rsidR="003065CE" w:rsidRPr="003065CE" w:rsidP="003065CE" w14:paraId="3278D2A8" w14:textId="77777777">
      <w:pPr>
        <w:spacing w:before="100" w:beforeAutospacing="1" w:after="100" w:afterAutospacing="1" w:line="240" w:lineRule="auto"/>
        <w:rPr>
          <w:rFonts w:ascii="Times New Roman" w:eastAsia="Times New Roman" w:hAnsi="Times New Roman" w:cs="Times New Roman"/>
          <w:sz w:val="24"/>
          <w:szCs w:val="24"/>
        </w:rPr>
      </w:pPr>
    </w:p>
    <w:p w:rsidR="003065CE" w:rsidP="003065CE" w14:paraId="17F01344" w14:textId="77777777">
      <w:pPr>
        <w:pStyle w:val="Heading2"/>
      </w:pPr>
      <w:r>
        <w:t xml:space="preserve">§ </w:t>
      </w:r>
      <w:r w:rsidRPr="003065CE">
        <w:rPr>
          <w:highlight w:val="yellow"/>
        </w:rPr>
        <w:t>660.219 Fixed gear identification and marking</w:t>
      </w:r>
      <w:r>
        <w:t>.</w:t>
      </w:r>
    </w:p>
    <w:p w:rsidR="003065CE" w:rsidP="003065CE" w14:paraId="701FE27B" w14:textId="77777777">
      <w:pPr>
        <w:pStyle w:val="indent-1"/>
        <w:ind w:left="180"/>
      </w:pPr>
      <w:r>
        <w:rPr>
          <w:rStyle w:val="paren"/>
        </w:rPr>
        <w:t>(</w:t>
      </w:r>
      <w:r>
        <w:rPr>
          <w:rStyle w:val="paragraph-hierarchy"/>
        </w:rPr>
        <w:t>a</w:t>
      </w:r>
      <w:r>
        <w:rPr>
          <w:rStyle w:val="paren"/>
        </w:rPr>
        <w:t>)</w:t>
      </w:r>
      <w:r>
        <w:t xml:space="preserve"> </w:t>
      </w:r>
      <w:r>
        <w:rPr>
          <w:rStyle w:val="Emphasis"/>
          <w:b/>
          <w:bCs/>
        </w:rPr>
        <w:t>Gear identification.</w:t>
      </w:r>
      <w:r>
        <w:t xml:space="preserve"> </w:t>
      </w:r>
    </w:p>
    <w:p w:rsidR="003065CE" w:rsidP="003065CE" w14:paraId="12406D2A" w14:textId="77777777">
      <w:pPr>
        <w:pStyle w:val="indent-2"/>
        <w:ind w:left="360"/>
      </w:pPr>
      <w:r>
        <w:rPr>
          <w:rStyle w:val="paren"/>
        </w:rPr>
        <w:t>(</w:t>
      </w:r>
      <w:r>
        <w:rPr>
          <w:rStyle w:val="paragraph-hierarchy"/>
        </w:rPr>
        <w:t>1</w:t>
      </w:r>
      <w:r>
        <w:rPr>
          <w:rStyle w:val="paren"/>
        </w:rPr>
        <w:t>)</w:t>
      </w:r>
      <w:r>
        <w:t xml:space="preserve"> Limited entry fixed gear (longline, trap or pot) must be marked at the surface and at each terminal end, with a pole, flag, light, radar reflector, and a buoy.</w:t>
      </w:r>
    </w:p>
    <w:p w:rsidR="003065CE" w:rsidP="003065CE" w14:paraId="4CA8AE10" w14:textId="77777777">
      <w:pPr>
        <w:pStyle w:val="indent-2"/>
        <w:ind w:left="360"/>
      </w:pPr>
      <w:r>
        <w:rPr>
          <w:rStyle w:val="paren"/>
        </w:rPr>
        <w:t>(</w:t>
      </w:r>
      <w:r>
        <w:rPr>
          <w:rStyle w:val="paragraph-hierarchy"/>
        </w:rPr>
        <w:t>2</w:t>
      </w:r>
      <w:r>
        <w:rPr>
          <w:rStyle w:val="paren"/>
        </w:rPr>
        <w:t>)</w:t>
      </w:r>
      <w:r>
        <w:t xml:space="preserve"> A buoy used to mark fixed gear must be marked with a number clearly identifying the owner or operator of the vessel. The number may be either:</w:t>
      </w:r>
    </w:p>
    <w:p w:rsidR="003065CE" w:rsidP="003065CE" w14:paraId="7E2A726D" w14:textId="77777777">
      <w:pPr>
        <w:pStyle w:val="indent-3"/>
        <w:ind w:left="540"/>
      </w:pPr>
      <w:r>
        <w:rPr>
          <w:rStyle w:val="paren"/>
        </w:rPr>
        <w:t>(</w:t>
      </w:r>
      <w:r>
        <w:rPr>
          <w:rStyle w:val="paragraph-hierarchy"/>
        </w:rPr>
        <w:t>i</w:t>
      </w:r>
      <w:r>
        <w:rPr>
          <w:rStyle w:val="paren"/>
        </w:rPr>
        <w:t>)</w:t>
      </w:r>
      <w:r>
        <w:t xml:space="preserve"> If required by applicable state law, the vessel's number, the commercial fishing license number, or buoy brand number; or</w:t>
      </w:r>
    </w:p>
    <w:p w:rsidR="003065CE" w:rsidP="003065CE" w14:paraId="3D74BEE7" w14:textId="77777777">
      <w:pPr>
        <w:pStyle w:val="indent-3"/>
        <w:ind w:left="540"/>
      </w:pPr>
      <w:r>
        <w:rPr>
          <w:rStyle w:val="paren"/>
        </w:rPr>
        <w:t>(</w:t>
      </w:r>
      <w:r>
        <w:rPr>
          <w:rStyle w:val="paragraph-hierarchy"/>
        </w:rPr>
        <w:t>ii</w:t>
      </w:r>
      <w:r>
        <w:rPr>
          <w:rStyle w:val="paren"/>
        </w:rPr>
        <w:t>)</w:t>
      </w:r>
      <w:r>
        <w:t xml:space="preserve"> The vessel documentation number issued by the USCG, or, for an undocumented vessel, the vessel registration number issued by the state.</w:t>
      </w:r>
    </w:p>
    <w:p w:rsidR="003065CE" w:rsidP="003065CE" w14:paraId="42CC6EC6" w14:textId="77777777">
      <w:pPr>
        <w:pStyle w:val="indent-1"/>
        <w:ind w:left="180"/>
      </w:pPr>
      <w:r>
        <w:rPr>
          <w:rStyle w:val="paren"/>
        </w:rPr>
        <w:t>(</w:t>
      </w:r>
      <w:r>
        <w:rPr>
          <w:rStyle w:val="paragraph-hierarchy"/>
        </w:rPr>
        <w:t>b</w:t>
      </w:r>
      <w:r>
        <w:rPr>
          <w:rStyle w:val="paren"/>
        </w:rPr>
        <w:t>)</w:t>
      </w:r>
      <w:r>
        <w:t xml:space="preserve"> [Reserved]</w:t>
      </w:r>
    </w:p>
    <w:p w:rsidR="003065CE" w:rsidP="003065CE" w14:paraId="1AFD6A07" w14:textId="77777777">
      <w:pPr>
        <w:pStyle w:val="Heading2"/>
      </w:pPr>
      <w:r>
        <w:t xml:space="preserve">§ </w:t>
      </w:r>
      <w:r w:rsidRPr="003065CE">
        <w:rPr>
          <w:highlight w:val="yellow"/>
        </w:rPr>
        <w:t>660.319 Open access fishery gear identification and marking.</w:t>
      </w:r>
    </w:p>
    <w:p w:rsidR="003065CE" w:rsidP="003065CE" w14:paraId="06D94DC9" w14:textId="77777777">
      <w:pPr>
        <w:pStyle w:val="indent-1"/>
        <w:ind w:left="180"/>
      </w:pPr>
      <w:r>
        <w:rPr>
          <w:rStyle w:val="paren"/>
        </w:rPr>
        <w:t>(</w:t>
      </w:r>
      <w:r>
        <w:rPr>
          <w:rStyle w:val="paragraph-hierarchy"/>
        </w:rPr>
        <w:t>a</w:t>
      </w:r>
      <w:r>
        <w:rPr>
          <w:rStyle w:val="paren"/>
        </w:rPr>
        <w:t>)</w:t>
      </w:r>
      <w:r>
        <w:t xml:space="preserve"> </w:t>
      </w:r>
      <w:r>
        <w:rPr>
          <w:rStyle w:val="Emphasis"/>
          <w:b/>
          <w:bCs/>
        </w:rPr>
        <w:t>Gear identification.</w:t>
      </w:r>
      <w:r>
        <w:t xml:space="preserve"> </w:t>
      </w:r>
    </w:p>
    <w:p w:rsidR="003065CE" w:rsidP="003065CE" w14:paraId="5989D72F" w14:textId="77777777">
      <w:pPr>
        <w:pStyle w:val="indent-2"/>
        <w:ind w:left="360"/>
      </w:pPr>
      <w:r>
        <w:rPr>
          <w:rStyle w:val="paren"/>
        </w:rPr>
        <w:t>(</w:t>
      </w:r>
      <w:r>
        <w:rPr>
          <w:rStyle w:val="paragraph-hierarchy"/>
        </w:rPr>
        <w:t>1</w:t>
      </w:r>
      <w:r>
        <w:rPr>
          <w:rStyle w:val="paren"/>
        </w:rPr>
        <w:t>)</w:t>
      </w:r>
      <w:r>
        <w:t xml:space="preserve"> Open access fixed gear (longline, trap or pot, set net and stationary hook-and-line gear, including commercial vertical hook-and-line gear) must be marked at the surface and at each terminal end, with a pole, flag, light, radar reflector, and a buoy.</w:t>
      </w:r>
    </w:p>
    <w:p w:rsidR="003065CE" w:rsidP="003065CE" w14:paraId="181104A3" w14:textId="77777777">
      <w:pPr>
        <w:pStyle w:val="indent-2"/>
        <w:ind w:left="360"/>
      </w:pPr>
      <w:r>
        <w:rPr>
          <w:rStyle w:val="paren"/>
        </w:rPr>
        <w:t>(</w:t>
      </w:r>
      <w:r>
        <w:rPr>
          <w:rStyle w:val="paragraph-hierarchy"/>
        </w:rPr>
        <w:t>2</w:t>
      </w:r>
      <w:r>
        <w:rPr>
          <w:rStyle w:val="paren"/>
        </w:rPr>
        <w:t>)</w:t>
      </w:r>
      <w:r>
        <w:t xml:space="preserve"> Open access commercial vertical hook-and-line gear that is closely tended as defined at </w:t>
      </w:r>
      <w:hyperlink r:id="rId6" w:history="1">
        <w:r>
          <w:rPr>
            <w:rStyle w:val="Hyperlink"/>
          </w:rPr>
          <w:t>§ 660.311 of this subpart</w:t>
        </w:r>
      </w:hyperlink>
      <w:r>
        <w:t>, may be marked only with a single buoy of sufficient size to float the gear.</w:t>
      </w:r>
    </w:p>
    <w:p w:rsidR="003065CE" w:rsidP="003065CE" w14:paraId="5FEB9D88" w14:textId="77777777">
      <w:pPr>
        <w:pStyle w:val="indent-2"/>
        <w:ind w:left="360"/>
      </w:pPr>
      <w:r>
        <w:rPr>
          <w:rStyle w:val="paren"/>
        </w:rPr>
        <w:t>(</w:t>
      </w:r>
      <w:r>
        <w:rPr>
          <w:rStyle w:val="paragraph-hierarchy"/>
        </w:rPr>
        <w:t>3</w:t>
      </w:r>
      <w:r>
        <w:rPr>
          <w:rStyle w:val="paren"/>
        </w:rPr>
        <w:t>)</w:t>
      </w:r>
      <w:r>
        <w:t xml:space="preserve"> A buoy used to mark fixed gear under </w:t>
      </w:r>
      <w:hyperlink r:id="rId7" w:anchor="p-660.319(a)(1)" w:history="1">
        <w:r>
          <w:rPr>
            <w:rStyle w:val="Hyperlink"/>
          </w:rPr>
          <w:t>paragraph (a)(1)</w:t>
        </w:r>
      </w:hyperlink>
      <w:r>
        <w:t xml:space="preserve"> or </w:t>
      </w:r>
      <w:hyperlink r:id="rId7" w:anchor="p-660.319(a)(2)" w:history="1">
        <w:r>
          <w:rPr>
            <w:rStyle w:val="Hyperlink"/>
          </w:rPr>
          <w:t>(a)(2)</w:t>
        </w:r>
      </w:hyperlink>
      <w:r>
        <w:t xml:space="preserve"> of this section must be marked with a number clearly identifying the owner or operator of the vessel. The number may be either:</w:t>
      </w:r>
    </w:p>
    <w:p w:rsidR="003065CE" w:rsidP="003065CE" w14:paraId="6D074CB6" w14:textId="77777777">
      <w:pPr>
        <w:pStyle w:val="indent-3"/>
        <w:ind w:left="540"/>
      </w:pPr>
      <w:r>
        <w:rPr>
          <w:rStyle w:val="paren"/>
        </w:rPr>
        <w:t>(</w:t>
      </w:r>
      <w:r>
        <w:rPr>
          <w:rStyle w:val="paragraph-hierarchy"/>
        </w:rPr>
        <w:t>i</w:t>
      </w:r>
      <w:r>
        <w:rPr>
          <w:rStyle w:val="paren"/>
        </w:rPr>
        <w:t>)</w:t>
      </w:r>
      <w:r>
        <w:t xml:space="preserve"> If required by applicable state law, the vessel's number, the commercial fishing license number, or buoy brand number; or</w:t>
      </w:r>
    </w:p>
    <w:p w:rsidR="003065CE" w:rsidP="003065CE" w14:paraId="4C16C7F2" w14:textId="77777777">
      <w:pPr>
        <w:pStyle w:val="indent-3"/>
        <w:ind w:left="540"/>
      </w:pPr>
      <w:r>
        <w:rPr>
          <w:rStyle w:val="paren"/>
        </w:rPr>
        <w:t>(</w:t>
      </w:r>
      <w:r>
        <w:rPr>
          <w:rStyle w:val="paragraph-hierarchy"/>
        </w:rPr>
        <w:t>ii</w:t>
      </w:r>
      <w:r>
        <w:rPr>
          <w:rStyle w:val="paren"/>
        </w:rPr>
        <w:t>)</w:t>
      </w:r>
      <w:r>
        <w:t xml:space="preserve"> The vessel documentation number issued by the USCG, or, for an undocumented vessel, the vessel registration number issued by the state.</w:t>
      </w:r>
    </w:p>
    <w:p w:rsidR="003065CE" w:rsidP="003065CE" w14:paraId="21016310" w14:textId="77777777">
      <w:pPr>
        <w:pStyle w:val="indent-1"/>
        <w:ind w:left="180"/>
      </w:pPr>
      <w:r>
        <w:rPr>
          <w:rStyle w:val="paren"/>
        </w:rPr>
        <w:t>(</w:t>
      </w:r>
      <w:r>
        <w:rPr>
          <w:rStyle w:val="paragraph-hierarchy"/>
        </w:rPr>
        <w:t>b</w:t>
      </w:r>
      <w:r>
        <w:rPr>
          <w:rStyle w:val="paren"/>
        </w:rPr>
        <w:t>)</w:t>
      </w:r>
      <w:r>
        <w:t xml:space="preserve"> [Reserved]</w:t>
      </w:r>
    </w:p>
    <w:p w:rsidR="003065CE" w:rsidRPr="003065CE" w:rsidP="003065CE" w14:paraId="4B918DC5" w14:textId="77777777">
      <w:pPr>
        <w:spacing w:before="100" w:beforeAutospacing="1" w:after="100" w:afterAutospacing="1" w:line="240" w:lineRule="auto"/>
        <w:rPr>
          <w:rFonts w:ascii="Times New Roman" w:eastAsia="Times New Roman" w:hAnsi="Times New Roman" w:cs="Times New Roman"/>
          <w:sz w:val="24"/>
          <w:szCs w:val="24"/>
        </w:rPr>
      </w:pPr>
    </w:p>
    <w:p w:rsidR="00EC2677" w:rsidRPr="003065CE" w14:paraId="3FF2F6A4" w14:textId="77777777">
      <w:pPr>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7"/>
    <w:rsid w:val="003065CE"/>
    <w:rsid w:val="00753C80"/>
    <w:rsid w:val="00EC26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96405"/>
  <w15:chartTrackingRefBased/>
  <w15:docId w15:val="{5BB2C9E2-D377-472B-A74F-0A00A571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06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5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065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65CE"/>
    <w:rPr>
      <w:color w:val="0000FF"/>
      <w:u w:val="single"/>
    </w:rPr>
  </w:style>
  <w:style w:type="paragraph" w:customStyle="1" w:styleId="indent-1">
    <w:name w:val="indent-1"/>
    <w:basedOn w:val="Normal"/>
    <w:rsid w:val="00306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065CE"/>
  </w:style>
  <w:style w:type="character" w:customStyle="1" w:styleId="paren">
    <w:name w:val="paren"/>
    <w:basedOn w:val="DefaultParagraphFont"/>
    <w:rsid w:val="003065CE"/>
  </w:style>
  <w:style w:type="character" w:styleId="Emphasis">
    <w:name w:val="Emphasis"/>
    <w:basedOn w:val="DefaultParagraphFont"/>
    <w:uiPriority w:val="20"/>
    <w:qFormat/>
    <w:rsid w:val="003065CE"/>
    <w:rPr>
      <w:i/>
      <w:iCs/>
    </w:rPr>
  </w:style>
  <w:style w:type="paragraph" w:customStyle="1" w:styleId="indent-2">
    <w:name w:val="indent-2"/>
    <w:basedOn w:val="Normal"/>
    <w:rsid w:val="003065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3065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50/section-600.725" TargetMode="External" /><Relationship Id="rId5" Type="http://schemas.openxmlformats.org/officeDocument/2006/relationships/hyperlink" Target="https://www.ecfr.gov/current/title-50/section-660.20" TargetMode="External" /><Relationship Id="rId6" Type="http://schemas.openxmlformats.org/officeDocument/2006/relationships/hyperlink" Target="https://www.ecfr.gov/current/title-50/part-660/section-660.311" TargetMode="External" /><Relationship Id="rId7" Type="http://schemas.openxmlformats.org/officeDocument/2006/relationships/hyperlink" Target="https://www.ecfr.gov/current/title-50/section-660.319"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Gretchen.Hanshew</dc:creator>
  <cp:lastModifiedBy>Gretchen.Hanshew</cp:lastModifiedBy>
  <cp:revision>3</cp:revision>
  <dcterms:created xsi:type="dcterms:W3CDTF">2024-11-25T19:49:00Z</dcterms:created>
  <dcterms:modified xsi:type="dcterms:W3CDTF">2024-11-25T19:55:00Z</dcterms:modified>
</cp:coreProperties>
</file>