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005D" w:rsidRPr="004D52BC" w:rsidP="00CA005D" w14:paraId="6441BB7B" w14:textId="77777777">
      <w:pPr>
        <w:jc w:val="center"/>
      </w:pPr>
      <w:bookmarkStart w:id="0" w:name="_Toc49148152"/>
      <w:r w:rsidRPr="004D52BC">
        <w:t>U.S. Environmental Protection Agency</w:t>
      </w:r>
    </w:p>
    <w:p w:rsidR="00CA005D" w:rsidRPr="004D52BC" w:rsidP="00CA005D" w14:paraId="48C25019" w14:textId="77777777">
      <w:pPr>
        <w:jc w:val="center"/>
      </w:pPr>
      <w:r w:rsidRPr="004D52BC">
        <w:t>Information Collection Request</w:t>
      </w:r>
    </w:p>
    <w:p w:rsidR="00CA005D" w:rsidRPr="004D52BC" w:rsidP="00CA005D" w14:paraId="6187B6EE" w14:textId="77777777">
      <w:pPr>
        <w:rPr>
          <w:b/>
          <w:bCs/>
        </w:rPr>
      </w:pPr>
    </w:p>
    <w:p w:rsidR="00CA005D" w:rsidRPr="004D52BC" w:rsidP="00CA005D" w14:paraId="2E81BF39" w14:textId="10E672EB">
      <w:r w:rsidRPr="004D52BC">
        <w:rPr>
          <w:b/>
          <w:bCs/>
        </w:rPr>
        <w:t>Title:</w:t>
      </w:r>
      <w:r w:rsidRPr="004D52BC">
        <w:t xml:space="preserve"> </w:t>
      </w:r>
      <w:r w:rsidRPr="00E56F3E" w:rsidR="00E56F3E">
        <w:t>Waste Emissions Charge for Petroleum and Natural Gas Systems: Procedures for Facilitating Payment, Including Netting and Exemptions</w:t>
      </w:r>
      <w:r w:rsidRPr="004D52BC" w:rsidR="0072662F">
        <w:t xml:space="preserve">; </w:t>
      </w:r>
      <w:r w:rsidRPr="004D52BC" w:rsidR="00E37208">
        <w:t>Final</w:t>
      </w:r>
      <w:r w:rsidRPr="004D52BC" w:rsidR="0072662F">
        <w:t xml:space="preserve"> rule</w:t>
      </w:r>
    </w:p>
    <w:p w:rsidR="00CA005D" w:rsidRPr="004D52BC" w:rsidP="00CA005D" w14:paraId="4291C3BA" w14:textId="4AB381EB">
      <w:r w:rsidRPr="004D52BC">
        <w:rPr>
          <w:b/>
          <w:bCs/>
        </w:rPr>
        <w:t>OMB Control Number:</w:t>
      </w:r>
      <w:r w:rsidRPr="004D52BC">
        <w:t xml:space="preserve"> 2060-</w:t>
      </w:r>
      <w:r w:rsidR="00837805">
        <w:t>0752</w:t>
      </w:r>
    </w:p>
    <w:p w:rsidR="00CA005D" w:rsidRPr="004D52BC" w:rsidP="00CA005D" w14:paraId="6D0E7E20" w14:textId="3D276F01">
      <w:pPr>
        <w:spacing w:before="240"/>
      </w:pPr>
      <w:r w:rsidRPr="004D52BC">
        <w:rPr>
          <w:b/>
          <w:bCs/>
        </w:rPr>
        <w:t>EPA ICR Number:</w:t>
      </w:r>
      <w:r w:rsidRPr="004D52BC">
        <w:t xml:space="preserve"> </w:t>
      </w:r>
      <w:r w:rsidR="0028714E">
        <w:t>2787.02</w:t>
      </w:r>
    </w:p>
    <w:p w:rsidR="004D52BC" w:rsidRPr="004D52BC" w:rsidP="004D52BC" w14:paraId="6464383B" w14:textId="77777777">
      <w:pPr>
        <w:spacing w:after="240"/>
        <w:outlineLvl w:val="0"/>
      </w:pPr>
      <w:r w:rsidRPr="004D52BC">
        <w:rPr>
          <w:rFonts w:eastAsiaTheme="minorEastAsia"/>
          <w:b/>
          <w:bCs/>
        </w:rPr>
        <w:t>Abstract:</w:t>
      </w:r>
      <w:r w:rsidRPr="004D52BC">
        <w:t xml:space="preserve"> </w:t>
      </w:r>
      <w:r w:rsidRPr="004D52BC">
        <w:t>In August 2022, Congress passed, and President Biden signed, the Inflation Reduction Act of 2022 (IRA) into law. Section 60113 of the IRA amended the Clean Air Act (CAA) by adding section 136, “Methane Emissions and Waste Reduction Incentive Program for Petroleum and Natural Gas Systems.” CAA section 136(c) directs the Administrator of the EPA to impose and collect a “Waste Emissions Charge” (hereafter referred to as “WEC” or “charge”) on</w:t>
      </w:r>
      <w:r w:rsidRPr="004D52BC">
        <w:t xml:space="preserve"> </w:t>
      </w:r>
      <w:r w:rsidRPr="004D52BC">
        <w:t>methane emissions that exceed statutorily specified waste emissions thresholds from an owner or operator of an applicable facility. CAA section 136(g) directs the EPA to begin imposition and collection of charge with respect to emissions reported for calendar year 2024 and for each year thereafter.</w:t>
      </w:r>
    </w:p>
    <w:p w:rsidR="004D52BC" w:rsidRPr="004D52BC" w:rsidP="004D52BC" w14:paraId="73CE2B70" w14:textId="77777777">
      <w:pPr>
        <w:spacing w:after="240"/>
        <w:ind w:firstLine="720"/>
      </w:pPr>
      <w:r w:rsidRPr="004D52BC">
        <w:t>The charge applies to facilities that report more than 25,000 metric tons (mt) carbon dioxide equivalent (CO</w:t>
      </w:r>
      <w:r w:rsidRPr="004D52BC">
        <w:rPr>
          <w:vertAlign w:val="subscript"/>
        </w:rPr>
        <w:t>2</w:t>
      </w:r>
      <w:r w:rsidRPr="004D52BC">
        <w:t xml:space="preserve">e) of greenhouse gases (GHG) emitted per year pursuant to the Greenhouse Gas Reporting Rule’s (GHGRP) requirements for the petroleum and natural gas systems source category (codified as 40 CFR part 98, subpart W). An applicable facility, as defined in CAA section 136(d), is a facility within the following segments (as the following industry segments are defined in part 98, subpart W): onshore petroleum and natural gas production, offshore petroleum and natural gas production, onshore natural gas processing, onshore petroleum and natural gas gathering and boosting, onshore gas transmission compression, onshore natural gas transmission pipeline, underground natural gas storage, liquefied natural gas import and export equipment, and liquefied natural gas storage. Congress structured the charge so that it focuses on large oil and gas facilities.  </w:t>
      </w:r>
    </w:p>
    <w:p w:rsidR="00C45F02" w:rsidRPr="004D52BC" w:rsidP="0085687F" w14:paraId="0B24FA4F" w14:textId="6D528A0F">
      <w:pPr>
        <w:spacing w:after="240"/>
        <w:ind w:firstLine="720"/>
      </w:pPr>
      <w:r w:rsidRPr="004D52BC">
        <w:t xml:space="preserve">To implement the charge requirements of CAA section 136, the EPA proposed the “Waste Emissions Charge for Petroleum and Natural Gas Systems; Proposed rule” </w:t>
      </w:r>
      <w:r w:rsidR="002A011B">
        <w:t>on January 26, 2024 (89 FR 5318)</w:t>
      </w:r>
      <w:r w:rsidRPr="004D52BC">
        <w:t xml:space="preserve">. The regulations for the waste emissions charge </w:t>
      </w:r>
      <w:r w:rsidR="002A011B">
        <w:t>were</w:t>
      </w:r>
      <w:r w:rsidRPr="004D52BC" w:rsidR="002A011B">
        <w:t xml:space="preserve"> </w:t>
      </w:r>
      <w:r w:rsidRPr="004D52BC">
        <w:t xml:space="preserve">proposed to be codified at 40 CFR part 99 (hereafter referred to as “part 99”). </w:t>
      </w:r>
      <w:r w:rsidR="00BC1822">
        <w:t>After consideration of public comment</w:t>
      </w:r>
      <w:r w:rsidR="00837805">
        <w:t>s</w:t>
      </w:r>
      <w:r w:rsidR="00BC1822">
        <w:t xml:space="preserve"> received, the EPA </w:t>
      </w:r>
      <w:r w:rsidR="004D7A8C">
        <w:t xml:space="preserve">has published the </w:t>
      </w:r>
      <w:r w:rsidRPr="004D52BC" w:rsidR="004D7A8C">
        <w:t xml:space="preserve">“Waste Emissions Charge for Petroleum and Natural Gas Systems; </w:t>
      </w:r>
      <w:r w:rsidR="00626CD6">
        <w:t>Final</w:t>
      </w:r>
      <w:r w:rsidRPr="004D52BC" w:rsidR="004D7A8C">
        <w:t xml:space="preserve"> </w:t>
      </w:r>
      <w:r w:rsidR="001872AE">
        <w:t>r</w:t>
      </w:r>
      <w:r w:rsidRPr="004D52BC" w:rsidR="004D7A8C">
        <w:t>ule”</w:t>
      </w:r>
      <w:r w:rsidR="00150DCD">
        <w:t xml:space="preserve"> (hereafter referred to as the “final rule” or “WEC rule”). </w:t>
      </w:r>
      <w:r w:rsidRPr="004D52BC">
        <w:t xml:space="preserve">This supporting statement addresses information collection activities that </w:t>
      </w:r>
      <w:r w:rsidR="00FF04F6">
        <w:t>will</w:t>
      </w:r>
      <w:r w:rsidRPr="004D52BC">
        <w:t xml:space="preserve"> be imposed by the </w:t>
      </w:r>
      <w:r w:rsidR="002A011B">
        <w:t>final</w:t>
      </w:r>
      <w:r w:rsidRPr="004D52BC" w:rsidR="002A011B">
        <w:t xml:space="preserve"> </w:t>
      </w:r>
      <w:r w:rsidRPr="004D52BC">
        <w:t xml:space="preserve">rule. Under the </w:t>
      </w:r>
      <w:r w:rsidR="001872AE">
        <w:t>final</w:t>
      </w:r>
      <w:r w:rsidRPr="004D52BC" w:rsidR="001872AE">
        <w:t xml:space="preserve"> </w:t>
      </w:r>
      <w:r w:rsidRPr="004D52BC">
        <w:t xml:space="preserve">rule, calculation, reporting, and recordkeeping requirements </w:t>
      </w:r>
      <w:r w:rsidR="00FF04F6">
        <w:t>will</w:t>
      </w:r>
      <w:r w:rsidRPr="004D52BC">
        <w:t xml:space="preserve"> apply to the entity (designated in the </w:t>
      </w:r>
      <w:r w:rsidR="001872AE">
        <w:t>final</w:t>
      </w:r>
      <w:r w:rsidRPr="004D52BC">
        <w:t xml:space="preserve"> rule as the “WEC obligated party”) responsible for each applicable facility that reports emissions greater than 25,000 mt CO</w:t>
      </w:r>
      <w:r w:rsidRPr="004D52BC">
        <w:rPr>
          <w:vertAlign w:val="subscript"/>
        </w:rPr>
        <w:t>2</w:t>
      </w:r>
      <w:r w:rsidRPr="004D52BC">
        <w:t xml:space="preserve">e of GHG to subpart W of the GHGRP (designated as a “WEC applicable facility”). CAA section 136(f)(4) allows for the netting of charge obligation for applicable facilities under common ownership or control. Therefore, the WEC obligated parties are the respondents for the information collection activities in this supporting statement. Respondents </w:t>
      </w:r>
      <w:r w:rsidR="00FF04F6">
        <w:t>will</w:t>
      </w:r>
      <w:r w:rsidRPr="004D52BC">
        <w:t xml:space="preserve"> be required to submit an annual filing (hereafter referred to as the “WEC filing” or “filing”) containing data necessary to determine the proper amount of charge due under the </w:t>
      </w:r>
      <w:r w:rsidR="001872AE">
        <w:t>final</w:t>
      </w:r>
      <w:r w:rsidRPr="004D52BC">
        <w:t xml:space="preserve"> rule. The contents of this filing include information </w:t>
      </w:r>
      <w:r w:rsidRPr="004D52BC">
        <w:t>identifying the WEC applicable facilities that the WEC obligated party is reporting for, the quantity of emissions subject to charge, quantification of emissions eligible for exemption and supporting documentation for the unreasonable delay exemption provided by CAA section 136(f)(5), supporting documentation for the regulatory compliance exemption provided by CAA section 136(f)(6), and quantification of emissions eligible for exemption and supporting documentation for the plugged well exemption provided by CAA section 136(f)(7).</w:t>
      </w:r>
      <w:r w:rsidR="0085687F">
        <w:t xml:space="preserve"> </w:t>
      </w:r>
      <w:r w:rsidR="008671EE">
        <w:t xml:space="preserve">In addition to the </w:t>
      </w:r>
      <w:r w:rsidR="00CF1AD5">
        <w:t xml:space="preserve">final requirements </w:t>
      </w:r>
      <w:r w:rsidR="004E7474">
        <w:t xml:space="preserve">codified at 40 CFR part 99, the final rule amended </w:t>
      </w:r>
      <w:r w:rsidR="000F0051">
        <w:t xml:space="preserve">40 CFR part 98, subpart A </w:t>
      </w:r>
      <w:r w:rsidR="00116001">
        <w:t xml:space="preserve">to harmonize reporting obligations under </w:t>
      </w:r>
      <w:r w:rsidR="00017C2E">
        <w:t>part 98 and part 99.</w:t>
      </w:r>
      <w:r w:rsidR="00997AE4">
        <w:t xml:space="preserve"> These amendments include an additional reported data element</w:t>
      </w:r>
      <w:r w:rsidR="00AA0DB5">
        <w:t xml:space="preserve"> (a list of owners and operators of the facility</w:t>
      </w:r>
      <w:r w:rsidR="004E1268">
        <w:t>)</w:t>
      </w:r>
      <w:r w:rsidR="00997AE4">
        <w:t xml:space="preserve"> </w:t>
      </w:r>
      <w:r w:rsidR="00786442">
        <w:t>in the</w:t>
      </w:r>
      <w:r w:rsidR="00997AE4">
        <w:t xml:space="preserve"> part 98 report submitted each year by </w:t>
      </w:r>
      <w:r w:rsidR="00BB5901">
        <w:t xml:space="preserve">facilities subject to reporting </w:t>
      </w:r>
      <w:r w:rsidR="00AA0DB5">
        <w:t>under subpart W of the GHGRP.</w:t>
      </w:r>
    </w:p>
    <w:p w:rsidR="00CA005D" w:rsidRPr="004D52BC" w:rsidP="004D52BC" w14:paraId="5B639D72" w14:textId="766FA0A6">
      <w:pPr>
        <w:spacing w:after="240"/>
        <w:ind w:firstLine="720"/>
      </w:pPr>
      <w:r w:rsidRPr="001368A6">
        <w:t xml:space="preserve">This </w:t>
      </w:r>
      <w:r w:rsidRPr="001368A6" w:rsidR="001872AE">
        <w:t xml:space="preserve">final </w:t>
      </w:r>
      <w:r w:rsidRPr="001368A6">
        <w:t xml:space="preserve">information collection </w:t>
      </w:r>
      <w:r w:rsidRPr="001368A6" w:rsidR="00FF04F6">
        <w:t>will</w:t>
      </w:r>
      <w:r w:rsidRPr="001368A6">
        <w:t xml:space="preserve"> result in an annual average of </w:t>
      </w:r>
      <w:r w:rsidRPr="001368A6" w:rsidR="00E722D7">
        <w:t>12,</w:t>
      </w:r>
      <w:r w:rsidR="00491CCF">
        <w:t>737</w:t>
      </w:r>
      <w:r w:rsidRPr="001368A6">
        <w:t xml:space="preserve"> hours and $</w:t>
      </w:r>
      <w:r w:rsidR="004C385E">
        <w:t>1,7</w:t>
      </w:r>
      <w:r w:rsidR="009449AD">
        <w:t>39</w:t>
      </w:r>
      <w:r w:rsidR="004C385E">
        <w:t>,8</w:t>
      </w:r>
      <w:r w:rsidR="00A11C50">
        <w:t>60</w:t>
      </w:r>
      <w:r w:rsidR="00AC3C10">
        <w:t xml:space="preserve"> </w:t>
      </w:r>
      <w:r w:rsidRPr="001368A6">
        <w:t>over the three years covered by this information collection, which includes an annual average of $</w:t>
      </w:r>
      <w:r w:rsidR="004C385E">
        <w:t>1,7</w:t>
      </w:r>
      <w:r w:rsidR="00A11C50">
        <w:t>09,365</w:t>
      </w:r>
      <w:r w:rsidRPr="001368A6">
        <w:t xml:space="preserve"> in labor costs, $0 in operation and maintenance costs, and $</w:t>
      </w:r>
      <w:r w:rsidRPr="001368A6" w:rsidR="007C3AE9">
        <w:t>30,495</w:t>
      </w:r>
      <w:r w:rsidRPr="001368A6">
        <w:t xml:space="preserve"> in capital costs. The annual average incremental burden to the EPA for this period is anticipated at 31,200 hours and $</w:t>
      </w:r>
      <w:r w:rsidRPr="001368A6" w:rsidR="007E6752">
        <w:t>5,78</w:t>
      </w:r>
      <w:r w:rsidRPr="001368A6" w:rsidR="00EF5C87">
        <w:t>3</w:t>
      </w:r>
      <w:r w:rsidRPr="001368A6" w:rsidR="007E6752">
        <w:t>,774</w:t>
      </w:r>
      <w:r w:rsidRPr="001368A6">
        <w:t xml:space="preserve"> ($</w:t>
      </w:r>
      <w:r w:rsidRPr="001368A6" w:rsidR="00BE1487">
        <w:t>2024</w:t>
      </w:r>
      <w:r w:rsidRPr="001368A6">
        <w:t>) over the three years covered by this information collection, which includes an annual average of $</w:t>
      </w:r>
      <w:r w:rsidRPr="001368A6" w:rsidR="002F3F55">
        <w:t>2,117,107</w:t>
      </w:r>
      <w:r w:rsidRPr="001368A6">
        <w:t xml:space="preserve"> in labor costs and $3,666,667 in non-labor costs.</w:t>
      </w:r>
    </w:p>
    <w:p w:rsidR="00CA005D" w:rsidRPr="004D52BC" w:rsidP="00CA005D" w14:paraId="179BFB8D" w14:textId="77777777">
      <w:pPr>
        <w:spacing w:before="240"/>
        <w:rPr>
          <w:color w:val="000000"/>
        </w:rPr>
      </w:pPr>
    </w:p>
    <w:p w:rsidR="00CA005D" w:rsidRPr="004D52BC" w:rsidP="008D1380" w14:paraId="560E2198" w14:textId="77777777">
      <w:pPr>
        <w:pStyle w:val="Heading10"/>
      </w:pPr>
      <w:r w:rsidRPr="004D52BC">
        <w:t>Supporting Statement A</w:t>
      </w:r>
      <w:bookmarkEnd w:id="0"/>
    </w:p>
    <w:p w:rsidR="00CA005D" w:rsidRPr="004D52BC" w:rsidP="008D1380" w14:paraId="772BA818" w14:textId="77777777">
      <w:pPr>
        <w:pStyle w:val="Heading20"/>
      </w:pPr>
      <w:bookmarkStart w:id="1" w:name="_Toc156593368"/>
      <w:r w:rsidRPr="004D52BC">
        <w:t>NEED AND AUTHORITY FOR THE COLLECTION</w:t>
      </w:r>
      <w:bookmarkEnd w:id="1"/>
    </w:p>
    <w:p w:rsidR="00CA005D" w:rsidRPr="004D52BC" w:rsidP="00CA005D" w14:paraId="60DCA5CA" w14:textId="77777777">
      <w:pPr>
        <w:pBdr>
          <w:bottom w:val="single" w:sz="4" w:space="1" w:color="auto"/>
        </w:pBdr>
        <w:spacing w:before="60"/>
        <w:rPr>
          <w:i/>
          <w:iCs/>
        </w:rPr>
      </w:pPr>
      <w:r w:rsidRPr="004D52BC">
        <w:rPr>
          <w:i/>
          <w:iCs/>
          <w:color w:val="000000"/>
          <w:shd w:val="clear" w:color="auto" w:fill="FFFFFF"/>
        </w:rPr>
        <w:t>Explain the circumstances that make the collection of information necessary. Identify any legal or administrative requirements that necessitate the collection.</w:t>
      </w:r>
    </w:p>
    <w:p w:rsidR="00D15D64" w:rsidP="00D15D64" w14:paraId="678BADD9" w14:textId="25155161">
      <w:pPr>
        <w:ind w:firstLine="720"/>
      </w:pPr>
      <w:bookmarkStart w:id="2" w:name="_Toc156593369"/>
      <w:r w:rsidRPr="001B0264">
        <w:t xml:space="preserve">The EPA is </w:t>
      </w:r>
      <w:r w:rsidR="008D5907">
        <w:t>finalizing</w:t>
      </w:r>
      <w:r w:rsidRPr="001B0264" w:rsidR="008D5907">
        <w:t xml:space="preserve"> </w:t>
      </w:r>
      <w:r w:rsidRPr="001B0264">
        <w:t>this information collection under its existing CAA</w:t>
      </w:r>
      <w:r>
        <w:t xml:space="preserve"> </w:t>
      </w:r>
      <w:r w:rsidRPr="001B0264">
        <w:t>authority provided in CAA section 114</w:t>
      </w:r>
      <w:r>
        <w:t xml:space="preserve"> and section 301, as well as newly established authority provided in section 136</w:t>
      </w:r>
      <w:r w:rsidRPr="001B0264">
        <w:t xml:space="preserve">. </w:t>
      </w:r>
      <w:r w:rsidRPr="009253CD">
        <w:t xml:space="preserve">As noted in section </w:t>
      </w:r>
      <w:r w:rsidR="00C10F9C">
        <w:t>2</w:t>
      </w:r>
      <w:r>
        <w:t xml:space="preserve"> of this supporting statement</w:t>
      </w:r>
      <w:r w:rsidRPr="009253CD">
        <w:t xml:space="preserve">, the IRA added CAA section 136, “Methane Emissions and Waste Reduction Incentive Program for Petroleum and Natural </w:t>
      </w:r>
      <w:r w:rsidRPr="006B04C2">
        <w:t>Gas Systems,” which</w:t>
      </w:r>
      <w:r w:rsidRPr="009253CD">
        <w:t xml:space="preserve"> requires that the EPA impose and collect a</w:t>
      </w:r>
      <w:r>
        <w:t>n annual</w:t>
      </w:r>
      <w:r w:rsidRPr="009253CD">
        <w:t xml:space="preserve"> </w:t>
      </w:r>
      <w:r>
        <w:t xml:space="preserve">specified </w:t>
      </w:r>
      <w:r w:rsidRPr="009253CD">
        <w:t xml:space="preserve">charge on </w:t>
      </w:r>
      <w:r>
        <w:t>methane</w:t>
      </w:r>
      <w:r>
        <w:rPr>
          <w:vertAlign w:val="subscript"/>
        </w:rPr>
        <w:t xml:space="preserve"> </w:t>
      </w:r>
      <w:r w:rsidRPr="009253CD">
        <w:t>emissions that exceed an applicable waste emissions threshold from an owner or operator of an applicable facility that reports more than 25,000 mt of CO</w:t>
      </w:r>
      <w:r w:rsidRPr="009253CD">
        <w:rPr>
          <w:vertAlign w:val="subscript"/>
        </w:rPr>
        <w:t>2</w:t>
      </w:r>
      <w:r w:rsidRPr="009253CD">
        <w:t xml:space="preserve">e of </w:t>
      </w:r>
      <w:r>
        <w:t>GHG</w:t>
      </w:r>
      <w:r w:rsidRPr="009253CD">
        <w:t xml:space="preserve"> emitted per year pursuant to subpart W of the GHGRP.</w:t>
      </w:r>
    </w:p>
    <w:p w:rsidR="00D15D64" w:rsidP="00D15D64" w14:paraId="7499562A" w14:textId="77777777">
      <w:pPr>
        <w:ind w:firstLine="720"/>
      </w:pPr>
    </w:p>
    <w:p w:rsidR="00D15D64" w:rsidP="00D15D64" w14:paraId="398B7E85" w14:textId="48B983D1">
      <w:pPr>
        <w:ind w:firstLine="720"/>
      </w:pPr>
      <w:r>
        <w:t xml:space="preserve">CAA section 114(a)(1) authorizes the Administrator to require emissions sources, persons subject to the CAA, or persons whom the Administrator believes may have necessary information to monitor and report emissions and provide such other information the Administrator requests for the purposes of carrying out any provision of the CAA (except for a provision of title II with respect to manufacturers of new motor vehicles or new motor vehicle engines). Thus, CAA section 114(a)(1) provides the EPA broad authority to require the information </w:t>
      </w:r>
      <w:r w:rsidR="007B6893">
        <w:t>in</w:t>
      </w:r>
      <w:r>
        <w:t xml:space="preserve"> this </w:t>
      </w:r>
      <w:r w:rsidR="001872AE">
        <w:t>final</w:t>
      </w:r>
      <w:r>
        <w:t xml:space="preserve"> rule because the information is relevant for carrying out CAA section 136. Additionally, CAA section 301(a)(1) provides that the EPA is authorized to prescribe such regulations “as are necessary to carry out [its] functions under [the CAA].”</w:t>
      </w:r>
    </w:p>
    <w:p w:rsidR="00D15D64" w:rsidRPr="001B0264" w:rsidP="00D15D64" w14:paraId="3781987F" w14:textId="77777777">
      <w:pPr>
        <w:autoSpaceDE w:val="0"/>
        <w:autoSpaceDN w:val="0"/>
        <w:adjustRightInd w:val="0"/>
      </w:pPr>
    </w:p>
    <w:p w:rsidR="00D15D64" w:rsidP="00D15D64" w14:paraId="01C4145C" w14:textId="10470BB1">
      <w:pPr>
        <w:ind w:firstLine="720"/>
      </w:pPr>
      <w:r w:rsidRPr="006D6997">
        <w:t>This</w:t>
      </w:r>
      <w:r w:rsidRPr="001B0264">
        <w:t xml:space="preserve"> </w:t>
      </w:r>
      <w:r>
        <w:t xml:space="preserve">information collection under the </w:t>
      </w:r>
      <w:r w:rsidR="001872AE">
        <w:t>final</w:t>
      </w:r>
      <w:r>
        <w:t xml:space="preserve"> rule is necessary for the EPA to implement the charge requirements of CAA section 136. The filing required by the </w:t>
      </w:r>
      <w:r w:rsidR="001872AE">
        <w:t>final</w:t>
      </w:r>
      <w:r>
        <w:t xml:space="preserve"> rule contain</w:t>
      </w:r>
      <w:r w:rsidR="00FF04F6">
        <w:t>s</w:t>
      </w:r>
      <w:r>
        <w:t xml:space="preserve"> information identifying the WEC obligated party, the list of identification numbers assigned by the EPA’s electronic tool for submission of GHGRP reports for the WEC applicable facilities under the WEC obligated party, and for each WEC applicable facility, information related to the exemptions provided for under CAA section 136(f). Additionally, the filing include</w:t>
      </w:r>
      <w:r w:rsidR="00FF04F6">
        <w:t>s</w:t>
      </w:r>
      <w:r>
        <w:t xml:space="preserve"> calculations of the waste emissions threshold for each WEC applicable facility and emissions subject to charge at the level of the WEC obligated party (designated as “net WEC emissions”) and at the individual WEC applicable facility level (designated as “WEC applicable emissions”). Each of these </w:t>
      </w:r>
      <w:r w:rsidR="001872AE">
        <w:t>final</w:t>
      </w:r>
      <w:r>
        <w:t xml:space="preserve"> reporting requirements are necessary for EPA to determine the quantity of methane emissions subject to charge. To reduce the burden of data reporting under the </w:t>
      </w:r>
      <w:r w:rsidR="001872AE">
        <w:t>final</w:t>
      </w:r>
      <w:r>
        <w:t xml:space="preserve"> rule, the EPA plans to utilize the identification numbers reported in the </w:t>
      </w:r>
      <w:r w:rsidR="001872AE">
        <w:t>final</w:t>
      </w:r>
      <w:r>
        <w:t xml:space="preserve"> rule to link to data reported under the GHGRP.</w:t>
      </w:r>
      <w:r w:rsidR="001D41A6">
        <w:t xml:space="preserve"> Additionally, the final rule amended 40 CFR part 98, subpart A to harmonize reporting obligations under part 98 and part 99</w:t>
      </w:r>
      <w:r w:rsidR="001C07CC">
        <w:t>.</w:t>
      </w:r>
    </w:p>
    <w:p w:rsidR="00D15D64" w:rsidP="00D15D64" w14:paraId="5A4DC731" w14:textId="77777777">
      <w:pPr>
        <w:ind w:firstLine="720"/>
      </w:pPr>
    </w:p>
    <w:p w:rsidR="00CA005D" w:rsidRPr="004D52BC" w:rsidP="00D15D64" w14:paraId="5B89526E" w14:textId="1FDCA38B">
      <w:pPr>
        <w:pStyle w:val="BodyTextFirstline05"/>
        <w:rPr>
          <w:rFonts w:eastAsiaTheme="minorEastAsia"/>
          <w:szCs w:val="24"/>
        </w:rPr>
      </w:pPr>
      <w:r w:rsidRPr="00734553">
        <w:t>The</w:t>
      </w:r>
      <w:r>
        <w:t xml:space="preserve"> </w:t>
      </w:r>
      <w:r w:rsidR="001872AE">
        <w:t>final</w:t>
      </w:r>
      <w:r w:rsidRPr="00734553">
        <w:t xml:space="preserve"> </w:t>
      </w:r>
      <w:r>
        <w:t>rule</w:t>
      </w:r>
      <w:r w:rsidRPr="00734553">
        <w:t xml:space="preserve"> also </w:t>
      </w:r>
      <w:r>
        <w:t>establishes</w:t>
      </w:r>
      <w:r w:rsidRPr="00734553">
        <w:t xml:space="preserve"> confidentiality determinations for the reporting of certain data elements to be added in these </w:t>
      </w:r>
      <w:r w:rsidR="001872AE">
        <w:t>final</w:t>
      </w:r>
      <w:r w:rsidRPr="00734553">
        <w:t xml:space="preserve"> revisions</w:t>
      </w:r>
      <w:r>
        <w:t xml:space="preserve">. </w:t>
      </w:r>
      <w:r w:rsidRPr="001B0264">
        <w:t xml:space="preserve">The </w:t>
      </w:r>
      <w:r w:rsidR="001872AE">
        <w:t>final</w:t>
      </w:r>
      <w:r w:rsidRPr="001B0264">
        <w:t xml:space="preserve"> </w:t>
      </w:r>
      <w:r>
        <w:t>rule</w:t>
      </w:r>
      <w:r w:rsidRPr="001B0264">
        <w:t xml:space="preserve"> </w:t>
      </w:r>
      <w:r>
        <w:t>ensure</w:t>
      </w:r>
      <w:r w:rsidR="00164C84">
        <w:t>s</w:t>
      </w:r>
      <w:r w:rsidRPr="001B0264">
        <w:t xml:space="preserve"> the quality of the data collected </w:t>
      </w:r>
      <w:r>
        <w:t>for implementation of the charge under CAA section 136</w:t>
      </w:r>
      <w:r w:rsidRPr="001B0264">
        <w:t>.</w:t>
      </w:r>
    </w:p>
    <w:p w:rsidR="00CA005D" w:rsidRPr="004D52BC" w:rsidP="00FF3ABD" w14:paraId="3E2C1C47" w14:textId="783C3772">
      <w:pPr>
        <w:pStyle w:val="ListParagraph"/>
        <w:numPr>
          <w:ilvl w:val="0"/>
          <w:numId w:val="13"/>
        </w:numPr>
        <w:pBdr>
          <w:bottom w:val="single" w:sz="4" w:space="1" w:color="auto"/>
        </w:pBdr>
        <w:spacing w:before="240" w:line="259" w:lineRule="auto"/>
        <w:outlineLvl w:val="1"/>
        <w:rPr>
          <w:b/>
          <w:bCs/>
        </w:rPr>
      </w:pPr>
      <w:r w:rsidRPr="004D52BC">
        <w:rPr>
          <w:b/>
          <w:bCs/>
        </w:rPr>
        <w:t>PRACTICAL UTILITY/USERS OF THE DATA</w:t>
      </w:r>
      <w:bookmarkEnd w:id="2"/>
    </w:p>
    <w:p w:rsidR="00CA005D" w:rsidRPr="004D52BC" w:rsidP="00CA005D" w14:paraId="3D45B339" w14:textId="77777777">
      <w:pPr>
        <w:pBdr>
          <w:bottom w:val="single" w:sz="4" w:space="1" w:color="auto"/>
        </w:pBdr>
        <w:spacing w:before="60"/>
        <w:rPr>
          <w:i/>
          <w:iCs/>
          <w:color w:val="000000"/>
          <w:shd w:val="clear" w:color="auto" w:fill="FFFFFF"/>
        </w:rPr>
      </w:pPr>
      <w:r w:rsidRPr="004D52BC">
        <w:rPr>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A005D" w:rsidRPr="00760E04" w:rsidP="00760E04" w14:paraId="2AD68BDB" w14:textId="37924AD1">
      <w:pPr>
        <w:ind w:firstLine="720"/>
        <w:rPr>
          <w:shd w:val="clear" w:color="auto" w:fill="FFFFFF"/>
        </w:rPr>
      </w:pPr>
      <w:r w:rsidRPr="001B0264">
        <w:t xml:space="preserve">The </w:t>
      </w:r>
      <w:r w:rsidR="001872AE">
        <w:t>final</w:t>
      </w:r>
      <w:r w:rsidRPr="001B0264">
        <w:t xml:space="preserve"> </w:t>
      </w:r>
      <w:r>
        <w:t>rule provide</w:t>
      </w:r>
      <w:r w:rsidR="00FF04F6">
        <w:t>s</w:t>
      </w:r>
      <w:r>
        <w:t xml:space="preserve"> EPA with information necessary to implement the WEC under CAA section 136. CAA section 136(c) and (g) require that EPA impose and collect the WEC on an annual basis, based upon emissions reported annually to the GHGRP. Further, CAA section 136(f)(5), (f)(6), and (f)(7) mandate that EPA shall exclude from charge certain applicable facilities, or portions of methane emissions from applicable facilities, that meet specified requirements. </w:t>
      </w:r>
      <w:r w:rsidRPr="006D6997">
        <w:t>EPA</w:t>
      </w:r>
      <w:r>
        <w:t xml:space="preserve"> will use the information collected under this </w:t>
      </w:r>
      <w:r w:rsidR="001872AE">
        <w:t>final</w:t>
      </w:r>
      <w:r>
        <w:t xml:space="preserve"> rule to carry out a statutory obligation</w:t>
      </w:r>
      <w:r w:rsidRPr="006D6997">
        <w:t xml:space="preserve"> to impose and collect a charge on methane emissions</w:t>
      </w:r>
      <w:r>
        <w:t>, inclusive of specified exemptions.</w:t>
      </w:r>
    </w:p>
    <w:p w:rsidR="00CA005D" w:rsidRPr="004D52BC" w:rsidP="00FF3ABD" w14:paraId="03C0096F" w14:textId="77777777">
      <w:pPr>
        <w:pStyle w:val="ListParagraph"/>
        <w:numPr>
          <w:ilvl w:val="0"/>
          <w:numId w:val="13"/>
        </w:numPr>
        <w:pBdr>
          <w:bottom w:val="single" w:sz="4" w:space="1" w:color="auto"/>
        </w:pBdr>
        <w:spacing w:before="240" w:line="259" w:lineRule="auto"/>
        <w:outlineLvl w:val="1"/>
        <w:rPr>
          <w:b/>
          <w:bCs/>
        </w:rPr>
      </w:pPr>
      <w:bookmarkStart w:id="3" w:name="_Toc156593370"/>
      <w:r w:rsidRPr="004D52BC">
        <w:rPr>
          <w:b/>
          <w:bCs/>
        </w:rPr>
        <w:t>USE OF TECHNOLOGY</w:t>
      </w:r>
      <w:bookmarkEnd w:id="3"/>
    </w:p>
    <w:p w:rsidR="00CA005D" w:rsidRPr="004D52BC" w:rsidP="00CA005D" w14:paraId="793695A0" w14:textId="77777777">
      <w:pPr>
        <w:pBdr>
          <w:bottom w:val="single" w:sz="4" w:space="1" w:color="auto"/>
        </w:pBdr>
        <w:spacing w:before="60"/>
        <w:rPr>
          <w:i/>
          <w:iCs/>
        </w:rPr>
      </w:pPr>
      <w:r w:rsidRPr="004D52BC">
        <w:rPr>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20685" w:rsidP="00320685" w14:paraId="61DB4FC8" w14:textId="658EE5FA">
      <w:pPr>
        <w:ind w:firstLine="720"/>
      </w:pPr>
      <w:r>
        <w:rPr>
          <w:rFonts w:eastAsia="Calibri"/>
        </w:rPr>
        <w:t xml:space="preserve">Under the </w:t>
      </w:r>
      <w:r w:rsidR="001872AE">
        <w:rPr>
          <w:rFonts w:eastAsia="Calibri"/>
        </w:rPr>
        <w:t>final</w:t>
      </w:r>
      <w:r>
        <w:rPr>
          <w:rFonts w:eastAsia="Calibri"/>
        </w:rPr>
        <w:t xml:space="preserve"> rulemaking, respondents </w:t>
      </w:r>
      <w:r w:rsidR="0035705C">
        <w:rPr>
          <w:rFonts w:eastAsia="Calibri"/>
        </w:rPr>
        <w:t>are</w:t>
      </w:r>
      <w:r>
        <w:rPr>
          <w:rFonts w:eastAsia="Calibri"/>
        </w:rPr>
        <w:t xml:space="preserve"> required to submit WEC filings electronically in a format specified by the EPA. The </w:t>
      </w:r>
      <w:r>
        <w:t xml:space="preserve">EPA </w:t>
      </w:r>
      <w:r w:rsidR="00FF04F6">
        <w:t>will</w:t>
      </w:r>
      <w:r>
        <w:t xml:space="preserve"> establish a central repository of inventory data for all respondents. Data </w:t>
      </w:r>
      <w:r w:rsidR="00FF04F6">
        <w:t>will</w:t>
      </w:r>
      <w:r>
        <w:t xml:space="preserve"> be reported electronically by respondents and </w:t>
      </w:r>
      <w:r w:rsidR="00FF04F6">
        <w:t>will</w:t>
      </w:r>
      <w:r>
        <w:t xml:space="preserve"> be stored in the database. The data could be used by EPA for imposition and collection of the WEC. The new system follow</w:t>
      </w:r>
      <w:r w:rsidR="00EC4D10">
        <w:t>s</w:t>
      </w:r>
      <w:r>
        <w:t xml:space="preserve"> Agency standards for design, security, data element and reporting format conformance, and accessibility. In designing the database, </w:t>
      </w:r>
      <w:r w:rsidR="00FF04F6">
        <w:t xml:space="preserve">the </w:t>
      </w:r>
      <w:r>
        <w:t xml:space="preserve">EPA </w:t>
      </w:r>
      <w:r w:rsidR="00FF04F6">
        <w:t>will</w:t>
      </w:r>
      <w:r>
        <w:t xml:space="preserve"> attempt to </w:t>
      </w:r>
      <w:r>
        <w:t>minimize respondents’ burden by integrating the new reporting requirements with existing data collection and data management systems, when feasible.</w:t>
      </w:r>
    </w:p>
    <w:p w:rsidR="00320685" w:rsidP="00320685" w14:paraId="35909887" w14:textId="77777777">
      <w:pPr>
        <w:ind w:firstLine="720"/>
      </w:pPr>
    </w:p>
    <w:p w:rsidR="00320685" w:rsidRPr="001B0264" w:rsidP="00320685" w14:paraId="073849F7" w14:textId="0FEB4FE4">
      <w:pPr>
        <w:ind w:firstLine="720"/>
        <w:rPr>
          <w:rFonts w:eastAsia="Calibri"/>
          <w:bCs/>
        </w:rPr>
      </w:pPr>
      <w:r w:rsidRPr="006D6997">
        <w:rPr>
          <w:rFonts w:eastAsia="Calibri"/>
        </w:rPr>
        <w:t>In order to implement the GHGRP, the EPA established</w:t>
      </w:r>
      <w:r w:rsidR="009F6507">
        <w:rPr>
          <w:rFonts w:eastAsia="Calibri"/>
        </w:rPr>
        <w:t xml:space="preserve"> </w:t>
      </w:r>
      <w:r w:rsidR="009F6507">
        <w:t>the</w:t>
      </w:r>
      <w:r w:rsidRPr="001B0264" w:rsidR="009F6507">
        <w:rPr>
          <w:rFonts w:eastAsia="Calibri"/>
        </w:rPr>
        <w:t xml:space="preserve"> Electronic Greenhouse Gas Reporting Tool</w:t>
      </w:r>
      <w:r w:rsidRPr="006D6997">
        <w:rPr>
          <w:rFonts w:eastAsia="Calibri"/>
        </w:rPr>
        <w:t xml:space="preserve"> </w:t>
      </w:r>
      <w:r w:rsidR="009F6507">
        <w:rPr>
          <w:rFonts w:eastAsia="Calibri"/>
        </w:rPr>
        <w:t>(</w:t>
      </w:r>
      <w:r w:rsidRPr="006D6997">
        <w:rPr>
          <w:rFonts w:eastAsia="Calibri"/>
        </w:rPr>
        <w:t>e-GGRT</w:t>
      </w:r>
      <w:r w:rsidR="009F6507">
        <w:rPr>
          <w:rFonts w:eastAsia="Calibri"/>
        </w:rPr>
        <w:t>)</w:t>
      </w:r>
      <w:r w:rsidRPr="006D6997">
        <w:rPr>
          <w:rFonts w:eastAsia="Calibri"/>
        </w:rPr>
        <w:t xml:space="preserve"> as a central repository of data for all respondents. Respondents report data electronically, and the EPA stores the data in the database. Facilities and suppliers subject to the GHGRP register online through the e-GGRT system. For part 99,</w:t>
      </w:r>
      <w:r>
        <w:t xml:space="preserve"> the EPA </w:t>
      </w:r>
      <w:r w:rsidR="00FF04F6">
        <w:t>will</w:t>
      </w:r>
      <w:r>
        <w:t xml:space="preserve"> integrate, to the extent possible, the reporting system under this </w:t>
      </w:r>
      <w:r w:rsidR="001872AE">
        <w:t>final</w:t>
      </w:r>
      <w:r>
        <w:t xml:space="preserve"> rulemaking with the existing </w:t>
      </w:r>
      <w:r w:rsidRPr="001B0264">
        <w:rPr>
          <w:rFonts w:eastAsia="Calibri"/>
        </w:rPr>
        <w:t>web-based e-GGRT</w:t>
      </w:r>
      <w:r>
        <w:rPr>
          <w:rFonts w:eastAsia="Calibri"/>
        </w:rPr>
        <w:t xml:space="preserve">. </w:t>
      </w:r>
      <w:r w:rsidRPr="001B0264">
        <w:rPr>
          <w:rFonts w:eastAsia="Calibri"/>
          <w:bCs/>
        </w:rPr>
        <w:t xml:space="preserve">The e-GGRT system has an XML reporting schema that allows facilities to upload GHG data directly in lieu of using the guided web forms provided through e-GGRT. </w:t>
      </w:r>
      <w:r w:rsidRPr="001B0264">
        <w:rPr>
          <w:rFonts w:eastAsia="Calibri"/>
        </w:rPr>
        <w:t xml:space="preserve">The XML reporting schema contains all data elements needed to comply with the GHGRP. The electronic reports submitted under the GHGRP are subject to the provisions of 40 CFR </w:t>
      </w:r>
      <w:r>
        <w:rPr>
          <w:rFonts w:eastAsia="Calibri"/>
        </w:rPr>
        <w:t>p</w:t>
      </w:r>
      <w:r w:rsidRPr="001B0264">
        <w:rPr>
          <w:rFonts w:eastAsia="Calibri"/>
        </w:rPr>
        <w:t>art 3, specifying EPA systems to which electronic submissions must be made and the requirements for valid electronic signatures. Additionally, e-GGRT is designed to collect and store CBI.</w:t>
      </w:r>
    </w:p>
    <w:p w:rsidR="00320685" w:rsidRPr="001B0264" w:rsidP="00320685" w14:paraId="157A30D2" w14:textId="77777777">
      <w:pPr>
        <w:rPr>
          <w:rFonts w:eastAsia="Calibri"/>
        </w:rPr>
      </w:pPr>
    </w:p>
    <w:p w:rsidR="00CA005D" w:rsidRPr="004D52BC" w:rsidP="00320685" w14:paraId="2B3D887E" w14:textId="2ECCFF88">
      <w:pPr>
        <w:pStyle w:val="BodyTextFirstline05"/>
        <w:rPr>
          <w:rFonts w:eastAsiaTheme="minorEastAsia"/>
          <w:szCs w:val="24"/>
        </w:rPr>
      </w:pPr>
      <w:r w:rsidRPr="001B0264">
        <w:rPr>
          <w:rFonts w:eastAsia="Calibri"/>
        </w:rPr>
        <w:t xml:space="preserve">The EPA ensures data quality by conducting robust verification checks using both electronic software and manual review. The EPA </w:t>
      </w:r>
      <w:r w:rsidR="00FF04F6">
        <w:rPr>
          <w:rFonts w:eastAsia="Calibri"/>
        </w:rPr>
        <w:t>will</w:t>
      </w:r>
      <w:r>
        <w:rPr>
          <w:rFonts w:eastAsia="Calibri"/>
        </w:rPr>
        <w:t xml:space="preserve"> </w:t>
      </w:r>
      <w:r w:rsidRPr="001B0264">
        <w:rPr>
          <w:rFonts w:eastAsia="Calibri"/>
        </w:rPr>
        <w:t xml:space="preserve">contact facilities when </w:t>
      </w:r>
      <w:r>
        <w:rPr>
          <w:rFonts w:eastAsia="Calibri"/>
        </w:rPr>
        <w:t>WEC filings</w:t>
      </w:r>
      <w:r w:rsidRPr="001B0264">
        <w:rPr>
          <w:rFonts w:eastAsia="Calibri"/>
        </w:rPr>
        <w:t xml:space="preserve"> contain potential</w:t>
      </w:r>
      <w:r>
        <w:rPr>
          <w:rFonts w:eastAsia="Calibri"/>
        </w:rPr>
        <w:t xml:space="preserve"> substantive</w:t>
      </w:r>
      <w:r w:rsidRPr="001B0264">
        <w:rPr>
          <w:rFonts w:eastAsia="Calibri"/>
        </w:rPr>
        <w:t xml:space="preserve"> errors, and the </w:t>
      </w:r>
      <w:r w:rsidR="001872AE">
        <w:rPr>
          <w:rFonts w:eastAsia="Calibri"/>
        </w:rPr>
        <w:t>final</w:t>
      </w:r>
      <w:r>
        <w:rPr>
          <w:rFonts w:eastAsia="Calibri"/>
        </w:rPr>
        <w:t xml:space="preserve"> requirements </w:t>
      </w:r>
      <w:r w:rsidR="00FF04F6">
        <w:rPr>
          <w:rFonts w:eastAsia="Calibri"/>
        </w:rPr>
        <w:t>will</w:t>
      </w:r>
      <w:r w:rsidRPr="001B0264">
        <w:rPr>
          <w:rFonts w:eastAsia="Calibri"/>
        </w:rPr>
        <w:t xml:space="preserve"> require that the facilities either resolve the error or explain that it is not an error in a timely manner.</w:t>
      </w:r>
      <w:r w:rsidRPr="004D52BC">
        <w:rPr>
          <w:rFonts w:eastAsiaTheme="minorEastAsia"/>
          <w:szCs w:val="24"/>
        </w:rPr>
        <w:t xml:space="preserve"> </w:t>
      </w:r>
    </w:p>
    <w:p w:rsidR="00CA005D" w:rsidRPr="004D52BC" w:rsidP="00FF3ABD" w14:paraId="72AA1872" w14:textId="77777777">
      <w:pPr>
        <w:pStyle w:val="ListParagraph"/>
        <w:numPr>
          <w:ilvl w:val="0"/>
          <w:numId w:val="13"/>
        </w:numPr>
        <w:pBdr>
          <w:bottom w:val="single" w:sz="4" w:space="1" w:color="auto"/>
        </w:pBdr>
        <w:spacing w:before="240" w:line="259" w:lineRule="auto"/>
        <w:outlineLvl w:val="1"/>
        <w:rPr>
          <w:b/>
          <w:bCs/>
        </w:rPr>
      </w:pPr>
      <w:bookmarkStart w:id="4" w:name="_Toc156593371"/>
      <w:r w:rsidRPr="004D52BC">
        <w:rPr>
          <w:b/>
          <w:bCs/>
        </w:rPr>
        <w:t>EFFORTS TO IDENTIFY DUPLICATION</w:t>
      </w:r>
      <w:bookmarkEnd w:id="4"/>
    </w:p>
    <w:p w:rsidR="00CA005D" w:rsidRPr="004D52BC" w:rsidP="00CA005D" w14:paraId="0278C2FB" w14:textId="77777777">
      <w:pPr>
        <w:pBdr>
          <w:bottom w:val="single" w:sz="4" w:space="1" w:color="auto"/>
        </w:pBdr>
        <w:spacing w:before="60"/>
        <w:rPr>
          <w:i/>
          <w:iCs/>
        </w:rPr>
      </w:pPr>
      <w:r w:rsidRPr="004D52BC">
        <w:rPr>
          <w:i/>
          <w:iCs/>
          <w:color w:val="000000"/>
          <w:shd w:val="clear" w:color="auto" w:fill="FFFFFF"/>
        </w:rPr>
        <w:t>Describe efforts to identify duplication. Show specifically why any similar information already available cannot be used or modified for use for the purposes described in Item 2 above.</w:t>
      </w:r>
    </w:p>
    <w:p w:rsidR="00CB6D9D" w:rsidRPr="0017351E" w:rsidP="00CB6D9D" w14:paraId="6944BED7" w14:textId="0973CB5E">
      <w:pPr>
        <w:ind w:firstLine="720"/>
      </w:pPr>
      <w:bookmarkStart w:id="5" w:name="OLE_LINK1"/>
      <w:bookmarkStart w:id="6" w:name="OLE_LINK2"/>
      <w:r w:rsidRPr="0017351E">
        <w:t xml:space="preserve">To determine whether this request duplicates other information collections, the EPA evaluated existing GHG data currently </w:t>
      </w:r>
      <w:r>
        <w:t>collected by</w:t>
      </w:r>
      <w:r w:rsidRPr="0017351E">
        <w:t xml:space="preserve"> </w:t>
      </w:r>
      <w:r>
        <w:t>subpart W of the GHGRP.</w:t>
      </w:r>
      <w:r w:rsidRPr="0017351E">
        <w:t xml:space="preserve"> </w:t>
      </w:r>
    </w:p>
    <w:p w:rsidR="00CB6D9D" w:rsidRPr="0017351E" w:rsidP="00CB6D9D" w14:paraId="0D5A3219" w14:textId="77777777">
      <w:pPr>
        <w:autoSpaceDE w:val="0"/>
        <w:autoSpaceDN w:val="0"/>
        <w:adjustRightInd w:val="0"/>
      </w:pPr>
      <w:r w:rsidRPr="0017351E">
        <w:tab/>
        <w:t xml:space="preserve"> </w:t>
      </w:r>
    </w:p>
    <w:p w:rsidR="00CB6D9D" w:rsidRPr="001B0264" w:rsidP="00CB6D9D" w14:paraId="5840A373" w14:textId="3F07A559">
      <w:pPr>
        <w:autoSpaceDE w:val="0"/>
        <w:autoSpaceDN w:val="0"/>
        <w:adjustRightInd w:val="0"/>
      </w:pPr>
      <w:r w:rsidRPr="0017351E">
        <w:tab/>
      </w:r>
      <w:r w:rsidR="008B125F">
        <w:t>CAA section 136 requires that the imposition of charge be based upon reporting to subpart W of the GHGRP. In order to avoid the duplication of information collection already collected under the GHGRP, the final rule requires reporting of the identification numbers assigned by the EPA’s electronic tool for submission of GHGRP reports for each WEC applicable facility</w:t>
      </w:r>
      <w:r w:rsidRPr="0017351E" w:rsidR="008B125F">
        <w:t>.</w:t>
      </w:r>
      <w:r w:rsidR="008B125F">
        <w:t xml:space="preserve"> </w:t>
      </w:r>
      <w:r>
        <w:t xml:space="preserve">This existing tool, referred to as </w:t>
      </w:r>
      <w:r w:rsidRPr="001B0264">
        <w:rPr>
          <w:rFonts w:eastAsia="Calibri"/>
        </w:rPr>
        <w:t>e-GGRT</w:t>
      </w:r>
      <w:r>
        <w:rPr>
          <w:rFonts w:eastAsia="Calibri"/>
        </w:rPr>
        <w:t xml:space="preserve">, is a web-based reporting system that acts as a </w:t>
      </w:r>
      <w:r w:rsidRPr="001B0264">
        <w:rPr>
          <w:rFonts w:eastAsia="Calibri"/>
        </w:rPr>
        <w:t>central repository of data for all respondents</w:t>
      </w:r>
      <w:r>
        <w:rPr>
          <w:rFonts w:eastAsia="Calibri"/>
        </w:rPr>
        <w:t xml:space="preserve"> to the GHGRP. </w:t>
      </w:r>
      <w:r>
        <w:t>This identification number allow</w:t>
      </w:r>
      <w:r w:rsidR="00FF04F6">
        <w:t>s</w:t>
      </w:r>
      <w:r>
        <w:t xml:space="preserve"> for data reported under the </w:t>
      </w:r>
      <w:r w:rsidR="001872AE">
        <w:t>final</w:t>
      </w:r>
      <w:r>
        <w:t xml:space="preserve"> rule to be linked with data reported under the GHGRP.</w:t>
      </w:r>
      <w:r w:rsidRPr="001B0264">
        <w:t xml:space="preserve"> </w:t>
      </w:r>
    </w:p>
    <w:p w:rsidR="00CB6D9D" w:rsidRPr="001B0264" w:rsidP="00CB6D9D" w14:paraId="42CB5FB9" w14:textId="77777777">
      <w:pPr>
        <w:ind w:firstLine="720"/>
      </w:pPr>
    </w:p>
    <w:p w:rsidR="00CA005D" w:rsidRPr="004D52BC" w:rsidP="00CB6D9D" w14:paraId="3E58B3DD" w14:textId="78DE1265">
      <w:pPr>
        <w:pStyle w:val="BodyTextFirstline05"/>
        <w:rPr>
          <w:rFonts w:eastAsiaTheme="minorEastAsia"/>
          <w:szCs w:val="24"/>
        </w:rPr>
      </w:pPr>
      <w:r w:rsidRPr="001B0264">
        <w:t xml:space="preserve">The </w:t>
      </w:r>
      <w:r w:rsidR="001872AE">
        <w:t>final</w:t>
      </w:r>
      <w:r w:rsidRPr="001B0264">
        <w:t xml:space="preserve"> </w:t>
      </w:r>
      <w:r>
        <w:t>rule</w:t>
      </w:r>
      <w:r w:rsidRPr="001B0264">
        <w:t xml:space="preserve"> include</w:t>
      </w:r>
      <w:r>
        <w:t>s</w:t>
      </w:r>
      <w:r w:rsidRPr="001B0264">
        <w:t xml:space="preserve"> calculation, </w:t>
      </w:r>
      <w:r>
        <w:t>reporting, and recordkeeping</w:t>
      </w:r>
      <w:r w:rsidRPr="001B0264">
        <w:t xml:space="preserve"> requirements that </w:t>
      </w:r>
      <w:r>
        <w:t xml:space="preserve">provide the </w:t>
      </w:r>
      <w:r w:rsidRPr="001B0264">
        <w:t xml:space="preserve">new data </w:t>
      </w:r>
      <w:r>
        <w:t xml:space="preserve">necessary </w:t>
      </w:r>
      <w:r w:rsidR="002E0B48">
        <w:t xml:space="preserve">for the EPA </w:t>
      </w:r>
      <w:r>
        <w:t>to carry out a statutory obligation</w:t>
      </w:r>
      <w:r w:rsidRPr="001B0264">
        <w:t>. Based on this evaluation, this information collection request does not duplicate other information collections</w:t>
      </w:r>
      <w:r w:rsidRPr="004D52BC">
        <w:rPr>
          <w:rFonts w:eastAsiaTheme="minorEastAsia"/>
          <w:szCs w:val="24"/>
        </w:rPr>
        <w:t>.</w:t>
      </w:r>
      <w:bookmarkEnd w:id="5"/>
      <w:bookmarkEnd w:id="6"/>
    </w:p>
    <w:p w:rsidR="00CA005D" w:rsidRPr="004D52BC" w:rsidP="00FF3ABD" w14:paraId="6BF8F0A9" w14:textId="77777777">
      <w:pPr>
        <w:pStyle w:val="ListParagraph"/>
        <w:numPr>
          <w:ilvl w:val="0"/>
          <w:numId w:val="13"/>
        </w:numPr>
        <w:pBdr>
          <w:bottom w:val="single" w:sz="4" w:space="1" w:color="auto"/>
        </w:pBdr>
        <w:spacing w:before="240" w:line="259" w:lineRule="auto"/>
        <w:outlineLvl w:val="1"/>
        <w:rPr>
          <w:b/>
          <w:bCs/>
        </w:rPr>
      </w:pPr>
      <w:bookmarkStart w:id="7" w:name="_Toc156593372"/>
      <w:r w:rsidRPr="004D52BC">
        <w:rPr>
          <w:b/>
          <w:bCs/>
        </w:rPr>
        <w:t>MINIMIZING BURDEN ON SMALL BUSINESSES AND SMALL ENTITIES</w:t>
      </w:r>
      <w:bookmarkEnd w:id="7"/>
    </w:p>
    <w:p w:rsidR="00CA005D" w:rsidRPr="004D52BC" w:rsidP="00CA005D" w14:paraId="48357942" w14:textId="77777777">
      <w:pPr>
        <w:pBdr>
          <w:bottom w:val="single" w:sz="4" w:space="1" w:color="auto"/>
        </w:pBdr>
        <w:spacing w:before="60"/>
        <w:rPr>
          <w:i/>
          <w:iCs/>
        </w:rPr>
      </w:pPr>
      <w:r w:rsidRPr="004D52BC">
        <w:rPr>
          <w:i/>
          <w:iCs/>
          <w:color w:val="000000"/>
          <w:shd w:val="clear" w:color="auto" w:fill="FFFFFF"/>
        </w:rPr>
        <w:t>If the collection of information impacts small businesses or other small entities, describe any methods used to minimize burden.</w:t>
      </w:r>
    </w:p>
    <w:p w:rsidR="00983327" w:rsidRPr="00CF70FD" w:rsidP="00983327" w14:paraId="06263BF3" w14:textId="41D8BF0F">
      <w:pPr>
        <w:pStyle w:val="BodyText"/>
        <w:ind w:firstLine="720"/>
        <w:rPr>
          <w:rFonts w:eastAsia="Calibri"/>
          <w:bCs/>
        </w:rPr>
      </w:pPr>
      <w:r w:rsidRPr="0017351E">
        <w:rPr>
          <w:rFonts w:eastAsia="Calibri"/>
          <w:bCs/>
        </w:rPr>
        <w:t xml:space="preserve">This information collection will not have a significant economic impact on a substantial number of small entities. </w:t>
      </w:r>
      <w:r w:rsidRPr="00045714">
        <w:rPr>
          <w:rFonts w:eastAsia="Calibri"/>
          <w:bCs/>
        </w:rPr>
        <w:t xml:space="preserve">The small entities subject to the </w:t>
      </w:r>
      <w:r w:rsidR="001872AE">
        <w:rPr>
          <w:rFonts w:eastAsia="Calibri"/>
          <w:bCs/>
        </w:rPr>
        <w:t>final</w:t>
      </w:r>
      <w:r w:rsidRPr="00045714">
        <w:rPr>
          <w:rFonts w:eastAsia="Calibri"/>
          <w:bCs/>
        </w:rPr>
        <w:t xml:space="preserve"> requirements of this action are small businesses in the petroleum and natural gas industry. Small entities include small </w:t>
      </w:r>
      <w:r w:rsidRPr="00045714">
        <w:rPr>
          <w:rFonts w:eastAsia="Calibri"/>
          <w:bCs/>
        </w:rPr>
        <w:t>businesses, small organizations, and small governmental jurisdictions. The</w:t>
      </w:r>
      <w:r>
        <w:rPr>
          <w:rFonts w:eastAsia="Calibri"/>
          <w:bCs/>
        </w:rPr>
        <w:t xml:space="preserve"> </w:t>
      </w:r>
      <w:r w:rsidRPr="00045714">
        <w:rPr>
          <w:rFonts w:eastAsia="Calibri"/>
          <w:bCs/>
        </w:rPr>
        <w:t xml:space="preserve">EPA has determined that some small entities are affected because their processes emit methane that must be reported under subpart W and thus may be subject to </w:t>
      </w:r>
      <w:r w:rsidR="001872AE">
        <w:rPr>
          <w:rFonts w:eastAsia="Calibri"/>
          <w:bCs/>
        </w:rPr>
        <w:t>final</w:t>
      </w:r>
      <w:r>
        <w:rPr>
          <w:rFonts w:eastAsia="Calibri"/>
          <w:bCs/>
        </w:rPr>
        <w:t xml:space="preserve"> information collection under this ICR</w:t>
      </w:r>
      <w:r w:rsidRPr="00045714">
        <w:rPr>
          <w:rFonts w:eastAsia="Calibri"/>
          <w:bCs/>
        </w:rPr>
        <w:t>.</w:t>
      </w:r>
      <w:r>
        <w:rPr>
          <w:rFonts w:eastAsia="Calibri"/>
          <w:bCs/>
        </w:rPr>
        <w:t xml:space="preserve"> As a part of this </w:t>
      </w:r>
      <w:r w:rsidR="001872AE">
        <w:rPr>
          <w:rFonts w:eastAsia="Calibri"/>
          <w:bCs/>
        </w:rPr>
        <w:t>final</w:t>
      </w:r>
      <w:r>
        <w:rPr>
          <w:rFonts w:eastAsia="Calibri"/>
          <w:bCs/>
        </w:rPr>
        <w:t xml:space="preserve"> rulemaking, the EPA conducted a small entity analysis to evaluate the costs imposed on small entities. </w:t>
      </w:r>
      <w:r w:rsidRPr="007F3533">
        <w:t>Details of this analysis are presented in</w:t>
      </w:r>
      <w:r>
        <w:t xml:space="preserve"> the memorandum, </w:t>
      </w:r>
      <w:r w:rsidRPr="008C5CB8">
        <w:rPr>
          <w:i/>
          <w:iCs/>
        </w:rPr>
        <w:t xml:space="preserve">Regulatory Impact Analysis of the </w:t>
      </w:r>
      <w:r w:rsidR="001872AE">
        <w:rPr>
          <w:i/>
          <w:iCs/>
        </w:rPr>
        <w:t>Final</w:t>
      </w:r>
      <w:r w:rsidRPr="008C5CB8">
        <w:rPr>
          <w:i/>
          <w:iCs/>
        </w:rPr>
        <w:t xml:space="preserve"> Waste Emissions Charge for Petroleum and Natural Gas Systems</w:t>
      </w:r>
      <w:r>
        <w:t xml:space="preserve">, </w:t>
      </w:r>
      <w:r w:rsidRPr="00BC06BF">
        <w:t>available in the docket for this rulemaking</w:t>
      </w:r>
      <w:r>
        <w:t xml:space="preserve">, </w:t>
      </w:r>
      <w:r w:rsidRPr="009F2ED2">
        <w:t xml:space="preserve">Docket Id. No. </w:t>
      </w:r>
      <w:r w:rsidRPr="006F3FE2">
        <w:t>EPA-HQ-OA</w:t>
      </w:r>
      <w:r w:rsidRPr="001B0EA0">
        <w:t>R-2023-</w:t>
      </w:r>
      <w:r>
        <w:t>0434.</w:t>
      </w:r>
      <w:r w:rsidRPr="00CF70FD">
        <w:rPr>
          <w:rFonts w:eastAsia="Calibri"/>
          <w:bCs/>
        </w:rPr>
        <w:t xml:space="preserve"> </w:t>
      </w:r>
    </w:p>
    <w:p w:rsidR="00CA005D" w:rsidRPr="00E12333" w:rsidP="00983327" w14:paraId="5846837F" w14:textId="4C442999">
      <w:pPr>
        <w:pStyle w:val="BodyTextFirstline05"/>
        <w:rPr>
          <w:rFonts w:eastAsiaTheme="minorEastAsia"/>
          <w:szCs w:val="24"/>
        </w:rPr>
      </w:pPr>
      <w:r>
        <w:rPr>
          <w:rFonts w:eastAsia="Calibri"/>
          <w:bCs/>
        </w:rPr>
        <w:t xml:space="preserve">The EPA does not anticipate a significant economic </w:t>
      </w:r>
      <w:r w:rsidRPr="00AC2EF0">
        <w:rPr>
          <w:rFonts w:eastAsia="Calibri"/>
          <w:bCs/>
        </w:rPr>
        <w:t xml:space="preserve">impact on small entities from the information collection in this </w:t>
      </w:r>
      <w:r w:rsidRPr="00AC2EF0" w:rsidR="001872AE">
        <w:rPr>
          <w:rFonts w:eastAsia="Calibri"/>
          <w:bCs/>
        </w:rPr>
        <w:t>final</w:t>
      </w:r>
      <w:r w:rsidRPr="00AC2EF0">
        <w:rPr>
          <w:rFonts w:eastAsia="Calibri"/>
          <w:bCs/>
        </w:rPr>
        <w:t xml:space="preserve"> rulemaking because the costs associated with reporting and recordkeeping requirements for any individual respondent are expected to be low. The estimated annual cost per respondent</w:t>
      </w:r>
      <w:r w:rsidR="006F67F8">
        <w:rPr>
          <w:rFonts w:eastAsia="Calibri"/>
          <w:bCs/>
        </w:rPr>
        <w:t xml:space="preserve"> under part 99</w:t>
      </w:r>
      <w:r w:rsidRPr="00AC2EF0">
        <w:rPr>
          <w:rFonts w:eastAsia="Calibri"/>
          <w:bCs/>
        </w:rPr>
        <w:t xml:space="preserve"> (</w:t>
      </w:r>
      <w:r w:rsidRPr="00AC2EF0">
        <w:rPr>
          <w:rFonts w:eastAsia="Calibri"/>
          <w:bCs/>
          <w:i/>
          <w:iCs/>
        </w:rPr>
        <w:t xml:space="preserve">i.e., </w:t>
      </w:r>
      <w:r w:rsidRPr="00AC2EF0">
        <w:rPr>
          <w:rFonts w:eastAsia="Calibri"/>
          <w:bCs/>
        </w:rPr>
        <w:t>WEC obligated party) is $</w:t>
      </w:r>
      <w:r w:rsidR="00E12333">
        <w:rPr>
          <w:rFonts w:eastAsia="Calibri"/>
          <w:bCs/>
        </w:rPr>
        <w:t>3,2</w:t>
      </w:r>
      <w:r w:rsidR="005E76D3">
        <w:rPr>
          <w:rFonts w:eastAsia="Calibri"/>
          <w:bCs/>
        </w:rPr>
        <w:t>11</w:t>
      </w:r>
      <w:r w:rsidRPr="00AC2EF0">
        <w:rPr>
          <w:rFonts w:eastAsiaTheme="minorEastAsia"/>
          <w:szCs w:val="24"/>
        </w:rPr>
        <w:t>.</w:t>
      </w:r>
      <w:r w:rsidR="00E12333">
        <w:rPr>
          <w:rFonts w:eastAsiaTheme="minorEastAsia"/>
          <w:szCs w:val="24"/>
        </w:rPr>
        <w:t xml:space="preserve"> The estimated incremental annual cost per respondent under part 98 (</w:t>
      </w:r>
      <w:r w:rsidR="00E12333">
        <w:rPr>
          <w:rFonts w:eastAsiaTheme="minorEastAsia"/>
          <w:i/>
          <w:iCs/>
          <w:szCs w:val="24"/>
        </w:rPr>
        <w:t>i.e.</w:t>
      </w:r>
      <w:r w:rsidR="00E12333">
        <w:rPr>
          <w:rFonts w:eastAsiaTheme="minorEastAsia"/>
          <w:szCs w:val="24"/>
        </w:rPr>
        <w:t xml:space="preserve">, reporter to subpart W of the GHGRP) is </w:t>
      </w:r>
      <w:r w:rsidR="008F1B99">
        <w:rPr>
          <w:rFonts w:eastAsiaTheme="minorEastAsia"/>
          <w:szCs w:val="24"/>
        </w:rPr>
        <w:t>$</w:t>
      </w:r>
      <w:r w:rsidR="00FD7B72">
        <w:rPr>
          <w:rFonts w:eastAsiaTheme="minorEastAsia"/>
          <w:szCs w:val="24"/>
        </w:rPr>
        <w:t>7</w:t>
      </w:r>
      <w:r w:rsidR="008F1B99">
        <w:rPr>
          <w:rFonts w:eastAsiaTheme="minorEastAsia"/>
          <w:szCs w:val="24"/>
        </w:rPr>
        <w:t>.</w:t>
      </w:r>
    </w:p>
    <w:p w:rsidR="00CA005D" w:rsidRPr="004D52BC" w:rsidP="00FF3ABD" w14:paraId="242F84E4" w14:textId="77777777">
      <w:pPr>
        <w:pStyle w:val="ListParagraph"/>
        <w:numPr>
          <w:ilvl w:val="0"/>
          <w:numId w:val="13"/>
        </w:numPr>
        <w:pBdr>
          <w:bottom w:val="single" w:sz="4" w:space="1" w:color="auto"/>
        </w:pBdr>
        <w:spacing w:before="240" w:line="259" w:lineRule="auto"/>
        <w:outlineLvl w:val="1"/>
        <w:rPr>
          <w:b/>
          <w:bCs/>
        </w:rPr>
      </w:pPr>
      <w:bookmarkStart w:id="8" w:name="_Toc156593373"/>
      <w:r w:rsidRPr="004D52BC">
        <w:rPr>
          <w:b/>
          <w:bCs/>
        </w:rPr>
        <w:t>CONSEQUENCES OF LESS FREQUENT COLLECTION</w:t>
      </w:r>
      <w:bookmarkEnd w:id="8"/>
    </w:p>
    <w:p w:rsidR="00CA005D" w:rsidRPr="004D52BC" w:rsidP="00CA005D" w14:paraId="4E09EBEE" w14:textId="77777777">
      <w:pPr>
        <w:pBdr>
          <w:bottom w:val="single" w:sz="4" w:space="1" w:color="auto"/>
        </w:pBdr>
        <w:tabs>
          <w:tab w:val="left" w:pos="921"/>
        </w:tabs>
        <w:spacing w:before="60"/>
        <w:rPr>
          <w:i/>
          <w:iCs/>
        </w:rPr>
      </w:pPr>
      <w:r w:rsidRPr="004D52BC">
        <w:rPr>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CA005D" w:rsidRPr="004D52BC" w:rsidP="00CA005D" w14:paraId="6EE86C8B" w14:textId="4F1F2578">
      <w:pPr>
        <w:pStyle w:val="BodyTextFirstline05"/>
        <w:rPr>
          <w:rFonts w:eastAsiaTheme="minorEastAsia"/>
          <w:szCs w:val="24"/>
        </w:rPr>
      </w:pPr>
      <w:r>
        <w:t xml:space="preserve">The </w:t>
      </w:r>
      <w:r w:rsidR="001872AE">
        <w:t>final</w:t>
      </w:r>
      <w:r>
        <w:t xml:space="preserve"> reporting frequency for WEC filings to EPA has been established to minimize the burden on respondents, while ensuring that the </w:t>
      </w:r>
      <w:r w:rsidR="001872AE">
        <w:t>final</w:t>
      </w:r>
      <w:r>
        <w:t xml:space="preserve"> rule collects facility-specific data of sufficient quality and frequency to achieve the Agency’s statutory obligations under CAA section 136. For entities required to report, the rule require</w:t>
      </w:r>
      <w:r w:rsidR="009310CF">
        <w:t>s</w:t>
      </w:r>
      <w:r>
        <w:t xml:space="preserve"> annual reporting, in coordination with reporting required under the GHGRP. If the information collection were not carried out on this schedule, the Agency would not be able to impose the charge on an annual basis as required by CAA section 136(c) and (g)</w:t>
      </w:r>
      <w:r w:rsidRPr="004D52BC">
        <w:rPr>
          <w:rFonts w:eastAsiaTheme="minorEastAsia"/>
          <w:szCs w:val="24"/>
        </w:rPr>
        <w:t xml:space="preserve">. </w:t>
      </w:r>
    </w:p>
    <w:p w:rsidR="00CA005D" w:rsidRPr="004D52BC" w:rsidP="00FF3ABD" w14:paraId="6598FA71" w14:textId="77777777">
      <w:pPr>
        <w:pStyle w:val="ListParagraph"/>
        <w:numPr>
          <w:ilvl w:val="0"/>
          <w:numId w:val="13"/>
        </w:numPr>
        <w:pBdr>
          <w:bottom w:val="single" w:sz="4" w:space="1" w:color="auto"/>
        </w:pBdr>
        <w:spacing w:before="240" w:line="259" w:lineRule="auto"/>
        <w:outlineLvl w:val="1"/>
        <w:rPr>
          <w:b/>
          <w:bCs/>
        </w:rPr>
      </w:pPr>
      <w:bookmarkStart w:id="9" w:name="_Toc156593374"/>
      <w:r w:rsidRPr="004D52BC">
        <w:rPr>
          <w:b/>
          <w:bCs/>
        </w:rPr>
        <w:t>GENERAL GUIDELINES</w:t>
      </w:r>
      <w:bookmarkEnd w:id="9"/>
    </w:p>
    <w:p w:rsidR="00CA005D" w:rsidRPr="004D52BC" w:rsidP="00CA005D" w14:paraId="38CCBB42" w14:textId="77777777">
      <w:pPr>
        <w:pBdr>
          <w:bottom w:val="single" w:sz="4" w:space="1" w:color="auto"/>
        </w:pBdr>
        <w:spacing w:before="60"/>
      </w:pPr>
      <w:r w:rsidRPr="004D52BC">
        <w:rPr>
          <w:i/>
          <w:iCs/>
        </w:rPr>
        <w:t>Explain any special circumstances that require the collection to be conducted in a manner inconsistent with OMB guidelines.</w:t>
      </w:r>
    </w:p>
    <w:p w:rsidR="00CA005D" w:rsidRPr="004D52BC" w:rsidP="00CA005D" w14:paraId="2138B6A2" w14:textId="18F3FBAF">
      <w:pPr>
        <w:pStyle w:val="BodyTextFirstline05"/>
        <w:rPr>
          <w:rFonts w:eastAsiaTheme="minorEastAsia"/>
          <w:szCs w:val="24"/>
        </w:rPr>
      </w:pPr>
      <w:r>
        <w:t xml:space="preserve">This collection of information is consistent with all OMB guidelines under 5 CFR 1320.6 except with respect to the maintenance of records by respondents for more than three years. EPA believes a five-year recordkeeping requirement is needed so that a history of compliance can be demonstrated and questions about past filings can be resolved, if needed. </w:t>
      </w:r>
      <w:r w:rsidR="00CB1CA5">
        <w:t xml:space="preserve">The </w:t>
      </w:r>
      <w:r>
        <w:t>EPA</w:t>
      </w:r>
      <w:r w:rsidR="00CB1CA5">
        <w:t xml:space="preserve"> is </w:t>
      </w:r>
      <w:r>
        <w:t>allow</w:t>
      </w:r>
      <w:r w:rsidR="00CB1CA5">
        <w:t>ing</w:t>
      </w:r>
      <w:r>
        <w:t xml:space="preserve"> a variety of electronic and hard copy formats for records </w:t>
      </w:r>
      <w:r w:rsidR="00414FB8">
        <w:t xml:space="preserve">to provide </w:t>
      </w:r>
      <w:r>
        <w:t>flexibility for facilities to use a system that meets their needs and is consistent with other facility records maintenance practices, thereby minimizing the recordkeeping burden</w:t>
      </w:r>
      <w:r w:rsidRPr="004D52BC">
        <w:rPr>
          <w:rFonts w:eastAsiaTheme="minorEastAsia"/>
          <w:szCs w:val="24"/>
        </w:rPr>
        <w:t>.</w:t>
      </w:r>
    </w:p>
    <w:p w:rsidR="00CA005D" w:rsidRPr="004D52BC" w:rsidP="00FF3ABD" w14:paraId="17C32EA9" w14:textId="77777777">
      <w:pPr>
        <w:pStyle w:val="ListParagraph"/>
        <w:numPr>
          <w:ilvl w:val="0"/>
          <w:numId w:val="13"/>
        </w:numPr>
        <w:pBdr>
          <w:bottom w:val="single" w:sz="4" w:space="1" w:color="auto"/>
        </w:pBdr>
        <w:spacing w:before="240" w:line="259" w:lineRule="auto"/>
        <w:outlineLvl w:val="1"/>
        <w:rPr>
          <w:b/>
          <w:bCs/>
        </w:rPr>
      </w:pPr>
      <w:bookmarkStart w:id="10" w:name="_Toc156593375"/>
      <w:r w:rsidRPr="004D52BC">
        <w:rPr>
          <w:b/>
          <w:bCs/>
        </w:rPr>
        <w:t>PUBLIC COMMENT AND CONSULTATIONS</w:t>
      </w:r>
      <w:bookmarkStart w:id="11" w:name="_Toc156593376"/>
      <w:bookmarkEnd w:id="10"/>
    </w:p>
    <w:p w:rsidR="00CA005D" w:rsidRPr="004D52BC" w:rsidP="008D1380" w14:paraId="35E1B9A6" w14:textId="77777777">
      <w:pPr>
        <w:pStyle w:val="StyleBoldBefore6pt"/>
      </w:pPr>
      <w:r w:rsidRPr="004D52BC">
        <w:t>8a. Public Comment</w:t>
      </w:r>
      <w:bookmarkStart w:id="12" w:name="_Toc156593377"/>
      <w:bookmarkEnd w:id="11"/>
    </w:p>
    <w:p w:rsidR="00CA005D" w:rsidRPr="004D52BC" w:rsidP="00CA005D" w14:paraId="2F9BEE3F" w14:textId="77777777">
      <w:pPr>
        <w:rPr>
          <w:i/>
          <w:iCs/>
        </w:rPr>
      </w:pPr>
      <w:r w:rsidRPr="004D52BC">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005D" w:rsidP="00CA005D" w14:paraId="0C0FB1AB" w14:textId="4A1DE089">
      <w:pPr>
        <w:pStyle w:val="BodyTextFirstline05"/>
        <w:rPr>
          <w:rFonts w:eastAsiaTheme="minorEastAsia"/>
          <w:szCs w:val="24"/>
        </w:rPr>
      </w:pPr>
      <w:r w:rsidRPr="001B0264">
        <w:t xml:space="preserve">A public notice of this  collection is provided in the </w:t>
      </w:r>
      <w:r w:rsidRPr="001B0264">
        <w:rPr>
          <w:i/>
          <w:iCs/>
        </w:rPr>
        <w:t>Federal Register</w:t>
      </w:r>
      <w:r w:rsidRPr="001B0264">
        <w:t xml:space="preserve"> notice of “</w:t>
      </w:r>
      <w:r>
        <w:t xml:space="preserve">Waste Emissions Charge for Petroleum and Natural Gas Systems; </w:t>
      </w:r>
      <w:r w:rsidR="001872AE">
        <w:t>Final</w:t>
      </w:r>
      <w:r w:rsidRPr="001B0264">
        <w:t xml:space="preserve"> </w:t>
      </w:r>
      <w:r w:rsidR="00EB3BE5">
        <w:t>R</w:t>
      </w:r>
      <w:r w:rsidRPr="001B0264">
        <w:t>ule”</w:t>
      </w:r>
      <w:r w:rsidRPr="004D52BC">
        <w:rPr>
          <w:rFonts w:eastAsiaTheme="minorEastAsia"/>
          <w:szCs w:val="24"/>
        </w:rPr>
        <w:t>.</w:t>
      </w:r>
    </w:p>
    <w:p w:rsidR="00A24FF3" w:rsidP="00CA005D" w14:paraId="6429590C" w14:textId="4C81D832">
      <w:pPr>
        <w:pStyle w:val="BodyTextFirstline05"/>
      </w:pPr>
      <w:r>
        <w:rPr>
          <w:rFonts w:eastAsiaTheme="minorEastAsia"/>
          <w:szCs w:val="24"/>
        </w:rPr>
        <w:t xml:space="preserve">A public notice of the proposed collection was provided in the </w:t>
      </w:r>
      <w:r>
        <w:rPr>
          <w:rFonts w:eastAsiaTheme="minorEastAsia"/>
          <w:i/>
          <w:iCs/>
          <w:szCs w:val="24"/>
        </w:rPr>
        <w:t>Federal R</w:t>
      </w:r>
      <w:r w:rsidRPr="001B0264">
        <w:rPr>
          <w:i/>
          <w:iCs/>
        </w:rPr>
        <w:t>egister</w:t>
      </w:r>
      <w:r w:rsidRPr="001B0264">
        <w:t xml:space="preserve"> notice of “</w:t>
      </w:r>
      <w:r>
        <w:t>Waste Emissions Charge for Petroleum and Natural Gas Systems; Proposed</w:t>
      </w:r>
      <w:r w:rsidRPr="001B0264">
        <w:t xml:space="preserve"> </w:t>
      </w:r>
      <w:r w:rsidR="00C97E95">
        <w:t>R</w:t>
      </w:r>
      <w:r w:rsidRPr="001B0264">
        <w:t>ule”</w:t>
      </w:r>
      <w:r w:rsidR="00A051ED">
        <w:t xml:space="preserve"> which was published on January 26, 2024 (89 FR 5318)</w:t>
      </w:r>
      <w:r w:rsidRPr="004D52BC">
        <w:rPr>
          <w:rFonts w:eastAsiaTheme="minorEastAsia"/>
          <w:szCs w:val="24"/>
        </w:rPr>
        <w:t>.</w:t>
      </w:r>
      <w:r w:rsidR="00A051ED">
        <w:rPr>
          <w:rFonts w:eastAsiaTheme="minorEastAsia"/>
          <w:szCs w:val="24"/>
        </w:rPr>
        <w:t xml:space="preserve"> </w:t>
      </w:r>
      <w:r w:rsidR="00797C14">
        <w:rPr>
          <w:rFonts w:eastAsiaTheme="minorEastAsia"/>
          <w:szCs w:val="24"/>
        </w:rPr>
        <w:t xml:space="preserve">Comments received </w:t>
      </w:r>
      <w:r w:rsidR="00122DEA">
        <w:rPr>
          <w:rFonts w:eastAsiaTheme="minorEastAsia"/>
          <w:szCs w:val="24"/>
        </w:rPr>
        <w:t xml:space="preserve">and the EPA’s responses </w:t>
      </w:r>
      <w:r w:rsidR="00797C14">
        <w:rPr>
          <w:rFonts w:eastAsiaTheme="minorEastAsia"/>
          <w:szCs w:val="24"/>
        </w:rPr>
        <w:t>related to the cost and hour burden of th</w:t>
      </w:r>
      <w:r w:rsidR="00752E30">
        <w:rPr>
          <w:rFonts w:eastAsiaTheme="minorEastAsia"/>
          <w:szCs w:val="24"/>
        </w:rPr>
        <w:t>e</w:t>
      </w:r>
      <w:r w:rsidR="00797C14">
        <w:rPr>
          <w:rFonts w:eastAsiaTheme="minorEastAsia"/>
          <w:szCs w:val="24"/>
        </w:rPr>
        <w:t xml:space="preserve"> proposed rule are presented in </w:t>
      </w:r>
      <w:r w:rsidR="00122DEA">
        <w:rPr>
          <w:rFonts w:eastAsiaTheme="minorEastAsia"/>
          <w:szCs w:val="24"/>
        </w:rPr>
        <w:t xml:space="preserve">the response to comment document associated with the final rule, available at </w:t>
      </w:r>
      <w:r w:rsidR="00BB2F91">
        <w:t>Docket Id. No. EPA–HQ–OAR–2023–0</w:t>
      </w:r>
      <w:r w:rsidR="00334964">
        <w:t>434.</w:t>
      </w:r>
    </w:p>
    <w:p w:rsidR="00ED317B" w:rsidP="00CA005D" w14:paraId="7B94774F" w14:textId="101C6002">
      <w:pPr>
        <w:pStyle w:val="BodyTextFirstline05"/>
      </w:pPr>
      <w:r>
        <w:t>Two</w:t>
      </w:r>
      <w:r>
        <w:t xml:space="preserve"> commenter</w:t>
      </w:r>
      <w:r>
        <w:t>s</w:t>
      </w:r>
      <w:r>
        <w:t xml:space="preserve"> expressed concern that the proposed WEC program appeared in </w:t>
      </w:r>
      <w:r>
        <w:t xml:space="preserve">conflict with two policy standards of the Paperwork Reduction Act: 1) minimize the paperwork burden on the public and other entities and 2) minimize the cost to the Federal Government of creating, collecting, maintaining, using, disseminating, and disposing of information. The commenters noted the costs presented in the proposed collection, suggested that actual costs would be higher due to unfamiliarity and glitches with new programs, and suggested that </w:t>
      </w:r>
      <w:r w:rsidR="00D15455">
        <w:t>burden would be reduced if the EPA focused on offering more incentives rather than collecting data, fees, interest and penalties.</w:t>
      </w:r>
    </w:p>
    <w:p w:rsidR="000B06C8" w:rsidRPr="00334964" w:rsidP="00CA005D" w14:paraId="005F8E67" w14:textId="0B8CD7D1">
      <w:pPr>
        <w:pStyle w:val="BodyTextFirstline05"/>
        <w:rPr>
          <w:rFonts w:eastAsiaTheme="minorEastAsia"/>
          <w:i/>
          <w:iCs/>
          <w:szCs w:val="24"/>
        </w:rPr>
      </w:pPr>
      <w:r>
        <w:t xml:space="preserve">The EPA acknowledges the commenters’ concerns, but notes that the commenters </w:t>
      </w:r>
      <w:r>
        <w:t xml:space="preserve">did not identify specific aspects of the proposed WEC rule where the EPA was overly burdensome, nor did the commenters identify ways to minimize burden to the Agency nor to affected WEC respondents. Consistent with the obligation established by CAA section 136 on the EPA to impose and collect a charge, subject to statutorily specified exemptions, the EPA has taken steps to minimize the added paperwork and recordkeeping burden and avoid duplicative reporting, while maintaining effectiveness of the rule through the utilization of existing systems such as e-GGRT. </w:t>
      </w:r>
      <w:r w:rsidR="00FB51A6">
        <w:t>In the final rule, the</w:t>
      </w:r>
      <w:r w:rsidRPr="00486DC7">
        <w:t xml:space="preserve"> EPA has made adjustments to the</w:t>
      </w:r>
      <w:r>
        <w:t xml:space="preserve"> WEC</w:t>
      </w:r>
      <w:r w:rsidRPr="00486DC7">
        <w:t xml:space="preserve"> filing deadlines</w:t>
      </w:r>
      <w:r>
        <w:t>. Furthermore</w:t>
      </w:r>
      <w:r w:rsidR="002D17F5">
        <w:t xml:space="preserve">, the </w:t>
      </w:r>
      <w:r>
        <w:t>EPA is allowing</w:t>
      </w:r>
      <w:r w:rsidRPr="00E610F0">
        <w:t xml:space="preserve"> for netting at the parent company level</w:t>
      </w:r>
      <w:r>
        <w:t>. These revisions in the final rule are expected to</w:t>
      </w:r>
      <w:r w:rsidRPr="00486DC7">
        <w:t xml:space="preserve"> reduce administrative burdens</w:t>
      </w:r>
      <w:r>
        <w:t xml:space="preserve"> </w:t>
      </w:r>
      <w:r w:rsidRPr="00486DC7">
        <w:t xml:space="preserve">and to </w:t>
      </w:r>
      <w:r w:rsidRPr="00D24DC7">
        <w:t xml:space="preserve">minimize uncertainty in the WEC submittal process </w:t>
      </w:r>
      <w:r>
        <w:t>by allowing</w:t>
      </w:r>
      <w:r w:rsidRPr="00D24DC7">
        <w:t xml:space="preserve"> time for verification of methane emissions</w:t>
      </w:r>
      <w:r>
        <w:t xml:space="preserve"> and for the most flexibility for netting methane emissions.</w:t>
      </w:r>
    </w:p>
    <w:p w:rsidR="00CA005D" w:rsidRPr="004D52BC" w:rsidP="008D1380" w14:paraId="511FAB3C" w14:textId="77777777">
      <w:pPr>
        <w:pStyle w:val="StyleBoldBefore6pt"/>
      </w:pPr>
      <w:r w:rsidRPr="004D52BC">
        <w:t>8b. C</w:t>
      </w:r>
      <w:bookmarkEnd w:id="12"/>
      <w:r w:rsidRPr="004D52BC">
        <w:t>onsultations</w:t>
      </w:r>
    </w:p>
    <w:p w:rsidR="00CA005D" w:rsidRPr="004D52BC" w:rsidP="00CA005D" w14:paraId="46F90CE4" w14:textId="77777777">
      <w:pPr>
        <w:rPr>
          <w:i/>
          <w:iCs/>
        </w:rPr>
      </w:pPr>
      <w:r w:rsidRPr="004D52B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2876" w:rsidP="00A42876" w14:paraId="4EC0D3C2" w14:textId="20F25F6C">
      <w:pPr>
        <w:ind w:firstLine="720"/>
      </w:pPr>
      <w:r>
        <w:t>T</w:t>
      </w:r>
      <w:r w:rsidRPr="004107D7">
        <w:t xml:space="preserve">he EPA previously published a Request for Information (RFI) seeking public comment in a non-regulatory docket to collect responses to a range of questions related to the Methane Emissions Reduction Program, including </w:t>
      </w:r>
      <w:r>
        <w:t>related to implementation of the WEC</w:t>
      </w:r>
      <w:r w:rsidRPr="004107D7">
        <w:t xml:space="preserve"> (see Docket Id. No. EPA-HQ-OAR-2022-0875)</w:t>
      </w:r>
      <w:r>
        <w:t xml:space="preserve">. Comments received in response to this RFI were considered in the development of the </w:t>
      </w:r>
      <w:r w:rsidR="001872AE">
        <w:t>final</w:t>
      </w:r>
      <w:r>
        <w:t xml:space="preserve"> rule.</w:t>
      </w:r>
    </w:p>
    <w:p w:rsidR="00A42876" w:rsidP="00A42876" w14:paraId="5688A320" w14:textId="77777777">
      <w:pPr>
        <w:ind w:firstLine="720"/>
      </w:pPr>
    </w:p>
    <w:p w:rsidR="00A42876" w:rsidRPr="001B0264" w:rsidP="00A42876" w14:paraId="52E6E0CF" w14:textId="0D437560">
      <w:pPr>
        <w:ind w:firstLine="720"/>
      </w:pPr>
      <w:r>
        <w:t xml:space="preserve">The respondents under this </w:t>
      </w:r>
      <w:r w:rsidR="001872AE">
        <w:t>final</w:t>
      </w:r>
      <w:r>
        <w:t xml:space="preserve"> rule constitute a subset of the respondents under the GHGRP. The</w:t>
      </w:r>
      <w:r w:rsidRPr="001B0264">
        <w:t xml:space="preserve"> EPA engages in consultations with </w:t>
      </w:r>
      <w:r>
        <w:t xml:space="preserve">GHGRP </w:t>
      </w:r>
      <w:r w:rsidRPr="001B0264">
        <w:t xml:space="preserve">reporters on a regular basis. </w:t>
      </w:r>
      <w:bookmarkStart w:id="13" w:name="_Hlk529459200"/>
      <w:r w:rsidRPr="001B0264">
        <w:t xml:space="preserve">Since the GHGRP’s inception, the EPA has conducted over 140 training webinars reaching over 17,000 people and has responded to approximately 40,000 questions received by our help desk. </w:t>
      </w:r>
      <w:bookmarkEnd w:id="13"/>
      <w:r w:rsidRPr="001B0264">
        <w:t>The EPA also communicates with GHGRP reporters directly after every data submission deadline during our annual verification period. The program maintains an open-door policy and has consulted on numerous occasions with trade associations as well as individual companies with issues or concerns.</w:t>
      </w:r>
      <w:r>
        <w:t xml:space="preserve"> </w:t>
      </w:r>
      <w:r w:rsidRPr="001B0264">
        <w:t>To monitor the usefulness of this data collection, the GHGRP staff are in regular communication with other EPA programs that use the data, such as voluntary and mandatory GHG reduction programs within the Office of Air and Radiation. The EPA also consults regularly with state, local, and tribal environmental control agencies, environmental groups, research entities, and other nongovernmental organizations.</w:t>
      </w:r>
    </w:p>
    <w:p w:rsidR="00A42876" w:rsidRPr="001B0264" w:rsidP="00A42876" w14:paraId="7E4B4B66" w14:textId="77777777">
      <w:pPr>
        <w:ind w:firstLine="720"/>
      </w:pPr>
    </w:p>
    <w:p w:rsidR="00CA005D" w:rsidRPr="004D52BC" w:rsidP="00A42876" w14:paraId="5B4B1B70" w14:textId="7A1D39EB">
      <w:pPr>
        <w:pStyle w:val="BodyTextFirstline05"/>
        <w:rPr>
          <w:rFonts w:eastAsiaTheme="minorEastAsia"/>
          <w:szCs w:val="24"/>
        </w:rPr>
      </w:pPr>
      <w:r w:rsidRPr="008D4AD1">
        <w:t xml:space="preserve">In the current action, the EPA is </w:t>
      </w:r>
      <w:r w:rsidR="00FF04F6">
        <w:t>finalizing</w:t>
      </w:r>
      <w:r w:rsidRPr="008D4AD1" w:rsidR="00FF04F6">
        <w:t xml:space="preserve"> </w:t>
      </w:r>
      <w:r>
        <w:t>requirements</w:t>
      </w:r>
      <w:r w:rsidRPr="008D4AD1">
        <w:t xml:space="preserve"> that </w:t>
      </w:r>
      <w:r>
        <w:t>ensure the availability of data to EPA necessary to carry out a statutory obligation</w:t>
      </w:r>
      <w:r w:rsidRPr="004D52BC">
        <w:rPr>
          <w:rFonts w:eastAsiaTheme="minorEastAsia"/>
          <w:szCs w:val="24"/>
        </w:rPr>
        <w:t>.</w:t>
      </w:r>
    </w:p>
    <w:p w:rsidR="00CA005D" w:rsidRPr="004D52BC" w:rsidP="00FF3ABD" w14:paraId="6B687D10" w14:textId="77777777">
      <w:pPr>
        <w:pStyle w:val="ListParagraph"/>
        <w:numPr>
          <w:ilvl w:val="0"/>
          <w:numId w:val="13"/>
        </w:numPr>
        <w:pBdr>
          <w:bottom w:val="single" w:sz="4" w:space="1" w:color="auto"/>
        </w:pBdr>
        <w:spacing w:before="240" w:line="259" w:lineRule="auto"/>
        <w:outlineLvl w:val="1"/>
        <w:rPr>
          <w:b/>
          <w:bCs/>
        </w:rPr>
      </w:pPr>
      <w:bookmarkStart w:id="14" w:name="_Toc156593378"/>
      <w:r w:rsidRPr="004D52BC">
        <w:rPr>
          <w:b/>
          <w:bCs/>
        </w:rPr>
        <w:t>PAYMENTS OR GIFTS TO RESPONDENTS</w:t>
      </w:r>
      <w:bookmarkEnd w:id="14"/>
    </w:p>
    <w:p w:rsidR="00CA005D" w:rsidRPr="004D52BC" w:rsidP="00CA005D" w14:paraId="2292C5CD" w14:textId="77777777">
      <w:pPr>
        <w:pBdr>
          <w:bottom w:val="single" w:sz="4" w:space="1" w:color="auto"/>
        </w:pBdr>
        <w:spacing w:before="60"/>
      </w:pPr>
      <w:r w:rsidRPr="004D52BC">
        <w:rPr>
          <w:i/>
          <w:iCs/>
        </w:rPr>
        <w:t>Explain any decisions to provide payments or gifts to respondents, other than remuneration of contractors or grantees.</w:t>
      </w:r>
    </w:p>
    <w:p w:rsidR="00CA005D" w:rsidRPr="004D52BC" w:rsidP="00CA005D" w14:paraId="73BB0E07" w14:textId="77777777">
      <w:pPr>
        <w:ind w:firstLine="720"/>
        <w:rPr>
          <w:color w:val="000000"/>
          <w:bdr w:val="none" w:sz="0" w:space="0" w:color="auto" w:frame="1"/>
        </w:rPr>
      </w:pPr>
      <w:r w:rsidRPr="004D52BC">
        <w:rPr>
          <w:rStyle w:val="normaltextrun"/>
          <w:color w:val="000000"/>
          <w:bdr w:val="none" w:sz="0" w:space="0" w:color="auto" w:frame="1"/>
        </w:rPr>
        <w:t>No payments or gifts have been provided to respondents.</w:t>
      </w:r>
    </w:p>
    <w:p w:rsidR="00CA005D" w:rsidRPr="004D52BC" w:rsidP="00FF3ABD" w14:paraId="6A162A76" w14:textId="77777777">
      <w:pPr>
        <w:pStyle w:val="ListParagraph"/>
        <w:numPr>
          <w:ilvl w:val="0"/>
          <w:numId w:val="13"/>
        </w:numPr>
        <w:pBdr>
          <w:bottom w:val="single" w:sz="4" w:space="1" w:color="auto"/>
        </w:pBdr>
        <w:spacing w:before="240" w:line="259" w:lineRule="auto"/>
        <w:outlineLvl w:val="1"/>
        <w:rPr>
          <w:b/>
          <w:bCs/>
        </w:rPr>
      </w:pPr>
      <w:r w:rsidRPr="004D52BC">
        <w:rPr>
          <w:b/>
          <w:bCs/>
        </w:rPr>
        <w:t>ASSURANCE OF CONFIDENTIALITY</w:t>
      </w:r>
    </w:p>
    <w:p w:rsidR="00CA005D" w:rsidRPr="004D52BC" w:rsidP="00CA005D" w14:paraId="6F67DDE3" w14:textId="77777777">
      <w:pPr>
        <w:pBdr>
          <w:bottom w:val="single" w:sz="4" w:space="1" w:color="auto"/>
        </w:pBdr>
        <w:spacing w:before="60"/>
      </w:pPr>
      <w:r w:rsidRPr="004D52BC">
        <w:rPr>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A005D" w:rsidRPr="004D52BC" w:rsidP="00CA005D" w14:paraId="7B6F3A25" w14:textId="0A69C19A">
      <w:pPr>
        <w:pStyle w:val="BodyTextFirstline05"/>
        <w:rPr>
          <w:rFonts w:eastAsiaTheme="minorEastAsia"/>
          <w:szCs w:val="24"/>
        </w:rPr>
      </w:pPr>
      <w:r>
        <w:t xml:space="preserve">In general, emission data collected under CAA section 114 and 208 cannot be declared confidential business information (CBI). However, if any CBI is reported under this </w:t>
      </w:r>
      <w:r w:rsidR="001872AE">
        <w:t>final</w:t>
      </w:r>
      <w:r>
        <w:t xml:space="preserve"> rule, </w:t>
      </w:r>
      <w:r w:rsidR="00FF04F6">
        <w:t xml:space="preserve">the </w:t>
      </w:r>
      <w:r>
        <w:t xml:space="preserve">EPA </w:t>
      </w:r>
      <w:r w:rsidR="00FF04F6">
        <w:t>will</w:t>
      </w:r>
      <w:r>
        <w:t xml:space="preserve"> protect CBI in accordance with regulations in 40 CFR Chapter 1, Part 2, Subpart B. Although CBI determinations are usually made on a case-by-case basis, EPA has issued guidance on what constitutes emissions data that cannot be considered CBI (956 FR 7042 –7043, February 21, 1991). </w:t>
      </w:r>
      <w:r>
        <w:rPr>
          <w:rStyle w:val="ui-provider"/>
        </w:rPr>
        <w:t xml:space="preserve">EPA is </w:t>
      </w:r>
      <w:r w:rsidR="006B4220">
        <w:rPr>
          <w:rStyle w:val="ui-provider"/>
        </w:rPr>
        <w:t>finalizing</w:t>
      </w:r>
      <w:r>
        <w:rPr>
          <w:rStyle w:val="ui-provider"/>
        </w:rPr>
        <w:t xml:space="preserve"> additional provisions for part 99 data consistent with previous guidance</w:t>
      </w:r>
      <w:r w:rsidRPr="004D52BC">
        <w:rPr>
          <w:rFonts w:eastAsiaTheme="minorEastAsia"/>
          <w:szCs w:val="24"/>
        </w:rPr>
        <w:t>.</w:t>
      </w:r>
    </w:p>
    <w:p w:rsidR="00CA005D" w:rsidRPr="004D52BC" w:rsidP="00FF3ABD" w14:paraId="75168CDB" w14:textId="77777777">
      <w:pPr>
        <w:pStyle w:val="ListParagraph"/>
        <w:numPr>
          <w:ilvl w:val="0"/>
          <w:numId w:val="13"/>
        </w:numPr>
        <w:pBdr>
          <w:bottom w:val="single" w:sz="4" w:space="1" w:color="auto"/>
        </w:pBdr>
        <w:spacing w:before="240" w:line="259" w:lineRule="auto"/>
        <w:outlineLvl w:val="1"/>
        <w:rPr>
          <w:b/>
          <w:bCs/>
        </w:rPr>
      </w:pPr>
      <w:bookmarkStart w:id="15" w:name="_Toc156593380"/>
      <w:r w:rsidRPr="004D52BC">
        <w:rPr>
          <w:b/>
          <w:bCs/>
        </w:rPr>
        <w:t>JUSTIFICATION FOR SENSITIVE QUESTIONS</w:t>
      </w:r>
      <w:bookmarkEnd w:id="15"/>
    </w:p>
    <w:p w:rsidR="00CA005D" w:rsidRPr="004D52BC" w:rsidP="00CA005D" w14:paraId="7D26B1A7" w14:textId="77777777">
      <w:pPr>
        <w:pBdr>
          <w:bottom w:val="single" w:sz="4" w:space="1" w:color="auto"/>
        </w:pBdr>
        <w:spacing w:before="60"/>
      </w:pPr>
      <w:r w:rsidRPr="004D52BC">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005D" w:rsidRPr="004D52BC" w:rsidP="00CA005D" w14:paraId="507A5CDC" w14:textId="4D052B02">
      <w:pPr>
        <w:pStyle w:val="BodyTextFirstline05"/>
        <w:rPr>
          <w:rFonts w:eastAsiaTheme="minorEastAsia"/>
          <w:szCs w:val="24"/>
        </w:rPr>
      </w:pPr>
      <w:r w:rsidRPr="001B0264">
        <w:t>The calculation, reporting</w:t>
      </w:r>
      <w:r>
        <w:t>,</w:t>
      </w:r>
      <w:r w:rsidRPr="001B0264">
        <w:t xml:space="preserve"> and recordkeeping requirements in th</w:t>
      </w:r>
      <w:r>
        <w:t xml:space="preserve">is </w:t>
      </w:r>
      <w:r w:rsidR="001872AE">
        <w:t xml:space="preserve">final </w:t>
      </w:r>
      <w:r>
        <w:t>rule at</w:t>
      </w:r>
      <w:r w:rsidRPr="001B0264">
        <w:t xml:space="preserve"> part 9</w:t>
      </w:r>
      <w:r>
        <w:t>9</w:t>
      </w:r>
      <w:r w:rsidRPr="001B0264">
        <w:t xml:space="preserve"> do not include sensitive questions</w:t>
      </w:r>
      <w:r w:rsidRPr="004D52BC">
        <w:rPr>
          <w:rFonts w:eastAsiaTheme="minorEastAsia"/>
          <w:szCs w:val="24"/>
        </w:rPr>
        <w:t>.</w:t>
      </w:r>
    </w:p>
    <w:p w:rsidR="00CA005D" w:rsidRPr="004D52BC" w:rsidP="00FF3ABD" w14:paraId="0149543E" w14:textId="77777777">
      <w:pPr>
        <w:pStyle w:val="ListParagraph"/>
        <w:numPr>
          <w:ilvl w:val="0"/>
          <w:numId w:val="13"/>
        </w:numPr>
        <w:spacing w:before="240" w:line="259" w:lineRule="auto"/>
        <w:rPr>
          <w:b/>
          <w:bCs/>
        </w:rPr>
      </w:pPr>
      <w:bookmarkStart w:id="16" w:name="_Toc156593381"/>
      <w:r w:rsidRPr="004D52BC">
        <w:rPr>
          <w:b/>
          <w:bCs/>
        </w:rPr>
        <w:t>RESPONDENT BURDEN HOURS &amp; LABOR COSTS</w:t>
      </w:r>
      <w:bookmarkStart w:id="17" w:name="_Toc156593382"/>
      <w:bookmarkEnd w:id="16"/>
    </w:p>
    <w:p w:rsidR="00CA005D" w:rsidRPr="004D52BC" w:rsidP="00CA005D" w14:paraId="75318CB6" w14:textId="77777777">
      <w:pPr>
        <w:pStyle w:val="ListParagraph"/>
        <w:ind w:left="0"/>
        <w:rPr>
          <w:i/>
          <w:iCs/>
        </w:rPr>
      </w:pPr>
      <w:r w:rsidRPr="004D52BC">
        <w:rPr>
          <w:i/>
          <w:iCs/>
        </w:rPr>
        <w:t>Provide estimates of the hour burden of the collection of information. The statement should:</w:t>
      </w:r>
    </w:p>
    <w:p w:rsidR="00CA005D" w:rsidRPr="004D52BC" w:rsidP="00FF3ABD" w14:paraId="08F0192F" w14:textId="77777777">
      <w:pPr>
        <w:pStyle w:val="ListParagraph"/>
        <w:numPr>
          <w:ilvl w:val="0"/>
          <w:numId w:val="12"/>
        </w:numPr>
        <w:spacing w:after="160" w:line="259" w:lineRule="auto"/>
        <w:ind w:left="446"/>
        <w:rPr>
          <w:i/>
          <w:iCs/>
        </w:rPr>
      </w:pPr>
      <w:r w:rsidRPr="004D52BC">
        <w:rPr>
          <w:i/>
          <w:iCs/>
        </w:rPr>
        <w:t>Indicate the number of respondents, frequency of response, annual hour burden, and an explanation of how the burden was estimated. Generally, estimates should not include burden hours for customary and usual business practices.</w:t>
      </w:r>
    </w:p>
    <w:p w:rsidR="00CA005D" w:rsidRPr="004D52BC" w:rsidP="00FF3ABD" w14:paraId="7E02D0D9" w14:textId="77777777">
      <w:pPr>
        <w:pStyle w:val="ListParagraph"/>
        <w:numPr>
          <w:ilvl w:val="0"/>
          <w:numId w:val="12"/>
        </w:numPr>
        <w:spacing w:after="160" w:line="259" w:lineRule="auto"/>
        <w:ind w:left="450"/>
        <w:rPr>
          <w:i/>
          <w:iCs/>
        </w:rPr>
      </w:pPr>
      <w:r w:rsidRPr="004D52BC">
        <w:rPr>
          <w:i/>
          <w:iCs/>
        </w:rPr>
        <w:t>If this request for approval covers more than one form, provide separate hour burden estimates for each form and the aggregate the hour burdens.</w:t>
      </w:r>
    </w:p>
    <w:p w:rsidR="00CA005D" w:rsidRPr="004D52BC" w:rsidP="00FF3ABD" w14:paraId="4D131E8D" w14:textId="77777777">
      <w:pPr>
        <w:pStyle w:val="ListParagraph"/>
        <w:numPr>
          <w:ilvl w:val="0"/>
          <w:numId w:val="12"/>
        </w:numPr>
        <w:pBdr>
          <w:bottom w:val="single" w:sz="4" w:space="1" w:color="auto"/>
        </w:pBdr>
        <w:spacing w:after="160" w:line="259" w:lineRule="auto"/>
        <w:ind w:left="446"/>
        <w:rPr>
          <w:i/>
          <w:iCs/>
        </w:rPr>
      </w:pPr>
      <w:r w:rsidRPr="004D52BC">
        <w:rPr>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162887" w:rsidP="00CA005D" w14:paraId="4E980C9C" w14:textId="3B4BD5B9">
      <w:pPr>
        <w:pStyle w:val="BodyTextFirstline05"/>
        <w:rPr>
          <w:rFonts w:eastAsiaTheme="minorEastAsia"/>
          <w:szCs w:val="24"/>
        </w:rPr>
      </w:pPr>
      <w:r w:rsidRPr="001B0264">
        <w:t xml:space="preserve">The respondents in this information collection include owners and operators of facilities that report </w:t>
      </w:r>
      <w:r>
        <w:t xml:space="preserve">more than </w:t>
      </w:r>
      <w:r w:rsidRPr="00351582">
        <w:t>25,000 mt CO</w:t>
      </w:r>
      <w:r w:rsidRPr="004A6587">
        <w:rPr>
          <w:vertAlign w:val="subscript"/>
        </w:rPr>
        <w:t>2</w:t>
      </w:r>
      <w:r w:rsidRPr="00351582">
        <w:t xml:space="preserve">e of </w:t>
      </w:r>
      <w:r>
        <w:t>GHG</w:t>
      </w:r>
      <w:r w:rsidRPr="00351582">
        <w:t xml:space="preserve"> </w:t>
      </w:r>
      <w:r w:rsidRPr="001B0264">
        <w:t xml:space="preserve">emissions to the EPA </w:t>
      </w:r>
      <w:r>
        <w:t>under subpart W of the</w:t>
      </w:r>
      <w:r w:rsidRPr="001B0264">
        <w:t xml:space="preserve"> GHGRP.</w:t>
      </w:r>
      <w:r>
        <w:t xml:space="preserve"> Under the </w:t>
      </w:r>
      <w:r w:rsidR="001872AE">
        <w:t>final</w:t>
      </w:r>
      <w:r>
        <w:t xml:space="preserve"> rule, the entity to which </w:t>
      </w:r>
      <w:r w:rsidR="008F1690">
        <w:t xml:space="preserve">the </w:t>
      </w:r>
      <w:r>
        <w:t>reporting and recordkeeping requirements</w:t>
      </w:r>
      <w:r w:rsidR="008F1690">
        <w:t xml:space="preserve"> of part 99</w:t>
      </w:r>
      <w:r>
        <w:t xml:space="preserve"> directly apply is designated as the “WEC obligated party”. This entity may be responsible for one or more facilities for which information collection is required (designated as a “WEC applicable facility”). For the purpose of estimating burden and cost from this information collection the EPA has assumed that each WEC obligated party is a respondent and that each WEC applicable facility will represent additional estimated reporting burden. The EPA developed estimates of the counts of WEC obligated parties and WEC applicable facilities as part of the </w:t>
      </w:r>
      <w:r w:rsidRPr="008B7137">
        <w:rPr>
          <w:i/>
        </w:rPr>
        <w:t xml:space="preserve">Regulatory Impact Analysis of the </w:t>
      </w:r>
      <w:r w:rsidR="001872AE">
        <w:rPr>
          <w:i/>
        </w:rPr>
        <w:t>Final</w:t>
      </w:r>
      <w:r w:rsidRPr="008B7137" w:rsidR="001872AE">
        <w:rPr>
          <w:i/>
        </w:rPr>
        <w:t xml:space="preserve"> </w:t>
      </w:r>
      <w:r w:rsidRPr="008B7137">
        <w:rPr>
          <w:i/>
        </w:rPr>
        <w:t>Waste Emission Charge</w:t>
      </w:r>
      <w:r>
        <w:rPr>
          <w:i/>
        </w:rPr>
        <w:t xml:space="preserve"> </w:t>
      </w:r>
      <w:r>
        <w:rPr>
          <w:bCs/>
        </w:rPr>
        <w:t xml:space="preserve">(RIA) accompanying the </w:t>
      </w:r>
      <w:r w:rsidR="001872AE">
        <w:rPr>
          <w:bCs/>
        </w:rPr>
        <w:t xml:space="preserve">final </w:t>
      </w:r>
      <w:r>
        <w:rPr>
          <w:bCs/>
        </w:rPr>
        <w:t xml:space="preserve">rule. The RIA is </w:t>
      </w:r>
      <w:r w:rsidRPr="00DC3CBC">
        <w:t>available in the docket</w:t>
      </w:r>
      <w:r>
        <w:t xml:space="preserve"> to this rulemaking, </w:t>
      </w:r>
      <w:r w:rsidRPr="009F2ED2">
        <w:t>Docket Id. No. EPA-HQ-OAR-</w:t>
      </w:r>
      <w:r w:rsidRPr="001B0EA0">
        <w:t>2023-</w:t>
      </w:r>
      <w:r>
        <w:t xml:space="preserve">0434. </w:t>
      </w:r>
      <w:r w:rsidR="008F1690">
        <w:t xml:space="preserve">The respondents that would be subject to </w:t>
      </w:r>
      <w:r w:rsidR="00871B92">
        <w:t>additional incremental burden under part 98 are existing reporters to subpart W of the GHGRP.</w:t>
      </w:r>
      <w:r w:rsidR="008F1690">
        <w:t xml:space="preserve"> </w:t>
      </w:r>
      <w:r>
        <w:t xml:space="preserve">The estimated counts are presented in Exhibit </w:t>
      </w:r>
      <w:r w:rsidR="00FB2085">
        <w:t>12</w:t>
      </w:r>
      <w:r>
        <w:t>.1</w:t>
      </w:r>
      <w:r w:rsidRPr="004D52BC" w:rsidR="00CA005D">
        <w:rPr>
          <w:rFonts w:eastAsiaTheme="minorEastAsia"/>
          <w:szCs w:val="24"/>
        </w:rPr>
        <w:t>.</w:t>
      </w:r>
    </w:p>
    <w:p w:rsidR="00162887" w:rsidP="00162887" w14:paraId="452B0E58" w14:textId="03A468CB">
      <w:pPr>
        <w:keepNext/>
        <w:outlineLvl w:val="3"/>
        <w:rPr>
          <w:b/>
        </w:rPr>
      </w:pPr>
      <w:r w:rsidRPr="00004AA4">
        <w:rPr>
          <w:b/>
          <w:sz w:val="22"/>
          <w:szCs w:val="22"/>
        </w:rPr>
        <w:t xml:space="preserve">Exhibit </w:t>
      </w:r>
      <w:r>
        <w:rPr>
          <w:b/>
          <w:sz w:val="22"/>
          <w:szCs w:val="22"/>
        </w:rPr>
        <w:t>12</w:t>
      </w:r>
      <w:r w:rsidRPr="00004AA4">
        <w:rPr>
          <w:b/>
          <w:sz w:val="22"/>
          <w:szCs w:val="22"/>
        </w:rPr>
        <w:t>.</w:t>
      </w:r>
      <w:r>
        <w:rPr>
          <w:b/>
          <w:sz w:val="22"/>
          <w:szCs w:val="22"/>
        </w:rPr>
        <w:t>1</w:t>
      </w:r>
      <w:r w:rsidRPr="00004AA4">
        <w:rPr>
          <w:b/>
          <w:sz w:val="22"/>
          <w:szCs w:val="22"/>
        </w:rPr>
        <w:t xml:space="preserve">. </w:t>
      </w:r>
      <w:r>
        <w:rPr>
          <w:b/>
          <w:sz w:val="22"/>
          <w:szCs w:val="22"/>
        </w:rPr>
        <w:t>Estimated WEC Obligated Parties and WEC Applicable Facilities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7"/>
        <w:gridCol w:w="3703"/>
      </w:tblGrid>
      <w:tr w14:paraId="2D19BF2A" w14:textId="77777777" w:rsidTr="00005C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15"/>
          <w:tblHeader/>
        </w:trPr>
        <w:tc>
          <w:tcPr>
            <w:tcW w:w="3020" w:type="pct"/>
            <w:shd w:val="clear" w:color="auto" w:fill="auto"/>
            <w:noWrap/>
            <w:vAlign w:val="bottom"/>
          </w:tcPr>
          <w:p w:rsidR="00871B92" w:rsidRPr="00FB7C48" w:rsidP="00005CF3" w14:paraId="1D4EA882" w14:textId="150D9D5A">
            <w:pPr>
              <w:rPr>
                <w:b/>
                <w:bCs/>
              </w:rPr>
            </w:pPr>
            <w:r>
              <w:rPr>
                <w:b/>
                <w:bCs/>
              </w:rPr>
              <w:t>Subpart W Reporters</w:t>
            </w:r>
          </w:p>
        </w:tc>
        <w:tc>
          <w:tcPr>
            <w:tcW w:w="1980" w:type="pct"/>
            <w:shd w:val="clear" w:color="auto" w:fill="auto"/>
          </w:tcPr>
          <w:p w:rsidR="00871B92" w:rsidP="00005CF3" w14:paraId="6DA34EFA" w14:textId="28D8BB32">
            <w:pPr>
              <w:jc w:val="right"/>
            </w:pPr>
            <w:r>
              <w:t>3,105</w:t>
            </w:r>
          </w:p>
        </w:tc>
      </w:tr>
      <w:tr w14:paraId="47890A47" w14:textId="77777777" w:rsidTr="00005CF3">
        <w:tblPrEx>
          <w:tblW w:w="5000" w:type="pct"/>
          <w:tblLook w:val="04A0"/>
        </w:tblPrEx>
        <w:trPr>
          <w:cantSplit/>
          <w:trHeight w:val="215"/>
          <w:tblHeader/>
        </w:trPr>
        <w:tc>
          <w:tcPr>
            <w:tcW w:w="3020" w:type="pct"/>
            <w:shd w:val="clear" w:color="auto" w:fill="auto"/>
            <w:noWrap/>
            <w:vAlign w:val="bottom"/>
          </w:tcPr>
          <w:p w:rsidR="00162887" w:rsidP="00005CF3" w14:paraId="1FD21F36" w14:textId="77777777">
            <w:pPr>
              <w:rPr>
                <w:b/>
                <w:bCs/>
              </w:rPr>
            </w:pPr>
            <w:r w:rsidRPr="00FB7C48">
              <w:rPr>
                <w:b/>
                <w:bCs/>
              </w:rPr>
              <w:t>WEC Obligated Party</w:t>
            </w:r>
          </w:p>
        </w:tc>
        <w:tc>
          <w:tcPr>
            <w:tcW w:w="1980" w:type="pct"/>
            <w:shd w:val="clear" w:color="auto" w:fill="auto"/>
          </w:tcPr>
          <w:p w:rsidR="00162887" w:rsidP="00005CF3" w14:paraId="5B041AE8" w14:textId="6752E8E1">
            <w:pPr>
              <w:jc w:val="right"/>
              <w:rPr>
                <w:b/>
                <w:bCs/>
              </w:rPr>
            </w:pPr>
            <w:r>
              <w:t>535</w:t>
            </w:r>
          </w:p>
        </w:tc>
      </w:tr>
      <w:tr w14:paraId="3A05D4BE" w14:textId="77777777" w:rsidTr="00005CF3">
        <w:tblPrEx>
          <w:tblW w:w="5000" w:type="pct"/>
          <w:tblLook w:val="04A0"/>
        </w:tblPrEx>
        <w:trPr>
          <w:cantSplit/>
          <w:trHeight w:val="215"/>
          <w:tblHeader/>
        </w:trPr>
        <w:tc>
          <w:tcPr>
            <w:tcW w:w="5000" w:type="pct"/>
            <w:gridSpan w:val="2"/>
            <w:shd w:val="clear" w:color="auto" w:fill="auto"/>
            <w:noWrap/>
            <w:vAlign w:val="center"/>
          </w:tcPr>
          <w:p w:rsidR="00162887" w:rsidP="00005CF3" w14:paraId="6F5C1105" w14:textId="77777777">
            <w:pPr>
              <w:rPr>
                <w:b/>
                <w:bCs/>
              </w:rPr>
            </w:pPr>
            <w:r>
              <w:rPr>
                <w:b/>
                <w:bCs/>
              </w:rPr>
              <w:t>WEC Applicable Facilities</w:t>
            </w:r>
          </w:p>
        </w:tc>
      </w:tr>
      <w:tr w14:paraId="7246ACE4" w14:textId="77777777" w:rsidTr="00005CF3">
        <w:tblPrEx>
          <w:tblW w:w="5000" w:type="pct"/>
          <w:tblLook w:val="04A0"/>
        </w:tblPrEx>
        <w:trPr>
          <w:cantSplit/>
          <w:trHeight w:val="287"/>
          <w:tblHeader/>
        </w:trPr>
        <w:tc>
          <w:tcPr>
            <w:tcW w:w="3020" w:type="pct"/>
            <w:shd w:val="clear" w:color="auto" w:fill="auto"/>
            <w:noWrap/>
            <w:vAlign w:val="center"/>
            <w:hideMark/>
          </w:tcPr>
          <w:p w:rsidR="00162887" w:rsidRPr="009355CB" w:rsidP="00005CF3" w14:paraId="0CBF5478" w14:textId="77777777">
            <w:pPr>
              <w:jc w:val="center"/>
              <w:rPr>
                <w:b/>
                <w:bCs/>
              </w:rPr>
            </w:pPr>
            <w:r w:rsidRPr="009355CB">
              <w:rPr>
                <w:b/>
                <w:bCs/>
              </w:rPr>
              <w:t>Industry Segment</w:t>
            </w:r>
          </w:p>
        </w:tc>
        <w:tc>
          <w:tcPr>
            <w:tcW w:w="1980" w:type="pct"/>
            <w:shd w:val="clear" w:color="auto" w:fill="auto"/>
            <w:vAlign w:val="center"/>
            <w:hideMark/>
          </w:tcPr>
          <w:p w:rsidR="00162887" w:rsidRPr="009355CB" w:rsidP="00005CF3" w14:paraId="23183219" w14:textId="77777777">
            <w:pPr>
              <w:jc w:val="center"/>
              <w:rPr>
                <w:b/>
                <w:bCs/>
              </w:rPr>
            </w:pPr>
            <w:r>
              <w:rPr>
                <w:b/>
                <w:bCs/>
              </w:rPr>
              <w:t>Estimated Count</w:t>
            </w:r>
          </w:p>
        </w:tc>
      </w:tr>
      <w:tr w14:paraId="48B74E99"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1C638F6E" w14:textId="77777777">
            <w:r w:rsidRPr="009355CB">
              <w:t>Offshore Petroleum and Natural Gas Production</w:t>
            </w:r>
          </w:p>
        </w:tc>
        <w:tc>
          <w:tcPr>
            <w:tcW w:w="1980" w:type="pct"/>
            <w:shd w:val="clear" w:color="auto" w:fill="auto"/>
            <w:noWrap/>
            <w:vAlign w:val="center"/>
            <w:hideMark/>
          </w:tcPr>
          <w:p w:rsidR="00162887" w:rsidRPr="009355CB" w:rsidP="00005CF3" w14:paraId="32823851" w14:textId="72BCF54C">
            <w:pPr>
              <w:jc w:val="right"/>
            </w:pPr>
            <w:r>
              <w:t>23</w:t>
            </w:r>
          </w:p>
        </w:tc>
      </w:tr>
      <w:tr w14:paraId="4DE323E2"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3B4F0EE3" w14:textId="77777777">
            <w:r w:rsidRPr="009355CB">
              <w:t>Onshore Petroleum and Natural Gas Production</w:t>
            </w:r>
          </w:p>
        </w:tc>
        <w:tc>
          <w:tcPr>
            <w:tcW w:w="1980" w:type="pct"/>
            <w:shd w:val="clear" w:color="auto" w:fill="auto"/>
            <w:noWrap/>
            <w:vAlign w:val="center"/>
            <w:hideMark/>
          </w:tcPr>
          <w:p w:rsidR="00162887" w:rsidRPr="009355CB" w:rsidP="00005CF3" w14:paraId="62FAE2FE" w14:textId="561B6496">
            <w:pPr>
              <w:jc w:val="right"/>
            </w:pPr>
            <w:r>
              <w:t>393</w:t>
            </w:r>
          </w:p>
        </w:tc>
      </w:tr>
      <w:tr w14:paraId="6D1ECE23"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1DE46760" w14:textId="77777777">
            <w:r w:rsidRPr="009355CB">
              <w:t>Onshore Natural Gas Processing</w:t>
            </w:r>
          </w:p>
        </w:tc>
        <w:tc>
          <w:tcPr>
            <w:tcW w:w="1980" w:type="pct"/>
            <w:shd w:val="clear" w:color="auto" w:fill="auto"/>
            <w:noWrap/>
            <w:vAlign w:val="center"/>
            <w:hideMark/>
          </w:tcPr>
          <w:p w:rsidR="00162887" w:rsidRPr="009355CB" w:rsidP="00005CF3" w14:paraId="5E5E9248" w14:textId="73EEB19F">
            <w:pPr>
              <w:jc w:val="right"/>
            </w:pPr>
            <w:r>
              <w:t>180</w:t>
            </w:r>
          </w:p>
        </w:tc>
      </w:tr>
      <w:tr w14:paraId="53C82070"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51D709D4" w14:textId="77777777">
            <w:r w:rsidRPr="009355CB">
              <w:t>Onshore Natural Gas Transmission Compression</w:t>
            </w:r>
          </w:p>
        </w:tc>
        <w:tc>
          <w:tcPr>
            <w:tcW w:w="1980" w:type="pct"/>
            <w:shd w:val="clear" w:color="auto" w:fill="auto"/>
            <w:noWrap/>
            <w:vAlign w:val="center"/>
            <w:hideMark/>
          </w:tcPr>
          <w:p w:rsidR="00162887" w:rsidRPr="009355CB" w:rsidP="00005CF3" w14:paraId="41A0E042" w14:textId="27210684">
            <w:pPr>
              <w:jc w:val="right"/>
            </w:pPr>
            <w:r>
              <w:t>22</w:t>
            </w:r>
          </w:p>
        </w:tc>
      </w:tr>
      <w:tr w14:paraId="23130FC8"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3F914812" w14:textId="77777777">
            <w:r w:rsidRPr="009355CB">
              <w:t>Underground Natural Gas Storage</w:t>
            </w:r>
          </w:p>
        </w:tc>
        <w:tc>
          <w:tcPr>
            <w:tcW w:w="1980" w:type="pct"/>
            <w:shd w:val="clear" w:color="auto" w:fill="auto"/>
            <w:noWrap/>
            <w:vAlign w:val="center"/>
            <w:hideMark/>
          </w:tcPr>
          <w:p w:rsidR="00162887" w:rsidRPr="009355CB" w:rsidP="00005CF3" w14:paraId="4386BD25" w14:textId="3903C334">
            <w:pPr>
              <w:jc w:val="right"/>
            </w:pPr>
            <w:r>
              <w:t>1</w:t>
            </w:r>
          </w:p>
        </w:tc>
      </w:tr>
      <w:tr w14:paraId="50030710"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2D512F3E" w14:textId="77777777">
            <w:r w:rsidRPr="009355CB">
              <w:t xml:space="preserve">LNG Storage </w:t>
            </w:r>
          </w:p>
        </w:tc>
        <w:tc>
          <w:tcPr>
            <w:tcW w:w="1980" w:type="pct"/>
            <w:shd w:val="clear" w:color="auto" w:fill="auto"/>
            <w:noWrap/>
            <w:vAlign w:val="center"/>
            <w:hideMark/>
          </w:tcPr>
          <w:p w:rsidR="00162887" w:rsidRPr="009355CB" w:rsidP="00005CF3" w14:paraId="1E8E3139" w14:textId="77777777">
            <w:pPr>
              <w:jc w:val="right"/>
            </w:pPr>
            <w:r w:rsidRPr="009355CB">
              <w:t>0</w:t>
            </w:r>
          </w:p>
        </w:tc>
      </w:tr>
      <w:tr w14:paraId="7D50F05D"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1F32C2DC" w14:textId="77777777">
            <w:r w:rsidRPr="009355CB">
              <w:t xml:space="preserve">LNG Import and Export Equipment </w:t>
            </w:r>
          </w:p>
        </w:tc>
        <w:tc>
          <w:tcPr>
            <w:tcW w:w="1980" w:type="pct"/>
            <w:shd w:val="clear" w:color="auto" w:fill="auto"/>
            <w:noWrap/>
            <w:vAlign w:val="center"/>
            <w:hideMark/>
          </w:tcPr>
          <w:p w:rsidR="00162887" w:rsidRPr="009355CB" w:rsidP="00005CF3" w14:paraId="796A47C9" w14:textId="60648625">
            <w:pPr>
              <w:jc w:val="right"/>
            </w:pPr>
            <w:r>
              <w:t>7</w:t>
            </w:r>
          </w:p>
        </w:tc>
      </w:tr>
      <w:tr w14:paraId="3574511A"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252213DA" w14:textId="77777777">
            <w:r w:rsidRPr="009355CB">
              <w:t xml:space="preserve">Onshore Petroleum and Natural Gas Gathering and Boosting </w:t>
            </w:r>
          </w:p>
        </w:tc>
        <w:tc>
          <w:tcPr>
            <w:tcW w:w="1980" w:type="pct"/>
            <w:shd w:val="clear" w:color="auto" w:fill="auto"/>
            <w:noWrap/>
            <w:vAlign w:val="center"/>
            <w:hideMark/>
          </w:tcPr>
          <w:p w:rsidR="00162887" w:rsidRPr="009355CB" w:rsidP="00005CF3" w14:paraId="2760539C" w14:textId="0B7B14A2">
            <w:pPr>
              <w:jc w:val="right"/>
            </w:pPr>
            <w:r>
              <w:t>310</w:t>
            </w:r>
          </w:p>
        </w:tc>
      </w:tr>
      <w:tr w14:paraId="7E51DEC0" w14:textId="77777777" w:rsidTr="00005CF3">
        <w:tblPrEx>
          <w:tblW w:w="5000" w:type="pct"/>
          <w:tblLook w:val="04A0"/>
        </w:tblPrEx>
        <w:trPr>
          <w:trHeight w:val="255"/>
        </w:trPr>
        <w:tc>
          <w:tcPr>
            <w:tcW w:w="3020" w:type="pct"/>
            <w:shd w:val="clear" w:color="auto" w:fill="auto"/>
            <w:vAlign w:val="bottom"/>
            <w:hideMark/>
          </w:tcPr>
          <w:p w:rsidR="00162887" w:rsidRPr="009355CB" w:rsidP="00005CF3" w14:paraId="4A582C95" w14:textId="77777777">
            <w:r w:rsidRPr="009355CB">
              <w:t xml:space="preserve">Onshore Natural Gas Transmission Pipeline </w:t>
            </w:r>
          </w:p>
        </w:tc>
        <w:tc>
          <w:tcPr>
            <w:tcW w:w="1980" w:type="pct"/>
            <w:shd w:val="clear" w:color="auto" w:fill="auto"/>
            <w:noWrap/>
            <w:vAlign w:val="center"/>
            <w:hideMark/>
          </w:tcPr>
          <w:p w:rsidR="00162887" w:rsidRPr="009355CB" w:rsidP="00005CF3" w14:paraId="33B33DAD" w14:textId="0BD34081">
            <w:pPr>
              <w:jc w:val="right"/>
            </w:pPr>
            <w:r>
              <w:t>20</w:t>
            </w:r>
          </w:p>
        </w:tc>
      </w:tr>
      <w:tr w14:paraId="35B99C37" w14:textId="77777777" w:rsidTr="00005CF3">
        <w:tblPrEx>
          <w:tblW w:w="5000" w:type="pct"/>
          <w:tblLook w:val="04A0"/>
        </w:tblPrEx>
        <w:trPr>
          <w:trHeight w:val="255"/>
        </w:trPr>
        <w:tc>
          <w:tcPr>
            <w:tcW w:w="3020" w:type="pct"/>
            <w:shd w:val="clear" w:color="auto" w:fill="auto"/>
            <w:vAlign w:val="bottom"/>
            <w:hideMark/>
          </w:tcPr>
          <w:p w:rsidR="00162887" w:rsidRPr="00FB7C48" w:rsidP="00005CF3" w14:paraId="25DB61D7" w14:textId="77777777">
            <w:pPr>
              <w:jc w:val="right"/>
            </w:pPr>
            <w:r w:rsidRPr="00FB7C48">
              <w:t>TOTAL</w:t>
            </w:r>
          </w:p>
        </w:tc>
        <w:tc>
          <w:tcPr>
            <w:tcW w:w="1980" w:type="pct"/>
            <w:shd w:val="clear" w:color="auto" w:fill="auto"/>
            <w:noWrap/>
            <w:hideMark/>
          </w:tcPr>
          <w:p w:rsidR="00162887" w:rsidRPr="009355CB" w:rsidP="00005CF3" w14:paraId="6C4532C5" w14:textId="425E4A70">
            <w:pPr>
              <w:jc w:val="right"/>
              <w:rPr>
                <w:b/>
                <w:bCs/>
              </w:rPr>
            </w:pPr>
            <w:r>
              <w:t>95</w:t>
            </w:r>
            <w:r w:rsidR="00847869">
              <w:t>6</w:t>
            </w:r>
          </w:p>
        </w:tc>
      </w:tr>
    </w:tbl>
    <w:p w:rsidR="00CA005D" w:rsidRPr="004D52BC" w:rsidP="00CA005D" w14:paraId="7187DBAA" w14:textId="0C485957">
      <w:pPr>
        <w:pStyle w:val="BodyTextFirstline05"/>
        <w:rPr>
          <w:rFonts w:eastAsiaTheme="minorEastAsia"/>
          <w:szCs w:val="24"/>
        </w:rPr>
      </w:pPr>
      <w:r w:rsidRPr="004D52BC">
        <w:rPr>
          <w:rFonts w:eastAsiaTheme="minorEastAsia"/>
          <w:szCs w:val="24"/>
        </w:rPr>
        <w:t xml:space="preserve"> </w:t>
      </w:r>
    </w:p>
    <w:p w:rsidR="00CA005D" w:rsidRPr="004D52BC" w:rsidP="002B5E08" w14:paraId="0402FDCD" w14:textId="77777777">
      <w:pPr>
        <w:pStyle w:val="StyleBoldBefore6pt"/>
        <w:keepNext/>
      </w:pPr>
      <w:r w:rsidRPr="004D52BC">
        <w:t>12a. Respondents/NAICS Codes</w:t>
      </w:r>
      <w:bookmarkStart w:id="18" w:name="_Toc156593383"/>
      <w:bookmarkEnd w:id="17"/>
    </w:p>
    <w:p w:rsidR="00E03BEC" w:rsidRPr="001B0264" w:rsidP="00E03BEC" w14:paraId="1F5E1910" w14:textId="48E0291F">
      <w:pPr>
        <w:keepNext/>
        <w:keepLines/>
        <w:ind w:firstLine="540"/>
      </w:pPr>
      <w:r>
        <w:t xml:space="preserve">Respondents under this </w:t>
      </w:r>
      <w:r w:rsidR="001872AE">
        <w:t>final</w:t>
      </w:r>
      <w:r>
        <w:t xml:space="preserve"> rule own or operate facilities in the following segments within the petroleum and natural gas systems industry: </w:t>
      </w:r>
      <w:r w:rsidRPr="00015921">
        <w:t>offshore petroleum and natural gas production, onshore petroleum and natural gas production, onshore natural gas processing, onshore gas transmission compression, underground natural gas storage, liquefied natural gas storage, liquefied natural gas import and export equipment, onshore petroleum and natural gas gathering and boosting, and onshore natural gas transmission pipeline</w:t>
      </w:r>
      <w:r w:rsidRPr="001B0264">
        <w:t xml:space="preserve">. </w:t>
      </w:r>
      <w:r>
        <w:t xml:space="preserve">Exhibit </w:t>
      </w:r>
      <w:r w:rsidR="00453C0E">
        <w:t>12</w:t>
      </w:r>
      <w:r>
        <w:t xml:space="preserve">.2 indicates the North American Industry Classification System (NAICS) codes potentially associated with these respondents. Exhibit </w:t>
      </w:r>
      <w:r w:rsidR="00453C0E">
        <w:t>12</w:t>
      </w:r>
      <w:r>
        <w:t>.2</w:t>
      </w:r>
      <w:r w:rsidRPr="007B78F6">
        <w:t xml:space="preserve"> is not intended to be exhaustive, but rather provides a</w:t>
      </w:r>
      <w:r>
        <w:t xml:space="preserve">n indication of the types of </w:t>
      </w:r>
      <w:r w:rsidRPr="007B78F6">
        <w:t xml:space="preserve">facilities likely to be affected by this </w:t>
      </w:r>
      <w:r>
        <w:t>information collection.</w:t>
      </w:r>
    </w:p>
    <w:p w:rsidR="00E03BEC" w:rsidRPr="001B0264" w:rsidP="00E03BEC" w14:paraId="77F43DB8" w14:textId="77777777">
      <w:pPr>
        <w:keepNext/>
        <w:keepLines/>
        <w:ind w:firstLine="540"/>
      </w:pPr>
    </w:p>
    <w:p w:rsidR="00E03BEC" w:rsidRPr="001B0264" w:rsidP="008E29C2" w14:paraId="6FF0C3E9" w14:textId="75C71210">
      <w:pPr>
        <w:pStyle w:val="GHGPARAGRAPH2"/>
        <w:keepNext/>
        <w:ind w:firstLine="0"/>
        <w:outlineLvl w:val="3"/>
        <w:rPr>
          <w:b/>
        </w:rPr>
      </w:pPr>
      <w:r>
        <w:rPr>
          <w:b/>
        </w:rPr>
        <w:t>Exhibit 12.2</w:t>
      </w:r>
      <w:r w:rsidRPr="001B0264">
        <w:rPr>
          <w:b/>
        </w:rPr>
        <w:t>. Examples of Affected Entities by Category</w:t>
      </w:r>
    </w:p>
    <w:tbl>
      <w:tblPr>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
      <w:tblGrid>
        <w:gridCol w:w="3745"/>
        <w:gridCol w:w="1657"/>
        <w:gridCol w:w="3928"/>
      </w:tblGrid>
      <w:tr w14:paraId="2D457F22" w14:textId="77777777" w:rsidTr="00005CF3">
        <w:tblPrEx>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Ex>
        <w:trPr>
          <w:cantSplit/>
          <w:tblHeader/>
        </w:trPr>
        <w:tc>
          <w:tcPr>
            <w:tcW w:w="2007" w:type="pct"/>
            <w:tcBorders>
              <w:top w:val="double" w:sz="4" w:space="0" w:color="auto"/>
              <w:left w:val="double" w:sz="4" w:space="0" w:color="auto"/>
              <w:bottom w:val="single" w:sz="4" w:space="0" w:color="auto"/>
            </w:tcBorders>
            <w:vAlign w:val="bottom"/>
          </w:tcPr>
          <w:p w:rsidR="00E03BEC" w:rsidRPr="001B0264" w:rsidP="00005CF3" w14:paraId="0298BC75" w14:textId="77777777">
            <w:pPr>
              <w:keepNext/>
              <w:widowControl w:val="0"/>
              <w:jc w:val="center"/>
              <w:rPr>
                <w:b/>
                <w:bCs/>
              </w:rPr>
            </w:pPr>
            <w:r>
              <w:rPr>
                <w:b/>
                <w:bCs/>
              </w:rPr>
              <w:t>Category</w:t>
            </w:r>
          </w:p>
        </w:tc>
        <w:tc>
          <w:tcPr>
            <w:tcW w:w="888" w:type="pct"/>
            <w:tcBorders>
              <w:top w:val="double" w:sz="4" w:space="0" w:color="auto"/>
              <w:bottom w:val="single" w:sz="4" w:space="0" w:color="auto"/>
              <w:right w:val="nil"/>
            </w:tcBorders>
            <w:vAlign w:val="bottom"/>
          </w:tcPr>
          <w:p w:rsidR="00E03BEC" w:rsidRPr="001B0264" w:rsidP="00005CF3" w14:paraId="38827CE4" w14:textId="77777777">
            <w:pPr>
              <w:keepNext/>
              <w:widowControl w:val="0"/>
              <w:jc w:val="center"/>
              <w:rPr>
                <w:b/>
                <w:bCs/>
              </w:rPr>
            </w:pPr>
            <w:r w:rsidRPr="001B0264">
              <w:rPr>
                <w:b/>
                <w:bCs/>
              </w:rPr>
              <w:t>NAICS Codes</w:t>
            </w:r>
          </w:p>
        </w:tc>
        <w:tc>
          <w:tcPr>
            <w:tcW w:w="2105" w:type="pct"/>
            <w:tcBorders>
              <w:top w:val="double" w:sz="4" w:space="0" w:color="auto"/>
              <w:left w:val="nil"/>
              <w:bottom w:val="single" w:sz="4" w:space="0" w:color="auto"/>
              <w:right w:val="double" w:sz="4" w:space="0" w:color="auto"/>
            </w:tcBorders>
            <w:vAlign w:val="bottom"/>
          </w:tcPr>
          <w:p w:rsidR="00E03BEC" w:rsidRPr="001B0264" w:rsidP="00005CF3" w14:paraId="00FE0D01" w14:textId="77777777">
            <w:pPr>
              <w:keepNext/>
              <w:widowControl w:val="0"/>
              <w:jc w:val="center"/>
              <w:rPr>
                <w:b/>
                <w:bCs/>
              </w:rPr>
            </w:pPr>
          </w:p>
        </w:tc>
      </w:tr>
      <w:tr w14:paraId="528F7D76" w14:textId="77777777" w:rsidTr="00005CF3">
        <w:tblPrEx>
          <w:tblW w:w="5000" w:type="pct"/>
          <w:tblInd w:w="110" w:type="dxa"/>
          <w:tblCellMar>
            <w:left w:w="110" w:type="dxa"/>
            <w:right w:w="110" w:type="dxa"/>
          </w:tblCellMar>
          <w:tblLook w:val="0000"/>
        </w:tblPrEx>
        <w:trPr>
          <w:cantSplit/>
        </w:trPr>
        <w:tc>
          <w:tcPr>
            <w:tcW w:w="2007" w:type="pct"/>
            <w:vMerge w:val="restart"/>
            <w:tcBorders>
              <w:top w:val="single" w:sz="4" w:space="0" w:color="auto"/>
              <w:left w:val="double" w:sz="4" w:space="0" w:color="auto"/>
              <w:bottom w:val="single" w:sz="4" w:space="0" w:color="auto"/>
            </w:tcBorders>
          </w:tcPr>
          <w:p w:rsidR="00E03BEC" w:rsidRPr="001B0264" w:rsidP="00005CF3" w14:paraId="5E2B15CA" w14:textId="77777777">
            <w:pPr>
              <w:pStyle w:val="Default"/>
              <w:keepNext/>
              <w:rPr>
                <w:color w:val="auto"/>
              </w:rPr>
            </w:pPr>
            <w:r w:rsidRPr="00A73D67">
              <w:t>Petroleum and Natural Gas Systems</w:t>
            </w:r>
          </w:p>
        </w:tc>
        <w:tc>
          <w:tcPr>
            <w:tcW w:w="888" w:type="pct"/>
            <w:tcBorders>
              <w:top w:val="single" w:sz="4" w:space="0" w:color="auto"/>
              <w:bottom w:val="single" w:sz="4" w:space="0" w:color="auto"/>
              <w:right w:val="nil"/>
            </w:tcBorders>
          </w:tcPr>
          <w:p w:rsidR="00E03BEC" w:rsidRPr="001B0264" w:rsidP="00005CF3" w14:paraId="35EFD4F1" w14:textId="77777777">
            <w:pPr>
              <w:keepNext/>
              <w:rPr>
                <w:bCs/>
              </w:rPr>
            </w:pPr>
            <w:r w:rsidRPr="001B0264">
              <w:rPr>
                <w:bCs/>
              </w:rPr>
              <w:t xml:space="preserve">486210 </w:t>
            </w:r>
          </w:p>
        </w:tc>
        <w:tc>
          <w:tcPr>
            <w:tcW w:w="2105" w:type="pct"/>
            <w:tcBorders>
              <w:top w:val="single" w:sz="4" w:space="0" w:color="auto"/>
              <w:left w:val="nil"/>
              <w:bottom w:val="single" w:sz="4" w:space="0" w:color="auto"/>
              <w:right w:val="double" w:sz="4" w:space="0" w:color="auto"/>
            </w:tcBorders>
          </w:tcPr>
          <w:p w:rsidR="00E03BEC" w:rsidRPr="001B0264" w:rsidP="00005CF3" w14:paraId="4CC8E895" w14:textId="77777777">
            <w:pPr>
              <w:keepNext/>
              <w:rPr>
                <w:bCs/>
              </w:rPr>
            </w:pPr>
            <w:r w:rsidRPr="001B0264">
              <w:rPr>
                <w:bCs/>
              </w:rPr>
              <w:t>Pipeline transportation of natural gas.</w:t>
            </w:r>
          </w:p>
        </w:tc>
      </w:tr>
      <w:tr w14:paraId="51BE8711" w14:textId="77777777" w:rsidTr="00005CF3">
        <w:tblPrEx>
          <w:tblW w:w="5000" w:type="pct"/>
          <w:tblInd w:w="110" w:type="dxa"/>
          <w:tblCellMar>
            <w:left w:w="110" w:type="dxa"/>
            <w:right w:w="110" w:type="dxa"/>
          </w:tblCellMar>
          <w:tblLook w:val="0000"/>
        </w:tblPrEx>
        <w:trPr>
          <w:cantSplit/>
        </w:trPr>
        <w:tc>
          <w:tcPr>
            <w:tcW w:w="2007" w:type="pct"/>
            <w:vMerge/>
            <w:tcBorders>
              <w:top w:val="single" w:sz="4" w:space="0" w:color="auto"/>
              <w:left w:val="double" w:sz="4" w:space="0" w:color="auto"/>
              <w:bottom w:val="single" w:sz="4" w:space="0" w:color="auto"/>
            </w:tcBorders>
          </w:tcPr>
          <w:p w:rsidR="00E03BEC" w:rsidRPr="001B0264" w:rsidP="00005CF3" w14:paraId="65CCEFD5" w14:textId="77777777">
            <w:pPr>
              <w:pStyle w:val="Default"/>
              <w:keepNext/>
              <w:rPr>
                <w:color w:val="auto"/>
              </w:rPr>
            </w:pPr>
          </w:p>
        </w:tc>
        <w:tc>
          <w:tcPr>
            <w:tcW w:w="888" w:type="pct"/>
            <w:tcBorders>
              <w:top w:val="single" w:sz="4" w:space="0" w:color="auto"/>
              <w:bottom w:val="single" w:sz="4" w:space="0" w:color="auto"/>
              <w:right w:val="nil"/>
            </w:tcBorders>
          </w:tcPr>
          <w:p w:rsidR="00E03BEC" w:rsidRPr="001B0264" w:rsidP="00005CF3" w14:paraId="0219A1AA" w14:textId="77777777">
            <w:pPr>
              <w:keepNext/>
              <w:rPr>
                <w:bCs/>
              </w:rPr>
            </w:pPr>
            <w:r w:rsidRPr="001B0264">
              <w:rPr>
                <w:bCs/>
              </w:rPr>
              <w:t>221210</w:t>
            </w:r>
          </w:p>
        </w:tc>
        <w:tc>
          <w:tcPr>
            <w:tcW w:w="2105" w:type="pct"/>
            <w:tcBorders>
              <w:top w:val="single" w:sz="4" w:space="0" w:color="auto"/>
              <w:left w:val="nil"/>
              <w:bottom w:val="single" w:sz="4" w:space="0" w:color="auto"/>
              <w:right w:val="double" w:sz="4" w:space="0" w:color="auto"/>
            </w:tcBorders>
          </w:tcPr>
          <w:p w:rsidR="00E03BEC" w:rsidRPr="001B0264" w:rsidP="00005CF3" w14:paraId="2C5B9DB9" w14:textId="77777777">
            <w:pPr>
              <w:keepNext/>
              <w:rPr>
                <w:bCs/>
              </w:rPr>
            </w:pPr>
            <w:r w:rsidRPr="001B0264">
              <w:rPr>
                <w:bCs/>
              </w:rPr>
              <w:t>Natural gas distribution facilities.</w:t>
            </w:r>
          </w:p>
        </w:tc>
      </w:tr>
      <w:tr w14:paraId="69D3276C" w14:textId="77777777" w:rsidTr="00005CF3">
        <w:tblPrEx>
          <w:tblW w:w="5000" w:type="pct"/>
          <w:tblInd w:w="110" w:type="dxa"/>
          <w:tblCellMar>
            <w:left w:w="110" w:type="dxa"/>
            <w:right w:w="110" w:type="dxa"/>
          </w:tblCellMar>
          <w:tblLook w:val="0000"/>
        </w:tblPrEx>
        <w:trPr>
          <w:cantSplit/>
        </w:trPr>
        <w:tc>
          <w:tcPr>
            <w:tcW w:w="2007" w:type="pct"/>
            <w:vMerge/>
            <w:tcBorders>
              <w:top w:val="single" w:sz="4" w:space="0" w:color="auto"/>
              <w:left w:val="double" w:sz="4" w:space="0" w:color="auto"/>
              <w:bottom w:val="single" w:sz="4" w:space="0" w:color="auto"/>
            </w:tcBorders>
          </w:tcPr>
          <w:p w:rsidR="00E03BEC" w:rsidRPr="001B0264" w:rsidP="00005CF3" w14:paraId="15508540" w14:textId="77777777">
            <w:pPr>
              <w:pStyle w:val="Default"/>
              <w:keepNext/>
              <w:rPr>
                <w:color w:val="auto"/>
              </w:rPr>
            </w:pPr>
          </w:p>
        </w:tc>
        <w:tc>
          <w:tcPr>
            <w:tcW w:w="888" w:type="pct"/>
            <w:tcBorders>
              <w:top w:val="single" w:sz="4" w:space="0" w:color="auto"/>
              <w:bottom w:val="single" w:sz="4" w:space="0" w:color="auto"/>
              <w:right w:val="nil"/>
            </w:tcBorders>
          </w:tcPr>
          <w:p w:rsidR="00E03BEC" w:rsidRPr="001B0264" w:rsidP="00005CF3" w14:paraId="4D149535" w14:textId="77777777">
            <w:pPr>
              <w:keepNext/>
              <w:rPr>
                <w:bCs/>
              </w:rPr>
            </w:pPr>
            <w:r w:rsidRPr="001B0264">
              <w:rPr>
                <w:bCs/>
              </w:rPr>
              <w:t xml:space="preserve">211120 </w:t>
            </w:r>
          </w:p>
        </w:tc>
        <w:tc>
          <w:tcPr>
            <w:tcW w:w="2105" w:type="pct"/>
            <w:tcBorders>
              <w:top w:val="single" w:sz="4" w:space="0" w:color="auto"/>
              <w:left w:val="nil"/>
              <w:bottom w:val="single" w:sz="4" w:space="0" w:color="auto"/>
              <w:right w:val="double" w:sz="4" w:space="0" w:color="auto"/>
            </w:tcBorders>
          </w:tcPr>
          <w:p w:rsidR="00E03BEC" w:rsidRPr="001B0264" w:rsidP="00005CF3" w14:paraId="29ACEB7F" w14:textId="77777777">
            <w:pPr>
              <w:keepNext/>
              <w:rPr>
                <w:bCs/>
              </w:rPr>
            </w:pPr>
            <w:r w:rsidRPr="001B0264">
              <w:rPr>
                <w:bCs/>
              </w:rPr>
              <w:t>Crude petroleum extraction.</w:t>
            </w:r>
          </w:p>
        </w:tc>
      </w:tr>
      <w:tr w14:paraId="3CF20FF9" w14:textId="77777777" w:rsidTr="00005CF3">
        <w:tblPrEx>
          <w:tblW w:w="5000" w:type="pct"/>
          <w:tblInd w:w="110" w:type="dxa"/>
          <w:tblCellMar>
            <w:left w:w="110" w:type="dxa"/>
            <w:right w:w="110" w:type="dxa"/>
          </w:tblCellMar>
          <w:tblLook w:val="0000"/>
        </w:tblPrEx>
        <w:trPr>
          <w:cantSplit/>
        </w:trPr>
        <w:tc>
          <w:tcPr>
            <w:tcW w:w="2007" w:type="pct"/>
            <w:vMerge/>
            <w:tcBorders>
              <w:top w:val="single" w:sz="4" w:space="0" w:color="auto"/>
              <w:left w:val="double" w:sz="4" w:space="0" w:color="auto"/>
              <w:bottom w:val="double" w:sz="4" w:space="0" w:color="auto"/>
            </w:tcBorders>
          </w:tcPr>
          <w:p w:rsidR="00E03BEC" w:rsidRPr="001B0264" w:rsidP="00005CF3" w14:paraId="649C5497" w14:textId="77777777">
            <w:pPr>
              <w:pStyle w:val="Default"/>
              <w:keepNext/>
              <w:rPr>
                <w:color w:val="auto"/>
              </w:rPr>
            </w:pPr>
          </w:p>
        </w:tc>
        <w:tc>
          <w:tcPr>
            <w:tcW w:w="888" w:type="pct"/>
            <w:tcBorders>
              <w:top w:val="single" w:sz="4" w:space="0" w:color="auto"/>
              <w:bottom w:val="double" w:sz="4" w:space="0" w:color="auto"/>
              <w:right w:val="nil"/>
            </w:tcBorders>
          </w:tcPr>
          <w:p w:rsidR="00E03BEC" w:rsidRPr="001B0264" w:rsidP="00005CF3" w14:paraId="5C661672" w14:textId="77777777">
            <w:pPr>
              <w:keepNext/>
              <w:rPr>
                <w:bCs/>
              </w:rPr>
            </w:pPr>
            <w:r w:rsidRPr="001B0264">
              <w:rPr>
                <w:bCs/>
              </w:rPr>
              <w:t>211130</w:t>
            </w:r>
          </w:p>
        </w:tc>
        <w:tc>
          <w:tcPr>
            <w:tcW w:w="2105" w:type="pct"/>
            <w:tcBorders>
              <w:top w:val="single" w:sz="4" w:space="0" w:color="auto"/>
              <w:left w:val="nil"/>
              <w:bottom w:val="double" w:sz="4" w:space="0" w:color="auto"/>
              <w:right w:val="double" w:sz="4" w:space="0" w:color="auto"/>
            </w:tcBorders>
          </w:tcPr>
          <w:p w:rsidR="00E03BEC" w:rsidRPr="001B0264" w:rsidP="00005CF3" w14:paraId="5377FB57" w14:textId="77777777">
            <w:pPr>
              <w:keepNext/>
              <w:rPr>
                <w:bCs/>
              </w:rPr>
            </w:pPr>
            <w:r w:rsidRPr="001B0264">
              <w:rPr>
                <w:bCs/>
              </w:rPr>
              <w:t>Natural gas extraction.</w:t>
            </w:r>
          </w:p>
        </w:tc>
      </w:tr>
    </w:tbl>
    <w:p w:rsidR="00CA005D" w:rsidRPr="004D52BC" w:rsidP="00CA005D" w14:paraId="58B79D85" w14:textId="77777777">
      <w:pPr>
        <w:pBdr>
          <w:top w:val="single" w:sz="6" w:space="0" w:color="FFFFFF"/>
          <w:left w:val="single" w:sz="6" w:space="0" w:color="FFFFFF"/>
          <w:bottom w:val="single" w:sz="6" w:space="0" w:color="FFFFFF"/>
          <w:right w:val="single" w:sz="6" w:space="0" w:color="FFFFFF"/>
        </w:pBdr>
        <w:spacing w:before="60"/>
        <w:rPr>
          <w:color w:val="000000"/>
        </w:rPr>
      </w:pPr>
    </w:p>
    <w:p w:rsidR="00CA005D" w:rsidRPr="004D52BC" w:rsidP="008D1380" w14:paraId="1722E29E" w14:textId="77777777">
      <w:pPr>
        <w:pStyle w:val="StyleBoldBefore6pt"/>
      </w:pPr>
      <w:r w:rsidRPr="004D52BC">
        <w:t>12b. Information Requested</w:t>
      </w:r>
      <w:bookmarkStart w:id="19" w:name="_Toc156593384"/>
      <w:bookmarkEnd w:id="18"/>
    </w:p>
    <w:p w:rsidR="00CA005D" w:rsidRPr="004D52BC" w:rsidP="008D1380" w14:paraId="6783ADCD" w14:textId="77777777">
      <w:pPr>
        <w:pStyle w:val="StyleBodyTextFirstline05BoldFirstline025"/>
        <w:rPr>
          <w:rFonts w:eastAsiaTheme="minorEastAsia"/>
        </w:rPr>
      </w:pPr>
      <w:r w:rsidRPr="004D52BC">
        <w:rPr>
          <w:rFonts w:eastAsiaTheme="minorEastAsia"/>
        </w:rPr>
        <w:t>Data Items</w:t>
      </w:r>
    </w:p>
    <w:p w:rsidR="00CA005D" w:rsidRPr="004D52BC" w:rsidP="00CA005D" w14:paraId="41AF90A0" w14:textId="77777777">
      <w:pPr>
        <w:pStyle w:val="BodyTextFirstline05"/>
        <w:ind w:firstLine="360"/>
        <w:rPr>
          <w:rFonts w:eastAsiaTheme="minorEastAsia"/>
          <w:szCs w:val="24"/>
        </w:rPr>
      </w:pPr>
      <w:r w:rsidRPr="004D52BC">
        <w:rPr>
          <w:rFonts w:eastAsiaTheme="minorEastAsia"/>
          <w:szCs w:val="24"/>
        </w:rPr>
        <w:t xml:space="preserve">This section characterizes the information being collected under the final rule, as well as the activities associated with developing, submitting, or filing that information. </w:t>
      </w:r>
    </w:p>
    <w:p w:rsidR="0046685A" w:rsidP="0046685A" w14:paraId="2D13FA34" w14:textId="391622EE">
      <w:pPr>
        <w:ind w:firstLine="720"/>
      </w:pPr>
      <w:r>
        <w:t xml:space="preserve">The information to be collected under the </w:t>
      </w:r>
      <w:r w:rsidR="001872AE">
        <w:t xml:space="preserve">final </w:t>
      </w:r>
      <w:r>
        <w:t xml:space="preserve">rule </w:t>
      </w:r>
      <w:r w:rsidR="00786E49">
        <w:t xml:space="preserve">at part 99 </w:t>
      </w:r>
      <w:r>
        <w:t>include</w:t>
      </w:r>
      <w:r w:rsidR="00786E49">
        <w:t>s</w:t>
      </w:r>
      <w:r>
        <w:t>:</w:t>
      </w:r>
    </w:p>
    <w:p w:rsidR="0046685A" w:rsidP="00FF3ABD" w14:paraId="72726305" w14:textId="2146CD12">
      <w:pPr>
        <w:pStyle w:val="ListParagraph"/>
        <w:numPr>
          <w:ilvl w:val="0"/>
          <w:numId w:val="11"/>
        </w:numPr>
      </w:pPr>
      <w:r>
        <w:t>Reporting requirements at the WEC obligated party level at 40 CFR 99.7(b)(1):</w:t>
      </w:r>
    </w:p>
    <w:p w:rsidR="00B86DF6" w:rsidP="00A50DD1" w14:paraId="0F64D9EA" w14:textId="2C07D4B5">
      <w:pPr>
        <w:pStyle w:val="ListParagraph"/>
        <w:numPr>
          <w:ilvl w:val="1"/>
          <w:numId w:val="11"/>
        </w:numPr>
      </w:pPr>
      <w:r>
        <w:t>Annual certificate of representation (40 CFR 99.4(i))</w:t>
      </w:r>
      <w:r w:rsidR="00A50DD1">
        <w:t>.</w:t>
      </w:r>
    </w:p>
    <w:p w:rsidR="0046685A" w:rsidP="00FF3ABD" w14:paraId="294DB79F" w14:textId="77777777">
      <w:pPr>
        <w:pStyle w:val="ListParagraph"/>
        <w:numPr>
          <w:ilvl w:val="1"/>
          <w:numId w:val="11"/>
        </w:numPr>
      </w:pPr>
      <w:r>
        <w:t>The company name (40 CFR 99.7(b)(1)(i)).</w:t>
      </w:r>
    </w:p>
    <w:p w:rsidR="00A621F3" w:rsidP="00F34D1C" w14:paraId="4CCC73AE" w14:textId="023F47B2">
      <w:pPr>
        <w:pStyle w:val="ListParagraph"/>
        <w:numPr>
          <w:ilvl w:val="1"/>
          <w:numId w:val="11"/>
        </w:numPr>
      </w:pPr>
      <w:r>
        <w:t>The United States address for the company (40 CFR 99.7(b)(1)(ii)).</w:t>
      </w:r>
      <w:r>
        <w:t xml:space="preserve"> </w:t>
      </w:r>
    </w:p>
    <w:p w:rsidR="00A621F3" w:rsidP="00A621F3" w14:paraId="5A7EBE8A" w14:textId="45B9AA3E">
      <w:pPr>
        <w:pStyle w:val="ListParagraph"/>
        <w:numPr>
          <w:ilvl w:val="1"/>
          <w:numId w:val="11"/>
        </w:numPr>
      </w:pPr>
      <w:r>
        <w:t xml:space="preserve">The list of </w:t>
      </w:r>
      <w:r w:rsidR="00A01C18">
        <w:t>reporting ID</w:t>
      </w:r>
      <w:r>
        <w:t>(s) under which the WEC applicable facilities comprising the WEC obligated party as of December 31 of the year for which data are reported under subpart W of the GHGRP (40 CFR 99.7(b)(1)(iv)).</w:t>
      </w:r>
    </w:p>
    <w:p w:rsidR="0046685A" w:rsidP="00FF3ABD" w14:paraId="30DCC7F0" w14:textId="7EC4E768">
      <w:pPr>
        <w:pStyle w:val="ListParagraph"/>
        <w:numPr>
          <w:ilvl w:val="1"/>
          <w:numId w:val="11"/>
        </w:numPr>
      </w:pPr>
      <w:r>
        <w:t xml:space="preserve">The net WEC </w:t>
      </w:r>
      <w:r w:rsidR="00F01C8A">
        <w:t xml:space="preserve">applicable </w:t>
      </w:r>
      <w:r>
        <w:t>emissions as calculated in accordance with the rule (40 CFR 99.7(b)(1)(v)).</w:t>
      </w:r>
    </w:p>
    <w:p w:rsidR="0046685A" w:rsidP="00FF3ABD" w14:paraId="20EEFF42" w14:textId="62EE8DA5">
      <w:pPr>
        <w:pStyle w:val="ListParagraph"/>
        <w:numPr>
          <w:ilvl w:val="0"/>
          <w:numId w:val="11"/>
        </w:numPr>
      </w:pPr>
      <w:r>
        <w:t>Reporting requirements for each WEC applicable facility comprising the WEC obligated party at 40 CFR 99.7(b)(2):</w:t>
      </w:r>
    </w:p>
    <w:p w:rsidR="001E1EBC" w:rsidP="001E1EBC" w14:paraId="761D2913" w14:textId="74BCDF5C">
      <w:pPr>
        <w:pStyle w:val="ListParagraph"/>
        <w:numPr>
          <w:ilvl w:val="1"/>
          <w:numId w:val="11"/>
        </w:numPr>
      </w:pPr>
      <w:r>
        <w:t xml:space="preserve">The </w:t>
      </w:r>
      <w:r w:rsidR="0064224F">
        <w:t>reporting</w:t>
      </w:r>
      <w:r>
        <w:t xml:space="preserve"> ID under which the WEC applicable facility emissions are reported under subpart W of the GHGRP (40 CFR 99.7(b)(2)(i)).</w:t>
      </w:r>
    </w:p>
    <w:p w:rsidR="0046685A" w:rsidP="00FF3ABD" w14:paraId="5BDCE35B" w14:textId="77777777">
      <w:pPr>
        <w:pStyle w:val="ListParagraph"/>
        <w:numPr>
          <w:ilvl w:val="1"/>
          <w:numId w:val="11"/>
        </w:numPr>
      </w:pPr>
      <w:r>
        <w:t>The industry segment for the WEC applicable facility (40 CFR 99.7(b)(2)(ii)).</w:t>
      </w:r>
    </w:p>
    <w:p w:rsidR="0046685A" w:rsidP="00FF3ABD" w14:paraId="440AF1E0" w14:textId="77777777">
      <w:pPr>
        <w:pStyle w:val="ListParagraph"/>
        <w:numPr>
          <w:ilvl w:val="1"/>
          <w:numId w:val="11"/>
        </w:numPr>
      </w:pPr>
      <w:r>
        <w:t>If the WEC applicable facility is in the offshore petroleum and natural gas production or onshore petroleum and natural gas production industry, an indication of whether the facility has emissions related to an unreasonable delay in permitting of gathering or transmission infrastructure (40 CFR 99.7(b)(2)(iii)).</w:t>
      </w:r>
    </w:p>
    <w:p w:rsidR="0046685A" w:rsidP="00FF3ABD" w14:paraId="72EDF3B7" w14:textId="66AF92F0">
      <w:pPr>
        <w:pStyle w:val="ListParagraph"/>
        <w:numPr>
          <w:ilvl w:val="1"/>
          <w:numId w:val="11"/>
        </w:numPr>
      </w:pPr>
      <w:r>
        <w:t>If</w:t>
      </w:r>
      <w:r>
        <w:t xml:space="preserve"> the </w:t>
      </w:r>
      <w:r w:rsidR="00E825DC">
        <w:t xml:space="preserve">WEC applicable facility meets </w:t>
      </w:r>
      <w:r>
        <w:t>conditions specified in the rule for the availability of the regulatory compliance exemption are met, a regulatory compliance exemption filing is required (40 CFR 99.7(b)(2)(iv)).</w:t>
      </w:r>
    </w:p>
    <w:p w:rsidR="0046685A" w:rsidP="00FF3ABD" w14:paraId="2DABAF6A" w14:textId="6A396D45">
      <w:pPr>
        <w:pStyle w:val="ListParagraph"/>
        <w:numPr>
          <w:ilvl w:val="1"/>
          <w:numId w:val="11"/>
        </w:numPr>
      </w:pPr>
      <w:r>
        <w:t xml:space="preserve">If the WEC applicable </w:t>
      </w:r>
      <w:r w:rsidR="00341D9A">
        <w:t>facility</w:t>
      </w:r>
      <w:r>
        <w:t xml:space="preserve"> </w:t>
      </w:r>
      <w:r w:rsidR="003C5BD9">
        <w:t>meets conditions specified in the rule for the availability of the</w:t>
      </w:r>
      <w:r>
        <w:t xml:space="preserve"> plugged well exemption</w:t>
      </w:r>
      <w:r w:rsidR="003C5BD9">
        <w:t>, a plugged well exemption</w:t>
      </w:r>
      <w:r>
        <w:t xml:space="preserve"> filing is required (40 CFR 99.7(b)(2)(v)).</w:t>
      </w:r>
    </w:p>
    <w:p w:rsidR="0046685A" w:rsidP="00FF3ABD" w14:paraId="2E7539C5" w14:textId="3821DB70">
      <w:pPr>
        <w:pStyle w:val="ListParagraph"/>
        <w:numPr>
          <w:ilvl w:val="1"/>
          <w:numId w:val="11"/>
        </w:numPr>
      </w:pPr>
      <w:r>
        <w:t>The waste emissions threshold and WEC applicable emissions, as calculated in accordance with the rule (40 CFR 99.7(b)(2)(vi)).</w:t>
      </w:r>
    </w:p>
    <w:p w:rsidR="0046685A" w:rsidP="00FF3ABD" w14:paraId="6236003F" w14:textId="77777777">
      <w:pPr>
        <w:pStyle w:val="ListParagraph"/>
        <w:numPr>
          <w:ilvl w:val="0"/>
          <w:numId w:val="11"/>
        </w:numPr>
      </w:pPr>
      <w:r>
        <w:t>Reporting requirements for the unreasonable delay exemption (40 CFR 99.31(b)):</w:t>
      </w:r>
    </w:p>
    <w:p w:rsidR="0046685A" w:rsidP="00FF3ABD" w14:paraId="4CB46E3E" w14:textId="77777777">
      <w:pPr>
        <w:pStyle w:val="ListParagraph"/>
        <w:numPr>
          <w:ilvl w:val="1"/>
          <w:numId w:val="11"/>
        </w:numPr>
      </w:pPr>
      <w:r>
        <w:t>The company name and name of the facility that submitted the permit application to</w:t>
      </w:r>
      <w:r w:rsidRPr="00C4385F">
        <w:t xml:space="preserve"> </w:t>
      </w:r>
      <w:r>
        <w:t>construct and/or operate gathering or transmission infrastructure (40 CFR 99.31(b)(1)).</w:t>
      </w:r>
    </w:p>
    <w:p w:rsidR="0046685A" w:rsidP="00FF3ABD" w14:paraId="40F615F1" w14:textId="228CBC95">
      <w:pPr>
        <w:pStyle w:val="ListParagraph"/>
        <w:numPr>
          <w:ilvl w:val="1"/>
          <w:numId w:val="11"/>
        </w:numPr>
      </w:pPr>
      <w:r>
        <w:t>For a WEC applicable facility in the onshore production industry segment, the well-pad ID of each well-pad</w:t>
      </w:r>
      <w:r>
        <w:t xml:space="preserve"> impacted by the </w:t>
      </w:r>
      <w:r w:rsidRPr="00BC5421">
        <w:t xml:space="preserve">unreasonable delay in </w:t>
      </w:r>
      <w:r>
        <w:t xml:space="preserve">environmental </w:t>
      </w:r>
      <w:r w:rsidRPr="00BC5421">
        <w:t>permitting of gathering or transmission infrastructure</w:t>
      </w:r>
      <w:r>
        <w:t xml:space="preserve"> (40 CFR 99.31(b)(2)).</w:t>
      </w:r>
    </w:p>
    <w:p w:rsidR="0046685A" w:rsidP="00FF3ABD" w14:paraId="3BB49B16" w14:textId="2344A877">
      <w:pPr>
        <w:pStyle w:val="ListParagraph"/>
        <w:numPr>
          <w:ilvl w:val="1"/>
          <w:numId w:val="11"/>
        </w:numPr>
      </w:pPr>
      <w:r>
        <w:t xml:space="preserve">The date of the initial permit request to build </w:t>
      </w:r>
      <w:r w:rsidRPr="00BC5421">
        <w:t>gathering or transmission infrastructure</w:t>
      </w:r>
      <w:r w:rsidR="00A5417D">
        <w:t xml:space="preserve"> was submitted to the permitting authority and the date the permitting authority determined the application to be technically complete</w:t>
      </w:r>
      <w:r>
        <w:t xml:space="preserve"> (40 CFR 99.31(b)(3)).</w:t>
      </w:r>
    </w:p>
    <w:p w:rsidR="0046685A" w:rsidP="00FF3ABD" w14:paraId="1AAE8159" w14:textId="761368E4">
      <w:pPr>
        <w:pStyle w:val="ListParagraph"/>
        <w:numPr>
          <w:ilvl w:val="1"/>
          <w:numId w:val="11"/>
        </w:numPr>
      </w:pPr>
      <w:r>
        <w:t>An attestation that the entity seeking the permit has been responsive to the relevant authority regarding the permit application</w:t>
      </w:r>
      <w:r w:rsidR="00370222">
        <w:t xml:space="preserve"> and is not a plaintiff in litigation related to the environmental permit application</w:t>
      </w:r>
      <w:r>
        <w:t xml:space="preserve"> (40 CFR 99.31(b)(4)).</w:t>
      </w:r>
    </w:p>
    <w:p w:rsidR="0046685A" w:rsidP="00FF3ABD" w14:paraId="33A4EB74" w14:textId="4C3B6BE5">
      <w:pPr>
        <w:pStyle w:val="ListParagraph"/>
        <w:numPr>
          <w:ilvl w:val="1"/>
          <w:numId w:val="11"/>
        </w:numPr>
      </w:pPr>
      <w:bookmarkStart w:id="20" w:name="_Hlk172586452"/>
      <w:r>
        <w:t>A listing of</w:t>
      </w:r>
      <w:r w:rsidRPr="00557A98">
        <w:t xml:space="preserve"> methane emissions mitigation </w:t>
      </w:r>
      <w:r>
        <w:t>activities that are impacted by the unreasonable permitting delay</w:t>
      </w:r>
      <w:bookmarkEnd w:id="20"/>
      <w:r>
        <w:t xml:space="preserve"> (40 CFR 99.31(b)(5)).</w:t>
      </w:r>
    </w:p>
    <w:p w:rsidR="0046685A" w:rsidP="00FF3ABD" w14:paraId="58E99CDA" w14:textId="1EA6FC19">
      <w:pPr>
        <w:pStyle w:val="ListParagraph"/>
        <w:numPr>
          <w:ilvl w:val="1"/>
          <w:numId w:val="11"/>
        </w:numPr>
      </w:pPr>
      <w:r>
        <w:t xml:space="preserve">The estimated date to commence operation of the </w:t>
      </w:r>
      <w:r w:rsidRPr="00BC5421">
        <w:t>gathering or transmission infrastructure</w:t>
      </w:r>
      <w:r>
        <w:t xml:space="preserve"> if application had been approved within </w:t>
      </w:r>
      <w:r w:rsidR="00B23D78">
        <w:t>36 months</w:t>
      </w:r>
      <w:r>
        <w:t xml:space="preserve"> (40 CFR 99.31(b)(6)).</w:t>
      </w:r>
    </w:p>
    <w:p w:rsidR="0046685A" w:rsidP="00FF3ABD" w14:paraId="15333DA0" w14:textId="77777777">
      <w:pPr>
        <w:pStyle w:val="ListParagraph"/>
        <w:numPr>
          <w:ilvl w:val="1"/>
          <w:numId w:val="11"/>
        </w:numPr>
      </w:pPr>
      <w:r>
        <w:t>If the application has been approved and operations commenced during the reporting year, the first date that offtake to the gathering or transmission infrastructure from the implementation of methane emissions mitigation occurred (40 CFR 99.31(b)(7)).</w:t>
      </w:r>
    </w:p>
    <w:p w:rsidR="0046685A" w:rsidP="00FF3ABD" w14:paraId="69CFE236" w14:textId="0721FEA3">
      <w:pPr>
        <w:pStyle w:val="ListParagraph"/>
        <w:numPr>
          <w:ilvl w:val="1"/>
          <w:numId w:val="11"/>
        </w:numPr>
      </w:pPr>
      <w:r>
        <w:t xml:space="preserve">The beginning and ending date for which the eligible delay limited the offtake of </w:t>
      </w:r>
      <w:r w:rsidR="00FA65D3">
        <w:t>increased volume</w:t>
      </w:r>
      <w:r>
        <w:t xml:space="preserve"> associated with methane emissions mitigation activities during the reporting year (40 CFR 99.31(b)(8)).</w:t>
      </w:r>
    </w:p>
    <w:p w:rsidR="0046685A" w:rsidP="00FF3ABD" w14:paraId="67262F92" w14:textId="3E32657E">
      <w:pPr>
        <w:pStyle w:val="ListParagraph"/>
        <w:numPr>
          <w:ilvl w:val="1"/>
          <w:numId w:val="11"/>
        </w:numPr>
      </w:pPr>
      <w:r>
        <w:t xml:space="preserve">The </w:t>
      </w:r>
      <w:r w:rsidR="00A74F37">
        <w:t>increased volume of gas resulting from methane emissions mitigation implementation as determined according to the rule</w:t>
      </w:r>
      <w:r>
        <w:t xml:space="preserve"> (40 CFR 99.31(b)(9)).</w:t>
      </w:r>
    </w:p>
    <w:p w:rsidR="004257A5" w:rsidP="004257A5" w14:paraId="2012757C" w14:textId="48EBD0A2">
      <w:pPr>
        <w:pStyle w:val="ListParagraph"/>
        <w:numPr>
          <w:ilvl w:val="1"/>
          <w:numId w:val="11"/>
        </w:numPr>
      </w:pPr>
      <w:r>
        <w:t>The quantity of methane emissions to be exempted due to the unreasonable delay for the reporting year calculated as specified in the rule</w:t>
      </w:r>
      <w:r w:rsidR="00EE60FF">
        <w:t>, and associated data elements used in the calculation of methane emissions</w:t>
      </w:r>
      <w:r>
        <w:t xml:space="preserve"> (40 CFR 99.31(b)(10)).</w:t>
      </w:r>
    </w:p>
    <w:p w:rsidR="00A74F37" w:rsidP="00FF3ABD" w14:paraId="537492DD" w14:textId="555AAF1E">
      <w:pPr>
        <w:pStyle w:val="ListParagraph"/>
        <w:numPr>
          <w:ilvl w:val="1"/>
          <w:numId w:val="11"/>
        </w:numPr>
      </w:pPr>
      <w:r w:rsidRPr="00301EAB">
        <w:t>A</w:t>
      </w:r>
      <w:r>
        <w:t xml:space="preserve"> list</w:t>
      </w:r>
      <w:r w:rsidRPr="00301EAB">
        <w:t xml:space="preserve"> of all applicable local, state, and federal regulations regarding</w:t>
      </w:r>
      <w:r>
        <w:t xml:space="preserve"> </w:t>
      </w:r>
      <w:r w:rsidRPr="00E610F0">
        <w:t>the activities</w:t>
      </w:r>
      <w:r>
        <w:t xml:space="preserve"> </w:t>
      </w:r>
      <w:r w:rsidRPr="00301EAB">
        <w:t>that occurred as a result of a delay in environmental permitting of gathering or transmission</w:t>
      </w:r>
      <w:r>
        <w:t xml:space="preserve">, </w:t>
      </w:r>
      <w:r w:rsidRPr="008252A2">
        <w:t>and</w:t>
      </w:r>
      <w:r w:rsidRPr="00301EAB">
        <w:t xml:space="preserve"> </w:t>
      </w:r>
      <w:r>
        <w:t xml:space="preserve">an </w:t>
      </w:r>
      <w:r w:rsidRPr="00301EAB">
        <w:t>attestation of the facility’s compliance status for each</w:t>
      </w:r>
      <w:r>
        <w:t xml:space="preserve"> (40 CFR 99.31(b)(11)).</w:t>
      </w:r>
    </w:p>
    <w:p w:rsidR="00BB6698" w:rsidP="00101C21" w14:paraId="1C79AA49" w14:textId="5E74DFD7">
      <w:pPr>
        <w:pStyle w:val="ListParagraph"/>
        <w:numPr>
          <w:ilvl w:val="1"/>
          <w:numId w:val="11"/>
        </w:numPr>
      </w:pPr>
      <w:r>
        <w:t>For each environmental permit relevant to the exemption, the name/type of permit, permitting agency, contact information at the permitting agency, and a link to information on the permit (e.g., available through the permitting agency), if available (40 CFR 99.31(b)(12)).</w:t>
      </w:r>
    </w:p>
    <w:p w:rsidR="0046685A" w:rsidP="00FF3ABD" w14:paraId="3EFBDAD7" w14:textId="77777777">
      <w:pPr>
        <w:pStyle w:val="ListParagraph"/>
        <w:numPr>
          <w:ilvl w:val="0"/>
          <w:numId w:val="11"/>
        </w:numPr>
      </w:pPr>
      <w:r>
        <w:t>Reporting requirements for the regulatory compliance exemption (40 CFR 99.41(b)):</w:t>
      </w:r>
    </w:p>
    <w:p w:rsidR="0046685A" w:rsidP="00FF3ABD" w14:paraId="5F074C09" w14:textId="2E6C680B">
      <w:pPr>
        <w:pStyle w:val="ListParagraph"/>
        <w:numPr>
          <w:ilvl w:val="1"/>
          <w:numId w:val="11"/>
        </w:numPr>
      </w:pPr>
      <w:r>
        <w:t xml:space="preserve">ICIS-AIR ID (or if not available, Facility Registry Service ID) and EPA Registry ID from CEDRI  associated with </w:t>
      </w:r>
      <w:r w:rsidRPr="005750A0">
        <w:t>each affected facility</w:t>
      </w:r>
      <w:r>
        <w:t xml:space="preserve"> and designated facility located at the WEC applicable facility (40 CFR 99.41(b)(</w:t>
      </w:r>
      <w:r w:rsidR="003C5540">
        <w:t>2</w:t>
      </w:r>
      <w:r>
        <w:t>)).</w:t>
      </w:r>
    </w:p>
    <w:p w:rsidR="0046685A" w:rsidP="00FF3ABD" w14:paraId="35FCDE9F" w14:textId="0FE03C99">
      <w:pPr>
        <w:pStyle w:val="ListParagraph"/>
        <w:numPr>
          <w:ilvl w:val="1"/>
          <w:numId w:val="11"/>
        </w:numPr>
      </w:pPr>
      <w:r>
        <w:rPr>
          <w:iCs/>
        </w:rPr>
        <w:t xml:space="preserve">An indication of the compliance status with methane emissions requirements for </w:t>
      </w:r>
      <w:r>
        <w:t>all affected facilities subject to the requirements of subpart OOOOb of 40 CFR part 60</w:t>
      </w:r>
      <w:r w:rsidRPr="005750A0">
        <w:t xml:space="preserve"> </w:t>
      </w:r>
      <w:r>
        <w:t>and all designated facilities subject to the requirements of</w:t>
      </w:r>
      <w:r w:rsidRPr="005750A0">
        <w:t xml:space="preserve"> an applicable approved state plan or applicable Federal plan in</w:t>
      </w:r>
      <w:r>
        <w:t xml:space="preserve"> 40 CFR</w:t>
      </w:r>
      <w:r w:rsidRPr="005750A0">
        <w:t xml:space="preserve"> part 62</w:t>
      </w:r>
      <w:r>
        <w:t>, located at the WEC applicable facility (40 CFR 99.41(b)(</w:t>
      </w:r>
      <w:r w:rsidR="00A41AD1">
        <w:t>5</w:t>
      </w:r>
      <w:r>
        <w:t>)).</w:t>
      </w:r>
    </w:p>
    <w:p w:rsidR="0046685A" w:rsidP="00FF3ABD" w14:paraId="40F53C13" w14:textId="66D7DD0F">
      <w:pPr>
        <w:pStyle w:val="ListParagraph"/>
        <w:numPr>
          <w:ilvl w:val="1"/>
          <w:numId w:val="11"/>
        </w:numPr>
      </w:pPr>
      <w:r>
        <w:t>A</w:t>
      </w:r>
      <w:r>
        <w:t>nnual compliance report(s) for each affected facility or designated facility at the WEC applicable facility (40 CFR 99.41(b)(3</w:t>
      </w:r>
      <w:r w:rsidR="00154CCB">
        <w:t>-5</w:t>
      </w:r>
      <w:r>
        <w:t>)</w:t>
      </w:r>
      <w:r w:rsidR="002B1D44">
        <w:t>, (c),</w:t>
      </w:r>
      <w:r w:rsidR="00131E46">
        <w:t xml:space="preserve"> and (</w:t>
      </w:r>
      <w:r w:rsidR="002B1D44">
        <w:t>d</w:t>
      </w:r>
      <w:r w:rsidR="00131E46">
        <w:t>)</w:t>
      </w:r>
      <w:r>
        <w:t>).</w:t>
      </w:r>
    </w:p>
    <w:p w:rsidR="00144C44" w:rsidP="00FF3ABD" w14:paraId="1AEF104C" w14:textId="6AFC81DD">
      <w:pPr>
        <w:pStyle w:val="ListParagraph"/>
        <w:numPr>
          <w:ilvl w:val="1"/>
          <w:numId w:val="11"/>
        </w:numPr>
      </w:pPr>
      <w:r>
        <w:t xml:space="preserve">For reports that indicate a deviation or violation, the number of calendar quarters </w:t>
      </w:r>
      <w:r w:rsidR="00376AA5">
        <w:t>during which there was no reported deviation or violation</w:t>
      </w:r>
      <w:r w:rsidR="00FE6A46">
        <w:t xml:space="preserve"> in the report</w:t>
      </w:r>
      <w:r w:rsidR="00376AA5">
        <w:t xml:space="preserve"> (40 CFR 99.41(d)(2)) and </w:t>
      </w:r>
      <w:r w:rsidR="00FE6A46">
        <w:t>at the WEC applicable facility ((40 CFR 99.41(d)(3)).</w:t>
      </w:r>
    </w:p>
    <w:p w:rsidR="0070196E" w:rsidP="002B2BEF" w14:paraId="15A1DA3F" w14:textId="7B94885E">
      <w:pPr>
        <w:pStyle w:val="ListParagraph"/>
        <w:numPr>
          <w:ilvl w:val="1"/>
          <w:numId w:val="11"/>
        </w:numPr>
      </w:pPr>
      <w:r>
        <w:t xml:space="preserve">For WEC applicable facilities that reported an other large release event to subpart W, the </w:t>
      </w:r>
      <w:r w:rsidR="004859DD">
        <w:t>duration of the release event that occurred during calendar quarters in which there were reported deviations or violations</w:t>
      </w:r>
      <w:r>
        <w:t xml:space="preserve"> ((40 CFR 99.41(</w:t>
      </w:r>
      <w:r w:rsidR="004859DD">
        <w:t>e</w:t>
      </w:r>
      <w:r>
        <w:t>)).</w:t>
      </w:r>
    </w:p>
    <w:p w:rsidR="0046685A" w:rsidP="00FF3ABD" w14:paraId="1B0E753A" w14:textId="77777777">
      <w:pPr>
        <w:pStyle w:val="ListParagraph"/>
        <w:numPr>
          <w:ilvl w:val="0"/>
          <w:numId w:val="11"/>
        </w:numPr>
      </w:pPr>
      <w:r>
        <w:t>Reporting requirements for the plugged well exemption (40 CFR 99.50(a)):</w:t>
      </w:r>
    </w:p>
    <w:p w:rsidR="0046685A" w:rsidP="00FF3ABD" w14:paraId="14B4011F" w14:textId="77777777">
      <w:pPr>
        <w:pStyle w:val="ListParagraph"/>
        <w:numPr>
          <w:ilvl w:val="1"/>
          <w:numId w:val="11"/>
        </w:numPr>
      </w:pPr>
      <w:r>
        <w:t>Well identification (ID) number (40 CFR 99.50(a)(1)).</w:t>
      </w:r>
    </w:p>
    <w:p w:rsidR="0046685A" w:rsidP="00FF3ABD" w14:paraId="589BCDF0" w14:textId="5B6BBA39">
      <w:pPr>
        <w:pStyle w:val="ListParagraph"/>
        <w:numPr>
          <w:ilvl w:val="1"/>
          <w:numId w:val="11"/>
        </w:numPr>
      </w:pPr>
      <w:r>
        <w:t xml:space="preserve">Date the well was </w:t>
      </w:r>
      <w:r w:rsidRPr="0066129E">
        <w:t>permanently shut-in and plugged</w:t>
      </w:r>
      <w:r>
        <w:t xml:space="preserve"> (40 CFR 99.50(a)(2)).</w:t>
      </w:r>
    </w:p>
    <w:p w:rsidR="0046685A" w:rsidP="00FF3ABD" w14:paraId="6C385B8F" w14:textId="77777777">
      <w:pPr>
        <w:pStyle w:val="ListParagraph"/>
        <w:numPr>
          <w:ilvl w:val="1"/>
          <w:numId w:val="11"/>
        </w:numPr>
      </w:pPr>
      <w:r>
        <w:t>The statutory citation for each applicable state, local, and federal regulation stipulating requirements that were applicable to the closure of the permanently shut-in and plugged well (40 CFR 99.50(a)(3)).</w:t>
      </w:r>
    </w:p>
    <w:p w:rsidR="00486BF4" w:rsidP="00FF3ABD" w14:paraId="46ACB8B9" w14:textId="58E58B0A">
      <w:pPr>
        <w:pStyle w:val="ListParagraph"/>
        <w:numPr>
          <w:ilvl w:val="1"/>
          <w:numId w:val="11"/>
        </w:numPr>
      </w:pPr>
      <w:r>
        <w:t>An assertion that the requirements in each of the applicable state, local, and Federal regulations were followed in plugging the well (40 CFR 99.50(a)(4)).</w:t>
      </w:r>
    </w:p>
    <w:p w:rsidR="0046685A" w:rsidP="00FF3ABD" w14:paraId="491D61F4" w14:textId="57331D47">
      <w:pPr>
        <w:pStyle w:val="ListParagraph"/>
        <w:numPr>
          <w:ilvl w:val="1"/>
          <w:numId w:val="11"/>
        </w:numPr>
      </w:pPr>
      <w:r>
        <w:t xml:space="preserve">The </w:t>
      </w:r>
      <w:r w:rsidR="004515F4">
        <w:t xml:space="preserve">method used to calculate equipment leak emissions attributable </w:t>
      </w:r>
      <w:r>
        <w:t>(40 CFR 99.50(a)(</w:t>
      </w:r>
      <w:r w:rsidR="00141B19">
        <w:t>5</w:t>
      </w:r>
      <w:r>
        <w:t>)).</w:t>
      </w:r>
    </w:p>
    <w:p w:rsidR="00920BF0" w:rsidP="00920BF0" w14:paraId="20E662DD" w14:textId="679C55DF">
      <w:pPr>
        <w:pStyle w:val="ListParagraph"/>
        <w:numPr>
          <w:ilvl w:val="1"/>
          <w:numId w:val="11"/>
        </w:numPr>
      </w:pPr>
      <w:r>
        <w:t>If the WEC applicable facility is in the onshore petroleum and natural gas production or offshore petroleum and natural gas production industry segment, an indication of whether a facility-specific value for barrel of oil equivalent was used to calculate emissions and if so, the value used (40 CFR 99.50(a)(6)).</w:t>
      </w:r>
    </w:p>
    <w:p w:rsidR="004515F4" w:rsidP="00FF3ABD" w14:paraId="190F0CBF" w14:textId="350DFF65">
      <w:pPr>
        <w:pStyle w:val="ListParagraph"/>
        <w:numPr>
          <w:ilvl w:val="1"/>
          <w:numId w:val="11"/>
        </w:numPr>
      </w:pPr>
      <w:r>
        <w:t xml:space="preserve">The emissions attributable to the well as calculated in accordance with the final rule </w:t>
      </w:r>
      <w:r w:rsidR="00651D61">
        <w:t>(40 CFR 99.50(a)(7)).</w:t>
      </w:r>
    </w:p>
    <w:p w:rsidR="00651D61" w:rsidP="00651D61" w14:paraId="42DC6628" w14:textId="128A1671">
      <w:pPr>
        <w:pStyle w:val="ListParagraph"/>
        <w:numPr>
          <w:ilvl w:val="1"/>
          <w:numId w:val="11"/>
        </w:numPr>
      </w:pPr>
      <w:r>
        <w:t>The total quantity of methane emissions attributable to all wells that were permanently shut-in and plugged at a WEC applicable facility</w:t>
      </w:r>
      <w:r w:rsidRPr="00C85FB4">
        <w:t xml:space="preserve"> </w:t>
      </w:r>
      <w:r>
        <w:t xml:space="preserve">meeting the applicability provisions </w:t>
      </w:r>
      <w:r>
        <w:t>(40 CFR 99.50(</w:t>
      </w:r>
      <w:r>
        <w:t>b</w:t>
      </w:r>
      <w:r>
        <w:t>)).</w:t>
      </w:r>
    </w:p>
    <w:p w:rsidR="009C63BC" w:rsidP="009C63BC" w14:paraId="2F5D82DC" w14:textId="77777777"/>
    <w:p w:rsidR="0046685A" w:rsidP="0046685A" w14:paraId="3AD70BDE" w14:textId="2ECA0961">
      <w:r>
        <w:t>The additional</w:t>
      </w:r>
      <w:r w:rsidRPr="009C63BC">
        <w:t xml:space="preserve"> information be collected under the final rule </w:t>
      </w:r>
      <w:r w:rsidR="00786E49">
        <w:t>at part 98 consists of a list of owners and operators of a facility as of December 31 of each reporting year.</w:t>
      </w:r>
    </w:p>
    <w:p w:rsidR="00CA005D" w:rsidRPr="004D52BC" w:rsidP="008D1380" w14:paraId="1073DC3D" w14:textId="77777777">
      <w:pPr>
        <w:pStyle w:val="StyleBodyTextFirstline05BoldFirstline025"/>
        <w:rPr>
          <w:rFonts w:eastAsiaTheme="minorEastAsia"/>
        </w:rPr>
      </w:pPr>
      <w:r w:rsidRPr="004D52BC">
        <w:rPr>
          <w:rFonts w:eastAsiaTheme="minorEastAsia"/>
        </w:rPr>
        <w:t>Reporting and Recordkeeping Requirements</w:t>
      </w:r>
    </w:p>
    <w:p w:rsidR="003D27C3" w:rsidP="003D27C3" w14:paraId="3E2B445B" w14:textId="77777777">
      <w:pPr>
        <w:ind w:firstLine="720"/>
      </w:pPr>
      <w:r w:rsidRPr="001B0264">
        <w:t xml:space="preserve">Respondents must report the data items specified according to the requirements of 40 CFR </w:t>
      </w:r>
      <w:r>
        <w:t>99.7(b)</w:t>
      </w:r>
      <w:r w:rsidRPr="001B0264">
        <w:t xml:space="preserve"> and the recordkeeping requirements of </w:t>
      </w:r>
      <w:r>
        <w:t>40 CFR 99.7(d).</w:t>
      </w:r>
    </w:p>
    <w:p w:rsidR="003D27C3" w:rsidP="003D27C3" w14:paraId="1CEA2031" w14:textId="77777777">
      <w:pPr>
        <w:ind w:firstLine="720"/>
      </w:pPr>
    </w:p>
    <w:p w:rsidR="00CA005D" w:rsidRPr="004D52BC" w:rsidP="003D27C3" w14:paraId="4B9B10C5" w14:textId="1EC7724A">
      <w:pPr>
        <w:pStyle w:val="BodyTextFirstline05"/>
        <w:ind w:firstLine="360"/>
        <w:rPr>
          <w:rFonts w:eastAsiaTheme="minorEastAsia"/>
          <w:szCs w:val="24"/>
        </w:rPr>
      </w:pPr>
      <w:r w:rsidRPr="001B0264">
        <w:t xml:space="preserve">Respondents </w:t>
      </w:r>
      <w:r w:rsidR="00FF04F6">
        <w:t>will</w:t>
      </w:r>
      <w:r>
        <w:t xml:space="preserve"> be required to</w:t>
      </w:r>
      <w:r w:rsidRPr="001B0264">
        <w:t xml:space="preserve"> maintain records associated with the data items specified according to the requirements of 40 CFR 9</w:t>
      </w:r>
      <w:r>
        <w:t>9.7(d)</w:t>
      </w:r>
      <w:r w:rsidRPr="004D52BC">
        <w:rPr>
          <w:rFonts w:eastAsiaTheme="minorEastAsia"/>
          <w:szCs w:val="24"/>
        </w:rPr>
        <w:t xml:space="preserve">. </w:t>
      </w:r>
    </w:p>
    <w:p w:rsidR="00CA005D" w:rsidRPr="004D52BC" w:rsidP="006B6505" w14:paraId="16DF357A" w14:textId="77777777">
      <w:pPr>
        <w:pStyle w:val="StyleBoldBefore6pt"/>
        <w:keepNext/>
      </w:pPr>
      <w:r w:rsidRPr="004D52BC">
        <w:t>12c. Respondent Activities</w:t>
      </w:r>
      <w:bookmarkStart w:id="21" w:name="_Toc156593385"/>
      <w:bookmarkEnd w:id="19"/>
    </w:p>
    <w:p w:rsidR="00A8014A" w:rsidRPr="0017351E" w:rsidP="00A8014A" w14:paraId="26160670" w14:textId="6EDD73CB">
      <w:pPr>
        <w:ind w:firstLine="720"/>
      </w:pPr>
      <w:r w:rsidRPr="0017351E">
        <w:t xml:space="preserve">The </w:t>
      </w:r>
      <w:r w:rsidR="001872AE">
        <w:t>final</w:t>
      </w:r>
      <w:r w:rsidRPr="0017351E">
        <w:t xml:space="preserve"> </w:t>
      </w:r>
      <w:r>
        <w:t>rule</w:t>
      </w:r>
      <w:r w:rsidRPr="0017351E">
        <w:t xml:space="preserve"> require</w:t>
      </w:r>
      <w:r w:rsidR="008953D9">
        <w:t>s</w:t>
      </w:r>
      <w:r w:rsidRPr="0017351E">
        <w:t xml:space="preserve"> </w:t>
      </w:r>
      <w:r>
        <w:t xml:space="preserve">gathering of new information, calculating new emissions, </w:t>
      </w:r>
      <w:r w:rsidRPr="0017351E">
        <w:t xml:space="preserve">reporting new data elements </w:t>
      </w:r>
      <w:r>
        <w:t xml:space="preserve">as part of an annual filing, and recordkeeping of the records associated with annual filing. All activities with associated costs are shown in the Appendix to this supporting statement. For each related data element required in the </w:t>
      </w:r>
      <w:r w:rsidR="001872AE">
        <w:t>final</w:t>
      </w:r>
      <w:r>
        <w:t xml:space="preserve"> rule</w:t>
      </w:r>
      <w:r w:rsidRPr="0017351E">
        <w:t xml:space="preserve">, all respondents </w:t>
      </w:r>
      <w:r w:rsidR="00FF04F6">
        <w:t>will</w:t>
      </w:r>
      <w:r w:rsidRPr="0017351E">
        <w:t>:</w:t>
      </w:r>
    </w:p>
    <w:p w:rsidR="00A8014A" w:rsidRPr="0017351E" w:rsidP="00A8014A" w14:paraId="3601AD76" w14:textId="77777777">
      <w:pPr>
        <w:ind w:firstLine="720"/>
      </w:pPr>
    </w:p>
    <w:p w:rsidR="00A8014A" w:rsidRPr="0017351E" w:rsidP="00FF3ABD" w14:paraId="7968593C" w14:textId="410178A6">
      <w:pPr>
        <w:pStyle w:val="ListParagraph"/>
        <w:numPr>
          <w:ilvl w:val="0"/>
          <w:numId w:val="9"/>
        </w:numPr>
      </w:pPr>
      <w:r w:rsidRPr="0017351E">
        <w:t xml:space="preserve">Submit the value via </w:t>
      </w:r>
      <w:r>
        <w:rPr>
          <w:rFonts w:eastAsia="Calibri"/>
        </w:rPr>
        <w:t xml:space="preserve">an electronic system specified by the EPA Administrator </w:t>
      </w:r>
      <w:r w:rsidRPr="0017351E">
        <w:t xml:space="preserve">as part of the annual </w:t>
      </w:r>
      <w:r>
        <w:t xml:space="preserve">filing </w:t>
      </w:r>
      <w:r w:rsidRPr="0017351E">
        <w:t>required under part 9</w:t>
      </w:r>
      <w:r>
        <w:t>9</w:t>
      </w:r>
      <w:r w:rsidRPr="0017351E">
        <w:t xml:space="preserve">. </w:t>
      </w:r>
    </w:p>
    <w:p w:rsidR="00A8014A" w:rsidRPr="0017351E" w:rsidP="00A8014A" w14:paraId="33345D0A" w14:textId="77777777">
      <w:pPr>
        <w:ind w:firstLine="720"/>
      </w:pPr>
    </w:p>
    <w:p w:rsidR="00A8014A" w:rsidRPr="0017351E" w:rsidP="00FF3ABD" w14:paraId="7AE2276A" w14:textId="77777777">
      <w:pPr>
        <w:pStyle w:val="ListParagraph"/>
        <w:numPr>
          <w:ilvl w:val="0"/>
          <w:numId w:val="9"/>
        </w:numPr>
      </w:pPr>
      <w:r w:rsidRPr="0017351E">
        <w:t xml:space="preserve">Maintain records of reported data for a minimum of </w:t>
      </w:r>
      <w:r>
        <w:t>five</w:t>
      </w:r>
      <w:r w:rsidRPr="0017351E">
        <w:t xml:space="preserve"> years.</w:t>
      </w:r>
    </w:p>
    <w:p w:rsidR="00A8014A" w:rsidRPr="0017351E" w:rsidP="00A8014A" w14:paraId="510F0518" w14:textId="77777777">
      <w:pPr>
        <w:ind w:firstLine="720"/>
      </w:pPr>
    </w:p>
    <w:p w:rsidR="00CA005D" w:rsidRPr="004D52BC" w:rsidP="00A8014A" w14:paraId="79D663B4" w14:textId="370E5F0A">
      <w:pPr>
        <w:pBdr>
          <w:top w:val="single" w:sz="6" w:space="0" w:color="FFFFFF"/>
          <w:left w:val="single" w:sz="6" w:space="0" w:color="FFFFFF"/>
          <w:bottom w:val="single" w:sz="6" w:space="0" w:color="FFFFFF"/>
          <w:right w:val="single" w:sz="6" w:space="0" w:color="FFFFFF"/>
        </w:pBdr>
        <w:spacing w:before="60"/>
        <w:ind w:firstLine="720"/>
      </w:pPr>
      <w:r w:rsidRPr="0017351E">
        <w:t xml:space="preserve">All respondents </w:t>
      </w:r>
      <w:r w:rsidR="00FF04F6">
        <w:t>will</w:t>
      </w:r>
      <w:r w:rsidRPr="0017351E">
        <w:t xml:space="preserve"> be required to </w:t>
      </w:r>
      <w:r>
        <w:t xml:space="preserve">perform any required calculations using methodologies specified in the </w:t>
      </w:r>
      <w:r w:rsidR="001872AE">
        <w:t>final</w:t>
      </w:r>
      <w:r>
        <w:t xml:space="preserve"> rule</w:t>
      </w:r>
      <w:r w:rsidRPr="004D52BC">
        <w:t>.</w:t>
      </w:r>
    </w:p>
    <w:p w:rsidR="00CA005D" w:rsidRPr="004D52BC" w:rsidP="006B6505" w14:paraId="30BBF5EA" w14:textId="1C8D82A8">
      <w:pPr>
        <w:pStyle w:val="BodyTextFirstline05"/>
        <w:keepNext/>
        <w:ind w:left="720" w:firstLine="0"/>
        <w:rPr>
          <w:rFonts w:eastAsiaTheme="minorEastAsia"/>
          <w:b/>
          <w:bCs/>
          <w:szCs w:val="24"/>
        </w:rPr>
      </w:pPr>
      <w:r>
        <w:rPr>
          <w:rFonts w:eastAsiaTheme="minorEastAsia"/>
          <w:b/>
          <w:bCs/>
          <w:szCs w:val="24"/>
        </w:rPr>
        <w:br/>
      </w:r>
      <w:r w:rsidRPr="004D52BC">
        <w:rPr>
          <w:rFonts w:eastAsiaTheme="minorEastAsia"/>
          <w:b/>
          <w:bCs/>
          <w:szCs w:val="24"/>
        </w:rPr>
        <w:t>Collection Schedule</w:t>
      </w:r>
    </w:p>
    <w:p w:rsidR="00CA005D" w:rsidRPr="004D52BC" w:rsidP="00CA005D" w14:paraId="35D5DFDC" w14:textId="322D23C5">
      <w:pPr>
        <w:pStyle w:val="BodyTextFirstline05"/>
        <w:rPr>
          <w:rFonts w:eastAsiaTheme="minorEastAsia"/>
          <w:szCs w:val="24"/>
        </w:rPr>
      </w:pPr>
      <w:r>
        <w:t xml:space="preserve">Under the </w:t>
      </w:r>
      <w:r w:rsidR="001872AE">
        <w:t>final</w:t>
      </w:r>
      <w:r>
        <w:t xml:space="preserve"> rulemaking, WEC filings</w:t>
      </w:r>
      <w:r w:rsidR="00B43CBF">
        <w:t xml:space="preserve"> under part 99</w:t>
      </w:r>
      <w:r>
        <w:t xml:space="preserve"> </w:t>
      </w:r>
      <w:r w:rsidR="001872AE">
        <w:t>are</w:t>
      </w:r>
      <w:r>
        <w:t xml:space="preserve"> required to be submitted by August 31</w:t>
      </w:r>
      <w:r w:rsidRPr="00FF7F9E">
        <w:rPr>
          <w:vertAlign w:val="superscript"/>
        </w:rPr>
        <w:t>st</w:t>
      </w:r>
      <w:r>
        <w:t xml:space="preserve"> of each year. </w:t>
      </w:r>
      <w:r w:rsidRPr="001B0264">
        <w:t xml:space="preserve">All data elements under this information collection </w:t>
      </w:r>
      <w:r w:rsidR="00FF04F6">
        <w:t>will</w:t>
      </w:r>
      <w:r w:rsidRPr="001B0264">
        <w:t xml:space="preserve"> be submitted no more frequently than an annual basis as part of the respondent’s annual </w:t>
      </w:r>
      <w:r>
        <w:t>WEC filing</w:t>
      </w:r>
      <w:r w:rsidRPr="001B0264">
        <w:t>.</w:t>
      </w:r>
      <w:r>
        <w:t xml:space="preserve"> CAA section 136(c) and (g) require that EPA impose and collect the WEC on an annual basis, based upon emissions reported annually to the GHGRP. Therefore, it is not possible to collect information less frequently than annually under the </w:t>
      </w:r>
      <w:r w:rsidR="001872AE">
        <w:t>final</w:t>
      </w:r>
      <w:r>
        <w:t xml:space="preserve"> rulemaking</w:t>
      </w:r>
      <w:r w:rsidRPr="004D52BC">
        <w:rPr>
          <w:rFonts w:eastAsiaTheme="minorEastAsia"/>
          <w:szCs w:val="24"/>
        </w:rPr>
        <w:t xml:space="preserve">. </w:t>
      </w:r>
      <w:r w:rsidR="00B43CBF">
        <w:rPr>
          <w:rFonts w:eastAsiaTheme="minorEastAsia"/>
          <w:szCs w:val="24"/>
        </w:rPr>
        <w:t xml:space="preserve">The additional data element required as part of </w:t>
      </w:r>
      <w:r w:rsidR="00294DD8">
        <w:rPr>
          <w:rFonts w:eastAsiaTheme="minorEastAsia"/>
          <w:szCs w:val="24"/>
        </w:rPr>
        <w:t>part 98 is required to be submitted by March 31</w:t>
      </w:r>
      <w:r w:rsidRPr="00294DD8" w:rsidR="00294DD8">
        <w:rPr>
          <w:rFonts w:eastAsiaTheme="minorEastAsia"/>
          <w:szCs w:val="24"/>
          <w:vertAlign w:val="superscript"/>
        </w:rPr>
        <w:t>st</w:t>
      </w:r>
      <w:r w:rsidR="00294DD8">
        <w:rPr>
          <w:rFonts w:eastAsiaTheme="minorEastAsia"/>
          <w:szCs w:val="24"/>
        </w:rPr>
        <w:t xml:space="preserve"> of each year. The final rule does not amend the reporting </w:t>
      </w:r>
      <w:r w:rsidR="00BA5C36">
        <w:rPr>
          <w:rFonts w:eastAsiaTheme="minorEastAsia"/>
          <w:szCs w:val="24"/>
        </w:rPr>
        <w:t>frequency or collection schedule of part 98.</w:t>
      </w:r>
    </w:p>
    <w:p w:rsidR="00CA005D" w:rsidRPr="004D52BC" w:rsidP="00562220" w14:paraId="68F9CA32" w14:textId="77777777">
      <w:pPr>
        <w:spacing w:before="60"/>
        <w:outlineLvl w:val="2"/>
        <w:rPr>
          <w:b/>
          <w:bCs/>
        </w:rPr>
      </w:pPr>
      <w:r w:rsidRPr="004D52BC">
        <w:rPr>
          <w:b/>
          <w:bCs/>
        </w:rPr>
        <w:t xml:space="preserve">12d. Respondent Burden Hours and Labor </w:t>
      </w:r>
      <w:bookmarkEnd w:id="21"/>
      <w:r w:rsidRPr="004D52BC">
        <w:rPr>
          <w:b/>
          <w:bCs/>
        </w:rPr>
        <w:t>Costs</w:t>
      </w:r>
    </w:p>
    <w:p w:rsidR="008979AE" w:rsidRPr="00A46033" w:rsidP="008979AE" w14:paraId="707CEF84" w14:textId="6D47A1AD">
      <w:pPr>
        <w:ind w:firstLine="720"/>
      </w:pPr>
      <w:r w:rsidRPr="00D74951">
        <w:t xml:space="preserve">This section presents the EPA’s estimates of the burden and costs to respondents </w:t>
      </w:r>
      <w:r w:rsidRPr="00A46033">
        <w:t xml:space="preserve">associated with the activities described in section </w:t>
      </w:r>
      <w:r w:rsidRPr="00A46033" w:rsidR="0037671B">
        <w:t>12</w:t>
      </w:r>
      <w:r w:rsidRPr="00A46033">
        <w:t>(</w:t>
      </w:r>
      <w:r w:rsidRPr="00A46033" w:rsidR="0037671B">
        <w:t>c</w:t>
      </w:r>
      <w:r w:rsidRPr="00A46033">
        <w:t xml:space="preserve">). The EPA estimates that, over the three years covered by this request, the average total respondent burden associated with this reporting will be </w:t>
      </w:r>
      <w:r w:rsidRPr="00A46033" w:rsidR="00A334CA">
        <w:t>12,</w:t>
      </w:r>
      <w:r w:rsidR="001B5E34">
        <w:t>737</w:t>
      </w:r>
      <w:r w:rsidRPr="00A46033">
        <w:t xml:space="preserve"> hours per year and the cost of all respondents of the information collection will be an average of $</w:t>
      </w:r>
      <w:r w:rsidRPr="00A46033" w:rsidR="00391475">
        <w:t>1,7</w:t>
      </w:r>
      <w:r w:rsidR="000A46A0">
        <w:t>39,860</w:t>
      </w:r>
      <w:r w:rsidR="007A5CE2">
        <w:t xml:space="preserve"> </w:t>
      </w:r>
      <w:r w:rsidRPr="00A46033">
        <w:t>per year, which includes $</w:t>
      </w:r>
      <w:r w:rsidRPr="00A46033" w:rsidR="00391475">
        <w:t>30,495</w:t>
      </w:r>
      <w:r w:rsidR="007A5CE2">
        <w:t xml:space="preserve"> </w:t>
      </w:r>
      <w:r w:rsidRPr="00A46033">
        <w:t>in non-labor costs per year.</w:t>
      </w:r>
    </w:p>
    <w:p w:rsidR="008979AE" w:rsidRPr="00A46033" w:rsidP="008979AE" w14:paraId="03FD7C24" w14:textId="77777777">
      <w:pPr>
        <w:ind w:firstLine="720"/>
      </w:pPr>
    </w:p>
    <w:p w:rsidR="008979AE" w:rsidRPr="00A46033" w:rsidP="008979AE" w14:paraId="2E9014D2" w14:textId="70124FE6">
      <w:pPr>
        <w:ind w:firstLine="720"/>
      </w:pPr>
      <w:r w:rsidRPr="00A46033">
        <w:t xml:space="preserve">Final </w:t>
      </w:r>
      <w:r w:rsidRPr="00A46033">
        <w:t xml:space="preserve">information collection requirements include the elements identified in </w:t>
      </w:r>
      <w:r w:rsidRPr="00A46033" w:rsidR="009E7731">
        <w:t>12</w:t>
      </w:r>
      <w:r w:rsidRPr="00A46033">
        <w:t>(</w:t>
      </w:r>
      <w:r w:rsidRPr="00A46033" w:rsidR="009E7731">
        <w:t>c</w:t>
      </w:r>
      <w:r w:rsidRPr="00A46033">
        <w:t>) of this supporting statement.</w:t>
      </w:r>
      <w:r w:rsidRPr="00A46033">
        <w:br/>
      </w:r>
    </w:p>
    <w:p w:rsidR="008979AE" w:rsidRPr="00A46033" w:rsidP="008979AE" w14:paraId="687B886A" w14:textId="77777777">
      <w:pPr>
        <w:ind w:firstLine="720"/>
      </w:pPr>
      <w:r w:rsidRPr="00A46033">
        <w:t xml:space="preserve">The Appendix details by WEC obligated party and WEC applicable facility, the respondent activities required by the revised provisions and how much each activity is expected to cost, by labor, O&amp;M, and capital. </w:t>
      </w:r>
    </w:p>
    <w:p w:rsidR="008979AE" w:rsidRPr="00A46033" w:rsidP="008979AE" w14:paraId="662D3953" w14:textId="77777777">
      <w:pPr>
        <w:ind w:firstLine="720"/>
      </w:pPr>
    </w:p>
    <w:p w:rsidR="008979AE" w:rsidRPr="00A46033" w:rsidP="008979AE" w14:paraId="6FFD17CA" w14:textId="77777777">
      <w:pPr>
        <w:ind w:firstLine="720"/>
      </w:pPr>
      <w:r w:rsidRPr="00A46033">
        <w:t>Labor costs are tabulated for respondents to review regulation requirements (</w:t>
      </w:r>
      <w:r w:rsidRPr="00A46033">
        <w:rPr>
          <w:i/>
          <w:iCs/>
        </w:rPr>
        <w:t>i.e.</w:t>
      </w:r>
      <w:r w:rsidRPr="00A46033">
        <w:t>, reading regulatory text, system instructions, and EPA guidance documents), calculate emissions, and prepare and submit reports.</w:t>
      </w:r>
    </w:p>
    <w:p w:rsidR="008979AE" w:rsidRPr="00A46033" w:rsidP="008979AE" w14:paraId="5B869D23" w14:textId="77777777"/>
    <w:p w:rsidR="008979AE" w:rsidRPr="00A46033" w:rsidP="008979AE" w14:paraId="56473230" w14:textId="099013AF">
      <w:pPr>
        <w:ind w:firstLine="720"/>
      </w:pPr>
      <w:r w:rsidRPr="00A46033">
        <w:t xml:space="preserve">Capital costs are tabulated for respondents to purchase file cabinets, hard drives, and cloud file storage necessary for the </w:t>
      </w:r>
      <w:r w:rsidRPr="00A46033" w:rsidR="001872AE">
        <w:t>final</w:t>
      </w:r>
      <w:r w:rsidRPr="00A46033">
        <w:t xml:space="preserve"> recordkeeping requirements.</w:t>
      </w:r>
    </w:p>
    <w:p w:rsidR="008979AE" w:rsidRPr="00A46033" w:rsidP="008979AE" w14:paraId="045D398D" w14:textId="77777777"/>
    <w:p w:rsidR="00CA005D" w:rsidRPr="00A46033" w:rsidP="00562220" w14:paraId="1DBC1791" w14:textId="467C48AC">
      <w:pPr>
        <w:pStyle w:val="BodyTextFirstline05"/>
        <w:outlineLvl w:val="3"/>
        <w:rPr>
          <w:rFonts w:eastAsiaTheme="minorEastAsia"/>
          <w:b/>
          <w:bCs/>
          <w:szCs w:val="24"/>
        </w:rPr>
      </w:pPr>
      <w:r w:rsidRPr="00A46033">
        <w:rPr>
          <w:rFonts w:eastAsiaTheme="minorEastAsia"/>
          <w:b/>
          <w:bCs/>
          <w:szCs w:val="24"/>
        </w:rPr>
        <w:t>Estimating Respondent Burden</w:t>
      </w:r>
    </w:p>
    <w:p w:rsidR="00D8457B" w:rsidRPr="001B0264" w:rsidP="00D8457B" w14:paraId="47D32947" w14:textId="28FCC3AE">
      <w:pPr>
        <w:ind w:firstLine="720"/>
      </w:pPr>
      <w:r w:rsidRPr="00A46033">
        <w:t xml:space="preserve">Respondent burden estimates are presented in Exhibit </w:t>
      </w:r>
      <w:r w:rsidRPr="00A46033" w:rsidR="006E43B3">
        <w:t>12.3</w:t>
      </w:r>
      <w:r w:rsidRPr="00A46033">
        <w:t xml:space="preserve">. The EPA estimates that the total annual burden to all affected entities will increase by </w:t>
      </w:r>
      <w:r w:rsidRPr="00A46033" w:rsidR="001616E7">
        <w:t>1</w:t>
      </w:r>
      <w:r w:rsidRPr="00A46033" w:rsidR="006F2D4C">
        <w:t>2,</w:t>
      </w:r>
      <w:r w:rsidR="0093761B">
        <w:t>737</w:t>
      </w:r>
      <w:r w:rsidRPr="00A46033">
        <w:t xml:space="preserve"> hours per year, on average, over the three years covered by this information collection.</w:t>
      </w:r>
      <w:r w:rsidRPr="001B0264">
        <w:t xml:space="preserve"> </w:t>
      </w:r>
    </w:p>
    <w:p w:rsidR="00D8457B" w:rsidRPr="001B0264" w:rsidP="00D8457B" w14:paraId="0AE36688" w14:textId="77777777">
      <w:pPr>
        <w:keepNext/>
      </w:pPr>
    </w:p>
    <w:p w:rsidR="00CA005D" w:rsidRPr="004D52BC" w:rsidP="00D8457B" w14:paraId="53E0CCBF" w14:textId="16B3A618">
      <w:pPr>
        <w:pStyle w:val="BodyTextFirstline05"/>
        <w:rPr>
          <w:rFonts w:eastAsiaTheme="minorEastAsia"/>
          <w:szCs w:val="24"/>
        </w:rPr>
      </w:pPr>
      <w:r w:rsidRPr="00C32580">
        <w:t xml:space="preserve">Exhibit </w:t>
      </w:r>
      <w:r w:rsidR="006E43B3">
        <w:t>12.3</w:t>
      </w:r>
      <w:r w:rsidRPr="00C32580">
        <w:t xml:space="preserve"> of this document presents the aggregate and average annual respondent burden. For the details, see </w:t>
      </w:r>
      <w:r>
        <w:t>the Appendix</w:t>
      </w:r>
      <w:r w:rsidRPr="004D52BC">
        <w:rPr>
          <w:rFonts w:eastAsiaTheme="minorEastAsia"/>
          <w:szCs w:val="24"/>
        </w:rPr>
        <w:t>.</w:t>
      </w:r>
    </w:p>
    <w:tbl>
      <w:tblPr>
        <w:tblW w:w="9360" w:type="dxa"/>
        <w:tblLook w:val="04A0"/>
      </w:tblPr>
      <w:tblGrid>
        <w:gridCol w:w="854"/>
        <w:gridCol w:w="1576"/>
        <w:gridCol w:w="1183"/>
        <w:gridCol w:w="1977"/>
        <w:gridCol w:w="2053"/>
        <w:gridCol w:w="1717"/>
      </w:tblGrid>
      <w:tr w14:paraId="5FA6E40A" w14:textId="77777777" w:rsidTr="00005CF3">
        <w:tblPrEx>
          <w:tblW w:w="9360" w:type="dxa"/>
          <w:tblLook w:val="04A0"/>
        </w:tblPrEx>
        <w:trPr>
          <w:trHeight w:val="300"/>
          <w:tblHeader/>
        </w:trPr>
        <w:tc>
          <w:tcPr>
            <w:tcW w:w="9360" w:type="dxa"/>
            <w:gridSpan w:val="6"/>
            <w:tcBorders>
              <w:top w:val="nil"/>
              <w:left w:val="nil"/>
              <w:bottom w:val="single" w:sz="12" w:space="0" w:color="auto"/>
              <w:right w:val="nil"/>
            </w:tcBorders>
            <w:shd w:val="clear" w:color="auto" w:fill="auto"/>
            <w:vAlign w:val="bottom"/>
            <w:hideMark/>
          </w:tcPr>
          <w:p w:rsidR="008E29C2" w:rsidRPr="00B50828" w:rsidP="008E29C2" w14:paraId="720C5F0A" w14:textId="03EBB1D9">
            <w:pPr>
              <w:keepNext/>
              <w:outlineLvl w:val="3"/>
              <w:rPr>
                <w:b/>
                <w:bCs/>
              </w:rPr>
            </w:pPr>
            <w:r w:rsidRPr="00B50828">
              <w:rPr>
                <w:b/>
              </w:rPr>
              <w:t xml:space="preserve">Exhibit </w:t>
            </w:r>
            <w:r>
              <w:rPr>
                <w:b/>
              </w:rPr>
              <w:t>12</w:t>
            </w:r>
            <w:r w:rsidRPr="00B50828">
              <w:rPr>
                <w:b/>
              </w:rPr>
              <w:t>.</w:t>
            </w:r>
            <w:r>
              <w:rPr>
                <w:b/>
              </w:rPr>
              <w:t>3</w:t>
            </w:r>
            <w:r w:rsidRPr="00B50828">
              <w:rPr>
                <w:b/>
              </w:rPr>
              <w:t xml:space="preserve">. Summary of Annual Respondent Burden and Cost of </w:t>
            </w:r>
            <w:r w:rsidR="001872AE">
              <w:rPr>
                <w:b/>
              </w:rPr>
              <w:t>Final</w:t>
            </w:r>
            <w:r w:rsidRPr="00B50828" w:rsidR="001872AE">
              <w:rPr>
                <w:b/>
              </w:rPr>
              <w:t xml:space="preserve"> </w:t>
            </w:r>
            <w:r w:rsidRPr="00B50828">
              <w:rPr>
                <w:b/>
              </w:rPr>
              <w:t>WEC Rule</w:t>
            </w:r>
          </w:p>
        </w:tc>
      </w:tr>
      <w:tr w14:paraId="6EA523C4" w14:textId="77777777" w:rsidTr="00C65581">
        <w:tblPrEx>
          <w:tblW w:w="9360" w:type="dxa"/>
          <w:tblLook w:val="04A0"/>
        </w:tblPrEx>
        <w:trPr>
          <w:trHeight w:val="530"/>
          <w:tblHeader/>
        </w:trPr>
        <w:tc>
          <w:tcPr>
            <w:tcW w:w="854"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rsidR="008E29C2" w:rsidRPr="00B50828" w:rsidP="00005CF3" w14:paraId="20873292" w14:textId="77777777">
            <w:pPr>
              <w:keepNext/>
              <w:jc w:val="center"/>
              <w:rPr>
                <w:b/>
              </w:rPr>
            </w:pPr>
            <w:r w:rsidRPr="00B50828">
              <w:rPr>
                <w:b/>
                <w:bCs/>
              </w:rPr>
              <w:t>Years 1-3</w:t>
            </w:r>
          </w:p>
        </w:tc>
        <w:tc>
          <w:tcPr>
            <w:tcW w:w="1576" w:type="dxa"/>
            <w:tcBorders>
              <w:top w:val="single" w:sz="12" w:space="0" w:color="auto"/>
              <w:left w:val="nil"/>
              <w:bottom w:val="double" w:sz="6" w:space="0" w:color="auto"/>
              <w:right w:val="single" w:sz="4" w:space="0" w:color="auto"/>
            </w:tcBorders>
            <w:shd w:val="clear" w:color="auto" w:fill="auto"/>
            <w:vAlign w:val="center"/>
            <w:hideMark/>
          </w:tcPr>
          <w:p w:rsidR="008E29C2" w:rsidRPr="00B50828" w:rsidP="00005CF3" w14:paraId="7DABC3D5" w14:textId="77777777">
            <w:pPr>
              <w:keepNext/>
              <w:jc w:val="center"/>
              <w:rPr>
                <w:b/>
              </w:rPr>
            </w:pPr>
            <w:r w:rsidRPr="00B50828">
              <w:rPr>
                <w:b/>
                <w:bCs/>
              </w:rPr>
              <w:t>Number of Respondents</w:t>
            </w:r>
          </w:p>
        </w:tc>
        <w:tc>
          <w:tcPr>
            <w:tcW w:w="1183" w:type="dxa"/>
            <w:tcBorders>
              <w:top w:val="single" w:sz="12" w:space="0" w:color="auto"/>
              <w:left w:val="nil"/>
              <w:bottom w:val="double" w:sz="6" w:space="0" w:color="auto"/>
              <w:right w:val="single" w:sz="4" w:space="0" w:color="auto"/>
            </w:tcBorders>
            <w:shd w:val="clear" w:color="auto" w:fill="auto"/>
            <w:vAlign w:val="center"/>
            <w:hideMark/>
          </w:tcPr>
          <w:p w:rsidR="008E29C2" w:rsidRPr="00B50828" w:rsidP="00005CF3" w14:paraId="4184B671" w14:textId="77777777">
            <w:pPr>
              <w:keepNext/>
              <w:jc w:val="center"/>
              <w:rPr>
                <w:b/>
              </w:rPr>
            </w:pPr>
            <w:r w:rsidRPr="00B50828">
              <w:rPr>
                <w:b/>
                <w:bCs/>
              </w:rPr>
              <w:t>Total Labor Hours</w:t>
            </w:r>
          </w:p>
        </w:tc>
        <w:tc>
          <w:tcPr>
            <w:tcW w:w="1977" w:type="dxa"/>
            <w:tcBorders>
              <w:top w:val="single" w:sz="12" w:space="0" w:color="auto"/>
              <w:left w:val="nil"/>
              <w:bottom w:val="double" w:sz="6" w:space="0" w:color="auto"/>
              <w:right w:val="single" w:sz="4" w:space="0" w:color="auto"/>
            </w:tcBorders>
            <w:shd w:val="clear" w:color="auto" w:fill="auto"/>
            <w:vAlign w:val="center"/>
            <w:hideMark/>
          </w:tcPr>
          <w:p w:rsidR="008E29C2" w:rsidRPr="00B50828" w:rsidP="00005CF3" w14:paraId="1B57F4D4" w14:textId="77777777">
            <w:pPr>
              <w:keepNext/>
              <w:jc w:val="center"/>
              <w:rPr>
                <w:b/>
              </w:rPr>
            </w:pPr>
            <w:r w:rsidRPr="00B50828">
              <w:rPr>
                <w:b/>
                <w:bCs/>
              </w:rPr>
              <w:t>Labor Costs</w:t>
            </w:r>
          </w:p>
        </w:tc>
        <w:tc>
          <w:tcPr>
            <w:tcW w:w="2053" w:type="dxa"/>
            <w:tcBorders>
              <w:top w:val="single" w:sz="12" w:space="0" w:color="auto"/>
              <w:left w:val="nil"/>
              <w:bottom w:val="double" w:sz="6" w:space="0" w:color="auto"/>
              <w:right w:val="single" w:sz="4" w:space="0" w:color="auto"/>
            </w:tcBorders>
            <w:shd w:val="clear" w:color="auto" w:fill="auto"/>
            <w:vAlign w:val="center"/>
            <w:hideMark/>
          </w:tcPr>
          <w:p w:rsidR="008E29C2" w:rsidRPr="00B50828" w:rsidP="00005CF3" w14:paraId="18583273" w14:textId="77777777">
            <w:pPr>
              <w:keepNext/>
              <w:jc w:val="center"/>
              <w:rPr>
                <w:b/>
              </w:rPr>
            </w:pPr>
            <w:r w:rsidRPr="00B50828">
              <w:rPr>
                <w:b/>
                <w:bCs/>
              </w:rPr>
              <w:t>Non-Labor Costs (Annualized Capital/Startup and O&amp;M)</w:t>
            </w:r>
          </w:p>
        </w:tc>
        <w:tc>
          <w:tcPr>
            <w:tcW w:w="1717" w:type="dxa"/>
            <w:tcBorders>
              <w:top w:val="single" w:sz="12" w:space="0" w:color="auto"/>
              <w:left w:val="nil"/>
              <w:bottom w:val="double" w:sz="6" w:space="0" w:color="auto"/>
              <w:right w:val="single" w:sz="12" w:space="0" w:color="auto"/>
            </w:tcBorders>
            <w:shd w:val="clear" w:color="auto" w:fill="auto"/>
            <w:vAlign w:val="center"/>
            <w:hideMark/>
          </w:tcPr>
          <w:p w:rsidR="008E29C2" w:rsidRPr="00B50828" w:rsidP="00005CF3" w14:paraId="0A94198E" w14:textId="77777777">
            <w:pPr>
              <w:keepNext/>
              <w:jc w:val="center"/>
              <w:rPr>
                <w:b/>
              </w:rPr>
            </w:pPr>
            <w:r w:rsidRPr="00B50828">
              <w:rPr>
                <w:b/>
                <w:bCs/>
              </w:rPr>
              <w:t>Total Costs</w:t>
            </w:r>
          </w:p>
        </w:tc>
      </w:tr>
      <w:tr w14:paraId="5AF05866" w14:textId="77777777" w:rsidTr="00C65581">
        <w:tblPrEx>
          <w:tblW w:w="9360" w:type="dxa"/>
          <w:tblLook w:val="04A0"/>
        </w:tblPrEx>
        <w:trPr>
          <w:trHeight w:val="300"/>
          <w:tblHeader/>
        </w:trPr>
        <w:tc>
          <w:tcPr>
            <w:tcW w:w="854" w:type="dxa"/>
            <w:tcBorders>
              <w:top w:val="double" w:sz="6" w:space="0" w:color="auto"/>
              <w:left w:val="single" w:sz="12" w:space="0" w:color="auto"/>
              <w:bottom w:val="single" w:sz="12" w:space="0" w:color="auto"/>
              <w:right w:val="single" w:sz="4" w:space="0" w:color="auto"/>
            </w:tcBorders>
            <w:shd w:val="clear" w:color="auto" w:fill="auto"/>
            <w:noWrap/>
            <w:vAlign w:val="center"/>
          </w:tcPr>
          <w:p w:rsidR="008E29C2" w:rsidRPr="00B50828" w:rsidP="00005CF3" w14:paraId="505A0579" w14:textId="77777777">
            <w:pPr>
              <w:keepNext/>
              <w:jc w:val="center"/>
            </w:pPr>
          </w:p>
        </w:tc>
        <w:tc>
          <w:tcPr>
            <w:tcW w:w="1576" w:type="dxa"/>
            <w:tcBorders>
              <w:top w:val="double" w:sz="6" w:space="0" w:color="auto"/>
              <w:left w:val="nil"/>
              <w:bottom w:val="single" w:sz="12" w:space="0" w:color="auto"/>
              <w:right w:val="single" w:sz="4" w:space="0" w:color="auto"/>
            </w:tcBorders>
            <w:shd w:val="clear" w:color="auto" w:fill="auto"/>
            <w:noWrap/>
            <w:vAlign w:val="center"/>
          </w:tcPr>
          <w:p w:rsidR="008E29C2" w:rsidRPr="00B50828" w:rsidP="00005CF3" w14:paraId="2890C2C2" w14:textId="32B91A9D">
            <w:pPr>
              <w:keepNext/>
              <w:jc w:val="center"/>
            </w:pPr>
            <w:r>
              <w:t>3,105</w:t>
            </w:r>
          </w:p>
        </w:tc>
        <w:tc>
          <w:tcPr>
            <w:tcW w:w="1183" w:type="dxa"/>
            <w:tcBorders>
              <w:top w:val="double" w:sz="6" w:space="0" w:color="auto"/>
              <w:left w:val="nil"/>
              <w:bottom w:val="single" w:sz="12" w:space="0" w:color="auto"/>
              <w:right w:val="single" w:sz="4" w:space="0" w:color="auto"/>
            </w:tcBorders>
            <w:shd w:val="clear" w:color="auto" w:fill="auto"/>
            <w:noWrap/>
            <w:vAlign w:val="center"/>
          </w:tcPr>
          <w:p w:rsidR="008E29C2" w:rsidRPr="00B50828" w:rsidP="00005CF3" w14:paraId="548C511C" w14:textId="05EE1932">
            <w:pPr>
              <w:keepNext/>
              <w:jc w:val="center"/>
            </w:pPr>
            <w:r w:rsidRPr="00040564">
              <w:t>12,</w:t>
            </w:r>
            <w:r w:rsidR="0093761B">
              <w:t>737</w:t>
            </w:r>
          </w:p>
        </w:tc>
        <w:tc>
          <w:tcPr>
            <w:tcW w:w="1977" w:type="dxa"/>
            <w:tcBorders>
              <w:top w:val="double" w:sz="6" w:space="0" w:color="auto"/>
              <w:left w:val="nil"/>
              <w:bottom w:val="single" w:sz="12" w:space="0" w:color="auto"/>
              <w:right w:val="single" w:sz="4" w:space="0" w:color="auto"/>
            </w:tcBorders>
            <w:shd w:val="clear" w:color="auto" w:fill="auto"/>
            <w:noWrap/>
            <w:vAlign w:val="center"/>
          </w:tcPr>
          <w:p w:rsidR="008E29C2" w:rsidRPr="00B50828" w:rsidP="00005CF3" w14:paraId="261087B3" w14:textId="538B90A6">
            <w:pPr>
              <w:keepNext/>
              <w:jc w:val="center"/>
            </w:pPr>
            <w:r w:rsidRPr="00B50828">
              <w:t>$</w:t>
            </w:r>
            <w:r w:rsidRPr="00040564" w:rsidR="00040564">
              <w:t>1,</w:t>
            </w:r>
            <w:r w:rsidR="001F40E5">
              <w:t>7</w:t>
            </w:r>
            <w:r w:rsidR="000A46A0">
              <w:t>09</w:t>
            </w:r>
            <w:r w:rsidR="001F40E5">
              <w:t>,3</w:t>
            </w:r>
            <w:r w:rsidR="007C079E">
              <w:t>65</w:t>
            </w:r>
          </w:p>
        </w:tc>
        <w:tc>
          <w:tcPr>
            <w:tcW w:w="2053" w:type="dxa"/>
            <w:tcBorders>
              <w:top w:val="double" w:sz="6" w:space="0" w:color="auto"/>
              <w:left w:val="nil"/>
              <w:bottom w:val="single" w:sz="12" w:space="0" w:color="auto"/>
              <w:right w:val="single" w:sz="4" w:space="0" w:color="auto"/>
            </w:tcBorders>
            <w:shd w:val="clear" w:color="auto" w:fill="auto"/>
            <w:noWrap/>
            <w:vAlign w:val="center"/>
          </w:tcPr>
          <w:p w:rsidR="008E29C2" w:rsidRPr="00B50828" w:rsidP="00005CF3" w14:paraId="6332A069" w14:textId="41BD7DC8">
            <w:pPr>
              <w:keepNext/>
              <w:jc w:val="center"/>
            </w:pPr>
            <w:r w:rsidRPr="00B50828">
              <w:t>$</w:t>
            </w:r>
            <w:r w:rsidR="001F40E5">
              <w:t>30,495</w:t>
            </w:r>
          </w:p>
        </w:tc>
        <w:tc>
          <w:tcPr>
            <w:tcW w:w="1717" w:type="dxa"/>
            <w:tcBorders>
              <w:top w:val="double" w:sz="6" w:space="0" w:color="auto"/>
              <w:left w:val="nil"/>
              <w:bottom w:val="single" w:sz="12" w:space="0" w:color="auto"/>
              <w:right w:val="single" w:sz="12" w:space="0" w:color="auto"/>
            </w:tcBorders>
            <w:shd w:val="clear" w:color="auto" w:fill="auto"/>
            <w:noWrap/>
            <w:vAlign w:val="center"/>
          </w:tcPr>
          <w:p w:rsidR="008E29C2" w:rsidRPr="00B50828" w:rsidP="00005CF3" w14:paraId="2840D9CD" w14:textId="252429A6">
            <w:pPr>
              <w:keepNext/>
              <w:jc w:val="center"/>
            </w:pPr>
            <w:r w:rsidRPr="00040564">
              <w:t xml:space="preserve"> $</w:t>
            </w:r>
            <w:r w:rsidR="001F40E5">
              <w:t>1,7</w:t>
            </w:r>
            <w:r w:rsidR="007C079E">
              <w:t>39</w:t>
            </w:r>
            <w:r w:rsidR="001F40E5">
              <w:t>,8</w:t>
            </w:r>
            <w:r w:rsidR="007C079E">
              <w:t>60</w:t>
            </w:r>
          </w:p>
        </w:tc>
      </w:tr>
    </w:tbl>
    <w:p w:rsidR="00CA005D" w:rsidRPr="004D52BC" w:rsidP="00CA005D" w14:paraId="0B1341ED" w14:textId="77777777">
      <w:pPr>
        <w:pStyle w:val="BodyTextFirstline05"/>
        <w:rPr>
          <w:rFonts w:eastAsiaTheme="minorEastAsia"/>
          <w:szCs w:val="24"/>
        </w:rPr>
      </w:pPr>
    </w:p>
    <w:p w:rsidR="00CA005D" w:rsidRPr="004D52BC" w:rsidP="00CA005D" w14:paraId="7CD4EA73" w14:textId="77777777">
      <w:pPr>
        <w:keepNext/>
        <w:spacing w:after="240"/>
        <w:ind w:left="720" w:hanging="720"/>
        <w:outlineLvl w:val="1"/>
        <w:rPr>
          <w:b/>
        </w:rPr>
      </w:pPr>
      <w:r w:rsidRPr="004D52BC">
        <w:rPr>
          <w:b/>
        </w:rPr>
        <w:t>Estimating Respondent Costs</w:t>
      </w:r>
    </w:p>
    <w:p w:rsidR="00782886" w:rsidRPr="001B0264" w:rsidP="00782886" w14:paraId="11EE5A0E" w14:textId="77777777">
      <w:pPr>
        <w:keepNext/>
        <w:keepLines/>
        <w:autoSpaceDE w:val="0"/>
        <w:autoSpaceDN w:val="0"/>
        <w:adjustRightInd w:val="0"/>
        <w:ind w:firstLine="720"/>
      </w:pPr>
      <w:r w:rsidRPr="001B0264">
        <w:t>Costs to respondents associated with this information collection include labor costs (</w:t>
      </w:r>
      <w:r w:rsidRPr="001B0264">
        <w:rPr>
          <w:i/>
        </w:rPr>
        <w:t>i.e.,</w:t>
      </w:r>
      <w:r w:rsidRPr="001B0264">
        <w:t xml:space="preserve"> the cost of labor by facility staff to meet the rule’s information collection requirements) and non-labor costs (</w:t>
      </w:r>
      <w:r w:rsidRPr="001B0264">
        <w:rPr>
          <w:i/>
        </w:rPr>
        <w:t>e.g.,</w:t>
      </w:r>
      <w:r w:rsidRPr="001B0264">
        <w:t xml:space="preserve"> the cost of </w:t>
      </w:r>
      <w:r>
        <w:t xml:space="preserve">obtaining </w:t>
      </w:r>
      <w:r w:rsidRPr="00382ADC">
        <w:t>file cabinets, hard drives, and cloud file storage</w:t>
      </w:r>
      <w:r>
        <w:t xml:space="preserve"> to meet recordkeeping requirements</w:t>
      </w:r>
      <w:r w:rsidRPr="001B0264">
        <w:t xml:space="preserve">). </w:t>
      </w:r>
    </w:p>
    <w:p w:rsidR="00782886" w:rsidRPr="001B0264" w:rsidP="00782886" w14:paraId="00018C5A" w14:textId="77777777">
      <w:pPr>
        <w:autoSpaceDE w:val="0"/>
        <w:autoSpaceDN w:val="0"/>
        <w:adjustRightInd w:val="0"/>
        <w:ind w:firstLine="720"/>
      </w:pPr>
    </w:p>
    <w:p w:rsidR="00782886" w:rsidP="00782886" w14:paraId="56721430" w14:textId="4F1274F2">
      <w:pPr>
        <w:autoSpaceDE w:val="0"/>
        <w:autoSpaceDN w:val="0"/>
        <w:ind w:firstLine="720"/>
      </w:pPr>
      <w:r w:rsidRPr="001B0264">
        <w:t xml:space="preserve">To calculate labor costs, the EPA used an approach consistent with the ICR associated with the GHGRP currently approved by OMB, updated to incorporate </w:t>
      </w:r>
      <w:r w:rsidR="004830D2">
        <w:t xml:space="preserve">May </w:t>
      </w:r>
      <w:r w:rsidRPr="001B0264">
        <w:t>202</w:t>
      </w:r>
      <w:r>
        <w:t>3</w:t>
      </w:r>
      <w:r w:rsidRPr="001B0264">
        <w:t xml:space="preserve"> BLS labor rates. Sector-specific labor rates are used for the oil and gas industry</w:t>
      </w:r>
      <w:r w:rsidR="00516D12">
        <w:t xml:space="preserve"> based upon data reported for NAICS category 211 (Oil and Gas Extraction)</w:t>
      </w:r>
      <w:r w:rsidRPr="001B0264">
        <w:t xml:space="preserve">: </w:t>
      </w:r>
      <w:r>
        <w:t>$</w:t>
      </w:r>
      <w:r w:rsidR="00516D12">
        <w:t>173.68</w:t>
      </w:r>
      <w:r>
        <w:t xml:space="preserve"> for company lawyers, </w:t>
      </w:r>
      <w:r w:rsidRPr="001B0264">
        <w:t>$</w:t>
      </w:r>
      <w:r w:rsidR="004A773E">
        <w:t>155.02</w:t>
      </w:r>
      <w:r w:rsidRPr="001B0264">
        <w:t xml:space="preserve"> for senior managers, $</w:t>
      </w:r>
      <w:r w:rsidR="004A773E">
        <w:t>132.91</w:t>
      </w:r>
      <w:r w:rsidRPr="001B0264">
        <w:t xml:space="preserve"> for middle managers, $</w:t>
      </w:r>
      <w:r w:rsidR="004A773E">
        <w:t>120.37</w:t>
      </w:r>
      <w:r w:rsidRPr="001B0264">
        <w:t xml:space="preserve"> for engineers, and $</w:t>
      </w:r>
      <w:r w:rsidR="004A773E">
        <w:t>85.57</w:t>
      </w:r>
      <w:r w:rsidRPr="001B0264">
        <w:t xml:space="preserve"> for technicians. These labor rates were applied to the total burden estimates for each labor category to obtain the total costs </w:t>
      </w:r>
      <w:r>
        <w:t xml:space="preserve">for this </w:t>
      </w:r>
      <w:r w:rsidR="001872AE">
        <w:t>final</w:t>
      </w:r>
      <w:r>
        <w:t xml:space="preserve"> rulemaking</w:t>
      </w:r>
      <w:r w:rsidRPr="001B0264">
        <w:t xml:space="preserve">. Labor and non-labor costs (capital and O&amp;M) are summarized in Exhibit </w:t>
      </w:r>
      <w:r w:rsidR="00160234">
        <w:t>12.3</w:t>
      </w:r>
      <w:r w:rsidRPr="001B0264">
        <w:t xml:space="preserve">. </w:t>
      </w:r>
      <w:r>
        <w:t>More details are in the Appendix.</w:t>
      </w:r>
    </w:p>
    <w:p w:rsidR="00782886" w:rsidP="00782886" w14:paraId="717D57D1" w14:textId="77777777">
      <w:pPr>
        <w:keepNext/>
        <w:ind w:firstLine="720"/>
        <w:rPr>
          <w:highlight w:val="yellow"/>
        </w:rPr>
      </w:pPr>
    </w:p>
    <w:p w:rsidR="00CA005D" w:rsidRPr="004D52BC" w:rsidP="00782886" w14:paraId="3B7F7B3D" w14:textId="499B7862">
      <w:pPr>
        <w:spacing w:after="240"/>
        <w:ind w:firstLine="720"/>
      </w:pPr>
      <w:r w:rsidRPr="001B0264">
        <w:t xml:space="preserve"> </w:t>
      </w:r>
      <w:r w:rsidRPr="00D74951">
        <w:t>The EPA estimates that the total annual labor costs to all affected non-federal entities average</w:t>
      </w:r>
      <w:r w:rsidR="000D6FFB">
        <w:t>s</w:t>
      </w:r>
      <w:r w:rsidRPr="00D74951">
        <w:t xml:space="preserve"> </w:t>
      </w:r>
      <w:r w:rsidRPr="00F0753A">
        <w:t>$</w:t>
      </w:r>
      <w:r w:rsidR="00F0753A">
        <w:t>1.</w:t>
      </w:r>
      <w:r w:rsidR="00B728DE">
        <w:t>7</w:t>
      </w:r>
      <w:r w:rsidR="007C079E">
        <w:t xml:space="preserve"> </w:t>
      </w:r>
      <w:r w:rsidRPr="00D74951">
        <w:t xml:space="preserve">million over the three years covered by this information collection. Exhibit </w:t>
      </w:r>
      <w:r w:rsidR="00460601">
        <w:t>12.3</w:t>
      </w:r>
      <w:r w:rsidRPr="00D74951">
        <w:t xml:space="preserve"> presents the aggregate burden by year for all </w:t>
      </w:r>
      <w:r w:rsidR="00FD0385">
        <w:t>respondents under the final rule</w:t>
      </w:r>
      <w:r w:rsidRPr="004D52BC">
        <w:t xml:space="preserve">. </w:t>
      </w:r>
    </w:p>
    <w:p w:rsidR="00B728DE" w:rsidP="00C65581" w14:paraId="5445F9CB" w14:textId="77777777"/>
    <w:p w:rsidR="00BF29F0" w14:paraId="4A99C90B" w14:textId="77777777">
      <w:pPr>
        <w:rPr>
          <w:b/>
        </w:rPr>
      </w:pPr>
      <w:r>
        <w:br w:type="page"/>
      </w:r>
    </w:p>
    <w:p w:rsidR="00CA005D" w:rsidRPr="004D52BC" w:rsidP="00CA005D" w14:paraId="4B1AF003" w14:textId="29F58270">
      <w:pPr>
        <w:pStyle w:val="Heading2"/>
        <w:spacing w:after="160"/>
        <w:rPr>
          <w:b w:val="0"/>
        </w:rPr>
      </w:pPr>
      <w:r w:rsidRPr="004D52BC">
        <w:t>Estimating the Respondent Universe and Total Burden and Costs</w:t>
      </w:r>
    </w:p>
    <w:p w:rsidR="0053038F" w:rsidP="00CA005D" w14:paraId="473C11D1" w14:textId="60AD8696">
      <w:pPr>
        <w:ind w:firstLine="720"/>
      </w:pPr>
      <w:r w:rsidRPr="001B0264">
        <w:t xml:space="preserve">The estimated number of respondents that will perform the required activities under this information collection is presented in </w:t>
      </w:r>
      <w:r>
        <w:t>the Appendix</w:t>
      </w:r>
      <w:r w:rsidRPr="00EC7519">
        <w:t>. The number of respondents is not expected to vary in each year</w:t>
      </w:r>
      <w:r w:rsidRPr="004D52BC" w:rsidR="00CA005D">
        <w:t>.</w:t>
      </w:r>
    </w:p>
    <w:p w:rsidR="00CA005D" w:rsidRPr="004D52BC" w:rsidP="00CA005D" w14:paraId="6376871E" w14:textId="66844C8D">
      <w:pPr>
        <w:ind w:firstLine="720"/>
      </w:pPr>
    </w:p>
    <w:p w:rsidR="00CA005D" w:rsidRPr="004D52BC" w:rsidP="00CA005D" w14:paraId="552A768B" w14:textId="77777777">
      <w:pPr>
        <w:keepNext/>
        <w:spacing w:after="240"/>
        <w:ind w:left="720" w:hanging="720"/>
        <w:outlineLvl w:val="1"/>
        <w:rPr>
          <w:b/>
        </w:rPr>
      </w:pPr>
      <w:r w:rsidRPr="004D52BC">
        <w:rPr>
          <w:b/>
        </w:rPr>
        <w:t>Bottom Line Burden Hours and Costs</w:t>
      </w:r>
    </w:p>
    <w:p w:rsidR="00CA005D" w:rsidRPr="004D52BC" w:rsidP="00CA005D" w14:paraId="59129ADF" w14:textId="77777777">
      <w:pPr>
        <w:spacing w:after="240"/>
        <w:ind w:firstLine="720"/>
        <w:rPr>
          <w:rFonts w:eastAsia="Calibri"/>
          <w:b/>
          <w:bCs/>
        </w:rPr>
      </w:pPr>
      <w:bookmarkStart w:id="22" w:name="_Toc199057246"/>
      <w:r w:rsidRPr="004D52BC">
        <w:t>The bottom-line burden hours and costs are shown in Exhibit 12.4.</w:t>
      </w:r>
    </w:p>
    <w:p w:rsidR="00097FFD" w:rsidRPr="00E11E90" w:rsidP="00460601" w14:paraId="79DABBB6" w14:textId="7A155487">
      <w:pPr>
        <w:keepNext/>
        <w:spacing w:line="276" w:lineRule="auto"/>
        <w:rPr>
          <w:rFonts w:eastAsia="Calibri"/>
          <w:b/>
          <w:bCs/>
        </w:rPr>
      </w:pPr>
      <w:r w:rsidRPr="004D52BC">
        <w:rPr>
          <w:rFonts w:eastAsia="Calibri"/>
          <w:b/>
        </w:rPr>
        <w:t xml:space="preserve">Exhibit 12.4 </w:t>
      </w:r>
      <w:bookmarkStart w:id="23" w:name="_Toc156593386"/>
      <w:bookmarkEnd w:id="22"/>
      <w:r w:rsidRPr="00E11E90">
        <w:rPr>
          <w:rFonts w:eastAsia="Calibri"/>
          <w:b/>
          <w:bCs/>
        </w:rPr>
        <w:t>Total Burden and Costs Per Year</w:t>
      </w:r>
    </w:p>
    <w:tbl>
      <w:tblPr>
        <w:tblW w:w="7020" w:type="dxa"/>
        <w:tblInd w:w="-5" w:type="dxa"/>
        <w:tblLook w:val="04A0"/>
      </w:tblPr>
      <w:tblGrid>
        <w:gridCol w:w="4590"/>
        <w:gridCol w:w="2430"/>
      </w:tblGrid>
      <w:tr w14:paraId="644E0764" w14:textId="77777777" w:rsidTr="00460601">
        <w:tblPrEx>
          <w:tblW w:w="7020" w:type="dxa"/>
          <w:tblInd w:w="-5" w:type="dxa"/>
          <w:tblLook w:val="04A0"/>
        </w:tblPrEx>
        <w:trPr>
          <w:trHeight w:val="610"/>
          <w:tblHeader/>
        </w:trPr>
        <w:tc>
          <w:tcPr>
            <w:tcW w:w="4590" w:type="dxa"/>
            <w:tcBorders>
              <w:top w:val="single" w:sz="4" w:space="0" w:color="auto"/>
              <w:left w:val="single" w:sz="4" w:space="0" w:color="auto"/>
              <w:right w:val="single" w:sz="4" w:space="0" w:color="auto"/>
            </w:tcBorders>
            <w:shd w:val="clear" w:color="000000" w:fill="F2F2F2"/>
            <w:noWrap/>
            <w:vAlign w:val="center"/>
            <w:hideMark/>
          </w:tcPr>
          <w:p w:rsidR="00097FFD" w:rsidRPr="00E11E90" w:rsidP="00005CF3" w14:paraId="57603804" w14:textId="77777777">
            <w:r w:rsidRPr="00E11E90">
              <w:t> Respondent Costs</w:t>
            </w:r>
          </w:p>
        </w:tc>
        <w:tc>
          <w:tcPr>
            <w:tcW w:w="24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97FFD" w:rsidRPr="00E11E90" w:rsidP="00005CF3" w14:paraId="2151D7E2" w14:textId="77777777">
            <w:pPr>
              <w:jc w:val="center"/>
            </w:pPr>
            <w:r w:rsidRPr="00E11E90">
              <w:t>Annual Average</w:t>
            </w:r>
          </w:p>
          <w:p w:rsidR="00097FFD" w:rsidRPr="00E11E90" w:rsidP="00005CF3" w14:paraId="5BD3B831" w14:textId="77777777">
            <w:pPr>
              <w:jc w:val="center"/>
            </w:pPr>
          </w:p>
        </w:tc>
      </w:tr>
      <w:tr w14:paraId="027625B9"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D0385" w:rsidRPr="00E11E90" w:rsidP="00FD0385" w14:paraId="207E6E22" w14:textId="77777777">
            <w:pPr>
              <w:ind w:firstLine="480" w:firstLineChars="200"/>
            </w:pPr>
            <w:r w:rsidRPr="00E11E90">
              <w:t>Number of Respondents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385" w:rsidRPr="00E11E90" w:rsidP="00FD0385" w14:paraId="2D53C9EC" w14:textId="5F3280A6">
            <w:pPr>
              <w:jc w:val="right"/>
            </w:pPr>
            <w:r>
              <w:rPr>
                <w:color w:val="000000"/>
              </w:rPr>
              <w:t>3,105</w:t>
            </w:r>
          </w:p>
        </w:tc>
      </w:tr>
      <w:tr w14:paraId="250CCBA0"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D0385" w:rsidRPr="00E11E90" w:rsidP="00FD0385" w14:paraId="0991EC86" w14:textId="77777777">
            <w:pPr>
              <w:ind w:firstLine="480" w:firstLineChars="200"/>
            </w:pPr>
            <w:r w:rsidRPr="00E11E90">
              <w:t>Total Respondent Labor Hours</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3E2B7AA4" w14:textId="0D4E0078">
            <w:pPr>
              <w:jc w:val="right"/>
            </w:pPr>
            <w:r>
              <w:rPr>
                <w:color w:val="000000"/>
              </w:rPr>
              <w:t>12,737</w:t>
            </w:r>
          </w:p>
        </w:tc>
      </w:tr>
      <w:tr w14:paraId="6DFCB001"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D0385" w:rsidRPr="00E11E90" w:rsidP="00FD0385" w14:paraId="76EC6C73" w14:textId="77777777">
            <w:pPr>
              <w:ind w:firstLine="480" w:firstLineChars="200"/>
            </w:pPr>
            <w:r w:rsidRPr="00E11E90">
              <w:t>Total Respondent Labor Costs</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670961E0" w14:textId="27512460">
            <w:pPr>
              <w:jc w:val="right"/>
            </w:pPr>
            <w:r>
              <w:rPr>
                <w:color w:val="000000"/>
              </w:rPr>
              <w:t>$1,7</w:t>
            </w:r>
            <w:r w:rsidR="00B728DE">
              <w:rPr>
                <w:color w:val="000000"/>
              </w:rPr>
              <w:t>09</w:t>
            </w:r>
            <w:r>
              <w:rPr>
                <w:color w:val="000000"/>
              </w:rPr>
              <w:t>,3</w:t>
            </w:r>
            <w:r w:rsidR="00B728DE">
              <w:rPr>
                <w:color w:val="000000"/>
              </w:rPr>
              <w:t>65</w:t>
            </w:r>
            <w:r>
              <w:rPr>
                <w:color w:val="000000"/>
              </w:rPr>
              <w:t xml:space="preserve"> </w:t>
            </w:r>
          </w:p>
        </w:tc>
      </w:tr>
      <w:tr w14:paraId="6FE2D180"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FD0385" w:rsidRPr="00E11E90" w:rsidP="00FD0385" w14:paraId="11F90A35" w14:textId="77777777">
            <w:pPr>
              <w:ind w:firstLine="480" w:firstLineChars="200"/>
            </w:pPr>
            <w:r w:rsidRPr="00E11E90">
              <w:t>Non-labor (Capital and O&amp;M) Costs</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1A093FD7" w14:textId="1531BC2D">
            <w:pPr>
              <w:jc w:val="right"/>
            </w:pPr>
            <w:r>
              <w:rPr>
                <w:color w:val="000000"/>
              </w:rPr>
              <w:t xml:space="preserve">$30,495 </w:t>
            </w:r>
          </w:p>
        </w:tc>
      </w:tr>
      <w:tr w14:paraId="7871C45C"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FD0385" w:rsidRPr="00E11E90" w:rsidP="00FD0385" w14:paraId="6B8C16C1" w14:textId="77777777">
            <w:pPr>
              <w:ind w:firstLine="480" w:firstLineChars="200"/>
            </w:pPr>
            <w:r w:rsidRPr="00E11E90">
              <w:t>Total Respondent Costs</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7851E2AB" w14:textId="20E2524B">
            <w:pPr>
              <w:jc w:val="right"/>
            </w:pPr>
            <w:r>
              <w:rPr>
                <w:color w:val="000000"/>
              </w:rPr>
              <w:t>$1,7</w:t>
            </w:r>
            <w:r w:rsidR="00B728DE">
              <w:rPr>
                <w:color w:val="000000"/>
              </w:rPr>
              <w:t>39</w:t>
            </w:r>
            <w:r>
              <w:rPr>
                <w:color w:val="000000"/>
              </w:rPr>
              <w:t>,8</w:t>
            </w:r>
            <w:r w:rsidR="00B728DE">
              <w:rPr>
                <w:color w:val="000000"/>
              </w:rPr>
              <w:t>60</w:t>
            </w:r>
          </w:p>
        </w:tc>
      </w:tr>
      <w:tr w14:paraId="289AFC28"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D0385" w:rsidRPr="00E11E90" w:rsidP="00FD0385" w14:paraId="3F870292" w14:textId="77777777">
            <w:r w:rsidRPr="00E11E90">
              <w:t>Agency Costs</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397A6C56" w14:textId="257BCB35">
            <w:pPr>
              <w:jc w:val="right"/>
            </w:pPr>
            <w:r>
              <w:rPr>
                <w:color w:val="000000"/>
              </w:rPr>
              <w:t> </w:t>
            </w:r>
          </w:p>
        </w:tc>
      </w:tr>
      <w:tr w14:paraId="03545954"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D0385" w:rsidRPr="00E11E90" w:rsidP="00FD0385" w14:paraId="5CC846FF" w14:textId="77777777">
            <w:pPr>
              <w:ind w:firstLine="480" w:firstLineChars="200"/>
            </w:pPr>
            <w:r w:rsidRPr="00E11E90">
              <w:t xml:space="preserve">Total Agency Burden Hours </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0A5894E2" w14:textId="589C7E38">
            <w:pPr>
              <w:jc w:val="right"/>
            </w:pPr>
            <w:r>
              <w:rPr>
                <w:color w:val="000000"/>
              </w:rPr>
              <w:t>31,200</w:t>
            </w:r>
          </w:p>
        </w:tc>
      </w:tr>
      <w:tr w14:paraId="679248A1"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D0385" w:rsidRPr="00E11E90" w:rsidP="00FD0385" w14:paraId="55F399F8" w14:textId="77777777">
            <w:pPr>
              <w:ind w:firstLine="480" w:firstLineChars="200"/>
            </w:pPr>
            <w:r w:rsidRPr="00E11E90">
              <w:t>Total Agency Labor Costs</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7D66B09C" w14:textId="6DEE0713">
            <w:pPr>
              <w:jc w:val="right"/>
            </w:pPr>
            <w:r>
              <w:rPr>
                <w:color w:val="000000"/>
              </w:rPr>
              <w:t xml:space="preserve">$2,117,107 </w:t>
            </w:r>
          </w:p>
        </w:tc>
      </w:tr>
      <w:tr w14:paraId="5753C38F"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FD0385" w:rsidRPr="00E11E90" w:rsidP="00FD0385" w14:paraId="71F94158" w14:textId="77777777">
            <w:pPr>
              <w:ind w:firstLine="480" w:firstLineChars="200"/>
            </w:pPr>
            <w:r w:rsidRPr="00E11E90">
              <w:t>Non-labor Costs</w:t>
            </w:r>
          </w:p>
        </w:tc>
        <w:tc>
          <w:tcPr>
            <w:tcW w:w="2430" w:type="dxa"/>
            <w:tcBorders>
              <w:top w:val="single" w:sz="4" w:space="0" w:color="auto"/>
              <w:left w:val="single" w:sz="4" w:space="0" w:color="auto"/>
              <w:bottom w:val="single" w:sz="4" w:space="0" w:color="auto"/>
              <w:right w:val="single" w:sz="4" w:space="0" w:color="auto"/>
            </w:tcBorders>
            <w:shd w:val="clear" w:color="auto" w:fill="auto"/>
            <w:noWrap/>
          </w:tcPr>
          <w:p w:rsidR="00FD0385" w:rsidRPr="00E11E90" w:rsidP="00FD0385" w14:paraId="024CCCA7" w14:textId="44856EED">
            <w:pPr>
              <w:jc w:val="right"/>
              <w:rPr>
                <w:color w:val="000000"/>
              </w:rPr>
            </w:pPr>
            <w:r>
              <w:rPr>
                <w:color w:val="000000"/>
              </w:rPr>
              <w:t xml:space="preserve">$3,666,667 </w:t>
            </w:r>
          </w:p>
        </w:tc>
      </w:tr>
      <w:tr w14:paraId="18211856" w14:textId="77777777" w:rsidTr="00FD0385">
        <w:tblPrEx>
          <w:tblW w:w="7020" w:type="dxa"/>
          <w:tblInd w:w="-5" w:type="dxa"/>
          <w:tblLook w:val="04A0"/>
        </w:tblPrEx>
        <w:trPr>
          <w:trHeight w:val="300"/>
        </w:trPr>
        <w:tc>
          <w:tcPr>
            <w:tcW w:w="459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FD0385" w:rsidRPr="00E11E90" w:rsidP="00FD0385" w14:paraId="43823B30" w14:textId="77777777">
            <w:pPr>
              <w:ind w:firstLine="480" w:firstLineChars="200"/>
            </w:pPr>
            <w:r w:rsidRPr="00E11E90">
              <w:t>Total Agency Costs</w:t>
            </w:r>
          </w:p>
        </w:tc>
        <w:tc>
          <w:tcPr>
            <w:tcW w:w="2430" w:type="dxa"/>
            <w:tcBorders>
              <w:top w:val="single" w:sz="4" w:space="0" w:color="auto"/>
              <w:left w:val="single" w:sz="4" w:space="0" w:color="auto"/>
              <w:bottom w:val="single" w:sz="4" w:space="0" w:color="auto"/>
              <w:right w:val="single" w:sz="4" w:space="0" w:color="auto"/>
            </w:tcBorders>
            <w:shd w:val="clear" w:color="auto" w:fill="auto"/>
            <w:noWrap/>
          </w:tcPr>
          <w:p w:rsidR="00FD0385" w:rsidRPr="00E11E90" w:rsidP="00FD0385" w14:paraId="7625830A" w14:textId="2AE084BE">
            <w:pPr>
              <w:jc w:val="right"/>
              <w:rPr>
                <w:color w:val="000000"/>
              </w:rPr>
            </w:pPr>
            <w:r>
              <w:rPr>
                <w:color w:val="000000"/>
              </w:rPr>
              <w:t xml:space="preserve">$5,783,774 </w:t>
            </w:r>
          </w:p>
        </w:tc>
      </w:tr>
      <w:tr w14:paraId="33488BBA" w14:textId="77777777" w:rsidTr="00FD0385">
        <w:tblPrEx>
          <w:tblW w:w="7020" w:type="dxa"/>
          <w:tblInd w:w="-5" w:type="dxa"/>
          <w:tblLook w:val="04A0"/>
        </w:tblPrEx>
        <w:trPr>
          <w:trHeight w:val="368"/>
        </w:trPr>
        <w:tc>
          <w:tcPr>
            <w:tcW w:w="459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FD0385" w:rsidRPr="00E11E90" w:rsidP="00FD0385" w14:paraId="48AF5EE7" w14:textId="77777777">
            <w:r w:rsidRPr="00E11E90">
              <w:t>Total Burden Hours (Respondents + Agency)</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0AD89E96" w14:textId="2E534797">
            <w:pPr>
              <w:jc w:val="right"/>
            </w:pPr>
            <w:r>
              <w:rPr>
                <w:color w:val="000000"/>
              </w:rPr>
              <w:t>43,937</w:t>
            </w:r>
          </w:p>
        </w:tc>
      </w:tr>
      <w:tr w14:paraId="34CF6924" w14:textId="77777777" w:rsidTr="00FD0385">
        <w:tblPrEx>
          <w:tblW w:w="7020" w:type="dxa"/>
          <w:tblInd w:w="-5" w:type="dxa"/>
          <w:tblLook w:val="04A0"/>
        </w:tblPrEx>
        <w:trPr>
          <w:trHeight w:val="350"/>
        </w:trPr>
        <w:tc>
          <w:tcPr>
            <w:tcW w:w="459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FD0385" w:rsidRPr="00E11E90" w:rsidP="00FD0385" w14:paraId="012530FF" w14:textId="77777777">
            <w:r w:rsidRPr="00E11E90">
              <w:t>Bottom Line Costs (Respondents + Agency)</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rsidR="00FD0385" w:rsidRPr="00E11E90" w:rsidP="00FD0385" w14:paraId="0AD552A0" w14:textId="4E5EBD13">
            <w:pPr>
              <w:jc w:val="right"/>
            </w:pPr>
            <w:r>
              <w:rPr>
                <w:color w:val="000000"/>
              </w:rPr>
              <w:t>$7,5</w:t>
            </w:r>
            <w:r w:rsidR="000169C7">
              <w:rPr>
                <w:color w:val="000000"/>
              </w:rPr>
              <w:t>23</w:t>
            </w:r>
            <w:r>
              <w:rPr>
                <w:color w:val="000000"/>
              </w:rPr>
              <w:t>,</w:t>
            </w:r>
            <w:r w:rsidR="000169C7">
              <w:rPr>
                <w:color w:val="000000"/>
              </w:rPr>
              <w:t>634</w:t>
            </w:r>
          </w:p>
        </w:tc>
      </w:tr>
    </w:tbl>
    <w:p w:rsidR="00CA005D" w:rsidRPr="004D52BC" w:rsidP="00097FFD" w14:paraId="7C3BB8EC" w14:textId="14016515">
      <w:pPr>
        <w:keepNext/>
        <w:spacing w:before="360" w:after="60"/>
        <w:outlineLvl w:val="3"/>
        <w:rPr>
          <w:b/>
          <w:bCs/>
          <w:caps/>
        </w:rPr>
      </w:pPr>
      <w:r w:rsidRPr="004D52BC">
        <w:rPr>
          <w:b/>
          <w:bCs/>
          <w:caps/>
        </w:rPr>
        <w:t>Respondent CAPITAL AND O&amp;m CostS</w:t>
      </w:r>
      <w:bookmarkEnd w:id="23"/>
      <w:r w:rsidRPr="004D52BC">
        <w:rPr>
          <w:b/>
          <w:bCs/>
          <w:caps/>
        </w:rPr>
        <w:t xml:space="preserve"> </w:t>
      </w:r>
    </w:p>
    <w:p w:rsidR="00CA005D" w:rsidRPr="004D52BC" w:rsidP="00CA005D" w14:paraId="1A3236D7" w14:textId="77777777">
      <w:pPr>
        <w:rPr>
          <w:i/>
          <w:iCs/>
        </w:rPr>
      </w:pPr>
      <w:r w:rsidRPr="004D52BC">
        <w:rPr>
          <w:i/>
          <w:iCs/>
        </w:rPr>
        <w:t>Provide an estimate for the total annual cost burden to respondents or record keepers resulting from the collection of information. (Do not include the cost of any hour burden already reflected on the burden worksheet).</w:t>
      </w:r>
    </w:p>
    <w:p w:rsidR="00CA005D" w:rsidRPr="004D52BC" w:rsidP="00CA005D" w14:paraId="136E8863" w14:textId="77777777">
      <w:pPr>
        <w:spacing w:before="120"/>
        <w:rPr>
          <w:i/>
          <w:iCs/>
        </w:rPr>
      </w:pPr>
      <w:r w:rsidRPr="004D52BC">
        <w:rPr>
          <w:i/>
          <w:iCs/>
        </w:rPr>
        <w:t>The cost estimate should be split into two components: (a) a total capital and start-up cost</w:t>
      </w:r>
    </w:p>
    <w:p w:rsidR="00CA005D" w:rsidRPr="004D52BC" w:rsidP="00CA005D" w14:paraId="1272ECE0" w14:textId="77777777">
      <w:pPr>
        <w:rPr>
          <w:i/>
          <w:iCs/>
        </w:rPr>
      </w:pPr>
      <w:r w:rsidRPr="004D52BC">
        <w:rPr>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CA005D" w:rsidRPr="004D52BC" w:rsidP="00CA005D" w14:paraId="5DF5F59C" w14:textId="77777777">
      <w:pPr>
        <w:rPr>
          <w:i/>
          <w:iCs/>
        </w:rPr>
      </w:pPr>
      <w:r w:rsidRPr="004D52BC">
        <w:rPr>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CA005D" w:rsidRPr="00FD0385" w:rsidP="00CA005D" w14:paraId="3FDC5044" w14:textId="77777777">
      <w:pPr>
        <w:pBdr>
          <w:bottom w:val="single" w:sz="4" w:space="1" w:color="auto"/>
        </w:pBdr>
        <w:rPr>
          <w:i/>
          <w:iCs/>
        </w:rPr>
      </w:pPr>
      <w:r w:rsidRPr="004D52BC">
        <w:rPr>
          <w:i/>
          <w:iCs/>
        </w:rPr>
        <w:t xml:space="preserve">Generally, estimates should not include purchases of equipment or services, or portions thereof, made: (1) prior to October 1, 1995, (2) to achieve regulatory compliance with requirements not associated with the </w:t>
      </w:r>
      <w:r w:rsidRPr="00FD0385">
        <w:rPr>
          <w:i/>
          <w:iCs/>
        </w:rPr>
        <w:t>information collection, (3) for reasons other than to provide information or keep records for the government, or (4) as part of customary and usual business or private practices.</w:t>
      </w:r>
    </w:p>
    <w:p w:rsidR="00CA005D" w:rsidRPr="004D52BC" w:rsidP="00CA005D" w14:paraId="02001E71" w14:textId="278DC64C">
      <w:pPr>
        <w:pBdr>
          <w:top w:val="single" w:sz="6" w:space="0" w:color="FFFFFF"/>
          <w:left w:val="single" w:sz="6" w:space="0" w:color="FFFFFF"/>
          <w:bottom w:val="single" w:sz="6" w:space="0" w:color="FFFFFF"/>
          <w:right w:val="single" w:sz="6" w:space="0" w:color="FFFFFF"/>
        </w:pBdr>
        <w:ind w:firstLine="720"/>
        <w:rPr>
          <w:color w:val="000000"/>
        </w:rPr>
      </w:pPr>
      <w:r w:rsidRPr="00FD0385">
        <w:rPr>
          <w:color w:val="000000"/>
        </w:rPr>
        <w:t>The total costs include $</w:t>
      </w:r>
      <w:r w:rsidRPr="00FD0385" w:rsidR="00DE6799">
        <w:rPr>
          <w:color w:val="000000"/>
        </w:rPr>
        <w:t>30,495</w:t>
      </w:r>
      <w:r w:rsidRPr="00FD0385" w:rsidR="00A71AAA">
        <w:rPr>
          <w:color w:val="000000"/>
        </w:rPr>
        <w:t xml:space="preserve"> </w:t>
      </w:r>
      <w:r w:rsidRPr="00FD0385">
        <w:rPr>
          <w:color w:val="000000"/>
        </w:rPr>
        <w:t>in annual capital costs and $</w:t>
      </w:r>
      <w:r w:rsidRPr="00FD0385" w:rsidR="00A71AAA">
        <w:rPr>
          <w:color w:val="000000"/>
        </w:rPr>
        <w:t>0</w:t>
      </w:r>
      <w:r w:rsidRPr="00FD0385">
        <w:rPr>
          <w:color w:val="000000"/>
        </w:rPr>
        <w:t xml:space="preserve"> in annual operation and maintenance and purchase of services costs. For specific details</w:t>
      </w:r>
      <w:r w:rsidRPr="004D52BC">
        <w:rPr>
          <w:color w:val="000000"/>
        </w:rPr>
        <w:t xml:space="preserve">, see </w:t>
      </w:r>
      <w:r w:rsidR="00B33BA3">
        <w:rPr>
          <w:color w:val="000000"/>
        </w:rPr>
        <w:t xml:space="preserve">the </w:t>
      </w:r>
      <w:r w:rsidRPr="004D52BC">
        <w:rPr>
          <w:color w:val="000000"/>
        </w:rPr>
        <w:t>Appendix.</w:t>
      </w:r>
    </w:p>
    <w:p w:rsidR="00CA005D" w:rsidRPr="004D52BC" w:rsidP="00FF3ABD" w14:paraId="599C9171" w14:textId="77777777">
      <w:pPr>
        <w:pStyle w:val="ListParagraph"/>
        <w:numPr>
          <w:ilvl w:val="0"/>
          <w:numId w:val="13"/>
        </w:numPr>
        <w:pBdr>
          <w:bottom w:val="single" w:sz="4" w:space="1" w:color="auto"/>
        </w:pBdr>
        <w:spacing w:before="240" w:line="259" w:lineRule="auto"/>
        <w:outlineLvl w:val="1"/>
        <w:rPr>
          <w:b/>
          <w:bCs/>
        </w:rPr>
      </w:pPr>
      <w:bookmarkStart w:id="24" w:name="_Toc156593387"/>
      <w:r w:rsidRPr="004D52BC">
        <w:rPr>
          <w:b/>
          <w:bCs/>
        </w:rPr>
        <w:t xml:space="preserve">AGENCY </w:t>
      </w:r>
      <w:bookmarkStart w:id="25" w:name="_Toc156593388"/>
      <w:bookmarkEnd w:id="24"/>
      <w:r w:rsidRPr="004D52BC">
        <w:rPr>
          <w:b/>
          <w:bCs/>
        </w:rPr>
        <w:t>COSTS</w:t>
      </w:r>
    </w:p>
    <w:p w:rsidR="00CA005D" w:rsidRPr="004D52BC" w:rsidP="00CA005D" w14:paraId="66848553" w14:textId="77777777">
      <w:pPr>
        <w:pBdr>
          <w:bottom w:val="single" w:sz="4" w:space="1" w:color="auto"/>
        </w:pBdr>
        <w:rPr>
          <w:bCs/>
          <w:i/>
          <w:iCs/>
        </w:rPr>
      </w:pPr>
      <w:r w:rsidRPr="004D52BC">
        <w:rPr>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A005D" w:rsidRPr="004D52BC" w:rsidP="008D1380" w14:paraId="04FBB9DE" w14:textId="77777777">
      <w:pPr>
        <w:pStyle w:val="StyleBoldBefore6pt"/>
        <w:rPr>
          <w:rFonts w:eastAsiaTheme="majorEastAsia"/>
        </w:rPr>
      </w:pPr>
      <w:r w:rsidRPr="004D52BC">
        <w:rPr>
          <w:rFonts w:eastAsiaTheme="majorEastAsia"/>
        </w:rPr>
        <w:t>14a. Agency Activities</w:t>
      </w:r>
    </w:p>
    <w:p w:rsidR="00CA005D" w:rsidRPr="004D52BC" w:rsidP="00CA005D" w14:paraId="13A32F42" w14:textId="5BF4F62F">
      <w:pPr>
        <w:pStyle w:val="BodyTextFirstline05"/>
        <w:rPr>
          <w:szCs w:val="24"/>
        </w:rPr>
      </w:pPr>
      <w:r w:rsidRPr="001B0264">
        <w:t xml:space="preserve">EPA activities include the verification of </w:t>
      </w:r>
      <w:r>
        <w:t>WEC filings, including claims for exemptions</w:t>
      </w:r>
      <w:r w:rsidRPr="001B0264">
        <w:t>, database and software maintenance, communication and outreach, and program evaluation. This ICR reflects agency burden for program operation activities, which include</w:t>
      </w:r>
      <w:r>
        <w:t>s program start-up activities to prepare for receiving the data to be collected under this rule. One-time costs associated with this process include database and software design, development, and creation of guidance materials</w:t>
      </w:r>
      <w:r w:rsidRPr="004D52BC">
        <w:rPr>
          <w:szCs w:val="24"/>
        </w:rPr>
        <w:t xml:space="preserve">. </w:t>
      </w:r>
    </w:p>
    <w:p w:rsidR="00CA005D" w:rsidRPr="004D52BC" w:rsidP="008D1380" w14:paraId="7658C619" w14:textId="77777777">
      <w:pPr>
        <w:pStyle w:val="StyleBoldBefore6pt"/>
        <w:rPr>
          <w:rFonts w:eastAsiaTheme="majorEastAsia"/>
        </w:rPr>
      </w:pPr>
      <w:r w:rsidRPr="004D52BC">
        <w:rPr>
          <w:rFonts w:eastAsiaTheme="majorEastAsia"/>
        </w:rPr>
        <w:t>14b. Agency Labor Cost</w:t>
      </w:r>
    </w:p>
    <w:p w:rsidR="00F91AF5" w:rsidP="00F91AF5" w14:paraId="4A7C7651" w14:textId="77777777">
      <w:pPr>
        <w:pStyle w:val="Heading2"/>
        <w:keepNext/>
        <w:spacing w:line="360" w:lineRule="auto"/>
        <w:ind w:firstLine="0"/>
      </w:pPr>
      <w:r w:rsidRPr="001B0264">
        <w:t>Estimating Agency Burden and Cost</w:t>
      </w:r>
    </w:p>
    <w:p w:rsidR="00F91AF5" w:rsidRPr="001B0264" w:rsidP="00F91AF5" w14:paraId="23D3E336" w14:textId="1CE2A43E">
      <w:pPr>
        <w:autoSpaceDE w:val="0"/>
        <w:autoSpaceDN w:val="0"/>
        <w:adjustRightInd w:val="0"/>
        <w:ind w:firstLine="720"/>
      </w:pPr>
      <w:r w:rsidRPr="001B0264">
        <w:t>This section describes the burden and cost to the federal government associated with this information collection</w:t>
      </w:r>
      <w:r w:rsidRPr="001B0264">
        <w:rPr>
          <w:bCs/>
        </w:rPr>
        <w:t xml:space="preserve">, and the details are provided in </w:t>
      </w:r>
      <w:r w:rsidR="00B33BA3">
        <w:rPr>
          <w:bCs/>
        </w:rPr>
        <w:t>the</w:t>
      </w:r>
      <w:r w:rsidRPr="001B0264">
        <w:rPr>
          <w:bCs/>
        </w:rPr>
        <w:t xml:space="preserve"> Appendix</w:t>
      </w:r>
      <w:r w:rsidRPr="001B0264">
        <w:t xml:space="preserve">. Federal activities under this information collection include EPA oversight of the reporting program and </w:t>
      </w:r>
      <w:r w:rsidR="00FF04F6">
        <w:t>will</w:t>
      </w:r>
      <w:r>
        <w:t xml:space="preserve"> include </w:t>
      </w:r>
      <w:r w:rsidRPr="001B0264">
        <w:t>required reporting</w:t>
      </w:r>
      <w:r>
        <w:t xml:space="preserve"> by</w:t>
      </w:r>
      <w:r w:rsidRPr="001B0264">
        <w:t xml:space="preserve"> federally owned facilities</w:t>
      </w:r>
      <w:r>
        <w:t xml:space="preserve"> subject to this rulemaking</w:t>
      </w:r>
      <w:r w:rsidRPr="001B0264">
        <w:t>.</w:t>
      </w:r>
      <w:r>
        <w:t xml:space="preserve"> However, the EPA is not aware of any federally owned facilities subject to reporting under part 98, subpart W, and therefore does not believe there is burden associated with this </w:t>
      </w:r>
      <w:r w:rsidR="001872AE">
        <w:t>final</w:t>
      </w:r>
      <w:r>
        <w:t xml:space="preserve"> rulemaking related to mandatory reporting for federally owned facilities.</w:t>
      </w:r>
      <w:r w:rsidRPr="001B0264">
        <w:t xml:space="preserve"> </w:t>
      </w:r>
    </w:p>
    <w:p w:rsidR="00F91AF5" w:rsidRPr="001B0264" w:rsidP="00F91AF5" w14:paraId="12C043AB" w14:textId="77777777">
      <w:pPr>
        <w:autoSpaceDE w:val="0"/>
        <w:autoSpaceDN w:val="0"/>
        <w:adjustRightInd w:val="0"/>
        <w:ind w:firstLine="720"/>
      </w:pPr>
    </w:p>
    <w:p w:rsidR="00F91AF5" w:rsidRPr="009D36F1" w:rsidP="00F91AF5" w14:paraId="74F0C1AC" w14:textId="53B80F2F">
      <w:pPr>
        <w:autoSpaceDE w:val="0"/>
        <w:autoSpaceDN w:val="0"/>
        <w:adjustRightInd w:val="0"/>
        <w:ind w:firstLine="720"/>
        <w:rPr>
          <w:bCs/>
        </w:rPr>
      </w:pPr>
      <w:r w:rsidRPr="009D36F1">
        <w:t xml:space="preserve">EPA activities associated with the WEC Rule include oversight and implementation of the reporting program, </w:t>
      </w:r>
      <w:r w:rsidRPr="00561383">
        <w:rPr>
          <w:i/>
          <w:iCs/>
        </w:rPr>
        <w:t>e.g.</w:t>
      </w:r>
      <w:r w:rsidRPr="009D36F1">
        <w:t xml:space="preserve">, verification of WEC filings, database and software maintenance, communication and outreach, and program evaluation. </w:t>
      </w:r>
      <w:r w:rsidRPr="009D36F1">
        <w:rPr>
          <w:bCs/>
        </w:rPr>
        <w:t xml:space="preserve">For the </w:t>
      </w:r>
      <w:r w:rsidR="001872AE">
        <w:rPr>
          <w:bCs/>
        </w:rPr>
        <w:t>final</w:t>
      </w:r>
      <w:r w:rsidRPr="009D36F1">
        <w:rPr>
          <w:bCs/>
        </w:rPr>
        <w:t xml:space="preserve"> rule, the burden to the EPA is associated with the time to review the data elements that </w:t>
      </w:r>
      <w:r w:rsidR="00FF04F6">
        <w:rPr>
          <w:bCs/>
        </w:rPr>
        <w:t>will</w:t>
      </w:r>
      <w:r w:rsidRPr="009D36F1">
        <w:rPr>
          <w:bCs/>
        </w:rPr>
        <w:t xml:space="preserve"> be reported (see section 4(b)(i)). EPA estimates that up to </w:t>
      </w:r>
      <w:r>
        <w:rPr>
          <w:bCs/>
        </w:rPr>
        <w:t>15</w:t>
      </w:r>
      <w:r w:rsidRPr="009D36F1">
        <w:rPr>
          <w:bCs/>
        </w:rPr>
        <w:t xml:space="preserve"> full time equivalents (FTEs), or </w:t>
      </w:r>
      <w:r>
        <w:rPr>
          <w:bCs/>
        </w:rPr>
        <w:t>31</w:t>
      </w:r>
      <w:r w:rsidRPr="009D36F1">
        <w:rPr>
          <w:bCs/>
        </w:rPr>
        <w:t>,</w:t>
      </w:r>
      <w:r>
        <w:rPr>
          <w:bCs/>
        </w:rPr>
        <w:t>200</w:t>
      </w:r>
      <w:r w:rsidRPr="009D36F1">
        <w:rPr>
          <w:bCs/>
        </w:rPr>
        <w:t xml:space="preserve"> hours, </w:t>
      </w:r>
      <w:r w:rsidR="00FF04F6">
        <w:rPr>
          <w:bCs/>
        </w:rPr>
        <w:t>will</w:t>
      </w:r>
      <w:r w:rsidRPr="009D36F1">
        <w:rPr>
          <w:bCs/>
        </w:rPr>
        <w:t xml:space="preserve"> be devoted to these activities. </w:t>
      </w:r>
    </w:p>
    <w:p w:rsidR="00F91AF5" w:rsidRPr="009D36F1" w:rsidP="00F91AF5" w14:paraId="5342D96C" w14:textId="77777777">
      <w:pPr>
        <w:keepNext/>
        <w:keepLines/>
        <w:autoSpaceDE w:val="0"/>
        <w:autoSpaceDN w:val="0"/>
        <w:adjustRightInd w:val="0"/>
        <w:ind w:firstLine="720"/>
        <w:rPr>
          <w:bCs/>
        </w:rPr>
      </w:pPr>
    </w:p>
    <w:p w:rsidR="00F91AF5" w:rsidRPr="009D36F1" w:rsidP="00F91AF5" w14:paraId="469BDA7A" w14:textId="7F91761C">
      <w:pPr>
        <w:ind w:firstLine="720"/>
      </w:pPr>
      <w:r w:rsidRPr="009D36F1">
        <w:t>To develop EPA labor costs, the EPA estimated the average hourly labor rate for salary and overhead and benefits for Agency staff to be $</w:t>
      </w:r>
      <w:r w:rsidR="00350CE9">
        <w:t>67.86</w:t>
      </w:r>
      <w:r w:rsidRPr="009D36F1">
        <w:t xml:space="preserve">. To derive this figure, the EPA multiplied the hourly compensation at GS-13, Step 1 on the </w:t>
      </w:r>
      <w:r w:rsidRPr="009D36F1" w:rsidR="00350CE9">
        <w:t>202</w:t>
      </w:r>
      <w:r w:rsidR="00350CE9">
        <w:t>4</w:t>
      </w:r>
      <w:r w:rsidRPr="009D36F1" w:rsidR="00350CE9">
        <w:t xml:space="preserve"> </w:t>
      </w:r>
      <w:r w:rsidRPr="009D36F1">
        <w:t>GS pay scale ($</w:t>
      </w:r>
      <w:r w:rsidR="00D2504B">
        <w:t>42.41</w:t>
      </w:r>
      <w:r w:rsidRPr="009D36F1">
        <w:t>) by the standard government benefits multiplication factor of 1.6 to account for overhead and benefits.</w:t>
      </w:r>
      <w:r>
        <w:rPr>
          <w:rStyle w:val="FootnoteReference"/>
        </w:rPr>
        <w:footnoteReference w:id="3"/>
      </w:r>
    </w:p>
    <w:p w:rsidR="00F91AF5" w:rsidRPr="009D36F1" w:rsidP="00F91AF5" w14:paraId="641956C8" w14:textId="77777777">
      <w:pPr>
        <w:autoSpaceDE w:val="0"/>
        <w:autoSpaceDN w:val="0"/>
        <w:adjustRightInd w:val="0"/>
        <w:ind w:firstLine="720"/>
        <w:rPr>
          <w:bCs/>
        </w:rPr>
      </w:pPr>
    </w:p>
    <w:p w:rsidR="00F91AF5" w:rsidP="00F91AF5" w14:paraId="3B23160A" w14:textId="0266EA96">
      <w:pPr>
        <w:autoSpaceDE w:val="0"/>
        <w:autoSpaceDN w:val="0"/>
        <w:adjustRightInd w:val="0"/>
        <w:ind w:firstLine="720"/>
      </w:pPr>
      <w:r w:rsidRPr="009D36F1">
        <w:rPr>
          <w:bCs/>
        </w:rPr>
        <w:t xml:space="preserve">The total burden and </w:t>
      </w:r>
      <w:r w:rsidR="00F75975">
        <w:rPr>
          <w:bCs/>
        </w:rPr>
        <w:t xml:space="preserve">labor </w:t>
      </w:r>
      <w:r w:rsidRPr="009D36F1">
        <w:rPr>
          <w:bCs/>
        </w:rPr>
        <w:t xml:space="preserve">costs to the federal government from the </w:t>
      </w:r>
      <w:r w:rsidR="001872AE">
        <w:rPr>
          <w:bCs/>
        </w:rPr>
        <w:t>final</w:t>
      </w:r>
      <w:r>
        <w:rPr>
          <w:bCs/>
        </w:rPr>
        <w:t xml:space="preserve"> rule</w:t>
      </w:r>
      <w:r w:rsidRPr="009D36F1">
        <w:rPr>
          <w:bCs/>
        </w:rPr>
        <w:t xml:space="preserve"> are anticipated to average </w:t>
      </w:r>
      <w:r>
        <w:rPr>
          <w:bCs/>
        </w:rPr>
        <w:t>31,200</w:t>
      </w:r>
      <w:r w:rsidRPr="009D36F1">
        <w:rPr>
          <w:bCs/>
        </w:rPr>
        <w:t xml:space="preserve"> hours and $</w:t>
      </w:r>
      <w:r w:rsidR="00F75975">
        <w:rPr>
          <w:bCs/>
        </w:rPr>
        <w:t>2,117,107</w:t>
      </w:r>
      <w:r w:rsidRPr="009D36F1">
        <w:rPr>
          <w:bCs/>
        </w:rPr>
        <w:t xml:space="preserve"> ($</w:t>
      </w:r>
      <w:r w:rsidRPr="009D36F1" w:rsidR="00D2504B">
        <w:rPr>
          <w:bCs/>
        </w:rPr>
        <w:t>202</w:t>
      </w:r>
      <w:r w:rsidR="00D2504B">
        <w:rPr>
          <w:bCs/>
        </w:rPr>
        <w:t>4</w:t>
      </w:r>
      <w:r w:rsidRPr="009D36F1">
        <w:rPr>
          <w:bCs/>
        </w:rPr>
        <w:t xml:space="preserve">) per year over the three years covered by this information collection, which represents </w:t>
      </w:r>
      <w:r>
        <w:rPr>
          <w:bCs/>
        </w:rPr>
        <w:t>15</w:t>
      </w:r>
      <w:r w:rsidRPr="009D36F1">
        <w:rPr>
          <w:bCs/>
        </w:rPr>
        <w:t xml:space="preserve"> additional full-time employee.</w:t>
      </w:r>
    </w:p>
    <w:p w:rsidR="00F91AF5" w:rsidP="00F91AF5" w14:paraId="4C11603D" w14:textId="77777777">
      <w:pPr>
        <w:autoSpaceDE w:val="0"/>
        <w:autoSpaceDN w:val="0"/>
        <w:adjustRightInd w:val="0"/>
        <w:ind w:firstLine="720"/>
      </w:pPr>
    </w:p>
    <w:p w:rsidR="00CA005D" w:rsidRPr="004D52BC" w:rsidP="00CA005D" w14:paraId="3829B313" w14:textId="3AC1EB08">
      <w:pPr>
        <w:pStyle w:val="BodyTextFirstline05"/>
        <w:rPr>
          <w:szCs w:val="24"/>
        </w:rPr>
      </w:pPr>
    </w:p>
    <w:p w:rsidR="00CA005D" w:rsidRPr="004D52BC" w:rsidP="008D1380" w14:paraId="4BBF2998" w14:textId="77777777">
      <w:pPr>
        <w:pStyle w:val="StyleBoldBefore6pt"/>
      </w:pPr>
      <w:r w:rsidRPr="004D52BC">
        <w:rPr>
          <w:rFonts w:eastAsiaTheme="majorEastAsia"/>
        </w:rPr>
        <w:t>14c. Agency Non-Labor Costs</w:t>
      </w:r>
    </w:p>
    <w:p w:rsidR="006A292F" w:rsidP="004B29C7" w14:paraId="22DC1F7D" w14:textId="25C18525">
      <w:pPr>
        <w:ind w:firstLine="360"/>
      </w:pPr>
      <w:r>
        <w:t xml:space="preserve">In </w:t>
      </w:r>
      <w:r w:rsidRPr="00FD0385">
        <w:t xml:space="preserve">addition to the labor cost, EPA </w:t>
      </w:r>
      <w:r w:rsidRPr="00FD0385" w:rsidR="00FF04F6">
        <w:t>will</w:t>
      </w:r>
      <w:r w:rsidRPr="00FD0385">
        <w:t xml:space="preserve"> incur a one-time cost of $4 million in Year 1 of the information collection for database and software design, developing guidance, training, responding to stakeholders, and communication and outreach. In the second and third years, EPA </w:t>
      </w:r>
      <w:r w:rsidRPr="00FD0385" w:rsidR="00FF04F6">
        <w:t>will</w:t>
      </w:r>
      <w:r w:rsidRPr="00FD0385">
        <w:t xml:space="preserve"> spend $3.5 million annually on program oversight; e.g., for contractor support and data base maintenance. Thus, the Agency </w:t>
      </w:r>
      <w:r w:rsidRPr="00FD0385" w:rsidR="00FF04F6">
        <w:t>will</w:t>
      </w:r>
      <w:r w:rsidRPr="00FD0385">
        <w:t xml:space="preserve"> incur an average of $3.7 million annually in non-labor costs. </w:t>
      </w:r>
      <w:r w:rsidRPr="00FD0385" w:rsidR="004B29C7">
        <w:t>Exhibit 14.1 presents the annual Agency burden and cost.</w:t>
      </w:r>
    </w:p>
    <w:p w:rsidR="006A292F" w:rsidRPr="006A292F" w:rsidP="006A292F" w14:paraId="29628904" w14:textId="77777777">
      <w:pPr>
        <w:pStyle w:val="ListParagraph"/>
        <w:ind w:left="360"/>
      </w:pPr>
    </w:p>
    <w:p w:rsidR="006A292F" w:rsidRPr="004B29C7" w:rsidP="004B29C7" w14:paraId="71B0D0C1" w14:textId="77777777">
      <w:pPr>
        <w:keepNext/>
        <w:spacing w:line="276" w:lineRule="auto"/>
        <w:rPr>
          <w:rFonts w:eastAsia="Calibri"/>
          <w:b/>
          <w:bCs/>
        </w:rPr>
      </w:pPr>
      <w:r w:rsidRPr="004B29C7">
        <w:rPr>
          <w:rFonts w:eastAsia="Calibri"/>
          <w:b/>
          <w:bCs/>
        </w:rPr>
        <w:t>Exhibit 14.1 Annual Agency Burden and Cost Per Year</w:t>
      </w:r>
    </w:p>
    <w:tbl>
      <w:tblPr>
        <w:tblW w:w="7001" w:type="dxa"/>
        <w:tblInd w:w="-5" w:type="dxa"/>
        <w:tblLook w:val="04A0"/>
      </w:tblPr>
      <w:tblGrid>
        <w:gridCol w:w="2329"/>
        <w:gridCol w:w="2336"/>
        <w:gridCol w:w="2336"/>
      </w:tblGrid>
      <w:tr w14:paraId="066F4DD5" w14:textId="77777777" w:rsidTr="00E610F0">
        <w:tblPrEx>
          <w:tblW w:w="7001" w:type="dxa"/>
          <w:tblInd w:w="-5" w:type="dxa"/>
          <w:tblLook w:val="04A0"/>
        </w:tblPrEx>
        <w:trPr>
          <w:trHeight w:val="430"/>
        </w:trPr>
        <w:tc>
          <w:tcPr>
            <w:tcW w:w="2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292F" w:rsidRPr="00E11E90" w:rsidP="00E610F0" w14:paraId="27456DDB" w14:textId="77777777">
            <w:pPr>
              <w:keepNext/>
              <w:jc w:val="center"/>
              <w:rPr>
                <w:b/>
                <w:bCs/>
              </w:rPr>
            </w:pPr>
            <w:r w:rsidRPr="00E11E90">
              <w:rPr>
                <w:b/>
                <w:bCs/>
              </w:rPr>
              <w:t xml:space="preserve">Total Annual Burden Hours </w:t>
            </w:r>
          </w:p>
        </w:tc>
        <w:tc>
          <w:tcPr>
            <w:tcW w:w="233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A292F" w:rsidRPr="00E11E90" w:rsidP="00E610F0" w14:paraId="2D943A35" w14:textId="5030EC6B">
            <w:pPr>
              <w:keepNext/>
              <w:jc w:val="center"/>
              <w:rPr>
                <w:b/>
                <w:bCs/>
              </w:rPr>
            </w:pPr>
            <w:r w:rsidRPr="00E11E90">
              <w:rPr>
                <w:b/>
                <w:bCs/>
              </w:rPr>
              <w:t>Labor Costs ($202</w:t>
            </w:r>
            <w:r>
              <w:rPr>
                <w:b/>
                <w:bCs/>
              </w:rPr>
              <w:t>4</w:t>
            </w:r>
            <w:r w:rsidRPr="00E11E90">
              <w:rPr>
                <w:b/>
                <w:bCs/>
              </w:rPr>
              <w:t>)</w:t>
            </w:r>
          </w:p>
        </w:tc>
        <w:tc>
          <w:tcPr>
            <w:tcW w:w="23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6A292F" w:rsidRPr="00E11E90" w:rsidP="00E610F0" w14:paraId="2A89E051" w14:textId="2E9709A4">
            <w:pPr>
              <w:keepNext/>
              <w:jc w:val="center"/>
              <w:rPr>
                <w:b/>
                <w:bCs/>
              </w:rPr>
            </w:pPr>
            <w:r w:rsidRPr="00E11E90">
              <w:rPr>
                <w:b/>
                <w:bCs/>
              </w:rPr>
              <w:t>Non-Labor Costs ($202</w:t>
            </w:r>
            <w:r>
              <w:rPr>
                <w:b/>
                <w:bCs/>
              </w:rPr>
              <w:t>4</w:t>
            </w:r>
            <w:r w:rsidRPr="00E11E90">
              <w:rPr>
                <w:b/>
                <w:bCs/>
              </w:rPr>
              <w:t>)</w:t>
            </w:r>
          </w:p>
        </w:tc>
      </w:tr>
      <w:tr w14:paraId="04DB6113" w14:textId="77777777" w:rsidTr="00E610F0">
        <w:tblPrEx>
          <w:tblW w:w="7001" w:type="dxa"/>
          <w:tblInd w:w="-5" w:type="dxa"/>
          <w:tblLook w:val="04A0"/>
        </w:tblPrEx>
        <w:trPr>
          <w:trHeight w:val="300"/>
        </w:trPr>
        <w:tc>
          <w:tcPr>
            <w:tcW w:w="232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A292F" w:rsidRPr="00E11E90" w:rsidP="00E610F0" w14:paraId="7709A603" w14:textId="77777777">
            <w:pPr>
              <w:keepNext/>
              <w:jc w:val="center"/>
            </w:pPr>
            <w:r w:rsidRPr="00E11E90">
              <w:t>31,200</w:t>
            </w:r>
          </w:p>
        </w:tc>
        <w:tc>
          <w:tcPr>
            <w:tcW w:w="2336" w:type="dxa"/>
            <w:tcBorders>
              <w:top w:val="single" w:sz="4" w:space="0" w:color="auto"/>
              <w:left w:val="nil"/>
              <w:bottom w:val="single" w:sz="4" w:space="0" w:color="auto"/>
              <w:right w:val="single" w:sz="4" w:space="0" w:color="auto"/>
            </w:tcBorders>
            <w:shd w:val="clear" w:color="000000" w:fill="FFFFFF"/>
            <w:noWrap/>
            <w:vAlign w:val="bottom"/>
          </w:tcPr>
          <w:p w:rsidR="006A292F" w:rsidRPr="00E11E90" w:rsidP="00E610F0" w14:paraId="4832C5CA" w14:textId="2B397897">
            <w:pPr>
              <w:keepNext/>
              <w:jc w:val="center"/>
            </w:pPr>
            <w:r w:rsidRPr="00E11E90">
              <w:t>$</w:t>
            </w:r>
            <w:r>
              <w:t>2,117,107</w:t>
            </w:r>
          </w:p>
        </w:tc>
        <w:tc>
          <w:tcPr>
            <w:tcW w:w="2336" w:type="dxa"/>
            <w:tcBorders>
              <w:top w:val="single" w:sz="4" w:space="0" w:color="auto"/>
              <w:left w:val="nil"/>
              <w:bottom w:val="single" w:sz="4" w:space="0" w:color="auto"/>
              <w:right w:val="single" w:sz="4" w:space="0" w:color="auto"/>
            </w:tcBorders>
            <w:shd w:val="clear" w:color="000000" w:fill="FFFFFF"/>
            <w:vAlign w:val="bottom"/>
          </w:tcPr>
          <w:p w:rsidR="006A292F" w:rsidRPr="00E11E90" w:rsidP="00E610F0" w14:paraId="5EDAA43B" w14:textId="78F747BB">
            <w:pPr>
              <w:keepNext/>
              <w:jc w:val="center"/>
            </w:pPr>
            <w:r w:rsidRPr="00E11E90">
              <w:t>$</w:t>
            </w:r>
            <w:r>
              <w:t>3,666,667</w:t>
            </w:r>
          </w:p>
        </w:tc>
      </w:tr>
    </w:tbl>
    <w:p w:rsidR="00CA005D" w:rsidRPr="004D52BC" w:rsidP="00FF3ABD" w14:paraId="73E94C1B" w14:textId="77777777">
      <w:pPr>
        <w:pStyle w:val="ListParagraph"/>
        <w:numPr>
          <w:ilvl w:val="0"/>
          <w:numId w:val="14"/>
        </w:numPr>
        <w:spacing w:before="240" w:line="259" w:lineRule="auto"/>
        <w:outlineLvl w:val="1"/>
        <w:rPr>
          <w:b/>
          <w:bCs/>
        </w:rPr>
      </w:pPr>
      <w:r w:rsidRPr="004D52BC">
        <w:rPr>
          <w:b/>
          <w:bCs/>
        </w:rPr>
        <w:t>REASONS FOR CHANGE IN BURDEN</w:t>
      </w:r>
      <w:bookmarkEnd w:id="25"/>
    </w:p>
    <w:p w:rsidR="00CA005D" w:rsidRPr="004D52BC" w:rsidP="00CA005D" w14:paraId="5819AFA7" w14:textId="77777777">
      <w:pPr>
        <w:pBdr>
          <w:bottom w:val="single" w:sz="12" w:space="1" w:color="auto"/>
        </w:pBdr>
        <w:spacing w:before="60"/>
        <w:rPr>
          <w:bCs/>
          <w:i/>
          <w:iCs/>
        </w:rPr>
      </w:pPr>
      <w:r w:rsidRPr="004D52BC">
        <w:rPr>
          <w:bCs/>
          <w:i/>
          <w:iCs/>
        </w:rPr>
        <w:t>Explain the reasons for any program changes or adjustments reported in the burden or capital/O&amp;M cost estimates.</w:t>
      </w:r>
    </w:p>
    <w:p w:rsidR="00CA005D" w:rsidRPr="004D52BC" w:rsidP="00CA005D" w14:paraId="77173A3B" w14:textId="4817B537">
      <w:pPr>
        <w:pStyle w:val="BodyTextFirstline05"/>
        <w:rPr>
          <w:color w:val="FF0000"/>
          <w:szCs w:val="24"/>
        </w:rPr>
      </w:pPr>
      <w:r w:rsidRPr="004D52BC">
        <w:rPr>
          <w:szCs w:val="24"/>
        </w:rPr>
        <w:t xml:space="preserve">This </w:t>
      </w:r>
      <w:r w:rsidR="006B5C8A">
        <w:rPr>
          <w:szCs w:val="24"/>
        </w:rPr>
        <w:t>is a new collection</w:t>
      </w:r>
      <w:r w:rsidRPr="004D52BC">
        <w:rPr>
          <w:szCs w:val="24"/>
        </w:rPr>
        <w:t xml:space="preserve">. </w:t>
      </w:r>
    </w:p>
    <w:p w:rsidR="00CA005D" w:rsidRPr="004D52BC" w:rsidP="00FF3ABD" w14:paraId="5121CDFD" w14:textId="77777777">
      <w:pPr>
        <w:pStyle w:val="ListParagraph"/>
        <w:numPr>
          <w:ilvl w:val="0"/>
          <w:numId w:val="14"/>
        </w:numPr>
        <w:spacing w:before="240" w:line="259" w:lineRule="auto"/>
        <w:outlineLvl w:val="1"/>
        <w:rPr>
          <w:b/>
          <w:bCs/>
        </w:rPr>
      </w:pPr>
      <w:bookmarkStart w:id="26" w:name="_Toc156593389"/>
      <w:r w:rsidRPr="004D52BC">
        <w:rPr>
          <w:b/>
          <w:bCs/>
        </w:rPr>
        <w:t xml:space="preserve">PUBLICATION OF </w:t>
      </w:r>
      <w:bookmarkStart w:id="27" w:name="_Toc156593390"/>
      <w:bookmarkEnd w:id="26"/>
      <w:r w:rsidRPr="004D52BC">
        <w:rPr>
          <w:b/>
          <w:bCs/>
        </w:rPr>
        <w:t>DATA</w:t>
      </w:r>
    </w:p>
    <w:p w:rsidR="00CA005D" w:rsidRPr="004D52BC" w:rsidP="00CA005D" w14:paraId="18E833C3" w14:textId="77777777">
      <w:pPr>
        <w:pBdr>
          <w:bottom w:val="single" w:sz="12" w:space="1" w:color="auto"/>
        </w:pBdr>
        <w:spacing w:before="60"/>
        <w:rPr>
          <w:bCs/>
          <w:i/>
          <w:iCs/>
        </w:rPr>
      </w:pPr>
      <w:r w:rsidRPr="004D52BC">
        <w:rPr>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005D" w:rsidRPr="004D52BC" w:rsidP="00CA005D" w14:paraId="3B445CBF" w14:textId="3D98F8B7">
      <w:pPr>
        <w:pBdr>
          <w:top w:val="single" w:sz="6" w:space="0" w:color="FFFFFF"/>
          <w:left w:val="single" w:sz="6" w:space="0" w:color="FFFFFF"/>
          <w:bottom w:val="single" w:sz="6" w:space="0" w:color="FFFFFF"/>
          <w:right w:val="single" w:sz="6" w:space="0" w:color="FFFFFF"/>
        </w:pBdr>
        <w:ind w:firstLine="720"/>
      </w:pPr>
      <w:r w:rsidRPr="004D52BC">
        <w:t xml:space="preserve">To support the needs of data users, </w:t>
      </w:r>
      <w:r w:rsidR="00E97436">
        <w:t xml:space="preserve">the EPA intends to </w:t>
      </w:r>
      <w:r w:rsidR="00E866A0">
        <w:t>publish</w:t>
      </w:r>
      <w:r w:rsidRPr="004D52BC">
        <w:t xml:space="preserve"> non-confidential data collected through </w:t>
      </w:r>
      <w:r w:rsidR="00E866A0">
        <w:t>the WEC on a publicly accessible website.</w:t>
      </w:r>
    </w:p>
    <w:p w:rsidR="00CA005D" w:rsidRPr="004D52BC" w:rsidP="00FF3ABD" w14:paraId="48A6D305" w14:textId="77777777">
      <w:pPr>
        <w:pStyle w:val="ListParagraph"/>
        <w:numPr>
          <w:ilvl w:val="0"/>
          <w:numId w:val="14"/>
        </w:numPr>
        <w:spacing w:before="240" w:line="259" w:lineRule="auto"/>
        <w:outlineLvl w:val="1"/>
        <w:rPr>
          <w:b/>
          <w:bCs/>
        </w:rPr>
      </w:pPr>
      <w:r w:rsidRPr="004D52BC">
        <w:rPr>
          <w:b/>
          <w:bCs/>
        </w:rPr>
        <w:t>DISPLAY OF EXPIRATION DATE</w:t>
      </w:r>
      <w:bookmarkEnd w:id="27"/>
      <w:r w:rsidRPr="004D52BC">
        <w:rPr>
          <w:b/>
          <w:bCs/>
        </w:rPr>
        <w:t xml:space="preserve"> </w:t>
      </w:r>
    </w:p>
    <w:p w:rsidR="00CA005D" w:rsidRPr="004D52BC" w:rsidP="00CA005D" w14:paraId="42FA332B" w14:textId="77777777">
      <w:pPr>
        <w:pBdr>
          <w:bottom w:val="single" w:sz="12" w:space="1" w:color="auto"/>
        </w:pBdr>
        <w:spacing w:before="60"/>
        <w:rPr>
          <w:i/>
          <w:iCs/>
        </w:rPr>
      </w:pPr>
      <w:r w:rsidRPr="004D52BC">
        <w:rPr>
          <w:i/>
          <w:iCs/>
        </w:rPr>
        <w:t>If seeking approval to not display the expiration date for OMB approval of the information collection, explain the reasons that display would be inappropriate.</w:t>
      </w:r>
    </w:p>
    <w:p w:rsidR="00CA005D" w:rsidRPr="004D52BC" w:rsidP="00CA005D" w14:paraId="1389D5FC" w14:textId="77777777">
      <w:pPr>
        <w:pBdr>
          <w:top w:val="single" w:sz="6" w:space="0" w:color="FFFFFF"/>
          <w:left w:val="single" w:sz="6" w:space="0" w:color="FFFFFF"/>
          <w:bottom w:val="single" w:sz="6" w:space="0" w:color="FFFFFF"/>
          <w:right w:val="single" w:sz="6" w:space="0" w:color="FFFFFF"/>
        </w:pBdr>
        <w:ind w:firstLine="720"/>
      </w:pPr>
      <w:r w:rsidRPr="004D52BC">
        <w:t>EPA will display the expiration date for OMB approval of this information collection.</w:t>
      </w:r>
    </w:p>
    <w:p w:rsidR="00CA005D" w:rsidRPr="004D52BC" w:rsidP="00FF3ABD" w14:paraId="29E2E476" w14:textId="77777777">
      <w:pPr>
        <w:pStyle w:val="ListParagraph"/>
        <w:numPr>
          <w:ilvl w:val="0"/>
          <w:numId w:val="14"/>
        </w:numPr>
        <w:spacing w:before="240" w:line="259" w:lineRule="auto"/>
        <w:outlineLvl w:val="1"/>
        <w:rPr>
          <w:b/>
          <w:bCs/>
        </w:rPr>
      </w:pPr>
      <w:bookmarkStart w:id="28" w:name="_Toc156593391"/>
      <w:r w:rsidRPr="004D52BC">
        <w:rPr>
          <w:b/>
          <w:bCs/>
        </w:rPr>
        <w:t>CERTIFICATION STATEMENT</w:t>
      </w:r>
      <w:bookmarkEnd w:id="28"/>
    </w:p>
    <w:p w:rsidR="00CA005D" w:rsidRPr="004D52BC" w:rsidP="00CA005D" w14:paraId="00635A63" w14:textId="77777777">
      <w:pPr>
        <w:pBdr>
          <w:bottom w:val="single" w:sz="12" w:space="1" w:color="auto"/>
        </w:pBdr>
        <w:spacing w:before="60"/>
        <w:rPr>
          <w:i/>
          <w:iCs/>
        </w:rPr>
      </w:pPr>
      <w:r w:rsidRPr="004D52BC">
        <w:rPr>
          <w:i/>
          <w:iCs/>
        </w:rPr>
        <w:t>Explain each exception to the topics of the certification statement identified in “Certification for Paperwork Reduction Act Submissions.”</w:t>
      </w:r>
    </w:p>
    <w:p w:rsidR="00CA005D" w:rsidRPr="004D52BC" w:rsidP="00CA005D" w14:paraId="7E8F416E" w14:textId="77777777">
      <w:pPr>
        <w:pBdr>
          <w:top w:val="single" w:sz="6" w:space="0" w:color="FFFFFF"/>
          <w:left w:val="single" w:sz="6" w:space="0" w:color="FFFFFF"/>
          <w:bottom w:val="single" w:sz="6" w:space="0" w:color="FFFFFF"/>
          <w:right w:val="single" w:sz="6" w:space="0" w:color="FFFFFF"/>
        </w:pBdr>
        <w:ind w:firstLine="720"/>
        <w:sectPr w:rsidSect="00CA005D">
          <w:footerReference w:type="default" r:id="rId10"/>
          <w:pgSz w:w="12240" w:h="15840"/>
          <w:pgMar w:top="1440" w:right="1440" w:bottom="1440" w:left="1440" w:header="720" w:footer="720" w:gutter="0"/>
          <w:cols w:space="720"/>
          <w:docGrid w:linePitch="360"/>
        </w:sectPr>
      </w:pPr>
      <w:r w:rsidRPr="004D52BC">
        <w:t>This information collection complies with all provisions of the Certification for Paperwork Reduction Act Submissions.</w:t>
      </w:r>
    </w:p>
    <w:p w:rsidR="001D5134" w:rsidRPr="004D52BC" w:rsidP="001D5134" w14:paraId="1BFA957D" w14:textId="77777777">
      <w:pPr>
        <w:jc w:val="center"/>
        <w:rPr>
          <w:b/>
        </w:rPr>
      </w:pPr>
      <w:r w:rsidRPr="004D52BC">
        <w:rPr>
          <w:b/>
        </w:rPr>
        <w:t xml:space="preserve">SUPPORTING STATEMENT: </w:t>
      </w:r>
    </w:p>
    <w:p w:rsidR="001D5134" w:rsidRPr="004D52BC" w:rsidP="001D5134" w14:paraId="7745AB9B" w14:textId="77777777">
      <w:pPr>
        <w:jc w:val="center"/>
        <w:rPr>
          <w:b/>
        </w:rPr>
      </w:pPr>
      <w:r w:rsidRPr="004D52BC">
        <w:rPr>
          <w:b/>
        </w:rPr>
        <w:t>ENVIRONMENTAL PROTECTION AGENCY</w:t>
      </w:r>
    </w:p>
    <w:p w:rsidR="001D5134" w:rsidRPr="004D52BC" w:rsidP="001D5134" w14:paraId="46D55949" w14:textId="1275869A">
      <w:pPr>
        <w:jc w:val="center"/>
        <w:rPr>
          <w:b/>
        </w:rPr>
      </w:pPr>
      <w:r w:rsidRPr="004D52BC">
        <w:rPr>
          <w:b/>
        </w:rPr>
        <w:t xml:space="preserve">OMB control number </w:t>
      </w:r>
      <w:r w:rsidRPr="004D52BC" w:rsidR="0019203D">
        <w:rPr>
          <w:b/>
        </w:rPr>
        <w:t>2060-</w:t>
      </w:r>
      <w:r w:rsidR="00837805">
        <w:rPr>
          <w:b/>
        </w:rPr>
        <w:t>0752</w:t>
      </w:r>
      <w:r w:rsidRPr="004D52BC">
        <w:rPr>
          <w:b/>
        </w:rPr>
        <w:t xml:space="preserve">; ICR number </w:t>
      </w:r>
      <w:r w:rsidR="007B3F38">
        <w:rPr>
          <w:b/>
        </w:rPr>
        <w:t>2787.02</w:t>
      </w:r>
    </w:p>
    <w:p w:rsidR="001D5134" w:rsidRPr="004D52BC" w:rsidP="00562220" w14:paraId="01CF28A7" w14:textId="2F8685CB">
      <w:pPr>
        <w:jc w:val="center"/>
        <w:outlineLvl w:val="0"/>
        <w:rPr>
          <w:b/>
        </w:rPr>
      </w:pPr>
      <w:r w:rsidRPr="004D52BC">
        <w:rPr>
          <w:b/>
        </w:rPr>
        <w:t>Appendix</w:t>
      </w:r>
    </w:p>
    <w:p w:rsidR="000F695C" w:rsidRPr="004D52BC" w:rsidP="001D5134" w14:paraId="2AF3C986" w14:textId="6586D625">
      <w:pPr>
        <w:jc w:val="center"/>
        <w:rPr>
          <w:b/>
        </w:rPr>
      </w:pPr>
    </w:p>
    <w:p w:rsidR="000F695C" w:rsidRPr="004D52BC" w:rsidP="001D5134" w14:paraId="00D239B0" w14:textId="03B30B0C">
      <w:pPr>
        <w:jc w:val="center"/>
        <w:rPr>
          <w:b/>
        </w:rPr>
      </w:pPr>
    </w:p>
    <w:p w:rsidR="004B2A80" w:rsidRPr="004D52BC" w14:paraId="278C80E9" w14:textId="56C78B6B">
      <w:r w:rsidRPr="004D52BC">
        <w:br w:type="page"/>
      </w:r>
    </w:p>
    <w:p w:rsidR="00D1272F" w:rsidRPr="004D52BC" w:rsidP="00562220" w14:paraId="403C7D6F" w14:textId="127A416E">
      <w:pPr>
        <w:outlineLvl w:val="1"/>
        <w:rPr>
          <w:b/>
          <w:bCs/>
        </w:rPr>
      </w:pPr>
      <w:r w:rsidRPr="004D52BC">
        <w:rPr>
          <w:b/>
          <w:bCs/>
        </w:rPr>
        <w:t xml:space="preserve">Table 1. </w:t>
      </w:r>
      <w:r w:rsidRPr="004D52BC" w:rsidR="009A2491">
        <w:rPr>
          <w:b/>
          <w:bCs/>
        </w:rPr>
        <w:t>Part 99</w:t>
      </w:r>
      <w:r w:rsidRPr="004D52BC" w:rsidR="00493BF9">
        <w:rPr>
          <w:b/>
          <w:bCs/>
        </w:rPr>
        <w:t xml:space="preserve"> Reporting Costs by WEC Applicable Facility Industry Segment and WEC Obligated Party</w:t>
      </w:r>
      <w:r w:rsidRPr="004D52BC" w:rsidR="000B0F84">
        <w:rPr>
          <w:b/>
          <w:bCs/>
        </w:rPr>
        <w:t>, Year 1</w:t>
      </w:r>
    </w:p>
    <w:tbl>
      <w:tblPr>
        <w:tblW w:w="5454" w:type="pct"/>
        <w:tblLook w:val="04A0"/>
      </w:tblPr>
      <w:tblGrid>
        <w:gridCol w:w="276"/>
        <w:gridCol w:w="277"/>
        <w:gridCol w:w="4777"/>
        <w:gridCol w:w="1416"/>
        <w:gridCol w:w="2003"/>
        <w:gridCol w:w="1955"/>
        <w:gridCol w:w="1800"/>
        <w:gridCol w:w="1622"/>
      </w:tblGrid>
      <w:tr w14:paraId="224F362D" w14:textId="77777777" w:rsidTr="00070D79">
        <w:tblPrEx>
          <w:tblW w:w="5454" w:type="pct"/>
          <w:tblLook w:val="04A0"/>
        </w:tblPrEx>
        <w:trPr>
          <w:trHeight w:val="458"/>
          <w:tblHeader/>
        </w:trPr>
        <w:tc>
          <w:tcPr>
            <w:tcW w:w="1887"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97395" w:rsidRPr="004D52BC" w:rsidP="00397395" w14:paraId="20B4AD01" w14:textId="5F917531">
            <w:pPr>
              <w:jc w:val="center"/>
              <w:rPr>
                <w:b/>
                <w:bCs/>
                <w:color w:val="000000"/>
              </w:rPr>
            </w:pPr>
            <w:r w:rsidRPr="004D52BC">
              <w:rPr>
                <w:b/>
                <w:bCs/>
                <w:color w:val="000000"/>
              </w:rPr>
              <w:t xml:space="preserve">Year 1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397395" w:rsidRPr="004D52BC" w:rsidP="00397395" w14:paraId="4E5DC5DF" w14:textId="77777777">
            <w:pPr>
              <w:jc w:val="center"/>
              <w:rPr>
                <w:b/>
                <w:bCs/>
                <w:color w:val="000000"/>
              </w:rPr>
            </w:pPr>
            <w:r w:rsidRPr="004D52BC">
              <w:rPr>
                <w:b/>
                <w:bCs/>
                <w:color w:val="000000"/>
              </w:rPr>
              <w:t>(A)  Hours per Occurrence</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397395" w:rsidRPr="004D52BC" w:rsidP="00397395" w14:paraId="7E7CD2ED" w14:textId="77777777">
            <w:pPr>
              <w:jc w:val="center"/>
              <w:rPr>
                <w:b/>
                <w:bCs/>
                <w:color w:val="000000"/>
              </w:rPr>
            </w:pPr>
            <w:r w:rsidRPr="004D52BC">
              <w:rPr>
                <w:b/>
                <w:bCs/>
                <w:color w:val="000000"/>
              </w:rPr>
              <w:t>(B)  Occurrences/ Respondent/Year</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397395" w:rsidRPr="004D52BC" w:rsidP="00397395" w14:paraId="15B4C2EA" w14:textId="77777777">
            <w:pPr>
              <w:jc w:val="center"/>
              <w:rPr>
                <w:b/>
                <w:bCs/>
                <w:color w:val="000000"/>
              </w:rPr>
            </w:pPr>
            <w:r w:rsidRPr="004D52BC">
              <w:rPr>
                <w:b/>
                <w:bCs/>
                <w:color w:val="000000"/>
              </w:rPr>
              <w:t xml:space="preserve">(C)  Hours/ Respondent/ </w:t>
            </w:r>
            <w:r w:rsidRPr="004D52BC">
              <w:rPr>
                <w:b/>
                <w:bCs/>
                <w:color w:val="000000"/>
              </w:rPr>
              <w:br/>
              <w:t>Year (A x B)</w:t>
            </w:r>
          </w:p>
        </w:tc>
        <w:tc>
          <w:tcPr>
            <w:tcW w:w="637" w:type="pct"/>
            <w:tcBorders>
              <w:top w:val="single" w:sz="4" w:space="0" w:color="auto"/>
              <w:left w:val="nil"/>
              <w:bottom w:val="single" w:sz="4" w:space="0" w:color="auto"/>
              <w:right w:val="single" w:sz="4" w:space="0" w:color="auto"/>
            </w:tcBorders>
            <w:shd w:val="clear" w:color="auto" w:fill="auto"/>
            <w:vAlign w:val="center"/>
            <w:hideMark/>
          </w:tcPr>
          <w:p w:rsidR="00397395" w:rsidRPr="004D52BC" w:rsidP="00397395" w14:paraId="52A64560" w14:textId="77777777">
            <w:pPr>
              <w:jc w:val="center"/>
              <w:rPr>
                <w:b/>
                <w:bCs/>
                <w:color w:val="000000"/>
              </w:rPr>
            </w:pPr>
            <w:r w:rsidRPr="004D52BC">
              <w:rPr>
                <w:b/>
                <w:bCs/>
                <w:color w:val="000000"/>
              </w:rPr>
              <w:t>(D)  Respondents/ Year</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397395" w:rsidRPr="004D52BC" w:rsidP="00397395" w14:paraId="4FC060D2" w14:textId="77777777">
            <w:pPr>
              <w:jc w:val="center"/>
              <w:rPr>
                <w:b/>
                <w:bCs/>
              </w:rPr>
            </w:pPr>
            <w:r w:rsidRPr="004D52BC">
              <w:rPr>
                <w:b/>
                <w:bCs/>
              </w:rPr>
              <w:t>(H)  Cost/ Year</w:t>
            </w:r>
          </w:p>
        </w:tc>
      </w:tr>
      <w:tr w14:paraId="37FC5CDB" w14:textId="77777777" w:rsidTr="00070D79">
        <w:tblPrEx>
          <w:tblW w:w="5454" w:type="pct"/>
          <w:tblLook w:val="04A0"/>
        </w:tblPrEx>
        <w:trPr>
          <w:trHeight w:val="64"/>
        </w:trPr>
        <w:tc>
          <w:tcPr>
            <w:tcW w:w="188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97395" w:rsidRPr="004D52BC" w14:paraId="53DE26AD" w14:textId="77777777">
            <w:pPr>
              <w:rPr>
                <w:color w:val="000000"/>
              </w:rPr>
            </w:pPr>
            <w:r w:rsidRPr="004D52BC">
              <w:rPr>
                <w:color w:val="000000"/>
              </w:rPr>
              <w:t>1. APPLICATIONS (Not Applicable)</w:t>
            </w:r>
          </w:p>
        </w:tc>
        <w:tc>
          <w:tcPr>
            <w:tcW w:w="501" w:type="pct"/>
            <w:tcBorders>
              <w:top w:val="nil"/>
              <w:left w:val="single" w:sz="4" w:space="0" w:color="auto"/>
              <w:bottom w:val="single" w:sz="4" w:space="0" w:color="auto"/>
              <w:right w:val="single" w:sz="4" w:space="0" w:color="auto"/>
            </w:tcBorders>
            <w:shd w:val="clear" w:color="auto" w:fill="auto"/>
            <w:vAlign w:val="bottom"/>
            <w:hideMark/>
          </w:tcPr>
          <w:p w:rsidR="00397395" w:rsidRPr="004D52BC" w14:paraId="0C7E9BE2" w14:textId="77777777">
            <w:pPr>
              <w:rPr>
                <w:color w:val="000000"/>
              </w:rPr>
            </w:pPr>
            <w:r w:rsidRPr="004D52BC">
              <w:rPr>
                <w:color w:val="000000"/>
              </w:rPr>
              <w:t> </w:t>
            </w:r>
          </w:p>
        </w:tc>
        <w:tc>
          <w:tcPr>
            <w:tcW w:w="709" w:type="pct"/>
            <w:tcBorders>
              <w:top w:val="nil"/>
              <w:left w:val="nil"/>
              <w:bottom w:val="single" w:sz="4" w:space="0" w:color="auto"/>
              <w:right w:val="single" w:sz="4" w:space="0" w:color="auto"/>
            </w:tcBorders>
            <w:shd w:val="clear" w:color="auto" w:fill="auto"/>
            <w:vAlign w:val="bottom"/>
            <w:hideMark/>
          </w:tcPr>
          <w:p w:rsidR="00397395" w:rsidRPr="004D52BC" w14:paraId="702EE931" w14:textId="77777777">
            <w:pPr>
              <w:rPr>
                <w:color w:val="000000"/>
              </w:rPr>
            </w:pPr>
            <w:r w:rsidRPr="004D52BC">
              <w:rPr>
                <w:color w:val="000000"/>
              </w:rPr>
              <w:t> </w:t>
            </w:r>
          </w:p>
        </w:tc>
        <w:tc>
          <w:tcPr>
            <w:tcW w:w="692" w:type="pct"/>
            <w:tcBorders>
              <w:top w:val="nil"/>
              <w:left w:val="nil"/>
              <w:bottom w:val="single" w:sz="4" w:space="0" w:color="auto"/>
              <w:right w:val="single" w:sz="4" w:space="0" w:color="auto"/>
            </w:tcBorders>
            <w:shd w:val="clear" w:color="auto" w:fill="auto"/>
            <w:vAlign w:val="bottom"/>
            <w:hideMark/>
          </w:tcPr>
          <w:p w:rsidR="00397395" w:rsidRPr="004D52BC" w14:paraId="52B4F090" w14:textId="77777777">
            <w:pPr>
              <w:rPr>
                <w:color w:val="000000"/>
              </w:rPr>
            </w:pPr>
            <w:r w:rsidRPr="004D52BC">
              <w:rPr>
                <w:color w:val="000000"/>
              </w:rPr>
              <w:t> </w:t>
            </w:r>
          </w:p>
        </w:tc>
        <w:tc>
          <w:tcPr>
            <w:tcW w:w="637" w:type="pct"/>
            <w:tcBorders>
              <w:top w:val="nil"/>
              <w:left w:val="nil"/>
              <w:bottom w:val="single" w:sz="4" w:space="0" w:color="auto"/>
              <w:right w:val="single" w:sz="4" w:space="0" w:color="auto"/>
            </w:tcBorders>
            <w:shd w:val="clear" w:color="auto" w:fill="auto"/>
            <w:vAlign w:val="bottom"/>
            <w:hideMark/>
          </w:tcPr>
          <w:p w:rsidR="00397395" w:rsidRPr="004D52BC" w14:paraId="027DB695" w14:textId="77777777">
            <w:pPr>
              <w:rPr>
                <w:color w:val="000000"/>
              </w:rPr>
            </w:pPr>
            <w:r w:rsidRPr="004D52BC">
              <w:rPr>
                <w:color w:val="000000"/>
              </w:rPr>
              <w:t> </w:t>
            </w:r>
          </w:p>
        </w:tc>
        <w:tc>
          <w:tcPr>
            <w:tcW w:w="574" w:type="pct"/>
            <w:tcBorders>
              <w:top w:val="nil"/>
              <w:left w:val="nil"/>
              <w:bottom w:val="single" w:sz="4" w:space="0" w:color="auto"/>
              <w:right w:val="single" w:sz="4" w:space="0" w:color="auto"/>
            </w:tcBorders>
            <w:shd w:val="clear" w:color="auto" w:fill="auto"/>
            <w:vAlign w:val="bottom"/>
            <w:hideMark/>
          </w:tcPr>
          <w:p w:rsidR="00397395" w:rsidRPr="004D52BC" w14:paraId="2BD225AE" w14:textId="77777777">
            <w:r w:rsidRPr="004D52BC">
              <w:t> </w:t>
            </w:r>
          </w:p>
        </w:tc>
      </w:tr>
      <w:tr w14:paraId="5711881F" w14:textId="77777777" w:rsidTr="00070D79">
        <w:tblPrEx>
          <w:tblW w:w="5454" w:type="pct"/>
          <w:tblLook w:val="04A0"/>
        </w:tblPrEx>
        <w:trPr>
          <w:trHeight w:val="64"/>
        </w:trPr>
        <w:tc>
          <w:tcPr>
            <w:tcW w:w="188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97395" w:rsidRPr="004D52BC" w14:paraId="67830377" w14:textId="77777777">
            <w:pPr>
              <w:rPr>
                <w:color w:val="000000"/>
              </w:rPr>
            </w:pPr>
            <w:r w:rsidRPr="004D52BC">
              <w:rPr>
                <w:color w:val="000000"/>
              </w:rPr>
              <w:t>2. SURVEY AND STUDIES (Not Applicable)</w:t>
            </w:r>
          </w:p>
        </w:tc>
        <w:tc>
          <w:tcPr>
            <w:tcW w:w="501" w:type="pct"/>
            <w:tcBorders>
              <w:top w:val="nil"/>
              <w:left w:val="single" w:sz="4" w:space="0" w:color="auto"/>
              <w:bottom w:val="single" w:sz="4" w:space="0" w:color="auto"/>
              <w:right w:val="single" w:sz="4" w:space="0" w:color="auto"/>
            </w:tcBorders>
            <w:shd w:val="clear" w:color="auto" w:fill="auto"/>
            <w:vAlign w:val="bottom"/>
            <w:hideMark/>
          </w:tcPr>
          <w:p w:rsidR="00397395" w:rsidRPr="004D52BC" w14:paraId="2828D821" w14:textId="77777777">
            <w:pPr>
              <w:rPr>
                <w:color w:val="000000"/>
              </w:rPr>
            </w:pPr>
            <w:r w:rsidRPr="004D52BC">
              <w:rPr>
                <w:color w:val="000000"/>
              </w:rPr>
              <w:t> </w:t>
            </w:r>
          </w:p>
        </w:tc>
        <w:tc>
          <w:tcPr>
            <w:tcW w:w="709" w:type="pct"/>
            <w:tcBorders>
              <w:top w:val="nil"/>
              <w:left w:val="nil"/>
              <w:bottom w:val="single" w:sz="4" w:space="0" w:color="auto"/>
              <w:right w:val="single" w:sz="4" w:space="0" w:color="auto"/>
            </w:tcBorders>
            <w:shd w:val="clear" w:color="auto" w:fill="auto"/>
            <w:vAlign w:val="bottom"/>
            <w:hideMark/>
          </w:tcPr>
          <w:p w:rsidR="00397395" w:rsidRPr="004D52BC" w14:paraId="41F8330B" w14:textId="77777777">
            <w:pPr>
              <w:rPr>
                <w:color w:val="000000"/>
              </w:rPr>
            </w:pPr>
            <w:r w:rsidRPr="004D52BC">
              <w:rPr>
                <w:color w:val="000000"/>
              </w:rPr>
              <w:t> </w:t>
            </w:r>
          </w:p>
        </w:tc>
        <w:tc>
          <w:tcPr>
            <w:tcW w:w="692" w:type="pct"/>
            <w:tcBorders>
              <w:top w:val="nil"/>
              <w:left w:val="nil"/>
              <w:bottom w:val="single" w:sz="4" w:space="0" w:color="auto"/>
              <w:right w:val="single" w:sz="4" w:space="0" w:color="auto"/>
            </w:tcBorders>
            <w:shd w:val="clear" w:color="auto" w:fill="auto"/>
            <w:vAlign w:val="bottom"/>
            <w:hideMark/>
          </w:tcPr>
          <w:p w:rsidR="00397395" w:rsidRPr="004D52BC" w14:paraId="69CB0AA7" w14:textId="77777777">
            <w:pPr>
              <w:rPr>
                <w:color w:val="000000"/>
              </w:rPr>
            </w:pPr>
            <w:r w:rsidRPr="004D52BC">
              <w:rPr>
                <w:color w:val="000000"/>
              </w:rPr>
              <w:t> </w:t>
            </w:r>
          </w:p>
        </w:tc>
        <w:tc>
          <w:tcPr>
            <w:tcW w:w="637" w:type="pct"/>
            <w:tcBorders>
              <w:top w:val="nil"/>
              <w:left w:val="nil"/>
              <w:bottom w:val="single" w:sz="4" w:space="0" w:color="auto"/>
              <w:right w:val="single" w:sz="4" w:space="0" w:color="auto"/>
            </w:tcBorders>
            <w:shd w:val="clear" w:color="auto" w:fill="auto"/>
            <w:vAlign w:val="bottom"/>
            <w:hideMark/>
          </w:tcPr>
          <w:p w:rsidR="00397395" w:rsidRPr="004D52BC" w14:paraId="2D64AAD2" w14:textId="77777777">
            <w:pPr>
              <w:rPr>
                <w:color w:val="000000"/>
              </w:rPr>
            </w:pPr>
            <w:r w:rsidRPr="004D52BC">
              <w:rPr>
                <w:color w:val="000000"/>
              </w:rPr>
              <w:t> </w:t>
            </w:r>
          </w:p>
        </w:tc>
        <w:tc>
          <w:tcPr>
            <w:tcW w:w="574" w:type="pct"/>
            <w:tcBorders>
              <w:top w:val="nil"/>
              <w:left w:val="nil"/>
              <w:bottom w:val="single" w:sz="4" w:space="0" w:color="auto"/>
              <w:right w:val="single" w:sz="4" w:space="0" w:color="auto"/>
            </w:tcBorders>
            <w:shd w:val="clear" w:color="auto" w:fill="auto"/>
            <w:vAlign w:val="bottom"/>
            <w:hideMark/>
          </w:tcPr>
          <w:p w:rsidR="00397395" w:rsidRPr="004D52BC" w14:paraId="09FA0153" w14:textId="77777777">
            <w:r w:rsidRPr="004D52BC">
              <w:t> </w:t>
            </w:r>
          </w:p>
        </w:tc>
      </w:tr>
      <w:tr w14:paraId="50B0F5EC" w14:textId="77777777" w:rsidTr="00070D79">
        <w:tblPrEx>
          <w:tblW w:w="5454" w:type="pct"/>
          <w:tblLook w:val="04A0"/>
        </w:tblPrEx>
        <w:trPr>
          <w:trHeight w:val="64"/>
        </w:trPr>
        <w:tc>
          <w:tcPr>
            <w:tcW w:w="188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97395" w:rsidRPr="004D52BC" w14:paraId="569FE53A" w14:textId="77777777">
            <w:pPr>
              <w:rPr>
                <w:color w:val="000000"/>
              </w:rPr>
            </w:pPr>
            <w:r w:rsidRPr="004D52BC">
              <w:rPr>
                <w:color w:val="000000"/>
              </w:rPr>
              <w:t>3.  ACQUISITION, INSTALLATION, AND UTILIZATION OF TECHNOLOGY AND SYSTEMS</w:t>
            </w:r>
          </w:p>
        </w:tc>
        <w:tc>
          <w:tcPr>
            <w:tcW w:w="501" w:type="pct"/>
            <w:tcBorders>
              <w:top w:val="nil"/>
              <w:left w:val="single" w:sz="4" w:space="0" w:color="auto"/>
              <w:bottom w:val="single" w:sz="4" w:space="0" w:color="auto"/>
              <w:right w:val="single" w:sz="4" w:space="0" w:color="auto"/>
            </w:tcBorders>
            <w:shd w:val="clear" w:color="auto" w:fill="auto"/>
            <w:vAlign w:val="bottom"/>
            <w:hideMark/>
          </w:tcPr>
          <w:p w:rsidR="00397395" w:rsidRPr="004D52BC" w14:paraId="4F29C55A" w14:textId="77777777">
            <w:pPr>
              <w:rPr>
                <w:color w:val="000000"/>
              </w:rPr>
            </w:pPr>
            <w:r w:rsidRPr="004D52BC">
              <w:rPr>
                <w:color w:val="000000"/>
              </w:rPr>
              <w:t> </w:t>
            </w:r>
          </w:p>
        </w:tc>
        <w:tc>
          <w:tcPr>
            <w:tcW w:w="709" w:type="pct"/>
            <w:tcBorders>
              <w:top w:val="nil"/>
              <w:left w:val="nil"/>
              <w:bottom w:val="single" w:sz="4" w:space="0" w:color="auto"/>
              <w:right w:val="single" w:sz="4" w:space="0" w:color="auto"/>
            </w:tcBorders>
            <w:shd w:val="clear" w:color="auto" w:fill="auto"/>
            <w:vAlign w:val="bottom"/>
            <w:hideMark/>
          </w:tcPr>
          <w:p w:rsidR="00397395" w:rsidRPr="004D52BC" w14:paraId="1084DB06" w14:textId="77777777">
            <w:pPr>
              <w:rPr>
                <w:color w:val="000000"/>
              </w:rPr>
            </w:pPr>
            <w:r w:rsidRPr="004D52BC">
              <w:rPr>
                <w:color w:val="000000"/>
              </w:rPr>
              <w:t> </w:t>
            </w:r>
          </w:p>
        </w:tc>
        <w:tc>
          <w:tcPr>
            <w:tcW w:w="692" w:type="pct"/>
            <w:tcBorders>
              <w:top w:val="nil"/>
              <w:left w:val="nil"/>
              <w:bottom w:val="single" w:sz="4" w:space="0" w:color="auto"/>
              <w:right w:val="single" w:sz="4" w:space="0" w:color="auto"/>
            </w:tcBorders>
            <w:shd w:val="clear" w:color="auto" w:fill="auto"/>
            <w:vAlign w:val="bottom"/>
            <w:hideMark/>
          </w:tcPr>
          <w:p w:rsidR="00397395" w:rsidRPr="004D52BC" w14:paraId="53D33A0A" w14:textId="77777777">
            <w:pPr>
              <w:rPr>
                <w:color w:val="000000"/>
              </w:rPr>
            </w:pPr>
            <w:r w:rsidRPr="004D52BC">
              <w:rPr>
                <w:color w:val="000000"/>
              </w:rPr>
              <w:t> </w:t>
            </w:r>
          </w:p>
        </w:tc>
        <w:tc>
          <w:tcPr>
            <w:tcW w:w="637" w:type="pct"/>
            <w:tcBorders>
              <w:top w:val="nil"/>
              <w:left w:val="nil"/>
              <w:bottom w:val="single" w:sz="4" w:space="0" w:color="auto"/>
              <w:right w:val="single" w:sz="4" w:space="0" w:color="auto"/>
            </w:tcBorders>
            <w:shd w:val="clear" w:color="auto" w:fill="auto"/>
            <w:vAlign w:val="bottom"/>
            <w:hideMark/>
          </w:tcPr>
          <w:p w:rsidR="00397395" w:rsidRPr="004D52BC" w14:paraId="696668B3" w14:textId="77777777">
            <w:pPr>
              <w:rPr>
                <w:color w:val="000000"/>
              </w:rPr>
            </w:pPr>
            <w:r w:rsidRPr="004D52BC">
              <w:rPr>
                <w:color w:val="000000"/>
              </w:rPr>
              <w:t> </w:t>
            </w:r>
          </w:p>
        </w:tc>
        <w:tc>
          <w:tcPr>
            <w:tcW w:w="574" w:type="pct"/>
            <w:tcBorders>
              <w:top w:val="nil"/>
              <w:left w:val="nil"/>
              <w:bottom w:val="single" w:sz="4" w:space="0" w:color="auto"/>
              <w:right w:val="single" w:sz="4" w:space="0" w:color="auto"/>
            </w:tcBorders>
            <w:shd w:val="clear" w:color="auto" w:fill="auto"/>
            <w:vAlign w:val="bottom"/>
            <w:hideMark/>
          </w:tcPr>
          <w:p w:rsidR="00397395" w:rsidRPr="004D52BC" w14:paraId="18CB776B" w14:textId="77777777">
            <w:r w:rsidRPr="004D52BC">
              <w:t> </w:t>
            </w:r>
          </w:p>
        </w:tc>
      </w:tr>
      <w:tr w14:paraId="61B1D342" w14:textId="77777777" w:rsidTr="00070D79">
        <w:tblPrEx>
          <w:tblW w:w="5454" w:type="pct"/>
          <w:tblLook w:val="04A0"/>
        </w:tblPrEx>
        <w:trPr>
          <w:trHeight w:val="64"/>
        </w:trPr>
        <w:tc>
          <w:tcPr>
            <w:tcW w:w="188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97395" w:rsidRPr="004D52BC" w14:paraId="2FD74576" w14:textId="77777777">
            <w:pPr>
              <w:rPr>
                <w:color w:val="000000"/>
              </w:rPr>
            </w:pPr>
            <w:r w:rsidRPr="004D52BC">
              <w:rPr>
                <w:color w:val="000000"/>
              </w:rPr>
              <w:t>4. REPORT REQUIREMENTS</w:t>
            </w:r>
          </w:p>
        </w:tc>
        <w:tc>
          <w:tcPr>
            <w:tcW w:w="501" w:type="pct"/>
            <w:tcBorders>
              <w:top w:val="nil"/>
              <w:left w:val="single" w:sz="4" w:space="0" w:color="auto"/>
              <w:bottom w:val="single" w:sz="4" w:space="0" w:color="auto"/>
              <w:right w:val="single" w:sz="4" w:space="0" w:color="auto"/>
            </w:tcBorders>
            <w:shd w:val="clear" w:color="auto" w:fill="auto"/>
            <w:vAlign w:val="bottom"/>
            <w:hideMark/>
          </w:tcPr>
          <w:p w:rsidR="00397395" w:rsidRPr="004D52BC" w14:paraId="70909AD4" w14:textId="77777777">
            <w:pPr>
              <w:rPr>
                <w:color w:val="000000"/>
              </w:rPr>
            </w:pPr>
            <w:r w:rsidRPr="004D52BC">
              <w:rPr>
                <w:color w:val="000000"/>
              </w:rPr>
              <w:t> </w:t>
            </w:r>
          </w:p>
        </w:tc>
        <w:tc>
          <w:tcPr>
            <w:tcW w:w="709" w:type="pct"/>
            <w:tcBorders>
              <w:top w:val="nil"/>
              <w:left w:val="nil"/>
              <w:bottom w:val="single" w:sz="4" w:space="0" w:color="auto"/>
              <w:right w:val="single" w:sz="4" w:space="0" w:color="auto"/>
            </w:tcBorders>
            <w:shd w:val="clear" w:color="auto" w:fill="auto"/>
            <w:vAlign w:val="bottom"/>
            <w:hideMark/>
          </w:tcPr>
          <w:p w:rsidR="00397395" w:rsidRPr="004D52BC" w14:paraId="7690A47C" w14:textId="77777777">
            <w:pPr>
              <w:rPr>
                <w:color w:val="000000"/>
              </w:rPr>
            </w:pPr>
            <w:r w:rsidRPr="004D52BC">
              <w:rPr>
                <w:color w:val="000000"/>
              </w:rPr>
              <w:t> </w:t>
            </w:r>
          </w:p>
        </w:tc>
        <w:tc>
          <w:tcPr>
            <w:tcW w:w="692" w:type="pct"/>
            <w:tcBorders>
              <w:top w:val="nil"/>
              <w:left w:val="nil"/>
              <w:bottom w:val="single" w:sz="4" w:space="0" w:color="auto"/>
              <w:right w:val="single" w:sz="4" w:space="0" w:color="auto"/>
            </w:tcBorders>
            <w:shd w:val="clear" w:color="auto" w:fill="auto"/>
            <w:vAlign w:val="bottom"/>
            <w:hideMark/>
          </w:tcPr>
          <w:p w:rsidR="00397395" w:rsidRPr="004D52BC" w14:paraId="2603116D" w14:textId="77777777">
            <w:pPr>
              <w:rPr>
                <w:color w:val="000000"/>
              </w:rPr>
            </w:pPr>
            <w:r w:rsidRPr="004D52BC">
              <w:rPr>
                <w:color w:val="000000"/>
              </w:rPr>
              <w:t> </w:t>
            </w:r>
          </w:p>
        </w:tc>
        <w:tc>
          <w:tcPr>
            <w:tcW w:w="637" w:type="pct"/>
            <w:tcBorders>
              <w:top w:val="nil"/>
              <w:left w:val="nil"/>
              <w:bottom w:val="single" w:sz="4" w:space="0" w:color="auto"/>
              <w:right w:val="single" w:sz="4" w:space="0" w:color="auto"/>
            </w:tcBorders>
            <w:shd w:val="clear" w:color="auto" w:fill="auto"/>
            <w:vAlign w:val="bottom"/>
            <w:hideMark/>
          </w:tcPr>
          <w:p w:rsidR="00397395" w:rsidRPr="004D52BC" w14:paraId="5EC0371F" w14:textId="77777777">
            <w:pPr>
              <w:rPr>
                <w:color w:val="000000"/>
              </w:rPr>
            </w:pPr>
            <w:r w:rsidRPr="004D52BC">
              <w:rPr>
                <w:color w:val="000000"/>
              </w:rPr>
              <w:t> </w:t>
            </w:r>
          </w:p>
        </w:tc>
        <w:tc>
          <w:tcPr>
            <w:tcW w:w="574" w:type="pct"/>
            <w:tcBorders>
              <w:top w:val="nil"/>
              <w:left w:val="nil"/>
              <w:bottom w:val="single" w:sz="4" w:space="0" w:color="auto"/>
              <w:right w:val="single" w:sz="4" w:space="0" w:color="auto"/>
            </w:tcBorders>
            <w:shd w:val="clear" w:color="auto" w:fill="auto"/>
            <w:vAlign w:val="bottom"/>
            <w:hideMark/>
          </w:tcPr>
          <w:p w:rsidR="00397395" w:rsidRPr="004D52BC" w14:paraId="0F0F86C4" w14:textId="77777777">
            <w:r w:rsidRPr="004D52BC">
              <w:t> </w:t>
            </w:r>
          </w:p>
        </w:tc>
      </w:tr>
      <w:tr w14:paraId="4A4AA29F" w14:textId="77777777" w:rsidTr="00070D79">
        <w:tblPrEx>
          <w:tblW w:w="5454" w:type="pct"/>
          <w:tblLook w:val="04A0"/>
        </w:tblPrEx>
        <w:trPr>
          <w:trHeight w:val="64"/>
        </w:trPr>
        <w:tc>
          <w:tcPr>
            <w:tcW w:w="98" w:type="pct"/>
            <w:tcBorders>
              <w:top w:val="nil"/>
              <w:left w:val="single" w:sz="4" w:space="0" w:color="auto"/>
              <w:bottom w:val="single" w:sz="4" w:space="0" w:color="auto"/>
              <w:right w:val="nil"/>
            </w:tcBorders>
            <w:shd w:val="clear" w:color="auto" w:fill="auto"/>
            <w:vAlign w:val="bottom"/>
            <w:hideMark/>
          </w:tcPr>
          <w:p w:rsidR="00397395" w:rsidRPr="004D52BC" w14:paraId="7E0284CE" w14:textId="77777777">
            <w:pPr>
              <w:rPr>
                <w:color w:val="000000"/>
              </w:rPr>
            </w:pPr>
            <w:r w:rsidRPr="004D52BC">
              <w:rPr>
                <w:color w:val="000000"/>
              </w:rPr>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397395" w:rsidRPr="004D52BC" w14:paraId="41ADE060" w14:textId="77777777">
            <w:pPr>
              <w:rPr>
                <w:color w:val="000000"/>
              </w:rPr>
            </w:pPr>
            <w:r w:rsidRPr="004D52BC">
              <w:rPr>
                <w:color w:val="000000"/>
              </w:rPr>
              <w:t xml:space="preserve">A. Read Rule, Instructions, Guidance Documents </w:t>
            </w:r>
            <w:r w:rsidRPr="004D52BC">
              <w:rPr>
                <w:color w:val="000000"/>
                <w:vertAlign w:val="superscript"/>
              </w:rPr>
              <w:t>a,b,c</w:t>
            </w:r>
          </w:p>
        </w:tc>
        <w:tc>
          <w:tcPr>
            <w:tcW w:w="501" w:type="pct"/>
            <w:tcBorders>
              <w:top w:val="nil"/>
              <w:left w:val="single" w:sz="4" w:space="0" w:color="auto"/>
              <w:bottom w:val="single" w:sz="4" w:space="0" w:color="auto"/>
              <w:right w:val="single" w:sz="4" w:space="0" w:color="auto"/>
            </w:tcBorders>
            <w:shd w:val="clear" w:color="auto" w:fill="auto"/>
            <w:vAlign w:val="bottom"/>
            <w:hideMark/>
          </w:tcPr>
          <w:p w:rsidR="00397395" w:rsidRPr="004D52BC" w14:paraId="4685A15C" w14:textId="77777777">
            <w:pPr>
              <w:rPr>
                <w:color w:val="000000"/>
              </w:rPr>
            </w:pPr>
            <w:r w:rsidRPr="004D52BC">
              <w:rPr>
                <w:color w:val="000000"/>
              </w:rPr>
              <w:t> </w:t>
            </w:r>
          </w:p>
        </w:tc>
        <w:tc>
          <w:tcPr>
            <w:tcW w:w="709" w:type="pct"/>
            <w:tcBorders>
              <w:top w:val="nil"/>
              <w:left w:val="nil"/>
              <w:bottom w:val="single" w:sz="4" w:space="0" w:color="auto"/>
              <w:right w:val="single" w:sz="4" w:space="0" w:color="auto"/>
            </w:tcBorders>
            <w:shd w:val="clear" w:color="auto" w:fill="auto"/>
            <w:vAlign w:val="bottom"/>
            <w:hideMark/>
          </w:tcPr>
          <w:p w:rsidR="00397395" w:rsidRPr="004D52BC" w14:paraId="0F8C2223" w14:textId="77777777">
            <w:pPr>
              <w:rPr>
                <w:color w:val="000000"/>
              </w:rPr>
            </w:pPr>
            <w:r w:rsidRPr="004D52BC">
              <w:rPr>
                <w:color w:val="000000"/>
              </w:rPr>
              <w:t> </w:t>
            </w:r>
          </w:p>
        </w:tc>
        <w:tc>
          <w:tcPr>
            <w:tcW w:w="692" w:type="pct"/>
            <w:tcBorders>
              <w:top w:val="nil"/>
              <w:left w:val="nil"/>
              <w:bottom w:val="single" w:sz="4" w:space="0" w:color="auto"/>
              <w:right w:val="single" w:sz="4" w:space="0" w:color="auto"/>
            </w:tcBorders>
            <w:shd w:val="clear" w:color="auto" w:fill="auto"/>
            <w:vAlign w:val="bottom"/>
            <w:hideMark/>
          </w:tcPr>
          <w:p w:rsidR="00397395" w:rsidRPr="004D52BC" w14:paraId="0E0658C8" w14:textId="77777777">
            <w:pPr>
              <w:rPr>
                <w:color w:val="000000"/>
              </w:rPr>
            </w:pPr>
            <w:r w:rsidRPr="004D52BC">
              <w:rPr>
                <w:color w:val="000000"/>
              </w:rPr>
              <w:t> </w:t>
            </w:r>
          </w:p>
        </w:tc>
        <w:tc>
          <w:tcPr>
            <w:tcW w:w="637" w:type="pct"/>
            <w:tcBorders>
              <w:top w:val="nil"/>
              <w:left w:val="nil"/>
              <w:bottom w:val="single" w:sz="4" w:space="0" w:color="auto"/>
              <w:right w:val="single" w:sz="4" w:space="0" w:color="auto"/>
            </w:tcBorders>
            <w:shd w:val="clear" w:color="auto" w:fill="auto"/>
            <w:vAlign w:val="bottom"/>
            <w:hideMark/>
          </w:tcPr>
          <w:p w:rsidR="00397395" w:rsidRPr="004D52BC" w14:paraId="2488AFBF" w14:textId="77777777">
            <w:pPr>
              <w:rPr>
                <w:color w:val="000000"/>
              </w:rPr>
            </w:pPr>
            <w:r w:rsidRPr="004D52BC">
              <w:rPr>
                <w:color w:val="000000"/>
              </w:rPr>
              <w:t> </w:t>
            </w:r>
          </w:p>
        </w:tc>
        <w:tc>
          <w:tcPr>
            <w:tcW w:w="574" w:type="pct"/>
            <w:tcBorders>
              <w:top w:val="nil"/>
              <w:left w:val="nil"/>
              <w:bottom w:val="single" w:sz="4" w:space="0" w:color="auto"/>
              <w:right w:val="single" w:sz="4" w:space="0" w:color="auto"/>
            </w:tcBorders>
            <w:shd w:val="clear" w:color="auto" w:fill="auto"/>
            <w:vAlign w:val="bottom"/>
            <w:hideMark/>
          </w:tcPr>
          <w:p w:rsidR="00397395" w:rsidRPr="004D52BC" w14:paraId="2ACB09FB" w14:textId="77777777">
            <w:r w:rsidRPr="004D52BC">
              <w:t> </w:t>
            </w:r>
          </w:p>
        </w:tc>
      </w:tr>
      <w:tr w14:paraId="297D83C8" w14:textId="77777777" w:rsidTr="00070D79">
        <w:tblPrEx>
          <w:tblW w:w="5454" w:type="pct"/>
          <w:tblLook w:val="04A0"/>
        </w:tblPrEx>
        <w:trPr>
          <w:trHeight w:val="64"/>
        </w:trPr>
        <w:tc>
          <w:tcPr>
            <w:tcW w:w="98" w:type="pct"/>
            <w:tcBorders>
              <w:top w:val="single" w:sz="4" w:space="0" w:color="auto"/>
              <w:left w:val="single" w:sz="4" w:space="0" w:color="auto"/>
              <w:bottom w:val="nil"/>
              <w:right w:val="nil"/>
            </w:tcBorders>
            <w:shd w:val="clear" w:color="auto" w:fill="auto"/>
            <w:vAlign w:val="bottom"/>
            <w:hideMark/>
          </w:tcPr>
          <w:p w:rsidR="005E29A4" w:rsidRPr="004D52BC" w:rsidP="005E29A4" w14:paraId="6CA65F69" w14:textId="77777777">
            <w:r w:rsidRPr="004D52BC">
              <w:t> </w:t>
            </w:r>
          </w:p>
        </w:tc>
        <w:tc>
          <w:tcPr>
            <w:tcW w:w="98" w:type="pct"/>
            <w:tcBorders>
              <w:top w:val="single" w:sz="4" w:space="0" w:color="auto"/>
              <w:left w:val="nil"/>
              <w:bottom w:val="nil"/>
              <w:right w:val="nil"/>
            </w:tcBorders>
            <w:shd w:val="clear" w:color="auto" w:fill="auto"/>
            <w:vAlign w:val="bottom"/>
            <w:hideMark/>
          </w:tcPr>
          <w:p w:rsidR="005E29A4" w:rsidRPr="004D52BC" w:rsidP="005E29A4" w14:paraId="45A741AB" w14:textId="77777777">
            <w:r w:rsidRPr="004D52BC">
              <w:t> </w:t>
            </w:r>
          </w:p>
        </w:tc>
        <w:tc>
          <w:tcPr>
            <w:tcW w:w="1691" w:type="pct"/>
            <w:tcBorders>
              <w:top w:val="nil"/>
              <w:left w:val="nil"/>
              <w:bottom w:val="single" w:sz="4" w:space="0" w:color="auto"/>
              <w:right w:val="nil"/>
            </w:tcBorders>
            <w:shd w:val="clear" w:color="auto" w:fill="auto"/>
            <w:vAlign w:val="bottom"/>
            <w:hideMark/>
          </w:tcPr>
          <w:p w:rsidR="005E29A4" w:rsidRPr="004D52BC" w:rsidP="005E29A4" w14:paraId="3C8F2725" w14:textId="77777777">
            <w:r w:rsidRPr="004D52BC">
              <w:t>WEC Obligated Party</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5ADD911A" w14:textId="77777777">
            <w:pPr>
              <w:jc w:val="right"/>
            </w:pPr>
            <w:r w:rsidRPr="004D52BC">
              <w:t>5</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01148A69" w14:textId="77777777">
            <w:pPr>
              <w:jc w:val="right"/>
              <w:rPr>
                <w:color w:val="000000"/>
              </w:rPr>
            </w:pPr>
            <w:r w:rsidRPr="004D52BC">
              <w:rPr>
                <w:color w:val="000000"/>
              </w:rPr>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0C0E8A35" w14:textId="77777777">
            <w:pPr>
              <w:jc w:val="right"/>
            </w:pPr>
            <w:r w:rsidRPr="004D52BC">
              <w:t>5</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24D8BF3D" w14:textId="40D058ED">
            <w:pPr>
              <w:jc w:val="right"/>
              <w:rPr>
                <w:color w:val="000000"/>
              </w:rPr>
            </w:pPr>
            <w:r>
              <w:t>535</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2A2D5E0B" w14:textId="2C7B7196">
            <w:pPr>
              <w:jc w:val="right"/>
            </w:pPr>
            <w:r w:rsidRPr="00070D79">
              <w:t>$842,867</w:t>
            </w:r>
          </w:p>
        </w:tc>
      </w:tr>
      <w:tr w14:paraId="703A8071" w14:textId="77777777" w:rsidTr="00070D79">
        <w:tblPrEx>
          <w:tblW w:w="5454" w:type="pct"/>
          <w:tblLook w:val="04A0"/>
        </w:tblPrEx>
        <w:trPr>
          <w:trHeight w:val="64"/>
        </w:trPr>
        <w:tc>
          <w:tcPr>
            <w:tcW w:w="98" w:type="pct"/>
            <w:tcBorders>
              <w:top w:val="single" w:sz="4" w:space="0" w:color="auto"/>
              <w:left w:val="single" w:sz="4" w:space="0" w:color="auto"/>
              <w:bottom w:val="nil"/>
              <w:right w:val="nil"/>
            </w:tcBorders>
            <w:shd w:val="clear" w:color="auto" w:fill="auto"/>
            <w:vAlign w:val="bottom"/>
            <w:hideMark/>
          </w:tcPr>
          <w:p w:rsidR="005E29A4" w:rsidRPr="004D52BC" w:rsidP="005E29A4" w14:paraId="4F355F31" w14:textId="77777777">
            <w:r w:rsidRPr="004D52BC">
              <w:t> </w:t>
            </w:r>
          </w:p>
        </w:tc>
        <w:tc>
          <w:tcPr>
            <w:tcW w:w="1789" w:type="pct"/>
            <w:gridSpan w:val="2"/>
            <w:tcBorders>
              <w:top w:val="single" w:sz="4" w:space="0" w:color="auto"/>
              <w:left w:val="nil"/>
              <w:bottom w:val="single" w:sz="4" w:space="0" w:color="000000"/>
              <w:right w:val="single" w:sz="4" w:space="0" w:color="auto"/>
            </w:tcBorders>
            <w:shd w:val="clear" w:color="auto" w:fill="auto"/>
            <w:vAlign w:val="bottom"/>
            <w:hideMark/>
          </w:tcPr>
          <w:p w:rsidR="005E29A4" w:rsidRPr="004D52BC" w:rsidP="005E29A4" w14:paraId="4D91C097" w14:textId="77777777">
            <w:r w:rsidRPr="004D52BC">
              <w:t>B. Required Activities (Included in 4E)</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6B9644A8" w14:textId="77777777">
            <w:pPr>
              <w:jc w:val="right"/>
            </w:pPr>
            <w:r w:rsidRPr="004D52BC">
              <w:t> </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7ED4DF22" w14:textId="77777777">
            <w:pPr>
              <w:jc w:val="right"/>
            </w:pPr>
            <w:r w:rsidRPr="004D52BC">
              <w:t> </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4781102A" w14:textId="77777777">
            <w:pPr>
              <w:jc w:val="right"/>
            </w:pPr>
            <w:r w:rsidRPr="004D52BC">
              <w:t> </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3D55FBFE" w14:textId="77777777">
            <w:pPr>
              <w:jc w:val="right"/>
            </w:pPr>
            <w:r w:rsidRPr="004D52BC">
              <w:t> </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26B105DC" w14:textId="4687FCC2">
            <w:pPr>
              <w:jc w:val="right"/>
            </w:pPr>
          </w:p>
        </w:tc>
      </w:tr>
      <w:tr w14:paraId="0E0F2E32" w14:textId="77777777" w:rsidTr="00070D79">
        <w:tblPrEx>
          <w:tblW w:w="5454" w:type="pct"/>
          <w:tblLook w:val="04A0"/>
        </w:tblPrEx>
        <w:trPr>
          <w:trHeight w:val="285"/>
        </w:trPr>
        <w:tc>
          <w:tcPr>
            <w:tcW w:w="98" w:type="pct"/>
            <w:tcBorders>
              <w:top w:val="single" w:sz="4" w:space="0" w:color="auto"/>
              <w:left w:val="single" w:sz="4" w:space="0" w:color="auto"/>
              <w:bottom w:val="nil"/>
              <w:right w:val="nil"/>
            </w:tcBorders>
            <w:shd w:val="clear" w:color="auto" w:fill="auto"/>
            <w:vAlign w:val="bottom"/>
            <w:hideMark/>
          </w:tcPr>
          <w:p w:rsidR="005E29A4" w:rsidRPr="004D52BC" w:rsidP="005E29A4" w14:paraId="0F5E5FBF" w14:textId="77777777">
            <w:r w:rsidRPr="004D52BC">
              <w:t> </w:t>
            </w:r>
          </w:p>
        </w:tc>
        <w:tc>
          <w:tcPr>
            <w:tcW w:w="98" w:type="pct"/>
            <w:tcBorders>
              <w:top w:val="nil"/>
              <w:left w:val="nil"/>
              <w:bottom w:val="nil"/>
              <w:right w:val="nil"/>
            </w:tcBorders>
            <w:shd w:val="clear" w:color="auto" w:fill="auto"/>
            <w:vAlign w:val="bottom"/>
            <w:hideMark/>
          </w:tcPr>
          <w:p w:rsidR="005E29A4" w:rsidRPr="004D52BC" w:rsidP="005E29A4" w14:paraId="328BDD0F" w14:textId="77777777"/>
        </w:tc>
        <w:tc>
          <w:tcPr>
            <w:tcW w:w="1691" w:type="pct"/>
            <w:tcBorders>
              <w:top w:val="single" w:sz="4" w:space="0" w:color="auto"/>
              <w:left w:val="nil"/>
              <w:bottom w:val="nil"/>
              <w:right w:val="nil"/>
            </w:tcBorders>
            <w:shd w:val="clear" w:color="auto" w:fill="auto"/>
            <w:noWrap/>
            <w:vAlign w:val="bottom"/>
            <w:hideMark/>
          </w:tcPr>
          <w:p w:rsidR="005E29A4" w:rsidRPr="004D52BC" w:rsidP="005E29A4" w14:paraId="3AAC448B" w14:textId="77777777">
            <w:r w:rsidRPr="004D52BC">
              <w:t xml:space="preserve">Calculations required under Subpart B </w:t>
            </w:r>
            <w:r w:rsidRPr="004D52BC">
              <w:rPr>
                <w:vertAlign w:val="superscript"/>
              </w:rPr>
              <w:t>b,c,d</w:t>
            </w:r>
            <w:r w:rsidRPr="004D52BC">
              <w:t xml:space="preserve"> </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7DCE55E5" w14:textId="77777777">
            <w:pPr>
              <w:jc w:val="right"/>
            </w:pPr>
            <w:r w:rsidRPr="004D52BC">
              <w:t> </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6FC22461" w14:textId="77777777">
            <w:pPr>
              <w:jc w:val="right"/>
            </w:pPr>
            <w:r w:rsidRPr="004D52BC">
              <w:t> </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05FA968D" w14:textId="77777777">
            <w:pPr>
              <w:jc w:val="right"/>
            </w:pPr>
            <w:r w:rsidRPr="004D52BC">
              <w:t> </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796E55B1" w14:textId="69F8759E">
            <w:pPr>
              <w:jc w:val="right"/>
            </w:pP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18DA6987" w14:textId="22F6C8DD">
            <w:pPr>
              <w:jc w:val="right"/>
            </w:pPr>
          </w:p>
        </w:tc>
      </w:tr>
      <w:tr w14:paraId="6F45EE04" w14:textId="77777777" w:rsidTr="00070D79">
        <w:tblPrEx>
          <w:tblW w:w="5454" w:type="pct"/>
          <w:tblLook w:val="04A0"/>
        </w:tblPrEx>
        <w:trPr>
          <w:trHeight w:val="64"/>
        </w:trPr>
        <w:tc>
          <w:tcPr>
            <w:tcW w:w="98" w:type="pct"/>
            <w:tcBorders>
              <w:top w:val="single" w:sz="4" w:space="0" w:color="auto"/>
              <w:left w:val="single" w:sz="4" w:space="0" w:color="auto"/>
              <w:bottom w:val="single" w:sz="4" w:space="0" w:color="auto"/>
              <w:right w:val="nil"/>
            </w:tcBorders>
            <w:shd w:val="clear" w:color="auto" w:fill="auto"/>
            <w:vAlign w:val="bottom"/>
            <w:hideMark/>
          </w:tcPr>
          <w:p w:rsidR="005E29A4" w:rsidRPr="004D52BC" w:rsidP="005E29A4" w14:paraId="776BF8F2" w14:textId="77777777">
            <w:r w:rsidRPr="004D52BC">
              <w:t> </w:t>
            </w:r>
          </w:p>
        </w:tc>
        <w:tc>
          <w:tcPr>
            <w:tcW w:w="98" w:type="pct"/>
            <w:tcBorders>
              <w:top w:val="single" w:sz="4" w:space="0" w:color="auto"/>
              <w:left w:val="nil"/>
              <w:bottom w:val="single" w:sz="4" w:space="0" w:color="auto"/>
              <w:right w:val="nil"/>
            </w:tcBorders>
            <w:shd w:val="clear" w:color="auto" w:fill="auto"/>
            <w:vAlign w:val="bottom"/>
            <w:hideMark/>
          </w:tcPr>
          <w:p w:rsidR="005E29A4" w:rsidRPr="004D52BC" w:rsidP="005E29A4" w14:paraId="043A5261" w14:textId="77777777">
            <w:r w:rsidRPr="004D52BC">
              <w:t> </w:t>
            </w:r>
          </w:p>
        </w:tc>
        <w:tc>
          <w:tcPr>
            <w:tcW w:w="1691" w:type="pct"/>
            <w:tcBorders>
              <w:top w:val="single" w:sz="4" w:space="0" w:color="auto"/>
              <w:left w:val="nil"/>
              <w:bottom w:val="single" w:sz="4" w:space="0" w:color="auto"/>
              <w:right w:val="nil"/>
            </w:tcBorders>
            <w:shd w:val="clear" w:color="auto" w:fill="auto"/>
            <w:vAlign w:val="bottom"/>
            <w:hideMark/>
          </w:tcPr>
          <w:p w:rsidR="005E29A4" w:rsidRPr="004D52BC" w:rsidP="005E29A4" w14:paraId="4C770D75" w14:textId="77777777">
            <w:pPr>
              <w:ind w:firstLine="240" w:firstLineChars="100"/>
            </w:pPr>
            <w:r w:rsidRPr="004D52BC">
              <w:t>Offshore Petroleum and Natural Gas Production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0E4C2084"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198827B8"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1768876D"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20202250" w14:textId="5246ED68">
            <w:pPr>
              <w:jc w:val="right"/>
            </w:pPr>
            <w:r w:rsidRPr="004207B7">
              <w:t>23</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0BD11601" w14:textId="261D558E">
            <w:pPr>
              <w:jc w:val="right"/>
            </w:pPr>
            <w:r w:rsidRPr="00D75FE4">
              <w:t>$3,252</w:t>
            </w:r>
          </w:p>
        </w:tc>
      </w:tr>
      <w:tr w14:paraId="01036D83" w14:textId="77777777" w:rsidTr="00070D79">
        <w:tblPrEx>
          <w:tblW w:w="5454" w:type="pct"/>
          <w:tblLook w:val="04A0"/>
        </w:tblPrEx>
        <w:trPr>
          <w:trHeight w:val="64"/>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68C8FE7F" w14:textId="77777777">
            <w:r w:rsidRPr="004D52BC">
              <w:t> </w:t>
            </w:r>
          </w:p>
        </w:tc>
        <w:tc>
          <w:tcPr>
            <w:tcW w:w="98" w:type="pct"/>
            <w:tcBorders>
              <w:top w:val="nil"/>
              <w:left w:val="nil"/>
              <w:bottom w:val="single" w:sz="4" w:space="0" w:color="auto"/>
              <w:right w:val="nil"/>
            </w:tcBorders>
            <w:shd w:val="clear" w:color="auto" w:fill="auto"/>
            <w:vAlign w:val="bottom"/>
            <w:hideMark/>
          </w:tcPr>
          <w:p w:rsidR="005E29A4" w:rsidRPr="004D52BC" w:rsidP="005E29A4" w14:paraId="01D82F79" w14:textId="77777777">
            <w:r w:rsidRPr="004D52BC">
              <w:t> </w:t>
            </w:r>
          </w:p>
        </w:tc>
        <w:tc>
          <w:tcPr>
            <w:tcW w:w="1691" w:type="pct"/>
            <w:tcBorders>
              <w:top w:val="nil"/>
              <w:left w:val="nil"/>
              <w:bottom w:val="single" w:sz="4" w:space="0" w:color="auto"/>
              <w:right w:val="nil"/>
            </w:tcBorders>
            <w:shd w:val="clear" w:color="auto" w:fill="auto"/>
            <w:vAlign w:val="bottom"/>
            <w:hideMark/>
          </w:tcPr>
          <w:p w:rsidR="005E29A4" w:rsidRPr="004D52BC" w:rsidP="005E29A4" w14:paraId="5DA1E68F" w14:textId="77777777">
            <w:pPr>
              <w:ind w:firstLine="240" w:firstLineChars="100"/>
            </w:pPr>
            <w:r w:rsidRPr="004D52BC">
              <w:t>Onshore Petroleum and Natural Gas Production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2716DF3C"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337EBEC3"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20692100"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7C23AE86" w14:textId="789BB669">
            <w:pPr>
              <w:jc w:val="right"/>
            </w:pPr>
            <w:r w:rsidRPr="004207B7">
              <w:t>393</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7FEB4D5A" w14:textId="0593F3E5">
            <w:pPr>
              <w:jc w:val="right"/>
            </w:pPr>
            <w:r w:rsidRPr="00D75FE4">
              <w:t>$55,574</w:t>
            </w:r>
          </w:p>
        </w:tc>
      </w:tr>
      <w:tr w14:paraId="597C6D6A" w14:textId="77777777" w:rsidTr="00C65581">
        <w:tblPrEx>
          <w:tblW w:w="5454" w:type="pct"/>
          <w:tblLook w:val="04A0"/>
        </w:tblPrEx>
        <w:trPr>
          <w:trHeight w:val="255"/>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7B8CD8C8" w14:textId="77777777">
            <w:r w:rsidRPr="004D52BC">
              <w:t> </w:t>
            </w:r>
          </w:p>
        </w:tc>
        <w:tc>
          <w:tcPr>
            <w:tcW w:w="98" w:type="pct"/>
            <w:tcBorders>
              <w:top w:val="nil"/>
              <w:left w:val="nil"/>
              <w:bottom w:val="single" w:sz="4" w:space="0" w:color="auto"/>
              <w:right w:val="nil"/>
            </w:tcBorders>
            <w:shd w:val="clear" w:color="auto" w:fill="auto"/>
            <w:vAlign w:val="bottom"/>
            <w:hideMark/>
          </w:tcPr>
          <w:p w:rsidR="005E29A4" w:rsidRPr="004D52BC" w:rsidP="005E29A4" w14:paraId="65657893" w14:textId="77777777">
            <w:r w:rsidRPr="004D52BC">
              <w:t> </w:t>
            </w:r>
          </w:p>
        </w:tc>
        <w:tc>
          <w:tcPr>
            <w:tcW w:w="1691" w:type="pct"/>
            <w:tcBorders>
              <w:top w:val="nil"/>
              <w:left w:val="nil"/>
              <w:bottom w:val="nil"/>
              <w:right w:val="nil"/>
            </w:tcBorders>
            <w:shd w:val="clear" w:color="auto" w:fill="auto"/>
            <w:vAlign w:val="bottom"/>
            <w:hideMark/>
          </w:tcPr>
          <w:p w:rsidR="005E29A4" w:rsidRPr="004D52BC" w:rsidP="005E29A4" w14:paraId="00CF97D1" w14:textId="77777777">
            <w:pPr>
              <w:ind w:firstLine="240" w:firstLineChars="100"/>
            </w:pPr>
            <w:r w:rsidRPr="004D52BC">
              <w:t>Onshore Natural Gas Processing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36FFDC6E"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10B847F3"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08ACE802"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6C4D4713" w14:textId="294EE2E0">
            <w:pPr>
              <w:jc w:val="right"/>
            </w:pPr>
            <w:r w:rsidRPr="004207B7">
              <w:t>180</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6BACA680" w14:textId="61045287">
            <w:pPr>
              <w:jc w:val="right"/>
            </w:pPr>
            <w:r w:rsidRPr="00D75FE4">
              <w:t>$25,454</w:t>
            </w:r>
          </w:p>
        </w:tc>
      </w:tr>
      <w:tr w14:paraId="2273C11C" w14:textId="77777777" w:rsidTr="00C65581">
        <w:tblPrEx>
          <w:tblW w:w="5454" w:type="pct"/>
          <w:tblLook w:val="04A0"/>
        </w:tblPrEx>
        <w:trPr>
          <w:trHeight w:val="255"/>
        </w:trPr>
        <w:tc>
          <w:tcPr>
            <w:tcW w:w="98" w:type="pct"/>
            <w:tcBorders>
              <w:top w:val="single" w:sz="4" w:space="0" w:color="auto"/>
              <w:left w:val="single" w:sz="4" w:space="0" w:color="auto"/>
              <w:bottom w:val="single" w:sz="4" w:space="0" w:color="auto"/>
              <w:right w:val="nil"/>
            </w:tcBorders>
            <w:shd w:val="clear" w:color="auto" w:fill="auto"/>
            <w:vAlign w:val="bottom"/>
            <w:hideMark/>
          </w:tcPr>
          <w:p w:rsidR="005E29A4" w:rsidRPr="004D52BC" w:rsidP="005E29A4" w14:paraId="157E7186" w14:textId="77777777">
            <w:pPr>
              <w:jc w:val="right"/>
            </w:pPr>
          </w:p>
        </w:tc>
        <w:tc>
          <w:tcPr>
            <w:tcW w:w="98" w:type="pct"/>
            <w:tcBorders>
              <w:top w:val="nil"/>
              <w:left w:val="nil"/>
              <w:bottom w:val="nil"/>
              <w:right w:val="nil"/>
            </w:tcBorders>
            <w:shd w:val="clear" w:color="auto" w:fill="auto"/>
            <w:vAlign w:val="bottom"/>
            <w:hideMark/>
          </w:tcPr>
          <w:p w:rsidR="005E29A4" w:rsidRPr="004D52BC" w:rsidP="005E29A4" w14:paraId="2ED5D861" w14:textId="77777777"/>
        </w:tc>
        <w:tc>
          <w:tcPr>
            <w:tcW w:w="1691" w:type="pct"/>
            <w:tcBorders>
              <w:top w:val="single" w:sz="4" w:space="0" w:color="auto"/>
              <w:left w:val="nil"/>
              <w:bottom w:val="single" w:sz="4" w:space="0" w:color="auto"/>
              <w:right w:val="nil"/>
            </w:tcBorders>
            <w:shd w:val="clear" w:color="auto" w:fill="auto"/>
            <w:vAlign w:val="bottom"/>
            <w:hideMark/>
          </w:tcPr>
          <w:p w:rsidR="005E29A4" w:rsidRPr="004D52BC" w:rsidP="005E29A4" w14:paraId="5CDACBA4" w14:textId="77777777">
            <w:pPr>
              <w:ind w:firstLine="240" w:firstLineChars="100"/>
            </w:pPr>
            <w:r w:rsidRPr="004D52BC">
              <w:t>Onshore Natural Gas Transmission Compression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50C33A94"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6CAB1E19"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7BAE9938"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7438E829" w14:textId="25982371">
            <w:pPr>
              <w:jc w:val="right"/>
            </w:pPr>
            <w:r w:rsidRPr="004207B7">
              <w:t>22</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462F5F9C" w14:textId="6EFE9D63">
            <w:pPr>
              <w:jc w:val="right"/>
            </w:pPr>
            <w:r w:rsidRPr="00D75FE4">
              <w:t>$3,111</w:t>
            </w:r>
          </w:p>
        </w:tc>
      </w:tr>
      <w:tr w14:paraId="643F0A18" w14:textId="77777777" w:rsidTr="00C65581">
        <w:tblPrEx>
          <w:tblW w:w="5454" w:type="pct"/>
          <w:tblLook w:val="04A0"/>
        </w:tblPrEx>
        <w:trPr>
          <w:trHeight w:val="255"/>
        </w:trPr>
        <w:tc>
          <w:tcPr>
            <w:tcW w:w="98" w:type="pct"/>
            <w:tcBorders>
              <w:top w:val="single" w:sz="4" w:space="0" w:color="auto"/>
              <w:left w:val="single" w:sz="4" w:space="0" w:color="auto"/>
              <w:bottom w:val="single" w:sz="4" w:space="0" w:color="auto"/>
              <w:right w:val="nil"/>
            </w:tcBorders>
            <w:shd w:val="clear" w:color="auto" w:fill="auto"/>
            <w:vAlign w:val="bottom"/>
            <w:hideMark/>
          </w:tcPr>
          <w:p w:rsidR="005E29A4" w:rsidRPr="004D52BC" w:rsidP="005E29A4" w14:paraId="4DC4160E" w14:textId="77777777">
            <w:r w:rsidRPr="004D52BC">
              <w:t> </w:t>
            </w:r>
          </w:p>
        </w:tc>
        <w:tc>
          <w:tcPr>
            <w:tcW w:w="98" w:type="pct"/>
            <w:tcBorders>
              <w:top w:val="single" w:sz="4" w:space="0" w:color="auto"/>
              <w:left w:val="nil"/>
              <w:bottom w:val="single" w:sz="4" w:space="0" w:color="auto"/>
              <w:right w:val="nil"/>
            </w:tcBorders>
            <w:shd w:val="clear" w:color="auto" w:fill="auto"/>
            <w:vAlign w:val="bottom"/>
            <w:hideMark/>
          </w:tcPr>
          <w:p w:rsidR="005E29A4" w:rsidRPr="004D52BC" w:rsidP="005E29A4" w14:paraId="768EEA7A" w14:textId="77777777">
            <w:r w:rsidRPr="004D52BC">
              <w:t> </w:t>
            </w:r>
          </w:p>
        </w:tc>
        <w:tc>
          <w:tcPr>
            <w:tcW w:w="1691" w:type="pct"/>
            <w:tcBorders>
              <w:top w:val="nil"/>
              <w:left w:val="nil"/>
              <w:bottom w:val="nil"/>
              <w:right w:val="nil"/>
            </w:tcBorders>
            <w:shd w:val="clear" w:color="auto" w:fill="auto"/>
            <w:vAlign w:val="bottom"/>
            <w:hideMark/>
          </w:tcPr>
          <w:p w:rsidR="005E29A4" w:rsidRPr="004D52BC" w:rsidP="005E29A4" w14:paraId="63C650E4" w14:textId="77777777">
            <w:pPr>
              <w:ind w:firstLine="240" w:firstLineChars="100"/>
            </w:pPr>
            <w:r w:rsidRPr="004D52BC">
              <w:t>Underground Natural Gas Storage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4A1A1D5C"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66E526CA"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000E0175"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345A9276" w14:textId="53518721">
            <w:pPr>
              <w:jc w:val="right"/>
            </w:pPr>
            <w:r w:rsidRPr="004207B7">
              <w:t>1</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11B1921C" w14:textId="53EC7E3C">
            <w:pPr>
              <w:jc w:val="right"/>
            </w:pPr>
            <w:r w:rsidRPr="00D75FE4">
              <w:t>$141</w:t>
            </w:r>
          </w:p>
        </w:tc>
      </w:tr>
      <w:tr w14:paraId="6FDADC8C" w14:textId="77777777" w:rsidTr="00070D79">
        <w:tblPrEx>
          <w:tblW w:w="5454" w:type="pct"/>
          <w:tblLook w:val="04A0"/>
        </w:tblPrEx>
        <w:trPr>
          <w:trHeight w:val="64"/>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61733753" w14:textId="77777777">
            <w:r w:rsidRPr="004D52BC">
              <w:t> </w:t>
            </w:r>
          </w:p>
        </w:tc>
        <w:tc>
          <w:tcPr>
            <w:tcW w:w="98" w:type="pct"/>
            <w:tcBorders>
              <w:top w:val="nil"/>
              <w:left w:val="nil"/>
              <w:bottom w:val="single" w:sz="4" w:space="0" w:color="auto"/>
              <w:right w:val="nil"/>
            </w:tcBorders>
            <w:shd w:val="clear" w:color="auto" w:fill="auto"/>
            <w:vAlign w:val="bottom"/>
            <w:hideMark/>
          </w:tcPr>
          <w:p w:rsidR="005E29A4" w:rsidRPr="004D52BC" w:rsidP="005E29A4" w14:paraId="1C1E479E" w14:textId="77777777">
            <w:r w:rsidRPr="004D52BC">
              <w:t> </w:t>
            </w:r>
          </w:p>
        </w:tc>
        <w:tc>
          <w:tcPr>
            <w:tcW w:w="1691" w:type="pct"/>
            <w:tcBorders>
              <w:top w:val="single" w:sz="4" w:space="0" w:color="auto"/>
              <w:left w:val="nil"/>
              <w:bottom w:val="single" w:sz="4" w:space="0" w:color="auto"/>
              <w:right w:val="nil"/>
            </w:tcBorders>
            <w:shd w:val="clear" w:color="auto" w:fill="auto"/>
            <w:vAlign w:val="bottom"/>
            <w:hideMark/>
          </w:tcPr>
          <w:p w:rsidR="005E29A4" w:rsidRPr="004D52BC" w:rsidP="005E29A4" w14:paraId="50AE316B" w14:textId="77777777">
            <w:pPr>
              <w:ind w:firstLine="240" w:firstLineChars="100"/>
            </w:pPr>
            <w:r w:rsidRPr="004D52BC">
              <w:t>LNG Storage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45AAB87A"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4173FBA8"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198A45FC"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68AB81E0" w14:textId="6B535F16">
            <w:pPr>
              <w:jc w:val="right"/>
            </w:pPr>
            <w:r w:rsidRPr="004207B7">
              <w:t>0</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16A26A76" w14:textId="330341BD">
            <w:pPr>
              <w:jc w:val="right"/>
            </w:pPr>
            <w:r w:rsidRPr="00D75FE4">
              <w:t>$0</w:t>
            </w:r>
          </w:p>
        </w:tc>
      </w:tr>
      <w:tr w14:paraId="72305C0C" w14:textId="77777777" w:rsidTr="00070D79">
        <w:tblPrEx>
          <w:tblW w:w="5454" w:type="pct"/>
          <w:tblLook w:val="04A0"/>
        </w:tblPrEx>
        <w:trPr>
          <w:trHeight w:val="255"/>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3A4BE317" w14:textId="77777777">
            <w:r w:rsidRPr="004D52BC">
              <w:t> </w:t>
            </w:r>
          </w:p>
        </w:tc>
        <w:tc>
          <w:tcPr>
            <w:tcW w:w="98" w:type="pct"/>
            <w:tcBorders>
              <w:top w:val="nil"/>
              <w:left w:val="nil"/>
              <w:bottom w:val="single" w:sz="4" w:space="0" w:color="auto"/>
              <w:right w:val="nil"/>
            </w:tcBorders>
            <w:shd w:val="clear" w:color="auto" w:fill="auto"/>
            <w:vAlign w:val="bottom"/>
            <w:hideMark/>
          </w:tcPr>
          <w:p w:rsidR="005E29A4" w:rsidRPr="004D52BC" w:rsidP="005E29A4" w14:paraId="0C53C97E" w14:textId="77777777">
            <w:r w:rsidRPr="004D52BC">
              <w:t> </w:t>
            </w:r>
          </w:p>
        </w:tc>
        <w:tc>
          <w:tcPr>
            <w:tcW w:w="1691" w:type="pct"/>
            <w:tcBorders>
              <w:top w:val="nil"/>
              <w:left w:val="nil"/>
              <w:bottom w:val="single" w:sz="4" w:space="0" w:color="auto"/>
              <w:right w:val="nil"/>
            </w:tcBorders>
            <w:shd w:val="clear" w:color="auto" w:fill="auto"/>
            <w:vAlign w:val="bottom"/>
            <w:hideMark/>
          </w:tcPr>
          <w:p w:rsidR="005E29A4" w:rsidRPr="004D52BC" w:rsidP="005E29A4" w14:paraId="05659BFA" w14:textId="77777777">
            <w:pPr>
              <w:ind w:firstLine="240" w:firstLineChars="100"/>
            </w:pPr>
            <w:r w:rsidRPr="004D52BC">
              <w:t>LNG Import and Export Equipment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261D77F3"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538F6C9C"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40467384" w14:textId="77777777">
            <w:pPr>
              <w:jc w:val="right"/>
            </w:pPr>
            <w:r w:rsidRPr="004D52BC">
              <w:rPr>
                <w:strike/>
              </w:rPr>
              <w:t> </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69CA566F" w14:textId="0E2B3F8D">
            <w:pPr>
              <w:jc w:val="right"/>
            </w:pPr>
            <w:r w:rsidRPr="004207B7">
              <w:t>7</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1262C51B" w14:textId="0520139B">
            <w:pPr>
              <w:jc w:val="right"/>
            </w:pPr>
            <w:r w:rsidRPr="00D75FE4">
              <w:t>$990</w:t>
            </w:r>
          </w:p>
        </w:tc>
      </w:tr>
      <w:tr w14:paraId="59C3AB1F" w14:textId="77777777" w:rsidTr="00070D79">
        <w:tblPrEx>
          <w:tblW w:w="5454" w:type="pct"/>
          <w:tblLook w:val="04A0"/>
        </w:tblPrEx>
        <w:trPr>
          <w:trHeight w:val="64"/>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44481DE3" w14:textId="77777777">
            <w:r w:rsidRPr="004D52BC">
              <w:t> </w:t>
            </w:r>
          </w:p>
        </w:tc>
        <w:tc>
          <w:tcPr>
            <w:tcW w:w="98" w:type="pct"/>
            <w:tcBorders>
              <w:top w:val="nil"/>
              <w:left w:val="nil"/>
              <w:bottom w:val="single" w:sz="4" w:space="0" w:color="auto"/>
              <w:right w:val="nil"/>
            </w:tcBorders>
            <w:shd w:val="clear" w:color="auto" w:fill="auto"/>
            <w:vAlign w:val="bottom"/>
            <w:hideMark/>
          </w:tcPr>
          <w:p w:rsidR="005E29A4" w:rsidRPr="004D52BC" w:rsidP="005E29A4" w14:paraId="1DAF6C1A" w14:textId="77777777">
            <w:r w:rsidRPr="004D52BC">
              <w:t> </w:t>
            </w:r>
          </w:p>
        </w:tc>
        <w:tc>
          <w:tcPr>
            <w:tcW w:w="1691" w:type="pct"/>
            <w:tcBorders>
              <w:top w:val="nil"/>
              <w:left w:val="nil"/>
              <w:bottom w:val="single" w:sz="4" w:space="0" w:color="auto"/>
              <w:right w:val="nil"/>
            </w:tcBorders>
            <w:shd w:val="clear" w:color="auto" w:fill="auto"/>
            <w:vAlign w:val="bottom"/>
            <w:hideMark/>
          </w:tcPr>
          <w:p w:rsidR="005E29A4" w:rsidRPr="004D52BC" w:rsidP="005E29A4" w14:paraId="6DD2E4BA" w14:textId="77777777">
            <w:pPr>
              <w:ind w:firstLine="240" w:firstLineChars="100"/>
            </w:pPr>
            <w:r w:rsidRPr="004D52BC">
              <w:t>Onshore Petroleum and Natural Gas Gathering and Boosting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4E9DB81E"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13AD3D2E"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7810BEDC"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3577041F" w14:textId="0C8EC69D">
            <w:pPr>
              <w:jc w:val="right"/>
            </w:pPr>
            <w:r w:rsidRPr="004207B7">
              <w:t>310</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31E5D907" w14:textId="2B09B24F">
            <w:pPr>
              <w:jc w:val="right"/>
            </w:pPr>
            <w:r w:rsidRPr="00D75FE4">
              <w:t>$43,837</w:t>
            </w:r>
          </w:p>
        </w:tc>
      </w:tr>
      <w:tr w14:paraId="3D58B05D" w14:textId="77777777" w:rsidTr="00070D79">
        <w:tblPrEx>
          <w:tblW w:w="5454" w:type="pct"/>
          <w:tblLook w:val="04A0"/>
        </w:tblPrEx>
        <w:trPr>
          <w:trHeight w:val="64"/>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4288AC56" w14:textId="77777777">
            <w:r w:rsidRPr="004D52BC">
              <w:t> </w:t>
            </w:r>
          </w:p>
        </w:tc>
        <w:tc>
          <w:tcPr>
            <w:tcW w:w="98" w:type="pct"/>
            <w:tcBorders>
              <w:top w:val="nil"/>
              <w:left w:val="nil"/>
              <w:bottom w:val="single" w:sz="4" w:space="0" w:color="auto"/>
              <w:right w:val="nil"/>
            </w:tcBorders>
            <w:shd w:val="clear" w:color="auto" w:fill="auto"/>
            <w:vAlign w:val="bottom"/>
            <w:hideMark/>
          </w:tcPr>
          <w:p w:rsidR="005E29A4" w:rsidRPr="004D52BC" w:rsidP="005E29A4" w14:paraId="1048448C" w14:textId="77777777">
            <w:r w:rsidRPr="004D52BC">
              <w:t> </w:t>
            </w:r>
          </w:p>
        </w:tc>
        <w:tc>
          <w:tcPr>
            <w:tcW w:w="1691" w:type="pct"/>
            <w:tcBorders>
              <w:top w:val="nil"/>
              <w:left w:val="nil"/>
              <w:bottom w:val="single" w:sz="4" w:space="0" w:color="auto"/>
              <w:right w:val="nil"/>
            </w:tcBorders>
            <w:shd w:val="clear" w:color="auto" w:fill="auto"/>
            <w:vAlign w:val="bottom"/>
            <w:hideMark/>
          </w:tcPr>
          <w:p w:rsidR="005E29A4" w:rsidRPr="004D52BC" w:rsidP="005E29A4" w14:paraId="3F7A7884" w14:textId="77777777">
            <w:pPr>
              <w:ind w:firstLine="240" w:firstLineChars="100"/>
            </w:pPr>
            <w:r w:rsidRPr="004D52BC">
              <w:t>Onshore Natural Gas Transmission Pipeline applicable facilities</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586E28A2"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1519B009"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1583134D"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60883621" w14:textId="5707716F">
            <w:pPr>
              <w:jc w:val="right"/>
            </w:pPr>
            <w:r w:rsidRPr="004207B7">
              <w:t>20</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649182ED" w14:textId="5BE1AD17">
            <w:pPr>
              <w:jc w:val="right"/>
            </w:pPr>
            <w:r w:rsidRPr="00D75FE4">
              <w:t>$2,828</w:t>
            </w:r>
          </w:p>
        </w:tc>
      </w:tr>
      <w:tr w14:paraId="586E3F37" w14:textId="77777777" w:rsidTr="00070D79">
        <w:tblPrEx>
          <w:tblW w:w="5454" w:type="pct"/>
          <w:tblLook w:val="04A0"/>
        </w:tblPrEx>
        <w:trPr>
          <w:trHeight w:val="64"/>
        </w:trPr>
        <w:tc>
          <w:tcPr>
            <w:tcW w:w="98" w:type="pct"/>
            <w:tcBorders>
              <w:top w:val="single" w:sz="4" w:space="0" w:color="auto"/>
              <w:left w:val="single" w:sz="4" w:space="0" w:color="auto"/>
              <w:bottom w:val="nil"/>
              <w:right w:val="nil"/>
            </w:tcBorders>
            <w:shd w:val="clear" w:color="auto" w:fill="auto"/>
            <w:vAlign w:val="bottom"/>
            <w:hideMark/>
          </w:tcPr>
          <w:p w:rsidR="005E29A4" w:rsidRPr="004D52BC" w:rsidP="005E29A4" w14:paraId="0E72B9B4" w14:textId="77777777">
            <w:r w:rsidRPr="004D52BC">
              <w:t> </w:t>
            </w:r>
          </w:p>
        </w:tc>
        <w:tc>
          <w:tcPr>
            <w:tcW w:w="98" w:type="pct"/>
            <w:tcBorders>
              <w:top w:val="nil"/>
              <w:left w:val="nil"/>
              <w:bottom w:val="nil"/>
              <w:right w:val="nil"/>
            </w:tcBorders>
            <w:shd w:val="clear" w:color="auto" w:fill="auto"/>
            <w:vAlign w:val="bottom"/>
            <w:hideMark/>
          </w:tcPr>
          <w:p w:rsidR="005E29A4" w:rsidRPr="004D52BC" w:rsidP="005E29A4" w14:paraId="624AE0AA" w14:textId="77777777">
            <w:r w:rsidRPr="004D52BC">
              <w:t> </w:t>
            </w:r>
          </w:p>
        </w:tc>
        <w:tc>
          <w:tcPr>
            <w:tcW w:w="1691" w:type="pct"/>
            <w:tcBorders>
              <w:top w:val="nil"/>
              <w:left w:val="nil"/>
              <w:bottom w:val="single" w:sz="4" w:space="0" w:color="auto"/>
              <w:right w:val="nil"/>
            </w:tcBorders>
            <w:shd w:val="clear" w:color="auto" w:fill="auto"/>
            <w:vAlign w:val="bottom"/>
            <w:hideMark/>
          </w:tcPr>
          <w:p w:rsidR="005E29A4" w:rsidRPr="004D52BC" w:rsidP="005E29A4" w14:paraId="6D99D563" w14:textId="77777777">
            <w:pPr>
              <w:ind w:firstLine="240" w:firstLineChars="100"/>
            </w:pPr>
            <w:r w:rsidRPr="004D52BC">
              <w:t>WEC Obligated Party</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419C2BEE" w14:textId="77777777">
            <w:pPr>
              <w:jc w:val="right"/>
            </w:pPr>
            <w:r w:rsidRPr="004D52BC">
              <w:t>1</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1F4E11C5" w14:textId="77777777">
            <w:pPr>
              <w:jc w:val="right"/>
              <w:rPr>
                <w:color w:val="000000"/>
              </w:rPr>
            </w:pPr>
            <w:r w:rsidRPr="004D52BC">
              <w:rPr>
                <w:color w:val="000000"/>
              </w:rPr>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110C70E9" w14:textId="77777777">
            <w:pPr>
              <w:jc w:val="right"/>
            </w:pPr>
            <w:r w:rsidRPr="004D52BC">
              <w:t>1</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255452EB" w14:textId="497133E3">
            <w:pPr>
              <w:jc w:val="right"/>
              <w:rPr>
                <w:color w:val="000000"/>
              </w:rPr>
            </w:pPr>
            <w:r>
              <w:t>535</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2EFDC4A8" w14:textId="37FDA0A3">
            <w:pPr>
              <w:jc w:val="right"/>
            </w:pPr>
            <w:r w:rsidRPr="00285610">
              <w:t>$168,573</w:t>
            </w:r>
          </w:p>
        </w:tc>
      </w:tr>
      <w:tr w14:paraId="0A9D02F3" w14:textId="77777777" w:rsidTr="00070D79">
        <w:tblPrEx>
          <w:tblW w:w="5454" w:type="pct"/>
          <w:tblLook w:val="04A0"/>
        </w:tblPrEx>
        <w:trPr>
          <w:trHeight w:val="240"/>
        </w:trPr>
        <w:tc>
          <w:tcPr>
            <w:tcW w:w="98" w:type="pct"/>
            <w:tcBorders>
              <w:top w:val="single" w:sz="4" w:space="0" w:color="auto"/>
              <w:left w:val="single" w:sz="4" w:space="0" w:color="auto"/>
              <w:bottom w:val="single" w:sz="4" w:space="0" w:color="auto"/>
              <w:right w:val="nil"/>
            </w:tcBorders>
            <w:shd w:val="clear" w:color="auto" w:fill="auto"/>
            <w:vAlign w:val="bottom"/>
            <w:hideMark/>
          </w:tcPr>
          <w:p w:rsidR="005E29A4" w:rsidRPr="004D52BC" w:rsidP="005E29A4" w14:paraId="187C072F" w14:textId="77777777">
            <w:r w:rsidRPr="004D52BC">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5E29A4" w:rsidRPr="004D52BC" w:rsidP="005E29A4" w14:paraId="692C669F" w14:textId="77777777">
            <w:r w:rsidRPr="004D52BC">
              <w:t>C. Create Information (Included in 4B)</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6769C5B7" w14:textId="77777777">
            <w:pPr>
              <w:jc w:val="right"/>
            </w:pPr>
            <w:r w:rsidRPr="004D52BC">
              <w:t> </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5FD2E328" w14:textId="77777777">
            <w:pPr>
              <w:jc w:val="right"/>
            </w:pPr>
            <w:r w:rsidRPr="004D52BC">
              <w:t> </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38616207" w14:textId="77777777">
            <w:pPr>
              <w:jc w:val="right"/>
            </w:pPr>
            <w:r w:rsidRPr="004D52BC">
              <w:t> </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0AFA80FC" w14:textId="77777777">
            <w:pPr>
              <w:jc w:val="right"/>
            </w:pPr>
            <w:r w:rsidRPr="004D52BC">
              <w:t> </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4733003D" w14:textId="3BA806B1">
            <w:pPr>
              <w:jc w:val="right"/>
            </w:pPr>
          </w:p>
        </w:tc>
      </w:tr>
      <w:tr w14:paraId="1B8DEF68" w14:textId="77777777" w:rsidTr="00070D79">
        <w:tblPrEx>
          <w:tblW w:w="5454" w:type="pct"/>
          <w:tblLook w:val="04A0"/>
        </w:tblPrEx>
        <w:trPr>
          <w:trHeight w:val="240"/>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4486CF23" w14:textId="77777777">
            <w:r w:rsidRPr="004D52BC">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5E29A4" w:rsidRPr="004D52BC" w:rsidP="005E29A4" w14:paraId="02C547A9" w14:textId="77777777">
            <w:r w:rsidRPr="004D52BC">
              <w:t>D. Gather Existing Information (Included in 4E)</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655ADEFB" w14:textId="77777777">
            <w:pPr>
              <w:jc w:val="right"/>
            </w:pPr>
            <w:r w:rsidRPr="004D52BC">
              <w:t> </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6A29330D" w14:textId="77777777">
            <w:pPr>
              <w:jc w:val="right"/>
            </w:pPr>
            <w:r w:rsidRPr="004D52BC">
              <w:t> </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499871D5" w14:textId="77777777">
            <w:pPr>
              <w:jc w:val="right"/>
            </w:pPr>
            <w:r w:rsidRPr="004D52BC">
              <w:t> </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7853D8BC" w14:textId="77777777">
            <w:pPr>
              <w:jc w:val="right"/>
            </w:pPr>
            <w:r w:rsidRPr="004D52BC">
              <w:t> </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43AE94C4" w14:textId="3815873F">
            <w:pPr>
              <w:jc w:val="right"/>
            </w:pPr>
          </w:p>
        </w:tc>
      </w:tr>
      <w:tr w14:paraId="0BA2B116" w14:textId="77777777" w:rsidTr="00070D79">
        <w:tblPrEx>
          <w:tblW w:w="5454" w:type="pct"/>
          <w:tblLook w:val="04A0"/>
        </w:tblPrEx>
        <w:trPr>
          <w:trHeight w:val="240"/>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2F263835" w14:textId="77777777">
            <w:r w:rsidRPr="004D52BC">
              <w:t> </w:t>
            </w:r>
          </w:p>
        </w:tc>
        <w:tc>
          <w:tcPr>
            <w:tcW w:w="1789" w:type="pct"/>
            <w:gridSpan w:val="2"/>
            <w:tcBorders>
              <w:top w:val="single" w:sz="4" w:space="0" w:color="auto"/>
              <w:left w:val="nil"/>
              <w:bottom w:val="single" w:sz="4" w:space="0" w:color="auto"/>
              <w:right w:val="single" w:sz="4" w:space="0" w:color="auto"/>
            </w:tcBorders>
            <w:shd w:val="clear" w:color="auto" w:fill="auto"/>
            <w:vAlign w:val="bottom"/>
            <w:hideMark/>
          </w:tcPr>
          <w:p w:rsidR="005E29A4" w:rsidRPr="004D52BC" w:rsidP="005E29A4" w14:paraId="68471168" w14:textId="77777777">
            <w:r w:rsidRPr="004D52BC">
              <w:t xml:space="preserve">E. Write Report </w:t>
            </w:r>
            <w:r w:rsidRPr="004D52BC">
              <w:rPr>
                <w:vertAlign w:val="superscript"/>
              </w:rPr>
              <w:t>b,c,e</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0973BFEA" w14:textId="77777777">
            <w:pPr>
              <w:jc w:val="right"/>
            </w:pPr>
            <w:r w:rsidRPr="004D52BC">
              <w:t> </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38963486" w14:textId="77777777">
            <w:pPr>
              <w:jc w:val="right"/>
            </w:pPr>
            <w:r w:rsidRPr="004D52BC">
              <w:t> </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7569BB37" w14:textId="77777777">
            <w:pPr>
              <w:jc w:val="right"/>
            </w:pPr>
            <w:r w:rsidRPr="004D52BC">
              <w:t> </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74401235" w14:textId="77777777">
            <w:pPr>
              <w:jc w:val="right"/>
            </w:pPr>
            <w:r w:rsidRPr="004D52BC">
              <w:t> </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59076461" w14:textId="2CF258A6">
            <w:pPr>
              <w:jc w:val="right"/>
            </w:pPr>
          </w:p>
        </w:tc>
      </w:tr>
      <w:tr w14:paraId="3D134758" w14:textId="77777777" w:rsidTr="00070D79">
        <w:tblPrEx>
          <w:tblW w:w="5454" w:type="pct"/>
          <w:tblLook w:val="04A0"/>
        </w:tblPrEx>
        <w:trPr>
          <w:trHeight w:val="240"/>
        </w:trPr>
        <w:tc>
          <w:tcPr>
            <w:tcW w:w="98" w:type="pct"/>
            <w:tcBorders>
              <w:top w:val="nil"/>
              <w:left w:val="single" w:sz="4" w:space="0" w:color="auto"/>
              <w:bottom w:val="single" w:sz="4" w:space="0" w:color="auto"/>
              <w:right w:val="nil"/>
            </w:tcBorders>
            <w:shd w:val="clear" w:color="auto" w:fill="auto"/>
            <w:vAlign w:val="bottom"/>
            <w:hideMark/>
          </w:tcPr>
          <w:p w:rsidR="005E29A4" w:rsidRPr="004D52BC" w:rsidP="005E29A4" w14:paraId="7B705648" w14:textId="77777777">
            <w:r w:rsidRPr="004D52BC">
              <w:t> </w:t>
            </w:r>
          </w:p>
        </w:tc>
        <w:tc>
          <w:tcPr>
            <w:tcW w:w="98" w:type="pct"/>
            <w:tcBorders>
              <w:top w:val="single" w:sz="4" w:space="0" w:color="auto"/>
              <w:left w:val="nil"/>
              <w:bottom w:val="single" w:sz="4" w:space="0" w:color="auto"/>
              <w:right w:val="nil"/>
            </w:tcBorders>
            <w:shd w:val="clear" w:color="auto" w:fill="auto"/>
            <w:vAlign w:val="bottom"/>
            <w:hideMark/>
          </w:tcPr>
          <w:p w:rsidR="005E29A4" w:rsidRPr="004D52BC" w:rsidP="005E29A4" w14:paraId="1FAAF854" w14:textId="77777777">
            <w:r w:rsidRPr="004D52BC">
              <w:t> </w:t>
            </w:r>
          </w:p>
        </w:tc>
        <w:tc>
          <w:tcPr>
            <w:tcW w:w="1691" w:type="pct"/>
            <w:tcBorders>
              <w:top w:val="single" w:sz="4" w:space="0" w:color="auto"/>
              <w:left w:val="nil"/>
              <w:bottom w:val="single" w:sz="4" w:space="0" w:color="auto"/>
              <w:right w:val="nil"/>
            </w:tcBorders>
            <w:shd w:val="clear" w:color="auto" w:fill="auto"/>
            <w:vAlign w:val="bottom"/>
            <w:hideMark/>
          </w:tcPr>
          <w:p w:rsidR="005E29A4" w:rsidRPr="004D52BC" w:rsidP="005E29A4" w14:paraId="7D055ED7" w14:textId="77777777">
            <w:r w:rsidRPr="004D52BC">
              <w:t>WEC Applicable Facility: Annual WEC filing through electronic submittal</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5E29A4" w:rsidRPr="004D52BC" w:rsidP="005E29A4" w14:paraId="52146460" w14:textId="77777777">
            <w:pPr>
              <w:jc w:val="right"/>
            </w:pPr>
            <w:r w:rsidRPr="004D52BC">
              <w:t>0.5</w:t>
            </w:r>
          </w:p>
        </w:tc>
        <w:tc>
          <w:tcPr>
            <w:tcW w:w="709" w:type="pct"/>
            <w:tcBorders>
              <w:top w:val="nil"/>
              <w:left w:val="nil"/>
              <w:bottom w:val="single" w:sz="4" w:space="0" w:color="auto"/>
              <w:right w:val="single" w:sz="4" w:space="0" w:color="auto"/>
            </w:tcBorders>
            <w:shd w:val="clear" w:color="auto" w:fill="auto"/>
            <w:vAlign w:val="center"/>
            <w:hideMark/>
          </w:tcPr>
          <w:p w:rsidR="005E29A4" w:rsidRPr="004D52BC" w:rsidP="005E29A4" w14:paraId="735BA3E5"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5E29A4" w:rsidRPr="004D52BC" w:rsidP="005E29A4" w14:paraId="1DAB6D0C" w14:textId="77777777">
            <w:pPr>
              <w:jc w:val="right"/>
            </w:pPr>
            <w:r w:rsidRPr="004D52BC">
              <w:t>0.5</w:t>
            </w:r>
          </w:p>
        </w:tc>
        <w:tc>
          <w:tcPr>
            <w:tcW w:w="637" w:type="pct"/>
            <w:tcBorders>
              <w:top w:val="nil"/>
              <w:left w:val="nil"/>
              <w:bottom w:val="single" w:sz="4" w:space="0" w:color="auto"/>
              <w:right w:val="single" w:sz="4" w:space="0" w:color="auto"/>
            </w:tcBorders>
            <w:shd w:val="clear" w:color="auto" w:fill="auto"/>
            <w:vAlign w:val="center"/>
            <w:hideMark/>
          </w:tcPr>
          <w:p w:rsidR="005E29A4" w:rsidRPr="004D52BC" w:rsidP="005E29A4" w14:paraId="54832BB7" w14:textId="6DE44FA5">
            <w:pPr>
              <w:jc w:val="right"/>
            </w:pPr>
            <w:r w:rsidRPr="004207B7">
              <w:t>956</w:t>
            </w:r>
          </w:p>
        </w:tc>
        <w:tc>
          <w:tcPr>
            <w:tcW w:w="574" w:type="pct"/>
            <w:tcBorders>
              <w:top w:val="nil"/>
              <w:left w:val="nil"/>
              <w:bottom w:val="single" w:sz="4" w:space="0" w:color="auto"/>
              <w:right w:val="single" w:sz="4" w:space="0" w:color="auto"/>
            </w:tcBorders>
            <w:shd w:val="clear" w:color="auto" w:fill="auto"/>
            <w:vAlign w:val="center"/>
            <w:hideMark/>
          </w:tcPr>
          <w:p w:rsidR="005E29A4" w:rsidRPr="004D52BC" w:rsidP="005E29A4" w14:paraId="4730FAD3" w14:textId="7EF4D95F">
            <w:pPr>
              <w:jc w:val="right"/>
            </w:pPr>
            <w:r w:rsidRPr="00D75FE4">
              <w:t>$67,594</w:t>
            </w:r>
          </w:p>
        </w:tc>
      </w:tr>
      <w:tr w14:paraId="436B7E1F" w14:textId="77777777" w:rsidTr="00070D79">
        <w:tblPrEx>
          <w:tblW w:w="5454" w:type="pct"/>
          <w:tblLook w:val="04A0"/>
        </w:tblPrEx>
        <w:trPr>
          <w:trHeight w:val="285"/>
        </w:trPr>
        <w:tc>
          <w:tcPr>
            <w:tcW w:w="98" w:type="pct"/>
            <w:tcBorders>
              <w:top w:val="nil"/>
              <w:left w:val="single" w:sz="4" w:space="0" w:color="auto"/>
              <w:bottom w:val="single" w:sz="4" w:space="0" w:color="auto"/>
              <w:right w:val="nil"/>
            </w:tcBorders>
            <w:shd w:val="clear" w:color="auto" w:fill="auto"/>
            <w:vAlign w:val="bottom"/>
            <w:hideMark/>
          </w:tcPr>
          <w:p w:rsidR="004207DE" w:rsidRPr="004D52BC" w:rsidP="004207DE" w14:paraId="27A4DAE1" w14:textId="77777777">
            <w:r w:rsidRPr="004D52BC">
              <w:t> </w:t>
            </w:r>
          </w:p>
        </w:tc>
        <w:tc>
          <w:tcPr>
            <w:tcW w:w="98" w:type="pct"/>
            <w:tcBorders>
              <w:top w:val="nil"/>
              <w:left w:val="nil"/>
              <w:bottom w:val="single" w:sz="4" w:space="0" w:color="auto"/>
              <w:right w:val="nil"/>
            </w:tcBorders>
            <w:shd w:val="clear" w:color="auto" w:fill="auto"/>
            <w:vAlign w:val="bottom"/>
            <w:hideMark/>
          </w:tcPr>
          <w:p w:rsidR="004207DE" w:rsidRPr="004D52BC" w:rsidP="004207DE" w14:paraId="7A6DB064" w14:textId="77777777">
            <w:r w:rsidRPr="004D52BC">
              <w:t> </w:t>
            </w:r>
          </w:p>
        </w:tc>
        <w:tc>
          <w:tcPr>
            <w:tcW w:w="1691" w:type="pct"/>
            <w:tcBorders>
              <w:top w:val="nil"/>
              <w:left w:val="nil"/>
              <w:bottom w:val="single" w:sz="4" w:space="0" w:color="auto"/>
              <w:right w:val="nil"/>
            </w:tcBorders>
            <w:shd w:val="clear" w:color="auto" w:fill="auto"/>
            <w:vAlign w:val="bottom"/>
            <w:hideMark/>
          </w:tcPr>
          <w:p w:rsidR="004207DE" w:rsidRPr="004D52BC" w:rsidP="004207DE" w14:paraId="5D14F78B" w14:textId="77777777">
            <w:r w:rsidRPr="004D52BC">
              <w:t xml:space="preserve">WEC Applicable Facility: Regulatory compliance exemption filing </w:t>
            </w:r>
            <w:r w:rsidRPr="004D52BC">
              <w:rPr>
                <w:vertAlign w:val="superscript"/>
              </w:rPr>
              <w:t>f</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4207DE" w:rsidRPr="004D52BC" w:rsidP="00224F67" w14:paraId="08697C39" w14:textId="71D4BC31">
            <w:pPr>
              <w:jc w:val="right"/>
            </w:pPr>
            <w:r>
              <w:t>4</w:t>
            </w:r>
          </w:p>
        </w:tc>
        <w:tc>
          <w:tcPr>
            <w:tcW w:w="709" w:type="pct"/>
            <w:tcBorders>
              <w:top w:val="nil"/>
              <w:left w:val="nil"/>
              <w:bottom w:val="single" w:sz="4" w:space="0" w:color="auto"/>
              <w:right w:val="single" w:sz="4" w:space="0" w:color="auto"/>
            </w:tcBorders>
            <w:shd w:val="clear" w:color="auto" w:fill="auto"/>
            <w:vAlign w:val="center"/>
            <w:hideMark/>
          </w:tcPr>
          <w:p w:rsidR="004207DE" w:rsidRPr="004D52BC" w:rsidP="00224F67" w14:paraId="51CF3953" w14:textId="77777777">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4207DE" w:rsidRPr="004D52BC" w:rsidP="00224F67" w14:paraId="15D6FBD9" w14:textId="47D1E2A7">
            <w:pPr>
              <w:jc w:val="right"/>
            </w:pPr>
            <w:r>
              <w:t>4</w:t>
            </w:r>
          </w:p>
        </w:tc>
        <w:tc>
          <w:tcPr>
            <w:tcW w:w="637" w:type="pct"/>
            <w:tcBorders>
              <w:top w:val="nil"/>
              <w:left w:val="nil"/>
              <w:bottom w:val="single" w:sz="4" w:space="0" w:color="auto"/>
              <w:right w:val="single" w:sz="4" w:space="0" w:color="auto"/>
            </w:tcBorders>
            <w:shd w:val="clear" w:color="auto" w:fill="auto"/>
            <w:vAlign w:val="center"/>
            <w:hideMark/>
          </w:tcPr>
          <w:p w:rsidR="004207DE" w:rsidRPr="004D52BC" w:rsidP="00224F67" w14:paraId="73886D60" w14:textId="4D34FF2E">
            <w:pPr>
              <w:jc w:val="right"/>
            </w:pPr>
            <w:r w:rsidRPr="004D52BC">
              <w:t>0</w:t>
            </w:r>
          </w:p>
        </w:tc>
        <w:tc>
          <w:tcPr>
            <w:tcW w:w="574" w:type="pct"/>
            <w:tcBorders>
              <w:top w:val="nil"/>
              <w:left w:val="nil"/>
              <w:bottom w:val="single" w:sz="4" w:space="0" w:color="auto"/>
              <w:right w:val="single" w:sz="4" w:space="0" w:color="auto"/>
            </w:tcBorders>
            <w:shd w:val="clear" w:color="auto" w:fill="auto"/>
            <w:vAlign w:val="center"/>
            <w:hideMark/>
          </w:tcPr>
          <w:p w:rsidR="004207DE" w:rsidRPr="004D52BC" w:rsidP="00224F67" w14:paraId="53D8E8E5" w14:textId="62AE49DF">
            <w:pPr>
              <w:jc w:val="right"/>
            </w:pPr>
            <w:r w:rsidRPr="004D52BC">
              <w:t>$0</w:t>
            </w:r>
          </w:p>
        </w:tc>
      </w:tr>
      <w:tr w14:paraId="204C75F2" w14:textId="77777777" w:rsidTr="00070D79">
        <w:tblPrEx>
          <w:tblW w:w="5454" w:type="pct"/>
          <w:tblLook w:val="04A0"/>
        </w:tblPrEx>
        <w:trPr>
          <w:trHeight w:val="285"/>
        </w:trPr>
        <w:tc>
          <w:tcPr>
            <w:tcW w:w="98" w:type="pct"/>
            <w:tcBorders>
              <w:top w:val="nil"/>
              <w:left w:val="single" w:sz="4" w:space="0" w:color="auto"/>
              <w:bottom w:val="single" w:sz="4" w:space="0" w:color="auto"/>
              <w:right w:val="nil"/>
            </w:tcBorders>
            <w:shd w:val="clear" w:color="auto" w:fill="auto"/>
            <w:vAlign w:val="bottom"/>
            <w:hideMark/>
          </w:tcPr>
          <w:p w:rsidR="00224F67" w:rsidRPr="004D52BC" w:rsidP="00224F67" w14:paraId="0DD23871" w14:textId="77777777">
            <w:r w:rsidRPr="004D52BC">
              <w:t> </w:t>
            </w:r>
          </w:p>
        </w:tc>
        <w:tc>
          <w:tcPr>
            <w:tcW w:w="98" w:type="pct"/>
            <w:tcBorders>
              <w:top w:val="nil"/>
              <w:left w:val="nil"/>
              <w:bottom w:val="single" w:sz="4" w:space="0" w:color="auto"/>
              <w:right w:val="nil"/>
            </w:tcBorders>
            <w:shd w:val="clear" w:color="auto" w:fill="auto"/>
            <w:vAlign w:val="bottom"/>
            <w:hideMark/>
          </w:tcPr>
          <w:p w:rsidR="00224F67" w:rsidRPr="004D52BC" w:rsidP="00224F67" w14:paraId="54CBFDF9" w14:textId="77777777">
            <w:r w:rsidRPr="004D52BC">
              <w:t> </w:t>
            </w:r>
          </w:p>
        </w:tc>
        <w:tc>
          <w:tcPr>
            <w:tcW w:w="1691" w:type="pct"/>
            <w:tcBorders>
              <w:top w:val="nil"/>
              <w:left w:val="nil"/>
              <w:bottom w:val="single" w:sz="4" w:space="0" w:color="auto"/>
              <w:right w:val="nil"/>
            </w:tcBorders>
            <w:shd w:val="clear" w:color="auto" w:fill="auto"/>
            <w:vAlign w:val="bottom"/>
            <w:hideMark/>
          </w:tcPr>
          <w:p w:rsidR="00224F67" w:rsidRPr="004D52BC" w:rsidP="00224F67" w14:paraId="30DB18C4" w14:textId="77777777">
            <w:r w:rsidRPr="004D52BC">
              <w:t xml:space="preserve">WEC Applicable Facility: Unreasonable delay exemption filing </w:t>
            </w:r>
            <w:r w:rsidRPr="004D52BC">
              <w:rPr>
                <w:vertAlign w:val="superscript"/>
              </w:rPr>
              <w:t>g</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224F67" w:rsidRPr="004D52BC" w:rsidP="00224F67" w14:paraId="6051F2D7" w14:textId="4B58621C">
            <w:pPr>
              <w:jc w:val="right"/>
            </w:pPr>
            <w:r w:rsidRPr="004D52BC">
              <w:t>10</w:t>
            </w:r>
          </w:p>
        </w:tc>
        <w:tc>
          <w:tcPr>
            <w:tcW w:w="709" w:type="pct"/>
            <w:tcBorders>
              <w:top w:val="nil"/>
              <w:left w:val="nil"/>
              <w:bottom w:val="single" w:sz="4" w:space="0" w:color="auto"/>
              <w:right w:val="single" w:sz="4" w:space="0" w:color="auto"/>
            </w:tcBorders>
            <w:shd w:val="clear" w:color="auto" w:fill="auto"/>
            <w:vAlign w:val="center"/>
            <w:hideMark/>
          </w:tcPr>
          <w:p w:rsidR="00224F67" w:rsidRPr="004D52BC" w:rsidP="00224F67" w14:paraId="42DE0190" w14:textId="18B89F7F">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224F67" w:rsidRPr="004D52BC" w:rsidP="00224F67" w14:paraId="59EEDAE3" w14:textId="0A8838C4">
            <w:pPr>
              <w:jc w:val="right"/>
            </w:pPr>
            <w:r w:rsidRPr="004D52BC">
              <w:t>10</w:t>
            </w:r>
          </w:p>
        </w:tc>
        <w:tc>
          <w:tcPr>
            <w:tcW w:w="637" w:type="pct"/>
            <w:tcBorders>
              <w:top w:val="nil"/>
              <w:left w:val="nil"/>
              <w:bottom w:val="single" w:sz="4" w:space="0" w:color="auto"/>
              <w:right w:val="single" w:sz="4" w:space="0" w:color="auto"/>
            </w:tcBorders>
            <w:shd w:val="clear" w:color="auto" w:fill="auto"/>
            <w:vAlign w:val="center"/>
            <w:hideMark/>
          </w:tcPr>
          <w:p w:rsidR="00224F67" w:rsidRPr="004D52BC" w:rsidP="00224F67" w14:paraId="3B500DAF" w14:textId="195F131A">
            <w:pPr>
              <w:jc w:val="right"/>
            </w:pPr>
            <w:r w:rsidRPr="003C2812">
              <w:t>28</w:t>
            </w:r>
          </w:p>
        </w:tc>
        <w:tc>
          <w:tcPr>
            <w:tcW w:w="574" w:type="pct"/>
            <w:tcBorders>
              <w:top w:val="nil"/>
              <w:left w:val="nil"/>
              <w:bottom w:val="single" w:sz="4" w:space="0" w:color="auto"/>
              <w:right w:val="single" w:sz="4" w:space="0" w:color="auto"/>
            </w:tcBorders>
            <w:shd w:val="clear" w:color="auto" w:fill="auto"/>
            <w:vAlign w:val="center"/>
            <w:hideMark/>
          </w:tcPr>
          <w:p w:rsidR="00224F67" w:rsidRPr="004D52BC" w:rsidP="00224F67" w14:paraId="0929B68A" w14:textId="3ACD5E83">
            <w:pPr>
              <w:jc w:val="right"/>
            </w:pPr>
            <w:r w:rsidRPr="00387443">
              <w:t>$39,595</w:t>
            </w:r>
          </w:p>
        </w:tc>
      </w:tr>
      <w:tr w14:paraId="3A2F3A85" w14:textId="77777777" w:rsidTr="00C65581">
        <w:tblPrEx>
          <w:tblW w:w="5454" w:type="pct"/>
          <w:tblLook w:val="04A0"/>
        </w:tblPrEx>
        <w:trPr>
          <w:trHeight w:val="64"/>
        </w:trPr>
        <w:tc>
          <w:tcPr>
            <w:tcW w:w="98" w:type="pct"/>
            <w:tcBorders>
              <w:top w:val="nil"/>
              <w:left w:val="single" w:sz="4" w:space="0" w:color="auto"/>
              <w:bottom w:val="single" w:sz="4" w:space="0" w:color="auto"/>
              <w:right w:val="nil"/>
            </w:tcBorders>
            <w:shd w:val="clear" w:color="auto" w:fill="auto"/>
            <w:vAlign w:val="bottom"/>
            <w:hideMark/>
          </w:tcPr>
          <w:p w:rsidR="00224F67" w:rsidRPr="004D52BC" w:rsidP="00224F67" w14:paraId="30558607" w14:textId="77777777">
            <w:r w:rsidRPr="004D52BC">
              <w:t> </w:t>
            </w:r>
          </w:p>
        </w:tc>
        <w:tc>
          <w:tcPr>
            <w:tcW w:w="98" w:type="pct"/>
            <w:tcBorders>
              <w:top w:val="nil"/>
              <w:left w:val="nil"/>
              <w:bottom w:val="single" w:sz="4" w:space="0" w:color="auto"/>
              <w:right w:val="nil"/>
            </w:tcBorders>
            <w:shd w:val="clear" w:color="auto" w:fill="auto"/>
            <w:vAlign w:val="bottom"/>
            <w:hideMark/>
          </w:tcPr>
          <w:p w:rsidR="00224F67" w:rsidRPr="004D52BC" w:rsidP="00224F67" w14:paraId="5C038E76" w14:textId="77777777">
            <w:r w:rsidRPr="004D52BC">
              <w:t> </w:t>
            </w:r>
          </w:p>
        </w:tc>
        <w:tc>
          <w:tcPr>
            <w:tcW w:w="1691" w:type="pct"/>
            <w:tcBorders>
              <w:top w:val="nil"/>
              <w:left w:val="nil"/>
              <w:bottom w:val="single" w:sz="4" w:space="0" w:color="auto"/>
              <w:right w:val="nil"/>
            </w:tcBorders>
            <w:shd w:val="clear" w:color="auto" w:fill="auto"/>
            <w:vAlign w:val="bottom"/>
            <w:hideMark/>
          </w:tcPr>
          <w:p w:rsidR="00224F67" w:rsidRPr="004D52BC" w:rsidP="00224F67" w14:paraId="0F7D2F7E" w14:textId="77777777">
            <w:r w:rsidRPr="004D52BC">
              <w:t xml:space="preserve">WEC Applicable Facility: Plugged well exemption filing </w:t>
            </w:r>
            <w:r w:rsidRPr="004D52BC">
              <w:rPr>
                <w:vertAlign w:val="superscript"/>
              </w:rPr>
              <w:t>h</w:t>
            </w:r>
          </w:p>
        </w:tc>
        <w:tc>
          <w:tcPr>
            <w:tcW w:w="501" w:type="pct"/>
            <w:tcBorders>
              <w:top w:val="nil"/>
              <w:left w:val="single" w:sz="4" w:space="0" w:color="auto"/>
              <w:bottom w:val="single" w:sz="4" w:space="0" w:color="auto"/>
              <w:right w:val="single" w:sz="4" w:space="0" w:color="auto"/>
            </w:tcBorders>
            <w:shd w:val="clear" w:color="auto" w:fill="auto"/>
            <w:vAlign w:val="center"/>
            <w:hideMark/>
          </w:tcPr>
          <w:p w:rsidR="00224F67" w:rsidRPr="004D52BC" w:rsidP="00224F67" w14:paraId="5093BA75" w14:textId="66907A27">
            <w:pPr>
              <w:jc w:val="right"/>
            </w:pPr>
            <w:r>
              <w:t>6</w:t>
            </w:r>
          </w:p>
        </w:tc>
        <w:tc>
          <w:tcPr>
            <w:tcW w:w="709" w:type="pct"/>
            <w:tcBorders>
              <w:top w:val="nil"/>
              <w:left w:val="nil"/>
              <w:bottom w:val="single" w:sz="4" w:space="0" w:color="auto"/>
              <w:right w:val="single" w:sz="4" w:space="0" w:color="auto"/>
            </w:tcBorders>
            <w:shd w:val="clear" w:color="auto" w:fill="auto"/>
            <w:vAlign w:val="center"/>
            <w:hideMark/>
          </w:tcPr>
          <w:p w:rsidR="00224F67" w:rsidRPr="004D52BC" w:rsidP="00224F67" w14:paraId="4E64F17F" w14:textId="350E07C8">
            <w:pPr>
              <w:jc w:val="right"/>
            </w:pPr>
            <w:r w:rsidRPr="004D52BC">
              <w:t>1</w:t>
            </w:r>
          </w:p>
        </w:tc>
        <w:tc>
          <w:tcPr>
            <w:tcW w:w="692" w:type="pct"/>
            <w:tcBorders>
              <w:top w:val="nil"/>
              <w:left w:val="nil"/>
              <w:bottom w:val="single" w:sz="4" w:space="0" w:color="auto"/>
              <w:right w:val="single" w:sz="4" w:space="0" w:color="auto"/>
            </w:tcBorders>
            <w:shd w:val="clear" w:color="auto" w:fill="auto"/>
            <w:vAlign w:val="center"/>
            <w:hideMark/>
          </w:tcPr>
          <w:p w:rsidR="00224F67" w:rsidRPr="004D52BC" w:rsidP="00224F67" w14:paraId="11916A8F" w14:textId="591F0796">
            <w:pPr>
              <w:jc w:val="right"/>
            </w:pPr>
            <w:r>
              <w:t>6</w:t>
            </w:r>
          </w:p>
        </w:tc>
        <w:tc>
          <w:tcPr>
            <w:tcW w:w="637" w:type="pct"/>
            <w:tcBorders>
              <w:top w:val="nil"/>
              <w:left w:val="nil"/>
              <w:bottom w:val="single" w:sz="4" w:space="0" w:color="auto"/>
              <w:right w:val="single" w:sz="4" w:space="0" w:color="auto"/>
            </w:tcBorders>
            <w:shd w:val="clear" w:color="auto" w:fill="auto"/>
            <w:vAlign w:val="center"/>
            <w:hideMark/>
          </w:tcPr>
          <w:p w:rsidR="00224F67" w:rsidRPr="004D52BC" w:rsidP="00224F67" w14:paraId="12B1A620" w14:textId="3245FD75">
            <w:pPr>
              <w:jc w:val="right"/>
            </w:pPr>
            <w:r w:rsidRPr="003C2812">
              <w:t>110</w:t>
            </w:r>
          </w:p>
        </w:tc>
        <w:tc>
          <w:tcPr>
            <w:tcW w:w="574" w:type="pct"/>
            <w:tcBorders>
              <w:top w:val="nil"/>
              <w:left w:val="nil"/>
              <w:bottom w:val="single" w:sz="4" w:space="0" w:color="auto"/>
              <w:right w:val="single" w:sz="4" w:space="0" w:color="auto"/>
            </w:tcBorders>
            <w:shd w:val="clear" w:color="auto" w:fill="auto"/>
            <w:vAlign w:val="center"/>
            <w:hideMark/>
          </w:tcPr>
          <w:p w:rsidR="00224F67" w:rsidRPr="004D52BC" w:rsidP="00224F67" w14:paraId="443ED99D" w14:textId="328BF93F">
            <w:pPr>
              <w:jc w:val="right"/>
            </w:pPr>
            <w:r w:rsidRPr="00387443">
              <w:t>$93,331</w:t>
            </w:r>
          </w:p>
        </w:tc>
      </w:tr>
      <w:tr w14:paraId="554AA96B" w14:textId="77777777" w:rsidTr="00C65581">
        <w:tblPrEx>
          <w:tblW w:w="5454" w:type="pct"/>
          <w:tblLook w:val="04A0"/>
        </w:tblPrEx>
        <w:trPr>
          <w:trHeight w:val="64"/>
        </w:trPr>
        <w:tc>
          <w:tcPr>
            <w:tcW w:w="98" w:type="pct"/>
            <w:tcBorders>
              <w:top w:val="single" w:sz="4" w:space="0" w:color="auto"/>
              <w:left w:val="single" w:sz="4" w:space="0" w:color="auto"/>
              <w:bottom w:val="single" w:sz="4" w:space="0" w:color="auto"/>
            </w:tcBorders>
            <w:shd w:val="clear" w:color="auto" w:fill="auto"/>
            <w:vAlign w:val="bottom"/>
            <w:hideMark/>
          </w:tcPr>
          <w:p w:rsidR="00224F67" w:rsidRPr="004D52BC" w:rsidP="00224F67" w14:paraId="40E4DC07" w14:textId="77777777">
            <w:r w:rsidRPr="004D52BC">
              <w:t> </w:t>
            </w:r>
          </w:p>
        </w:tc>
        <w:tc>
          <w:tcPr>
            <w:tcW w:w="98" w:type="pct"/>
            <w:tcBorders>
              <w:top w:val="single" w:sz="4" w:space="0" w:color="auto"/>
              <w:bottom w:val="single" w:sz="4" w:space="0" w:color="auto"/>
            </w:tcBorders>
            <w:shd w:val="clear" w:color="auto" w:fill="auto"/>
            <w:vAlign w:val="bottom"/>
            <w:hideMark/>
          </w:tcPr>
          <w:p w:rsidR="00224F67" w:rsidRPr="004D52BC" w:rsidP="00224F67" w14:paraId="26D9DEF9" w14:textId="77777777">
            <w:r w:rsidRPr="004D52BC">
              <w:t> </w:t>
            </w:r>
          </w:p>
        </w:tc>
        <w:tc>
          <w:tcPr>
            <w:tcW w:w="1691" w:type="pct"/>
            <w:tcBorders>
              <w:top w:val="single" w:sz="4" w:space="0" w:color="auto"/>
              <w:left w:val="nil"/>
              <w:bottom w:val="single" w:sz="4" w:space="0" w:color="auto"/>
              <w:right w:val="single" w:sz="4" w:space="0" w:color="auto"/>
            </w:tcBorders>
            <w:shd w:val="clear" w:color="auto" w:fill="auto"/>
            <w:vAlign w:val="bottom"/>
            <w:hideMark/>
          </w:tcPr>
          <w:p w:rsidR="00224F67" w:rsidRPr="004D52BC" w:rsidP="00224F67" w14:paraId="0F4BB58D" w14:textId="77777777">
            <w:r w:rsidRPr="004D52BC">
              <w:t>WEC Obligated Party: Annual WEC filing through electronic submittal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F67" w:rsidRPr="004D52BC" w:rsidP="00224F67" w14:paraId="66809373" w14:textId="77777777">
            <w:pPr>
              <w:jc w:val="right"/>
            </w:pPr>
            <w:r w:rsidRPr="004D52BC">
              <w:t>4</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F67" w:rsidRPr="004D52BC" w:rsidP="00224F67" w14:paraId="6DA58994" w14:textId="77777777">
            <w:pPr>
              <w:jc w:val="right"/>
            </w:pPr>
            <w:r w:rsidRPr="004D52BC">
              <w:t>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F67" w:rsidRPr="004D52BC" w:rsidP="00224F67" w14:paraId="029BD4B3" w14:textId="4FE31211">
            <w:pPr>
              <w:jc w:val="right"/>
            </w:pPr>
            <w:r w:rsidRPr="004D52BC">
              <w:t>4</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F67" w:rsidRPr="004D52BC" w:rsidP="00224F67" w14:paraId="2F3B9A17" w14:textId="2E479469">
            <w:pPr>
              <w:jc w:val="right"/>
            </w:pPr>
            <w:r>
              <w:t>535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F67" w:rsidRPr="004D52BC" w:rsidP="00224F67" w14:paraId="1C932DA4" w14:textId="24A7AD50">
            <w:pPr>
              <w:jc w:val="right"/>
            </w:pPr>
            <w:r w:rsidRPr="00285610">
              <w:t>$302,618</w:t>
            </w:r>
          </w:p>
        </w:tc>
      </w:tr>
      <w:tr w14:paraId="0F9433F0" w14:textId="77777777" w:rsidTr="00C65581">
        <w:tblPrEx>
          <w:tblW w:w="5454" w:type="pct"/>
          <w:tblLook w:val="04A0"/>
        </w:tblPrEx>
        <w:trPr>
          <w:trHeight w:val="64"/>
        </w:trPr>
        <w:tc>
          <w:tcPr>
            <w:tcW w:w="98" w:type="pct"/>
            <w:tcBorders>
              <w:top w:val="single" w:sz="4" w:space="0" w:color="auto"/>
              <w:left w:val="single" w:sz="4" w:space="0" w:color="auto"/>
              <w:bottom w:val="single" w:sz="4" w:space="0" w:color="auto"/>
            </w:tcBorders>
            <w:shd w:val="clear" w:color="auto" w:fill="auto"/>
            <w:vAlign w:val="bottom"/>
          </w:tcPr>
          <w:p w:rsidR="007C758A" w:rsidRPr="004D52BC" w:rsidP="00224F67" w14:paraId="27E461DD" w14:textId="77777777"/>
        </w:tc>
        <w:tc>
          <w:tcPr>
            <w:tcW w:w="98" w:type="pct"/>
            <w:tcBorders>
              <w:top w:val="single" w:sz="4" w:space="0" w:color="auto"/>
              <w:bottom w:val="single" w:sz="4" w:space="0" w:color="auto"/>
            </w:tcBorders>
            <w:shd w:val="clear" w:color="auto" w:fill="auto"/>
            <w:vAlign w:val="bottom"/>
          </w:tcPr>
          <w:p w:rsidR="007C758A" w:rsidRPr="004D52BC" w:rsidP="00224F67" w14:paraId="7F8B2E4D" w14:textId="77777777"/>
        </w:tc>
        <w:tc>
          <w:tcPr>
            <w:tcW w:w="1691" w:type="pct"/>
            <w:tcBorders>
              <w:top w:val="single" w:sz="4" w:space="0" w:color="auto"/>
              <w:left w:val="nil"/>
              <w:bottom w:val="single" w:sz="4" w:space="0" w:color="auto"/>
              <w:right w:val="single" w:sz="4" w:space="0" w:color="auto"/>
            </w:tcBorders>
            <w:shd w:val="clear" w:color="auto" w:fill="auto"/>
            <w:vAlign w:val="bottom"/>
          </w:tcPr>
          <w:p w:rsidR="007C758A" w:rsidRPr="004D52BC" w:rsidP="007C758A" w14:paraId="197C4A11" w14:textId="0B1E90DF">
            <w:r w:rsidRPr="007C758A">
              <w:t xml:space="preserve">Incremental Reporting to Subpart A for Subpart W Reporters </w:t>
            </w:r>
            <w:r w:rsidRPr="007C758A">
              <w:rPr>
                <w:vertAlign w:val="superscript"/>
              </w:rPr>
              <w:t>i</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7C758A" w:rsidRPr="004D52BC" w:rsidP="00224F67" w14:paraId="50323F06" w14:textId="762966CE">
            <w:pPr>
              <w:jc w:val="right"/>
            </w:pPr>
            <w:r>
              <w:t>0.05</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7C758A" w:rsidRPr="004D52BC" w:rsidP="00224F67" w14:paraId="32A8A2A5" w14:textId="2D59DA75">
            <w:pPr>
              <w:jc w:val="right"/>
            </w:pPr>
            <w:r>
              <w:t>1</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7C758A" w:rsidRPr="004D52BC" w:rsidP="00224F67" w14:paraId="0A746923" w14:textId="02DF464D">
            <w:pPr>
              <w:jc w:val="right"/>
            </w:pPr>
            <w:r>
              <w:t>0.05</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7C758A" w:rsidP="00224F67" w14:paraId="2EF22B59" w14:textId="671128D5">
            <w:pPr>
              <w:jc w:val="right"/>
            </w:pPr>
            <w:r>
              <w:t>3</w:t>
            </w:r>
            <w:r w:rsidR="00EC18F6">
              <w:t>,105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7C758A" w:rsidRPr="00285610" w:rsidP="00080E95" w14:paraId="1B75C1B0" w14:textId="472ED398">
            <w:pPr>
              <w:jc w:val="right"/>
            </w:pPr>
            <w:r w:rsidRPr="00080E95">
              <w:t>$21,954</w:t>
            </w:r>
          </w:p>
        </w:tc>
      </w:tr>
    </w:tbl>
    <w:p w:rsidR="00D1272F" w:rsidRPr="004D52BC" w14:paraId="3CA73B0F" w14:textId="77777777">
      <w:pPr>
        <w:rPr>
          <w:b/>
          <w:bCs/>
        </w:rPr>
      </w:pPr>
      <w:r w:rsidRPr="004D52BC">
        <w:rPr>
          <w:b/>
          <w:bCs/>
        </w:rPr>
        <w:br w:type="page"/>
      </w:r>
    </w:p>
    <w:p w:rsidR="008459A5" w:rsidRPr="004D52BC" w:rsidP="00562220" w14:paraId="5E782DCE" w14:textId="4C62FACB">
      <w:pPr>
        <w:outlineLvl w:val="1"/>
        <w:rPr>
          <w:b/>
          <w:bCs/>
        </w:rPr>
      </w:pPr>
      <w:r w:rsidRPr="004D52BC">
        <w:rPr>
          <w:b/>
          <w:bCs/>
        </w:rPr>
        <w:t xml:space="preserve">Table 2. </w:t>
      </w:r>
      <w:r w:rsidRPr="004D52BC" w:rsidR="00193975">
        <w:rPr>
          <w:b/>
          <w:bCs/>
        </w:rPr>
        <w:t xml:space="preserve">Part 99 </w:t>
      </w:r>
      <w:r w:rsidRPr="004D52BC" w:rsidR="001B5C91">
        <w:rPr>
          <w:b/>
          <w:bCs/>
        </w:rPr>
        <w:t>Recordkeeping</w:t>
      </w:r>
      <w:r w:rsidRPr="004D52BC" w:rsidR="00193975">
        <w:rPr>
          <w:b/>
          <w:bCs/>
        </w:rPr>
        <w:t xml:space="preserve"> Costs by WEC Applicable Facility Industry Segment and WEC Obligated Party</w:t>
      </w:r>
      <w:r w:rsidRPr="004D52BC" w:rsidR="00E409C8">
        <w:rPr>
          <w:b/>
          <w:bCs/>
        </w:rPr>
        <w:t>, Year 2</w:t>
      </w:r>
      <w:r w:rsidRPr="004D52BC" w:rsidR="00193975">
        <w:rPr>
          <w:b/>
          <w:bCs/>
        </w:rPr>
        <w:t>.</w:t>
      </w:r>
    </w:p>
    <w:tbl>
      <w:tblPr>
        <w:tblW w:w="14215" w:type="dxa"/>
        <w:tblLook w:val="04A0"/>
      </w:tblPr>
      <w:tblGrid>
        <w:gridCol w:w="281"/>
        <w:gridCol w:w="5648"/>
        <w:gridCol w:w="1439"/>
        <w:gridCol w:w="2003"/>
        <w:gridCol w:w="1874"/>
        <w:gridCol w:w="1620"/>
        <w:gridCol w:w="1350"/>
      </w:tblGrid>
      <w:tr w14:paraId="2DADDBD5" w14:textId="77777777" w:rsidTr="00285610">
        <w:tblPrEx>
          <w:tblW w:w="14215" w:type="dxa"/>
          <w:tblLook w:val="04A0"/>
        </w:tblPrEx>
        <w:trPr>
          <w:trHeight w:val="720"/>
        </w:trPr>
        <w:tc>
          <w:tcPr>
            <w:tcW w:w="592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B25B5" w:rsidRPr="004D52BC" w14:paraId="3A6B7AF1" w14:textId="08311F7B">
            <w:pPr>
              <w:jc w:val="center"/>
              <w:rPr>
                <w:b/>
                <w:bCs/>
                <w:color w:val="000000"/>
              </w:rPr>
            </w:pPr>
            <w:r w:rsidRPr="004D52BC">
              <w:rPr>
                <w:b/>
                <w:bCs/>
                <w:color w:val="000000"/>
              </w:rPr>
              <w:t>Year 1</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6B25B5" w:rsidRPr="004D52BC" w14:paraId="485855E7" w14:textId="77777777">
            <w:pPr>
              <w:jc w:val="center"/>
              <w:rPr>
                <w:b/>
                <w:bCs/>
                <w:color w:val="000000"/>
              </w:rPr>
            </w:pPr>
            <w:r w:rsidRPr="004D52BC">
              <w:rPr>
                <w:b/>
                <w:bCs/>
                <w:color w:val="000000"/>
              </w:rPr>
              <w:t>(A)  Hours per Occurrence</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B25B5" w:rsidRPr="004D52BC" w14:paraId="7FE45D66" w14:textId="77777777">
            <w:pPr>
              <w:jc w:val="center"/>
              <w:rPr>
                <w:b/>
                <w:bCs/>
                <w:color w:val="000000"/>
              </w:rPr>
            </w:pPr>
            <w:r w:rsidRPr="004D52BC">
              <w:rPr>
                <w:b/>
                <w:bCs/>
                <w:color w:val="000000"/>
              </w:rPr>
              <w:t>(B)  Occurrences/ Respondent/Year</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6B25B5" w:rsidRPr="004D52BC" w14:paraId="76E01421" w14:textId="77777777">
            <w:pPr>
              <w:jc w:val="center"/>
              <w:rPr>
                <w:b/>
                <w:bCs/>
                <w:color w:val="000000"/>
              </w:rPr>
            </w:pPr>
            <w:r w:rsidRPr="004D52BC">
              <w:rPr>
                <w:b/>
                <w:bCs/>
                <w:color w:val="000000"/>
              </w:rPr>
              <w:t xml:space="preserve">(C)  Hours/ Respondent/ </w:t>
            </w:r>
            <w:r w:rsidRPr="004D52BC">
              <w:rPr>
                <w:b/>
                <w:bCs/>
                <w:color w:val="000000"/>
              </w:rPr>
              <w:br/>
              <w:t>Year (A x B)</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B25B5" w:rsidRPr="004D52BC" w14:paraId="0D711C6B" w14:textId="77777777">
            <w:pPr>
              <w:jc w:val="center"/>
              <w:rPr>
                <w:b/>
                <w:bCs/>
                <w:color w:val="000000"/>
              </w:rPr>
            </w:pPr>
            <w:r w:rsidRPr="004D52BC">
              <w:rPr>
                <w:b/>
                <w:bCs/>
                <w:color w:val="000000"/>
              </w:rPr>
              <w:t>(D)  Respondents/ Year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B25B5" w:rsidRPr="004D52BC" w14:paraId="475BF409" w14:textId="77777777">
            <w:pPr>
              <w:jc w:val="center"/>
              <w:rPr>
                <w:b/>
                <w:bCs/>
              </w:rPr>
            </w:pPr>
            <w:r w:rsidRPr="004D52BC">
              <w:rPr>
                <w:b/>
                <w:bCs/>
              </w:rPr>
              <w:t>(H)  Cost/ Year</w:t>
            </w:r>
          </w:p>
        </w:tc>
      </w:tr>
      <w:tr w14:paraId="243A9D00" w14:textId="77777777" w:rsidTr="00285610">
        <w:tblPrEx>
          <w:tblW w:w="14215" w:type="dxa"/>
          <w:tblLook w:val="04A0"/>
        </w:tblPrEx>
        <w:trPr>
          <w:trHeight w:val="240"/>
        </w:trPr>
        <w:tc>
          <w:tcPr>
            <w:tcW w:w="5929" w:type="dxa"/>
            <w:gridSpan w:val="2"/>
            <w:tcBorders>
              <w:top w:val="single" w:sz="4" w:space="0" w:color="auto"/>
              <w:left w:val="single" w:sz="4" w:space="0" w:color="auto"/>
              <w:bottom w:val="single" w:sz="4" w:space="0" w:color="auto"/>
              <w:right w:val="nil"/>
            </w:tcBorders>
            <w:shd w:val="clear" w:color="auto" w:fill="auto"/>
            <w:vAlign w:val="bottom"/>
            <w:hideMark/>
          </w:tcPr>
          <w:p w:rsidR="006B25B5" w:rsidRPr="004D52BC" w14:paraId="01D736B3" w14:textId="77777777">
            <w:r w:rsidRPr="004D52BC">
              <w:t>5. RECORDKEEPING REQUIREMENTS</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6B25B5" w:rsidRPr="004D52BC" w14:paraId="385A2CF9" w14:textId="77777777">
            <w:r w:rsidRPr="004D52BC">
              <w:t> </w:t>
            </w:r>
          </w:p>
        </w:tc>
        <w:tc>
          <w:tcPr>
            <w:tcW w:w="2003" w:type="dxa"/>
            <w:tcBorders>
              <w:top w:val="nil"/>
              <w:left w:val="nil"/>
              <w:bottom w:val="single" w:sz="4" w:space="0" w:color="auto"/>
              <w:right w:val="single" w:sz="4" w:space="0" w:color="auto"/>
            </w:tcBorders>
            <w:shd w:val="clear" w:color="auto" w:fill="auto"/>
            <w:vAlign w:val="bottom"/>
            <w:hideMark/>
          </w:tcPr>
          <w:p w:rsidR="006B25B5" w:rsidRPr="004D52BC" w14:paraId="767C0BEC" w14:textId="77777777">
            <w:r w:rsidRPr="004D52BC">
              <w:t> </w:t>
            </w:r>
          </w:p>
        </w:tc>
        <w:tc>
          <w:tcPr>
            <w:tcW w:w="1874" w:type="dxa"/>
            <w:tcBorders>
              <w:top w:val="nil"/>
              <w:left w:val="nil"/>
              <w:bottom w:val="single" w:sz="4" w:space="0" w:color="auto"/>
              <w:right w:val="single" w:sz="4" w:space="0" w:color="auto"/>
            </w:tcBorders>
            <w:shd w:val="clear" w:color="auto" w:fill="auto"/>
            <w:vAlign w:val="bottom"/>
            <w:hideMark/>
          </w:tcPr>
          <w:p w:rsidR="006B25B5" w:rsidRPr="004D52BC" w14:paraId="0FE247CF" w14:textId="77777777">
            <w:r w:rsidRPr="004D52BC">
              <w:t> </w:t>
            </w:r>
          </w:p>
        </w:tc>
        <w:tc>
          <w:tcPr>
            <w:tcW w:w="1620" w:type="dxa"/>
            <w:tcBorders>
              <w:top w:val="nil"/>
              <w:left w:val="nil"/>
              <w:bottom w:val="single" w:sz="4" w:space="0" w:color="auto"/>
              <w:right w:val="single" w:sz="4" w:space="0" w:color="auto"/>
            </w:tcBorders>
            <w:shd w:val="clear" w:color="auto" w:fill="auto"/>
            <w:vAlign w:val="bottom"/>
            <w:hideMark/>
          </w:tcPr>
          <w:p w:rsidR="006B25B5" w:rsidRPr="004D52BC" w14:paraId="76E99967" w14:textId="77777777">
            <w:r w:rsidRPr="004D52BC">
              <w:t> </w:t>
            </w:r>
          </w:p>
        </w:tc>
        <w:tc>
          <w:tcPr>
            <w:tcW w:w="1350" w:type="dxa"/>
            <w:tcBorders>
              <w:top w:val="nil"/>
              <w:left w:val="nil"/>
              <w:bottom w:val="single" w:sz="4" w:space="0" w:color="auto"/>
              <w:right w:val="single" w:sz="4" w:space="0" w:color="auto"/>
            </w:tcBorders>
            <w:shd w:val="clear" w:color="auto" w:fill="auto"/>
            <w:vAlign w:val="bottom"/>
            <w:hideMark/>
          </w:tcPr>
          <w:p w:rsidR="006B25B5" w:rsidRPr="004D52BC" w14:paraId="7AAEF003" w14:textId="77777777">
            <w:pPr>
              <w:jc w:val="right"/>
            </w:pPr>
            <w:r w:rsidRPr="004D52BC">
              <w:t>$0</w:t>
            </w:r>
          </w:p>
        </w:tc>
      </w:tr>
      <w:tr w14:paraId="68268A4F" w14:textId="77777777" w:rsidTr="00285610">
        <w:tblPrEx>
          <w:tblW w:w="14215" w:type="dxa"/>
          <w:tblLook w:val="04A0"/>
        </w:tblPrEx>
        <w:trPr>
          <w:trHeight w:val="240"/>
        </w:trPr>
        <w:tc>
          <w:tcPr>
            <w:tcW w:w="281" w:type="dxa"/>
            <w:tcBorders>
              <w:top w:val="single" w:sz="4" w:space="0" w:color="auto"/>
              <w:left w:val="single" w:sz="4" w:space="0" w:color="auto"/>
              <w:bottom w:val="single" w:sz="4" w:space="0" w:color="auto"/>
              <w:right w:val="nil"/>
            </w:tcBorders>
            <w:shd w:val="clear" w:color="auto" w:fill="auto"/>
            <w:vAlign w:val="bottom"/>
            <w:hideMark/>
          </w:tcPr>
          <w:p w:rsidR="006B25B5" w:rsidRPr="004D52BC" w14:paraId="77A5D0DA" w14:textId="77777777">
            <w:r w:rsidRPr="004D52BC">
              <w:t> </w:t>
            </w:r>
          </w:p>
        </w:tc>
        <w:tc>
          <w:tcPr>
            <w:tcW w:w="5648" w:type="dxa"/>
            <w:tcBorders>
              <w:top w:val="single" w:sz="4" w:space="0" w:color="auto"/>
              <w:left w:val="nil"/>
              <w:bottom w:val="single" w:sz="4" w:space="0" w:color="auto"/>
              <w:right w:val="single" w:sz="4" w:space="0" w:color="auto"/>
            </w:tcBorders>
            <w:shd w:val="clear" w:color="auto" w:fill="auto"/>
            <w:vAlign w:val="bottom"/>
            <w:hideMark/>
          </w:tcPr>
          <w:p w:rsidR="006B25B5" w:rsidRPr="004D52BC" w14:paraId="2F4A42D1" w14:textId="77777777">
            <w:r w:rsidRPr="004D52BC">
              <w:t>A. Read Instructions (Included in 4A)</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6B25B5" w:rsidRPr="004D52BC" w14:paraId="4EF21D13" w14:textId="77777777">
            <w:r w:rsidRPr="004D52BC">
              <w:t> </w:t>
            </w:r>
          </w:p>
        </w:tc>
        <w:tc>
          <w:tcPr>
            <w:tcW w:w="2003" w:type="dxa"/>
            <w:tcBorders>
              <w:top w:val="nil"/>
              <w:left w:val="nil"/>
              <w:bottom w:val="single" w:sz="4" w:space="0" w:color="auto"/>
              <w:right w:val="single" w:sz="4" w:space="0" w:color="auto"/>
            </w:tcBorders>
            <w:shd w:val="clear" w:color="auto" w:fill="auto"/>
            <w:vAlign w:val="bottom"/>
            <w:hideMark/>
          </w:tcPr>
          <w:p w:rsidR="006B25B5" w:rsidRPr="004D52BC" w14:paraId="395230E1" w14:textId="77777777">
            <w:r w:rsidRPr="004D52BC">
              <w:t> </w:t>
            </w:r>
          </w:p>
        </w:tc>
        <w:tc>
          <w:tcPr>
            <w:tcW w:w="1874" w:type="dxa"/>
            <w:tcBorders>
              <w:top w:val="nil"/>
              <w:left w:val="nil"/>
              <w:bottom w:val="single" w:sz="4" w:space="0" w:color="auto"/>
              <w:right w:val="single" w:sz="4" w:space="0" w:color="auto"/>
            </w:tcBorders>
            <w:shd w:val="clear" w:color="auto" w:fill="auto"/>
            <w:vAlign w:val="bottom"/>
            <w:hideMark/>
          </w:tcPr>
          <w:p w:rsidR="006B25B5" w:rsidRPr="004D52BC" w14:paraId="2129EC73" w14:textId="77777777">
            <w:r w:rsidRPr="004D52BC">
              <w:t> </w:t>
            </w:r>
          </w:p>
        </w:tc>
        <w:tc>
          <w:tcPr>
            <w:tcW w:w="1620" w:type="dxa"/>
            <w:tcBorders>
              <w:top w:val="nil"/>
              <w:left w:val="nil"/>
              <w:bottom w:val="single" w:sz="4" w:space="0" w:color="auto"/>
              <w:right w:val="single" w:sz="4" w:space="0" w:color="auto"/>
            </w:tcBorders>
            <w:shd w:val="clear" w:color="auto" w:fill="auto"/>
            <w:vAlign w:val="bottom"/>
            <w:hideMark/>
          </w:tcPr>
          <w:p w:rsidR="006B25B5" w:rsidRPr="004D52BC" w14:paraId="6060C0E8" w14:textId="77777777">
            <w:r w:rsidRPr="004D52BC">
              <w:t> </w:t>
            </w:r>
          </w:p>
        </w:tc>
        <w:tc>
          <w:tcPr>
            <w:tcW w:w="1350" w:type="dxa"/>
            <w:tcBorders>
              <w:top w:val="nil"/>
              <w:left w:val="nil"/>
              <w:bottom w:val="single" w:sz="4" w:space="0" w:color="auto"/>
              <w:right w:val="single" w:sz="4" w:space="0" w:color="auto"/>
            </w:tcBorders>
            <w:shd w:val="clear" w:color="auto" w:fill="auto"/>
            <w:vAlign w:val="bottom"/>
            <w:hideMark/>
          </w:tcPr>
          <w:p w:rsidR="006B25B5" w:rsidRPr="004D52BC" w14:paraId="7AD568E8" w14:textId="77777777">
            <w:pPr>
              <w:jc w:val="right"/>
            </w:pPr>
            <w:r w:rsidRPr="004D52BC">
              <w:t>$0</w:t>
            </w:r>
          </w:p>
        </w:tc>
      </w:tr>
      <w:tr w14:paraId="2387101F" w14:textId="77777777" w:rsidTr="00285610">
        <w:tblPrEx>
          <w:tblW w:w="14215" w:type="dxa"/>
          <w:tblLook w:val="04A0"/>
        </w:tblPrEx>
        <w:trPr>
          <w:trHeight w:val="240"/>
        </w:trPr>
        <w:tc>
          <w:tcPr>
            <w:tcW w:w="281" w:type="dxa"/>
            <w:tcBorders>
              <w:top w:val="nil"/>
              <w:left w:val="single" w:sz="4" w:space="0" w:color="auto"/>
              <w:bottom w:val="single" w:sz="4" w:space="0" w:color="auto"/>
              <w:right w:val="nil"/>
            </w:tcBorders>
            <w:shd w:val="clear" w:color="auto" w:fill="auto"/>
            <w:vAlign w:val="bottom"/>
            <w:hideMark/>
          </w:tcPr>
          <w:p w:rsidR="006B25B5" w:rsidRPr="004D52BC" w14:paraId="2994E69F" w14:textId="77777777">
            <w:r w:rsidRPr="004D52BC">
              <w:t> </w:t>
            </w:r>
          </w:p>
        </w:tc>
        <w:tc>
          <w:tcPr>
            <w:tcW w:w="5648" w:type="dxa"/>
            <w:tcBorders>
              <w:top w:val="single" w:sz="4" w:space="0" w:color="auto"/>
              <w:left w:val="nil"/>
              <w:bottom w:val="single" w:sz="4" w:space="0" w:color="auto"/>
              <w:right w:val="single" w:sz="4" w:space="0" w:color="auto"/>
            </w:tcBorders>
            <w:shd w:val="clear" w:color="auto" w:fill="auto"/>
            <w:vAlign w:val="bottom"/>
            <w:hideMark/>
          </w:tcPr>
          <w:p w:rsidR="006B25B5" w:rsidRPr="004D52BC" w14:paraId="50602725" w14:textId="77777777">
            <w:r w:rsidRPr="004D52BC">
              <w:t>B. Plan Activities (Included in 4B)</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6B25B5" w:rsidRPr="004D52BC" w14:paraId="13CA97ED" w14:textId="77777777">
            <w:r w:rsidRPr="004D52BC">
              <w:t> </w:t>
            </w:r>
          </w:p>
        </w:tc>
        <w:tc>
          <w:tcPr>
            <w:tcW w:w="2003" w:type="dxa"/>
            <w:tcBorders>
              <w:top w:val="nil"/>
              <w:left w:val="nil"/>
              <w:bottom w:val="single" w:sz="4" w:space="0" w:color="auto"/>
              <w:right w:val="single" w:sz="4" w:space="0" w:color="auto"/>
            </w:tcBorders>
            <w:shd w:val="clear" w:color="auto" w:fill="auto"/>
            <w:vAlign w:val="bottom"/>
            <w:hideMark/>
          </w:tcPr>
          <w:p w:rsidR="006B25B5" w:rsidRPr="004D52BC" w14:paraId="5E331EA3" w14:textId="77777777">
            <w:r w:rsidRPr="004D52BC">
              <w:t> </w:t>
            </w:r>
          </w:p>
        </w:tc>
        <w:tc>
          <w:tcPr>
            <w:tcW w:w="1874" w:type="dxa"/>
            <w:tcBorders>
              <w:top w:val="nil"/>
              <w:left w:val="nil"/>
              <w:bottom w:val="single" w:sz="4" w:space="0" w:color="auto"/>
              <w:right w:val="single" w:sz="4" w:space="0" w:color="auto"/>
            </w:tcBorders>
            <w:shd w:val="clear" w:color="auto" w:fill="auto"/>
            <w:vAlign w:val="bottom"/>
            <w:hideMark/>
          </w:tcPr>
          <w:p w:rsidR="006B25B5" w:rsidRPr="004D52BC" w14:paraId="6A2B2E40" w14:textId="77777777">
            <w:r w:rsidRPr="004D52BC">
              <w:t> </w:t>
            </w:r>
          </w:p>
        </w:tc>
        <w:tc>
          <w:tcPr>
            <w:tcW w:w="1620" w:type="dxa"/>
            <w:tcBorders>
              <w:top w:val="nil"/>
              <w:left w:val="nil"/>
              <w:bottom w:val="single" w:sz="4" w:space="0" w:color="auto"/>
              <w:right w:val="single" w:sz="4" w:space="0" w:color="auto"/>
            </w:tcBorders>
            <w:shd w:val="clear" w:color="auto" w:fill="auto"/>
            <w:vAlign w:val="bottom"/>
            <w:hideMark/>
          </w:tcPr>
          <w:p w:rsidR="006B25B5" w:rsidRPr="004D52BC" w14:paraId="159A41B1" w14:textId="77777777">
            <w:r w:rsidRPr="004D52BC">
              <w:t> </w:t>
            </w:r>
          </w:p>
        </w:tc>
        <w:tc>
          <w:tcPr>
            <w:tcW w:w="1350" w:type="dxa"/>
            <w:tcBorders>
              <w:top w:val="nil"/>
              <w:left w:val="nil"/>
              <w:bottom w:val="single" w:sz="4" w:space="0" w:color="auto"/>
              <w:right w:val="single" w:sz="4" w:space="0" w:color="auto"/>
            </w:tcBorders>
            <w:shd w:val="clear" w:color="auto" w:fill="auto"/>
            <w:vAlign w:val="bottom"/>
            <w:hideMark/>
          </w:tcPr>
          <w:p w:rsidR="006B25B5" w:rsidRPr="004D52BC" w14:paraId="59D6E11E" w14:textId="77777777">
            <w:pPr>
              <w:jc w:val="right"/>
            </w:pPr>
            <w:r w:rsidRPr="004D52BC">
              <w:t>$0</w:t>
            </w:r>
          </w:p>
        </w:tc>
      </w:tr>
      <w:tr w14:paraId="0ED4AC75" w14:textId="77777777" w:rsidTr="00285610">
        <w:tblPrEx>
          <w:tblW w:w="14215" w:type="dxa"/>
          <w:tblLook w:val="04A0"/>
        </w:tblPrEx>
        <w:trPr>
          <w:trHeight w:val="240"/>
        </w:trPr>
        <w:tc>
          <w:tcPr>
            <w:tcW w:w="281" w:type="dxa"/>
            <w:tcBorders>
              <w:top w:val="nil"/>
              <w:left w:val="single" w:sz="4" w:space="0" w:color="auto"/>
              <w:bottom w:val="single" w:sz="4" w:space="0" w:color="auto"/>
              <w:right w:val="nil"/>
            </w:tcBorders>
            <w:shd w:val="clear" w:color="auto" w:fill="auto"/>
            <w:vAlign w:val="bottom"/>
            <w:hideMark/>
          </w:tcPr>
          <w:p w:rsidR="006B25B5" w:rsidRPr="004D52BC" w14:paraId="0F822F09" w14:textId="77777777">
            <w:r w:rsidRPr="004D52BC">
              <w:t> </w:t>
            </w:r>
          </w:p>
        </w:tc>
        <w:tc>
          <w:tcPr>
            <w:tcW w:w="5648" w:type="dxa"/>
            <w:tcBorders>
              <w:top w:val="single" w:sz="4" w:space="0" w:color="auto"/>
              <w:left w:val="nil"/>
              <w:bottom w:val="single" w:sz="4" w:space="0" w:color="auto"/>
              <w:right w:val="single" w:sz="4" w:space="0" w:color="auto"/>
            </w:tcBorders>
            <w:shd w:val="clear" w:color="auto" w:fill="auto"/>
            <w:vAlign w:val="bottom"/>
            <w:hideMark/>
          </w:tcPr>
          <w:p w:rsidR="006B25B5" w:rsidRPr="004D52BC" w14:paraId="10532179" w14:textId="77777777">
            <w:r w:rsidRPr="004D52BC">
              <w:t>C. Implement Activities (Included in 4B)</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6B25B5" w:rsidRPr="004D52BC" w14:paraId="6037D115" w14:textId="77777777">
            <w:r w:rsidRPr="004D52BC">
              <w:t> </w:t>
            </w:r>
          </w:p>
        </w:tc>
        <w:tc>
          <w:tcPr>
            <w:tcW w:w="2003" w:type="dxa"/>
            <w:tcBorders>
              <w:top w:val="nil"/>
              <w:left w:val="nil"/>
              <w:bottom w:val="single" w:sz="4" w:space="0" w:color="auto"/>
              <w:right w:val="single" w:sz="4" w:space="0" w:color="auto"/>
            </w:tcBorders>
            <w:shd w:val="clear" w:color="auto" w:fill="auto"/>
            <w:vAlign w:val="bottom"/>
            <w:hideMark/>
          </w:tcPr>
          <w:p w:rsidR="006B25B5" w:rsidRPr="004D52BC" w14:paraId="585D0053" w14:textId="77777777">
            <w:r w:rsidRPr="004D52BC">
              <w:t> </w:t>
            </w:r>
          </w:p>
        </w:tc>
        <w:tc>
          <w:tcPr>
            <w:tcW w:w="1874" w:type="dxa"/>
            <w:tcBorders>
              <w:top w:val="nil"/>
              <w:left w:val="nil"/>
              <w:bottom w:val="single" w:sz="4" w:space="0" w:color="auto"/>
              <w:right w:val="single" w:sz="4" w:space="0" w:color="auto"/>
            </w:tcBorders>
            <w:shd w:val="clear" w:color="auto" w:fill="auto"/>
            <w:vAlign w:val="bottom"/>
            <w:hideMark/>
          </w:tcPr>
          <w:p w:rsidR="006B25B5" w:rsidRPr="004D52BC" w14:paraId="02E24700" w14:textId="77777777">
            <w:r w:rsidRPr="004D52BC">
              <w:t> </w:t>
            </w:r>
          </w:p>
        </w:tc>
        <w:tc>
          <w:tcPr>
            <w:tcW w:w="1620" w:type="dxa"/>
            <w:tcBorders>
              <w:top w:val="nil"/>
              <w:left w:val="nil"/>
              <w:bottom w:val="single" w:sz="4" w:space="0" w:color="auto"/>
              <w:right w:val="single" w:sz="4" w:space="0" w:color="auto"/>
            </w:tcBorders>
            <w:shd w:val="clear" w:color="auto" w:fill="auto"/>
            <w:vAlign w:val="bottom"/>
            <w:hideMark/>
          </w:tcPr>
          <w:p w:rsidR="006B25B5" w:rsidRPr="004D52BC" w14:paraId="3DCA6C1E" w14:textId="77777777">
            <w:r w:rsidRPr="004D52BC">
              <w:t> </w:t>
            </w:r>
          </w:p>
        </w:tc>
        <w:tc>
          <w:tcPr>
            <w:tcW w:w="1350" w:type="dxa"/>
            <w:tcBorders>
              <w:top w:val="nil"/>
              <w:left w:val="nil"/>
              <w:bottom w:val="single" w:sz="4" w:space="0" w:color="auto"/>
              <w:right w:val="single" w:sz="4" w:space="0" w:color="auto"/>
            </w:tcBorders>
            <w:shd w:val="clear" w:color="auto" w:fill="auto"/>
            <w:vAlign w:val="bottom"/>
            <w:hideMark/>
          </w:tcPr>
          <w:p w:rsidR="006B25B5" w:rsidRPr="004D52BC" w14:paraId="19A29FAF" w14:textId="77777777">
            <w:pPr>
              <w:jc w:val="right"/>
            </w:pPr>
            <w:r w:rsidRPr="004D52BC">
              <w:t>$0</w:t>
            </w:r>
          </w:p>
        </w:tc>
      </w:tr>
      <w:tr w14:paraId="6C725E4D" w14:textId="77777777" w:rsidTr="00285610">
        <w:tblPrEx>
          <w:tblW w:w="14215" w:type="dxa"/>
          <w:tblLook w:val="04A0"/>
        </w:tblPrEx>
        <w:trPr>
          <w:trHeight w:val="240"/>
        </w:trPr>
        <w:tc>
          <w:tcPr>
            <w:tcW w:w="281" w:type="dxa"/>
            <w:tcBorders>
              <w:top w:val="nil"/>
              <w:left w:val="single" w:sz="4" w:space="0" w:color="auto"/>
              <w:bottom w:val="single" w:sz="4" w:space="0" w:color="auto"/>
              <w:right w:val="nil"/>
            </w:tcBorders>
            <w:shd w:val="clear" w:color="auto" w:fill="auto"/>
            <w:vAlign w:val="bottom"/>
            <w:hideMark/>
          </w:tcPr>
          <w:p w:rsidR="00E409C8" w:rsidRPr="004D52BC" w:rsidP="00E409C8" w14:paraId="0FE8BA9B" w14:textId="77777777">
            <w:r w:rsidRPr="004D52BC">
              <w:t> </w:t>
            </w:r>
          </w:p>
        </w:tc>
        <w:tc>
          <w:tcPr>
            <w:tcW w:w="5648" w:type="dxa"/>
            <w:tcBorders>
              <w:top w:val="single" w:sz="4" w:space="0" w:color="auto"/>
              <w:left w:val="nil"/>
              <w:bottom w:val="single" w:sz="4" w:space="0" w:color="auto"/>
              <w:right w:val="single" w:sz="4" w:space="0" w:color="auto"/>
            </w:tcBorders>
            <w:shd w:val="clear" w:color="auto" w:fill="auto"/>
            <w:vAlign w:val="bottom"/>
            <w:hideMark/>
          </w:tcPr>
          <w:p w:rsidR="00E409C8" w:rsidRPr="004D52BC" w:rsidP="00E409C8" w14:paraId="6E4B8554" w14:textId="2215743C">
            <w:r w:rsidRPr="004D52BC">
              <w:t xml:space="preserve">D. Recordkeeping </w:t>
            </w:r>
            <w:r w:rsidR="00080E95">
              <w:rPr>
                <w:vertAlign w:val="superscript"/>
              </w:rPr>
              <w:t>j</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E409C8" w:rsidRPr="004D52BC" w:rsidP="00E409C8" w14:paraId="6246CA1F" w14:textId="77777777">
            <w:pPr>
              <w:jc w:val="right"/>
            </w:pPr>
            <w:r w:rsidRPr="004D52BC">
              <w:t>2</w:t>
            </w:r>
          </w:p>
        </w:tc>
        <w:tc>
          <w:tcPr>
            <w:tcW w:w="2003" w:type="dxa"/>
            <w:tcBorders>
              <w:top w:val="nil"/>
              <w:left w:val="nil"/>
              <w:bottom w:val="single" w:sz="4" w:space="0" w:color="auto"/>
              <w:right w:val="single" w:sz="4" w:space="0" w:color="auto"/>
            </w:tcBorders>
            <w:shd w:val="clear" w:color="auto" w:fill="auto"/>
            <w:vAlign w:val="bottom"/>
            <w:hideMark/>
          </w:tcPr>
          <w:p w:rsidR="00E409C8" w:rsidRPr="004D52BC" w:rsidP="00E409C8" w14:paraId="50C4E299" w14:textId="77777777">
            <w:pPr>
              <w:jc w:val="right"/>
            </w:pPr>
            <w:r w:rsidRPr="004D52BC">
              <w:t>1</w:t>
            </w:r>
          </w:p>
        </w:tc>
        <w:tc>
          <w:tcPr>
            <w:tcW w:w="1874" w:type="dxa"/>
            <w:tcBorders>
              <w:top w:val="nil"/>
              <w:left w:val="nil"/>
              <w:bottom w:val="single" w:sz="4" w:space="0" w:color="auto"/>
              <w:right w:val="single" w:sz="4" w:space="0" w:color="auto"/>
            </w:tcBorders>
            <w:shd w:val="clear" w:color="auto" w:fill="auto"/>
            <w:vAlign w:val="bottom"/>
            <w:hideMark/>
          </w:tcPr>
          <w:p w:rsidR="00E409C8" w:rsidRPr="004D52BC" w:rsidP="00E409C8" w14:paraId="2C35F188" w14:textId="77777777">
            <w:pPr>
              <w:jc w:val="right"/>
            </w:pPr>
            <w:r w:rsidRPr="004D52BC">
              <w:t>2</w:t>
            </w:r>
          </w:p>
        </w:tc>
        <w:tc>
          <w:tcPr>
            <w:tcW w:w="1620" w:type="dxa"/>
            <w:tcBorders>
              <w:top w:val="nil"/>
              <w:left w:val="nil"/>
              <w:bottom w:val="single" w:sz="4" w:space="0" w:color="auto"/>
              <w:right w:val="single" w:sz="4" w:space="0" w:color="auto"/>
            </w:tcBorders>
            <w:shd w:val="clear" w:color="auto" w:fill="auto"/>
            <w:vAlign w:val="bottom"/>
            <w:hideMark/>
          </w:tcPr>
          <w:p w:rsidR="00E409C8" w:rsidRPr="004D52BC" w:rsidP="00E409C8" w14:paraId="2C7FC21A" w14:textId="702EB19E">
            <w:pPr>
              <w:jc w:val="right"/>
            </w:pPr>
            <w:r>
              <w:t>535</w:t>
            </w:r>
          </w:p>
        </w:tc>
        <w:tc>
          <w:tcPr>
            <w:tcW w:w="1350" w:type="dxa"/>
            <w:tcBorders>
              <w:top w:val="nil"/>
              <w:left w:val="nil"/>
              <w:bottom w:val="single" w:sz="4" w:space="0" w:color="auto"/>
              <w:right w:val="single" w:sz="4" w:space="0" w:color="auto"/>
            </w:tcBorders>
            <w:shd w:val="clear" w:color="auto" w:fill="auto"/>
            <w:vAlign w:val="bottom"/>
            <w:hideMark/>
          </w:tcPr>
          <w:p w:rsidR="00E409C8" w:rsidRPr="004D52BC" w:rsidP="00E409C8" w14:paraId="3C46352A" w14:textId="52E89886">
            <w:pPr>
              <w:jc w:val="right"/>
            </w:pPr>
            <w:r w:rsidRPr="00DE5F50">
              <w:t>$151,309</w:t>
            </w:r>
          </w:p>
        </w:tc>
      </w:tr>
      <w:tr w14:paraId="06A57A64" w14:textId="77777777" w:rsidTr="00285610">
        <w:tblPrEx>
          <w:tblW w:w="14215" w:type="dxa"/>
          <w:tblLook w:val="04A0"/>
        </w:tblPrEx>
        <w:trPr>
          <w:trHeight w:val="240"/>
        </w:trPr>
        <w:tc>
          <w:tcPr>
            <w:tcW w:w="281" w:type="dxa"/>
            <w:tcBorders>
              <w:top w:val="nil"/>
              <w:left w:val="single" w:sz="4" w:space="0" w:color="auto"/>
              <w:bottom w:val="single" w:sz="4" w:space="0" w:color="auto"/>
              <w:right w:val="nil"/>
            </w:tcBorders>
            <w:shd w:val="clear" w:color="auto" w:fill="auto"/>
            <w:vAlign w:val="bottom"/>
            <w:hideMark/>
          </w:tcPr>
          <w:p w:rsidR="006B25B5" w:rsidRPr="004D52BC" w14:paraId="7A98AC33" w14:textId="77777777">
            <w:r w:rsidRPr="004D52BC">
              <w:t> </w:t>
            </w:r>
          </w:p>
        </w:tc>
        <w:tc>
          <w:tcPr>
            <w:tcW w:w="5648" w:type="dxa"/>
            <w:tcBorders>
              <w:top w:val="single" w:sz="4" w:space="0" w:color="auto"/>
              <w:left w:val="nil"/>
              <w:bottom w:val="single" w:sz="4" w:space="0" w:color="auto"/>
              <w:right w:val="single" w:sz="4" w:space="0" w:color="auto"/>
            </w:tcBorders>
            <w:shd w:val="clear" w:color="auto" w:fill="auto"/>
            <w:vAlign w:val="bottom"/>
            <w:hideMark/>
          </w:tcPr>
          <w:p w:rsidR="006B25B5" w:rsidRPr="004D52BC" w14:paraId="4E132706" w14:textId="77777777">
            <w:r w:rsidRPr="004D52BC">
              <w:t>E. Time to Transmit or Disclose Information (included in 4E)</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6B25B5" w:rsidRPr="004D52BC" w14:paraId="4FCCECD1" w14:textId="77777777">
            <w:r w:rsidRPr="004D52BC">
              <w:t> </w:t>
            </w:r>
          </w:p>
        </w:tc>
        <w:tc>
          <w:tcPr>
            <w:tcW w:w="2003" w:type="dxa"/>
            <w:tcBorders>
              <w:top w:val="nil"/>
              <w:left w:val="nil"/>
              <w:bottom w:val="single" w:sz="4" w:space="0" w:color="auto"/>
              <w:right w:val="single" w:sz="4" w:space="0" w:color="auto"/>
            </w:tcBorders>
            <w:shd w:val="clear" w:color="auto" w:fill="auto"/>
            <w:vAlign w:val="bottom"/>
            <w:hideMark/>
          </w:tcPr>
          <w:p w:rsidR="006B25B5" w:rsidRPr="004D52BC" w14:paraId="03A5ED63" w14:textId="77777777">
            <w:r w:rsidRPr="004D52BC">
              <w:t> </w:t>
            </w:r>
          </w:p>
        </w:tc>
        <w:tc>
          <w:tcPr>
            <w:tcW w:w="1874" w:type="dxa"/>
            <w:tcBorders>
              <w:top w:val="nil"/>
              <w:left w:val="nil"/>
              <w:bottom w:val="single" w:sz="4" w:space="0" w:color="auto"/>
              <w:right w:val="single" w:sz="4" w:space="0" w:color="auto"/>
            </w:tcBorders>
            <w:shd w:val="clear" w:color="auto" w:fill="auto"/>
            <w:vAlign w:val="bottom"/>
            <w:hideMark/>
          </w:tcPr>
          <w:p w:rsidR="006B25B5" w:rsidRPr="004D52BC" w14:paraId="0F90B22E" w14:textId="77777777">
            <w:r w:rsidRPr="004D52BC">
              <w:t> </w:t>
            </w:r>
          </w:p>
        </w:tc>
        <w:tc>
          <w:tcPr>
            <w:tcW w:w="1620" w:type="dxa"/>
            <w:tcBorders>
              <w:top w:val="nil"/>
              <w:left w:val="nil"/>
              <w:bottom w:val="single" w:sz="4" w:space="0" w:color="auto"/>
              <w:right w:val="single" w:sz="4" w:space="0" w:color="auto"/>
            </w:tcBorders>
            <w:shd w:val="clear" w:color="auto" w:fill="auto"/>
            <w:vAlign w:val="bottom"/>
            <w:hideMark/>
          </w:tcPr>
          <w:p w:rsidR="006B25B5" w:rsidRPr="004D52BC" w14:paraId="3D103F91" w14:textId="77777777">
            <w:r w:rsidRPr="004D52BC">
              <w:t> </w:t>
            </w:r>
          </w:p>
        </w:tc>
        <w:tc>
          <w:tcPr>
            <w:tcW w:w="1350" w:type="dxa"/>
            <w:tcBorders>
              <w:top w:val="nil"/>
              <w:left w:val="nil"/>
              <w:bottom w:val="single" w:sz="4" w:space="0" w:color="auto"/>
              <w:right w:val="single" w:sz="4" w:space="0" w:color="auto"/>
            </w:tcBorders>
            <w:shd w:val="clear" w:color="auto" w:fill="auto"/>
            <w:vAlign w:val="bottom"/>
            <w:hideMark/>
          </w:tcPr>
          <w:p w:rsidR="006B25B5" w:rsidRPr="004D52BC" w14:paraId="336361A3" w14:textId="77777777">
            <w:pPr>
              <w:jc w:val="right"/>
            </w:pPr>
            <w:r w:rsidRPr="004D52BC">
              <w:t>$0</w:t>
            </w:r>
          </w:p>
        </w:tc>
      </w:tr>
      <w:tr w14:paraId="1E3DACAE" w14:textId="77777777" w:rsidTr="00285610">
        <w:tblPrEx>
          <w:tblW w:w="14215" w:type="dxa"/>
          <w:tblLook w:val="04A0"/>
        </w:tblPrEx>
        <w:trPr>
          <w:trHeight w:val="240"/>
        </w:trPr>
        <w:tc>
          <w:tcPr>
            <w:tcW w:w="281" w:type="dxa"/>
            <w:tcBorders>
              <w:top w:val="nil"/>
              <w:left w:val="single" w:sz="4" w:space="0" w:color="auto"/>
              <w:bottom w:val="single" w:sz="4" w:space="0" w:color="auto"/>
              <w:right w:val="nil"/>
            </w:tcBorders>
            <w:shd w:val="clear" w:color="auto" w:fill="auto"/>
            <w:vAlign w:val="bottom"/>
            <w:hideMark/>
          </w:tcPr>
          <w:p w:rsidR="006B25B5" w:rsidRPr="004D52BC" w14:paraId="15550F72" w14:textId="77777777">
            <w:r w:rsidRPr="004D52BC">
              <w:t> </w:t>
            </w:r>
          </w:p>
        </w:tc>
        <w:tc>
          <w:tcPr>
            <w:tcW w:w="5648" w:type="dxa"/>
            <w:tcBorders>
              <w:top w:val="single" w:sz="4" w:space="0" w:color="auto"/>
              <w:left w:val="nil"/>
              <w:bottom w:val="single" w:sz="4" w:space="0" w:color="auto"/>
              <w:right w:val="single" w:sz="4" w:space="0" w:color="auto"/>
            </w:tcBorders>
            <w:shd w:val="clear" w:color="auto" w:fill="auto"/>
            <w:vAlign w:val="bottom"/>
            <w:hideMark/>
          </w:tcPr>
          <w:p w:rsidR="006B25B5" w:rsidRPr="004D52BC" w14:paraId="7B3E35F8" w14:textId="77777777">
            <w:r w:rsidRPr="004D52BC">
              <w:t>F. Time to Train Personnel (included in 4A)</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6B25B5" w:rsidRPr="004D52BC" w14:paraId="1CA955B8" w14:textId="77777777">
            <w:r w:rsidRPr="004D52BC">
              <w:t> </w:t>
            </w:r>
          </w:p>
        </w:tc>
        <w:tc>
          <w:tcPr>
            <w:tcW w:w="2003" w:type="dxa"/>
            <w:tcBorders>
              <w:top w:val="nil"/>
              <w:left w:val="nil"/>
              <w:bottom w:val="single" w:sz="4" w:space="0" w:color="auto"/>
              <w:right w:val="single" w:sz="4" w:space="0" w:color="auto"/>
            </w:tcBorders>
            <w:shd w:val="clear" w:color="auto" w:fill="auto"/>
            <w:vAlign w:val="bottom"/>
            <w:hideMark/>
          </w:tcPr>
          <w:p w:rsidR="006B25B5" w:rsidRPr="004D52BC" w14:paraId="274A399B" w14:textId="77777777">
            <w:r w:rsidRPr="004D52BC">
              <w:t> </w:t>
            </w:r>
          </w:p>
        </w:tc>
        <w:tc>
          <w:tcPr>
            <w:tcW w:w="1874" w:type="dxa"/>
            <w:tcBorders>
              <w:top w:val="nil"/>
              <w:left w:val="nil"/>
              <w:bottom w:val="single" w:sz="4" w:space="0" w:color="auto"/>
              <w:right w:val="single" w:sz="4" w:space="0" w:color="auto"/>
            </w:tcBorders>
            <w:shd w:val="clear" w:color="auto" w:fill="auto"/>
            <w:vAlign w:val="bottom"/>
            <w:hideMark/>
          </w:tcPr>
          <w:p w:rsidR="006B25B5" w:rsidRPr="004D52BC" w14:paraId="6590A6E7" w14:textId="77777777">
            <w:r w:rsidRPr="004D52BC">
              <w:t> </w:t>
            </w:r>
          </w:p>
        </w:tc>
        <w:tc>
          <w:tcPr>
            <w:tcW w:w="1620" w:type="dxa"/>
            <w:tcBorders>
              <w:top w:val="nil"/>
              <w:left w:val="nil"/>
              <w:bottom w:val="single" w:sz="4" w:space="0" w:color="auto"/>
              <w:right w:val="single" w:sz="4" w:space="0" w:color="auto"/>
            </w:tcBorders>
            <w:shd w:val="clear" w:color="auto" w:fill="auto"/>
            <w:vAlign w:val="bottom"/>
            <w:hideMark/>
          </w:tcPr>
          <w:p w:rsidR="006B25B5" w:rsidRPr="004D52BC" w14:paraId="795FE393" w14:textId="77777777">
            <w:r w:rsidRPr="004D52BC">
              <w:t> </w:t>
            </w:r>
          </w:p>
        </w:tc>
        <w:tc>
          <w:tcPr>
            <w:tcW w:w="1350" w:type="dxa"/>
            <w:tcBorders>
              <w:top w:val="nil"/>
              <w:left w:val="nil"/>
              <w:bottom w:val="single" w:sz="4" w:space="0" w:color="auto"/>
              <w:right w:val="single" w:sz="4" w:space="0" w:color="auto"/>
            </w:tcBorders>
            <w:shd w:val="clear" w:color="auto" w:fill="auto"/>
            <w:vAlign w:val="bottom"/>
            <w:hideMark/>
          </w:tcPr>
          <w:p w:rsidR="006B25B5" w:rsidRPr="004D52BC" w14:paraId="6EAA81AD" w14:textId="77777777">
            <w:pPr>
              <w:jc w:val="right"/>
            </w:pPr>
            <w:r w:rsidRPr="004D52BC">
              <w:t>$0</w:t>
            </w:r>
          </w:p>
        </w:tc>
      </w:tr>
      <w:tr w14:paraId="63B69AD9" w14:textId="77777777" w:rsidTr="00285610">
        <w:tblPrEx>
          <w:tblW w:w="14215" w:type="dxa"/>
          <w:tblLook w:val="04A0"/>
        </w:tblPrEx>
        <w:trPr>
          <w:trHeight w:val="255"/>
        </w:trPr>
        <w:tc>
          <w:tcPr>
            <w:tcW w:w="281" w:type="dxa"/>
            <w:tcBorders>
              <w:top w:val="nil"/>
              <w:left w:val="single" w:sz="4" w:space="0" w:color="auto"/>
              <w:bottom w:val="single" w:sz="4" w:space="0" w:color="auto"/>
              <w:right w:val="nil"/>
            </w:tcBorders>
            <w:shd w:val="clear" w:color="auto" w:fill="auto"/>
            <w:vAlign w:val="bottom"/>
            <w:hideMark/>
          </w:tcPr>
          <w:p w:rsidR="008D62A0" w:rsidRPr="004D52BC" w:rsidP="008D62A0" w14:paraId="3F16592A" w14:textId="77777777">
            <w:r w:rsidRPr="004D52BC">
              <w:t> </w:t>
            </w:r>
          </w:p>
        </w:tc>
        <w:tc>
          <w:tcPr>
            <w:tcW w:w="5648" w:type="dxa"/>
            <w:tcBorders>
              <w:top w:val="single" w:sz="4" w:space="0" w:color="auto"/>
              <w:left w:val="nil"/>
              <w:bottom w:val="single" w:sz="4" w:space="0" w:color="auto"/>
              <w:right w:val="single" w:sz="4" w:space="0" w:color="auto"/>
            </w:tcBorders>
            <w:shd w:val="clear" w:color="auto" w:fill="auto"/>
            <w:vAlign w:val="bottom"/>
            <w:hideMark/>
          </w:tcPr>
          <w:p w:rsidR="008D62A0" w:rsidRPr="004D52BC" w:rsidP="008D62A0" w14:paraId="576784CF" w14:textId="4A9EC6AB">
            <w:r w:rsidRPr="004D52BC">
              <w:t>G. Time for Audits</w:t>
            </w:r>
            <w:r w:rsidRPr="004D52BC">
              <w:rPr>
                <w:vertAlign w:val="superscript"/>
              </w:rPr>
              <w:t xml:space="preserve"> </w:t>
            </w:r>
            <w:r w:rsidR="00080E95">
              <w:rPr>
                <w:vertAlign w:val="superscript"/>
              </w:rPr>
              <w:t>k</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8D62A0" w:rsidRPr="004D52BC" w:rsidP="008D62A0" w14:paraId="395EF043" w14:textId="77777777">
            <w:pPr>
              <w:jc w:val="right"/>
            </w:pPr>
            <w:r w:rsidRPr="004D52BC">
              <w:t>8</w:t>
            </w:r>
          </w:p>
        </w:tc>
        <w:tc>
          <w:tcPr>
            <w:tcW w:w="2003" w:type="dxa"/>
            <w:tcBorders>
              <w:top w:val="nil"/>
              <w:left w:val="nil"/>
              <w:bottom w:val="single" w:sz="4" w:space="0" w:color="auto"/>
              <w:right w:val="single" w:sz="4" w:space="0" w:color="auto"/>
            </w:tcBorders>
            <w:shd w:val="clear" w:color="auto" w:fill="auto"/>
            <w:vAlign w:val="bottom"/>
            <w:hideMark/>
          </w:tcPr>
          <w:p w:rsidR="008D62A0" w:rsidRPr="004D52BC" w:rsidP="008D62A0" w14:paraId="0A3405DF" w14:textId="77777777">
            <w:pPr>
              <w:jc w:val="right"/>
            </w:pPr>
            <w:r w:rsidRPr="004D52BC">
              <w:t>1</w:t>
            </w:r>
          </w:p>
        </w:tc>
        <w:tc>
          <w:tcPr>
            <w:tcW w:w="1874" w:type="dxa"/>
            <w:tcBorders>
              <w:top w:val="nil"/>
              <w:left w:val="nil"/>
              <w:bottom w:val="single" w:sz="4" w:space="0" w:color="auto"/>
              <w:right w:val="single" w:sz="4" w:space="0" w:color="auto"/>
            </w:tcBorders>
            <w:shd w:val="clear" w:color="auto" w:fill="auto"/>
            <w:vAlign w:val="bottom"/>
            <w:hideMark/>
          </w:tcPr>
          <w:p w:rsidR="008D62A0" w:rsidRPr="004D52BC" w:rsidP="008D62A0" w14:paraId="08D1F316" w14:textId="77777777">
            <w:pPr>
              <w:jc w:val="right"/>
            </w:pPr>
            <w:r w:rsidRPr="004D52BC">
              <w:t>8</w:t>
            </w:r>
          </w:p>
        </w:tc>
        <w:tc>
          <w:tcPr>
            <w:tcW w:w="1620" w:type="dxa"/>
            <w:tcBorders>
              <w:top w:val="nil"/>
              <w:left w:val="nil"/>
              <w:bottom w:val="single" w:sz="4" w:space="0" w:color="auto"/>
              <w:right w:val="single" w:sz="4" w:space="0" w:color="auto"/>
            </w:tcBorders>
            <w:shd w:val="clear" w:color="auto" w:fill="auto"/>
            <w:vAlign w:val="bottom"/>
            <w:hideMark/>
          </w:tcPr>
          <w:p w:rsidR="008D62A0" w:rsidRPr="004D52BC" w:rsidP="008D62A0" w14:paraId="796759DF" w14:textId="2B0FB885">
            <w:pPr>
              <w:jc w:val="right"/>
            </w:pPr>
            <w:r w:rsidRPr="004D52BC">
              <w:t>4</w:t>
            </w:r>
            <w:r w:rsidR="00C52525">
              <w:t>8</w:t>
            </w:r>
          </w:p>
        </w:tc>
        <w:tc>
          <w:tcPr>
            <w:tcW w:w="1350" w:type="dxa"/>
            <w:tcBorders>
              <w:top w:val="nil"/>
              <w:left w:val="nil"/>
              <w:bottom w:val="single" w:sz="4" w:space="0" w:color="auto"/>
              <w:right w:val="single" w:sz="4" w:space="0" w:color="auto"/>
            </w:tcBorders>
            <w:shd w:val="clear" w:color="auto" w:fill="auto"/>
            <w:vAlign w:val="bottom"/>
            <w:hideMark/>
          </w:tcPr>
          <w:p w:rsidR="008D62A0" w:rsidRPr="004D52BC" w:rsidP="008D62A0" w14:paraId="0CEFB9C6" w14:textId="2CE91458">
            <w:pPr>
              <w:jc w:val="right"/>
            </w:pPr>
            <w:r w:rsidRPr="00460A96">
              <w:t>$223,482</w:t>
            </w:r>
          </w:p>
        </w:tc>
      </w:tr>
    </w:tbl>
    <w:p w:rsidR="00D1272F" w:rsidRPr="004D52BC" w14:paraId="43AC99A0" w14:textId="505A111B">
      <w:pPr>
        <w:rPr>
          <w:b/>
          <w:bCs/>
        </w:rPr>
      </w:pPr>
    </w:p>
    <w:p w:rsidR="00D1272F" w:rsidRPr="004D52BC" w:rsidP="00562220" w14:paraId="769188E2" w14:textId="5D7FF8E9">
      <w:pPr>
        <w:outlineLvl w:val="1"/>
        <w:rPr>
          <w:b/>
          <w:bCs/>
        </w:rPr>
      </w:pPr>
      <w:r w:rsidRPr="004D52BC">
        <w:rPr>
          <w:b/>
          <w:bCs/>
        </w:rPr>
        <w:t xml:space="preserve">Table 3. Total </w:t>
      </w:r>
      <w:r w:rsidRPr="004D52BC" w:rsidR="003C50FF">
        <w:rPr>
          <w:b/>
          <w:bCs/>
        </w:rPr>
        <w:t>Part 99</w:t>
      </w:r>
      <w:r w:rsidRPr="004D52BC">
        <w:rPr>
          <w:b/>
          <w:bCs/>
        </w:rPr>
        <w:t xml:space="preserve"> </w:t>
      </w:r>
      <w:r w:rsidRPr="004D52BC" w:rsidR="00D77A89">
        <w:rPr>
          <w:b/>
          <w:bCs/>
        </w:rPr>
        <w:t xml:space="preserve">Burden Hours and </w:t>
      </w:r>
      <w:r w:rsidRPr="004D52BC">
        <w:rPr>
          <w:b/>
          <w:bCs/>
        </w:rPr>
        <w:t>Costs</w:t>
      </w:r>
      <w:r w:rsidRPr="004D52BC" w:rsidR="008D62A0">
        <w:rPr>
          <w:b/>
          <w:bCs/>
        </w:rPr>
        <w:t>, Year 1</w:t>
      </w:r>
    </w:p>
    <w:tbl>
      <w:tblPr>
        <w:tblW w:w="11460" w:type="dxa"/>
        <w:tblLook w:val="04A0"/>
      </w:tblPr>
      <w:tblGrid>
        <w:gridCol w:w="278"/>
        <w:gridCol w:w="5930"/>
        <w:gridCol w:w="1526"/>
        <w:gridCol w:w="1590"/>
        <w:gridCol w:w="2136"/>
      </w:tblGrid>
      <w:tr w14:paraId="04B0FC6F" w14:textId="77777777" w:rsidTr="00651627">
        <w:tblPrEx>
          <w:tblW w:w="11460" w:type="dxa"/>
          <w:tblLook w:val="04A0"/>
        </w:tblPrEx>
        <w:trPr>
          <w:trHeight w:val="720"/>
        </w:trPr>
        <w:tc>
          <w:tcPr>
            <w:tcW w:w="62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F6DE2" w:rsidRPr="004D52BC" w14:paraId="54D40B45" w14:textId="6C38CDB1">
            <w:pPr>
              <w:jc w:val="center"/>
              <w:rPr>
                <w:b/>
                <w:bCs/>
                <w:color w:val="000000"/>
              </w:rPr>
            </w:pPr>
            <w:r w:rsidRPr="004D52BC">
              <w:rPr>
                <w:b/>
                <w:bCs/>
                <w:color w:val="000000"/>
              </w:rPr>
              <w:t>Year 1</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EF6DE2" w:rsidRPr="004D52BC" w14:paraId="40999A78" w14:textId="77777777">
            <w:pPr>
              <w:jc w:val="center"/>
              <w:rPr>
                <w:b/>
                <w:bCs/>
                <w:color w:val="000000"/>
              </w:rPr>
            </w:pPr>
            <w:r w:rsidRPr="004D52BC">
              <w:rPr>
                <w:b/>
                <w:bCs/>
                <w:color w:val="000000"/>
              </w:rPr>
              <w:t xml:space="preserve">(C)  Hours/ Respondent/ </w:t>
            </w:r>
            <w:r w:rsidRPr="004D52BC">
              <w:rPr>
                <w:b/>
                <w:bCs/>
                <w:color w:val="000000"/>
              </w:rPr>
              <w:br/>
              <w:t>Year (A x B)</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EF6DE2" w:rsidRPr="004D52BC" w14:paraId="5FC7C5C8" w14:textId="77777777">
            <w:pPr>
              <w:jc w:val="center"/>
              <w:rPr>
                <w:b/>
                <w:bCs/>
                <w:color w:val="000000"/>
              </w:rPr>
            </w:pPr>
            <w:r w:rsidRPr="004D52BC">
              <w:rPr>
                <w:b/>
                <w:bCs/>
                <w:color w:val="000000"/>
              </w:rPr>
              <w:t>(D)  Respondents/ Year</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EF6DE2" w:rsidRPr="004D52BC" w14:paraId="0DFB81D8" w14:textId="77777777">
            <w:pPr>
              <w:jc w:val="center"/>
              <w:rPr>
                <w:b/>
                <w:bCs/>
              </w:rPr>
            </w:pPr>
            <w:r w:rsidRPr="004D52BC">
              <w:rPr>
                <w:b/>
                <w:bCs/>
              </w:rPr>
              <w:t>(H)  Cost/ Year</w:t>
            </w:r>
          </w:p>
        </w:tc>
      </w:tr>
      <w:tr w14:paraId="699019AE" w14:textId="77777777" w:rsidTr="00651627">
        <w:tblPrEx>
          <w:tblW w:w="11460" w:type="dxa"/>
          <w:tblLook w:val="04A0"/>
        </w:tblPrEx>
        <w:trPr>
          <w:trHeight w:val="240"/>
        </w:trPr>
        <w:tc>
          <w:tcPr>
            <w:tcW w:w="6208" w:type="dxa"/>
            <w:gridSpan w:val="2"/>
            <w:tcBorders>
              <w:top w:val="single" w:sz="4" w:space="0" w:color="auto"/>
              <w:left w:val="single" w:sz="4" w:space="0" w:color="auto"/>
              <w:bottom w:val="single" w:sz="4" w:space="0" w:color="000000"/>
              <w:right w:val="nil"/>
            </w:tcBorders>
            <w:shd w:val="clear" w:color="auto" w:fill="auto"/>
            <w:vAlign w:val="center"/>
            <w:hideMark/>
          </w:tcPr>
          <w:p w:rsidR="00EF6DE2" w:rsidRPr="004D52BC" w14:paraId="14D0F44F" w14:textId="77777777">
            <w:r w:rsidRPr="004D52BC">
              <w:t>TOTAL ANNUAL LABOR BURDEN AND COST</w:t>
            </w:r>
          </w:p>
        </w:tc>
        <w:tc>
          <w:tcPr>
            <w:tcW w:w="1526" w:type="dxa"/>
            <w:tcBorders>
              <w:top w:val="nil"/>
              <w:left w:val="nil"/>
              <w:bottom w:val="single" w:sz="4" w:space="0" w:color="auto"/>
              <w:right w:val="single" w:sz="4" w:space="0" w:color="auto"/>
            </w:tcBorders>
            <w:shd w:val="clear" w:color="auto" w:fill="auto"/>
            <w:vAlign w:val="center"/>
            <w:hideMark/>
          </w:tcPr>
          <w:p w:rsidR="00EF6DE2" w:rsidRPr="004D52BC" w:rsidP="00460A96" w14:paraId="436D5AD3" w14:textId="2FE4D2C2">
            <w:pPr>
              <w:jc w:val="right"/>
            </w:pPr>
          </w:p>
        </w:tc>
        <w:tc>
          <w:tcPr>
            <w:tcW w:w="1590" w:type="dxa"/>
            <w:tcBorders>
              <w:top w:val="nil"/>
              <w:left w:val="nil"/>
              <w:bottom w:val="single" w:sz="4" w:space="0" w:color="auto"/>
              <w:right w:val="single" w:sz="4" w:space="0" w:color="auto"/>
            </w:tcBorders>
            <w:shd w:val="clear" w:color="auto" w:fill="auto"/>
            <w:vAlign w:val="center"/>
            <w:hideMark/>
          </w:tcPr>
          <w:p w:rsidR="00EF6DE2" w:rsidRPr="004D52BC" w:rsidP="00460A96" w14:paraId="55422EB0" w14:textId="5832F4BB">
            <w:pPr>
              <w:jc w:val="right"/>
            </w:pPr>
            <w:r>
              <w:t>535</w:t>
            </w:r>
          </w:p>
        </w:tc>
        <w:tc>
          <w:tcPr>
            <w:tcW w:w="2136" w:type="dxa"/>
            <w:tcBorders>
              <w:top w:val="nil"/>
              <w:left w:val="nil"/>
              <w:bottom w:val="single" w:sz="4" w:space="0" w:color="auto"/>
              <w:right w:val="single" w:sz="4" w:space="0" w:color="auto"/>
            </w:tcBorders>
            <w:shd w:val="clear" w:color="auto" w:fill="auto"/>
            <w:vAlign w:val="center"/>
            <w:hideMark/>
          </w:tcPr>
          <w:p w:rsidR="00EF6DE2" w:rsidRPr="004D52BC" w:rsidP="00460A96" w14:paraId="6705EE33" w14:textId="31A2AABC">
            <w:pPr>
              <w:jc w:val="right"/>
            </w:pPr>
            <w:r w:rsidRPr="00CA29B6">
              <w:t>$2,0</w:t>
            </w:r>
            <w:r w:rsidR="00BD0F31">
              <w:t>46</w:t>
            </w:r>
            <w:r w:rsidRPr="00CA29B6">
              <w:t>,5</w:t>
            </w:r>
            <w:r w:rsidR="00BD0F31">
              <w:t>12</w:t>
            </w:r>
          </w:p>
        </w:tc>
      </w:tr>
      <w:tr w14:paraId="57FBB32F" w14:textId="77777777" w:rsidTr="00651627">
        <w:tblPrEx>
          <w:tblW w:w="11460" w:type="dxa"/>
          <w:tblLook w:val="04A0"/>
        </w:tblPrEx>
        <w:trPr>
          <w:trHeight w:val="240"/>
        </w:trPr>
        <w:tc>
          <w:tcPr>
            <w:tcW w:w="6208" w:type="dxa"/>
            <w:gridSpan w:val="2"/>
            <w:tcBorders>
              <w:top w:val="single" w:sz="4" w:space="0" w:color="auto"/>
              <w:left w:val="single" w:sz="4" w:space="0" w:color="auto"/>
              <w:bottom w:val="single" w:sz="4" w:space="0" w:color="auto"/>
              <w:right w:val="nil"/>
            </w:tcBorders>
            <w:shd w:val="clear" w:color="auto" w:fill="auto"/>
            <w:vAlign w:val="bottom"/>
            <w:hideMark/>
          </w:tcPr>
          <w:p w:rsidR="00EF6DE2" w:rsidRPr="004D52BC" w14:paraId="30A69ED3" w14:textId="77777777">
            <w:r w:rsidRPr="004D52BC">
              <w:t>ANNUALIZED CAPITAL COSTS</w:t>
            </w:r>
          </w:p>
        </w:tc>
        <w:tc>
          <w:tcPr>
            <w:tcW w:w="1526" w:type="dxa"/>
            <w:tcBorders>
              <w:top w:val="nil"/>
              <w:left w:val="nil"/>
              <w:bottom w:val="single" w:sz="4" w:space="0" w:color="auto"/>
              <w:right w:val="single" w:sz="4" w:space="0" w:color="auto"/>
            </w:tcBorders>
            <w:shd w:val="clear" w:color="auto" w:fill="auto"/>
            <w:vAlign w:val="center"/>
            <w:hideMark/>
          </w:tcPr>
          <w:p w:rsidR="00EF6DE2" w:rsidRPr="004D52BC" w:rsidP="00460A96" w14:paraId="289E3B55" w14:textId="77777777">
            <w:pPr>
              <w:jc w:val="right"/>
            </w:pPr>
            <w:r w:rsidRPr="004D52BC">
              <w:t> </w:t>
            </w:r>
          </w:p>
        </w:tc>
        <w:tc>
          <w:tcPr>
            <w:tcW w:w="1590" w:type="dxa"/>
            <w:tcBorders>
              <w:top w:val="nil"/>
              <w:left w:val="nil"/>
              <w:bottom w:val="single" w:sz="4" w:space="0" w:color="auto"/>
              <w:right w:val="single" w:sz="4" w:space="0" w:color="auto"/>
            </w:tcBorders>
            <w:shd w:val="clear" w:color="auto" w:fill="auto"/>
            <w:vAlign w:val="center"/>
            <w:hideMark/>
          </w:tcPr>
          <w:p w:rsidR="00EF6DE2" w:rsidRPr="004D52BC" w:rsidP="00460A96" w14:paraId="5956E473" w14:textId="77777777">
            <w:pPr>
              <w:jc w:val="right"/>
            </w:pPr>
            <w:r w:rsidRPr="004D52BC">
              <w:t> </w:t>
            </w:r>
          </w:p>
        </w:tc>
        <w:tc>
          <w:tcPr>
            <w:tcW w:w="2136" w:type="dxa"/>
            <w:tcBorders>
              <w:top w:val="nil"/>
              <w:left w:val="nil"/>
              <w:bottom w:val="single" w:sz="4" w:space="0" w:color="auto"/>
              <w:right w:val="single" w:sz="4" w:space="0" w:color="auto"/>
            </w:tcBorders>
            <w:shd w:val="clear" w:color="auto" w:fill="auto"/>
            <w:vAlign w:val="center"/>
            <w:hideMark/>
          </w:tcPr>
          <w:p w:rsidR="00EF6DE2" w:rsidRPr="004D52BC" w:rsidP="00460A96" w14:paraId="758705F0" w14:textId="77777777">
            <w:pPr>
              <w:jc w:val="right"/>
            </w:pPr>
            <w:r w:rsidRPr="004D52BC">
              <w:t> </w:t>
            </w:r>
          </w:p>
        </w:tc>
      </w:tr>
      <w:tr w14:paraId="69E8D2E3" w14:textId="77777777" w:rsidTr="00651627">
        <w:tblPrEx>
          <w:tblW w:w="11460" w:type="dxa"/>
          <w:tblLook w:val="04A0"/>
        </w:tblPrEx>
        <w:trPr>
          <w:trHeight w:val="255"/>
        </w:trPr>
        <w:tc>
          <w:tcPr>
            <w:tcW w:w="278" w:type="dxa"/>
            <w:tcBorders>
              <w:top w:val="single" w:sz="4" w:space="0" w:color="auto"/>
              <w:left w:val="single" w:sz="4" w:space="0" w:color="auto"/>
              <w:bottom w:val="single" w:sz="4" w:space="0" w:color="auto"/>
              <w:right w:val="nil"/>
            </w:tcBorders>
            <w:shd w:val="clear" w:color="auto" w:fill="auto"/>
            <w:vAlign w:val="bottom"/>
            <w:hideMark/>
          </w:tcPr>
          <w:p w:rsidR="00556E22" w:rsidRPr="004D52BC" w:rsidP="00556E22" w14:paraId="6E15FA99" w14:textId="77777777">
            <w:r w:rsidRPr="004D52BC">
              <w:t> </w:t>
            </w:r>
          </w:p>
        </w:tc>
        <w:tc>
          <w:tcPr>
            <w:tcW w:w="5930" w:type="dxa"/>
            <w:tcBorders>
              <w:top w:val="single" w:sz="4" w:space="0" w:color="auto"/>
              <w:left w:val="nil"/>
              <w:bottom w:val="single" w:sz="4" w:space="0" w:color="auto"/>
              <w:right w:val="nil"/>
            </w:tcBorders>
            <w:shd w:val="clear" w:color="auto" w:fill="auto"/>
            <w:vAlign w:val="bottom"/>
            <w:hideMark/>
          </w:tcPr>
          <w:p w:rsidR="00556E22" w:rsidRPr="004D52BC" w:rsidP="00556E22" w14:paraId="5C3BA855" w14:textId="3788D393">
            <w:r w:rsidRPr="004D52BC">
              <w:t>Annualized Capital Costs for Recordkeeping</w:t>
            </w:r>
            <w:r w:rsidRPr="004D52BC">
              <w:rPr>
                <w:vertAlign w:val="superscript"/>
              </w:rPr>
              <w:t xml:space="preserve"> </w:t>
            </w:r>
            <w:r w:rsidR="00080E95">
              <w:rPr>
                <w:vertAlign w:val="superscript"/>
              </w:rPr>
              <w:t>l</w:t>
            </w:r>
          </w:p>
        </w:tc>
        <w:tc>
          <w:tcPr>
            <w:tcW w:w="1526" w:type="dxa"/>
            <w:tcBorders>
              <w:top w:val="nil"/>
              <w:left w:val="nil"/>
              <w:bottom w:val="single" w:sz="4" w:space="0" w:color="auto"/>
              <w:right w:val="single" w:sz="4" w:space="0" w:color="auto"/>
            </w:tcBorders>
            <w:shd w:val="clear" w:color="auto" w:fill="auto"/>
            <w:vAlign w:val="center"/>
            <w:hideMark/>
          </w:tcPr>
          <w:p w:rsidR="00556E22" w:rsidRPr="004D52BC" w:rsidP="00556E22" w14:paraId="0D3ACEA8" w14:textId="7656E647">
            <w:pPr>
              <w:jc w:val="right"/>
            </w:pPr>
          </w:p>
        </w:tc>
        <w:tc>
          <w:tcPr>
            <w:tcW w:w="1590" w:type="dxa"/>
            <w:tcBorders>
              <w:top w:val="nil"/>
              <w:left w:val="nil"/>
              <w:bottom w:val="single" w:sz="4" w:space="0" w:color="auto"/>
              <w:right w:val="single" w:sz="4" w:space="0" w:color="auto"/>
            </w:tcBorders>
            <w:shd w:val="clear" w:color="auto" w:fill="auto"/>
            <w:vAlign w:val="center"/>
            <w:hideMark/>
          </w:tcPr>
          <w:p w:rsidR="00556E22" w:rsidRPr="004D52BC" w:rsidP="00556E22" w14:paraId="2416C6FE" w14:textId="173BC4C7">
            <w:pPr>
              <w:jc w:val="right"/>
            </w:pPr>
            <w:r>
              <w:t>535</w:t>
            </w:r>
          </w:p>
        </w:tc>
        <w:tc>
          <w:tcPr>
            <w:tcW w:w="2136" w:type="dxa"/>
            <w:tcBorders>
              <w:top w:val="nil"/>
              <w:left w:val="nil"/>
              <w:bottom w:val="single" w:sz="4" w:space="0" w:color="auto"/>
              <w:right w:val="single" w:sz="4" w:space="0" w:color="auto"/>
            </w:tcBorders>
            <w:shd w:val="clear" w:color="auto" w:fill="auto"/>
            <w:hideMark/>
          </w:tcPr>
          <w:p w:rsidR="00556E22" w:rsidRPr="004D52BC" w:rsidP="00556E22" w14:paraId="18DCCE73" w14:textId="22E2BFEB">
            <w:pPr>
              <w:jc w:val="right"/>
            </w:pPr>
            <w:r w:rsidRPr="00CA29B6">
              <w:t>$30,495</w:t>
            </w:r>
          </w:p>
        </w:tc>
      </w:tr>
      <w:tr w14:paraId="458C5ABE" w14:textId="77777777" w:rsidTr="00651627">
        <w:tblPrEx>
          <w:tblW w:w="11460" w:type="dxa"/>
          <w:tblLook w:val="04A0"/>
        </w:tblPrEx>
        <w:trPr>
          <w:trHeight w:val="240"/>
        </w:trPr>
        <w:tc>
          <w:tcPr>
            <w:tcW w:w="278" w:type="dxa"/>
            <w:tcBorders>
              <w:top w:val="nil"/>
              <w:left w:val="single" w:sz="4" w:space="0" w:color="auto"/>
              <w:bottom w:val="single" w:sz="4" w:space="0" w:color="auto"/>
              <w:right w:val="nil"/>
            </w:tcBorders>
            <w:shd w:val="clear" w:color="auto" w:fill="auto"/>
            <w:vAlign w:val="bottom"/>
            <w:hideMark/>
          </w:tcPr>
          <w:p w:rsidR="00556E22" w:rsidRPr="004D52BC" w:rsidP="00556E22" w14:paraId="23EF48C0" w14:textId="77777777">
            <w:r w:rsidRPr="004D52BC">
              <w:t> </w:t>
            </w:r>
          </w:p>
        </w:tc>
        <w:tc>
          <w:tcPr>
            <w:tcW w:w="5930" w:type="dxa"/>
            <w:tcBorders>
              <w:top w:val="single" w:sz="4" w:space="0" w:color="auto"/>
              <w:left w:val="nil"/>
              <w:bottom w:val="single" w:sz="4" w:space="0" w:color="auto"/>
              <w:right w:val="nil"/>
            </w:tcBorders>
            <w:shd w:val="clear" w:color="auto" w:fill="auto"/>
            <w:vAlign w:val="bottom"/>
            <w:hideMark/>
          </w:tcPr>
          <w:p w:rsidR="00556E22" w:rsidRPr="004D52BC" w:rsidP="00556E22" w14:paraId="2DC6B203" w14:textId="77777777">
            <w:r w:rsidRPr="004D52BC">
              <w:t>Other Capital Costs of Installation (ODC and Labor)</w:t>
            </w:r>
          </w:p>
        </w:tc>
        <w:tc>
          <w:tcPr>
            <w:tcW w:w="1526" w:type="dxa"/>
            <w:tcBorders>
              <w:top w:val="nil"/>
              <w:left w:val="nil"/>
              <w:bottom w:val="single" w:sz="4" w:space="0" w:color="auto"/>
              <w:right w:val="single" w:sz="4" w:space="0" w:color="auto"/>
            </w:tcBorders>
            <w:shd w:val="clear" w:color="auto" w:fill="auto"/>
            <w:vAlign w:val="center"/>
            <w:hideMark/>
          </w:tcPr>
          <w:p w:rsidR="00556E22" w:rsidRPr="004D52BC" w:rsidP="00556E22" w14:paraId="55B39CEC" w14:textId="77777777">
            <w:pPr>
              <w:jc w:val="right"/>
            </w:pPr>
            <w:r w:rsidRPr="004D52BC">
              <w:t> </w:t>
            </w:r>
          </w:p>
        </w:tc>
        <w:tc>
          <w:tcPr>
            <w:tcW w:w="1590" w:type="dxa"/>
            <w:tcBorders>
              <w:top w:val="nil"/>
              <w:left w:val="nil"/>
              <w:bottom w:val="single" w:sz="4" w:space="0" w:color="auto"/>
              <w:right w:val="single" w:sz="4" w:space="0" w:color="auto"/>
            </w:tcBorders>
            <w:shd w:val="clear" w:color="auto" w:fill="auto"/>
            <w:vAlign w:val="center"/>
            <w:hideMark/>
          </w:tcPr>
          <w:p w:rsidR="00556E22" w:rsidRPr="004D52BC" w:rsidP="00556E22" w14:paraId="6697DF27" w14:textId="77777777">
            <w:pPr>
              <w:jc w:val="right"/>
            </w:pPr>
            <w:r w:rsidRPr="004D52BC">
              <w:t> </w:t>
            </w:r>
          </w:p>
        </w:tc>
        <w:tc>
          <w:tcPr>
            <w:tcW w:w="2136" w:type="dxa"/>
            <w:tcBorders>
              <w:top w:val="nil"/>
              <w:left w:val="nil"/>
              <w:bottom w:val="single" w:sz="4" w:space="0" w:color="auto"/>
              <w:right w:val="single" w:sz="4" w:space="0" w:color="auto"/>
            </w:tcBorders>
            <w:shd w:val="clear" w:color="auto" w:fill="auto"/>
            <w:hideMark/>
          </w:tcPr>
          <w:p w:rsidR="00556E22" w:rsidRPr="004D52BC" w:rsidP="00556E22" w14:paraId="6B58B7B4" w14:textId="3A59F4EE">
            <w:pPr>
              <w:jc w:val="right"/>
            </w:pPr>
          </w:p>
        </w:tc>
      </w:tr>
      <w:tr w14:paraId="5BC66BEA" w14:textId="77777777" w:rsidTr="00651627">
        <w:tblPrEx>
          <w:tblW w:w="11460" w:type="dxa"/>
          <w:tblLook w:val="04A0"/>
        </w:tblPrEx>
        <w:trPr>
          <w:trHeight w:val="240"/>
        </w:trPr>
        <w:tc>
          <w:tcPr>
            <w:tcW w:w="278" w:type="dxa"/>
            <w:tcBorders>
              <w:top w:val="nil"/>
              <w:left w:val="single" w:sz="4" w:space="0" w:color="auto"/>
              <w:bottom w:val="single" w:sz="4" w:space="0" w:color="auto"/>
              <w:right w:val="nil"/>
            </w:tcBorders>
            <w:shd w:val="clear" w:color="auto" w:fill="auto"/>
            <w:vAlign w:val="bottom"/>
            <w:hideMark/>
          </w:tcPr>
          <w:p w:rsidR="00556E22" w:rsidRPr="004D52BC" w:rsidP="00556E22" w14:paraId="348209A9" w14:textId="77777777">
            <w:r w:rsidRPr="004D52BC">
              <w:t> </w:t>
            </w:r>
          </w:p>
        </w:tc>
        <w:tc>
          <w:tcPr>
            <w:tcW w:w="5930" w:type="dxa"/>
            <w:tcBorders>
              <w:top w:val="single" w:sz="4" w:space="0" w:color="auto"/>
              <w:left w:val="nil"/>
              <w:bottom w:val="single" w:sz="4" w:space="0" w:color="auto"/>
              <w:right w:val="nil"/>
            </w:tcBorders>
            <w:shd w:val="clear" w:color="auto" w:fill="auto"/>
            <w:vAlign w:val="bottom"/>
            <w:hideMark/>
          </w:tcPr>
          <w:p w:rsidR="00556E22" w:rsidRPr="004D52BC" w:rsidP="00556E22" w14:paraId="7BB95BAD" w14:textId="77777777">
            <w:r w:rsidRPr="004D52BC">
              <w:t>Total annual capital</w:t>
            </w:r>
          </w:p>
        </w:tc>
        <w:tc>
          <w:tcPr>
            <w:tcW w:w="1526" w:type="dxa"/>
            <w:tcBorders>
              <w:top w:val="nil"/>
              <w:left w:val="nil"/>
              <w:bottom w:val="single" w:sz="4" w:space="0" w:color="auto"/>
              <w:right w:val="single" w:sz="4" w:space="0" w:color="auto"/>
            </w:tcBorders>
            <w:shd w:val="clear" w:color="auto" w:fill="auto"/>
            <w:vAlign w:val="center"/>
            <w:hideMark/>
          </w:tcPr>
          <w:p w:rsidR="00556E22" w:rsidRPr="004D52BC" w:rsidP="00556E22" w14:paraId="21BF08F8" w14:textId="77777777">
            <w:pPr>
              <w:jc w:val="right"/>
            </w:pPr>
            <w:r w:rsidRPr="004D52BC">
              <w:t> </w:t>
            </w:r>
          </w:p>
        </w:tc>
        <w:tc>
          <w:tcPr>
            <w:tcW w:w="1590" w:type="dxa"/>
            <w:tcBorders>
              <w:top w:val="nil"/>
              <w:left w:val="nil"/>
              <w:bottom w:val="single" w:sz="4" w:space="0" w:color="auto"/>
              <w:right w:val="single" w:sz="4" w:space="0" w:color="auto"/>
            </w:tcBorders>
            <w:shd w:val="clear" w:color="auto" w:fill="auto"/>
            <w:vAlign w:val="center"/>
            <w:hideMark/>
          </w:tcPr>
          <w:p w:rsidR="00556E22" w:rsidRPr="004D52BC" w:rsidP="00556E22" w14:paraId="38C7E99C" w14:textId="77777777">
            <w:pPr>
              <w:jc w:val="right"/>
            </w:pPr>
            <w:r w:rsidRPr="004D52BC">
              <w:t> </w:t>
            </w:r>
          </w:p>
        </w:tc>
        <w:tc>
          <w:tcPr>
            <w:tcW w:w="2136" w:type="dxa"/>
            <w:tcBorders>
              <w:top w:val="nil"/>
              <w:left w:val="nil"/>
              <w:bottom w:val="single" w:sz="4" w:space="0" w:color="auto"/>
              <w:right w:val="single" w:sz="4" w:space="0" w:color="auto"/>
            </w:tcBorders>
            <w:shd w:val="clear" w:color="auto" w:fill="auto"/>
            <w:hideMark/>
          </w:tcPr>
          <w:p w:rsidR="00556E22" w:rsidRPr="004D52BC" w:rsidP="00556E22" w14:paraId="6859E581" w14:textId="35F511BF">
            <w:pPr>
              <w:jc w:val="right"/>
            </w:pPr>
            <w:r w:rsidRPr="00351999">
              <w:t xml:space="preserve"> </w:t>
            </w:r>
            <w:r w:rsidRPr="00CA29B6" w:rsidR="00CA29B6">
              <w:t>$30,495</w:t>
            </w:r>
            <w:r w:rsidRPr="00351999">
              <w:t xml:space="preserve"> </w:t>
            </w:r>
          </w:p>
        </w:tc>
      </w:tr>
      <w:tr w14:paraId="44F563E4" w14:textId="77777777" w:rsidTr="00651627">
        <w:tblPrEx>
          <w:tblW w:w="11460" w:type="dxa"/>
          <w:tblLook w:val="04A0"/>
        </w:tblPrEx>
        <w:trPr>
          <w:trHeight w:val="240"/>
        </w:trPr>
        <w:tc>
          <w:tcPr>
            <w:tcW w:w="6208" w:type="dxa"/>
            <w:gridSpan w:val="2"/>
            <w:tcBorders>
              <w:top w:val="single" w:sz="4" w:space="0" w:color="auto"/>
              <w:left w:val="single" w:sz="4" w:space="0" w:color="auto"/>
              <w:bottom w:val="single" w:sz="4" w:space="0" w:color="auto"/>
              <w:right w:val="nil"/>
            </w:tcBorders>
            <w:shd w:val="clear" w:color="auto" w:fill="auto"/>
            <w:vAlign w:val="bottom"/>
            <w:hideMark/>
          </w:tcPr>
          <w:p w:rsidR="00556E22" w:rsidRPr="004D52BC" w:rsidP="00556E22" w14:paraId="6626D8FB" w14:textId="77777777">
            <w:r w:rsidRPr="004D52BC">
              <w:t>TOTAL ANNUAL COSTS (O&amp;M)</w:t>
            </w:r>
          </w:p>
        </w:tc>
        <w:tc>
          <w:tcPr>
            <w:tcW w:w="1526" w:type="dxa"/>
            <w:tcBorders>
              <w:top w:val="nil"/>
              <w:left w:val="nil"/>
              <w:bottom w:val="single" w:sz="4" w:space="0" w:color="auto"/>
              <w:right w:val="single" w:sz="4" w:space="0" w:color="auto"/>
            </w:tcBorders>
            <w:shd w:val="clear" w:color="auto" w:fill="auto"/>
            <w:vAlign w:val="center"/>
            <w:hideMark/>
          </w:tcPr>
          <w:p w:rsidR="00556E22" w:rsidRPr="004D52BC" w:rsidP="00556E22" w14:paraId="06C4CB2C" w14:textId="77777777">
            <w:pPr>
              <w:jc w:val="right"/>
            </w:pPr>
            <w:r w:rsidRPr="004D52BC">
              <w:t> </w:t>
            </w:r>
          </w:p>
        </w:tc>
        <w:tc>
          <w:tcPr>
            <w:tcW w:w="1590" w:type="dxa"/>
            <w:tcBorders>
              <w:top w:val="nil"/>
              <w:left w:val="nil"/>
              <w:bottom w:val="single" w:sz="4" w:space="0" w:color="auto"/>
              <w:right w:val="single" w:sz="4" w:space="0" w:color="auto"/>
            </w:tcBorders>
            <w:shd w:val="clear" w:color="auto" w:fill="auto"/>
            <w:vAlign w:val="center"/>
            <w:hideMark/>
          </w:tcPr>
          <w:p w:rsidR="00556E22" w:rsidRPr="004D52BC" w:rsidP="00556E22" w14:paraId="46B2FDDF" w14:textId="77777777">
            <w:pPr>
              <w:jc w:val="right"/>
            </w:pPr>
            <w:r w:rsidRPr="004D52BC">
              <w:t> </w:t>
            </w:r>
          </w:p>
        </w:tc>
        <w:tc>
          <w:tcPr>
            <w:tcW w:w="2136" w:type="dxa"/>
            <w:tcBorders>
              <w:top w:val="nil"/>
              <w:left w:val="nil"/>
              <w:bottom w:val="single" w:sz="4" w:space="0" w:color="auto"/>
              <w:right w:val="single" w:sz="4" w:space="0" w:color="auto"/>
            </w:tcBorders>
            <w:shd w:val="clear" w:color="auto" w:fill="auto"/>
            <w:vAlign w:val="center"/>
            <w:hideMark/>
          </w:tcPr>
          <w:p w:rsidR="00556E22" w:rsidRPr="004D52BC" w:rsidP="00556E22" w14:paraId="5BC23844" w14:textId="2FEB6824">
            <w:pPr>
              <w:jc w:val="right"/>
            </w:pPr>
            <w:r w:rsidRPr="004D52BC">
              <w:t xml:space="preserve"> $-   </w:t>
            </w:r>
          </w:p>
        </w:tc>
      </w:tr>
      <w:tr w14:paraId="65871A99" w14:textId="77777777" w:rsidTr="00651627">
        <w:tblPrEx>
          <w:tblW w:w="11460" w:type="dxa"/>
          <w:tblLook w:val="04A0"/>
        </w:tblPrEx>
        <w:trPr>
          <w:trHeight w:val="240"/>
        </w:trPr>
        <w:tc>
          <w:tcPr>
            <w:tcW w:w="77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6E22" w:rsidRPr="004D52BC" w:rsidP="00CA29B6" w14:paraId="5BE363F7" w14:textId="738AE518">
            <w:r w:rsidRPr="004D52BC">
              <w:t>TOTAL ANNUALIZED COSTS (Annualized capital + O&amp;M costs)</w:t>
            </w:r>
            <w:r w:rsidRPr="004D52BC">
              <w:t> </w:t>
            </w:r>
          </w:p>
        </w:tc>
        <w:tc>
          <w:tcPr>
            <w:tcW w:w="1590" w:type="dxa"/>
            <w:tcBorders>
              <w:top w:val="nil"/>
              <w:left w:val="nil"/>
              <w:bottom w:val="single" w:sz="4" w:space="0" w:color="auto"/>
              <w:right w:val="single" w:sz="4" w:space="0" w:color="auto"/>
            </w:tcBorders>
            <w:shd w:val="clear" w:color="auto" w:fill="auto"/>
            <w:vAlign w:val="center"/>
            <w:hideMark/>
          </w:tcPr>
          <w:p w:rsidR="00556E22" w:rsidRPr="004D52BC" w:rsidP="00556E22" w14:paraId="3D7ED3D2" w14:textId="77777777">
            <w:pPr>
              <w:jc w:val="right"/>
            </w:pPr>
            <w:r w:rsidRPr="004D52BC">
              <w:t> </w:t>
            </w:r>
          </w:p>
        </w:tc>
        <w:tc>
          <w:tcPr>
            <w:tcW w:w="2136" w:type="dxa"/>
            <w:tcBorders>
              <w:top w:val="nil"/>
              <w:left w:val="nil"/>
              <w:bottom w:val="single" w:sz="4" w:space="0" w:color="auto"/>
              <w:right w:val="single" w:sz="4" w:space="0" w:color="auto"/>
            </w:tcBorders>
            <w:shd w:val="clear" w:color="auto" w:fill="auto"/>
            <w:vAlign w:val="center"/>
            <w:hideMark/>
          </w:tcPr>
          <w:p w:rsidR="00556E22" w:rsidRPr="004D52BC" w:rsidP="00556E22" w14:paraId="4590F801" w14:textId="60412B0C">
            <w:pPr>
              <w:jc w:val="right"/>
            </w:pPr>
            <w:r w:rsidRPr="004D52BC">
              <w:t xml:space="preserve"> $</w:t>
            </w:r>
            <w:r w:rsidRPr="00CA29B6" w:rsidR="00CA29B6">
              <w:t>30,495</w:t>
            </w:r>
          </w:p>
        </w:tc>
      </w:tr>
      <w:tr w14:paraId="3F4AAA44" w14:textId="77777777" w:rsidTr="00651627">
        <w:tblPrEx>
          <w:tblW w:w="11460" w:type="dxa"/>
          <w:tblLook w:val="04A0"/>
        </w:tblPrEx>
        <w:trPr>
          <w:trHeight w:val="240"/>
        </w:trPr>
        <w:tc>
          <w:tcPr>
            <w:tcW w:w="77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56E22" w:rsidRPr="004D52BC" w:rsidP="00556E22" w14:paraId="291F5B1B" w14:textId="5D665416">
            <w:r w:rsidRPr="004D52BC">
              <w:t>TOTAL COSTS (Labor, annualized capital, and O&amp;M) </w:t>
            </w:r>
          </w:p>
        </w:tc>
        <w:tc>
          <w:tcPr>
            <w:tcW w:w="1590" w:type="dxa"/>
            <w:tcBorders>
              <w:top w:val="nil"/>
              <w:left w:val="nil"/>
              <w:bottom w:val="single" w:sz="4" w:space="0" w:color="auto"/>
              <w:right w:val="single" w:sz="4" w:space="0" w:color="auto"/>
            </w:tcBorders>
            <w:shd w:val="clear" w:color="auto" w:fill="auto"/>
            <w:vAlign w:val="bottom"/>
            <w:hideMark/>
          </w:tcPr>
          <w:p w:rsidR="00556E22" w:rsidRPr="004D52BC" w:rsidP="00556E22" w14:paraId="32F6E8F6" w14:textId="77777777">
            <w:pPr>
              <w:jc w:val="right"/>
            </w:pPr>
            <w:r w:rsidRPr="004D52BC">
              <w:t> </w:t>
            </w:r>
          </w:p>
        </w:tc>
        <w:tc>
          <w:tcPr>
            <w:tcW w:w="2136" w:type="dxa"/>
            <w:tcBorders>
              <w:top w:val="nil"/>
              <w:left w:val="nil"/>
              <w:bottom w:val="single" w:sz="4" w:space="0" w:color="auto"/>
              <w:right w:val="single" w:sz="4" w:space="0" w:color="auto"/>
            </w:tcBorders>
            <w:shd w:val="clear" w:color="auto" w:fill="auto"/>
            <w:vAlign w:val="bottom"/>
            <w:hideMark/>
          </w:tcPr>
          <w:p w:rsidR="00556E22" w:rsidRPr="004D52BC" w:rsidP="00556E22" w14:paraId="68621E72" w14:textId="034146CE">
            <w:pPr>
              <w:jc w:val="right"/>
            </w:pPr>
            <w:r w:rsidRPr="004D52BC">
              <w:t xml:space="preserve"> </w:t>
            </w:r>
            <w:r w:rsidRPr="00CA29B6" w:rsidR="00CA29B6">
              <w:t>$2,0</w:t>
            </w:r>
            <w:r w:rsidR="00BD0F31">
              <w:t>77</w:t>
            </w:r>
            <w:r w:rsidRPr="00CA29B6" w:rsidR="00CA29B6">
              <w:t>,0</w:t>
            </w:r>
            <w:r w:rsidR="00BD0F31">
              <w:t>07</w:t>
            </w:r>
          </w:p>
          <w:p w:rsidR="00556E22" w:rsidRPr="004D52BC" w:rsidP="00556E22" w14:paraId="4553EA27" w14:textId="02F8AAC1">
            <w:pPr>
              <w:jc w:val="right"/>
            </w:pPr>
          </w:p>
        </w:tc>
      </w:tr>
    </w:tbl>
    <w:p w:rsidR="003C50FF" w:rsidRPr="004D52BC" w:rsidP="00D1272F" w14:paraId="38EAE33A" w14:textId="77777777">
      <w:pPr>
        <w:rPr>
          <w:b/>
          <w:bCs/>
        </w:rPr>
      </w:pPr>
    </w:p>
    <w:p w:rsidR="00331833" w:rsidRPr="004D52BC" w:rsidP="00D1272F" w14:paraId="57CA5601" w14:textId="77777777">
      <w:pPr>
        <w:rPr>
          <w:b/>
          <w:bCs/>
        </w:rPr>
      </w:pPr>
    </w:p>
    <w:p w:rsidR="00331833" w:rsidRPr="004D52BC" w:rsidP="00D1272F" w14:paraId="55152EFA" w14:textId="77777777">
      <w:pPr>
        <w:rPr>
          <w:b/>
          <w:bCs/>
        </w:rPr>
      </w:pPr>
    </w:p>
    <w:p w:rsidR="00331833" w:rsidRPr="004D52BC" w:rsidP="00D1272F" w14:paraId="389EFF27" w14:textId="77777777">
      <w:pPr>
        <w:rPr>
          <w:b/>
          <w:bCs/>
        </w:rPr>
      </w:pPr>
    </w:p>
    <w:p w:rsidR="00331833" w:rsidRPr="004D52BC" w:rsidP="00D1272F" w14:paraId="4C2CA420" w14:textId="77777777">
      <w:pPr>
        <w:rPr>
          <w:b/>
          <w:bCs/>
        </w:rPr>
      </w:pPr>
    </w:p>
    <w:p w:rsidR="00331833" w:rsidRPr="004D52BC" w:rsidP="00D1272F" w14:paraId="32007B0E" w14:textId="77777777">
      <w:pPr>
        <w:rPr>
          <w:b/>
          <w:bCs/>
        </w:rPr>
      </w:pPr>
    </w:p>
    <w:p w:rsidR="00331833" w:rsidRPr="004D52BC" w:rsidP="00D1272F" w14:paraId="0804E66E" w14:textId="77777777">
      <w:pPr>
        <w:rPr>
          <w:b/>
          <w:bCs/>
        </w:rPr>
      </w:pPr>
    </w:p>
    <w:p w:rsidR="00331833" w:rsidRPr="004D52BC" w:rsidP="00D1272F" w14:paraId="4F29EE68" w14:textId="77777777">
      <w:pPr>
        <w:rPr>
          <w:b/>
          <w:bCs/>
        </w:rPr>
      </w:pPr>
    </w:p>
    <w:p w:rsidR="00331833" w:rsidRPr="004D52BC" w:rsidP="00D1272F" w14:paraId="5EF32FA2" w14:textId="77777777">
      <w:pPr>
        <w:rPr>
          <w:b/>
          <w:bCs/>
        </w:rPr>
      </w:pPr>
    </w:p>
    <w:p w:rsidR="00331833" w:rsidRPr="004D52BC" w:rsidP="00D1272F" w14:paraId="2667EC8A" w14:textId="77777777">
      <w:pPr>
        <w:rPr>
          <w:b/>
          <w:bCs/>
        </w:rPr>
      </w:pPr>
    </w:p>
    <w:p w:rsidR="00ED0486" w:rsidRPr="004D52BC" w:rsidP="00562220" w14:paraId="6A4251E5" w14:textId="76D3A9F4">
      <w:pPr>
        <w:outlineLvl w:val="1"/>
        <w:rPr>
          <w:b/>
          <w:bCs/>
        </w:rPr>
      </w:pPr>
      <w:r w:rsidRPr="004D52BC">
        <w:rPr>
          <w:b/>
          <w:bCs/>
        </w:rPr>
        <w:t>Table 4. Part 99 Reporting Costs by WEC Applicable Facility Industry Segment and WEC Obligated Party, Years 2-3</w:t>
      </w:r>
    </w:p>
    <w:tbl>
      <w:tblPr>
        <w:tblW w:w="5384" w:type="pct"/>
        <w:tblLook w:val="04A0"/>
      </w:tblPr>
      <w:tblGrid>
        <w:gridCol w:w="276"/>
        <w:gridCol w:w="276"/>
        <w:gridCol w:w="5095"/>
        <w:gridCol w:w="1416"/>
        <w:gridCol w:w="2003"/>
        <w:gridCol w:w="1888"/>
        <w:gridCol w:w="1590"/>
        <w:gridCol w:w="1401"/>
      </w:tblGrid>
      <w:tr w14:paraId="65DD72BC" w14:textId="77777777" w:rsidTr="0074001A">
        <w:tblPrEx>
          <w:tblW w:w="5384" w:type="pct"/>
          <w:tblLook w:val="04A0"/>
        </w:tblPrEx>
        <w:trPr>
          <w:trHeight w:val="458"/>
          <w:tblHeader/>
        </w:trPr>
        <w:tc>
          <w:tcPr>
            <w:tcW w:w="203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D0486" w:rsidRPr="004D52BC" w:rsidP="008E07A6" w14:paraId="0D4CBFAC" w14:textId="2432D81D">
            <w:pPr>
              <w:jc w:val="center"/>
              <w:rPr>
                <w:b/>
                <w:bCs/>
                <w:color w:val="000000"/>
              </w:rPr>
            </w:pPr>
            <w:r w:rsidRPr="004D52BC">
              <w:rPr>
                <w:b/>
                <w:bCs/>
                <w:color w:val="000000"/>
              </w:rPr>
              <w:t xml:space="preserve">Year </w:t>
            </w:r>
            <w:r w:rsidRPr="004D52BC" w:rsidR="00AD097C">
              <w:rPr>
                <w:b/>
                <w:bCs/>
                <w:color w:val="000000"/>
              </w:rPr>
              <w:t>2 and Year 3</w:t>
            </w:r>
            <w:r w:rsidRPr="004D52BC">
              <w:rPr>
                <w:b/>
                <w:bCs/>
                <w:color w:val="000000"/>
              </w:rPr>
              <w:t xml:space="preserve">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5461D82A" w14:textId="77777777">
            <w:pPr>
              <w:jc w:val="center"/>
              <w:rPr>
                <w:b/>
                <w:bCs/>
                <w:color w:val="000000"/>
              </w:rPr>
            </w:pPr>
            <w:r w:rsidRPr="004D52BC">
              <w:rPr>
                <w:b/>
                <w:bCs/>
                <w:color w:val="000000"/>
              </w:rPr>
              <w:t>(A)  Hours per Occurrence</w:t>
            </w:r>
          </w:p>
        </w:tc>
        <w:tc>
          <w:tcPr>
            <w:tcW w:w="718" w:type="pct"/>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48AEA351" w14:textId="77777777">
            <w:pPr>
              <w:jc w:val="center"/>
              <w:rPr>
                <w:b/>
                <w:bCs/>
                <w:color w:val="000000"/>
              </w:rPr>
            </w:pPr>
            <w:r w:rsidRPr="004D52BC">
              <w:rPr>
                <w:b/>
                <w:bCs/>
                <w:color w:val="000000"/>
              </w:rPr>
              <w:t>(B)  Occurrences/ Respondent/Year</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6EBC2F04" w14:textId="77777777">
            <w:pPr>
              <w:jc w:val="center"/>
              <w:rPr>
                <w:b/>
                <w:bCs/>
                <w:color w:val="000000"/>
              </w:rPr>
            </w:pPr>
            <w:r w:rsidRPr="004D52BC">
              <w:rPr>
                <w:b/>
                <w:bCs/>
                <w:color w:val="000000"/>
              </w:rPr>
              <w:t xml:space="preserve">(C)  Hours/ Respondent/ </w:t>
            </w:r>
            <w:r w:rsidRPr="004D52BC">
              <w:rPr>
                <w:b/>
                <w:bCs/>
                <w:color w:val="000000"/>
              </w:rPr>
              <w:br/>
              <w:t>Year (A x B)</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4464AF6E" w14:textId="77777777">
            <w:pPr>
              <w:jc w:val="center"/>
              <w:rPr>
                <w:b/>
                <w:bCs/>
                <w:color w:val="000000"/>
              </w:rPr>
            </w:pPr>
            <w:r w:rsidRPr="004D52BC">
              <w:rPr>
                <w:b/>
                <w:bCs/>
                <w:color w:val="000000"/>
              </w:rPr>
              <w:t>(D)  Respondents/ Year</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65AAD5EB" w14:textId="77777777">
            <w:pPr>
              <w:jc w:val="center"/>
              <w:rPr>
                <w:b/>
                <w:bCs/>
              </w:rPr>
            </w:pPr>
            <w:r w:rsidRPr="004D52BC">
              <w:rPr>
                <w:b/>
                <w:bCs/>
              </w:rPr>
              <w:t>(H)  Cost/ Year</w:t>
            </w:r>
          </w:p>
        </w:tc>
      </w:tr>
      <w:tr w14:paraId="59C7074D" w14:textId="77777777" w:rsidTr="0074001A">
        <w:tblPrEx>
          <w:tblW w:w="5384" w:type="pct"/>
          <w:tblLook w:val="04A0"/>
        </w:tblPrEx>
        <w:trPr>
          <w:trHeight w:val="64"/>
        </w:trPr>
        <w:tc>
          <w:tcPr>
            <w:tcW w:w="203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D0486" w:rsidRPr="004D52BC" w:rsidP="008E07A6" w14:paraId="7B877261" w14:textId="77777777">
            <w:pPr>
              <w:rPr>
                <w:color w:val="000000"/>
              </w:rPr>
            </w:pPr>
            <w:r w:rsidRPr="004D52BC">
              <w:rPr>
                <w:color w:val="000000"/>
              </w:rPr>
              <w:t>1. APPLICATIONS (Not Applicable)</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163BFC83" w14:textId="77777777">
            <w:pPr>
              <w:rPr>
                <w:color w:val="000000"/>
              </w:rPr>
            </w:pPr>
            <w:r w:rsidRPr="004D52BC">
              <w:rPr>
                <w:color w:val="000000"/>
              </w:rPr>
              <w:t> </w:t>
            </w:r>
          </w:p>
        </w:tc>
        <w:tc>
          <w:tcPr>
            <w:tcW w:w="718" w:type="pct"/>
            <w:tcBorders>
              <w:top w:val="nil"/>
              <w:left w:val="nil"/>
              <w:bottom w:val="single" w:sz="4" w:space="0" w:color="auto"/>
              <w:right w:val="single" w:sz="4" w:space="0" w:color="auto"/>
            </w:tcBorders>
            <w:shd w:val="clear" w:color="auto" w:fill="auto"/>
            <w:vAlign w:val="bottom"/>
            <w:hideMark/>
          </w:tcPr>
          <w:p w:rsidR="00ED0486" w:rsidRPr="004D52BC" w:rsidP="008E07A6" w14:paraId="1652D814" w14:textId="77777777">
            <w:pPr>
              <w:rPr>
                <w:color w:val="000000"/>
              </w:rPr>
            </w:pPr>
            <w:r w:rsidRPr="004D52BC">
              <w:rPr>
                <w:color w:val="000000"/>
              </w:rPr>
              <w:t> </w:t>
            </w:r>
          </w:p>
        </w:tc>
        <w:tc>
          <w:tcPr>
            <w:tcW w:w="683" w:type="pct"/>
            <w:tcBorders>
              <w:top w:val="nil"/>
              <w:left w:val="nil"/>
              <w:bottom w:val="single" w:sz="4" w:space="0" w:color="auto"/>
              <w:right w:val="single" w:sz="4" w:space="0" w:color="auto"/>
            </w:tcBorders>
            <w:shd w:val="clear" w:color="auto" w:fill="auto"/>
            <w:vAlign w:val="bottom"/>
            <w:hideMark/>
          </w:tcPr>
          <w:p w:rsidR="00ED0486" w:rsidRPr="004D52BC" w:rsidP="008E07A6" w14:paraId="03382A5F" w14:textId="77777777">
            <w:pPr>
              <w:rPr>
                <w:color w:val="000000"/>
              </w:rPr>
            </w:pPr>
            <w:r w:rsidRPr="004D52BC">
              <w:rPr>
                <w:color w:val="000000"/>
              </w:rPr>
              <w:t> </w:t>
            </w:r>
          </w:p>
        </w:tc>
        <w:tc>
          <w:tcPr>
            <w:tcW w:w="570" w:type="pct"/>
            <w:tcBorders>
              <w:top w:val="nil"/>
              <w:left w:val="nil"/>
              <w:bottom w:val="single" w:sz="4" w:space="0" w:color="auto"/>
              <w:right w:val="single" w:sz="4" w:space="0" w:color="auto"/>
            </w:tcBorders>
            <w:shd w:val="clear" w:color="auto" w:fill="auto"/>
            <w:vAlign w:val="bottom"/>
            <w:hideMark/>
          </w:tcPr>
          <w:p w:rsidR="00ED0486" w:rsidRPr="004D52BC" w:rsidP="008E07A6" w14:paraId="1CBE2D58" w14:textId="77777777">
            <w:pPr>
              <w:rPr>
                <w:color w:val="000000"/>
              </w:rPr>
            </w:pPr>
            <w:r w:rsidRPr="004D52BC">
              <w:rPr>
                <w:color w:val="000000"/>
              </w:rPr>
              <w:t> </w:t>
            </w:r>
          </w:p>
        </w:tc>
        <w:tc>
          <w:tcPr>
            <w:tcW w:w="508" w:type="pct"/>
            <w:tcBorders>
              <w:top w:val="nil"/>
              <w:left w:val="nil"/>
              <w:bottom w:val="single" w:sz="4" w:space="0" w:color="auto"/>
              <w:right w:val="single" w:sz="4" w:space="0" w:color="auto"/>
            </w:tcBorders>
            <w:shd w:val="clear" w:color="auto" w:fill="auto"/>
            <w:vAlign w:val="bottom"/>
            <w:hideMark/>
          </w:tcPr>
          <w:p w:rsidR="00ED0486" w:rsidRPr="004D52BC" w:rsidP="008E07A6" w14:paraId="46DE509A" w14:textId="77777777">
            <w:r w:rsidRPr="004D52BC">
              <w:t> </w:t>
            </w:r>
          </w:p>
        </w:tc>
      </w:tr>
      <w:tr w14:paraId="71DACF20" w14:textId="77777777" w:rsidTr="0074001A">
        <w:tblPrEx>
          <w:tblW w:w="5384" w:type="pct"/>
          <w:tblLook w:val="04A0"/>
        </w:tblPrEx>
        <w:trPr>
          <w:trHeight w:val="64"/>
        </w:trPr>
        <w:tc>
          <w:tcPr>
            <w:tcW w:w="203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D0486" w:rsidRPr="004D52BC" w:rsidP="008E07A6" w14:paraId="436FE944" w14:textId="77777777">
            <w:pPr>
              <w:rPr>
                <w:color w:val="000000"/>
              </w:rPr>
            </w:pPr>
            <w:r w:rsidRPr="004D52BC">
              <w:rPr>
                <w:color w:val="000000"/>
              </w:rPr>
              <w:t>2. SURVEY AND STUDIES (Not Applicable)</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3754BCCE" w14:textId="77777777">
            <w:pPr>
              <w:rPr>
                <w:color w:val="000000"/>
              </w:rPr>
            </w:pPr>
            <w:r w:rsidRPr="004D52BC">
              <w:rPr>
                <w:color w:val="000000"/>
              </w:rPr>
              <w:t> </w:t>
            </w:r>
          </w:p>
        </w:tc>
        <w:tc>
          <w:tcPr>
            <w:tcW w:w="718" w:type="pct"/>
            <w:tcBorders>
              <w:top w:val="nil"/>
              <w:left w:val="nil"/>
              <w:bottom w:val="single" w:sz="4" w:space="0" w:color="auto"/>
              <w:right w:val="single" w:sz="4" w:space="0" w:color="auto"/>
            </w:tcBorders>
            <w:shd w:val="clear" w:color="auto" w:fill="auto"/>
            <w:vAlign w:val="bottom"/>
            <w:hideMark/>
          </w:tcPr>
          <w:p w:rsidR="00ED0486" w:rsidRPr="004D52BC" w:rsidP="008E07A6" w14:paraId="48DC0247" w14:textId="77777777">
            <w:pPr>
              <w:rPr>
                <w:color w:val="000000"/>
              </w:rPr>
            </w:pPr>
            <w:r w:rsidRPr="004D52BC">
              <w:rPr>
                <w:color w:val="000000"/>
              </w:rPr>
              <w:t> </w:t>
            </w:r>
          </w:p>
        </w:tc>
        <w:tc>
          <w:tcPr>
            <w:tcW w:w="683" w:type="pct"/>
            <w:tcBorders>
              <w:top w:val="nil"/>
              <w:left w:val="nil"/>
              <w:bottom w:val="single" w:sz="4" w:space="0" w:color="auto"/>
              <w:right w:val="single" w:sz="4" w:space="0" w:color="auto"/>
            </w:tcBorders>
            <w:shd w:val="clear" w:color="auto" w:fill="auto"/>
            <w:vAlign w:val="bottom"/>
            <w:hideMark/>
          </w:tcPr>
          <w:p w:rsidR="00ED0486" w:rsidRPr="004D52BC" w:rsidP="008E07A6" w14:paraId="3B5036A9" w14:textId="77777777">
            <w:pPr>
              <w:rPr>
                <w:color w:val="000000"/>
              </w:rPr>
            </w:pPr>
            <w:r w:rsidRPr="004D52BC">
              <w:rPr>
                <w:color w:val="000000"/>
              </w:rPr>
              <w:t> </w:t>
            </w:r>
          </w:p>
        </w:tc>
        <w:tc>
          <w:tcPr>
            <w:tcW w:w="570" w:type="pct"/>
            <w:tcBorders>
              <w:top w:val="nil"/>
              <w:left w:val="nil"/>
              <w:bottom w:val="single" w:sz="4" w:space="0" w:color="auto"/>
              <w:right w:val="single" w:sz="4" w:space="0" w:color="auto"/>
            </w:tcBorders>
            <w:shd w:val="clear" w:color="auto" w:fill="auto"/>
            <w:vAlign w:val="bottom"/>
            <w:hideMark/>
          </w:tcPr>
          <w:p w:rsidR="00ED0486" w:rsidRPr="004D52BC" w:rsidP="008E07A6" w14:paraId="0F4DB535" w14:textId="77777777">
            <w:pPr>
              <w:rPr>
                <w:color w:val="000000"/>
              </w:rPr>
            </w:pPr>
            <w:r w:rsidRPr="004D52BC">
              <w:rPr>
                <w:color w:val="000000"/>
              </w:rPr>
              <w:t> </w:t>
            </w:r>
          </w:p>
        </w:tc>
        <w:tc>
          <w:tcPr>
            <w:tcW w:w="508" w:type="pct"/>
            <w:tcBorders>
              <w:top w:val="nil"/>
              <w:left w:val="nil"/>
              <w:bottom w:val="single" w:sz="4" w:space="0" w:color="auto"/>
              <w:right w:val="single" w:sz="4" w:space="0" w:color="auto"/>
            </w:tcBorders>
            <w:shd w:val="clear" w:color="auto" w:fill="auto"/>
            <w:vAlign w:val="bottom"/>
            <w:hideMark/>
          </w:tcPr>
          <w:p w:rsidR="00ED0486" w:rsidRPr="004D52BC" w:rsidP="008E07A6" w14:paraId="332D747E" w14:textId="77777777">
            <w:r w:rsidRPr="004D52BC">
              <w:t> </w:t>
            </w:r>
          </w:p>
        </w:tc>
      </w:tr>
      <w:tr w14:paraId="48A70A96" w14:textId="77777777" w:rsidTr="0074001A">
        <w:tblPrEx>
          <w:tblW w:w="5384" w:type="pct"/>
          <w:tblLook w:val="04A0"/>
        </w:tblPrEx>
        <w:trPr>
          <w:trHeight w:val="64"/>
        </w:trPr>
        <w:tc>
          <w:tcPr>
            <w:tcW w:w="203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D0486" w:rsidRPr="004D52BC" w:rsidP="008E07A6" w14:paraId="7248F828" w14:textId="77777777">
            <w:pPr>
              <w:rPr>
                <w:color w:val="000000"/>
              </w:rPr>
            </w:pPr>
            <w:r w:rsidRPr="004D52BC">
              <w:rPr>
                <w:color w:val="000000"/>
              </w:rPr>
              <w:t>3.  ACQUISITION, INSTALLATION, AND UTILIZATION OF TECHNOLOGY AND SYSTEMS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74650858" w14:textId="77777777">
            <w:pPr>
              <w:rPr>
                <w:color w:val="000000"/>
              </w:rPr>
            </w:pPr>
            <w:r w:rsidRPr="004D52BC">
              <w:rPr>
                <w:color w:val="000000"/>
              </w:rPr>
              <w:t> </w:t>
            </w:r>
          </w:p>
        </w:tc>
        <w:tc>
          <w:tcPr>
            <w:tcW w:w="718" w:type="pct"/>
            <w:tcBorders>
              <w:top w:val="nil"/>
              <w:left w:val="nil"/>
              <w:bottom w:val="single" w:sz="4" w:space="0" w:color="auto"/>
              <w:right w:val="single" w:sz="4" w:space="0" w:color="auto"/>
            </w:tcBorders>
            <w:shd w:val="clear" w:color="auto" w:fill="auto"/>
            <w:vAlign w:val="bottom"/>
            <w:hideMark/>
          </w:tcPr>
          <w:p w:rsidR="00ED0486" w:rsidRPr="004D52BC" w:rsidP="008E07A6" w14:paraId="62FE14DF" w14:textId="77777777">
            <w:pPr>
              <w:rPr>
                <w:color w:val="000000"/>
              </w:rPr>
            </w:pPr>
            <w:r w:rsidRPr="004D52BC">
              <w:rPr>
                <w:color w:val="000000"/>
              </w:rPr>
              <w:t> </w:t>
            </w:r>
          </w:p>
        </w:tc>
        <w:tc>
          <w:tcPr>
            <w:tcW w:w="683" w:type="pct"/>
            <w:tcBorders>
              <w:top w:val="nil"/>
              <w:left w:val="nil"/>
              <w:bottom w:val="single" w:sz="4" w:space="0" w:color="auto"/>
              <w:right w:val="single" w:sz="4" w:space="0" w:color="auto"/>
            </w:tcBorders>
            <w:shd w:val="clear" w:color="auto" w:fill="auto"/>
            <w:vAlign w:val="bottom"/>
            <w:hideMark/>
          </w:tcPr>
          <w:p w:rsidR="00ED0486" w:rsidRPr="004D52BC" w:rsidP="008E07A6" w14:paraId="4873A76C" w14:textId="77777777">
            <w:pPr>
              <w:rPr>
                <w:color w:val="000000"/>
              </w:rPr>
            </w:pPr>
            <w:r w:rsidRPr="004D52BC">
              <w:rPr>
                <w:color w:val="000000"/>
              </w:rPr>
              <w:t> </w:t>
            </w:r>
          </w:p>
        </w:tc>
        <w:tc>
          <w:tcPr>
            <w:tcW w:w="570" w:type="pct"/>
            <w:tcBorders>
              <w:top w:val="nil"/>
              <w:left w:val="nil"/>
              <w:bottom w:val="single" w:sz="4" w:space="0" w:color="auto"/>
              <w:right w:val="single" w:sz="4" w:space="0" w:color="auto"/>
            </w:tcBorders>
            <w:shd w:val="clear" w:color="auto" w:fill="auto"/>
            <w:vAlign w:val="bottom"/>
            <w:hideMark/>
          </w:tcPr>
          <w:p w:rsidR="00ED0486" w:rsidRPr="004D52BC" w:rsidP="008E07A6" w14:paraId="17EAB01B" w14:textId="77777777">
            <w:pPr>
              <w:rPr>
                <w:color w:val="000000"/>
              </w:rPr>
            </w:pPr>
            <w:r w:rsidRPr="004D52BC">
              <w:rPr>
                <w:color w:val="000000"/>
              </w:rPr>
              <w:t> </w:t>
            </w:r>
          </w:p>
        </w:tc>
        <w:tc>
          <w:tcPr>
            <w:tcW w:w="508" w:type="pct"/>
            <w:tcBorders>
              <w:top w:val="nil"/>
              <w:left w:val="nil"/>
              <w:bottom w:val="single" w:sz="4" w:space="0" w:color="auto"/>
              <w:right w:val="single" w:sz="4" w:space="0" w:color="auto"/>
            </w:tcBorders>
            <w:shd w:val="clear" w:color="auto" w:fill="auto"/>
            <w:vAlign w:val="bottom"/>
            <w:hideMark/>
          </w:tcPr>
          <w:p w:rsidR="00ED0486" w:rsidRPr="004D52BC" w:rsidP="008E07A6" w14:paraId="2172B56E" w14:textId="77777777">
            <w:r w:rsidRPr="004D52BC">
              <w:t> </w:t>
            </w:r>
          </w:p>
        </w:tc>
      </w:tr>
      <w:tr w14:paraId="503334C1" w14:textId="77777777" w:rsidTr="0074001A">
        <w:tblPrEx>
          <w:tblW w:w="5384" w:type="pct"/>
          <w:tblLook w:val="04A0"/>
        </w:tblPrEx>
        <w:trPr>
          <w:trHeight w:val="64"/>
        </w:trPr>
        <w:tc>
          <w:tcPr>
            <w:tcW w:w="203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D0486" w:rsidRPr="004D52BC" w:rsidP="008E07A6" w14:paraId="4B4DFD39" w14:textId="77777777">
            <w:pPr>
              <w:rPr>
                <w:color w:val="000000"/>
              </w:rPr>
            </w:pPr>
            <w:r w:rsidRPr="004D52BC">
              <w:rPr>
                <w:color w:val="000000"/>
              </w:rPr>
              <w:t>4. REPORT REQUIREMENTS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09F860A8" w14:textId="77777777">
            <w:pPr>
              <w:rPr>
                <w:color w:val="000000"/>
              </w:rPr>
            </w:pPr>
            <w:r w:rsidRPr="004D52BC">
              <w:rPr>
                <w:color w:val="000000"/>
              </w:rPr>
              <w:t> </w:t>
            </w:r>
          </w:p>
        </w:tc>
        <w:tc>
          <w:tcPr>
            <w:tcW w:w="718" w:type="pct"/>
            <w:tcBorders>
              <w:top w:val="nil"/>
              <w:left w:val="nil"/>
              <w:bottom w:val="single" w:sz="4" w:space="0" w:color="auto"/>
              <w:right w:val="single" w:sz="4" w:space="0" w:color="auto"/>
            </w:tcBorders>
            <w:shd w:val="clear" w:color="auto" w:fill="auto"/>
            <w:vAlign w:val="bottom"/>
            <w:hideMark/>
          </w:tcPr>
          <w:p w:rsidR="00ED0486" w:rsidRPr="004D52BC" w:rsidP="008E07A6" w14:paraId="18A0C48E" w14:textId="77777777">
            <w:pPr>
              <w:rPr>
                <w:color w:val="000000"/>
              </w:rPr>
            </w:pPr>
            <w:r w:rsidRPr="004D52BC">
              <w:rPr>
                <w:color w:val="000000"/>
              </w:rPr>
              <w:t> </w:t>
            </w:r>
          </w:p>
        </w:tc>
        <w:tc>
          <w:tcPr>
            <w:tcW w:w="683" w:type="pct"/>
            <w:tcBorders>
              <w:top w:val="nil"/>
              <w:left w:val="nil"/>
              <w:bottom w:val="single" w:sz="4" w:space="0" w:color="auto"/>
              <w:right w:val="single" w:sz="4" w:space="0" w:color="auto"/>
            </w:tcBorders>
            <w:shd w:val="clear" w:color="auto" w:fill="auto"/>
            <w:vAlign w:val="bottom"/>
            <w:hideMark/>
          </w:tcPr>
          <w:p w:rsidR="00ED0486" w:rsidRPr="004D52BC" w:rsidP="008E07A6" w14:paraId="6AA145EA" w14:textId="77777777">
            <w:pPr>
              <w:rPr>
                <w:color w:val="000000"/>
              </w:rPr>
            </w:pPr>
            <w:r w:rsidRPr="004D52BC">
              <w:rPr>
                <w:color w:val="000000"/>
              </w:rPr>
              <w:t> </w:t>
            </w:r>
          </w:p>
        </w:tc>
        <w:tc>
          <w:tcPr>
            <w:tcW w:w="570" w:type="pct"/>
            <w:tcBorders>
              <w:top w:val="nil"/>
              <w:left w:val="nil"/>
              <w:bottom w:val="single" w:sz="4" w:space="0" w:color="auto"/>
              <w:right w:val="single" w:sz="4" w:space="0" w:color="auto"/>
            </w:tcBorders>
            <w:shd w:val="clear" w:color="auto" w:fill="auto"/>
            <w:vAlign w:val="bottom"/>
            <w:hideMark/>
          </w:tcPr>
          <w:p w:rsidR="00ED0486" w:rsidRPr="004D52BC" w:rsidP="008E07A6" w14:paraId="4804030A" w14:textId="77777777">
            <w:pPr>
              <w:rPr>
                <w:color w:val="000000"/>
              </w:rPr>
            </w:pPr>
            <w:r w:rsidRPr="004D52BC">
              <w:rPr>
                <w:color w:val="000000"/>
              </w:rPr>
              <w:t> </w:t>
            </w:r>
          </w:p>
        </w:tc>
        <w:tc>
          <w:tcPr>
            <w:tcW w:w="508" w:type="pct"/>
            <w:tcBorders>
              <w:top w:val="nil"/>
              <w:left w:val="nil"/>
              <w:bottom w:val="single" w:sz="4" w:space="0" w:color="auto"/>
              <w:right w:val="single" w:sz="4" w:space="0" w:color="auto"/>
            </w:tcBorders>
            <w:shd w:val="clear" w:color="auto" w:fill="auto"/>
            <w:vAlign w:val="bottom"/>
            <w:hideMark/>
          </w:tcPr>
          <w:p w:rsidR="00ED0486" w:rsidRPr="004D52BC" w:rsidP="008E07A6" w14:paraId="5CF57916" w14:textId="77777777">
            <w:r w:rsidRPr="004D52BC">
              <w:t> </w:t>
            </w:r>
          </w:p>
        </w:tc>
      </w:tr>
      <w:tr w14:paraId="096DF26F" w14:textId="77777777" w:rsidTr="0074001A">
        <w:tblPrEx>
          <w:tblW w:w="5384" w:type="pct"/>
          <w:tblLook w:val="04A0"/>
        </w:tblPrEx>
        <w:trPr>
          <w:trHeight w:val="64"/>
        </w:trPr>
        <w:tc>
          <w:tcPr>
            <w:tcW w:w="99" w:type="pct"/>
            <w:tcBorders>
              <w:top w:val="nil"/>
              <w:left w:val="single" w:sz="4" w:space="0" w:color="auto"/>
              <w:bottom w:val="single" w:sz="4" w:space="0" w:color="auto"/>
              <w:right w:val="nil"/>
            </w:tcBorders>
            <w:shd w:val="clear" w:color="auto" w:fill="auto"/>
            <w:vAlign w:val="bottom"/>
            <w:hideMark/>
          </w:tcPr>
          <w:p w:rsidR="00ED0486" w:rsidRPr="004D52BC" w:rsidP="008E07A6" w14:paraId="577BC24E" w14:textId="77777777">
            <w:pPr>
              <w:rPr>
                <w:color w:val="000000"/>
              </w:rPr>
            </w:pPr>
            <w:r w:rsidRPr="004D52BC">
              <w:rPr>
                <w:color w:val="000000"/>
              </w:rPr>
              <w:t> </w:t>
            </w:r>
          </w:p>
        </w:tc>
        <w:tc>
          <w:tcPr>
            <w:tcW w:w="1932" w:type="pct"/>
            <w:gridSpan w:val="2"/>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41D9FD48" w14:textId="77777777">
            <w:pPr>
              <w:rPr>
                <w:color w:val="000000"/>
              </w:rPr>
            </w:pPr>
            <w:r w:rsidRPr="004D52BC">
              <w:rPr>
                <w:color w:val="000000"/>
              </w:rPr>
              <w:t xml:space="preserve">A. Read Rule, Instructions, Guidance Documents </w:t>
            </w:r>
            <w:r w:rsidRPr="004D52BC">
              <w:rPr>
                <w:color w:val="000000"/>
                <w:vertAlign w:val="superscript"/>
              </w:rPr>
              <w:t>a,b,c</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62D68FEA" w14:textId="77777777">
            <w:pPr>
              <w:rPr>
                <w:color w:val="000000"/>
              </w:rPr>
            </w:pPr>
            <w:r w:rsidRPr="004D52BC">
              <w:rPr>
                <w:color w:val="000000"/>
              </w:rPr>
              <w:t> </w:t>
            </w:r>
          </w:p>
        </w:tc>
        <w:tc>
          <w:tcPr>
            <w:tcW w:w="718" w:type="pct"/>
            <w:tcBorders>
              <w:top w:val="nil"/>
              <w:left w:val="nil"/>
              <w:bottom w:val="single" w:sz="4" w:space="0" w:color="auto"/>
              <w:right w:val="single" w:sz="4" w:space="0" w:color="auto"/>
            </w:tcBorders>
            <w:shd w:val="clear" w:color="auto" w:fill="auto"/>
            <w:vAlign w:val="bottom"/>
            <w:hideMark/>
          </w:tcPr>
          <w:p w:rsidR="00ED0486" w:rsidRPr="004D52BC" w:rsidP="008E07A6" w14:paraId="5C5BFF43" w14:textId="77777777">
            <w:pPr>
              <w:rPr>
                <w:color w:val="000000"/>
              </w:rPr>
            </w:pPr>
            <w:r w:rsidRPr="004D52BC">
              <w:rPr>
                <w:color w:val="000000"/>
              </w:rPr>
              <w:t> </w:t>
            </w:r>
          </w:p>
        </w:tc>
        <w:tc>
          <w:tcPr>
            <w:tcW w:w="683" w:type="pct"/>
            <w:tcBorders>
              <w:top w:val="nil"/>
              <w:left w:val="nil"/>
              <w:bottom w:val="single" w:sz="4" w:space="0" w:color="auto"/>
              <w:right w:val="single" w:sz="4" w:space="0" w:color="auto"/>
            </w:tcBorders>
            <w:shd w:val="clear" w:color="auto" w:fill="auto"/>
            <w:vAlign w:val="bottom"/>
            <w:hideMark/>
          </w:tcPr>
          <w:p w:rsidR="00ED0486" w:rsidRPr="004D52BC" w:rsidP="008E07A6" w14:paraId="505CA5D3" w14:textId="77777777">
            <w:pPr>
              <w:rPr>
                <w:color w:val="000000"/>
              </w:rPr>
            </w:pPr>
            <w:r w:rsidRPr="004D52BC">
              <w:rPr>
                <w:color w:val="000000"/>
              </w:rPr>
              <w:t> </w:t>
            </w:r>
          </w:p>
        </w:tc>
        <w:tc>
          <w:tcPr>
            <w:tcW w:w="570" w:type="pct"/>
            <w:tcBorders>
              <w:top w:val="nil"/>
              <w:left w:val="nil"/>
              <w:bottom w:val="single" w:sz="4" w:space="0" w:color="auto"/>
              <w:right w:val="single" w:sz="4" w:space="0" w:color="auto"/>
            </w:tcBorders>
            <w:shd w:val="clear" w:color="auto" w:fill="auto"/>
            <w:vAlign w:val="bottom"/>
            <w:hideMark/>
          </w:tcPr>
          <w:p w:rsidR="00ED0486" w:rsidRPr="004D52BC" w:rsidP="008E07A6" w14:paraId="0D526C7E" w14:textId="77777777">
            <w:pPr>
              <w:rPr>
                <w:color w:val="000000"/>
              </w:rPr>
            </w:pPr>
            <w:r w:rsidRPr="004D52BC">
              <w:rPr>
                <w:color w:val="000000"/>
              </w:rPr>
              <w:t> </w:t>
            </w:r>
          </w:p>
        </w:tc>
        <w:tc>
          <w:tcPr>
            <w:tcW w:w="508" w:type="pct"/>
            <w:tcBorders>
              <w:top w:val="nil"/>
              <w:left w:val="nil"/>
              <w:bottom w:val="single" w:sz="4" w:space="0" w:color="auto"/>
              <w:right w:val="single" w:sz="4" w:space="0" w:color="auto"/>
            </w:tcBorders>
            <w:shd w:val="clear" w:color="auto" w:fill="auto"/>
            <w:vAlign w:val="bottom"/>
            <w:hideMark/>
          </w:tcPr>
          <w:p w:rsidR="00ED0486" w:rsidRPr="004D52BC" w:rsidP="008E07A6" w14:paraId="2E18D346" w14:textId="77777777">
            <w:r w:rsidRPr="004D52BC">
              <w:t> </w:t>
            </w:r>
          </w:p>
        </w:tc>
      </w:tr>
      <w:tr w14:paraId="04A7C725" w14:textId="77777777" w:rsidTr="0074001A">
        <w:tblPrEx>
          <w:tblW w:w="5384" w:type="pct"/>
          <w:tblLook w:val="04A0"/>
        </w:tblPrEx>
        <w:trPr>
          <w:trHeight w:val="64"/>
        </w:trPr>
        <w:tc>
          <w:tcPr>
            <w:tcW w:w="99" w:type="pct"/>
            <w:tcBorders>
              <w:top w:val="single" w:sz="4" w:space="0" w:color="auto"/>
              <w:left w:val="single" w:sz="4" w:space="0" w:color="auto"/>
              <w:bottom w:val="nil"/>
              <w:right w:val="nil"/>
            </w:tcBorders>
            <w:shd w:val="clear" w:color="auto" w:fill="auto"/>
            <w:vAlign w:val="bottom"/>
            <w:hideMark/>
          </w:tcPr>
          <w:p w:rsidR="00DF73FA" w:rsidRPr="004D52BC" w:rsidP="00DF73FA" w14:paraId="59FA432C" w14:textId="77777777">
            <w:r w:rsidRPr="004D52BC">
              <w:t> </w:t>
            </w:r>
          </w:p>
        </w:tc>
        <w:tc>
          <w:tcPr>
            <w:tcW w:w="99" w:type="pct"/>
            <w:tcBorders>
              <w:top w:val="single" w:sz="4" w:space="0" w:color="auto"/>
              <w:left w:val="nil"/>
              <w:bottom w:val="nil"/>
              <w:right w:val="nil"/>
            </w:tcBorders>
            <w:shd w:val="clear" w:color="auto" w:fill="auto"/>
            <w:vAlign w:val="bottom"/>
            <w:hideMark/>
          </w:tcPr>
          <w:p w:rsidR="00DF73FA" w:rsidRPr="004D52BC" w:rsidP="00DF73FA" w14:paraId="70EFC752" w14:textId="77777777">
            <w:r w:rsidRPr="004D52BC">
              <w:t> </w:t>
            </w:r>
          </w:p>
        </w:tc>
        <w:tc>
          <w:tcPr>
            <w:tcW w:w="1833" w:type="pct"/>
            <w:tcBorders>
              <w:top w:val="nil"/>
              <w:left w:val="nil"/>
              <w:bottom w:val="single" w:sz="4" w:space="0" w:color="auto"/>
              <w:right w:val="nil"/>
            </w:tcBorders>
            <w:shd w:val="clear" w:color="auto" w:fill="auto"/>
            <w:vAlign w:val="bottom"/>
            <w:hideMark/>
          </w:tcPr>
          <w:p w:rsidR="00DF73FA" w:rsidRPr="004D52BC" w:rsidP="00DF73FA" w14:paraId="39BE9AE9" w14:textId="77777777">
            <w:r w:rsidRPr="004D52BC">
              <w:t>WEC Obligated Party</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6049BBE0" w14:textId="6008B522">
            <w:pPr>
              <w:jc w:val="right"/>
            </w:pPr>
            <w:r w:rsidRPr="004D52BC">
              <w:t>2</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07B97B69" w14:textId="77777777">
            <w:pPr>
              <w:jc w:val="right"/>
              <w:rPr>
                <w:color w:val="000000"/>
              </w:rPr>
            </w:pPr>
            <w:r w:rsidRPr="004D52BC">
              <w:rPr>
                <w:color w:val="000000"/>
              </w:rPr>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71C0285C" w14:textId="63DF0C5D">
            <w:pPr>
              <w:jc w:val="right"/>
            </w:pPr>
            <w:r>
              <w:t>2</w:t>
            </w:r>
          </w:p>
        </w:tc>
        <w:tc>
          <w:tcPr>
            <w:tcW w:w="570" w:type="pct"/>
            <w:tcBorders>
              <w:top w:val="nil"/>
              <w:left w:val="nil"/>
              <w:bottom w:val="single" w:sz="4" w:space="0" w:color="auto"/>
              <w:right w:val="single" w:sz="4" w:space="0" w:color="auto"/>
            </w:tcBorders>
            <w:shd w:val="clear" w:color="auto" w:fill="auto"/>
            <w:hideMark/>
          </w:tcPr>
          <w:p w:rsidR="00DF73FA" w:rsidRPr="004D52BC" w:rsidP="00DF73FA" w14:paraId="73D93A9E" w14:textId="79D11475">
            <w:pPr>
              <w:jc w:val="right"/>
              <w:rPr>
                <w:color w:val="000000"/>
              </w:rPr>
            </w:pPr>
            <w:r>
              <w:t>535</w:t>
            </w:r>
          </w:p>
        </w:tc>
        <w:tc>
          <w:tcPr>
            <w:tcW w:w="508" w:type="pct"/>
            <w:tcBorders>
              <w:top w:val="nil"/>
              <w:left w:val="nil"/>
              <w:bottom w:val="single" w:sz="4" w:space="0" w:color="auto"/>
              <w:right w:val="single" w:sz="4" w:space="0" w:color="auto"/>
            </w:tcBorders>
            <w:shd w:val="clear" w:color="auto" w:fill="auto"/>
            <w:hideMark/>
          </w:tcPr>
          <w:p w:rsidR="00DF73FA" w:rsidRPr="004D52BC" w:rsidP="00DF73FA" w14:paraId="6FAAC07F" w14:textId="4E6F68EE">
            <w:pPr>
              <w:jc w:val="right"/>
            </w:pPr>
            <w:r w:rsidRPr="00E519C6">
              <w:t>$337,147</w:t>
            </w:r>
          </w:p>
        </w:tc>
      </w:tr>
      <w:tr w14:paraId="61197B5F" w14:textId="77777777" w:rsidTr="0074001A">
        <w:tblPrEx>
          <w:tblW w:w="5384" w:type="pct"/>
          <w:tblLook w:val="04A0"/>
        </w:tblPrEx>
        <w:trPr>
          <w:trHeight w:val="64"/>
        </w:trPr>
        <w:tc>
          <w:tcPr>
            <w:tcW w:w="99" w:type="pct"/>
            <w:tcBorders>
              <w:top w:val="single" w:sz="4" w:space="0" w:color="auto"/>
              <w:left w:val="single" w:sz="4" w:space="0" w:color="auto"/>
              <w:bottom w:val="nil"/>
              <w:right w:val="nil"/>
            </w:tcBorders>
            <w:shd w:val="clear" w:color="auto" w:fill="auto"/>
            <w:vAlign w:val="bottom"/>
            <w:hideMark/>
          </w:tcPr>
          <w:p w:rsidR="00DF73FA" w:rsidRPr="004D52BC" w:rsidP="00DF73FA" w14:paraId="338F856C" w14:textId="77777777">
            <w:r w:rsidRPr="004D52BC">
              <w:t> </w:t>
            </w:r>
          </w:p>
        </w:tc>
        <w:tc>
          <w:tcPr>
            <w:tcW w:w="1932" w:type="pct"/>
            <w:gridSpan w:val="2"/>
            <w:tcBorders>
              <w:top w:val="single" w:sz="4" w:space="0" w:color="auto"/>
              <w:left w:val="nil"/>
              <w:bottom w:val="single" w:sz="4" w:space="0" w:color="000000"/>
              <w:right w:val="single" w:sz="4" w:space="0" w:color="auto"/>
            </w:tcBorders>
            <w:shd w:val="clear" w:color="auto" w:fill="auto"/>
            <w:vAlign w:val="bottom"/>
            <w:hideMark/>
          </w:tcPr>
          <w:p w:rsidR="00DF73FA" w:rsidRPr="004D52BC" w:rsidP="00DF73FA" w14:paraId="23FE55CE" w14:textId="77777777">
            <w:r w:rsidRPr="004D52BC">
              <w:t>B. Required Activities (Included in 4E)</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6F2E83F1" w14:textId="77777777">
            <w:r w:rsidRPr="004D52BC">
              <w:t> </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6688B906" w14:textId="77777777">
            <w:r w:rsidRPr="004D52BC">
              <w:t> </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262EFA6A" w14:textId="77777777">
            <w:r w:rsidRPr="004D52BC">
              <w:t> </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7349892D" w14:textId="77777777">
            <w:r w:rsidRPr="004D52BC">
              <w:t> </w:t>
            </w:r>
          </w:p>
        </w:tc>
        <w:tc>
          <w:tcPr>
            <w:tcW w:w="508" w:type="pct"/>
            <w:tcBorders>
              <w:top w:val="nil"/>
              <w:left w:val="nil"/>
              <w:bottom w:val="single" w:sz="4" w:space="0" w:color="auto"/>
              <w:right w:val="single" w:sz="4" w:space="0" w:color="auto"/>
            </w:tcBorders>
            <w:shd w:val="clear" w:color="auto" w:fill="auto"/>
            <w:hideMark/>
          </w:tcPr>
          <w:p w:rsidR="00DF73FA" w:rsidRPr="004D52BC" w:rsidP="00DF73FA" w14:paraId="672066ED" w14:textId="4ECA4692"/>
        </w:tc>
      </w:tr>
      <w:tr w14:paraId="0A00A444" w14:textId="77777777" w:rsidTr="0074001A">
        <w:tblPrEx>
          <w:tblW w:w="5384" w:type="pct"/>
          <w:tblLook w:val="04A0"/>
        </w:tblPrEx>
        <w:trPr>
          <w:trHeight w:val="285"/>
        </w:trPr>
        <w:tc>
          <w:tcPr>
            <w:tcW w:w="99" w:type="pct"/>
            <w:tcBorders>
              <w:top w:val="single" w:sz="4" w:space="0" w:color="auto"/>
              <w:left w:val="single" w:sz="4" w:space="0" w:color="auto"/>
              <w:bottom w:val="nil"/>
              <w:right w:val="nil"/>
            </w:tcBorders>
            <w:shd w:val="clear" w:color="auto" w:fill="auto"/>
            <w:vAlign w:val="bottom"/>
            <w:hideMark/>
          </w:tcPr>
          <w:p w:rsidR="00DF73FA" w:rsidRPr="004D52BC" w:rsidP="00DF73FA" w14:paraId="299ECD38" w14:textId="77777777">
            <w:r w:rsidRPr="004D52BC">
              <w:t> </w:t>
            </w:r>
          </w:p>
        </w:tc>
        <w:tc>
          <w:tcPr>
            <w:tcW w:w="99" w:type="pct"/>
            <w:tcBorders>
              <w:top w:val="nil"/>
              <w:left w:val="nil"/>
              <w:bottom w:val="nil"/>
              <w:right w:val="nil"/>
            </w:tcBorders>
            <w:shd w:val="clear" w:color="auto" w:fill="auto"/>
            <w:vAlign w:val="bottom"/>
            <w:hideMark/>
          </w:tcPr>
          <w:p w:rsidR="00DF73FA" w:rsidRPr="004D52BC" w:rsidP="00DF73FA" w14:paraId="4C33B1CA" w14:textId="77777777"/>
        </w:tc>
        <w:tc>
          <w:tcPr>
            <w:tcW w:w="1833" w:type="pct"/>
            <w:tcBorders>
              <w:top w:val="single" w:sz="4" w:space="0" w:color="auto"/>
              <w:left w:val="nil"/>
              <w:bottom w:val="nil"/>
              <w:right w:val="nil"/>
            </w:tcBorders>
            <w:shd w:val="clear" w:color="auto" w:fill="auto"/>
            <w:noWrap/>
            <w:vAlign w:val="bottom"/>
            <w:hideMark/>
          </w:tcPr>
          <w:p w:rsidR="00DF73FA" w:rsidRPr="004D52BC" w:rsidP="00DF73FA" w14:paraId="7638610E" w14:textId="77777777">
            <w:r w:rsidRPr="004D52BC">
              <w:t xml:space="preserve">Calculations required under Subpart B </w:t>
            </w:r>
            <w:r w:rsidRPr="004D52BC">
              <w:rPr>
                <w:vertAlign w:val="superscript"/>
              </w:rPr>
              <w:t>b,c,d</w:t>
            </w:r>
            <w:r w:rsidRPr="004D52BC">
              <w:t xml:space="preserve"> </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6BF04BA5" w14:textId="77777777">
            <w:r w:rsidRPr="004D52BC">
              <w:t> </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7C92F8FE" w14:textId="77777777">
            <w:r w:rsidRPr="004D52BC">
              <w:t> </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2D671273" w14:textId="77777777">
            <w:r w:rsidRPr="004D52BC">
              <w:t> </w:t>
            </w:r>
          </w:p>
        </w:tc>
        <w:tc>
          <w:tcPr>
            <w:tcW w:w="570" w:type="pct"/>
            <w:tcBorders>
              <w:top w:val="nil"/>
              <w:left w:val="nil"/>
              <w:bottom w:val="single" w:sz="4" w:space="0" w:color="auto"/>
              <w:right w:val="single" w:sz="4" w:space="0" w:color="auto"/>
            </w:tcBorders>
            <w:shd w:val="clear" w:color="auto" w:fill="auto"/>
            <w:hideMark/>
          </w:tcPr>
          <w:p w:rsidR="00DF73FA" w:rsidRPr="004D52BC" w:rsidP="00DF73FA" w14:paraId="663B8816" w14:textId="41022A14"/>
        </w:tc>
        <w:tc>
          <w:tcPr>
            <w:tcW w:w="508" w:type="pct"/>
            <w:tcBorders>
              <w:top w:val="nil"/>
              <w:left w:val="nil"/>
              <w:bottom w:val="single" w:sz="4" w:space="0" w:color="auto"/>
              <w:right w:val="single" w:sz="4" w:space="0" w:color="auto"/>
            </w:tcBorders>
            <w:shd w:val="clear" w:color="auto" w:fill="auto"/>
            <w:hideMark/>
          </w:tcPr>
          <w:p w:rsidR="00DF73FA" w:rsidRPr="004D52BC" w:rsidP="00DF73FA" w14:paraId="14E0AAAE" w14:textId="7A043FC9"/>
        </w:tc>
      </w:tr>
      <w:tr w14:paraId="07A821F9" w14:textId="77777777" w:rsidTr="0074001A">
        <w:tblPrEx>
          <w:tblW w:w="5384" w:type="pct"/>
          <w:tblLook w:val="04A0"/>
        </w:tblPrEx>
        <w:trPr>
          <w:trHeight w:val="64"/>
        </w:trPr>
        <w:tc>
          <w:tcPr>
            <w:tcW w:w="99" w:type="pct"/>
            <w:tcBorders>
              <w:top w:val="single" w:sz="4" w:space="0" w:color="auto"/>
              <w:left w:val="single" w:sz="4" w:space="0" w:color="auto"/>
              <w:bottom w:val="single" w:sz="4" w:space="0" w:color="auto"/>
              <w:right w:val="nil"/>
            </w:tcBorders>
            <w:shd w:val="clear" w:color="auto" w:fill="auto"/>
            <w:vAlign w:val="bottom"/>
            <w:hideMark/>
          </w:tcPr>
          <w:p w:rsidR="00DF73FA" w:rsidRPr="004D52BC" w:rsidP="00DF73FA" w14:paraId="55AA6A04" w14:textId="77777777">
            <w:r w:rsidRPr="004D52BC">
              <w:t> </w:t>
            </w:r>
          </w:p>
        </w:tc>
        <w:tc>
          <w:tcPr>
            <w:tcW w:w="99" w:type="pct"/>
            <w:tcBorders>
              <w:top w:val="single" w:sz="4" w:space="0" w:color="auto"/>
              <w:left w:val="nil"/>
              <w:bottom w:val="single" w:sz="4" w:space="0" w:color="auto"/>
              <w:right w:val="nil"/>
            </w:tcBorders>
            <w:shd w:val="clear" w:color="auto" w:fill="auto"/>
            <w:vAlign w:val="bottom"/>
            <w:hideMark/>
          </w:tcPr>
          <w:p w:rsidR="00DF73FA" w:rsidRPr="004D52BC" w:rsidP="00DF73FA" w14:paraId="05B206D4" w14:textId="77777777">
            <w:r w:rsidRPr="004D52BC">
              <w:t> </w:t>
            </w:r>
          </w:p>
        </w:tc>
        <w:tc>
          <w:tcPr>
            <w:tcW w:w="1833" w:type="pct"/>
            <w:tcBorders>
              <w:top w:val="single" w:sz="4" w:space="0" w:color="auto"/>
              <w:left w:val="nil"/>
              <w:bottom w:val="single" w:sz="4" w:space="0" w:color="auto"/>
              <w:right w:val="nil"/>
            </w:tcBorders>
            <w:shd w:val="clear" w:color="auto" w:fill="auto"/>
            <w:vAlign w:val="bottom"/>
            <w:hideMark/>
          </w:tcPr>
          <w:p w:rsidR="00DF73FA" w:rsidRPr="004D52BC" w:rsidP="00DF73FA" w14:paraId="19BCB1A9" w14:textId="77777777">
            <w:pPr>
              <w:ind w:firstLine="240" w:firstLineChars="100"/>
            </w:pPr>
            <w:r w:rsidRPr="004D52BC">
              <w:t>Offshore Petroleum and Natural Gas Production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76F84E2C"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2EDBED84"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46339A6C"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44B80749" w14:textId="41FA60C9">
            <w:pPr>
              <w:jc w:val="right"/>
            </w:pPr>
            <w:r w:rsidRPr="002857C8">
              <w:t>23</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62FC647E" w14:textId="502102AA">
            <w:pPr>
              <w:jc w:val="right"/>
            </w:pPr>
            <w:r w:rsidRPr="003B685B">
              <w:t>$3,252</w:t>
            </w:r>
          </w:p>
        </w:tc>
      </w:tr>
      <w:tr w14:paraId="5C4FBCAE" w14:textId="77777777" w:rsidTr="0074001A">
        <w:tblPrEx>
          <w:tblW w:w="5384" w:type="pct"/>
          <w:tblLook w:val="04A0"/>
        </w:tblPrEx>
        <w:trPr>
          <w:trHeight w:val="64"/>
        </w:trPr>
        <w:tc>
          <w:tcPr>
            <w:tcW w:w="99" w:type="pct"/>
            <w:tcBorders>
              <w:top w:val="nil"/>
              <w:left w:val="single" w:sz="4" w:space="0" w:color="auto"/>
              <w:bottom w:val="single" w:sz="4" w:space="0" w:color="auto"/>
              <w:right w:val="nil"/>
            </w:tcBorders>
            <w:shd w:val="clear" w:color="auto" w:fill="auto"/>
            <w:vAlign w:val="bottom"/>
            <w:hideMark/>
          </w:tcPr>
          <w:p w:rsidR="00DF73FA" w:rsidRPr="004D52BC" w:rsidP="00DF73FA" w14:paraId="582C0C05" w14:textId="77777777">
            <w:r w:rsidRPr="004D52BC">
              <w:t> </w:t>
            </w:r>
          </w:p>
        </w:tc>
        <w:tc>
          <w:tcPr>
            <w:tcW w:w="99" w:type="pct"/>
            <w:tcBorders>
              <w:top w:val="nil"/>
              <w:left w:val="nil"/>
              <w:bottom w:val="single" w:sz="4" w:space="0" w:color="auto"/>
              <w:right w:val="nil"/>
            </w:tcBorders>
            <w:shd w:val="clear" w:color="auto" w:fill="auto"/>
            <w:vAlign w:val="bottom"/>
            <w:hideMark/>
          </w:tcPr>
          <w:p w:rsidR="00DF73FA" w:rsidRPr="004D52BC" w:rsidP="00DF73FA" w14:paraId="2CD60F5B" w14:textId="77777777">
            <w:r w:rsidRPr="004D52BC">
              <w:t> </w:t>
            </w:r>
          </w:p>
        </w:tc>
        <w:tc>
          <w:tcPr>
            <w:tcW w:w="1833" w:type="pct"/>
            <w:tcBorders>
              <w:top w:val="nil"/>
              <w:left w:val="nil"/>
              <w:bottom w:val="single" w:sz="4" w:space="0" w:color="auto"/>
              <w:right w:val="nil"/>
            </w:tcBorders>
            <w:shd w:val="clear" w:color="auto" w:fill="auto"/>
            <w:vAlign w:val="bottom"/>
            <w:hideMark/>
          </w:tcPr>
          <w:p w:rsidR="00DF73FA" w:rsidRPr="004D52BC" w:rsidP="00DF73FA" w14:paraId="2B17F359" w14:textId="77777777">
            <w:pPr>
              <w:ind w:firstLine="240" w:firstLineChars="100"/>
            </w:pPr>
            <w:r w:rsidRPr="004D52BC">
              <w:t>Onshore Petroleum and Natural Gas Production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50DF5647"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22FDBD6F"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7B59046B"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210B6673" w14:textId="2037AB4C">
            <w:pPr>
              <w:jc w:val="right"/>
            </w:pPr>
            <w:r w:rsidRPr="002857C8">
              <w:t>393</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4D65FAB4" w14:textId="6FE30B73">
            <w:pPr>
              <w:jc w:val="right"/>
            </w:pPr>
            <w:r w:rsidRPr="003B685B">
              <w:t>$55,574</w:t>
            </w:r>
          </w:p>
        </w:tc>
      </w:tr>
      <w:tr w14:paraId="735F45B0" w14:textId="77777777" w:rsidTr="00CA29B6">
        <w:tblPrEx>
          <w:tblW w:w="5384" w:type="pct"/>
          <w:tblLook w:val="04A0"/>
        </w:tblPrEx>
        <w:trPr>
          <w:trHeight w:val="255"/>
        </w:trPr>
        <w:tc>
          <w:tcPr>
            <w:tcW w:w="99" w:type="pct"/>
            <w:tcBorders>
              <w:top w:val="nil"/>
              <w:left w:val="single" w:sz="4" w:space="0" w:color="auto"/>
              <w:bottom w:val="single" w:sz="4" w:space="0" w:color="auto"/>
              <w:right w:val="nil"/>
            </w:tcBorders>
            <w:shd w:val="clear" w:color="auto" w:fill="auto"/>
            <w:vAlign w:val="bottom"/>
            <w:hideMark/>
          </w:tcPr>
          <w:p w:rsidR="00DF73FA" w:rsidRPr="004D52BC" w:rsidP="00DF73FA" w14:paraId="7A0651A0" w14:textId="77777777">
            <w:r w:rsidRPr="004D52BC">
              <w:t> </w:t>
            </w:r>
          </w:p>
        </w:tc>
        <w:tc>
          <w:tcPr>
            <w:tcW w:w="99" w:type="pct"/>
            <w:tcBorders>
              <w:top w:val="nil"/>
              <w:left w:val="nil"/>
              <w:bottom w:val="single" w:sz="4" w:space="0" w:color="auto"/>
              <w:right w:val="nil"/>
            </w:tcBorders>
            <w:shd w:val="clear" w:color="auto" w:fill="auto"/>
            <w:vAlign w:val="bottom"/>
            <w:hideMark/>
          </w:tcPr>
          <w:p w:rsidR="00DF73FA" w:rsidRPr="004D52BC" w:rsidP="00DF73FA" w14:paraId="5F764EF9" w14:textId="77777777">
            <w:r w:rsidRPr="004D52BC">
              <w:t> </w:t>
            </w:r>
          </w:p>
        </w:tc>
        <w:tc>
          <w:tcPr>
            <w:tcW w:w="1833" w:type="pct"/>
            <w:tcBorders>
              <w:top w:val="nil"/>
              <w:left w:val="nil"/>
              <w:bottom w:val="nil"/>
              <w:right w:val="nil"/>
            </w:tcBorders>
            <w:shd w:val="clear" w:color="auto" w:fill="auto"/>
            <w:vAlign w:val="bottom"/>
            <w:hideMark/>
          </w:tcPr>
          <w:p w:rsidR="00DF73FA" w:rsidRPr="004D52BC" w:rsidP="00DF73FA" w14:paraId="58C09D5E" w14:textId="77777777">
            <w:pPr>
              <w:ind w:firstLine="240" w:firstLineChars="100"/>
            </w:pPr>
            <w:r w:rsidRPr="004D52BC">
              <w:t>Onshore Natural Gas Processing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7062031A"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7B1DE21F"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4478ABD5"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6464EBDC" w14:textId="0070D8B2">
            <w:pPr>
              <w:jc w:val="right"/>
            </w:pPr>
            <w:r w:rsidRPr="002857C8">
              <w:t>180</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0EB93CD4" w14:textId="1B9B0BAA">
            <w:pPr>
              <w:jc w:val="right"/>
            </w:pPr>
            <w:r w:rsidRPr="003B685B">
              <w:t>$25,454</w:t>
            </w:r>
          </w:p>
        </w:tc>
      </w:tr>
      <w:tr w14:paraId="4613B7A7" w14:textId="77777777" w:rsidTr="00CA29B6">
        <w:tblPrEx>
          <w:tblW w:w="5384" w:type="pct"/>
          <w:tblLook w:val="04A0"/>
        </w:tblPrEx>
        <w:trPr>
          <w:trHeight w:val="255"/>
        </w:trPr>
        <w:tc>
          <w:tcPr>
            <w:tcW w:w="99" w:type="pct"/>
            <w:tcBorders>
              <w:top w:val="single" w:sz="4" w:space="0" w:color="auto"/>
              <w:left w:val="single" w:sz="4" w:space="0" w:color="auto"/>
              <w:bottom w:val="single" w:sz="4" w:space="0" w:color="auto"/>
              <w:right w:val="nil"/>
            </w:tcBorders>
            <w:shd w:val="clear" w:color="auto" w:fill="auto"/>
            <w:vAlign w:val="bottom"/>
            <w:hideMark/>
          </w:tcPr>
          <w:p w:rsidR="00DF73FA" w:rsidRPr="004D52BC" w:rsidP="00DF73FA" w14:paraId="29016561" w14:textId="77777777">
            <w:pPr>
              <w:jc w:val="right"/>
            </w:pPr>
          </w:p>
        </w:tc>
        <w:tc>
          <w:tcPr>
            <w:tcW w:w="99" w:type="pct"/>
            <w:tcBorders>
              <w:top w:val="nil"/>
              <w:left w:val="nil"/>
              <w:bottom w:val="nil"/>
              <w:right w:val="nil"/>
            </w:tcBorders>
            <w:shd w:val="clear" w:color="auto" w:fill="auto"/>
            <w:vAlign w:val="bottom"/>
            <w:hideMark/>
          </w:tcPr>
          <w:p w:rsidR="00DF73FA" w:rsidRPr="004D52BC" w:rsidP="00DF73FA" w14:paraId="359AF834" w14:textId="77777777"/>
        </w:tc>
        <w:tc>
          <w:tcPr>
            <w:tcW w:w="1833" w:type="pct"/>
            <w:tcBorders>
              <w:top w:val="single" w:sz="4" w:space="0" w:color="auto"/>
              <w:left w:val="nil"/>
              <w:bottom w:val="single" w:sz="4" w:space="0" w:color="auto"/>
              <w:right w:val="nil"/>
            </w:tcBorders>
            <w:shd w:val="clear" w:color="auto" w:fill="auto"/>
            <w:vAlign w:val="bottom"/>
            <w:hideMark/>
          </w:tcPr>
          <w:p w:rsidR="00DF73FA" w:rsidRPr="004D52BC" w:rsidP="00DF73FA" w14:paraId="1530C50D" w14:textId="77777777">
            <w:pPr>
              <w:ind w:firstLine="240" w:firstLineChars="100"/>
            </w:pPr>
            <w:r w:rsidRPr="004D52BC">
              <w:t>Onshore Natural Gas Transmission Compression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0B043541"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3B7BB490"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13CAC9C3"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65AB0253" w14:textId="1DEBAEB2">
            <w:pPr>
              <w:jc w:val="right"/>
            </w:pPr>
            <w:r w:rsidRPr="002857C8">
              <w:t>22</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6C8504BD" w14:textId="7EA1A741">
            <w:pPr>
              <w:jc w:val="right"/>
            </w:pPr>
            <w:r w:rsidRPr="003B685B">
              <w:t>$3,111</w:t>
            </w:r>
          </w:p>
        </w:tc>
      </w:tr>
      <w:tr w14:paraId="10F9E243" w14:textId="77777777" w:rsidTr="00CA29B6">
        <w:tblPrEx>
          <w:tblW w:w="5384" w:type="pct"/>
          <w:tblLook w:val="04A0"/>
        </w:tblPrEx>
        <w:trPr>
          <w:trHeight w:val="255"/>
        </w:trPr>
        <w:tc>
          <w:tcPr>
            <w:tcW w:w="99" w:type="pct"/>
            <w:tcBorders>
              <w:top w:val="single" w:sz="4" w:space="0" w:color="auto"/>
              <w:left w:val="single" w:sz="4" w:space="0" w:color="auto"/>
              <w:bottom w:val="single" w:sz="4" w:space="0" w:color="auto"/>
              <w:right w:val="nil"/>
            </w:tcBorders>
            <w:shd w:val="clear" w:color="auto" w:fill="auto"/>
            <w:vAlign w:val="bottom"/>
            <w:hideMark/>
          </w:tcPr>
          <w:p w:rsidR="00DF73FA" w:rsidRPr="004D52BC" w:rsidP="00DF73FA" w14:paraId="7D795835" w14:textId="77777777">
            <w:r w:rsidRPr="004D52BC">
              <w:t> </w:t>
            </w:r>
          </w:p>
        </w:tc>
        <w:tc>
          <w:tcPr>
            <w:tcW w:w="99" w:type="pct"/>
            <w:tcBorders>
              <w:top w:val="single" w:sz="4" w:space="0" w:color="auto"/>
              <w:left w:val="nil"/>
              <w:bottom w:val="single" w:sz="4" w:space="0" w:color="auto"/>
              <w:right w:val="nil"/>
            </w:tcBorders>
            <w:shd w:val="clear" w:color="auto" w:fill="auto"/>
            <w:vAlign w:val="bottom"/>
            <w:hideMark/>
          </w:tcPr>
          <w:p w:rsidR="00DF73FA" w:rsidRPr="004D52BC" w:rsidP="00DF73FA" w14:paraId="3339E197" w14:textId="77777777">
            <w:r w:rsidRPr="004D52BC">
              <w:t> </w:t>
            </w:r>
          </w:p>
        </w:tc>
        <w:tc>
          <w:tcPr>
            <w:tcW w:w="1833" w:type="pct"/>
            <w:tcBorders>
              <w:top w:val="nil"/>
              <w:left w:val="nil"/>
              <w:bottom w:val="nil"/>
              <w:right w:val="nil"/>
            </w:tcBorders>
            <w:shd w:val="clear" w:color="auto" w:fill="auto"/>
            <w:vAlign w:val="bottom"/>
            <w:hideMark/>
          </w:tcPr>
          <w:p w:rsidR="00DF73FA" w:rsidRPr="004D52BC" w:rsidP="00DF73FA" w14:paraId="4E902CE7" w14:textId="77777777">
            <w:pPr>
              <w:ind w:firstLine="240" w:firstLineChars="100"/>
            </w:pPr>
            <w:r w:rsidRPr="004D52BC">
              <w:t>Underground Natural Gas Storage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0C178BF6"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7E61215F"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6F4A44E0"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0F413FE3" w14:textId="24DA405D">
            <w:pPr>
              <w:jc w:val="right"/>
            </w:pPr>
            <w:r w:rsidRPr="002857C8">
              <w:t>1</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553C9A57" w14:textId="302FB19F">
            <w:pPr>
              <w:jc w:val="right"/>
            </w:pPr>
            <w:r w:rsidRPr="003B685B">
              <w:t>$141</w:t>
            </w:r>
          </w:p>
        </w:tc>
      </w:tr>
      <w:tr w14:paraId="660ED2C8" w14:textId="77777777" w:rsidTr="0074001A">
        <w:tblPrEx>
          <w:tblW w:w="5384" w:type="pct"/>
          <w:tblLook w:val="04A0"/>
        </w:tblPrEx>
        <w:trPr>
          <w:trHeight w:val="64"/>
        </w:trPr>
        <w:tc>
          <w:tcPr>
            <w:tcW w:w="99" w:type="pct"/>
            <w:tcBorders>
              <w:top w:val="nil"/>
              <w:left w:val="single" w:sz="4" w:space="0" w:color="auto"/>
              <w:bottom w:val="single" w:sz="4" w:space="0" w:color="auto"/>
              <w:right w:val="nil"/>
            </w:tcBorders>
            <w:shd w:val="clear" w:color="auto" w:fill="auto"/>
            <w:vAlign w:val="bottom"/>
            <w:hideMark/>
          </w:tcPr>
          <w:p w:rsidR="00DF73FA" w:rsidRPr="004D52BC" w:rsidP="00DF73FA" w14:paraId="5D69D1F8" w14:textId="77777777">
            <w:r w:rsidRPr="004D52BC">
              <w:t> </w:t>
            </w:r>
          </w:p>
        </w:tc>
        <w:tc>
          <w:tcPr>
            <w:tcW w:w="99" w:type="pct"/>
            <w:tcBorders>
              <w:top w:val="nil"/>
              <w:left w:val="nil"/>
              <w:bottom w:val="single" w:sz="4" w:space="0" w:color="auto"/>
              <w:right w:val="nil"/>
            </w:tcBorders>
            <w:shd w:val="clear" w:color="auto" w:fill="auto"/>
            <w:vAlign w:val="bottom"/>
            <w:hideMark/>
          </w:tcPr>
          <w:p w:rsidR="00DF73FA" w:rsidRPr="004D52BC" w:rsidP="00DF73FA" w14:paraId="3FA908AF" w14:textId="77777777">
            <w:r w:rsidRPr="004D52BC">
              <w:t> </w:t>
            </w:r>
          </w:p>
        </w:tc>
        <w:tc>
          <w:tcPr>
            <w:tcW w:w="1833" w:type="pct"/>
            <w:tcBorders>
              <w:top w:val="single" w:sz="4" w:space="0" w:color="auto"/>
              <w:left w:val="nil"/>
              <w:bottom w:val="single" w:sz="4" w:space="0" w:color="auto"/>
              <w:right w:val="nil"/>
            </w:tcBorders>
            <w:shd w:val="clear" w:color="auto" w:fill="auto"/>
            <w:vAlign w:val="bottom"/>
            <w:hideMark/>
          </w:tcPr>
          <w:p w:rsidR="00DF73FA" w:rsidRPr="004D52BC" w:rsidP="00DF73FA" w14:paraId="52BF0980" w14:textId="77777777">
            <w:pPr>
              <w:ind w:firstLine="240" w:firstLineChars="100"/>
            </w:pPr>
            <w:r w:rsidRPr="004D52BC">
              <w:t>LNG Storage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05DC4ADF"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6F30F88B"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44BBDACA"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hideMark/>
          </w:tcPr>
          <w:p w:rsidR="00DF73FA" w:rsidRPr="004D52BC" w:rsidP="00DF73FA" w14:paraId="75C55F9B" w14:textId="3D215E82">
            <w:pPr>
              <w:jc w:val="right"/>
            </w:pPr>
            <w:r w:rsidRPr="002857C8">
              <w:t>0</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2FF1B08D" w14:textId="03E79040">
            <w:pPr>
              <w:jc w:val="right"/>
            </w:pPr>
            <w:r w:rsidRPr="003B685B">
              <w:t>$0</w:t>
            </w:r>
          </w:p>
        </w:tc>
      </w:tr>
      <w:tr w14:paraId="7ACA3E38" w14:textId="77777777" w:rsidTr="0074001A">
        <w:tblPrEx>
          <w:tblW w:w="5384" w:type="pct"/>
          <w:tblLook w:val="04A0"/>
        </w:tblPrEx>
        <w:trPr>
          <w:trHeight w:val="255"/>
        </w:trPr>
        <w:tc>
          <w:tcPr>
            <w:tcW w:w="99" w:type="pct"/>
            <w:tcBorders>
              <w:top w:val="nil"/>
              <w:left w:val="single" w:sz="4" w:space="0" w:color="auto"/>
              <w:bottom w:val="single" w:sz="4" w:space="0" w:color="auto"/>
              <w:right w:val="nil"/>
            </w:tcBorders>
            <w:shd w:val="clear" w:color="auto" w:fill="auto"/>
            <w:vAlign w:val="bottom"/>
            <w:hideMark/>
          </w:tcPr>
          <w:p w:rsidR="00DF73FA" w:rsidRPr="004D52BC" w:rsidP="00DF73FA" w14:paraId="61B94062" w14:textId="77777777">
            <w:r w:rsidRPr="004D52BC">
              <w:t> </w:t>
            </w:r>
          </w:p>
        </w:tc>
        <w:tc>
          <w:tcPr>
            <w:tcW w:w="99" w:type="pct"/>
            <w:tcBorders>
              <w:top w:val="nil"/>
              <w:left w:val="nil"/>
              <w:bottom w:val="single" w:sz="4" w:space="0" w:color="auto"/>
              <w:right w:val="nil"/>
            </w:tcBorders>
            <w:shd w:val="clear" w:color="auto" w:fill="auto"/>
            <w:vAlign w:val="bottom"/>
            <w:hideMark/>
          </w:tcPr>
          <w:p w:rsidR="00DF73FA" w:rsidRPr="004D52BC" w:rsidP="00DF73FA" w14:paraId="1AE7E7DD" w14:textId="77777777">
            <w:r w:rsidRPr="004D52BC">
              <w:t> </w:t>
            </w:r>
          </w:p>
        </w:tc>
        <w:tc>
          <w:tcPr>
            <w:tcW w:w="1833" w:type="pct"/>
            <w:tcBorders>
              <w:top w:val="nil"/>
              <w:left w:val="nil"/>
              <w:bottom w:val="single" w:sz="4" w:space="0" w:color="auto"/>
              <w:right w:val="nil"/>
            </w:tcBorders>
            <w:shd w:val="clear" w:color="auto" w:fill="auto"/>
            <w:vAlign w:val="bottom"/>
            <w:hideMark/>
          </w:tcPr>
          <w:p w:rsidR="00DF73FA" w:rsidRPr="004D52BC" w:rsidP="00DF73FA" w14:paraId="4DB6D137" w14:textId="77777777">
            <w:pPr>
              <w:ind w:firstLine="240" w:firstLineChars="100"/>
            </w:pPr>
            <w:r w:rsidRPr="004D52BC">
              <w:t>LNG Import and Export Equipment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79851334"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013EA522"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E519C6" w14:paraId="5B51CAEA" w14:textId="77777777">
            <w:pPr>
              <w:jc w:val="right"/>
            </w:pPr>
            <w:r w:rsidRPr="004D52BC">
              <w:rPr>
                <w:strike/>
              </w:rPr>
              <w:t> </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6BE24A5F" w14:textId="026D363C">
            <w:pPr>
              <w:jc w:val="right"/>
            </w:pPr>
            <w:r w:rsidRPr="002857C8">
              <w:t>7</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634C223C" w14:textId="36974C2B">
            <w:pPr>
              <w:jc w:val="right"/>
            </w:pPr>
            <w:r w:rsidRPr="003B685B">
              <w:t>$990</w:t>
            </w:r>
          </w:p>
        </w:tc>
      </w:tr>
      <w:tr w14:paraId="75F5A2B8" w14:textId="77777777" w:rsidTr="0074001A">
        <w:tblPrEx>
          <w:tblW w:w="5384" w:type="pct"/>
          <w:tblLook w:val="04A0"/>
        </w:tblPrEx>
        <w:trPr>
          <w:trHeight w:val="64"/>
        </w:trPr>
        <w:tc>
          <w:tcPr>
            <w:tcW w:w="99" w:type="pct"/>
            <w:tcBorders>
              <w:top w:val="nil"/>
              <w:left w:val="single" w:sz="4" w:space="0" w:color="auto"/>
              <w:bottom w:val="single" w:sz="4" w:space="0" w:color="auto"/>
              <w:right w:val="nil"/>
            </w:tcBorders>
            <w:shd w:val="clear" w:color="auto" w:fill="auto"/>
            <w:vAlign w:val="bottom"/>
            <w:hideMark/>
          </w:tcPr>
          <w:p w:rsidR="00DF73FA" w:rsidRPr="004D52BC" w:rsidP="00DF73FA" w14:paraId="3BC1F629" w14:textId="77777777">
            <w:r w:rsidRPr="004D52BC">
              <w:t> </w:t>
            </w:r>
          </w:p>
        </w:tc>
        <w:tc>
          <w:tcPr>
            <w:tcW w:w="99" w:type="pct"/>
            <w:tcBorders>
              <w:top w:val="nil"/>
              <w:left w:val="nil"/>
              <w:bottom w:val="single" w:sz="4" w:space="0" w:color="auto"/>
              <w:right w:val="nil"/>
            </w:tcBorders>
            <w:shd w:val="clear" w:color="auto" w:fill="auto"/>
            <w:vAlign w:val="bottom"/>
            <w:hideMark/>
          </w:tcPr>
          <w:p w:rsidR="00DF73FA" w:rsidRPr="004D52BC" w:rsidP="00DF73FA" w14:paraId="1B0D5AA3" w14:textId="77777777">
            <w:r w:rsidRPr="004D52BC">
              <w:t> </w:t>
            </w:r>
          </w:p>
        </w:tc>
        <w:tc>
          <w:tcPr>
            <w:tcW w:w="1833" w:type="pct"/>
            <w:tcBorders>
              <w:top w:val="nil"/>
              <w:left w:val="nil"/>
              <w:bottom w:val="single" w:sz="4" w:space="0" w:color="auto"/>
              <w:right w:val="nil"/>
            </w:tcBorders>
            <w:shd w:val="clear" w:color="auto" w:fill="auto"/>
            <w:vAlign w:val="bottom"/>
            <w:hideMark/>
          </w:tcPr>
          <w:p w:rsidR="00DF73FA" w:rsidRPr="004D52BC" w:rsidP="00DF73FA" w14:paraId="6A5AED96" w14:textId="77777777">
            <w:pPr>
              <w:ind w:firstLine="240" w:firstLineChars="100"/>
            </w:pPr>
            <w:r w:rsidRPr="004D52BC">
              <w:t>Onshore Petroleum and Natural Gas Gathering and Boosting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3D59938C"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307E2599"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727519D9"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116D8DAD" w14:textId="7EF2AA0C">
            <w:pPr>
              <w:jc w:val="right"/>
            </w:pPr>
            <w:r w:rsidRPr="002857C8">
              <w:t>310</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32E0D26E" w14:textId="0EB6F33F">
            <w:pPr>
              <w:jc w:val="right"/>
            </w:pPr>
            <w:r w:rsidRPr="003B685B">
              <w:t>$43,837</w:t>
            </w:r>
          </w:p>
        </w:tc>
      </w:tr>
      <w:tr w14:paraId="37218743" w14:textId="77777777" w:rsidTr="0074001A">
        <w:tblPrEx>
          <w:tblW w:w="5384" w:type="pct"/>
          <w:tblLook w:val="04A0"/>
        </w:tblPrEx>
        <w:trPr>
          <w:trHeight w:val="64"/>
        </w:trPr>
        <w:tc>
          <w:tcPr>
            <w:tcW w:w="99" w:type="pct"/>
            <w:tcBorders>
              <w:top w:val="nil"/>
              <w:left w:val="single" w:sz="4" w:space="0" w:color="auto"/>
              <w:bottom w:val="single" w:sz="4" w:space="0" w:color="auto"/>
              <w:right w:val="nil"/>
            </w:tcBorders>
            <w:shd w:val="clear" w:color="auto" w:fill="auto"/>
            <w:vAlign w:val="bottom"/>
            <w:hideMark/>
          </w:tcPr>
          <w:p w:rsidR="00DF73FA" w:rsidRPr="004D52BC" w:rsidP="00DF73FA" w14:paraId="6B706819" w14:textId="77777777">
            <w:r w:rsidRPr="004D52BC">
              <w:t> </w:t>
            </w:r>
          </w:p>
        </w:tc>
        <w:tc>
          <w:tcPr>
            <w:tcW w:w="99" w:type="pct"/>
            <w:tcBorders>
              <w:top w:val="nil"/>
              <w:left w:val="nil"/>
              <w:bottom w:val="single" w:sz="4" w:space="0" w:color="auto"/>
              <w:right w:val="nil"/>
            </w:tcBorders>
            <w:shd w:val="clear" w:color="auto" w:fill="auto"/>
            <w:vAlign w:val="bottom"/>
            <w:hideMark/>
          </w:tcPr>
          <w:p w:rsidR="00DF73FA" w:rsidRPr="004D52BC" w:rsidP="00DF73FA" w14:paraId="52567FA4" w14:textId="77777777">
            <w:r w:rsidRPr="004D52BC">
              <w:t> </w:t>
            </w:r>
          </w:p>
        </w:tc>
        <w:tc>
          <w:tcPr>
            <w:tcW w:w="1833" w:type="pct"/>
            <w:tcBorders>
              <w:top w:val="nil"/>
              <w:left w:val="nil"/>
              <w:bottom w:val="single" w:sz="4" w:space="0" w:color="auto"/>
              <w:right w:val="nil"/>
            </w:tcBorders>
            <w:shd w:val="clear" w:color="auto" w:fill="auto"/>
            <w:vAlign w:val="bottom"/>
            <w:hideMark/>
          </w:tcPr>
          <w:p w:rsidR="00DF73FA" w:rsidRPr="004D52BC" w:rsidP="00DF73FA" w14:paraId="5B6B9A75" w14:textId="77777777">
            <w:pPr>
              <w:ind w:firstLine="240" w:firstLineChars="100"/>
            </w:pPr>
            <w:r w:rsidRPr="004D52BC">
              <w:t>Onshore Natural Gas Transmission Pipeline applicable facilities</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4A115937"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16985D3D"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6E3DA0DC"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4D50FE80" w14:textId="49923621">
            <w:pPr>
              <w:jc w:val="right"/>
            </w:pPr>
            <w:r w:rsidRPr="002857C8">
              <w:t>20</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3740419A" w14:textId="2758C2A8">
            <w:pPr>
              <w:jc w:val="right"/>
            </w:pPr>
            <w:r w:rsidRPr="003B685B">
              <w:t>$2,828</w:t>
            </w:r>
          </w:p>
        </w:tc>
      </w:tr>
      <w:tr w14:paraId="4040F66C" w14:textId="77777777" w:rsidTr="0074001A">
        <w:tblPrEx>
          <w:tblW w:w="5384" w:type="pct"/>
          <w:tblLook w:val="04A0"/>
        </w:tblPrEx>
        <w:trPr>
          <w:trHeight w:val="64"/>
        </w:trPr>
        <w:tc>
          <w:tcPr>
            <w:tcW w:w="99" w:type="pct"/>
            <w:tcBorders>
              <w:top w:val="single" w:sz="4" w:space="0" w:color="auto"/>
              <w:left w:val="single" w:sz="4" w:space="0" w:color="auto"/>
              <w:bottom w:val="nil"/>
              <w:right w:val="nil"/>
            </w:tcBorders>
            <w:shd w:val="clear" w:color="auto" w:fill="auto"/>
            <w:vAlign w:val="bottom"/>
            <w:hideMark/>
          </w:tcPr>
          <w:p w:rsidR="00DF73FA" w:rsidRPr="004D52BC" w:rsidP="00DF73FA" w14:paraId="1C4EF8C6" w14:textId="77777777">
            <w:r w:rsidRPr="004D52BC">
              <w:t> </w:t>
            </w:r>
          </w:p>
        </w:tc>
        <w:tc>
          <w:tcPr>
            <w:tcW w:w="99" w:type="pct"/>
            <w:tcBorders>
              <w:top w:val="nil"/>
              <w:left w:val="nil"/>
              <w:bottom w:val="nil"/>
              <w:right w:val="nil"/>
            </w:tcBorders>
            <w:shd w:val="clear" w:color="auto" w:fill="auto"/>
            <w:vAlign w:val="bottom"/>
            <w:hideMark/>
          </w:tcPr>
          <w:p w:rsidR="00DF73FA" w:rsidRPr="004D52BC" w:rsidP="00DF73FA" w14:paraId="1CAA78D5" w14:textId="77777777">
            <w:r w:rsidRPr="004D52BC">
              <w:t> </w:t>
            </w:r>
          </w:p>
        </w:tc>
        <w:tc>
          <w:tcPr>
            <w:tcW w:w="1833" w:type="pct"/>
            <w:tcBorders>
              <w:top w:val="nil"/>
              <w:left w:val="nil"/>
              <w:bottom w:val="single" w:sz="4" w:space="0" w:color="auto"/>
              <w:right w:val="nil"/>
            </w:tcBorders>
            <w:shd w:val="clear" w:color="auto" w:fill="auto"/>
            <w:vAlign w:val="bottom"/>
            <w:hideMark/>
          </w:tcPr>
          <w:p w:rsidR="00DF73FA" w:rsidRPr="004D52BC" w:rsidP="00DF73FA" w14:paraId="52EA3FFF" w14:textId="77777777">
            <w:pPr>
              <w:ind w:firstLine="240" w:firstLineChars="100"/>
            </w:pPr>
            <w:r w:rsidRPr="004D52BC">
              <w:t>WEC Obligated Party</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DF73FA" w:rsidRPr="004D52BC" w:rsidP="00DF73FA" w14:paraId="7FA5F173" w14:textId="77777777">
            <w:pPr>
              <w:jc w:val="right"/>
            </w:pPr>
            <w:r w:rsidRPr="004D52BC">
              <w:t>1</w:t>
            </w:r>
          </w:p>
        </w:tc>
        <w:tc>
          <w:tcPr>
            <w:tcW w:w="718" w:type="pct"/>
            <w:tcBorders>
              <w:top w:val="nil"/>
              <w:left w:val="nil"/>
              <w:bottom w:val="single" w:sz="4" w:space="0" w:color="auto"/>
              <w:right w:val="single" w:sz="4" w:space="0" w:color="auto"/>
            </w:tcBorders>
            <w:shd w:val="clear" w:color="auto" w:fill="auto"/>
            <w:vAlign w:val="bottom"/>
            <w:hideMark/>
          </w:tcPr>
          <w:p w:rsidR="00DF73FA" w:rsidRPr="004D52BC" w:rsidP="00DF73FA" w14:paraId="1C2CC47D" w14:textId="77777777">
            <w:pPr>
              <w:jc w:val="right"/>
              <w:rPr>
                <w:color w:val="000000"/>
              </w:rPr>
            </w:pPr>
            <w:r w:rsidRPr="004D52BC">
              <w:rPr>
                <w:color w:val="000000"/>
              </w:rPr>
              <w:t>1</w:t>
            </w:r>
          </w:p>
        </w:tc>
        <w:tc>
          <w:tcPr>
            <w:tcW w:w="683" w:type="pct"/>
            <w:tcBorders>
              <w:top w:val="nil"/>
              <w:left w:val="nil"/>
              <w:bottom w:val="single" w:sz="4" w:space="0" w:color="auto"/>
              <w:right w:val="single" w:sz="4" w:space="0" w:color="auto"/>
            </w:tcBorders>
            <w:shd w:val="clear" w:color="auto" w:fill="auto"/>
            <w:vAlign w:val="bottom"/>
            <w:hideMark/>
          </w:tcPr>
          <w:p w:rsidR="00DF73FA" w:rsidRPr="004D52BC" w:rsidP="00DF73FA" w14:paraId="7C7A9EB0" w14:textId="77777777">
            <w:pPr>
              <w:jc w:val="right"/>
            </w:pPr>
            <w:r w:rsidRPr="004D52BC">
              <w:t>1</w:t>
            </w:r>
          </w:p>
        </w:tc>
        <w:tc>
          <w:tcPr>
            <w:tcW w:w="570" w:type="pct"/>
            <w:tcBorders>
              <w:top w:val="nil"/>
              <w:left w:val="nil"/>
              <w:bottom w:val="single" w:sz="4" w:space="0" w:color="auto"/>
              <w:right w:val="single" w:sz="4" w:space="0" w:color="auto"/>
            </w:tcBorders>
            <w:shd w:val="clear" w:color="auto" w:fill="auto"/>
            <w:vAlign w:val="bottom"/>
            <w:hideMark/>
          </w:tcPr>
          <w:p w:rsidR="00DF73FA" w:rsidRPr="004D52BC" w:rsidP="00DF73FA" w14:paraId="0726B762" w14:textId="12B1ECF5">
            <w:pPr>
              <w:jc w:val="right"/>
              <w:rPr>
                <w:color w:val="000000"/>
              </w:rPr>
            </w:pPr>
            <w:r>
              <w:t>535</w:t>
            </w:r>
          </w:p>
        </w:tc>
        <w:tc>
          <w:tcPr>
            <w:tcW w:w="508" w:type="pct"/>
            <w:tcBorders>
              <w:top w:val="nil"/>
              <w:left w:val="nil"/>
              <w:bottom w:val="single" w:sz="4" w:space="0" w:color="auto"/>
              <w:right w:val="single" w:sz="4" w:space="0" w:color="auto"/>
            </w:tcBorders>
            <w:shd w:val="clear" w:color="auto" w:fill="auto"/>
            <w:vAlign w:val="bottom"/>
            <w:hideMark/>
          </w:tcPr>
          <w:p w:rsidR="00DF73FA" w:rsidRPr="004D52BC" w:rsidP="00DF73FA" w14:paraId="7355DE60" w14:textId="6096780D">
            <w:pPr>
              <w:jc w:val="right"/>
            </w:pPr>
            <w:r w:rsidRPr="00E519C6">
              <w:t>$168,573</w:t>
            </w:r>
          </w:p>
        </w:tc>
      </w:tr>
      <w:tr w14:paraId="2E57EFEF" w14:textId="77777777" w:rsidTr="0074001A">
        <w:tblPrEx>
          <w:tblW w:w="5384" w:type="pct"/>
          <w:tblLook w:val="04A0"/>
        </w:tblPrEx>
        <w:trPr>
          <w:trHeight w:val="240"/>
        </w:trPr>
        <w:tc>
          <w:tcPr>
            <w:tcW w:w="99" w:type="pct"/>
            <w:tcBorders>
              <w:top w:val="single" w:sz="4" w:space="0" w:color="auto"/>
              <w:left w:val="single" w:sz="4" w:space="0" w:color="auto"/>
              <w:bottom w:val="single" w:sz="4" w:space="0" w:color="auto"/>
              <w:right w:val="nil"/>
            </w:tcBorders>
            <w:shd w:val="clear" w:color="auto" w:fill="auto"/>
            <w:vAlign w:val="bottom"/>
            <w:hideMark/>
          </w:tcPr>
          <w:p w:rsidR="00ED0486" w:rsidRPr="004D52BC" w:rsidP="008E07A6" w14:paraId="173A564B" w14:textId="77777777">
            <w:r w:rsidRPr="004D52BC">
              <w:t> </w:t>
            </w:r>
          </w:p>
        </w:tc>
        <w:tc>
          <w:tcPr>
            <w:tcW w:w="1932" w:type="pct"/>
            <w:gridSpan w:val="2"/>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340D328B" w14:textId="77777777">
            <w:r w:rsidRPr="004D52BC">
              <w:t>C. Create Information (Included in 4B)</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7958DA48" w14:textId="77777777">
            <w:r w:rsidRPr="004D52BC">
              <w:t> </w:t>
            </w:r>
          </w:p>
        </w:tc>
        <w:tc>
          <w:tcPr>
            <w:tcW w:w="718" w:type="pct"/>
            <w:tcBorders>
              <w:top w:val="nil"/>
              <w:left w:val="nil"/>
              <w:bottom w:val="single" w:sz="4" w:space="0" w:color="auto"/>
              <w:right w:val="single" w:sz="4" w:space="0" w:color="auto"/>
            </w:tcBorders>
            <w:shd w:val="clear" w:color="auto" w:fill="auto"/>
            <w:vAlign w:val="bottom"/>
            <w:hideMark/>
          </w:tcPr>
          <w:p w:rsidR="00ED0486" w:rsidRPr="004D52BC" w:rsidP="008E07A6" w14:paraId="60BAE98D" w14:textId="77777777">
            <w:r w:rsidRPr="004D52BC">
              <w:t> </w:t>
            </w:r>
          </w:p>
        </w:tc>
        <w:tc>
          <w:tcPr>
            <w:tcW w:w="683" w:type="pct"/>
            <w:tcBorders>
              <w:top w:val="nil"/>
              <w:left w:val="nil"/>
              <w:bottom w:val="single" w:sz="4" w:space="0" w:color="auto"/>
              <w:right w:val="single" w:sz="4" w:space="0" w:color="auto"/>
            </w:tcBorders>
            <w:shd w:val="clear" w:color="auto" w:fill="auto"/>
            <w:vAlign w:val="bottom"/>
            <w:hideMark/>
          </w:tcPr>
          <w:p w:rsidR="00ED0486" w:rsidRPr="004D52BC" w:rsidP="008E07A6" w14:paraId="7D9EA78D" w14:textId="77777777">
            <w:r w:rsidRPr="004D52BC">
              <w:t> </w:t>
            </w:r>
          </w:p>
        </w:tc>
        <w:tc>
          <w:tcPr>
            <w:tcW w:w="570" w:type="pct"/>
            <w:tcBorders>
              <w:top w:val="nil"/>
              <w:left w:val="nil"/>
              <w:bottom w:val="single" w:sz="4" w:space="0" w:color="auto"/>
              <w:right w:val="single" w:sz="4" w:space="0" w:color="auto"/>
            </w:tcBorders>
            <w:shd w:val="clear" w:color="auto" w:fill="auto"/>
            <w:vAlign w:val="bottom"/>
            <w:hideMark/>
          </w:tcPr>
          <w:p w:rsidR="00ED0486" w:rsidRPr="004D52BC" w:rsidP="00E519C6" w14:paraId="4A8ECA8D" w14:textId="77777777">
            <w:pPr>
              <w:jc w:val="right"/>
            </w:pPr>
            <w:r w:rsidRPr="004D52BC">
              <w:t> </w:t>
            </w:r>
          </w:p>
        </w:tc>
        <w:tc>
          <w:tcPr>
            <w:tcW w:w="508" w:type="pct"/>
            <w:tcBorders>
              <w:top w:val="nil"/>
              <w:left w:val="nil"/>
              <w:bottom w:val="single" w:sz="4" w:space="0" w:color="auto"/>
              <w:right w:val="single" w:sz="4" w:space="0" w:color="auto"/>
            </w:tcBorders>
            <w:shd w:val="clear" w:color="auto" w:fill="auto"/>
            <w:vAlign w:val="bottom"/>
            <w:hideMark/>
          </w:tcPr>
          <w:p w:rsidR="00ED0486" w:rsidRPr="004D52BC" w:rsidP="00E519C6" w14:paraId="62FD66A7" w14:textId="77777777">
            <w:pPr>
              <w:jc w:val="right"/>
            </w:pPr>
            <w:r w:rsidRPr="004D52BC">
              <w:t> </w:t>
            </w:r>
          </w:p>
        </w:tc>
      </w:tr>
      <w:tr w14:paraId="3CAC8257" w14:textId="77777777" w:rsidTr="0074001A">
        <w:tblPrEx>
          <w:tblW w:w="5384" w:type="pct"/>
          <w:tblLook w:val="04A0"/>
        </w:tblPrEx>
        <w:trPr>
          <w:trHeight w:val="240"/>
        </w:trPr>
        <w:tc>
          <w:tcPr>
            <w:tcW w:w="99" w:type="pct"/>
            <w:tcBorders>
              <w:top w:val="nil"/>
              <w:left w:val="single" w:sz="4" w:space="0" w:color="auto"/>
              <w:bottom w:val="single" w:sz="4" w:space="0" w:color="auto"/>
              <w:right w:val="nil"/>
            </w:tcBorders>
            <w:shd w:val="clear" w:color="auto" w:fill="auto"/>
            <w:vAlign w:val="bottom"/>
            <w:hideMark/>
          </w:tcPr>
          <w:p w:rsidR="00ED0486" w:rsidRPr="004D52BC" w:rsidP="008E07A6" w14:paraId="7E9C6070" w14:textId="77777777">
            <w:r w:rsidRPr="004D52BC">
              <w:t> </w:t>
            </w:r>
          </w:p>
        </w:tc>
        <w:tc>
          <w:tcPr>
            <w:tcW w:w="1932" w:type="pct"/>
            <w:gridSpan w:val="2"/>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502CA6DE" w14:textId="77777777">
            <w:r w:rsidRPr="004D52BC">
              <w:t>D. Gather Existing Information (Included in 4E)</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5C0A67FE" w14:textId="77777777">
            <w:r w:rsidRPr="004D52BC">
              <w:t> </w:t>
            </w:r>
          </w:p>
        </w:tc>
        <w:tc>
          <w:tcPr>
            <w:tcW w:w="718" w:type="pct"/>
            <w:tcBorders>
              <w:top w:val="nil"/>
              <w:left w:val="nil"/>
              <w:bottom w:val="single" w:sz="4" w:space="0" w:color="auto"/>
              <w:right w:val="single" w:sz="4" w:space="0" w:color="auto"/>
            </w:tcBorders>
            <w:shd w:val="clear" w:color="auto" w:fill="auto"/>
            <w:vAlign w:val="bottom"/>
            <w:hideMark/>
          </w:tcPr>
          <w:p w:rsidR="00ED0486" w:rsidRPr="004D52BC" w:rsidP="008E07A6" w14:paraId="164450D8" w14:textId="77777777">
            <w:r w:rsidRPr="004D52BC">
              <w:t> </w:t>
            </w:r>
          </w:p>
        </w:tc>
        <w:tc>
          <w:tcPr>
            <w:tcW w:w="683" w:type="pct"/>
            <w:tcBorders>
              <w:top w:val="nil"/>
              <w:left w:val="nil"/>
              <w:bottom w:val="single" w:sz="4" w:space="0" w:color="auto"/>
              <w:right w:val="single" w:sz="4" w:space="0" w:color="auto"/>
            </w:tcBorders>
            <w:shd w:val="clear" w:color="auto" w:fill="auto"/>
            <w:vAlign w:val="bottom"/>
            <w:hideMark/>
          </w:tcPr>
          <w:p w:rsidR="00ED0486" w:rsidRPr="004D52BC" w:rsidP="008E07A6" w14:paraId="55DE3294" w14:textId="77777777">
            <w:r w:rsidRPr="004D52BC">
              <w:t> </w:t>
            </w:r>
          </w:p>
        </w:tc>
        <w:tc>
          <w:tcPr>
            <w:tcW w:w="570" w:type="pct"/>
            <w:tcBorders>
              <w:top w:val="nil"/>
              <w:left w:val="nil"/>
              <w:bottom w:val="single" w:sz="4" w:space="0" w:color="auto"/>
              <w:right w:val="single" w:sz="4" w:space="0" w:color="auto"/>
            </w:tcBorders>
            <w:shd w:val="clear" w:color="auto" w:fill="auto"/>
            <w:vAlign w:val="bottom"/>
            <w:hideMark/>
          </w:tcPr>
          <w:p w:rsidR="00ED0486" w:rsidRPr="004D52BC" w:rsidP="00E519C6" w14:paraId="484735E0" w14:textId="77777777">
            <w:pPr>
              <w:jc w:val="right"/>
            </w:pPr>
            <w:r w:rsidRPr="004D52BC">
              <w:t> </w:t>
            </w:r>
          </w:p>
        </w:tc>
        <w:tc>
          <w:tcPr>
            <w:tcW w:w="508" w:type="pct"/>
            <w:tcBorders>
              <w:top w:val="nil"/>
              <w:left w:val="nil"/>
              <w:bottom w:val="single" w:sz="4" w:space="0" w:color="auto"/>
              <w:right w:val="single" w:sz="4" w:space="0" w:color="auto"/>
            </w:tcBorders>
            <w:shd w:val="clear" w:color="auto" w:fill="auto"/>
            <w:vAlign w:val="bottom"/>
            <w:hideMark/>
          </w:tcPr>
          <w:p w:rsidR="00ED0486" w:rsidRPr="004D52BC" w:rsidP="00E519C6" w14:paraId="6EEAB19B" w14:textId="77777777">
            <w:pPr>
              <w:jc w:val="right"/>
            </w:pPr>
            <w:r w:rsidRPr="004D52BC">
              <w:t> </w:t>
            </w:r>
          </w:p>
        </w:tc>
      </w:tr>
      <w:tr w14:paraId="2782EFAF" w14:textId="77777777" w:rsidTr="0074001A">
        <w:tblPrEx>
          <w:tblW w:w="5384" w:type="pct"/>
          <w:tblLook w:val="04A0"/>
        </w:tblPrEx>
        <w:trPr>
          <w:trHeight w:val="240"/>
        </w:trPr>
        <w:tc>
          <w:tcPr>
            <w:tcW w:w="99" w:type="pct"/>
            <w:tcBorders>
              <w:top w:val="nil"/>
              <w:left w:val="single" w:sz="4" w:space="0" w:color="auto"/>
              <w:bottom w:val="single" w:sz="4" w:space="0" w:color="auto"/>
              <w:right w:val="nil"/>
            </w:tcBorders>
            <w:shd w:val="clear" w:color="auto" w:fill="auto"/>
            <w:vAlign w:val="bottom"/>
            <w:hideMark/>
          </w:tcPr>
          <w:p w:rsidR="00ED0486" w:rsidRPr="004D52BC" w:rsidP="008E07A6" w14:paraId="41112756" w14:textId="77777777">
            <w:r w:rsidRPr="004D52BC">
              <w:t> </w:t>
            </w:r>
          </w:p>
        </w:tc>
        <w:tc>
          <w:tcPr>
            <w:tcW w:w="1932" w:type="pct"/>
            <w:gridSpan w:val="2"/>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4A1EDF04" w14:textId="77777777">
            <w:r w:rsidRPr="004D52BC">
              <w:t xml:space="preserve">E. Write Report </w:t>
            </w:r>
            <w:r w:rsidRPr="004D52BC">
              <w:rPr>
                <w:vertAlign w:val="superscript"/>
              </w:rPr>
              <w:t>b,c,e</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1D5E6EF4" w14:textId="77777777">
            <w:r w:rsidRPr="004D52BC">
              <w:t> </w:t>
            </w:r>
          </w:p>
        </w:tc>
        <w:tc>
          <w:tcPr>
            <w:tcW w:w="718" w:type="pct"/>
            <w:tcBorders>
              <w:top w:val="nil"/>
              <w:left w:val="nil"/>
              <w:bottom w:val="single" w:sz="4" w:space="0" w:color="auto"/>
              <w:right w:val="single" w:sz="4" w:space="0" w:color="auto"/>
            </w:tcBorders>
            <w:shd w:val="clear" w:color="auto" w:fill="auto"/>
            <w:vAlign w:val="bottom"/>
            <w:hideMark/>
          </w:tcPr>
          <w:p w:rsidR="00ED0486" w:rsidRPr="004D52BC" w:rsidP="008E07A6" w14:paraId="4AD33997" w14:textId="77777777">
            <w:r w:rsidRPr="004D52BC">
              <w:t> </w:t>
            </w:r>
          </w:p>
        </w:tc>
        <w:tc>
          <w:tcPr>
            <w:tcW w:w="683" w:type="pct"/>
            <w:tcBorders>
              <w:top w:val="nil"/>
              <w:left w:val="nil"/>
              <w:bottom w:val="single" w:sz="4" w:space="0" w:color="auto"/>
              <w:right w:val="single" w:sz="4" w:space="0" w:color="auto"/>
            </w:tcBorders>
            <w:shd w:val="clear" w:color="auto" w:fill="auto"/>
            <w:vAlign w:val="bottom"/>
            <w:hideMark/>
          </w:tcPr>
          <w:p w:rsidR="00ED0486" w:rsidRPr="004D52BC" w:rsidP="008E07A6" w14:paraId="2455437A" w14:textId="77777777">
            <w:r w:rsidRPr="004D52BC">
              <w:t> </w:t>
            </w:r>
          </w:p>
        </w:tc>
        <w:tc>
          <w:tcPr>
            <w:tcW w:w="570" w:type="pct"/>
            <w:tcBorders>
              <w:top w:val="nil"/>
              <w:left w:val="nil"/>
              <w:bottom w:val="single" w:sz="4" w:space="0" w:color="auto"/>
              <w:right w:val="single" w:sz="4" w:space="0" w:color="auto"/>
            </w:tcBorders>
            <w:shd w:val="clear" w:color="auto" w:fill="auto"/>
            <w:vAlign w:val="bottom"/>
            <w:hideMark/>
          </w:tcPr>
          <w:p w:rsidR="00ED0486" w:rsidRPr="004D52BC" w:rsidP="00E519C6" w14:paraId="760A6F31" w14:textId="77777777">
            <w:pPr>
              <w:jc w:val="right"/>
            </w:pPr>
            <w:r w:rsidRPr="004D52BC">
              <w:t> </w:t>
            </w:r>
          </w:p>
        </w:tc>
        <w:tc>
          <w:tcPr>
            <w:tcW w:w="508" w:type="pct"/>
            <w:tcBorders>
              <w:top w:val="nil"/>
              <w:left w:val="nil"/>
              <w:bottom w:val="single" w:sz="4" w:space="0" w:color="auto"/>
              <w:right w:val="single" w:sz="4" w:space="0" w:color="auto"/>
            </w:tcBorders>
            <w:shd w:val="clear" w:color="auto" w:fill="auto"/>
            <w:vAlign w:val="bottom"/>
            <w:hideMark/>
          </w:tcPr>
          <w:p w:rsidR="00ED0486" w:rsidRPr="004D52BC" w:rsidP="00E519C6" w14:paraId="09589CC5" w14:textId="77777777">
            <w:pPr>
              <w:jc w:val="right"/>
            </w:pPr>
            <w:r w:rsidRPr="004D52BC">
              <w:t> </w:t>
            </w:r>
          </w:p>
        </w:tc>
      </w:tr>
      <w:tr w14:paraId="2E4BF5ED" w14:textId="77777777" w:rsidTr="0074001A">
        <w:tblPrEx>
          <w:tblW w:w="5384" w:type="pct"/>
          <w:tblLook w:val="04A0"/>
        </w:tblPrEx>
        <w:trPr>
          <w:trHeight w:val="240"/>
        </w:trPr>
        <w:tc>
          <w:tcPr>
            <w:tcW w:w="99" w:type="pct"/>
            <w:tcBorders>
              <w:top w:val="nil"/>
              <w:left w:val="single" w:sz="4" w:space="0" w:color="auto"/>
              <w:bottom w:val="single" w:sz="4" w:space="0" w:color="auto"/>
              <w:right w:val="nil"/>
            </w:tcBorders>
            <w:shd w:val="clear" w:color="auto" w:fill="auto"/>
            <w:vAlign w:val="bottom"/>
            <w:hideMark/>
          </w:tcPr>
          <w:p w:rsidR="001D79CD" w:rsidRPr="004D52BC" w:rsidP="001D79CD" w14:paraId="6531D64D" w14:textId="77777777">
            <w:r w:rsidRPr="004D52BC">
              <w:t> </w:t>
            </w:r>
          </w:p>
        </w:tc>
        <w:tc>
          <w:tcPr>
            <w:tcW w:w="99" w:type="pct"/>
            <w:tcBorders>
              <w:top w:val="single" w:sz="4" w:space="0" w:color="auto"/>
              <w:left w:val="nil"/>
              <w:bottom w:val="single" w:sz="4" w:space="0" w:color="auto"/>
              <w:right w:val="nil"/>
            </w:tcBorders>
            <w:shd w:val="clear" w:color="auto" w:fill="auto"/>
            <w:vAlign w:val="bottom"/>
            <w:hideMark/>
          </w:tcPr>
          <w:p w:rsidR="001D79CD" w:rsidRPr="004D52BC" w:rsidP="001D79CD" w14:paraId="43F73DFC" w14:textId="77777777">
            <w:r w:rsidRPr="004D52BC">
              <w:t> </w:t>
            </w:r>
          </w:p>
        </w:tc>
        <w:tc>
          <w:tcPr>
            <w:tcW w:w="1833" w:type="pct"/>
            <w:tcBorders>
              <w:top w:val="single" w:sz="4" w:space="0" w:color="auto"/>
              <w:left w:val="nil"/>
              <w:bottom w:val="single" w:sz="4" w:space="0" w:color="auto"/>
              <w:right w:val="nil"/>
            </w:tcBorders>
            <w:shd w:val="clear" w:color="auto" w:fill="auto"/>
            <w:vAlign w:val="bottom"/>
            <w:hideMark/>
          </w:tcPr>
          <w:p w:rsidR="001D79CD" w:rsidRPr="004D52BC" w:rsidP="001D79CD" w14:paraId="7F11C99B" w14:textId="77777777">
            <w:r w:rsidRPr="004D52BC">
              <w:t>WEC Applicable Facility: Annual WEC filing through electronic submittal</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1D79CD" w:rsidRPr="004D52BC" w:rsidP="001D79CD" w14:paraId="68703013" w14:textId="77777777">
            <w:pPr>
              <w:jc w:val="right"/>
            </w:pPr>
            <w:r w:rsidRPr="004D52BC">
              <w:t>0.5</w:t>
            </w:r>
          </w:p>
        </w:tc>
        <w:tc>
          <w:tcPr>
            <w:tcW w:w="718" w:type="pct"/>
            <w:tcBorders>
              <w:top w:val="nil"/>
              <w:left w:val="nil"/>
              <w:bottom w:val="single" w:sz="4" w:space="0" w:color="auto"/>
              <w:right w:val="single" w:sz="4" w:space="0" w:color="auto"/>
            </w:tcBorders>
            <w:shd w:val="clear" w:color="auto" w:fill="auto"/>
            <w:vAlign w:val="bottom"/>
            <w:hideMark/>
          </w:tcPr>
          <w:p w:rsidR="001D79CD" w:rsidRPr="004D52BC" w:rsidP="001D79CD" w14:paraId="32F130FB"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1D79CD" w:rsidRPr="004D52BC" w:rsidP="001D79CD" w14:paraId="69F0CC1F" w14:textId="77777777">
            <w:pPr>
              <w:jc w:val="right"/>
            </w:pPr>
            <w:r w:rsidRPr="004D52BC">
              <w:t>0.5</w:t>
            </w:r>
          </w:p>
        </w:tc>
        <w:tc>
          <w:tcPr>
            <w:tcW w:w="570" w:type="pct"/>
            <w:tcBorders>
              <w:top w:val="nil"/>
              <w:left w:val="nil"/>
              <w:bottom w:val="single" w:sz="4" w:space="0" w:color="auto"/>
              <w:right w:val="single" w:sz="4" w:space="0" w:color="auto"/>
            </w:tcBorders>
            <w:shd w:val="clear" w:color="auto" w:fill="auto"/>
            <w:vAlign w:val="bottom"/>
            <w:hideMark/>
          </w:tcPr>
          <w:p w:rsidR="001D79CD" w:rsidRPr="004D52BC" w:rsidP="001D79CD" w14:paraId="55D3B147" w14:textId="33F36DEC">
            <w:pPr>
              <w:jc w:val="right"/>
            </w:pPr>
            <w:r w:rsidRPr="00FC23B2">
              <w:t>956</w:t>
            </w:r>
          </w:p>
        </w:tc>
        <w:tc>
          <w:tcPr>
            <w:tcW w:w="508" w:type="pct"/>
            <w:tcBorders>
              <w:top w:val="nil"/>
              <w:left w:val="nil"/>
              <w:bottom w:val="single" w:sz="4" w:space="0" w:color="auto"/>
              <w:right w:val="single" w:sz="4" w:space="0" w:color="auto"/>
            </w:tcBorders>
            <w:shd w:val="clear" w:color="auto" w:fill="auto"/>
            <w:vAlign w:val="bottom"/>
            <w:hideMark/>
          </w:tcPr>
          <w:p w:rsidR="001D79CD" w:rsidRPr="004D52BC" w:rsidP="001D79CD" w14:paraId="3544DFD6" w14:textId="73400589">
            <w:pPr>
              <w:jc w:val="right"/>
            </w:pPr>
            <w:r w:rsidRPr="009E69F0">
              <w:t>$67,594</w:t>
            </w:r>
          </w:p>
        </w:tc>
      </w:tr>
      <w:tr w14:paraId="7CC66963" w14:textId="77777777" w:rsidTr="0074001A">
        <w:tblPrEx>
          <w:tblW w:w="5384" w:type="pct"/>
          <w:tblLook w:val="04A0"/>
        </w:tblPrEx>
        <w:trPr>
          <w:trHeight w:val="285"/>
        </w:trPr>
        <w:tc>
          <w:tcPr>
            <w:tcW w:w="99" w:type="pct"/>
            <w:tcBorders>
              <w:top w:val="nil"/>
              <w:left w:val="single" w:sz="4" w:space="0" w:color="auto"/>
              <w:bottom w:val="single" w:sz="4" w:space="0" w:color="auto"/>
              <w:right w:val="nil"/>
            </w:tcBorders>
            <w:shd w:val="clear" w:color="auto" w:fill="auto"/>
            <w:vAlign w:val="bottom"/>
            <w:hideMark/>
          </w:tcPr>
          <w:p w:rsidR="001D79CD" w:rsidRPr="004D52BC" w:rsidP="001D79CD" w14:paraId="33264F21" w14:textId="77777777">
            <w:r w:rsidRPr="004D52BC">
              <w:t> </w:t>
            </w:r>
          </w:p>
        </w:tc>
        <w:tc>
          <w:tcPr>
            <w:tcW w:w="99" w:type="pct"/>
            <w:tcBorders>
              <w:top w:val="nil"/>
              <w:left w:val="nil"/>
              <w:bottom w:val="single" w:sz="4" w:space="0" w:color="auto"/>
              <w:right w:val="nil"/>
            </w:tcBorders>
            <w:shd w:val="clear" w:color="auto" w:fill="auto"/>
            <w:vAlign w:val="bottom"/>
            <w:hideMark/>
          </w:tcPr>
          <w:p w:rsidR="001D79CD" w:rsidRPr="004D52BC" w:rsidP="001D79CD" w14:paraId="5FB66A25" w14:textId="77777777">
            <w:r w:rsidRPr="004D52BC">
              <w:t> </w:t>
            </w:r>
          </w:p>
        </w:tc>
        <w:tc>
          <w:tcPr>
            <w:tcW w:w="1833" w:type="pct"/>
            <w:tcBorders>
              <w:top w:val="nil"/>
              <w:left w:val="nil"/>
              <w:bottom w:val="single" w:sz="4" w:space="0" w:color="auto"/>
              <w:right w:val="nil"/>
            </w:tcBorders>
            <w:shd w:val="clear" w:color="auto" w:fill="auto"/>
            <w:vAlign w:val="bottom"/>
            <w:hideMark/>
          </w:tcPr>
          <w:p w:rsidR="001D79CD" w:rsidRPr="004D52BC" w:rsidP="001D79CD" w14:paraId="74130061" w14:textId="77777777">
            <w:r w:rsidRPr="004D52BC">
              <w:t xml:space="preserve">WEC Applicable Facility: Regulatory compliance exemption filing </w:t>
            </w:r>
            <w:r w:rsidRPr="004D52BC">
              <w:rPr>
                <w:vertAlign w:val="superscript"/>
              </w:rPr>
              <w:t>f</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1D79CD" w:rsidRPr="004D52BC" w:rsidP="001D79CD" w14:paraId="18027B82" w14:textId="23225CD8">
            <w:pPr>
              <w:jc w:val="right"/>
            </w:pPr>
            <w:r>
              <w:t>4</w:t>
            </w:r>
          </w:p>
        </w:tc>
        <w:tc>
          <w:tcPr>
            <w:tcW w:w="718" w:type="pct"/>
            <w:tcBorders>
              <w:top w:val="nil"/>
              <w:left w:val="nil"/>
              <w:bottom w:val="single" w:sz="4" w:space="0" w:color="auto"/>
              <w:right w:val="single" w:sz="4" w:space="0" w:color="auto"/>
            </w:tcBorders>
            <w:shd w:val="clear" w:color="auto" w:fill="auto"/>
            <w:vAlign w:val="bottom"/>
            <w:hideMark/>
          </w:tcPr>
          <w:p w:rsidR="001D79CD" w:rsidRPr="004D52BC" w:rsidP="001D79CD" w14:paraId="3248DDDA" w14:textId="77777777">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1D79CD" w:rsidRPr="004D52BC" w:rsidP="001D79CD" w14:paraId="3073D3CE" w14:textId="467964D9">
            <w:pPr>
              <w:jc w:val="right"/>
            </w:pPr>
            <w:r>
              <w:t>4</w:t>
            </w:r>
          </w:p>
        </w:tc>
        <w:tc>
          <w:tcPr>
            <w:tcW w:w="570" w:type="pct"/>
            <w:tcBorders>
              <w:top w:val="nil"/>
              <w:left w:val="nil"/>
              <w:bottom w:val="single" w:sz="4" w:space="0" w:color="auto"/>
              <w:right w:val="single" w:sz="4" w:space="0" w:color="auto"/>
            </w:tcBorders>
            <w:shd w:val="clear" w:color="auto" w:fill="auto"/>
            <w:vAlign w:val="bottom"/>
            <w:hideMark/>
          </w:tcPr>
          <w:p w:rsidR="001D79CD" w:rsidRPr="004D52BC" w:rsidP="001D79CD" w14:paraId="669156FB" w14:textId="7445B8CB">
            <w:pPr>
              <w:jc w:val="right"/>
            </w:pPr>
            <w:r w:rsidRPr="00FC23B2">
              <w:t>0</w:t>
            </w:r>
          </w:p>
        </w:tc>
        <w:tc>
          <w:tcPr>
            <w:tcW w:w="508" w:type="pct"/>
            <w:tcBorders>
              <w:top w:val="nil"/>
              <w:left w:val="nil"/>
              <w:bottom w:val="single" w:sz="4" w:space="0" w:color="auto"/>
              <w:right w:val="single" w:sz="4" w:space="0" w:color="auto"/>
            </w:tcBorders>
            <w:shd w:val="clear" w:color="auto" w:fill="auto"/>
            <w:vAlign w:val="bottom"/>
            <w:hideMark/>
          </w:tcPr>
          <w:p w:rsidR="001D79CD" w:rsidRPr="004D52BC" w:rsidP="001D79CD" w14:paraId="70C2D085" w14:textId="68236B08">
            <w:pPr>
              <w:jc w:val="right"/>
            </w:pPr>
            <w:r w:rsidRPr="009E69F0">
              <w:t>$0</w:t>
            </w:r>
          </w:p>
        </w:tc>
      </w:tr>
      <w:tr w14:paraId="49ED6859" w14:textId="77777777" w:rsidTr="0074001A">
        <w:tblPrEx>
          <w:tblW w:w="5384" w:type="pct"/>
          <w:tblLook w:val="04A0"/>
        </w:tblPrEx>
        <w:trPr>
          <w:trHeight w:val="285"/>
        </w:trPr>
        <w:tc>
          <w:tcPr>
            <w:tcW w:w="99" w:type="pct"/>
            <w:tcBorders>
              <w:top w:val="nil"/>
              <w:left w:val="single" w:sz="4" w:space="0" w:color="auto"/>
              <w:bottom w:val="single" w:sz="4" w:space="0" w:color="auto"/>
              <w:right w:val="nil"/>
            </w:tcBorders>
            <w:shd w:val="clear" w:color="auto" w:fill="auto"/>
            <w:vAlign w:val="bottom"/>
            <w:hideMark/>
          </w:tcPr>
          <w:p w:rsidR="001D79CD" w:rsidRPr="004D52BC" w:rsidP="001D79CD" w14:paraId="62C5EA88" w14:textId="77777777">
            <w:r w:rsidRPr="004D52BC">
              <w:t> </w:t>
            </w:r>
          </w:p>
        </w:tc>
        <w:tc>
          <w:tcPr>
            <w:tcW w:w="99" w:type="pct"/>
            <w:tcBorders>
              <w:top w:val="nil"/>
              <w:left w:val="nil"/>
              <w:bottom w:val="single" w:sz="4" w:space="0" w:color="auto"/>
              <w:right w:val="nil"/>
            </w:tcBorders>
            <w:shd w:val="clear" w:color="auto" w:fill="auto"/>
            <w:vAlign w:val="bottom"/>
            <w:hideMark/>
          </w:tcPr>
          <w:p w:rsidR="001D79CD" w:rsidRPr="004D52BC" w:rsidP="001D79CD" w14:paraId="5DC34F14" w14:textId="77777777">
            <w:r w:rsidRPr="004D52BC">
              <w:t> </w:t>
            </w:r>
          </w:p>
        </w:tc>
        <w:tc>
          <w:tcPr>
            <w:tcW w:w="1833" w:type="pct"/>
            <w:tcBorders>
              <w:top w:val="nil"/>
              <w:left w:val="nil"/>
              <w:bottom w:val="single" w:sz="4" w:space="0" w:color="auto"/>
              <w:right w:val="nil"/>
            </w:tcBorders>
            <w:shd w:val="clear" w:color="auto" w:fill="auto"/>
            <w:vAlign w:val="bottom"/>
            <w:hideMark/>
          </w:tcPr>
          <w:p w:rsidR="001D79CD" w:rsidRPr="004D52BC" w:rsidP="001D79CD" w14:paraId="28BD8CC8" w14:textId="77777777">
            <w:r w:rsidRPr="004D52BC">
              <w:t xml:space="preserve">WEC Applicable Facility: Unreasonable delay exemption filing </w:t>
            </w:r>
            <w:r w:rsidRPr="004D52BC">
              <w:rPr>
                <w:vertAlign w:val="superscript"/>
              </w:rPr>
              <w:t>g</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1D79CD" w:rsidRPr="004D52BC" w:rsidP="001D79CD" w14:paraId="0ACE9852" w14:textId="18BB4DA9">
            <w:pPr>
              <w:jc w:val="right"/>
            </w:pPr>
            <w:r w:rsidRPr="004D52BC">
              <w:t>10</w:t>
            </w:r>
          </w:p>
        </w:tc>
        <w:tc>
          <w:tcPr>
            <w:tcW w:w="718" w:type="pct"/>
            <w:tcBorders>
              <w:top w:val="nil"/>
              <w:left w:val="nil"/>
              <w:bottom w:val="single" w:sz="4" w:space="0" w:color="auto"/>
              <w:right w:val="single" w:sz="4" w:space="0" w:color="auto"/>
            </w:tcBorders>
            <w:shd w:val="clear" w:color="auto" w:fill="auto"/>
            <w:vAlign w:val="bottom"/>
            <w:hideMark/>
          </w:tcPr>
          <w:p w:rsidR="001D79CD" w:rsidRPr="004D52BC" w:rsidP="001D79CD" w14:paraId="32B63617" w14:textId="649F11EE">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1D79CD" w:rsidRPr="004D52BC" w:rsidP="001D79CD" w14:paraId="1345E1F5" w14:textId="457FB785">
            <w:pPr>
              <w:jc w:val="right"/>
            </w:pPr>
            <w:r w:rsidRPr="004D52BC">
              <w:t>10</w:t>
            </w:r>
          </w:p>
        </w:tc>
        <w:tc>
          <w:tcPr>
            <w:tcW w:w="570" w:type="pct"/>
            <w:tcBorders>
              <w:top w:val="nil"/>
              <w:left w:val="nil"/>
              <w:bottom w:val="single" w:sz="4" w:space="0" w:color="auto"/>
              <w:right w:val="single" w:sz="4" w:space="0" w:color="auto"/>
            </w:tcBorders>
            <w:shd w:val="clear" w:color="auto" w:fill="auto"/>
            <w:vAlign w:val="bottom"/>
            <w:hideMark/>
          </w:tcPr>
          <w:p w:rsidR="001D79CD" w:rsidRPr="004D52BC" w:rsidP="001D79CD" w14:paraId="7AFA200F" w14:textId="75498BA6">
            <w:pPr>
              <w:jc w:val="right"/>
            </w:pPr>
            <w:r w:rsidRPr="00FC23B2">
              <w:t>28</w:t>
            </w:r>
          </w:p>
        </w:tc>
        <w:tc>
          <w:tcPr>
            <w:tcW w:w="508" w:type="pct"/>
            <w:tcBorders>
              <w:top w:val="nil"/>
              <w:left w:val="nil"/>
              <w:bottom w:val="single" w:sz="4" w:space="0" w:color="auto"/>
              <w:right w:val="single" w:sz="4" w:space="0" w:color="auto"/>
            </w:tcBorders>
            <w:shd w:val="clear" w:color="auto" w:fill="auto"/>
            <w:vAlign w:val="bottom"/>
            <w:hideMark/>
          </w:tcPr>
          <w:p w:rsidR="001D79CD" w:rsidRPr="004D52BC" w:rsidP="001D79CD" w14:paraId="68ACD828" w14:textId="48BF17AC">
            <w:pPr>
              <w:jc w:val="right"/>
            </w:pPr>
            <w:r w:rsidRPr="009E69F0">
              <w:t>$39,595</w:t>
            </w:r>
          </w:p>
        </w:tc>
      </w:tr>
      <w:tr w14:paraId="5D07BA20" w14:textId="77777777" w:rsidTr="00C65581">
        <w:tblPrEx>
          <w:tblW w:w="5384" w:type="pct"/>
          <w:tblLook w:val="04A0"/>
        </w:tblPrEx>
        <w:trPr>
          <w:trHeight w:val="64"/>
        </w:trPr>
        <w:tc>
          <w:tcPr>
            <w:tcW w:w="99" w:type="pct"/>
            <w:tcBorders>
              <w:top w:val="nil"/>
              <w:left w:val="single" w:sz="4" w:space="0" w:color="auto"/>
              <w:bottom w:val="single" w:sz="4" w:space="0" w:color="auto"/>
              <w:right w:val="nil"/>
            </w:tcBorders>
            <w:shd w:val="clear" w:color="auto" w:fill="auto"/>
            <w:vAlign w:val="bottom"/>
            <w:hideMark/>
          </w:tcPr>
          <w:p w:rsidR="001D79CD" w:rsidRPr="004D52BC" w:rsidP="001D79CD" w14:paraId="33C8F4CD" w14:textId="77777777">
            <w:r w:rsidRPr="004D52BC">
              <w:t> </w:t>
            </w:r>
          </w:p>
        </w:tc>
        <w:tc>
          <w:tcPr>
            <w:tcW w:w="99" w:type="pct"/>
            <w:tcBorders>
              <w:top w:val="nil"/>
              <w:left w:val="nil"/>
              <w:bottom w:val="single" w:sz="4" w:space="0" w:color="auto"/>
              <w:right w:val="nil"/>
            </w:tcBorders>
            <w:shd w:val="clear" w:color="auto" w:fill="auto"/>
            <w:vAlign w:val="bottom"/>
            <w:hideMark/>
          </w:tcPr>
          <w:p w:rsidR="001D79CD" w:rsidRPr="004D52BC" w:rsidP="001D79CD" w14:paraId="3F64277A" w14:textId="77777777">
            <w:r w:rsidRPr="004D52BC">
              <w:t> </w:t>
            </w:r>
          </w:p>
        </w:tc>
        <w:tc>
          <w:tcPr>
            <w:tcW w:w="1833" w:type="pct"/>
            <w:tcBorders>
              <w:top w:val="nil"/>
              <w:left w:val="nil"/>
              <w:bottom w:val="single" w:sz="4" w:space="0" w:color="auto"/>
              <w:right w:val="nil"/>
            </w:tcBorders>
            <w:shd w:val="clear" w:color="auto" w:fill="auto"/>
            <w:vAlign w:val="bottom"/>
            <w:hideMark/>
          </w:tcPr>
          <w:p w:rsidR="001D79CD" w:rsidRPr="004D52BC" w:rsidP="001D79CD" w14:paraId="004B4658" w14:textId="77777777">
            <w:r w:rsidRPr="004D52BC">
              <w:t xml:space="preserve">WEC Applicable Facility: Plugged well exemption filing </w:t>
            </w:r>
            <w:r w:rsidRPr="004D52BC">
              <w:rPr>
                <w:vertAlign w:val="superscript"/>
              </w:rPr>
              <w:t>h</w:t>
            </w:r>
          </w:p>
        </w:tc>
        <w:tc>
          <w:tcPr>
            <w:tcW w:w="489" w:type="pct"/>
            <w:tcBorders>
              <w:top w:val="nil"/>
              <w:left w:val="single" w:sz="4" w:space="0" w:color="auto"/>
              <w:bottom w:val="single" w:sz="4" w:space="0" w:color="auto"/>
              <w:right w:val="single" w:sz="4" w:space="0" w:color="auto"/>
            </w:tcBorders>
            <w:shd w:val="clear" w:color="auto" w:fill="auto"/>
            <w:vAlign w:val="bottom"/>
            <w:hideMark/>
          </w:tcPr>
          <w:p w:rsidR="001D79CD" w:rsidRPr="004D52BC" w:rsidP="001D79CD" w14:paraId="62D65B55" w14:textId="1DE78E1F">
            <w:pPr>
              <w:jc w:val="right"/>
            </w:pPr>
            <w:r>
              <w:t>6</w:t>
            </w:r>
          </w:p>
        </w:tc>
        <w:tc>
          <w:tcPr>
            <w:tcW w:w="718" w:type="pct"/>
            <w:tcBorders>
              <w:top w:val="nil"/>
              <w:left w:val="nil"/>
              <w:bottom w:val="single" w:sz="4" w:space="0" w:color="auto"/>
              <w:right w:val="single" w:sz="4" w:space="0" w:color="auto"/>
            </w:tcBorders>
            <w:shd w:val="clear" w:color="auto" w:fill="auto"/>
            <w:vAlign w:val="bottom"/>
            <w:hideMark/>
          </w:tcPr>
          <w:p w:rsidR="001D79CD" w:rsidRPr="004D52BC" w:rsidP="001D79CD" w14:paraId="547AC304" w14:textId="6C2FDD2F">
            <w:pPr>
              <w:jc w:val="right"/>
            </w:pPr>
            <w:r w:rsidRPr="004D52BC">
              <w:t>1</w:t>
            </w:r>
          </w:p>
        </w:tc>
        <w:tc>
          <w:tcPr>
            <w:tcW w:w="683" w:type="pct"/>
            <w:tcBorders>
              <w:top w:val="nil"/>
              <w:left w:val="nil"/>
              <w:bottom w:val="single" w:sz="4" w:space="0" w:color="auto"/>
              <w:right w:val="single" w:sz="4" w:space="0" w:color="auto"/>
            </w:tcBorders>
            <w:shd w:val="clear" w:color="auto" w:fill="auto"/>
            <w:vAlign w:val="bottom"/>
            <w:hideMark/>
          </w:tcPr>
          <w:p w:rsidR="001D79CD" w:rsidRPr="004D52BC" w:rsidP="001D79CD" w14:paraId="04985157" w14:textId="73762AD6">
            <w:pPr>
              <w:jc w:val="right"/>
            </w:pPr>
            <w:r>
              <w:t>6</w:t>
            </w:r>
          </w:p>
        </w:tc>
        <w:tc>
          <w:tcPr>
            <w:tcW w:w="570" w:type="pct"/>
            <w:tcBorders>
              <w:top w:val="nil"/>
              <w:left w:val="nil"/>
              <w:bottom w:val="single" w:sz="4" w:space="0" w:color="auto"/>
              <w:right w:val="single" w:sz="4" w:space="0" w:color="auto"/>
            </w:tcBorders>
            <w:shd w:val="clear" w:color="auto" w:fill="auto"/>
            <w:vAlign w:val="bottom"/>
            <w:hideMark/>
          </w:tcPr>
          <w:p w:rsidR="001D79CD" w:rsidRPr="004D52BC" w:rsidP="001D79CD" w14:paraId="627524C2" w14:textId="2BA890C5">
            <w:pPr>
              <w:jc w:val="right"/>
            </w:pPr>
            <w:r w:rsidRPr="00FC23B2">
              <w:t>110</w:t>
            </w:r>
          </w:p>
        </w:tc>
        <w:tc>
          <w:tcPr>
            <w:tcW w:w="508" w:type="pct"/>
            <w:tcBorders>
              <w:top w:val="nil"/>
              <w:left w:val="nil"/>
              <w:bottom w:val="single" w:sz="4" w:space="0" w:color="auto"/>
              <w:right w:val="single" w:sz="4" w:space="0" w:color="auto"/>
            </w:tcBorders>
            <w:shd w:val="clear" w:color="auto" w:fill="auto"/>
            <w:vAlign w:val="bottom"/>
            <w:hideMark/>
          </w:tcPr>
          <w:p w:rsidR="001D79CD" w:rsidRPr="004D52BC" w:rsidP="001D79CD" w14:paraId="4310227C" w14:textId="0FC5A6BD">
            <w:pPr>
              <w:jc w:val="right"/>
            </w:pPr>
            <w:r w:rsidRPr="009E69F0">
              <w:t>$93,331</w:t>
            </w:r>
          </w:p>
        </w:tc>
      </w:tr>
      <w:tr w14:paraId="7C5B2A22" w14:textId="77777777" w:rsidTr="00C65581">
        <w:tblPrEx>
          <w:tblW w:w="5384" w:type="pct"/>
          <w:tblLook w:val="04A0"/>
        </w:tblPrEx>
        <w:trPr>
          <w:trHeight w:val="64"/>
        </w:trPr>
        <w:tc>
          <w:tcPr>
            <w:tcW w:w="99" w:type="pct"/>
            <w:tcBorders>
              <w:top w:val="single" w:sz="4" w:space="0" w:color="auto"/>
              <w:left w:val="single" w:sz="4" w:space="0" w:color="auto"/>
              <w:bottom w:val="single" w:sz="4" w:space="0" w:color="auto"/>
            </w:tcBorders>
            <w:shd w:val="clear" w:color="auto" w:fill="auto"/>
            <w:vAlign w:val="bottom"/>
            <w:hideMark/>
          </w:tcPr>
          <w:p w:rsidR="001D79CD" w:rsidRPr="004D52BC" w:rsidP="001D79CD" w14:paraId="0C7C379E" w14:textId="77777777">
            <w:r w:rsidRPr="004D52BC">
              <w:t> </w:t>
            </w:r>
          </w:p>
        </w:tc>
        <w:tc>
          <w:tcPr>
            <w:tcW w:w="99" w:type="pct"/>
            <w:tcBorders>
              <w:top w:val="single" w:sz="4" w:space="0" w:color="auto"/>
              <w:bottom w:val="single" w:sz="4" w:space="0" w:color="auto"/>
            </w:tcBorders>
            <w:shd w:val="clear" w:color="auto" w:fill="auto"/>
            <w:vAlign w:val="bottom"/>
            <w:hideMark/>
          </w:tcPr>
          <w:p w:rsidR="001D79CD" w:rsidRPr="004D52BC" w:rsidP="001D79CD" w14:paraId="146E61A6" w14:textId="77777777">
            <w:r w:rsidRPr="004D52BC">
              <w:t> </w:t>
            </w:r>
          </w:p>
        </w:tc>
        <w:tc>
          <w:tcPr>
            <w:tcW w:w="1833" w:type="pct"/>
            <w:tcBorders>
              <w:top w:val="single" w:sz="4" w:space="0" w:color="auto"/>
              <w:left w:val="nil"/>
              <w:bottom w:val="single" w:sz="4" w:space="0" w:color="auto"/>
              <w:right w:val="single" w:sz="4" w:space="0" w:color="auto"/>
            </w:tcBorders>
            <w:shd w:val="clear" w:color="auto" w:fill="auto"/>
            <w:vAlign w:val="bottom"/>
            <w:hideMark/>
          </w:tcPr>
          <w:p w:rsidR="001D79CD" w:rsidRPr="004D52BC" w:rsidP="001D79CD" w14:paraId="69A4C816" w14:textId="77777777">
            <w:r w:rsidRPr="004D52BC">
              <w:t>WEC Obligated Party: Annual WEC filing through electronic submittal</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D79CD" w:rsidRPr="004D52BC" w:rsidP="001D79CD" w14:paraId="719CE954" w14:textId="77777777">
            <w:pPr>
              <w:jc w:val="right"/>
            </w:pPr>
            <w:r w:rsidRPr="004D52BC">
              <w:t>4</w:t>
            </w:r>
          </w:p>
        </w:tc>
        <w:tc>
          <w:tcPr>
            <w:tcW w:w="71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D79CD" w:rsidRPr="004D52BC" w:rsidP="001D79CD" w14:paraId="2BB02697" w14:textId="77777777">
            <w:pPr>
              <w:jc w:val="right"/>
            </w:pPr>
            <w:r w:rsidRPr="004D52BC">
              <w:t>1</w:t>
            </w:r>
          </w:p>
        </w:tc>
        <w:tc>
          <w:tcPr>
            <w:tcW w:w="6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D79CD" w:rsidRPr="004D52BC" w:rsidP="001D79CD" w14:paraId="1FC53810" w14:textId="77777777">
            <w:pPr>
              <w:jc w:val="right"/>
            </w:pPr>
            <w:r w:rsidRPr="004D52BC">
              <w:t>4</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D79CD" w:rsidRPr="004D52BC" w:rsidP="001D79CD" w14:paraId="6C04830B" w14:textId="4B3321B5">
            <w:pPr>
              <w:jc w:val="right"/>
            </w:pPr>
            <w:r>
              <w:t>535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D79CD" w:rsidRPr="004D52BC" w:rsidP="001D79CD" w14:paraId="042436E9" w14:textId="3E5C0908">
            <w:pPr>
              <w:jc w:val="right"/>
            </w:pPr>
            <w:r w:rsidRPr="008749C0">
              <w:t>$302,618</w:t>
            </w:r>
          </w:p>
        </w:tc>
      </w:tr>
      <w:tr w14:paraId="45B504F1" w14:textId="77777777" w:rsidTr="00C65581">
        <w:tblPrEx>
          <w:tblW w:w="5384" w:type="pct"/>
          <w:tblLook w:val="04A0"/>
        </w:tblPrEx>
        <w:trPr>
          <w:trHeight w:val="64"/>
        </w:trPr>
        <w:tc>
          <w:tcPr>
            <w:tcW w:w="99" w:type="pct"/>
            <w:tcBorders>
              <w:top w:val="single" w:sz="4" w:space="0" w:color="auto"/>
              <w:left w:val="single" w:sz="4" w:space="0" w:color="auto"/>
              <w:bottom w:val="single" w:sz="4" w:space="0" w:color="auto"/>
            </w:tcBorders>
            <w:shd w:val="clear" w:color="auto" w:fill="auto"/>
            <w:vAlign w:val="bottom"/>
          </w:tcPr>
          <w:p w:rsidR="00BD0F31" w:rsidRPr="004D52BC" w:rsidP="001D79CD" w14:paraId="4DA03B86" w14:textId="77777777"/>
        </w:tc>
        <w:tc>
          <w:tcPr>
            <w:tcW w:w="99" w:type="pct"/>
            <w:tcBorders>
              <w:top w:val="single" w:sz="4" w:space="0" w:color="auto"/>
              <w:bottom w:val="single" w:sz="4" w:space="0" w:color="auto"/>
            </w:tcBorders>
            <w:shd w:val="clear" w:color="auto" w:fill="auto"/>
            <w:vAlign w:val="bottom"/>
          </w:tcPr>
          <w:p w:rsidR="00BD0F31" w:rsidRPr="004D52BC" w:rsidP="001D79CD" w14:paraId="17187546" w14:textId="77777777"/>
        </w:tc>
        <w:tc>
          <w:tcPr>
            <w:tcW w:w="1833" w:type="pct"/>
            <w:tcBorders>
              <w:top w:val="single" w:sz="4" w:space="0" w:color="auto"/>
              <w:left w:val="nil"/>
              <w:bottom w:val="single" w:sz="4" w:space="0" w:color="auto"/>
              <w:right w:val="single" w:sz="4" w:space="0" w:color="auto"/>
            </w:tcBorders>
            <w:shd w:val="clear" w:color="auto" w:fill="auto"/>
            <w:vAlign w:val="bottom"/>
          </w:tcPr>
          <w:p w:rsidR="00BD0F31" w:rsidRPr="004D52BC" w:rsidP="001D79CD" w14:paraId="2057BFFF" w14:textId="6BD25E7D">
            <w:r w:rsidRPr="00323232">
              <w:t xml:space="preserve">Incremental Reporting to Subpart A for Subpart W Reporters </w:t>
            </w:r>
            <w:r w:rsidRPr="00323232">
              <w:rPr>
                <w:vertAlign w:val="superscript"/>
              </w:rPr>
              <w:t>i</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rsidR="00BD0F31" w:rsidRPr="004D52BC" w:rsidP="001D79CD" w14:paraId="616D4AA3" w14:textId="6BD2DFCD">
            <w:pPr>
              <w:jc w:val="right"/>
            </w:pPr>
            <w:r>
              <w:t>0.05</w:t>
            </w:r>
          </w:p>
        </w:tc>
        <w:tc>
          <w:tcPr>
            <w:tcW w:w="718" w:type="pct"/>
            <w:tcBorders>
              <w:top w:val="single" w:sz="4" w:space="0" w:color="auto"/>
              <w:left w:val="single" w:sz="4" w:space="0" w:color="auto"/>
              <w:bottom w:val="single" w:sz="4" w:space="0" w:color="auto"/>
              <w:right w:val="single" w:sz="4" w:space="0" w:color="auto"/>
            </w:tcBorders>
            <w:shd w:val="clear" w:color="auto" w:fill="auto"/>
            <w:vAlign w:val="bottom"/>
          </w:tcPr>
          <w:p w:rsidR="00BD0F31" w:rsidRPr="004D52BC" w:rsidP="001D79CD" w14:paraId="38D5477A" w14:textId="13E0BB14">
            <w:pPr>
              <w:jc w:val="right"/>
            </w:pPr>
            <w:r>
              <w:t>1</w:t>
            </w:r>
          </w:p>
        </w:tc>
        <w:tc>
          <w:tcPr>
            <w:tcW w:w="683" w:type="pct"/>
            <w:tcBorders>
              <w:top w:val="single" w:sz="4" w:space="0" w:color="auto"/>
              <w:left w:val="single" w:sz="4" w:space="0" w:color="auto"/>
              <w:bottom w:val="single" w:sz="4" w:space="0" w:color="auto"/>
              <w:right w:val="single" w:sz="4" w:space="0" w:color="auto"/>
            </w:tcBorders>
            <w:shd w:val="clear" w:color="auto" w:fill="auto"/>
            <w:vAlign w:val="bottom"/>
          </w:tcPr>
          <w:p w:rsidR="00BD0F31" w:rsidRPr="004D52BC" w:rsidP="001D79CD" w14:paraId="6923DB40" w14:textId="18B5B731">
            <w:pPr>
              <w:jc w:val="right"/>
            </w:pPr>
            <w:r>
              <w:t>0.05</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rsidR="00BD0F31" w:rsidP="001D79CD" w14:paraId="1F9F0E7A" w14:textId="22F64924">
            <w:pPr>
              <w:jc w:val="right"/>
            </w:pPr>
            <w:r>
              <w:t>3,105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tcPr>
          <w:p w:rsidR="00BD0F31" w:rsidRPr="008749C0" w:rsidP="00323232" w14:paraId="33FB2B33" w14:textId="5A17FD54">
            <w:pPr>
              <w:jc w:val="right"/>
            </w:pPr>
            <w:r w:rsidRPr="00323232">
              <w:t>$21,954</w:t>
            </w:r>
          </w:p>
        </w:tc>
      </w:tr>
    </w:tbl>
    <w:p w:rsidR="00ED0486" w:rsidRPr="004D52BC" w:rsidP="00ED0486" w14:paraId="506C61F9" w14:textId="77777777">
      <w:pPr>
        <w:rPr>
          <w:b/>
          <w:bCs/>
        </w:rPr>
      </w:pPr>
      <w:r w:rsidRPr="004D52BC">
        <w:rPr>
          <w:b/>
          <w:bCs/>
        </w:rPr>
        <w:br w:type="page"/>
      </w:r>
    </w:p>
    <w:p w:rsidR="00ED0486" w:rsidRPr="004D52BC" w:rsidP="00562220" w14:paraId="68F75E9A" w14:textId="35E54994">
      <w:pPr>
        <w:outlineLvl w:val="1"/>
        <w:rPr>
          <w:b/>
          <w:bCs/>
        </w:rPr>
      </w:pPr>
      <w:r w:rsidRPr="004D52BC">
        <w:rPr>
          <w:b/>
          <w:bCs/>
        </w:rPr>
        <w:t xml:space="preserve">Table </w:t>
      </w:r>
      <w:r w:rsidRPr="004D52BC" w:rsidR="00043488">
        <w:rPr>
          <w:b/>
          <w:bCs/>
        </w:rPr>
        <w:t>5</w:t>
      </w:r>
      <w:r w:rsidRPr="004D52BC">
        <w:rPr>
          <w:b/>
          <w:bCs/>
        </w:rPr>
        <w:t>. Part 99 Recordkeeping Costs by WEC Applicable Facility Industry Segment and WEC Obligated Party, Year 2.</w:t>
      </w:r>
    </w:p>
    <w:tbl>
      <w:tblPr>
        <w:tblW w:w="14360" w:type="dxa"/>
        <w:tblLook w:val="04A0"/>
      </w:tblPr>
      <w:tblGrid>
        <w:gridCol w:w="280"/>
        <w:gridCol w:w="6389"/>
        <w:gridCol w:w="1416"/>
        <w:gridCol w:w="2003"/>
        <w:gridCol w:w="1497"/>
        <w:gridCol w:w="1590"/>
        <w:gridCol w:w="1185"/>
      </w:tblGrid>
      <w:tr w14:paraId="27EEE722" w14:textId="77777777" w:rsidTr="008E07A6">
        <w:tblPrEx>
          <w:tblW w:w="14360" w:type="dxa"/>
          <w:tblLook w:val="04A0"/>
        </w:tblPrEx>
        <w:trPr>
          <w:trHeight w:val="720"/>
        </w:trPr>
        <w:tc>
          <w:tcPr>
            <w:tcW w:w="76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D0486" w:rsidRPr="004D52BC" w:rsidP="008E07A6" w14:paraId="74F52F48" w14:textId="10902324">
            <w:pPr>
              <w:jc w:val="center"/>
              <w:rPr>
                <w:b/>
                <w:bCs/>
                <w:color w:val="000000"/>
              </w:rPr>
            </w:pPr>
            <w:r w:rsidRPr="004D52BC">
              <w:rPr>
                <w:b/>
                <w:bCs/>
                <w:color w:val="000000"/>
              </w:rPr>
              <w:t>Year 2 and Year 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7D23C83A" w14:textId="77777777">
            <w:pPr>
              <w:jc w:val="center"/>
              <w:rPr>
                <w:b/>
                <w:bCs/>
                <w:color w:val="000000"/>
              </w:rPr>
            </w:pPr>
            <w:r w:rsidRPr="004D52BC">
              <w:rPr>
                <w:b/>
                <w:bCs/>
                <w:color w:val="000000"/>
              </w:rPr>
              <w:t>(A)  Hours per Occurrence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60C548A3" w14:textId="77777777">
            <w:pPr>
              <w:jc w:val="center"/>
              <w:rPr>
                <w:b/>
                <w:bCs/>
                <w:color w:val="000000"/>
              </w:rPr>
            </w:pPr>
            <w:r w:rsidRPr="004D52BC">
              <w:rPr>
                <w:b/>
                <w:bCs/>
                <w:color w:val="000000"/>
              </w:rPr>
              <w:t>(B)  Occurrences/ Respondent/Year</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0B8080E4" w14:textId="77777777">
            <w:pPr>
              <w:jc w:val="center"/>
              <w:rPr>
                <w:b/>
                <w:bCs/>
                <w:color w:val="000000"/>
              </w:rPr>
            </w:pPr>
            <w:r w:rsidRPr="004D52BC">
              <w:rPr>
                <w:b/>
                <w:bCs/>
                <w:color w:val="000000"/>
              </w:rPr>
              <w:t xml:space="preserve">(C)  Hours/ Respondent/ </w:t>
            </w:r>
            <w:r w:rsidRPr="004D52BC">
              <w:rPr>
                <w:b/>
                <w:bCs/>
                <w:color w:val="000000"/>
              </w:rPr>
              <w:br/>
              <w:t>Year (A x B)</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5BDD5EFA" w14:textId="77777777">
            <w:pPr>
              <w:jc w:val="center"/>
              <w:rPr>
                <w:b/>
                <w:bCs/>
                <w:color w:val="000000"/>
              </w:rPr>
            </w:pPr>
            <w:r w:rsidRPr="004D52BC">
              <w:rPr>
                <w:b/>
                <w:bCs/>
                <w:color w:val="000000"/>
              </w:rPr>
              <w:t>(D)  Respondents/ Year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569186D8" w14:textId="77777777">
            <w:pPr>
              <w:jc w:val="center"/>
              <w:rPr>
                <w:b/>
                <w:bCs/>
              </w:rPr>
            </w:pPr>
            <w:r w:rsidRPr="004D52BC">
              <w:rPr>
                <w:b/>
                <w:bCs/>
              </w:rPr>
              <w:t>(H)  Cost/ Year</w:t>
            </w:r>
          </w:p>
        </w:tc>
      </w:tr>
      <w:tr w14:paraId="3E5794C5" w14:textId="77777777" w:rsidTr="008E07A6">
        <w:tblPrEx>
          <w:tblW w:w="14360" w:type="dxa"/>
          <w:tblLook w:val="04A0"/>
        </w:tblPrEx>
        <w:trPr>
          <w:trHeight w:val="240"/>
        </w:trPr>
        <w:tc>
          <w:tcPr>
            <w:tcW w:w="7620" w:type="dxa"/>
            <w:gridSpan w:val="2"/>
            <w:tcBorders>
              <w:top w:val="single" w:sz="4" w:space="0" w:color="auto"/>
              <w:left w:val="single" w:sz="4" w:space="0" w:color="auto"/>
              <w:bottom w:val="single" w:sz="4" w:space="0" w:color="auto"/>
              <w:right w:val="nil"/>
            </w:tcBorders>
            <w:shd w:val="clear" w:color="auto" w:fill="auto"/>
            <w:vAlign w:val="bottom"/>
            <w:hideMark/>
          </w:tcPr>
          <w:p w:rsidR="00ED0486" w:rsidRPr="004D52BC" w:rsidP="008E07A6" w14:paraId="1325D4F4" w14:textId="77777777">
            <w:r w:rsidRPr="004D52BC">
              <w:t>5. RECORDKEEPING REQUIREMENTS</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2D6740B3" w14:textId="77777777">
            <w:r w:rsidRPr="004D52BC">
              <w:t> </w:t>
            </w:r>
          </w:p>
        </w:tc>
        <w:tc>
          <w:tcPr>
            <w:tcW w:w="1720" w:type="dxa"/>
            <w:tcBorders>
              <w:top w:val="nil"/>
              <w:left w:val="nil"/>
              <w:bottom w:val="single" w:sz="4" w:space="0" w:color="auto"/>
              <w:right w:val="single" w:sz="4" w:space="0" w:color="auto"/>
            </w:tcBorders>
            <w:shd w:val="clear" w:color="auto" w:fill="auto"/>
            <w:vAlign w:val="bottom"/>
            <w:hideMark/>
          </w:tcPr>
          <w:p w:rsidR="00ED0486" w:rsidRPr="004D52BC" w:rsidP="008E07A6" w14:paraId="6D29E55F" w14:textId="77777777">
            <w:r w:rsidRPr="004D52BC">
              <w:t> </w:t>
            </w:r>
          </w:p>
        </w:tc>
        <w:tc>
          <w:tcPr>
            <w:tcW w:w="1340" w:type="dxa"/>
            <w:tcBorders>
              <w:top w:val="nil"/>
              <w:left w:val="nil"/>
              <w:bottom w:val="single" w:sz="4" w:space="0" w:color="auto"/>
              <w:right w:val="single" w:sz="4" w:space="0" w:color="auto"/>
            </w:tcBorders>
            <w:shd w:val="clear" w:color="auto" w:fill="auto"/>
            <w:vAlign w:val="bottom"/>
            <w:hideMark/>
          </w:tcPr>
          <w:p w:rsidR="00ED0486" w:rsidRPr="004D52BC" w:rsidP="008E07A6" w14:paraId="7B515F40" w14:textId="77777777">
            <w:r w:rsidRPr="004D52BC">
              <w:t> </w:t>
            </w:r>
          </w:p>
        </w:tc>
        <w:tc>
          <w:tcPr>
            <w:tcW w:w="1300" w:type="dxa"/>
            <w:tcBorders>
              <w:top w:val="nil"/>
              <w:left w:val="nil"/>
              <w:bottom w:val="single" w:sz="4" w:space="0" w:color="auto"/>
              <w:right w:val="single" w:sz="4" w:space="0" w:color="auto"/>
            </w:tcBorders>
            <w:shd w:val="clear" w:color="auto" w:fill="auto"/>
            <w:vAlign w:val="bottom"/>
            <w:hideMark/>
          </w:tcPr>
          <w:p w:rsidR="00ED0486" w:rsidRPr="004D52BC" w:rsidP="008E07A6" w14:paraId="7BC01042" w14:textId="77777777">
            <w:r w:rsidRPr="004D52BC">
              <w:t> </w:t>
            </w:r>
          </w:p>
        </w:tc>
        <w:tc>
          <w:tcPr>
            <w:tcW w:w="1200" w:type="dxa"/>
            <w:tcBorders>
              <w:top w:val="nil"/>
              <w:left w:val="nil"/>
              <w:bottom w:val="single" w:sz="4" w:space="0" w:color="auto"/>
              <w:right w:val="single" w:sz="4" w:space="0" w:color="auto"/>
            </w:tcBorders>
            <w:shd w:val="clear" w:color="auto" w:fill="auto"/>
            <w:vAlign w:val="bottom"/>
            <w:hideMark/>
          </w:tcPr>
          <w:p w:rsidR="00ED0486" w:rsidRPr="004D52BC" w:rsidP="008E07A6" w14:paraId="123CB77B" w14:textId="77777777">
            <w:pPr>
              <w:jc w:val="right"/>
            </w:pPr>
            <w:r w:rsidRPr="004D52BC">
              <w:t>$0</w:t>
            </w:r>
          </w:p>
        </w:tc>
      </w:tr>
      <w:tr w14:paraId="5DEB5D94" w14:textId="77777777" w:rsidTr="008E07A6">
        <w:tblPrEx>
          <w:tblW w:w="14360" w:type="dxa"/>
          <w:tblLook w:val="04A0"/>
        </w:tblPrEx>
        <w:trPr>
          <w:trHeight w:val="240"/>
        </w:trPr>
        <w:tc>
          <w:tcPr>
            <w:tcW w:w="280" w:type="dxa"/>
            <w:tcBorders>
              <w:top w:val="single" w:sz="4" w:space="0" w:color="auto"/>
              <w:left w:val="single" w:sz="4" w:space="0" w:color="auto"/>
              <w:bottom w:val="single" w:sz="4" w:space="0" w:color="auto"/>
              <w:right w:val="nil"/>
            </w:tcBorders>
            <w:shd w:val="clear" w:color="auto" w:fill="auto"/>
            <w:vAlign w:val="bottom"/>
            <w:hideMark/>
          </w:tcPr>
          <w:p w:rsidR="00ED0486" w:rsidRPr="004D52BC" w:rsidP="008E07A6" w14:paraId="40F30E0D" w14:textId="77777777">
            <w:r w:rsidRPr="004D52BC">
              <w:t> </w:t>
            </w:r>
          </w:p>
        </w:tc>
        <w:tc>
          <w:tcPr>
            <w:tcW w:w="7340" w:type="dxa"/>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476EE350" w14:textId="77777777">
            <w:r w:rsidRPr="004D52BC">
              <w:t>A. Read Instructions (Included in 4A)</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04133EB2" w14:textId="77777777">
            <w:r w:rsidRPr="004D52BC">
              <w:t> </w:t>
            </w:r>
          </w:p>
        </w:tc>
        <w:tc>
          <w:tcPr>
            <w:tcW w:w="1720" w:type="dxa"/>
            <w:tcBorders>
              <w:top w:val="nil"/>
              <w:left w:val="nil"/>
              <w:bottom w:val="single" w:sz="4" w:space="0" w:color="auto"/>
              <w:right w:val="single" w:sz="4" w:space="0" w:color="auto"/>
            </w:tcBorders>
            <w:shd w:val="clear" w:color="auto" w:fill="auto"/>
            <w:vAlign w:val="bottom"/>
            <w:hideMark/>
          </w:tcPr>
          <w:p w:rsidR="00ED0486" w:rsidRPr="004D52BC" w:rsidP="008E07A6" w14:paraId="7158E2D7" w14:textId="77777777">
            <w:r w:rsidRPr="004D52BC">
              <w:t> </w:t>
            </w:r>
          </w:p>
        </w:tc>
        <w:tc>
          <w:tcPr>
            <w:tcW w:w="1340" w:type="dxa"/>
            <w:tcBorders>
              <w:top w:val="nil"/>
              <w:left w:val="nil"/>
              <w:bottom w:val="single" w:sz="4" w:space="0" w:color="auto"/>
              <w:right w:val="single" w:sz="4" w:space="0" w:color="auto"/>
            </w:tcBorders>
            <w:shd w:val="clear" w:color="auto" w:fill="auto"/>
            <w:vAlign w:val="bottom"/>
            <w:hideMark/>
          </w:tcPr>
          <w:p w:rsidR="00ED0486" w:rsidRPr="004D52BC" w:rsidP="008E07A6" w14:paraId="7A034A70" w14:textId="77777777">
            <w:r w:rsidRPr="004D52BC">
              <w:t> </w:t>
            </w:r>
          </w:p>
        </w:tc>
        <w:tc>
          <w:tcPr>
            <w:tcW w:w="1300" w:type="dxa"/>
            <w:tcBorders>
              <w:top w:val="nil"/>
              <w:left w:val="nil"/>
              <w:bottom w:val="single" w:sz="4" w:space="0" w:color="auto"/>
              <w:right w:val="single" w:sz="4" w:space="0" w:color="auto"/>
            </w:tcBorders>
            <w:shd w:val="clear" w:color="auto" w:fill="auto"/>
            <w:vAlign w:val="bottom"/>
            <w:hideMark/>
          </w:tcPr>
          <w:p w:rsidR="00ED0486" w:rsidRPr="004D52BC" w:rsidP="008E07A6" w14:paraId="6B4BA019" w14:textId="77777777">
            <w:r w:rsidRPr="004D52BC">
              <w:t> </w:t>
            </w:r>
          </w:p>
        </w:tc>
        <w:tc>
          <w:tcPr>
            <w:tcW w:w="1200" w:type="dxa"/>
            <w:tcBorders>
              <w:top w:val="nil"/>
              <w:left w:val="nil"/>
              <w:bottom w:val="single" w:sz="4" w:space="0" w:color="auto"/>
              <w:right w:val="single" w:sz="4" w:space="0" w:color="auto"/>
            </w:tcBorders>
            <w:shd w:val="clear" w:color="auto" w:fill="auto"/>
            <w:vAlign w:val="bottom"/>
            <w:hideMark/>
          </w:tcPr>
          <w:p w:rsidR="00ED0486" w:rsidRPr="004D52BC" w:rsidP="008E07A6" w14:paraId="4F49D132" w14:textId="77777777">
            <w:pPr>
              <w:jc w:val="right"/>
            </w:pPr>
            <w:r w:rsidRPr="004D52BC">
              <w:t>$0</w:t>
            </w:r>
          </w:p>
        </w:tc>
      </w:tr>
      <w:tr w14:paraId="54997B34" w14:textId="77777777" w:rsidTr="008E07A6">
        <w:tblPrEx>
          <w:tblW w:w="14360" w:type="dxa"/>
          <w:tblLook w:val="04A0"/>
        </w:tblPrEx>
        <w:trPr>
          <w:trHeight w:val="240"/>
        </w:trPr>
        <w:tc>
          <w:tcPr>
            <w:tcW w:w="280" w:type="dxa"/>
            <w:tcBorders>
              <w:top w:val="nil"/>
              <w:left w:val="single" w:sz="4" w:space="0" w:color="auto"/>
              <w:bottom w:val="single" w:sz="4" w:space="0" w:color="auto"/>
              <w:right w:val="nil"/>
            </w:tcBorders>
            <w:shd w:val="clear" w:color="auto" w:fill="auto"/>
            <w:vAlign w:val="bottom"/>
            <w:hideMark/>
          </w:tcPr>
          <w:p w:rsidR="00ED0486" w:rsidRPr="004D52BC" w:rsidP="008E07A6" w14:paraId="2971DE9E" w14:textId="77777777">
            <w:r w:rsidRPr="004D52BC">
              <w:t> </w:t>
            </w:r>
          </w:p>
        </w:tc>
        <w:tc>
          <w:tcPr>
            <w:tcW w:w="7340" w:type="dxa"/>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107623CD" w14:textId="77777777">
            <w:r w:rsidRPr="004D52BC">
              <w:t>B. Plan Activities (Included in 4B)</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1F481F21" w14:textId="77777777">
            <w:r w:rsidRPr="004D52BC">
              <w:t> </w:t>
            </w:r>
          </w:p>
        </w:tc>
        <w:tc>
          <w:tcPr>
            <w:tcW w:w="1720" w:type="dxa"/>
            <w:tcBorders>
              <w:top w:val="nil"/>
              <w:left w:val="nil"/>
              <w:bottom w:val="single" w:sz="4" w:space="0" w:color="auto"/>
              <w:right w:val="single" w:sz="4" w:space="0" w:color="auto"/>
            </w:tcBorders>
            <w:shd w:val="clear" w:color="auto" w:fill="auto"/>
            <w:vAlign w:val="bottom"/>
            <w:hideMark/>
          </w:tcPr>
          <w:p w:rsidR="00ED0486" w:rsidRPr="004D52BC" w:rsidP="008E07A6" w14:paraId="2CDEFC8C" w14:textId="77777777">
            <w:r w:rsidRPr="004D52BC">
              <w:t> </w:t>
            </w:r>
          </w:p>
        </w:tc>
        <w:tc>
          <w:tcPr>
            <w:tcW w:w="1340" w:type="dxa"/>
            <w:tcBorders>
              <w:top w:val="nil"/>
              <w:left w:val="nil"/>
              <w:bottom w:val="single" w:sz="4" w:space="0" w:color="auto"/>
              <w:right w:val="single" w:sz="4" w:space="0" w:color="auto"/>
            </w:tcBorders>
            <w:shd w:val="clear" w:color="auto" w:fill="auto"/>
            <w:vAlign w:val="bottom"/>
            <w:hideMark/>
          </w:tcPr>
          <w:p w:rsidR="00ED0486" w:rsidRPr="004D52BC" w:rsidP="008E07A6" w14:paraId="018B4C3F" w14:textId="77777777">
            <w:r w:rsidRPr="004D52BC">
              <w:t> </w:t>
            </w:r>
          </w:p>
        </w:tc>
        <w:tc>
          <w:tcPr>
            <w:tcW w:w="1300" w:type="dxa"/>
            <w:tcBorders>
              <w:top w:val="nil"/>
              <w:left w:val="nil"/>
              <w:bottom w:val="single" w:sz="4" w:space="0" w:color="auto"/>
              <w:right w:val="single" w:sz="4" w:space="0" w:color="auto"/>
            </w:tcBorders>
            <w:shd w:val="clear" w:color="auto" w:fill="auto"/>
            <w:vAlign w:val="bottom"/>
            <w:hideMark/>
          </w:tcPr>
          <w:p w:rsidR="00ED0486" w:rsidRPr="004D52BC" w:rsidP="008E07A6" w14:paraId="57F8C801" w14:textId="77777777">
            <w:r w:rsidRPr="004D52BC">
              <w:t> </w:t>
            </w:r>
          </w:p>
        </w:tc>
        <w:tc>
          <w:tcPr>
            <w:tcW w:w="1200" w:type="dxa"/>
            <w:tcBorders>
              <w:top w:val="nil"/>
              <w:left w:val="nil"/>
              <w:bottom w:val="single" w:sz="4" w:space="0" w:color="auto"/>
              <w:right w:val="single" w:sz="4" w:space="0" w:color="auto"/>
            </w:tcBorders>
            <w:shd w:val="clear" w:color="auto" w:fill="auto"/>
            <w:vAlign w:val="bottom"/>
            <w:hideMark/>
          </w:tcPr>
          <w:p w:rsidR="00ED0486" w:rsidRPr="004D52BC" w:rsidP="008E07A6" w14:paraId="7E1DB443" w14:textId="77777777">
            <w:pPr>
              <w:jc w:val="right"/>
            </w:pPr>
            <w:r w:rsidRPr="004D52BC">
              <w:t>$0</w:t>
            </w:r>
          </w:p>
        </w:tc>
      </w:tr>
      <w:tr w14:paraId="5EBBAF90" w14:textId="77777777" w:rsidTr="008E07A6">
        <w:tblPrEx>
          <w:tblW w:w="14360" w:type="dxa"/>
          <w:tblLook w:val="04A0"/>
        </w:tblPrEx>
        <w:trPr>
          <w:trHeight w:val="240"/>
        </w:trPr>
        <w:tc>
          <w:tcPr>
            <w:tcW w:w="280" w:type="dxa"/>
            <w:tcBorders>
              <w:top w:val="nil"/>
              <w:left w:val="single" w:sz="4" w:space="0" w:color="auto"/>
              <w:bottom w:val="single" w:sz="4" w:space="0" w:color="auto"/>
              <w:right w:val="nil"/>
            </w:tcBorders>
            <w:shd w:val="clear" w:color="auto" w:fill="auto"/>
            <w:vAlign w:val="bottom"/>
            <w:hideMark/>
          </w:tcPr>
          <w:p w:rsidR="00ED0486" w:rsidRPr="004D52BC" w:rsidP="008E07A6" w14:paraId="1F186650" w14:textId="77777777">
            <w:r w:rsidRPr="004D52BC">
              <w:t> </w:t>
            </w:r>
          </w:p>
        </w:tc>
        <w:tc>
          <w:tcPr>
            <w:tcW w:w="7340" w:type="dxa"/>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0619DE89" w14:textId="77777777">
            <w:r w:rsidRPr="004D52BC">
              <w:t>C. Implement Activities (Included in 4B)</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297AEE96" w14:textId="77777777">
            <w:r w:rsidRPr="004D52BC">
              <w:t> </w:t>
            </w:r>
          </w:p>
        </w:tc>
        <w:tc>
          <w:tcPr>
            <w:tcW w:w="1720" w:type="dxa"/>
            <w:tcBorders>
              <w:top w:val="nil"/>
              <w:left w:val="nil"/>
              <w:bottom w:val="single" w:sz="4" w:space="0" w:color="auto"/>
              <w:right w:val="single" w:sz="4" w:space="0" w:color="auto"/>
            </w:tcBorders>
            <w:shd w:val="clear" w:color="auto" w:fill="auto"/>
            <w:vAlign w:val="bottom"/>
            <w:hideMark/>
          </w:tcPr>
          <w:p w:rsidR="00ED0486" w:rsidRPr="004D52BC" w:rsidP="008E07A6" w14:paraId="6C1FA889" w14:textId="77777777">
            <w:r w:rsidRPr="004D52BC">
              <w:t> </w:t>
            </w:r>
          </w:p>
        </w:tc>
        <w:tc>
          <w:tcPr>
            <w:tcW w:w="1340" w:type="dxa"/>
            <w:tcBorders>
              <w:top w:val="nil"/>
              <w:left w:val="nil"/>
              <w:bottom w:val="single" w:sz="4" w:space="0" w:color="auto"/>
              <w:right w:val="single" w:sz="4" w:space="0" w:color="auto"/>
            </w:tcBorders>
            <w:shd w:val="clear" w:color="auto" w:fill="auto"/>
            <w:vAlign w:val="bottom"/>
            <w:hideMark/>
          </w:tcPr>
          <w:p w:rsidR="00ED0486" w:rsidRPr="004D52BC" w:rsidP="008E07A6" w14:paraId="15918AE1" w14:textId="77777777">
            <w:r w:rsidRPr="004D52BC">
              <w:t> </w:t>
            </w:r>
          </w:p>
        </w:tc>
        <w:tc>
          <w:tcPr>
            <w:tcW w:w="1300" w:type="dxa"/>
            <w:tcBorders>
              <w:top w:val="nil"/>
              <w:left w:val="nil"/>
              <w:bottom w:val="single" w:sz="4" w:space="0" w:color="auto"/>
              <w:right w:val="single" w:sz="4" w:space="0" w:color="auto"/>
            </w:tcBorders>
            <w:shd w:val="clear" w:color="auto" w:fill="auto"/>
            <w:vAlign w:val="bottom"/>
            <w:hideMark/>
          </w:tcPr>
          <w:p w:rsidR="00ED0486" w:rsidRPr="004D52BC" w:rsidP="008E07A6" w14:paraId="0B899E00" w14:textId="77777777">
            <w:r w:rsidRPr="004D52BC">
              <w:t> </w:t>
            </w:r>
          </w:p>
        </w:tc>
        <w:tc>
          <w:tcPr>
            <w:tcW w:w="1200" w:type="dxa"/>
            <w:tcBorders>
              <w:top w:val="nil"/>
              <w:left w:val="nil"/>
              <w:bottom w:val="single" w:sz="4" w:space="0" w:color="auto"/>
              <w:right w:val="single" w:sz="4" w:space="0" w:color="auto"/>
            </w:tcBorders>
            <w:shd w:val="clear" w:color="auto" w:fill="auto"/>
            <w:vAlign w:val="bottom"/>
            <w:hideMark/>
          </w:tcPr>
          <w:p w:rsidR="00ED0486" w:rsidRPr="004D52BC" w:rsidP="008E07A6" w14:paraId="397F2BAF" w14:textId="77777777">
            <w:pPr>
              <w:jc w:val="right"/>
            </w:pPr>
            <w:r w:rsidRPr="004D52BC">
              <w:t>$0</w:t>
            </w:r>
          </w:p>
        </w:tc>
      </w:tr>
      <w:tr w14:paraId="1FAF4CC6" w14:textId="77777777" w:rsidTr="008E07A6">
        <w:tblPrEx>
          <w:tblW w:w="14360" w:type="dxa"/>
          <w:tblLook w:val="04A0"/>
        </w:tblPrEx>
        <w:trPr>
          <w:trHeight w:val="240"/>
        </w:trPr>
        <w:tc>
          <w:tcPr>
            <w:tcW w:w="280" w:type="dxa"/>
            <w:tcBorders>
              <w:top w:val="nil"/>
              <w:left w:val="single" w:sz="4" w:space="0" w:color="auto"/>
              <w:bottom w:val="single" w:sz="4" w:space="0" w:color="auto"/>
              <w:right w:val="nil"/>
            </w:tcBorders>
            <w:shd w:val="clear" w:color="auto" w:fill="auto"/>
            <w:vAlign w:val="bottom"/>
            <w:hideMark/>
          </w:tcPr>
          <w:p w:rsidR="00ED0486" w:rsidRPr="004D52BC" w:rsidP="008E07A6" w14:paraId="614B2318" w14:textId="77777777">
            <w:r w:rsidRPr="004D52BC">
              <w:t> </w:t>
            </w:r>
          </w:p>
        </w:tc>
        <w:tc>
          <w:tcPr>
            <w:tcW w:w="7340" w:type="dxa"/>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1A8E2C42" w14:textId="6E707460">
            <w:r w:rsidRPr="004D52BC">
              <w:t xml:space="preserve">D. Recordkeeping </w:t>
            </w:r>
            <w:r w:rsidR="00323232">
              <w:rPr>
                <w:vertAlign w:val="superscript"/>
              </w:rPr>
              <w:t>j</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5B449FF7" w14:textId="77777777">
            <w:pPr>
              <w:jc w:val="right"/>
            </w:pPr>
            <w:r w:rsidRPr="004D52BC">
              <w:t>2</w:t>
            </w:r>
          </w:p>
        </w:tc>
        <w:tc>
          <w:tcPr>
            <w:tcW w:w="1720" w:type="dxa"/>
            <w:tcBorders>
              <w:top w:val="nil"/>
              <w:left w:val="nil"/>
              <w:bottom w:val="single" w:sz="4" w:space="0" w:color="auto"/>
              <w:right w:val="single" w:sz="4" w:space="0" w:color="auto"/>
            </w:tcBorders>
            <w:shd w:val="clear" w:color="auto" w:fill="auto"/>
            <w:vAlign w:val="bottom"/>
            <w:hideMark/>
          </w:tcPr>
          <w:p w:rsidR="00ED0486" w:rsidRPr="004D52BC" w:rsidP="008E07A6" w14:paraId="72B9A536" w14:textId="77777777">
            <w:pPr>
              <w:jc w:val="right"/>
            </w:pPr>
            <w:r w:rsidRPr="004D52BC">
              <w:t>1</w:t>
            </w:r>
          </w:p>
        </w:tc>
        <w:tc>
          <w:tcPr>
            <w:tcW w:w="1340" w:type="dxa"/>
            <w:tcBorders>
              <w:top w:val="nil"/>
              <w:left w:val="nil"/>
              <w:bottom w:val="single" w:sz="4" w:space="0" w:color="auto"/>
              <w:right w:val="single" w:sz="4" w:space="0" w:color="auto"/>
            </w:tcBorders>
            <w:shd w:val="clear" w:color="auto" w:fill="auto"/>
            <w:vAlign w:val="bottom"/>
            <w:hideMark/>
          </w:tcPr>
          <w:p w:rsidR="00ED0486" w:rsidRPr="004D52BC" w:rsidP="008E07A6" w14:paraId="57040AB1" w14:textId="77777777">
            <w:pPr>
              <w:jc w:val="right"/>
            </w:pPr>
            <w:r w:rsidRPr="004D52BC">
              <w:t>2</w:t>
            </w:r>
          </w:p>
        </w:tc>
        <w:tc>
          <w:tcPr>
            <w:tcW w:w="1300" w:type="dxa"/>
            <w:tcBorders>
              <w:top w:val="nil"/>
              <w:left w:val="nil"/>
              <w:bottom w:val="single" w:sz="4" w:space="0" w:color="auto"/>
              <w:right w:val="single" w:sz="4" w:space="0" w:color="auto"/>
            </w:tcBorders>
            <w:shd w:val="clear" w:color="auto" w:fill="auto"/>
            <w:vAlign w:val="bottom"/>
            <w:hideMark/>
          </w:tcPr>
          <w:p w:rsidR="00ED0486" w:rsidRPr="004D52BC" w:rsidP="008E07A6" w14:paraId="511B0EBA" w14:textId="65D524E7">
            <w:pPr>
              <w:jc w:val="right"/>
            </w:pPr>
            <w:r>
              <w:t>535</w:t>
            </w:r>
          </w:p>
        </w:tc>
        <w:tc>
          <w:tcPr>
            <w:tcW w:w="1200" w:type="dxa"/>
            <w:tcBorders>
              <w:top w:val="nil"/>
              <w:left w:val="nil"/>
              <w:bottom w:val="single" w:sz="4" w:space="0" w:color="auto"/>
              <w:right w:val="single" w:sz="4" w:space="0" w:color="auto"/>
            </w:tcBorders>
            <w:shd w:val="clear" w:color="auto" w:fill="auto"/>
            <w:vAlign w:val="bottom"/>
            <w:hideMark/>
          </w:tcPr>
          <w:p w:rsidR="00ED0486" w:rsidRPr="004D52BC" w:rsidP="008E07A6" w14:paraId="1610DB07" w14:textId="01E3D725">
            <w:pPr>
              <w:jc w:val="right"/>
            </w:pPr>
            <w:r w:rsidRPr="008749C0">
              <w:t>$151</w:t>
            </w:r>
            <w:r w:rsidR="008F0E9C">
              <w:t>,309</w:t>
            </w:r>
          </w:p>
        </w:tc>
      </w:tr>
      <w:tr w14:paraId="7ED4A080" w14:textId="77777777" w:rsidTr="008E07A6">
        <w:tblPrEx>
          <w:tblW w:w="14360" w:type="dxa"/>
          <w:tblLook w:val="04A0"/>
        </w:tblPrEx>
        <w:trPr>
          <w:trHeight w:val="240"/>
        </w:trPr>
        <w:tc>
          <w:tcPr>
            <w:tcW w:w="280" w:type="dxa"/>
            <w:tcBorders>
              <w:top w:val="nil"/>
              <w:left w:val="single" w:sz="4" w:space="0" w:color="auto"/>
              <w:bottom w:val="single" w:sz="4" w:space="0" w:color="auto"/>
              <w:right w:val="nil"/>
            </w:tcBorders>
            <w:shd w:val="clear" w:color="auto" w:fill="auto"/>
            <w:vAlign w:val="bottom"/>
            <w:hideMark/>
          </w:tcPr>
          <w:p w:rsidR="00ED0486" w:rsidRPr="004D52BC" w:rsidP="008E07A6" w14:paraId="2321085F" w14:textId="77777777">
            <w:r w:rsidRPr="004D52BC">
              <w:t> </w:t>
            </w:r>
          </w:p>
        </w:tc>
        <w:tc>
          <w:tcPr>
            <w:tcW w:w="7340" w:type="dxa"/>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454AE014" w14:textId="77777777">
            <w:r w:rsidRPr="004D52BC">
              <w:t>E. Time to Transmit or Disclose Information (included in 4E)</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6483489D" w14:textId="77777777">
            <w:r w:rsidRPr="004D52BC">
              <w:t> </w:t>
            </w:r>
          </w:p>
        </w:tc>
        <w:tc>
          <w:tcPr>
            <w:tcW w:w="1720" w:type="dxa"/>
            <w:tcBorders>
              <w:top w:val="nil"/>
              <w:left w:val="nil"/>
              <w:bottom w:val="single" w:sz="4" w:space="0" w:color="auto"/>
              <w:right w:val="single" w:sz="4" w:space="0" w:color="auto"/>
            </w:tcBorders>
            <w:shd w:val="clear" w:color="auto" w:fill="auto"/>
            <w:vAlign w:val="bottom"/>
            <w:hideMark/>
          </w:tcPr>
          <w:p w:rsidR="00ED0486" w:rsidRPr="004D52BC" w:rsidP="008E07A6" w14:paraId="1B8597B6" w14:textId="77777777">
            <w:r w:rsidRPr="004D52BC">
              <w:t> </w:t>
            </w:r>
          </w:p>
        </w:tc>
        <w:tc>
          <w:tcPr>
            <w:tcW w:w="1340" w:type="dxa"/>
            <w:tcBorders>
              <w:top w:val="nil"/>
              <w:left w:val="nil"/>
              <w:bottom w:val="single" w:sz="4" w:space="0" w:color="auto"/>
              <w:right w:val="single" w:sz="4" w:space="0" w:color="auto"/>
            </w:tcBorders>
            <w:shd w:val="clear" w:color="auto" w:fill="auto"/>
            <w:vAlign w:val="bottom"/>
            <w:hideMark/>
          </w:tcPr>
          <w:p w:rsidR="00ED0486" w:rsidRPr="004D52BC" w:rsidP="008E07A6" w14:paraId="6F19F170" w14:textId="77777777">
            <w:r w:rsidRPr="004D52BC">
              <w:t> </w:t>
            </w:r>
          </w:p>
        </w:tc>
        <w:tc>
          <w:tcPr>
            <w:tcW w:w="1300" w:type="dxa"/>
            <w:tcBorders>
              <w:top w:val="nil"/>
              <w:left w:val="nil"/>
              <w:bottom w:val="single" w:sz="4" w:space="0" w:color="auto"/>
              <w:right w:val="single" w:sz="4" w:space="0" w:color="auto"/>
            </w:tcBorders>
            <w:shd w:val="clear" w:color="auto" w:fill="auto"/>
            <w:vAlign w:val="bottom"/>
            <w:hideMark/>
          </w:tcPr>
          <w:p w:rsidR="00ED0486" w:rsidRPr="004D52BC" w:rsidP="008E07A6" w14:paraId="51504B19" w14:textId="77777777">
            <w:r w:rsidRPr="004D52BC">
              <w:t> </w:t>
            </w:r>
          </w:p>
        </w:tc>
        <w:tc>
          <w:tcPr>
            <w:tcW w:w="1200" w:type="dxa"/>
            <w:tcBorders>
              <w:top w:val="nil"/>
              <w:left w:val="nil"/>
              <w:bottom w:val="single" w:sz="4" w:space="0" w:color="auto"/>
              <w:right w:val="single" w:sz="4" w:space="0" w:color="auto"/>
            </w:tcBorders>
            <w:shd w:val="clear" w:color="auto" w:fill="auto"/>
            <w:vAlign w:val="bottom"/>
            <w:hideMark/>
          </w:tcPr>
          <w:p w:rsidR="00ED0486" w:rsidRPr="004D52BC" w:rsidP="008E07A6" w14:paraId="105DF033" w14:textId="77777777">
            <w:pPr>
              <w:jc w:val="right"/>
            </w:pPr>
            <w:r w:rsidRPr="004D52BC">
              <w:t>$0</w:t>
            </w:r>
          </w:p>
        </w:tc>
      </w:tr>
      <w:tr w14:paraId="058C6D1A" w14:textId="77777777" w:rsidTr="008E07A6">
        <w:tblPrEx>
          <w:tblW w:w="14360" w:type="dxa"/>
          <w:tblLook w:val="04A0"/>
        </w:tblPrEx>
        <w:trPr>
          <w:trHeight w:val="240"/>
        </w:trPr>
        <w:tc>
          <w:tcPr>
            <w:tcW w:w="280" w:type="dxa"/>
            <w:tcBorders>
              <w:top w:val="nil"/>
              <w:left w:val="single" w:sz="4" w:space="0" w:color="auto"/>
              <w:bottom w:val="single" w:sz="4" w:space="0" w:color="auto"/>
              <w:right w:val="nil"/>
            </w:tcBorders>
            <w:shd w:val="clear" w:color="auto" w:fill="auto"/>
            <w:vAlign w:val="bottom"/>
            <w:hideMark/>
          </w:tcPr>
          <w:p w:rsidR="00ED0486" w:rsidRPr="004D52BC" w:rsidP="008E07A6" w14:paraId="3E1E55BF" w14:textId="77777777">
            <w:r w:rsidRPr="004D52BC">
              <w:t> </w:t>
            </w:r>
          </w:p>
        </w:tc>
        <w:tc>
          <w:tcPr>
            <w:tcW w:w="7340" w:type="dxa"/>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2CCC54FB" w14:textId="77777777">
            <w:r w:rsidRPr="004D52BC">
              <w:t>F. Time to Train Personnel (included in 4A)</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35E4FDCC" w14:textId="77777777">
            <w:r w:rsidRPr="004D52BC">
              <w:t> </w:t>
            </w:r>
          </w:p>
        </w:tc>
        <w:tc>
          <w:tcPr>
            <w:tcW w:w="1720" w:type="dxa"/>
            <w:tcBorders>
              <w:top w:val="nil"/>
              <w:left w:val="nil"/>
              <w:bottom w:val="single" w:sz="4" w:space="0" w:color="auto"/>
              <w:right w:val="single" w:sz="4" w:space="0" w:color="auto"/>
            </w:tcBorders>
            <w:shd w:val="clear" w:color="auto" w:fill="auto"/>
            <w:vAlign w:val="bottom"/>
            <w:hideMark/>
          </w:tcPr>
          <w:p w:rsidR="00ED0486" w:rsidRPr="004D52BC" w:rsidP="008E07A6" w14:paraId="2CE94211" w14:textId="77777777">
            <w:r w:rsidRPr="004D52BC">
              <w:t> </w:t>
            </w:r>
          </w:p>
        </w:tc>
        <w:tc>
          <w:tcPr>
            <w:tcW w:w="1340" w:type="dxa"/>
            <w:tcBorders>
              <w:top w:val="nil"/>
              <w:left w:val="nil"/>
              <w:bottom w:val="single" w:sz="4" w:space="0" w:color="auto"/>
              <w:right w:val="single" w:sz="4" w:space="0" w:color="auto"/>
            </w:tcBorders>
            <w:shd w:val="clear" w:color="auto" w:fill="auto"/>
            <w:vAlign w:val="bottom"/>
            <w:hideMark/>
          </w:tcPr>
          <w:p w:rsidR="00ED0486" w:rsidRPr="004D52BC" w:rsidP="008E07A6" w14:paraId="0B98608B" w14:textId="77777777">
            <w:r w:rsidRPr="004D52BC">
              <w:t> </w:t>
            </w:r>
          </w:p>
        </w:tc>
        <w:tc>
          <w:tcPr>
            <w:tcW w:w="1300" w:type="dxa"/>
            <w:tcBorders>
              <w:top w:val="nil"/>
              <w:left w:val="nil"/>
              <w:bottom w:val="single" w:sz="4" w:space="0" w:color="auto"/>
              <w:right w:val="single" w:sz="4" w:space="0" w:color="auto"/>
            </w:tcBorders>
            <w:shd w:val="clear" w:color="auto" w:fill="auto"/>
            <w:vAlign w:val="bottom"/>
            <w:hideMark/>
          </w:tcPr>
          <w:p w:rsidR="00ED0486" w:rsidRPr="004D52BC" w:rsidP="008E07A6" w14:paraId="6FBC6A38" w14:textId="77777777">
            <w:r w:rsidRPr="004D52BC">
              <w:t> </w:t>
            </w:r>
          </w:p>
        </w:tc>
        <w:tc>
          <w:tcPr>
            <w:tcW w:w="1200" w:type="dxa"/>
            <w:tcBorders>
              <w:top w:val="nil"/>
              <w:left w:val="nil"/>
              <w:bottom w:val="single" w:sz="4" w:space="0" w:color="auto"/>
              <w:right w:val="single" w:sz="4" w:space="0" w:color="auto"/>
            </w:tcBorders>
            <w:shd w:val="clear" w:color="auto" w:fill="auto"/>
            <w:vAlign w:val="bottom"/>
            <w:hideMark/>
          </w:tcPr>
          <w:p w:rsidR="00ED0486" w:rsidRPr="004D52BC" w:rsidP="008E07A6" w14:paraId="2A43C940" w14:textId="77777777">
            <w:pPr>
              <w:jc w:val="right"/>
            </w:pPr>
            <w:r w:rsidRPr="004D52BC">
              <w:t>$0</w:t>
            </w:r>
          </w:p>
        </w:tc>
      </w:tr>
      <w:tr w14:paraId="22DDFC0F" w14:textId="77777777" w:rsidTr="008E07A6">
        <w:tblPrEx>
          <w:tblW w:w="14360" w:type="dxa"/>
          <w:tblLook w:val="04A0"/>
        </w:tblPrEx>
        <w:trPr>
          <w:trHeight w:val="255"/>
        </w:trPr>
        <w:tc>
          <w:tcPr>
            <w:tcW w:w="280" w:type="dxa"/>
            <w:tcBorders>
              <w:top w:val="nil"/>
              <w:left w:val="single" w:sz="4" w:space="0" w:color="auto"/>
              <w:bottom w:val="single" w:sz="4" w:space="0" w:color="auto"/>
              <w:right w:val="nil"/>
            </w:tcBorders>
            <w:shd w:val="clear" w:color="auto" w:fill="auto"/>
            <w:vAlign w:val="bottom"/>
            <w:hideMark/>
          </w:tcPr>
          <w:p w:rsidR="00ED0486" w:rsidRPr="004D52BC" w:rsidP="008E07A6" w14:paraId="7742318B" w14:textId="77777777">
            <w:r w:rsidRPr="004D52BC">
              <w:t> </w:t>
            </w:r>
          </w:p>
        </w:tc>
        <w:tc>
          <w:tcPr>
            <w:tcW w:w="7340" w:type="dxa"/>
            <w:tcBorders>
              <w:top w:val="single" w:sz="4" w:space="0" w:color="auto"/>
              <w:left w:val="nil"/>
              <w:bottom w:val="single" w:sz="4" w:space="0" w:color="auto"/>
              <w:right w:val="single" w:sz="4" w:space="0" w:color="auto"/>
            </w:tcBorders>
            <w:shd w:val="clear" w:color="auto" w:fill="auto"/>
            <w:vAlign w:val="bottom"/>
            <w:hideMark/>
          </w:tcPr>
          <w:p w:rsidR="00ED0486" w:rsidRPr="004D52BC" w:rsidP="008E07A6" w14:paraId="41739D0E" w14:textId="4B3F6C0C">
            <w:r w:rsidRPr="004D52BC">
              <w:t>G. Time for Audits</w:t>
            </w:r>
            <w:r w:rsidRPr="004D52BC">
              <w:rPr>
                <w:vertAlign w:val="superscript"/>
              </w:rPr>
              <w:t xml:space="preserve"> </w:t>
            </w:r>
            <w:r w:rsidR="00323232">
              <w:rPr>
                <w:vertAlign w:val="superscript"/>
              </w:rPr>
              <w:t>k</w:t>
            </w:r>
          </w:p>
        </w:tc>
        <w:tc>
          <w:tcPr>
            <w:tcW w:w="1180" w:type="dxa"/>
            <w:tcBorders>
              <w:top w:val="nil"/>
              <w:left w:val="single" w:sz="4" w:space="0" w:color="auto"/>
              <w:bottom w:val="single" w:sz="4" w:space="0" w:color="auto"/>
              <w:right w:val="single" w:sz="4" w:space="0" w:color="auto"/>
            </w:tcBorders>
            <w:shd w:val="clear" w:color="auto" w:fill="auto"/>
            <w:vAlign w:val="bottom"/>
            <w:hideMark/>
          </w:tcPr>
          <w:p w:rsidR="00ED0486" w:rsidRPr="004D52BC" w:rsidP="008E07A6" w14:paraId="0B5CE9CC" w14:textId="77777777">
            <w:pPr>
              <w:jc w:val="right"/>
            </w:pPr>
            <w:r w:rsidRPr="004D52BC">
              <w:t>8</w:t>
            </w:r>
          </w:p>
        </w:tc>
        <w:tc>
          <w:tcPr>
            <w:tcW w:w="1720" w:type="dxa"/>
            <w:tcBorders>
              <w:top w:val="nil"/>
              <w:left w:val="nil"/>
              <w:bottom w:val="single" w:sz="4" w:space="0" w:color="auto"/>
              <w:right w:val="single" w:sz="4" w:space="0" w:color="auto"/>
            </w:tcBorders>
            <w:shd w:val="clear" w:color="auto" w:fill="auto"/>
            <w:vAlign w:val="bottom"/>
            <w:hideMark/>
          </w:tcPr>
          <w:p w:rsidR="00ED0486" w:rsidRPr="004D52BC" w:rsidP="008E07A6" w14:paraId="0681E412" w14:textId="77777777">
            <w:pPr>
              <w:jc w:val="right"/>
            </w:pPr>
            <w:r w:rsidRPr="004D52BC">
              <w:t>1</w:t>
            </w:r>
          </w:p>
        </w:tc>
        <w:tc>
          <w:tcPr>
            <w:tcW w:w="1340" w:type="dxa"/>
            <w:tcBorders>
              <w:top w:val="nil"/>
              <w:left w:val="nil"/>
              <w:bottom w:val="single" w:sz="4" w:space="0" w:color="auto"/>
              <w:right w:val="single" w:sz="4" w:space="0" w:color="auto"/>
            </w:tcBorders>
            <w:shd w:val="clear" w:color="auto" w:fill="auto"/>
            <w:vAlign w:val="bottom"/>
            <w:hideMark/>
          </w:tcPr>
          <w:p w:rsidR="00ED0486" w:rsidRPr="004D52BC" w:rsidP="008E07A6" w14:paraId="4017396A" w14:textId="77777777">
            <w:pPr>
              <w:jc w:val="right"/>
            </w:pPr>
            <w:r w:rsidRPr="004D52BC">
              <w:t>8</w:t>
            </w:r>
          </w:p>
        </w:tc>
        <w:tc>
          <w:tcPr>
            <w:tcW w:w="1300" w:type="dxa"/>
            <w:tcBorders>
              <w:top w:val="nil"/>
              <w:left w:val="nil"/>
              <w:bottom w:val="single" w:sz="4" w:space="0" w:color="auto"/>
              <w:right w:val="single" w:sz="4" w:space="0" w:color="auto"/>
            </w:tcBorders>
            <w:shd w:val="clear" w:color="auto" w:fill="auto"/>
            <w:vAlign w:val="bottom"/>
            <w:hideMark/>
          </w:tcPr>
          <w:p w:rsidR="00ED0486" w:rsidRPr="004D52BC" w:rsidP="008E07A6" w14:paraId="56027E29" w14:textId="2445F8E4">
            <w:pPr>
              <w:jc w:val="right"/>
            </w:pPr>
            <w:r>
              <w:t>48</w:t>
            </w:r>
          </w:p>
        </w:tc>
        <w:tc>
          <w:tcPr>
            <w:tcW w:w="1200" w:type="dxa"/>
            <w:tcBorders>
              <w:top w:val="nil"/>
              <w:left w:val="nil"/>
              <w:bottom w:val="single" w:sz="4" w:space="0" w:color="auto"/>
              <w:right w:val="single" w:sz="4" w:space="0" w:color="auto"/>
            </w:tcBorders>
            <w:shd w:val="clear" w:color="auto" w:fill="auto"/>
            <w:vAlign w:val="bottom"/>
            <w:hideMark/>
          </w:tcPr>
          <w:p w:rsidR="00ED0486" w:rsidRPr="004D52BC" w:rsidP="008E07A6" w14:paraId="38AEBEE4" w14:textId="488450C7">
            <w:pPr>
              <w:jc w:val="right"/>
            </w:pPr>
            <w:r w:rsidRPr="001D79CD">
              <w:t>$223,482</w:t>
            </w:r>
          </w:p>
        </w:tc>
      </w:tr>
    </w:tbl>
    <w:p w:rsidR="00ED0486" w:rsidRPr="004D52BC" w:rsidP="00ED0486" w14:paraId="391B8D03" w14:textId="77777777">
      <w:pPr>
        <w:rPr>
          <w:b/>
          <w:bCs/>
        </w:rPr>
      </w:pPr>
    </w:p>
    <w:p w:rsidR="00ED0486" w:rsidRPr="004D52BC" w:rsidP="00562220" w14:paraId="70FD8374" w14:textId="3D87DEB8">
      <w:pPr>
        <w:outlineLvl w:val="1"/>
        <w:rPr>
          <w:b/>
          <w:bCs/>
        </w:rPr>
      </w:pPr>
      <w:r w:rsidRPr="004D52BC">
        <w:rPr>
          <w:b/>
          <w:bCs/>
        </w:rPr>
        <w:t xml:space="preserve">Table </w:t>
      </w:r>
      <w:r w:rsidRPr="004D52BC" w:rsidR="00043488">
        <w:rPr>
          <w:b/>
          <w:bCs/>
        </w:rPr>
        <w:t>6</w:t>
      </w:r>
      <w:r w:rsidRPr="004D52BC">
        <w:rPr>
          <w:b/>
          <w:bCs/>
        </w:rPr>
        <w:t>. Total Part 99 Burden Hours and Costs, Year 1</w:t>
      </w:r>
    </w:p>
    <w:tbl>
      <w:tblPr>
        <w:tblW w:w="11460" w:type="dxa"/>
        <w:tblLook w:val="04A0"/>
      </w:tblPr>
      <w:tblGrid>
        <w:gridCol w:w="279"/>
        <w:gridCol w:w="6428"/>
        <w:gridCol w:w="1529"/>
        <w:gridCol w:w="1590"/>
        <w:gridCol w:w="1634"/>
      </w:tblGrid>
      <w:tr w14:paraId="4A4D6AA1" w14:textId="77777777" w:rsidTr="007D34E3">
        <w:tblPrEx>
          <w:tblW w:w="11460" w:type="dxa"/>
          <w:tblLook w:val="04A0"/>
        </w:tblPrEx>
        <w:trPr>
          <w:trHeight w:val="720"/>
        </w:trPr>
        <w:tc>
          <w:tcPr>
            <w:tcW w:w="67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D0486" w:rsidRPr="004D52BC" w:rsidP="008E07A6" w14:paraId="48A8F166" w14:textId="28C006D4">
            <w:pPr>
              <w:jc w:val="center"/>
              <w:rPr>
                <w:b/>
                <w:bCs/>
                <w:color w:val="000000"/>
              </w:rPr>
            </w:pPr>
            <w:r w:rsidRPr="004D52BC">
              <w:rPr>
                <w:b/>
                <w:bCs/>
                <w:color w:val="000000"/>
              </w:rPr>
              <w:t>Year 2 and Year 3</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1441C46D" w14:textId="77777777">
            <w:pPr>
              <w:jc w:val="center"/>
              <w:rPr>
                <w:b/>
                <w:bCs/>
                <w:color w:val="000000"/>
              </w:rPr>
            </w:pPr>
            <w:r w:rsidRPr="004D52BC">
              <w:rPr>
                <w:b/>
                <w:bCs/>
                <w:color w:val="000000"/>
              </w:rPr>
              <w:t xml:space="preserve">(C)  Hours/ Respondent/ </w:t>
            </w:r>
            <w:r w:rsidRPr="004D52BC">
              <w:rPr>
                <w:b/>
                <w:bCs/>
                <w:color w:val="000000"/>
              </w:rPr>
              <w:br/>
              <w:t>Year (A x B)</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3A19526E" w14:textId="77777777">
            <w:pPr>
              <w:jc w:val="center"/>
              <w:rPr>
                <w:b/>
                <w:bCs/>
                <w:color w:val="000000"/>
              </w:rPr>
            </w:pPr>
            <w:r w:rsidRPr="004D52BC">
              <w:rPr>
                <w:b/>
                <w:bCs/>
                <w:color w:val="000000"/>
              </w:rPr>
              <w:t>(D)  Respondents/ Year</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rsidR="00ED0486" w:rsidRPr="004D52BC" w:rsidP="008E07A6" w14:paraId="787C0EB7" w14:textId="77777777">
            <w:pPr>
              <w:jc w:val="center"/>
              <w:rPr>
                <w:b/>
                <w:bCs/>
              </w:rPr>
            </w:pPr>
            <w:r w:rsidRPr="004D52BC">
              <w:rPr>
                <w:b/>
                <w:bCs/>
              </w:rPr>
              <w:t>(H)  Cost/ Year</w:t>
            </w:r>
          </w:p>
        </w:tc>
      </w:tr>
      <w:tr w14:paraId="1A103ECA" w14:textId="77777777" w:rsidTr="008749C0">
        <w:tblPrEx>
          <w:tblW w:w="11460" w:type="dxa"/>
          <w:tblLook w:val="04A0"/>
        </w:tblPrEx>
        <w:trPr>
          <w:trHeight w:val="240"/>
        </w:trPr>
        <w:tc>
          <w:tcPr>
            <w:tcW w:w="6707" w:type="dxa"/>
            <w:gridSpan w:val="2"/>
            <w:tcBorders>
              <w:top w:val="single" w:sz="4" w:space="0" w:color="auto"/>
              <w:left w:val="single" w:sz="4" w:space="0" w:color="auto"/>
              <w:bottom w:val="single" w:sz="4" w:space="0" w:color="000000"/>
              <w:right w:val="nil"/>
            </w:tcBorders>
            <w:shd w:val="clear" w:color="auto" w:fill="auto"/>
            <w:vAlign w:val="center"/>
            <w:hideMark/>
          </w:tcPr>
          <w:p w:rsidR="007D34E3" w:rsidRPr="004D52BC" w:rsidP="007D34E3" w14:paraId="17008EEA" w14:textId="77777777">
            <w:r w:rsidRPr="004D52BC">
              <w:t>TOTAL ANNUAL LABOR BURDEN AND COST</w:t>
            </w:r>
          </w:p>
        </w:tc>
        <w:tc>
          <w:tcPr>
            <w:tcW w:w="1529" w:type="dxa"/>
            <w:tcBorders>
              <w:top w:val="nil"/>
              <w:left w:val="nil"/>
              <w:bottom w:val="single" w:sz="4" w:space="0" w:color="auto"/>
              <w:right w:val="single" w:sz="4" w:space="0" w:color="auto"/>
            </w:tcBorders>
            <w:shd w:val="clear" w:color="auto" w:fill="auto"/>
            <w:vAlign w:val="bottom"/>
            <w:hideMark/>
          </w:tcPr>
          <w:p w:rsidR="007D34E3" w:rsidRPr="004D52BC" w:rsidP="007D34E3" w14:paraId="0B77541E" w14:textId="39E4C032"/>
        </w:tc>
        <w:tc>
          <w:tcPr>
            <w:tcW w:w="1590" w:type="dxa"/>
            <w:tcBorders>
              <w:top w:val="nil"/>
              <w:left w:val="nil"/>
              <w:bottom w:val="single" w:sz="4" w:space="0" w:color="auto"/>
              <w:right w:val="single" w:sz="4" w:space="0" w:color="auto"/>
            </w:tcBorders>
            <w:shd w:val="clear" w:color="auto" w:fill="auto"/>
            <w:vAlign w:val="bottom"/>
            <w:hideMark/>
          </w:tcPr>
          <w:p w:rsidR="007D34E3" w:rsidRPr="004D52BC" w:rsidP="007D34E3" w14:paraId="7BE2C3B5" w14:textId="289F35D7">
            <w:pPr>
              <w:jc w:val="right"/>
            </w:pPr>
          </w:p>
        </w:tc>
        <w:tc>
          <w:tcPr>
            <w:tcW w:w="1634" w:type="dxa"/>
            <w:tcBorders>
              <w:top w:val="nil"/>
              <w:left w:val="nil"/>
              <w:bottom w:val="single" w:sz="4" w:space="0" w:color="auto"/>
              <w:right w:val="single" w:sz="4" w:space="0" w:color="auto"/>
            </w:tcBorders>
            <w:shd w:val="clear" w:color="auto" w:fill="auto"/>
            <w:vAlign w:val="bottom"/>
            <w:hideMark/>
          </w:tcPr>
          <w:p w:rsidR="007D34E3" w:rsidRPr="004D52BC" w:rsidP="007D34E3" w14:paraId="457AFB87" w14:textId="254E1756">
            <w:pPr>
              <w:jc w:val="right"/>
            </w:pPr>
            <w:r w:rsidRPr="00AC77B0">
              <w:t xml:space="preserve"> </w:t>
            </w:r>
            <w:r w:rsidRPr="008749C0" w:rsidR="008749C0">
              <w:t xml:space="preserve"> $1,5</w:t>
            </w:r>
            <w:r w:rsidR="00323232">
              <w:t>40</w:t>
            </w:r>
            <w:r w:rsidRPr="008749C0" w:rsidR="008749C0">
              <w:t>,</w:t>
            </w:r>
            <w:r w:rsidR="00323232">
              <w:t>792</w:t>
            </w:r>
          </w:p>
        </w:tc>
      </w:tr>
      <w:tr w14:paraId="28FD697C" w14:textId="77777777" w:rsidTr="008749C0">
        <w:tblPrEx>
          <w:tblW w:w="11460" w:type="dxa"/>
          <w:tblLook w:val="04A0"/>
        </w:tblPrEx>
        <w:trPr>
          <w:trHeight w:val="240"/>
        </w:trPr>
        <w:tc>
          <w:tcPr>
            <w:tcW w:w="6707" w:type="dxa"/>
            <w:gridSpan w:val="2"/>
            <w:tcBorders>
              <w:top w:val="single" w:sz="4" w:space="0" w:color="auto"/>
              <w:left w:val="single" w:sz="4" w:space="0" w:color="auto"/>
              <w:bottom w:val="single" w:sz="4" w:space="0" w:color="auto"/>
              <w:right w:val="nil"/>
            </w:tcBorders>
            <w:shd w:val="clear" w:color="auto" w:fill="auto"/>
            <w:vAlign w:val="bottom"/>
            <w:hideMark/>
          </w:tcPr>
          <w:p w:rsidR="007D34E3" w:rsidRPr="004D52BC" w:rsidP="007D34E3" w14:paraId="7C458F90" w14:textId="77777777">
            <w:r w:rsidRPr="004D52BC">
              <w:t>ANNUALIZED CAPITAL COSTS</w:t>
            </w:r>
          </w:p>
        </w:tc>
        <w:tc>
          <w:tcPr>
            <w:tcW w:w="1529" w:type="dxa"/>
            <w:tcBorders>
              <w:top w:val="nil"/>
              <w:left w:val="nil"/>
              <w:bottom w:val="single" w:sz="4" w:space="0" w:color="auto"/>
              <w:right w:val="single" w:sz="4" w:space="0" w:color="auto"/>
            </w:tcBorders>
            <w:shd w:val="clear" w:color="auto" w:fill="auto"/>
            <w:vAlign w:val="bottom"/>
            <w:hideMark/>
          </w:tcPr>
          <w:p w:rsidR="007D34E3" w:rsidRPr="004D52BC" w:rsidP="007D34E3" w14:paraId="13A192C2" w14:textId="77777777">
            <w:pPr>
              <w:jc w:val="right"/>
            </w:pPr>
            <w:r w:rsidRPr="004D52BC">
              <w:t> </w:t>
            </w:r>
          </w:p>
        </w:tc>
        <w:tc>
          <w:tcPr>
            <w:tcW w:w="1590" w:type="dxa"/>
            <w:tcBorders>
              <w:top w:val="nil"/>
              <w:left w:val="nil"/>
              <w:bottom w:val="single" w:sz="4" w:space="0" w:color="auto"/>
              <w:right w:val="single" w:sz="4" w:space="0" w:color="auto"/>
            </w:tcBorders>
            <w:shd w:val="clear" w:color="auto" w:fill="auto"/>
            <w:vAlign w:val="bottom"/>
            <w:hideMark/>
          </w:tcPr>
          <w:p w:rsidR="007D34E3" w:rsidRPr="004D52BC" w:rsidP="007D34E3" w14:paraId="3887D14D" w14:textId="77777777">
            <w:pPr>
              <w:jc w:val="right"/>
            </w:pPr>
            <w:r w:rsidRPr="004D52BC">
              <w:t> </w:t>
            </w:r>
          </w:p>
        </w:tc>
        <w:tc>
          <w:tcPr>
            <w:tcW w:w="1634" w:type="dxa"/>
            <w:tcBorders>
              <w:top w:val="nil"/>
              <w:left w:val="nil"/>
              <w:bottom w:val="single" w:sz="4" w:space="0" w:color="auto"/>
              <w:right w:val="single" w:sz="4" w:space="0" w:color="auto"/>
            </w:tcBorders>
            <w:shd w:val="clear" w:color="auto" w:fill="auto"/>
            <w:vAlign w:val="bottom"/>
            <w:hideMark/>
          </w:tcPr>
          <w:p w:rsidR="007D34E3" w:rsidRPr="004D52BC" w:rsidP="007D34E3" w14:paraId="4D7552FC" w14:textId="5356FD2F">
            <w:pPr>
              <w:jc w:val="right"/>
            </w:pPr>
          </w:p>
        </w:tc>
      </w:tr>
      <w:tr w14:paraId="2146953E" w14:textId="77777777" w:rsidTr="008749C0">
        <w:tblPrEx>
          <w:tblW w:w="11460" w:type="dxa"/>
          <w:tblLook w:val="04A0"/>
        </w:tblPrEx>
        <w:trPr>
          <w:trHeight w:val="255"/>
        </w:trPr>
        <w:tc>
          <w:tcPr>
            <w:tcW w:w="279" w:type="dxa"/>
            <w:tcBorders>
              <w:top w:val="single" w:sz="4" w:space="0" w:color="auto"/>
              <w:left w:val="single" w:sz="4" w:space="0" w:color="auto"/>
              <w:bottom w:val="single" w:sz="4" w:space="0" w:color="auto"/>
              <w:right w:val="nil"/>
            </w:tcBorders>
            <w:shd w:val="clear" w:color="auto" w:fill="auto"/>
            <w:vAlign w:val="bottom"/>
            <w:hideMark/>
          </w:tcPr>
          <w:p w:rsidR="003312AE" w:rsidRPr="004D52BC" w:rsidP="003312AE" w14:paraId="1CC48F05" w14:textId="77777777">
            <w:r w:rsidRPr="004D52BC">
              <w:t> </w:t>
            </w:r>
          </w:p>
        </w:tc>
        <w:tc>
          <w:tcPr>
            <w:tcW w:w="6428" w:type="dxa"/>
            <w:tcBorders>
              <w:top w:val="single" w:sz="4" w:space="0" w:color="auto"/>
              <w:left w:val="nil"/>
              <w:bottom w:val="single" w:sz="4" w:space="0" w:color="auto"/>
              <w:right w:val="nil"/>
            </w:tcBorders>
            <w:shd w:val="clear" w:color="auto" w:fill="auto"/>
            <w:vAlign w:val="bottom"/>
            <w:hideMark/>
          </w:tcPr>
          <w:p w:rsidR="003312AE" w:rsidRPr="004D52BC" w:rsidP="003312AE" w14:paraId="3BAF658B" w14:textId="1A66EF9D">
            <w:r w:rsidRPr="004D52BC">
              <w:t>Annualized Capital Costs for Recordkeeping</w:t>
            </w:r>
            <w:r w:rsidRPr="004D52BC">
              <w:rPr>
                <w:vertAlign w:val="superscript"/>
              </w:rPr>
              <w:t xml:space="preserve"> </w:t>
            </w:r>
            <w:r w:rsidR="00323232">
              <w:rPr>
                <w:vertAlign w:val="superscript"/>
              </w:rPr>
              <w:t>l</w:t>
            </w:r>
          </w:p>
        </w:tc>
        <w:tc>
          <w:tcPr>
            <w:tcW w:w="1529" w:type="dxa"/>
            <w:tcBorders>
              <w:top w:val="nil"/>
              <w:left w:val="nil"/>
              <w:bottom w:val="single" w:sz="4" w:space="0" w:color="auto"/>
              <w:right w:val="single" w:sz="4" w:space="0" w:color="auto"/>
            </w:tcBorders>
            <w:shd w:val="clear" w:color="auto" w:fill="auto"/>
            <w:vAlign w:val="bottom"/>
            <w:hideMark/>
          </w:tcPr>
          <w:p w:rsidR="003312AE" w:rsidRPr="004D52BC" w:rsidP="003312AE" w14:paraId="52D75E36" w14:textId="77777777">
            <w:pPr>
              <w:jc w:val="right"/>
            </w:pPr>
          </w:p>
        </w:tc>
        <w:tc>
          <w:tcPr>
            <w:tcW w:w="1590" w:type="dxa"/>
            <w:tcBorders>
              <w:top w:val="nil"/>
              <w:left w:val="nil"/>
              <w:bottom w:val="single" w:sz="4" w:space="0" w:color="auto"/>
              <w:right w:val="single" w:sz="4" w:space="0" w:color="auto"/>
            </w:tcBorders>
            <w:shd w:val="clear" w:color="auto" w:fill="auto"/>
            <w:hideMark/>
          </w:tcPr>
          <w:p w:rsidR="003312AE" w:rsidRPr="004D52BC" w:rsidP="003312AE" w14:paraId="2B4619DB" w14:textId="0B439EC1">
            <w:pPr>
              <w:jc w:val="right"/>
            </w:pPr>
          </w:p>
        </w:tc>
        <w:tc>
          <w:tcPr>
            <w:tcW w:w="1634" w:type="dxa"/>
            <w:tcBorders>
              <w:top w:val="nil"/>
              <w:left w:val="nil"/>
              <w:bottom w:val="single" w:sz="4" w:space="0" w:color="auto"/>
              <w:right w:val="single" w:sz="4" w:space="0" w:color="auto"/>
            </w:tcBorders>
            <w:shd w:val="clear" w:color="auto" w:fill="auto"/>
            <w:vAlign w:val="bottom"/>
            <w:hideMark/>
          </w:tcPr>
          <w:p w:rsidR="003312AE" w:rsidRPr="004D52BC" w:rsidP="003312AE" w14:paraId="3B5AB10A" w14:textId="114E03D1">
            <w:pPr>
              <w:jc w:val="right"/>
            </w:pPr>
            <w:r w:rsidRPr="008749C0">
              <w:t>$30,495</w:t>
            </w:r>
          </w:p>
        </w:tc>
      </w:tr>
      <w:tr w14:paraId="2733F68A" w14:textId="77777777" w:rsidTr="008749C0">
        <w:tblPrEx>
          <w:tblW w:w="11460" w:type="dxa"/>
          <w:tblLook w:val="04A0"/>
        </w:tblPrEx>
        <w:trPr>
          <w:trHeight w:val="240"/>
        </w:trPr>
        <w:tc>
          <w:tcPr>
            <w:tcW w:w="279" w:type="dxa"/>
            <w:tcBorders>
              <w:top w:val="nil"/>
              <w:left w:val="single" w:sz="4" w:space="0" w:color="auto"/>
              <w:bottom w:val="single" w:sz="4" w:space="0" w:color="auto"/>
              <w:right w:val="nil"/>
            </w:tcBorders>
            <w:shd w:val="clear" w:color="auto" w:fill="auto"/>
            <w:vAlign w:val="bottom"/>
            <w:hideMark/>
          </w:tcPr>
          <w:p w:rsidR="007D34E3" w:rsidRPr="004D52BC" w:rsidP="007D34E3" w14:paraId="2BD81F60" w14:textId="77777777">
            <w:r w:rsidRPr="004D52BC">
              <w:t> </w:t>
            </w:r>
          </w:p>
        </w:tc>
        <w:tc>
          <w:tcPr>
            <w:tcW w:w="6428" w:type="dxa"/>
            <w:tcBorders>
              <w:top w:val="single" w:sz="4" w:space="0" w:color="auto"/>
              <w:left w:val="nil"/>
              <w:bottom w:val="single" w:sz="4" w:space="0" w:color="auto"/>
              <w:right w:val="nil"/>
            </w:tcBorders>
            <w:shd w:val="clear" w:color="auto" w:fill="auto"/>
            <w:vAlign w:val="bottom"/>
            <w:hideMark/>
          </w:tcPr>
          <w:p w:rsidR="007D34E3" w:rsidRPr="004D52BC" w:rsidP="007D34E3" w14:paraId="1D387407" w14:textId="77777777">
            <w:r w:rsidRPr="004D52BC">
              <w:t>Other Capital Costs of Installation (ODC and Labor)</w:t>
            </w:r>
          </w:p>
        </w:tc>
        <w:tc>
          <w:tcPr>
            <w:tcW w:w="1529" w:type="dxa"/>
            <w:tcBorders>
              <w:top w:val="nil"/>
              <w:left w:val="nil"/>
              <w:bottom w:val="single" w:sz="4" w:space="0" w:color="auto"/>
              <w:right w:val="single" w:sz="4" w:space="0" w:color="auto"/>
            </w:tcBorders>
            <w:shd w:val="clear" w:color="auto" w:fill="auto"/>
            <w:vAlign w:val="bottom"/>
            <w:hideMark/>
          </w:tcPr>
          <w:p w:rsidR="007D34E3" w:rsidRPr="004D52BC" w:rsidP="007D34E3" w14:paraId="19C7F554" w14:textId="77777777">
            <w:pPr>
              <w:jc w:val="right"/>
            </w:pPr>
            <w:r w:rsidRPr="004D52BC">
              <w:t> </w:t>
            </w:r>
          </w:p>
        </w:tc>
        <w:tc>
          <w:tcPr>
            <w:tcW w:w="1590" w:type="dxa"/>
            <w:tcBorders>
              <w:top w:val="nil"/>
              <w:left w:val="nil"/>
              <w:bottom w:val="single" w:sz="4" w:space="0" w:color="auto"/>
              <w:right w:val="single" w:sz="4" w:space="0" w:color="auto"/>
            </w:tcBorders>
            <w:shd w:val="clear" w:color="auto" w:fill="auto"/>
            <w:hideMark/>
          </w:tcPr>
          <w:p w:rsidR="007D34E3" w:rsidRPr="004D52BC" w:rsidP="007D34E3" w14:paraId="271B679E" w14:textId="5ABDFAEF">
            <w:pPr>
              <w:jc w:val="right"/>
            </w:pPr>
          </w:p>
        </w:tc>
        <w:tc>
          <w:tcPr>
            <w:tcW w:w="1634" w:type="dxa"/>
            <w:tcBorders>
              <w:top w:val="nil"/>
              <w:left w:val="nil"/>
              <w:bottom w:val="single" w:sz="4" w:space="0" w:color="auto"/>
              <w:right w:val="single" w:sz="4" w:space="0" w:color="auto"/>
            </w:tcBorders>
            <w:shd w:val="clear" w:color="auto" w:fill="auto"/>
            <w:vAlign w:val="bottom"/>
          </w:tcPr>
          <w:p w:rsidR="007D34E3" w:rsidRPr="004D52BC" w:rsidP="007D34E3" w14:paraId="6162D28B" w14:textId="551CECAE">
            <w:pPr>
              <w:jc w:val="right"/>
            </w:pPr>
          </w:p>
        </w:tc>
      </w:tr>
      <w:tr w14:paraId="3C6824F0" w14:textId="77777777" w:rsidTr="008749C0">
        <w:tblPrEx>
          <w:tblW w:w="11460" w:type="dxa"/>
          <w:tblLook w:val="04A0"/>
        </w:tblPrEx>
        <w:trPr>
          <w:trHeight w:val="240"/>
        </w:trPr>
        <w:tc>
          <w:tcPr>
            <w:tcW w:w="279" w:type="dxa"/>
            <w:tcBorders>
              <w:top w:val="nil"/>
              <w:left w:val="single" w:sz="4" w:space="0" w:color="auto"/>
              <w:bottom w:val="single" w:sz="4" w:space="0" w:color="auto"/>
              <w:right w:val="nil"/>
            </w:tcBorders>
            <w:shd w:val="clear" w:color="auto" w:fill="auto"/>
            <w:vAlign w:val="bottom"/>
            <w:hideMark/>
          </w:tcPr>
          <w:p w:rsidR="00227D00" w:rsidRPr="004D52BC" w:rsidP="00227D00" w14:paraId="0F85D005" w14:textId="77777777">
            <w:r w:rsidRPr="004D52BC">
              <w:t> </w:t>
            </w:r>
          </w:p>
        </w:tc>
        <w:tc>
          <w:tcPr>
            <w:tcW w:w="6428" w:type="dxa"/>
            <w:tcBorders>
              <w:top w:val="single" w:sz="4" w:space="0" w:color="auto"/>
              <w:left w:val="nil"/>
              <w:bottom w:val="single" w:sz="4" w:space="0" w:color="auto"/>
              <w:right w:val="nil"/>
            </w:tcBorders>
            <w:shd w:val="clear" w:color="auto" w:fill="auto"/>
            <w:vAlign w:val="bottom"/>
            <w:hideMark/>
          </w:tcPr>
          <w:p w:rsidR="00227D00" w:rsidRPr="004D52BC" w:rsidP="00227D00" w14:paraId="1B8A1906" w14:textId="77777777">
            <w:r w:rsidRPr="004D52BC">
              <w:t>Total annual capital</w:t>
            </w:r>
          </w:p>
        </w:tc>
        <w:tc>
          <w:tcPr>
            <w:tcW w:w="1529" w:type="dxa"/>
            <w:tcBorders>
              <w:top w:val="nil"/>
              <w:left w:val="nil"/>
              <w:bottom w:val="single" w:sz="4" w:space="0" w:color="auto"/>
              <w:right w:val="single" w:sz="4" w:space="0" w:color="auto"/>
            </w:tcBorders>
            <w:shd w:val="clear" w:color="auto" w:fill="auto"/>
            <w:vAlign w:val="bottom"/>
            <w:hideMark/>
          </w:tcPr>
          <w:p w:rsidR="00227D00" w:rsidRPr="004D52BC" w:rsidP="00227D00" w14:paraId="1BEEC06A" w14:textId="77777777">
            <w:pPr>
              <w:jc w:val="right"/>
            </w:pPr>
            <w:r w:rsidRPr="004D52BC">
              <w:t> </w:t>
            </w:r>
          </w:p>
        </w:tc>
        <w:tc>
          <w:tcPr>
            <w:tcW w:w="1590" w:type="dxa"/>
            <w:tcBorders>
              <w:top w:val="nil"/>
              <w:left w:val="nil"/>
              <w:bottom w:val="single" w:sz="4" w:space="0" w:color="auto"/>
              <w:right w:val="single" w:sz="4" w:space="0" w:color="auto"/>
            </w:tcBorders>
            <w:shd w:val="clear" w:color="auto" w:fill="auto"/>
            <w:hideMark/>
          </w:tcPr>
          <w:p w:rsidR="00227D00" w:rsidRPr="004D52BC" w:rsidP="00227D00" w14:paraId="3158760E" w14:textId="2116EDA9">
            <w:pPr>
              <w:jc w:val="right"/>
            </w:pPr>
          </w:p>
        </w:tc>
        <w:tc>
          <w:tcPr>
            <w:tcW w:w="1634" w:type="dxa"/>
            <w:tcBorders>
              <w:top w:val="nil"/>
              <w:left w:val="nil"/>
              <w:bottom w:val="single" w:sz="4" w:space="0" w:color="auto"/>
              <w:right w:val="single" w:sz="4" w:space="0" w:color="auto"/>
            </w:tcBorders>
            <w:shd w:val="clear" w:color="auto" w:fill="auto"/>
            <w:vAlign w:val="bottom"/>
            <w:hideMark/>
          </w:tcPr>
          <w:p w:rsidR="00227D00" w:rsidRPr="004D52BC" w:rsidP="00227D00" w14:paraId="29B5BEDE" w14:textId="44560F35">
            <w:pPr>
              <w:jc w:val="right"/>
            </w:pPr>
            <w:r w:rsidRPr="008749C0">
              <w:t>$30,495</w:t>
            </w:r>
          </w:p>
        </w:tc>
      </w:tr>
      <w:tr w14:paraId="045F9278" w14:textId="77777777" w:rsidTr="008749C0">
        <w:tblPrEx>
          <w:tblW w:w="11460" w:type="dxa"/>
          <w:tblLook w:val="04A0"/>
        </w:tblPrEx>
        <w:trPr>
          <w:trHeight w:val="240"/>
        </w:trPr>
        <w:tc>
          <w:tcPr>
            <w:tcW w:w="6707" w:type="dxa"/>
            <w:gridSpan w:val="2"/>
            <w:tcBorders>
              <w:top w:val="single" w:sz="4" w:space="0" w:color="auto"/>
              <w:left w:val="single" w:sz="4" w:space="0" w:color="auto"/>
              <w:bottom w:val="single" w:sz="4" w:space="0" w:color="auto"/>
              <w:right w:val="nil"/>
            </w:tcBorders>
            <w:shd w:val="clear" w:color="auto" w:fill="auto"/>
            <w:vAlign w:val="bottom"/>
            <w:hideMark/>
          </w:tcPr>
          <w:p w:rsidR="007D34E3" w:rsidRPr="004D52BC" w:rsidP="007D34E3" w14:paraId="025DE04F" w14:textId="77777777">
            <w:r w:rsidRPr="004D52BC">
              <w:t>TOTAL ANNUAL COSTS (O&amp;M)</w:t>
            </w:r>
          </w:p>
        </w:tc>
        <w:tc>
          <w:tcPr>
            <w:tcW w:w="1529" w:type="dxa"/>
            <w:tcBorders>
              <w:top w:val="nil"/>
              <w:left w:val="nil"/>
              <w:bottom w:val="single" w:sz="4" w:space="0" w:color="auto"/>
              <w:right w:val="single" w:sz="4" w:space="0" w:color="auto"/>
            </w:tcBorders>
            <w:shd w:val="clear" w:color="auto" w:fill="auto"/>
            <w:vAlign w:val="bottom"/>
            <w:hideMark/>
          </w:tcPr>
          <w:p w:rsidR="007D34E3" w:rsidRPr="004D52BC" w:rsidP="007D34E3" w14:paraId="6672F75C" w14:textId="77777777">
            <w:pPr>
              <w:jc w:val="right"/>
            </w:pPr>
            <w:r w:rsidRPr="004D52BC">
              <w:t> </w:t>
            </w:r>
          </w:p>
        </w:tc>
        <w:tc>
          <w:tcPr>
            <w:tcW w:w="1590" w:type="dxa"/>
            <w:tcBorders>
              <w:top w:val="nil"/>
              <w:left w:val="nil"/>
              <w:bottom w:val="single" w:sz="4" w:space="0" w:color="auto"/>
              <w:right w:val="single" w:sz="4" w:space="0" w:color="auto"/>
            </w:tcBorders>
            <w:shd w:val="clear" w:color="auto" w:fill="auto"/>
            <w:vAlign w:val="bottom"/>
            <w:hideMark/>
          </w:tcPr>
          <w:p w:rsidR="007D34E3" w:rsidRPr="004D52BC" w:rsidP="007D34E3" w14:paraId="63887B42" w14:textId="77777777">
            <w:pPr>
              <w:jc w:val="right"/>
            </w:pPr>
            <w:r w:rsidRPr="004D52BC">
              <w:t> </w:t>
            </w:r>
          </w:p>
        </w:tc>
        <w:tc>
          <w:tcPr>
            <w:tcW w:w="1634" w:type="dxa"/>
            <w:tcBorders>
              <w:top w:val="nil"/>
              <w:left w:val="nil"/>
              <w:bottom w:val="single" w:sz="4" w:space="0" w:color="auto"/>
              <w:right w:val="single" w:sz="4" w:space="0" w:color="auto"/>
            </w:tcBorders>
            <w:shd w:val="clear" w:color="auto" w:fill="auto"/>
            <w:vAlign w:val="bottom"/>
            <w:hideMark/>
          </w:tcPr>
          <w:p w:rsidR="007D34E3" w:rsidRPr="004D52BC" w:rsidP="007D34E3" w14:paraId="05ED86F8" w14:textId="2FFA8946">
            <w:pPr>
              <w:jc w:val="right"/>
            </w:pPr>
            <w:r>
              <w:t>0</w:t>
            </w:r>
          </w:p>
        </w:tc>
      </w:tr>
      <w:tr w14:paraId="084B6E91" w14:textId="77777777" w:rsidTr="001515ED">
        <w:tblPrEx>
          <w:tblW w:w="11460" w:type="dxa"/>
          <w:tblLook w:val="04A0"/>
        </w:tblPrEx>
        <w:trPr>
          <w:trHeight w:val="240"/>
        </w:trPr>
        <w:tc>
          <w:tcPr>
            <w:tcW w:w="823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12AE" w:rsidRPr="004D52BC" w:rsidP="008749C0" w14:paraId="6C1FFA72" w14:textId="4A950CAF">
            <w:r w:rsidRPr="004D52BC">
              <w:t>TOTAL ANNUALIZED COSTS (Annualized capital + O&amp;M costs)</w:t>
            </w:r>
            <w:r w:rsidRPr="004D52BC">
              <w:t> </w:t>
            </w:r>
          </w:p>
        </w:tc>
        <w:tc>
          <w:tcPr>
            <w:tcW w:w="1590" w:type="dxa"/>
            <w:tcBorders>
              <w:top w:val="nil"/>
              <w:left w:val="nil"/>
              <w:bottom w:val="single" w:sz="4" w:space="0" w:color="auto"/>
              <w:right w:val="single" w:sz="4" w:space="0" w:color="auto"/>
            </w:tcBorders>
            <w:shd w:val="clear" w:color="auto" w:fill="auto"/>
            <w:vAlign w:val="bottom"/>
            <w:hideMark/>
          </w:tcPr>
          <w:p w:rsidR="003312AE" w:rsidRPr="004D52BC" w:rsidP="003312AE" w14:paraId="21D7D81C" w14:textId="77777777">
            <w:pPr>
              <w:jc w:val="right"/>
            </w:pPr>
            <w:r w:rsidRPr="004D52BC">
              <w:t> </w:t>
            </w:r>
          </w:p>
        </w:tc>
        <w:tc>
          <w:tcPr>
            <w:tcW w:w="1634" w:type="dxa"/>
            <w:tcBorders>
              <w:top w:val="nil"/>
              <w:left w:val="nil"/>
              <w:bottom w:val="single" w:sz="4" w:space="0" w:color="auto"/>
              <w:right w:val="single" w:sz="4" w:space="0" w:color="auto"/>
            </w:tcBorders>
            <w:shd w:val="clear" w:color="auto" w:fill="auto"/>
            <w:vAlign w:val="bottom"/>
            <w:hideMark/>
          </w:tcPr>
          <w:p w:rsidR="003312AE" w:rsidRPr="004D52BC" w:rsidP="003312AE" w14:paraId="708A64D7" w14:textId="3D80DB53">
            <w:pPr>
              <w:jc w:val="right"/>
            </w:pPr>
            <w:r w:rsidRPr="008749C0">
              <w:t>$30,495</w:t>
            </w:r>
          </w:p>
        </w:tc>
      </w:tr>
      <w:tr w14:paraId="39B4CB06" w14:textId="77777777" w:rsidTr="008749C0">
        <w:tblPrEx>
          <w:tblW w:w="11460" w:type="dxa"/>
          <w:tblLook w:val="04A0"/>
        </w:tblPrEx>
        <w:trPr>
          <w:trHeight w:val="368"/>
        </w:trPr>
        <w:tc>
          <w:tcPr>
            <w:tcW w:w="823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12AE" w:rsidRPr="004D52BC" w:rsidP="008749C0" w14:paraId="5680930C" w14:textId="473F78C7">
            <w:r w:rsidRPr="004D52BC">
              <w:t>TOTAL COSTS (Labor, annualized capital, and O&amp;M)</w:t>
            </w:r>
            <w:r w:rsidRPr="004D52BC">
              <w:t> </w:t>
            </w:r>
          </w:p>
        </w:tc>
        <w:tc>
          <w:tcPr>
            <w:tcW w:w="1590" w:type="dxa"/>
            <w:tcBorders>
              <w:top w:val="nil"/>
              <w:left w:val="nil"/>
              <w:bottom w:val="single" w:sz="4" w:space="0" w:color="auto"/>
              <w:right w:val="single" w:sz="4" w:space="0" w:color="auto"/>
            </w:tcBorders>
            <w:shd w:val="clear" w:color="auto" w:fill="auto"/>
            <w:vAlign w:val="bottom"/>
            <w:hideMark/>
          </w:tcPr>
          <w:p w:rsidR="003312AE" w:rsidRPr="004D52BC" w:rsidP="003312AE" w14:paraId="1D96246E" w14:textId="77777777">
            <w:pPr>
              <w:jc w:val="right"/>
            </w:pPr>
            <w:r w:rsidRPr="004D52BC">
              <w:t> </w:t>
            </w:r>
          </w:p>
        </w:tc>
        <w:tc>
          <w:tcPr>
            <w:tcW w:w="1634" w:type="dxa"/>
            <w:tcBorders>
              <w:top w:val="nil"/>
              <w:left w:val="nil"/>
              <w:bottom w:val="single" w:sz="4" w:space="0" w:color="auto"/>
              <w:right w:val="single" w:sz="4" w:space="0" w:color="auto"/>
            </w:tcBorders>
            <w:shd w:val="clear" w:color="auto" w:fill="auto"/>
            <w:vAlign w:val="bottom"/>
            <w:hideMark/>
          </w:tcPr>
          <w:p w:rsidR="003312AE" w:rsidRPr="004D52BC" w:rsidP="003312AE" w14:paraId="2400471C" w14:textId="2371FE1D">
            <w:pPr>
              <w:jc w:val="right"/>
            </w:pPr>
            <w:r w:rsidRPr="008749C0">
              <w:t>$1,5</w:t>
            </w:r>
            <w:r w:rsidR="00323232">
              <w:t>71</w:t>
            </w:r>
            <w:r w:rsidRPr="008749C0">
              <w:t>,</w:t>
            </w:r>
            <w:r w:rsidR="00323232">
              <w:t>287</w:t>
            </w:r>
          </w:p>
        </w:tc>
      </w:tr>
    </w:tbl>
    <w:p w:rsidR="00D1272F" w:rsidRPr="004D52BC" w14:paraId="24AE454B" w14:textId="77777777"/>
    <w:p w:rsidR="00ED0486" w:rsidRPr="004D52BC" w14:paraId="27A46EFB" w14:textId="77777777"/>
    <w:p w:rsidR="00043488" w:rsidRPr="004D52BC" w14:paraId="373D9A37" w14:textId="77777777"/>
    <w:p w:rsidR="00043488" w:rsidRPr="004D52BC" w14:paraId="5415E609" w14:textId="77777777"/>
    <w:p w:rsidR="00043488" w:rsidRPr="004D52BC" w14:paraId="581B1AB1" w14:textId="77777777"/>
    <w:p w:rsidR="00043488" w:rsidRPr="004D52BC" w14:paraId="67D14CF6" w14:textId="77777777"/>
    <w:p w:rsidR="00043488" w:rsidRPr="004D52BC" w14:paraId="1CEC6554" w14:textId="77777777"/>
    <w:p w:rsidR="00043488" w:rsidRPr="004D52BC" w14:paraId="4EC5ED05" w14:textId="77777777"/>
    <w:p w:rsidR="00043488" w:rsidRPr="004D52BC" w14:paraId="3E2FDF98" w14:textId="77777777"/>
    <w:p w:rsidR="00562220" w:rsidRPr="004D52BC" w:rsidP="00562220" w14:paraId="155D3AB3" w14:textId="4640FF21">
      <w:pPr>
        <w:outlineLvl w:val="1"/>
        <w:rPr>
          <w:b/>
          <w:bCs/>
        </w:rPr>
      </w:pPr>
      <w:r w:rsidRPr="004D52BC">
        <w:rPr>
          <w:b/>
          <w:bCs/>
        </w:rPr>
        <w:t>Table 7. Part 99 Assumptions Used in Tables 1 through 6 of the Appendix</w:t>
      </w:r>
    </w:p>
    <w:tbl>
      <w:tblPr>
        <w:tblW w:w="9360" w:type="dxa"/>
        <w:tblLook w:val="04A0"/>
      </w:tblPr>
      <w:tblGrid>
        <w:gridCol w:w="9360"/>
      </w:tblGrid>
      <w:tr w14:paraId="105E389B" w14:textId="77777777" w:rsidTr="006B4894">
        <w:tblPrEx>
          <w:tblW w:w="9360" w:type="dxa"/>
          <w:tblLook w:val="04A0"/>
        </w:tblPrEx>
        <w:trPr>
          <w:trHeight w:val="255"/>
        </w:trPr>
        <w:tc>
          <w:tcPr>
            <w:tcW w:w="9360" w:type="dxa"/>
            <w:tcBorders>
              <w:top w:val="nil"/>
              <w:left w:val="nil"/>
              <w:bottom w:val="nil"/>
              <w:right w:val="nil"/>
            </w:tcBorders>
            <w:shd w:val="clear" w:color="auto" w:fill="auto"/>
            <w:noWrap/>
            <w:vAlign w:val="bottom"/>
            <w:hideMark/>
          </w:tcPr>
          <w:p w:rsidR="00821C8E" w:rsidRPr="004D52BC" w:rsidP="00C65581" w14:paraId="7F919DC3" w14:textId="23651F94">
            <w:pPr>
              <w:ind w:left="165" w:hanging="180"/>
            </w:pPr>
            <w:r w:rsidRPr="004D52BC">
              <w:t xml:space="preserve">a </w:t>
            </w:r>
            <w:r w:rsidRPr="004D52BC" w:rsidR="00ED0486">
              <w:t>Assuming 5 hours to read and understand part 99 and requirements for each WEC obligated party in initial year of compliance; assuming 2 hour in subsequent years.</w:t>
            </w:r>
            <w:r w:rsidRPr="004D52BC" w:rsidR="00ED0486">
              <w:tab/>
            </w:r>
          </w:p>
        </w:tc>
      </w:tr>
      <w:tr w14:paraId="6279F58B" w14:textId="77777777" w:rsidTr="006B4894">
        <w:tblPrEx>
          <w:tblW w:w="9360" w:type="dxa"/>
          <w:tblLook w:val="04A0"/>
        </w:tblPrEx>
        <w:trPr>
          <w:trHeight w:val="255"/>
        </w:trPr>
        <w:tc>
          <w:tcPr>
            <w:tcW w:w="9360" w:type="dxa"/>
            <w:tcBorders>
              <w:top w:val="nil"/>
              <w:left w:val="nil"/>
              <w:bottom w:val="nil"/>
              <w:right w:val="nil"/>
            </w:tcBorders>
            <w:shd w:val="clear" w:color="auto" w:fill="auto"/>
            <w:noWrap/>
            <w:vAlign w:val="bottom"/>
          </w:tcPr>
          <w:p w:rsidR="00821C8E" w:rsidRPr="004D52BC" w:rsidP="00C65581" w14:paraId="6F5D1EF8" w14:textId="06B93764">
            <w:pPr>
              <w:ind w:left="165" w:hanging="180"/>
            </w:pPr>
            <w:r w:rsidRPr="004D52BC">
              <w:t>b Assuming that every hour of engineer work involves 0.10 hours from a Middle Manager for review; exceptions are specifically noted.</w:t>
            </w:r>
          </w:p>
        </w:tc>
      </w:tr>
      <w:tr w14:paraId="71ED8EBE" w14:textId="77777777" w:rsidTr="006B4894">
        <w:tblPrEx>
          <w:tblW w:w="9360" w:type="dxa"/>
          <w:tblLook w:val="04A0"/>
        </w:tblPrEx>
        <w:trPr>
          <w:trHeight w:val="305"/>
        </w:trPr>
        <w:tc>
          <w:tcPr>
            <w:tcW w:w="9360" w:type="dxa"/>
            <w:tcBorders>
              <w:top w:val="nil"/>
              <w:left w:val="nil"/>
              <w:bottom w:val="nil"/>
              <w:right w:val="nil"/>
            </w:tcBorders>
            <w:shd w:val="clear" w:color="auto" w:fill="auto"/>
            <w:noWrap/>
            <w:vAlign w:val="bottom"/>
          </w:tcPr>
          <w:p w:rsidR="00821C8E" w:rsidRPr="004D52BC" w:rsidP="00C65581" w14:paraId="7F301048" w14:textId="52F94C2F">
            <w:pPr>
              <w:ind w:left="165" w:hanging="180"/>
            </w:pPr>
            <w:r w:rsidRPr="004D52BC">
              <w:t>c Assuming that every hour of engineer work involves 0.05 hours from a Senior Manager for review; exceptions are specifically noted.</w:t>
            </w:r>
          </w:p>
        </w:tc>
      </w:tr>
      <w:tr w14:paraId="665A8E21" w14:textId="77777777" w:rsidTr="006B4894">
        <w:tblPrEx>
          <w:tblW w:w="9360" w:type="dxa"/>
          <w:tblLook w:val="04A0"/>
        </w:tblPrEx>
        <w:trPr>
          <w:trHeight w:val="255"/>
        </w:trPr>
        <w:tc>
          <w:tcPr>
            <w:tcW w:w="9360" w:type="dxa"/>
            <w:tcBorders>
              <w:top w:val="nil"/>
              <w:left w:val="nil"/>
              <w:bottom w:val="nil"/>
              <w:right w:val="nil"/>
            </w:tcBorders>
            <w:shd w:val="clear" w:color="auto" w:fill="auto"/>
            <w:noWrap/>
            <w:vAlign w:val="bottom"/>
          </w:tcPr>
          <w:p w:rsidR="00821C8E" w:rsidRPr="004D52BC" w:rsidP="00C65581" w14:paraId="418A0124" w14:textId="7F40688C">
            <w:pPr>
              <w:ind w:left="165" w:hanging="180"/>
            </w:pPr>
            <w:r w:rsidRPr="004D52BC">
              <w:t>d Assuming 1 hour to complete Subpart B calculations for each WEC applicable facility and WEC obligated party.</w:t>
            </w:r>
          </w:p>
        </w:tc>
      </w:tr>
      <w:tr w14:paraId="40CE5B81" w14:textId="77777777" w:rsidTr="006B4894">
        <w:tblPrEx>
          <w:tblW w:w="9360" w:type="dxa"/>
          <w:tblLook w:val="04A0"/>
        </w:tblPrEx>
        <w:trPr>
          <w:trHeight w:val="255"/>
        </w:trPr>
        <w:tc>
          <w:tcPr>
            <w:tcW w:w="9360" w:type="dxa"/>
            <w:tcBorders>
              <w:top w:val="nil"/>
              <w:left w:val="nil"/>
              <w:bottom w:val="nil"/>
              <w:right w:val="nil"/>
            </w:tcBorders>
            <w:shd w:val="clear" w:color="auto" w:fill="auto"/>
            <w:noWrap/>
            <w:vAlign w:val="bottom"/>
          </w:tcPr>
          <w:p w:rsidR="00821C8E" w:rsidRPr="004D52BC" w:rsidP="00C65581" w14:paraId="3B0B6FD7" w14:textId="0C9782FA">
            <w:pPr>
              <w:ind w:left="165" w:hanging="180"/>
            </w:pPr>
            <w:r w:rsidRPr="004D52BC">
              <w:t xml:space="preserve">e Assuming </w:t>
            </w:r>
            <w:r w:rsidR="00B92A6A">
              <w:t>2</w:t>
            </w:r>
            <w:r w:rsidRPr="004D52BC">
              <w:t xml:space="preserve"> hours per WEC applicable facility and WEC obligated party to complete annual WEC reporting; not including time to complete exemption filings (calculated separately).</w:t>
            </w:r>
          </w:p>
        </w:tc>
      </w:tr>
      <w:tr w14:paraId="5C4E5AA8" w14:textId="77777777" w:rsidTr="006B4894">
        <w:tblPrEx>
          <w:tblW w:w="9360" w:type="dxa"/>
          <w:tblLook w:val="04A0"/>
        </w:tblPrEx>
        <w:trPr>
          <w:trHeight w:val="255"/>
        </w:trPr>
        <w:tc>
          <w:tcPr>
            <w:tcW w:w="9360" w:type="dxa"/>
            <w:tcBorders>
              <w:top w:val="nil"/>
              <w:left w:val="nil"/>
              <w:bottom w:val="nil"/>
              <w:right w:val="nil"/>
            </w:tcBorders>
            <w:shd w:val="clear" w:color="auto" w:fill="auto"/>
            <w:noWrap/>
            <w:vAlign w:val="bottom"/>
          </w:tcPr>
          <w:p w:rsidR="00821C8E" w:rsidRPr="004D52BC" w:rsidP="00C65581" w14:paraId="479939E1" w14:textId="1DDF366E">
            <w:pPr>
              <w:ind w:left="165" w:hanging="180"/>
            </w:pPr>
            <w:r w:rsidRPr="004D52BC">
              <w:t xml:space="preserve">f Assuming </w:t>
            </w:r>
            <w:r w:rsidR="00B92A6A">
              <w:t>4</w:t>
            </w:r>
            <w:r w:rsidRPr="004D52BC">
              <w:t xml:space="preserve"> hours per WEC applicable facility to complete regulatory compliance exemption filing (not anticipated to be required within 3-year period of this ICR).</w:t>
            </w:r>
          </w:p>
        </w:tc>
      </w:tr>
      <w:tr w14:paraId="178815C7" w14:textId="77777777" w:rsidTr="006B4894">
        <w:tblPrEx>
          <w:tblW w:w="9360" w:type="dxa"/>
          <w:tblLook w:val="04A0"/>
        </w:tblPrEx>
        <w:trPr>
          <w:trHeight w:val="255"/>
        </w:trPr>
        <w:tc>
          <w:tcPr>
            <w:tcW w:w="9360" w:type="dxa"/>
            <w:tcBorders>
              <w:top w:val="nil"/>
              <w:left w:val="nil"/>
              <w:bottom w:val="nil"/>
              <w:right w:val="nil"/>
            </w:tcBorders>
            <w:shd w:val="clear" w:color="auto" w:fill="auto"/>
            <w:noWrap/>
            <w:vAlign w:val="bottom"/>
          </w:tcPr>
          <w:p w:rsidR="00821C8E" w:rsidRPr="004D52BC" w:rsidP="00C65581" w14:paraId="44F8CAC7" w14:textId="17C78152">
            <w:pPr>
              <w:ind w:left="165" w:hanging="180"/>
            </w:pPr>
            <w:r w:rsidRPr="004D52BC">
              <w:t>g Assuming 10 hours per WEC applicable facility to complete unreasonable delay exemption filing.</w:t>
            </w:r>
          </w:p>
        </w:tc>
      </w:tr>
      <w:tr w14:paraId="6782F06A" w14:textId="77777777" w:rsidTr="006B4894">
        <w:tblPrEx>
          <w:tblW w:w="9360" w:type="dxa"/>
          <w:tblLook w:val="04A0"/>
        </w:tblPrEx>
        <w:trPr>
          <w:trHeight w:val="255"/>
        </w:trPr>
        <w:tc>
          <w:tcPr>
            <w:tcW w:w="9360" w:type="dxa"/>
            <w:tcBorders>
              <w:top w:val="nil"/>
              <w:left w:val="nil"/>
              <w:bottom w:val="nil"/>
              <w:right w:val="nil"/>
            </w:tcBorders>
            <w:shd w:val="clear" w:color="auto" w:fill="auto"/>
            <w:noWrap/>
            <w:vAlign w:val="bottom"/>
          </w:tcPr>
          <w:p w:rsidR="00821C8E" w:rsidRPr="004D52BC" w:rsidP="00C65581" w14:paraId="5AB832D5" w14:textId="34FFF1A2">
            <w:pPr>
              <w:ind w:left="165" w:hanging="180"/>
            </w:pPr>
            <w:r w:rsidRPr="004D52BC">
              <w:t xml:space="preserve">h Assuming </w:t>
            </w:r>
            <w:r w:rsidR="00B92A6A">
              <w:t>6</w:t>
            </w:r>
            <w:r w:rsidRPr="004D52BC">
              <w:t xml:space="preserve"> hours per WEC applicable facility to complete regulatory compliance exemption filing.</w:t>
            </w:r>
          </w:p>
        </w:tc>
      </w:tr>
      <w:tr w14:paraId="0F31C71B" w14:textId="77777777" w:rsidTr="00C95E20">
        <w:tblPrEx>
          <w:tblW w:w="9360" w:type="dxa"/>
          <w:tblLook w:val="04A0"/>
        </w:tblPrEx>
        <w:trPr>
          <w:trHeight w:val="255"/>
        </w:trPr>
        <w:tc>
          <w:tcPr>
            <w:tcW w:w="9360" w:type="dxa"/>
            <w:tcBorders>
              <w:top w:val="nil"/>
              <w:left w:val="nil"/>
              <w:bottom w:val="nil"/>
              <w:right w:val="nil"/>
            </w:tcBorders>
            <w:shd w:val="clear" w:color="auto" w:fill="auto"/>
            <w:noWrap/>
          </w:tcPr>
          <w:p w:rsidR="007451FD" w:rsidRPr="004D52BC" w:rsidP="00C65581" w14:paraId="242A8B61" w14:textId="34166B4F">
            <w:pPr>
              <w:ind w:left="165" w:hanging="180"/>
            </w:pPr>
            <w:r w:rsidRPr="008D5227">
              <w:t>i  Assuming 3 minutes per additional reported data element</w:t>
            </w:r>
          </w:p>
        </w:tc>
      </w:tr>
      <w:tr w14:paraId="15CEE9F1" w14:textId="77777777" w:rsidTr="00C95E20">
        <w:tblPrEx>
          <w:tblW w:w="9360" w:type="dxa"/>
          <w:tblLook w:val="04A0"/>
        </w:tblPrEx>
        <w:trPr>
          <w:trHeight w:val="255"/>
        </w:trPr>
        <w:tc>
          <w:tcPr>
            <w:tcW w:w="9360" w:type="dxa"/>
            <w:tcBorders>
              <w:top w:val="nil"/>
              <w:left w:val="nil"/>
              <w:bottom w:val="nil"/>
              <w:right w:val="nil"/>
            </w:tcBorders>
            <w:shd w:val="clear" w:color="auto" w:fill="auto"/>
            <w:noWrap/>
          </w:tcPr>
          <w:p w:rsidR="007451FD" w:rsidRPr="004D52BC" w:rsidP="00C65581" w14:paraId="03B01980" w14:textId="643A19A8">
            <w:pPr>
              <w:ind w:left="165" w:hanging="180"/>
            </w:pPr>
            <w:r w:rsidRPr="008D5227">
              <w:t>j  Assuming 2 hours per WEC obligated party for recordkeeping activities.</w:t>
            </w:r>
          </w:p>
        </w:tc>
      </w:tr>
      <w:tr w14:paraId="7455102F" w14:textId="77777777" w:rsidTr="00C95E20">
        <w:tblPrEx>
          <w:tblW w:w="9360" w:type="dxa"/>
          <w:tblLook w:val="04A0"/>
        </w:tblPrEx>
        <w:trPr>
          <w:trHeight w:val="255"/>
        </w:trPr>
        <w:tc>
          <w:tcPr>
            <w:tcW w:w="9360" w:type="dxa"/>
            <w:tcBorders>
              <w:top w:val="nil"/>
              <w:left w:val="nil"/>
              <w:bottom w:val="nil"/>
              <w:right w:val="nil"/>
            </w:tcBorders>
            <w:shd w:val="clear" w:color="auto" w:fill="auto"/>
            <w:noWrap/>
          </w:tcPr>
          <w:p w:rsidR="007451FD" w:rsidRPr="004D52BC" w:rsidP="00C65581" w14:paraId="3DF17CFF" w14:textId="3DD31331">
            <w:pPr>
              <w:ind w:left="165" w:hanging="180"/>
            </w:pPr>
            <w:r w:rsidRPr="008D5227">
              <w:t>k Assuming that audits will occur at 5% of WEC applicable facilities each year, requiring 8 hours each from engineer, middle manager, senior manager, and company lawyer.</w:t>
            </w:r>
          </w:p>
        </w:tc>
      </w:tr>
      <w:tr w14:paraId="55922A8C" w14:textId="77777777" w:rsidTr="00C95E20">
        <w:tblPrEx>
          <w:tblW w:w="9360" w:type="dxa"/>
          <w:tblLook w:val="04A0"/>
        </w:tblPrEx>
        <w:trPr>
          <w:trHeight w:val="255"/>
        </w:trPr>
        <w:tc>
          <w:tcPr>
            <w:tcW w:w="9360" w:type="dxa"/>
            <w:tcBorders>
              <w:top w:val="nil"/>
              <w:left w:val="nil"/>
              <w:bottom w:val="nil"/>
              <w:right w:val="nil"/>
            </w:tcBorders>
            <w:shd w:val="clear" w:color="auto" w:fill="auto"/>
            <w:noWrap/>
          </w:tcPr>
          <w:p w:rsidR="007451FD" w:rsidRPr="004D52BC" w:rsidP="00C65581" w14:paraId="3628C81F" w14:textId="2641CED6">
            <w:pPr>
              <w:ind w:left="165" w:hanging="180"/>
            </w:pPr>
            <w:r w:rsidRPr="008D5227">
              <w:t xml:space="preserve">l </w:t>
            </w:r>
            <w:r w:rsidR="00631FAB">
              <w:t xml:space="preserve"> </w:t>
            </w:r>
            <w:r w:rsidRPr="008D5227">
              <w:t>Assuming that annualized capital costs for recordkeeping include the cost of a 4-drawer vertical file cabinet for storing records, an external hard drive for storing electronic data, and cloud storage; at $57 per reporter per year.</w:t>
            </w:r>
          </w:p>
        </w:tc>
      </w:tr>
    </w:tbl>
    <w:p w:rsidR="00F6210B" w:rsidRPr="004D52BC" w:rsidP="00C65581" w14:paraId="0430328A" w14:textId="77777777">
      <w:pPr>
        <w:ind w:left="360" w:hanging="360"/>
      </w:pPr>
    </w:p>
    <w:sectPr w:rsidSect="00A27065">
      <w:headerReference w:type="default" r:id="rId11"/>
      <w:pgSz w:w="15840" w:h="12240" w:orient="landscape"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05D" w14:paraId="777CCB3C" w14:textId="77777777">
    <w:pPr>
      <w:framePr w:wrap="notBeside" w:hAnchor="text" w:xAlign="center"/>
    </w:pPr>
    <w:r>
      <w:fldChar w:fldCharType="begin"/>
    </w:r>
    <w:r>
      <w:instrText xml:space="preserve"> PAGE  </w:instrText>
    </w:r>
    <w:r>
      <w:fldChar w:fldCharType="separate"/>
    </w:r>
    <w:r>
      <w:rPr>
        <w:noProof/>
      </w:rPr>
      <w:t>2</w:t>
    </w:r>
    <w:r>
      <w:fldChar w:fldCharType="end"/>
    </w:r>
  </w:p>
  <w:p w:rsidR="00CA005D" w14:paraId="098DA43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3461" w:rsidRPr="00A42F25" w14:paraId="3A09EC59" w14:textId="77777777">
      <w:pPr>
        <w:rPr>
          <w:sz w:val="23"/>
          <w:szCs w:val="23"/>
        </w:rPr>
      </w:pPr>
      <w:r w:rsidRPr="00A42F25">
        <w:rPr>
          <w:sz w:val="23"/>
          <w:szCs w:val="23"/>
        </w:rPr>
        <w:separator/>
      </w:r>
    </w:p>
  </w:footnote>
  <w:footnote w:type="continuationSeparator" w:id="1">
    <w:p w:rsidR="00963461" w:rsidRPr="00A42F25" w14:paraId="4CBAC851" w14:textId="77777777">
      <w:pPr>
        <w:rPr>
          <w:sz w:val="23"/>
          <w:szCs w:val="23"/>
        </w:rPr>
      </w:pPr>
      <w:r w:rsidRPr="00A42F25">
        <w:rPr>
          <w:sz w:val="23"/>
          <w:szCs w:val="23"/>
        </w:rPr>
        <w:continuationSeparator/>
      </w:r>
    </w:p>
  </w:footnote>
  <w:footnote w:type="continuationNotice" w:id="2">
    <w:p w:rsidR="00963461" w14:paraId="03C0421F" w14:textId="77777777"/>
  </w:footnote>
  <w:footnote w:id="3">
    <w:p w:rsidR="00F91AF5" w:rsidRPr="00B340C0" w:rsidP="00F91AF5" w14:paraId="5B5D43B2" w14:textId="6444B604">
      <w:pPr>
        <w:pStyle w:val="FootnoteText"/>
        <w:rPr>
          <w:rFonts w:asciiTheme="majorBidi" w:hAnsiTheme="majorBidi" w:cstheme="majorBidi"/>
        </w:rPr>
      </w:pPr>
      <w:r w:rsidRPr="00B340C0">
        <w:rPr>
          <w:rStyle w:val="FootnoteReference"/>
          <w:rFonts w:asciiTheme="majorBidi" w:hAnsiTheme="majorBidi" w:cstheme="majorBidi"/>
        </w:rPr>
        <w:footnoteRef/>
      </w:r>
      <w:r w:rsidRPr="00B340C0">
        <w:rPr>
          <w:rFonts w:asciiTheme="majorBidi" w:hAnsiTheme="majorBidi" w:cstheme="majorBidi"/>
        </w:rPr>
        <w:t xml:space="preserve"> </w:t>
      </w:r>
      <w:r w:rsidRPr="006F564C">
        <w:rPr>
          <w:rFonts w:asciiTheme="majorBidi" w:hAnsiTheme="majorBidi" w:cstheme="majorBidi"/>
        </w:rPr>
        <w:t>https://www.opm.gov/policy-data-oversight/pay-leave/salaries-wages/</w:t>
      </w:r>
      <w:r w:rsidRPr="006F564C" w:rsidR="00D2504B">
        <w:rPr>
          <w:rFonts w:asciiTheme="majorBidi" w:hAnsiTheme="majorBidi" w:cstheme="majorBidi"/>
        </w:rPr>
        <w:t>202</w:t>
      </w:r>
      <w:r w:rsidR="00D2504B">
        <w:rPr>
          <w:rFonts w:asciiTheme="majorBidi" w:hAnsiTheme="majorBidi" w:cstheme="majorBidi"/>
        </w:rPr>
        <w:t>4</w:t>
      </w:r>
      <w:r w:rsidRPr="006F564C">
        <w:rPr>
          <w:rFonts w:asciiTheme="majorBidi" w:hAnsiTheme="majorBidi" w:cstheme="majorBidi"/>
        </w:rPr>
        <w:t>/general-schedule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48E" w:rsidP="00AF16F7" w14:paraId="032C29B9" w14:textId="77777777">
    <w:pPr>
      <w:rPr>
        <w:b/>
      </w:rPr>
    </w:pPr>
  </w:p>
  <w:p w:rsidR="0036048E" w14:paraId="50494D43" w14:textId="77777777">
    <w:pPr>
      <w:pStyle w:val="Header"/>
      <w:rPr>
        <w:b/>
        <w:sz w:val="22"/>
        <w:szCs w:val="20"/>
      </w:rPr>
    </w:pPr>
  </w:p>
  <w:p w:rsidR="0036048E" w14:paraId="2725DFE1" w14:textId="77777777">
    <w:pPr>
      <w:pStyle w:val="Header"/>
      <w:rPr>
        <w:b/>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76AB888"/>
    <w:lvl w:ilvl="0">
      <w:start w:val="1"/>
      <w:numFmt w:val="decimal"/>
      <w:pStyle w:val="ListNumber2"/>
      <w:lvlText w:val="%1."/>
      <w:lvlJc w:val="left"/>
      <w:pPr>
        <w:tabs>
          <w:tab w:val="num" w:pos="720"/>
        </w:tabs>
        <w:ind w:left="720" w:hanging="360"/>
      </w:pPr>
    </w:lvl>
  </w:abstractNum>
  <w:abstractNum w:abstractNumId="1">
    <w:nsid w:val="04BE257C"/>
    <w:multiLevelType w:val="hybridMultilevel"/>
    <w:tmpl w:val="7AEE74D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662B57"/>
    <w:multiLevelType w:val="hybridMultilevel"/>
    <w:tmpl w:val="7C9273F6"/>
    <w:lvl w:ilvl="0">
      <w:start w:val="1"/>
      <w:numFmt w:val="bullet"/>
      <w:pStyle w:val="Bullet-GHGPreamble"/>
      <w:lvlText w:val=""/>
      <w:lvlJc w:val="left"/>
      <w:pPr>
        <w:tabs>
          <w:tab w:val="num" w:pos="720"/>
        </w:tabs>
        <w:ind w:left="720" w:hanging="720"/>
      </w:pPr>
      <w:rPr>
        <w:rFonts w:ascii="WP MathA" w:hAnsi="WP MathA" w:hint="default"/>
        <w:sz w:val="24"/>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
    <w:nsid w:val="18856A84"/>
    <w:multiLevelType w:val="hybridMultilevel"/>
    <w:tmpl w:val="41E8DD42"/>
    <w:lvl w:ilvl="0">
      <w:start w:val="1"/>
      <w:numFmt w:val="bullet"/>
      <w:pStyle w:val="bullets-3rdlevel"/>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Helv"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Helv"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Helv"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1F7462F5"/>
    <w:multiLevelType w:val="hybridMultilevel"/>
    <w:tmpl w:val="B8840E48"/>
    <w:lvl w:ilvl="0">
      <w:start w:val="1"/>
      <w:numFmt w:val="bullet"/>
      <w:pStyle w:val="Bullet-GHGPreamblelast"/>
      <w:lvlText w:val=""/>
      <w:lvlJc w:val="left"/>
      <w:pPr>
        <w:ind w:left="720" w:hanging="360"/>
      </w:pPr>
      <w:rPr>
        <w:rFonts w:ascii="Symbol" w:hAnsi="Symbol" w:hint="default"/>
        <w:b w:val="0"/>
        <w:i w:val="0"/>
        <w:caps w:val="0"/>
        <w:strike w:val="0"/>
        <w:dstrike w:val="0"/>
        <w:vanish w:val="0"/>
        <w:color w:val="auto"/>
        <w:spacing w:val="52"/>
        <w:w w:val="100"/>
        <w:kern w:val="0"/>
        <w:position w:val="0"/>
        <w:sz w:val="24"/>
        <w:u w:val="none"/>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8526271"/>
    <w:multiLevelType w:val="hybridMultilevel"/>
    <w:tmpl w:val="1182FDC0"/>
    <w:lvl w:ilvl="0">
      <w:start w:val="1"/>
      <w:numFmt w:val="bullet"/>
      <w:pStyle w:val="Bullet-GHGPreamble2"/>
      <w:lvlText w:val="o"/>
      <w:lvlJc w:val="left"/>
      <w:pPr>
        <w:ind w:left="180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3CF003DA"/>
    <w:multiLevelType w:val="hybridMultilevel"/>
    <w:tmpl w:val="454621B6"/>
    <w:lvl w:ilvl="0">
      <w:start w:val="1"/>
      <w:numFmt w:val="bullet"/>
      <w:pStyle w:val="GHGPreamble-level4"/>
      <w:lvlText w:val=""/>
      <w:lvlJc w:val="left"/>
      <w:pPr>
        <w:tabs>
          <w:tab w:val="num" w:pos="360"/>
        </w:tabs>
        <w:ind w:left="360" w:hanging="360"/>
      </w:pPr>
      <w:rPr>
        <w:rFonts w:ascii="WP MathA" w:hAnsi="WP MathA"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pStyle w:val="GHGPreamble-level4"/>
      <w:lvlText w:val="%6."/>
      <w:lvlJc w:val="right"/>
      <w:pPr>
        <w:tabs>
          <w:tab w:val="num" w:pos="3240"/>
        </w:tabs>
        <w:ind w:left="3240" w:hanging="180"/>
      </w:pPr>
    </w:lvl>
    <w:lvl w:ilvl="6">
      <w:start w:val="1"/>
      <w:numFmt w:val="bullet"/>
      <w:lvlText w:val=""/>
      <w:lvlJc w:val="left"/>
      <w:pPr>
        <w:tabs>
          <w:tab w:val="num" w:pos="3960"/>
        </w:tabs>
        <w:ind w:left="3960" w:hanging="360"/>
      </w:pPr>
      <w:rPr>
        <w:rFonts w:ascii="Symbol" w:hAnsi="Symbol" w:hint="default"/>
      </w:r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9">
    <w:nsid w:val="4BFA0529"/>
    <w:multiLevelType w:val="hybridMultilevel"/>
    <w:tmpl w:val="572C9B60"/>
    <w:lvl w:ilvl="0">
      <w:start w:val="1"/>
      <w:numFmt w:val="decimal"/>
      <w:pStyle w:val="Heading20"/>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1">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1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729455F4"/>
    <w:multiLevelType w:val="hybridMultilevel"/>
    <w:tmpl w:val="4CEEA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A800EE"/>
    <w:multiLevelType w:val="hybridMultilevel"/>
    <w:tmpl w:val="F2682084"/>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6207916">
    <w:abstractNumId w:val="6"/>
  </w:num>
  <w:num w:numId="2" w16cid:durableId="2009824976">
    <w:abstractNumId w:val="11"/>
  </w:num>
  <w:num w:numId="3" w16cid:durableId="1301424098">
    <w:abstractNumId w:val="2"/>
  </w:num>
  <w:num w:numId="4" w16cid:durableId="196427864">
    <w:abstractNumId w:val="8"/>
  </w:num>
  <w:num w:numId="5" w16cid:durableId="342175176">
    <w:abstractNumId w:val="13"/>
  </w:num>
  <w:num w:numId="6" w16cid:durableId="1423725473">
    <w:abstractNumId w:val="10"/>
  </w:num>
  <w:num w:numId="7" w16cid:durableId="1448696570">
    <w:abstractNumId w:val="3"/>
  </w:num>
  <w:num w:numId="8" w16cid:durableId="565455465">
    <w:abstractNumId w:val="4"/>
  </w:num>
  <w:num w:numId="9" w16cid:durableId="1650938535">
    <w:abstractNumId w:val="1"/>
  </w:num>
  <w:num w:numId="10" w16cid:durableId="773552344">
    <w:abstractNumId w:val="7"/>
  </w:num>
  <w:num w:numId="11" w16cid:durableId="573125818">
    <w:abstractNumId w:val="14"/>
  </w:num>
  <w:num w:numId="12" w16cid:durableId="239490726">
    <w:abstractNumId w:val="5"/>
  </w:num>
  <w:num w:numId="13" w16cid:durableId="258569098">
    <w:abstractNumId w:val="9"/>
  </w:num>
  <w:num w:numId="14" w16cid:durableId="1015961391">
    <w:abstractNumId w:val="12"/>
  </w:num>
  <w:num w:numId="15" w16cid:durableId="2037919757">
    <w:abstractNumId w:val="0"/>
  </w:num>
  <w:num w:numId="16" w16cid:durableId="196183576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94"/>
    <w:rsid w:val="00000B7D"/>
    <w:rsid w:val="0000135D"/>
    <w:rsid w:val="00001D98"/>
    <w:rsid w:val="00002C03"/>
    <w:rsid w:val="000034B4"/>
    <w:rsid w:val="00003A5C"/>
    <w:rsid w:val="00003F06"/>
    <w:rsid w:val="00004AA4"/>
    <w:rsid w:val="00005125"/>
    <w:rsid w:val="0000591E"/>
    <w:rsid w:val="00005CF3"/>
    <w:rsid w:val="00005EB7"/>
    <w:rsid w:val="00006050"/>
    <w:rsid w:val="00006304"/>
    <w:rsid w:val="000067C8"/>
    <w:rsid w:val="00006C55"/>
    <w:rsid w:val="000074A5"/>
    <w:rsid w:val="00007B66"/>
    <w:rsid w:val="00007D64"/>
    <w:rsid w:val="00010247"/>
    <w:rsid w:val="00010391"/>
    <w:rsid w:val="000108B8"/>
    <w:rsid w:val="00010AAB"/>
    <w:rsid w:val="00010BF2"/>
    <w:rsid w:val="00010EC6"/>
    <w:rsid w:val="00011417"/>
    <w:rsid w:val="00011608"/>
    <w:rsid w:val="00011758"/>
    <w:rsid w:val="00011872"/>
    <w:rsid w:val="000120E4"/>
    <w:rsid w:val="00012240"/>
    <w:rsid w:val="00012819"/>
    <w:rsid w:val="00012866"/>
    <w:rsid w:val="000129C0"/>
    <w:rsid w:val="00012AAA"/>
    <w:rsid w:val="00012D1F"/>
    <w:rsid w:val="00012E52"/>
    <w:rsid w:val="000133F6"/>
    <w:rsid w:val="000134F1"/>
    <w:rsid w:val="0001354B"/>
    <w:rsid w:val="00013BD0"/>
    <w:rsid w:val="000145F2"/>
    <w:rsid w:val="0001563F"/>
    <w:rsid w:val="00015921"/>
    <w:rsid w:val="00015CC7"/>
    <w:rsid w:val="00015E86"/>
    <w:rsid w:val="0001609E"/>
    <w:rsid w:val="00016976"/>
    <w:rsid w:val="000169C7"/>
    <w:rsid w:val="00016E59"/>
    <w:rsid w:val="000170F7"/>
    <w:rsid w:val="00017383"/>
    <w:rsid w:val="00017BE4"/>
    <w:rsid w:val="00017C2E"/>
    <w:rsid w:val="00020F19"/>
    <w:rsid w:val="00021369"/>
    <w:rsid w:val="00021664"/>
    <w:rsid w:val="000216D5"/>
    <w:rsid w:val="0002175B"/>
    <w:rsid w:val="00021C43"/>
    <w:rsid w:val="00022691"/>
    <w:rsid w:val="00023C49"/>
    <w:rsid w:val="00023EB8"/>
    <w:rsid w:val="0002436E"/>
    <w:rsid w:val="00024667"/>
    <w:rsid w:val="00024AF5"/>
    <w:rsid w:val="000257AB"/>
    <w:rsid w:val="000259C6"/>
    <w:rsid w:val="00025D57"/>
    <w:rsid w:val="000263D8"/>
    <w:rsid w:val="00027091"/>
    <w:rsid w:val="000270B4"/>
    <w:rsid w:val="00027396"/>
    <w:rsid w:val="00027397"/>
    <w:rsid w:val="00027F70"/>
    <w:rsid w:val="00030419"/>
    <w:rsid w:val="00030ABC"/>
    <w:rsid w:val="00031279"/>
    <w:rsid w:val="00031417"/>
    <w:rsid w:val="00031D7C"/>
    <w:rsid w:val="0003213E"/>
    <w:rsid w:val="00033898"/>
    <w:rsid w:val="00033D68"/>
    <w:rsid w:val="000341BA"/>
    <w:rsid w:val="00034259"/>
    <w:rsid w:val="0003433C"/>
    <w:rsid w:val="00034517"/>
    <w:rsid w:val="00034784"/>
    <w:rsid w:val="00035007"/>
    <w:rsid w:val="00035226"/>
    <w:rsid w:val="000355D7"/>
    <w:rsid w:val="00035CD2"/>
    <w:rsid w:val="00035D96"/>
    <w:rsid w:val="00035EEE"/>
    <w:rsid w:val="00036368"/>
    <w:rsid w:val="00036D3E"/>
    <w:rsid w:val="000370E8"/>
    <w:rsid w:val="00037432"/>
    <w:rsid w:val="000374D9"/>
    <w:rsid w:val="0003779D"/>
    <w:rsid w:val="00040383"/>
    <w:rsid w:val="00040564"/>
    <w:rsid w:val="00040C3E"/>
    <w:rsid w:val="00040E90"/>
    <w:rsid w:val="00041B70"/>
    <w:rsid w:val="00042211"/>
    <w:rsid w:val="0004277F"/>
    <w:rsid w:val="00042C73"/>
    <w:rsid w:val="00042E32"/>
    <w:rsid w:val="00043488"/>
    <w:rsid w:val="00043A2C"/>
    <w:rsid w:val="0004449C"/>
    <w:rsid w:val="0004461C"/>
    <w:rsid w:val="00044A07"/>
    <w:rsid w:val="00044EC1"/>
    <w:rsid w:val="00044F87"/>
    <w:rsid w:val="00045714"/>
    <w:rsid w:val="00046124"/>
    <w:rsid w:val="00046165"/>
    <w:rsid w:val="0004737A"/>
    <w:rsid w:val="000476A6"/>
    <w:rsid w:val="00047A9E"/>
    <w:rsid w:val="00047CD4"/>
    <w:rsid w:val="00047D2E"/>
    <w:rsid w:val="00050261"/>
    <w:rsid w:val="00050348"/>
    <w:rsid w:val="000508AF"/>
    <w:rsid w:val="00050986"/>
    <w:rsid w:val="00050B1B"/>
    <w:rsid w:val="0005119B"/>
    <w:rsid w:val="000512AE"/>
    <w:rsid w:val="00051B92"/>
    <w:rsid w:val="00052261"/>
    <w:rsid w:val="00052BF5"/>
    <w:rsid w:val="00052F54"/>
    <w:rsid w:val="00053470"/>
    <w:rsid w:val="0005369C"/>
    <w:rsid w:val="00053711"/>
    <w:rsid w:val="00053D9E"/>
    <w:rsid w:val="00054496"/>
    <w:rsid w:val="00054FAA"/>
    <w:rsid w:val="00056D06"/>
    <w:rsid w:val="00056F3D"/>
    <w:rsid w:val="000574AA"/>
    <w:rsid w:val="000574BC"/>
    <w:rsid w:val="000574DD"/>
    <w:rsid w:val="00057540"/>
    <w:rsid w:val="00057AFD"/>
    <w:rsid w:val="00057D0D"/>
    <w:rsid w:val="00060046"/>
    <w:rsid w:val="00060537"/>
    <w:rsid w:val="000605EE"/>
    <w:rsid w:val="0006103F"/>
    <w:rsid w:val="000611DF"/>
    <w:rsid w:val="0006159B"/>
    <w:rsid w:val="000618D2"/>
    <w:rsid w:val="00061C30"/>
    <w:rsid w:val="00062186"/>
    <w:rsid w:val="00062408"/>
    <w:rsid w:val="00062832"/>
    <w:rsid w:val="00062A8E"/>
    <w:rsid w:val="00062ED0"/>
    <w:rsid w:val="00063223"/>
    <w:rsid w:val="00063D67"/>
    <w:rsid w:val="00063F66"/>
    <w:rsid w:val="000643CD"/>
    <w:rsid w:val="000644A7"/>
    <w:rsid w:val="000644FC"/>
    <w:rsid w:val="000649B3"/>
    <w:rsid w:val="00066319"/>
    <w:rsid w:val="0006639B"/>
    <w:rsid w:val="00066503"/>
    <w:rsid w:val="00066621"/>
    <w:rsid w:val="000669E4"/>
    <w:rsid w:val="00067AB0"/>
    <w:rsid w:val="00070096"/>
    <w:rsid w:val="000703D3"/>
    <w:rsid w:val="00070D79"/>
    <w:rsid w:val="00071082"/>
    <w:rsid w:val="00072130"/>
    <w:rsid w:val="00072394"/>
    <w:rsid w:val="000726DB"/>
    <w:rsid w:val="000727C7"/>
    <w:rsid w:val="000733BE"/>
    <w:rsid w:val="00073833"/>
    <w:rsid w:val="000739D4"/>
    <w:rsid w:val="00073AE4"/>
    <w:rsid w:val="00074086"/>
    <w:rsid w:val="000750A5"/>
    <w:rsid w:val="00076507"/>
    <w:rsid w:val="0007687E"/>
    <w:rsid w:val="00077668"/>
    <w:rsid w:val="000778A9"/>
    <w:rsid w:val="000778D0"/>
    <w:rsid w:val="00077FA4"/>
    <w:rsid w:val="00077FDA"/>
    <w:rsid w:val="000800F0"/>
    <w:rsid w:val="000807E0"/>
    <w:rsid w:val="0008090E"/>
    <w:rsid w:val="00080A9A"/>
    <w:rsid w:val="00080E95"/>
    <w:rsid w:val="0008179B"/>
    <w:rsid w:val="000822B0"/>
    <w:rsid w:val="00082441"/>
    <w:rsid w:val="00082B05"/>
    <w:rsid w:val="00082E8A"/>
    <w:rsid w:val="00082F34"/>
    <w:rsid w:val="00083053"/>
    <w:rsid w:val="00083308"/>
    <w:rsid w:val="00083966"/>
    <w:rsid w:val="00083B3F"/>
    <w:rsid w:val="00083D00"/>
    <w:rsid w:val="000849CD"/>
    <w:rsid w:val="00084CC5"/>
    <w:rsid w:val="000856F4"/>
    <w:rsid w:val="000859A4"/>
    <w:rsid w:val="00085A6A"/>
    <w:rsid w:val="00085FA7"/>
    <w:rsid w:val="00086CAF"/>
    <w:rsid w:val="00086EBA"/>
    <w:rsid w:val="0009002F"/>
    <w:rsid w:val="000904C6"/>
    <w:rsid w:val="0009127B"/>
    <w:rsid w:val="00091751"/>
    <w:rsid w:val="00091ABD"/>
    <w:rsid w:val="00091DB0"/>
    <w:rsid w:val="00092A42"/>
    <w:rsid w:val="00092E90"/>
    <w:rsid w:val="00092E99"/>
    <w:rsid w:val="00092F65"/>
    <w:rsid w:val="00092FB3"/>
    <w:rsid w:val="0009370D"/>
    <w:rsid w:val="00093F33"/>
    <w:rsid w:val="00094391"/>
    <w:rsid w:val="0009478B"/>
    <w:rsid w:val="0009482A"/>
    <w:rsid w:val="00095200"/>
    <w:rsid w:val="0009541D"/>
    <w:rsid w:val="00095BB2"/>
    <w:rsid w:val="00095BC1"/>
    <w:rsid w:val="00095C52"/>
    <w:rsid w:val="00095CD1"/>
    <w:rsid w:val="0009605B"/>
    <w:rsid w:val="00096321"/>
    <w:rsid w:val="0009646B"/>
    <w:rsid w:val="00097BE0"/>
    <w:rsid w:val="00097C9E"/>
    <w:rsid w:val="00097FFD"/>
    <w:rsid w:val="000A06B6"/>
    <w:rsid w:val="000A0E14"/>
    <w:rsid w:val="000A1034"/>
    <w:rsid w:val="000A16EC"/>
    <w:rsid w:val="000A1A18"/>
    <w:rsid w:val="000A1D87"/>
    <w:rsid w:val="000A1F6A"/>
    <w:rsid w:val="000A224F"/>
    <w:rsid w:val="000A33E9"/>
    <w:rsid w:val="000A3C2B"/>
    <w:rsid w:val="000A401E"/>
    <w:rsid w:val="000A46A0"/>
    <w:rsid w:val="000A487F"/>
    <w:rsid w:val="000A55A1"/>
    <w:rsid w:val="000A5D20"/>
    <w:rsid w:val="000A631D"/>
    <w:rsid w:val="000A67CD"/>
    <w:rsid w:val="000A6C68"/>
    <w:rsid w:val="000A6CC1"/>
    <w:rsid w:val="000A6DB3"/>
    <w:rsid w:val="000A75A0"/>
    <w:rsid w:val="000A7EB5"/>
    <w:rsid w:val="000B0156"/>
    <w:rsid w:val="000B065E"/>
    <w:rsid w:val="000B06C8"/>
    <w:rsid w:val="000B06DB"/>
    <w:rsid w:val="000B0C27"/>
    <w:rsid w:val="000B0C37"/>
    <w:rsid w:val="000B0F84"/>
    <w:rsid w:val="000B1CD3"/>
    <w:rsid w:val="000B1EBF"/>
    <w:rsid w:val="000B2150"/>
    <w:rsid w:val="000B2AA3"/>
    <w:rsid w:val="000B2E61"/>
    <w:rsid w:val="000B3157"/>
    <w:rsid w:val="000B36CB"/>
    <w:rsid w:val="000B38AF"/>
    <w:rsid w:val="000B3A55"/>
    <w:rsid w:val="000B3B3C"/>
    <w:rsid w:val="000B501F"/>
    <w:rsid w:val="000B56A2"/>
    <w:rsid w:val="000B57DF"/>
    <w:rsid w:val="000B65C7"/>
    <w:rsid w:val="000B674D"/>
    <w:rsid w:val="000B6ED1"/>
    <w:rsid w:val="000B7216"/>
    <w:rsid w:val="000B72A1"/>
    <w:rsid w:val="000B7B9C"/>
    <w:rsid w:val="000B7F39"/>
    <w:rsid w:val="000C01FD"/>
    <w:rsid w:val="000C0ADA"/>
    <w:rsid w:val="000C0DB4"/>
    <w:rsid w:val="000C106E"/>
    <w:rsid w:val="000C1992"/>
    <w:rsid w:val="000C1E56"/>
    <w:rsid w:val="000C2140"/>
    <w:rsid w:val="000C2700"/>
    <w:rsid w:val="000C3171"/>
    <w:rsid w:val="000C5197"/>
    <w:rsid w:val="000C5364"/>
    <w:rsid w:val="000C6958"/>
    <w:rsid w:val="000C6EF9"/>
    <w:rsid w:val="000C703C"/>
    <w:rsid w:val="000C7CBD"/>
    <w:rsid w:val="000D01B3"/>
    <w:rsid w:val="000D061E"/>
    <w:rsid w:val="000D0C7F"/>
    <w:rsid w:val="000D0EEB"/>
    <w:rsid w:val="000D1726"/>
    <w:rsid w:val="000D17CC"/>
    <w:rsid w:val="000D1A27"/>
    <w:rsid w:val="000D1C8D"/>
    <w:rsid w:val="000D244F"/>
    <w:rsid w:val="000D2479"/>
    <w:rsid w:val="000D2A0A"/>
    <w:rsid w:val="000D3AAF"/>
    <w:rsid w:val="000D422D"/>
    <w:rsid w:val="000D44BA"/>
    <w:rsid w:val="000D5358"/>
    <w:rsid w:val="000D5AE9"/>
    <w:rsid w:val="000D5B6F"/>
    <w:rsid w:val="000D5EDB"/>
    <w:rsid w:val="000D611D"/>
    <w:rsid w:val="000D64A2"/>
    <w:rsid w:val="000D6711"/>
    <w:rsid w:val="000D6950"/>
    <w:rsid w:val="000D6D57"/>
    <w:rsid w:val="000D6FFB"/>
    <w:rsid w:val="000D7025"/>
    <w:rsid w:val="000D76A8"/>
    <w:rsid w:val="000D7BBB"/>
    <w:rsid w:val="000D7C27"/>
    <w:rsid w:val="000E0234"/>
    <w:rsid w:val="000E03B6"/>
    <w:rsid w:val="000E073C"/>
    <w:rsid w:val="000E13CF"/>
    <w:rsid w:val="000E15DE"/>
    <w:rsid w:val="000E246C"/>
    <w:rsid w:val="000E25DE"/>
    <w:rsid w:val="000E2F78"/>
    <w:rsid w:val="000E327F"/>
    <w:rsid w:val="000E39BA"/>
    <w:rsid w:val="000E4243"/>
    <w:rsid w:val="000E4322"/>
    <w:rsid w:val="000E4CF6"/>
    <w:rsid w:val="000E4DAC"/>
    <w:rsid w:val="000E4E55"/>
    <w:rsid w:val="000E4E99"/>
    <w:rsid w:val="000E5064"/>
    <w:rsid w:val="000E5864"/>
    <w:rsid w:val="000E65E8"/>
    <w:rsid w:val="000E6886"/>
    <w:rsid w:val="000E6A53"/>
    <w:rsid w:val="000E7132"/>
    <w:rsid w:val="000E76FA"/>
    <w:rsid w:val="000E7C21"/>
    <w:rsid w:val="000F0051"/>
    <w:rsid w:val="000F04A7"/>
    <w:rsid w:val="000F0667"/>
    <w:rsid w:val="000F0CBF"/>
    <w:rsid w:val="000F0D5D"/>
    <w:rsid w:val="000F0FA9"/>
    <w:rsid w:val="000F11FF"/>
    <w:rsid w:val="000F1633"/>
    <w:rsid w:val="000F1A8F"/>
    <w:rsid w:val="000F20F4"/>
    <w:rsid w:val="000F27D2"/>
    <w:rsid w:val="000F2AFE"/>
    <w:rsid w:val="000F2CE3"/>
    <w:rsid w:val="000F3256"/>
    <w:rsid w:val="000F352F"/>
    <w:rsid w:val="000F3799"/>
    <w:rsid w:val="000F4628"/>
    <w:rsid w:val="000F4BF0"/>
    <w:rsid w:val="000F5127"/>
    <w:rsid w:val="000F517E"/>
    <w:rsid w:val="000F5801"/>
    <w:rsid w:val="000F5CBC"/>
    <w:rsid w:val="000F67C7"/>
    <w:rsid w:val="000F695C"/>
    <w:rsid w:val="000F6973"/>
    <w:rsid w:val="000F6A08"/>
    <w:rsid w:val="000F719F"/>
    <w:rsid w:val="000F7D62"/>
    <w:rsid w:val="000F7F37"/>
    <w:rsid w:val="00100027"/>
    <w:rsid w:val="001002C5"/>
    <w:rsid w:val="001006D2"/>
    <w:rsid w:val="001011E0"/>
    <w:rsid w:val="00101394"/>
    <w:rsid w:val="00101AE0"/>
    <w:rsid w:val="00101C21"/>
    <w:rsid w:val="00102312"/>
    <w:rsid w:val="00102534"/>
    <w:rsid w:val="00102830"/>
    <w:rsid w:val="001035B0"/>
    <w:rsid w:val="00103839"/>
    <w:rsid w:val="0010406C"/>
    <w:rsid w:val="00104944"/>
    <w:rsid w:val="0010509C"/>
    <w:rsid w:val="00106259"/>
    <w:rsid w:val="001062EC"/>
    <w:rsid w:val="001063E3"/>
    <w:rsid w:val="00106B92"/>
    <w:rsid w:val="00106E0B"/>
    <w:rsid w:val="001073F8"/>
    <w:rsid w:val="00107473"/>
    <w:rsid w:val="00107541"/>
    <w:rsid w:val="001076FB"/>
    <w:rsid w:val="0011001C"/>
    <w:rsid w:val="00110021"/>
    <w:rsid w:val="001105EA"/>
    <w:rsid w:val="001107FC"/>
    <w:rsid w:val="00110AF7"/>
    <w:rsid w:val="00110B7A"/>
    <w:rsid w:val="001114C7"/>
    <w:rsid w:val="001116C1"/>
    <w:rsid w:val="0011205A"/>
    <w:rsid w:val="0011275B"/>
    <w:rsid w:val="00112B62"/>
    <w:rsid w:val="00112C6A"/>
    <w:rsid w:val="00112D9C"/>
    <w:rsid w:val="00113474"/>
    <w:rsid w:val="0011366C"/>
    <w:rsid w:val="00113BB8"/>
    <w:rsid w:val="001145CE"/>
    <w:rsid w:val="00114A1A"/>
    <w:rsid w:val="00115308"/>
    <w:rsid w:val="00115865"/>
    <w:rsid w:val="00115E6D"/>
    <w:rsid w:val="00116001"/>
    <w:rsid w:val="001160B8"/>
    <w:rsid w:val="001166AA"/>
    <w:rsid w:val="00116858"/>
    <w:rsid w:val="001169DC"/>
    <w:rsid w:val="001172A2"/>
    <w:rsid w:val="00117408"/>
    <w:rsid w:val="00117458"/>
    <w:rsid w:val="001175DF"/>
    <w:rsid w:val="00117762"/>
    <w:rsid w:val="00117776"/>
    <w:rsid w:val="00117A41"/>
    <w:rsid w:val="001200C6"/>
    <w:rsid w:val="001209CD"/>
    <w:rsid w:val="00120D98"/>
    <w:rsid w:val="00121014"/>
    <w:rsid w:val="001212CC"/>
    <w:rsid w:val="00121E59"/>
    <w:rsid w:val="00122095"/>
    <w:rsid w:val="00122243"/>
    <w:rsid w:val="0012252D"/>
    <w:rsid w:val="001226BB"/>
    <w:rsid w:val="00122DEA"/>
    <w:rsid w:val="00122FEA"/>
    <w:rsid w:val="00123644"/>
    <w:rsid w:val="00123896"/>
    <w:rsid w:val="001238AF"/>
    <w:rsid w:val="0012466D"/>
    <w:rsid w:val="0012482D"/>
    <w:rsid w:val="00124B02"/>
    <w:rsid w:val="00124CCA"/>
    <w:rsid w:val="00124D83"/>
    <w:rsid w:val="00124DC1"/>
    <w:rsid w:val="00124E18"/>
    <w:rsid w:val="001250F8"/>
    <w:rsid w:val="0012551E"/>
    <w:rsid w:val="00125A3A"/>
    <w:rsid w:val="00126082"/>
    <w:rsid w:val="00126AA6"/>
    <w:rsid w:val="00126B1C"/>
    <w:rsid w:val="0012733D"/>
    <w:rsid w:val="001279F1"/>
    <w:rsid w:val="00127E4F"/>
    <w:rsid w:val="0013018D"/>
    <w:rsid w:val="00130F43"/>
    <w:rsid w:val="001310B5"/>
    <w:rsid w:val="00131A1B"/>
    <w:rsid w:val="00131E46"/>
    <w:rsid w:val="00132BA6"/>
    <w:rsid w:val="001335E1"/>
    <w:rsid w:val="00133DBE"/>
    <w:rsid w:val="0013466D"/>
    <w:rsid w:val="00135CE7"/>
    <w:rsid w:val="00135FD2"/>
    <w:rsid w:val="001362E8"/>
    <w:rsid w:val="0013676B"/>
    <w:rsid w:val="001368A6"/>
    <w:rsid w:val="00136C0C"/>
    <w:rsid w:val="00136C76"/>
    <w:rsid w:val="00136E00"/>
    <w:rsid w:val="0013714C"/>
    <w:rsid w:val="00137A5F"/>
    <w:rsid w:val="00137DEA"/>
    <w:rsid w:val="00140140"/>
    <w:rsid w:val="001411FA"/>
    <w:rsid w:val="00141337"/>
    <w:rsid w:val="001419FE"/>
    <w:rsid w:val="00141B19"/>
    <w:rsid w:val="00141CD1"/>
    <w:rsid w:val="0014209F"/>
    <w:rsid w:val="00143B0B"/>
    <w:rsid w:val="00143E5A"/>
    <w:rsid w:val="00144688"/>
    <w:rsid w:val="001446A4"/>
    <w:rsid w:val="00144C44"/>
    <w:rsid w:val="00145098"/>
    <w:rsid w:val="001451B7"/>
    <w:rsid w:val="0014577C"/>
    <w:rsid w:val="00145A4E"/>
    <w:rsid w:val="00145AF8"/>
    <w:rsid w:val="00146491"/>
    <w:rsid w:val="00146515"/>
    <w:rsid w:val="00146A12"/>
    <w:rsid w:val="00146D33"/>
    <w:rsid w:val="0014768F"/>
    <w:rsid w:val="00147A2B"/>
    <w:rsid w:val="00147BD3"/>
    <w:rsid w:val="00147F7E"/>
    <w:rsid w:val="00150C2C"/>
    <w:rsid w:val="00150DCD"/>
    <w:rsid w:val="00150E84"/>
    <w:rsid w:val="00151ADF"/>
    <w:rsid w:val="00152146"/>
    <w:rsid w:val="001523A5"/>
    <w:rsid w:val="00152499"/>
    <w:rsid w:val="001528CA"/>
    <w:rsid w:val="00152B8B"/>
    <w:rsid w:val="00153B12"/>
    <w:rsid w:val="00153C79"/>
    <w:rsid w:val="001546DA"/>
    <w:rsid w:val="001547CD"/>
    <w:rsid w:val="00154CCB"/>
    <w:rsid w:val="00155653"/>
    <w:rsid w:val="00155682"/>
    <w:rsid w:val="0015592D"/>
    <w:rsid w:val="001563ED"/>
    <w:rsid w:val="00156F18"/>
    <w:rsid w:val="001575EF"/>
    <w:rsid w:val="00157843"/>
    <w:rsid w:val="00157ED8"/>
    <w:rsid w:val="00160234"/>
    <w:rsid w:val="00160CE0"/>
    <w:rsid w:val="00161463"/>
    <w:rsid w:val="001616E7"/>
    <w:rsid w:val="00161DC8"/>
    <w:rsid w:val="00161F95"/>
    <w:rsid w:val="00162018"/>
    <w:rsid w:val="0016221D"/>
    <w:rsid w:val="00162887"/>
    <w:rsid w:val="00162E40"/>
    <w:rsid w:val="001630E1"/>
    <w:rsid w:val="00163643"/>
    <w:rsid w:val="001646B3"/>
    <w:rsid w:val="00164C84"/>
    <w:rsid w:val="00164D87"/>
    <w:rsid w:val="00164FE3"/>
    <w:rsid w:val="0016532F"/>
    <w:rsid w:val="001655A2"/>
    <w:rsid w:val="00165651"/>
    <w:rsid w:val="0016601C"/>
    <w:rsid w:val="00166CDB"/>
    <w:rsid w:val="00166D66"/>
    <w:rsid w:val="00166FEE"/>
    <w:rsid w:val="00167272"/>
    <w:rsid w:val="00167FCF"/>
    <w:rsid w:val="001708CF"/>
    <w:rsid w:val="001709CD"/>
    <w:rsid w:val="00170C8D"/>
    <w:rsid w:val="00170D82"/>
    <w:rsid w:val="001714FD"/>
    <w:rsid w:val="00171829"/>
    <w:rsid w:val="00171A41"/>
    <w:rsid w:val="00171E9B"/>
    <w:rsid w:val="0017274A"/>
    <w:rsid w:val="00172CDF"/>
    <w:rsid w:val="00172E6A"/>
    <w:rsid w:val="00172F5A"/>
    <w:rsid w:val="001733B8"/>
    <w:rsid w:val="0017351E"/>
    <w:rsid w:val="00173ACE"/>
    <w:rsid w:val="00173C18"/>
    <w:rsid w:val="00175271"/>
    <w:rsid w:val="001754A0"/>
    <w:rsid w:val="00176098"/>
    <w:rsid w:val="00176A45"/>
    <w:rsid w:val="00176B11"/>
    <w:rsid w:val="00176FFF"/>
    <w:rsid w:val="00177332"/>
    <w:rsid w:val="001773AC"/>
    <w:rsid w:val="001805F9"/>
    <w:rsid w:val="00181237"/>
    <w:rsid w:val="001812DE"/>
    <w:rsid w:val="001823ED"/>
    <w:rsid w:val="001839DB"/>
    <w:rsid w:val="00183B94"/>
    <w:rsid w:val="00183F95"/>
    <w:rsid w:val="00184F43"/>
    <w:rsid w:val="0018527A"/>
    <w:rsid w:val="00185697"/>
    <w:rsid w:val="001856D0"/>
    <w:rsid w:val="00186C80"/>
    <w:rsid w:val="001872AE"/>
    <w:rsid w:val="00187508"/>
    <w:rsid w:val="001877C8"/>
    <w:rsid w:val="00187E5E"/>
    <w:rsid w:val="001900A5"/>
    <w:rsid w:val="00190555"/>
    <w:rsid w:val="0019094F"/>
    <w:rsid w:val="00191267"/>
    <w:rsid w:val="0019128F"/>
    <w:rsid w:val="0019151E"/>
    <w:rsid w:val="001917B7"/>
    <w:rsid w:val="001917FF"/>
    <w:rsid w:val="0019203D"/>
    <w:rsid w:val="001926E6"/>
    <w:rsid w:val="00192FB0"/>
    <w:rsid w:val="00193293"/>
    <w:rsid w:val="001935C7"/>
    <w:rsid w:val="00193975"/>
    <w:rsid w:val="00194118"/>
    <w:rsid w:val="001942CA"/>
    <w:rsid w:val="00194387"/>
    <w:rsid w:val="0019456F"/>
    <w:rsid w:val="001945D8"/>
    <w:rsid w:val="0019476D"/>
    <w:rsid w:val="00194EBB"/>
    <w:rsid w:val="0019591A"/>
    <w:rsid w:val="00195A69"/>
    <w:rsid w:val="0019602E"/>
    <w:rsid w:val="001968E9"/>
    <w:rsid w:val="00196B32"/>
    <w:rsid w:val="00196DE2"/>
    <w:rsid w:val="00196E03"/>
    <w:rsid w:val="001972DE"/>
    <w:rsid w:val="001A07C6"/>
    <w:rsid w:val="001A0E63"/>
    <w:rsid w:val="001A1781"/>
    <w:rsid w:val="001A1C6F"/>
    <w:rsid w:val="001A24DF"/>
    <w:rsid w:val="001A2AED"/>
    <w:rsid w:val="001A2E48"/>
    <w:rsid w:val="001A3835"/>
    <w:rsid w:val="001A39CF"/>
    <w:rsid w:val="001A4108"/>
    <w:rsid w:val="001A4881"/>
    <w:rsid w:val="001A492B"/>
    <w:rsid w:val="001A4CE2"/>
    <w:rsid w:val="001A568C"/>
    <w:rsid w:val="001A5BEF"/>
    <w:rsid w:val="001A684D"/>
    <w:rsid w:val="001A7397"/>
    <w:rsid w:val="001A7B56"/>
    <w:rsid w:val="001B016B"/>
    <w:rsid w:val="001B0264"/>
    <w:rsid w:val="001B0674"/>
    <w:rsid w:val="001B084F"/>
    <w:rsid w:val="001B0D94"/>
    <w:rsid w:val="001B0EA0"/>
    <w:rsid w:val="001B1A69"/>
    <w:rsid w:val="001B1F30"/>
    <w:rsid w:val="001B1FB3"/>
    <w:rsid w:val="001B2B64"/>
    <w:rsid w:val="001B2CD4"/>
    <w:rsid w:val="001B30F3"/>
    <w:rsid w:val="001B3611"/>
    <w:rsid w:val="001B3697"/>
    <w:rsid w:val="001B3702"/>
    <w:rsid w:val="001B3B43"/>
    <w:rsid w:val="001B3B64"/>
    <w:rsid w:val="001B4132"/>
    <w:rsid w:val="001B4540"/>
    <w:rsid w:val="001B4808"/>
    <w:rsid w:val="001B4A5C"/>
    <w:rsid w:val="001B5222"/>
    <w:rsid w:val="001B55D4"/>
    <w:rsid w:val="001B5A70"/>
    <w:rsid w:val="001B5C39"/>
    <w:rsid w:val="001B5C91"/>
    <w:rsid w:val="001B5E34"/>
    <w:rsid w:val="001B5F5D"/>
    <w:rsid w:val="001B5F6B"/>
    <w:rsid w:val="001B61DE"/>
    <w:rsid w:val="001B6961"/>
    <w:rsid w:val="001B698A"/>
    <w:rsid w:val="001B6B6C"/>
    <w:rsid w:val="001B6CFE"/>
    <w:rsid w:val="001B7A69"/>
    <w:rsid w:val="001B7EDA"/>
    <w:rsid w:val="001C07CC"/>
    <w:rsid w:val="001C0EF4"/>
    <w:rsid w:val="001C14F6"/>
    <w:rsid w:val="001C164E"/>
    <w:rsid w:val="001C187C"/>
    <w:rsid w:val="001C1EA2"/>
    <w:rsid w:val="001C2005"/>
    <w:rsid w:val="001C29DD"/>
    <w:rsid w:val="001C31C9"/>
    <w:rsid w:val="001C41FB"/>
    <w:rsid w:val="001C42AC"/>
    <w:rsid w:val="001C53DE"/>
    <w:rsid w:val="001C5775"/>
    <w:rsid w:val="001C5E84"/>
    <w:rsid w:val="001C637A"/>
    <w:rsid w:val="001C6CF2"/>
    <w:rsid w:val="001C72A2"/>
    <w:rsid w:val="001D0397"/>
    <w:rsid w:val="001D066F"/>
    <w:rsid w:val="001D123C"/>
    <w:rsid w:val="001D1428"/>
    <w:rsid w:val="001D1903"/>
    <w:rsid w:val="001D1E97"/>
    <w:rsid w:val="001D2613"/>
    <w:rsid w:val="001D270B"/>
    <w:rsid w:val="001D3EDF"/>
    <w:rsid w:val="001D41A6"/>
    <w:rsid w:val="001D4F25"/>
    <w:rsid w:val="001D5134"/>
    <w:rsid w:val="001D52F7"/>
    <w:rsid w:val="001D53EB"/>
    <w:rsid w:val="001D5546"/>
    <w:rsid w:val="001D599D"/>
    <w:rsid w:val="001D5B6A"/>
    <w:rsid w:val="001D5C7E"/>
    <w:rsid w:val="001D63E4"/>
    <w:rsid w:val="001D6A6D"/>
    <w:rsid w:val="001D6AAE"/>
    <w:rsid w:val="001D75AA"/>
    <w:rsid w:val="001D79CD"/>
    <w:rsid w:val="001E0AE8"/>
    <w:rsid w:val="001E0B82"/>
    <w:rsid w:val="001E1B7C"/>
    <w:rsid w:val="001E1D4F"/>
    <w:rsid w:val="001E1EBC"/>
    <w:rsid w:val="001E344A"/>
    <w:rsid w:val="001E34B9"/>
    <w:rsid w:val="001E3A07"/>
    <w:rsid w:val="001E3CCD"/>
    <w:rsid w:val="001E40DB"/>
    <w:rsid w:val="001E42FE"/>
    <w:rsid w:val="001E4800"/>
    <w:rsid w:val="001E4A7B"/>
    <w:rsid w:val="001E517E"/>
    <w:rsid w:val="001E5972"/>
    <w:rsid w:val="001E5C7A"/>
    <w:rsid w:val="001E652F"/>
    <w:rsid w:val="001E7400"/>
    <w:rsid w:val="001E792B"/>
    <w:rsid w:val="001E7A24"/>
    <w:rsid w:val="001F04D9"/>
    <w:rsid w:val="001F077B"/>
    <w:rsid w:val="001F088E"/>
    <w:rsid w:val="001F0DB5"/>
    <w:rsid w:val="001F1A2B"/>
    <w:rsid w:val="001F20FC"/>
    <w:rsid w:val="001F24A8"/>
    <w:rsid w:val="001F26AD"/>
    <w:rsid w:val="001F27AF"/>
    <w:rsid w:val="001F2D36"/>
    <w:rsid w:val="001F328E"/>
    <w:rsid w:val="001F40E5"/>
    <w:rsid w:val="001F4947"/>
    <w:rsid w:val="001F4963"/>
    <w:rsid w:val="001F4CA7"/>
    <w:rsid w:val="001F5075"/>
    <w:rsid w:val="001F50C6"/>
    <w:rsid w:val="001F57E2"/>
    <w:rsid w:val="001F5826"/>
    <w:rsid w:val="001F5A17"/>
    <w:rsid w:val="001F630D"/>
    <w:rsid w:val="001F651D"/>
    <w:rsid w:val="001F653D"/>
    <w:rsid w:val="001F7172"/>
    <w:rsid w:val="001F76F1"/>
    <w:rsid w:val="001F7826"/>
    <w:rsid w:val="001F7D9A"/>
    <w:rsid w:val="002000F5"/>
    <w:rsid w:val="0020052C"/>
    <w:rsid w:val="00200D4C"/>
    <w:rsid w:val="002012FC"/>
    <w:rsid w:val="00201572"/>
    <w:rsid w:val="00202BE1"/>
    <w:rsid w:val="00202E73"/>
    <w:rsid w:val="00203189"/>
    <w:rsid w:val="002031D0"/>
    <w:rsid w:val="0020330B"/>
    <w:rsid w:val="00203F95"/>
    <w:rsid w:val="002042AD"/>
    <w:rsid w:val="00204552"/>
    <w:rsid w:val="00204742"/>
    <w:rsid w:val="00204770"/>
    <w:rsid w:val="00204A29"/>
    <w:rsid w:val="002056E0"/>
    <w:rsid w:val="00205CFE"/>
    <w:rsid w:val="00206007"/>
    <w:rsid w:val="002060D4"/>
    <w:rsid w:val="00206D19"/>
    <w:rsid w:val="002072F0"/>
    <w:rsid w:val="00207B94"/>
    <w:rsid w:val="00207D87"/>
    <w:rsid w:val="00207E2D"/>
    <w:rsid w:val="00210260"/>
    <w:rsid w:val="00210A4E"/>
    <w:rsid w:val="00210CB1"/>
    <w:rsid w:val="00210CE6"/>
    <w:rsid w:val="002114DA"/>
    <w:rsid w:val="00211B45"/>
    <w:rsid w:val="00211B5B"/>
    <w:rsid w:val="002123CC"/>
    <w:rsid w:val="0021269A"/>
    <w:rsid w:val="00213005"/>
    <w:rsid w:val="00213284"/>
    <w:rsid w:val="00213773"/>
    <w:rsid w:val="002137A2"/>
    <w:rsid w:val="00213E0D"/>
    <w:rsid w:val="00213E17"/>
    <w:rsid w:val="00213ECA"/>
    <w:rsid w:val="002149E4"/>
    <w:rsid w:val="00214C13"/>
    <w:rsid w:val="00215B06"/>
    <w:rsid w:val="00215EFA"/>
    <w:rsid w:val="00215F29"/>
    <w:rsid w:val="002165F5"/>
    <w:rsid w:val="00216606"/>
    <w:rsid w:val="0021669C"/>
    <w:rsid w:val="002167DC"/>
    <w:rsid w:val="00216BF1"/>
    <w:rsid w:val="00216E53"/>
    <w:rsid w:val="00216F2F"/>
    <w:rsid w:val="00217243"/>
    <w:rsid w:val="002173CC"/>
    <w:rsid w:val="00217507"/>
    <w:rsid w:val="00217645"/>
    <w:rsid w:val="002201FE"/>
    <w:rsid w:val="0022102E"/>
    <w:rsid w:val="002213F9"/>
    <w:rsid w:val="002215AB"/>
    <w:rsid w:val="002216D1"/>
    <w:rsid w:val="00221CE5"/>
    <w:rsid w:val="00221D58"/>
    <w:rsid w:val="00222A83"/>
    <w:rsid w:val="00222B81"/>
    <w:rsid w:val="00222DC1"/>
    <w:rsid w:val="00223239"/>
    <w:rsid w:val="00223541"/>
    <w:rsid w:val="00223819"/>
    <w:rsid w:val="00223F00"/>
    <w:rsid w:val="00224C19"/>
    <w:rsid w:val="00224F67"/>
    <w:rsid w:val="00225E54"/>
    <w:rsid w:val="00225E6D"/>
    <w:rsid w:val="00226AC1"/>
    <w:rsid w:val="00226B4B"/>
    <w:rsid w:val="002275FF"/>
    <w:rsid w:val="00227840"/>
    <w:rsid w:val="00227D00"/>
    <w:rsid w:val="002304B3"/>
    <w:rsid w:val="00230517"/>
    <w:rsid w:val="00230A72"/>
    <w:rsid w:val="00230FDB"/>
    <w:rsid w:val="00232843"/>
    <w:rsid w:val="00232932"/>
    <w:rsid w:val="00232BB9"/>
    <w:rsid w:val="00232D18"/>
    <w:rsid w:val="002334C6"/>
    <w:rsid w:val="00233562"/>
    <w:rsid w:val="002335BD"/>
    <w:rsid w:val="0023363D"/>
    <w:rsid w:val="0023417F"/>
    <w:rsid w:val="002341BB"/>
    <w:rsid w:val="002354C7"/>
    <w:rsid w:val="0023601F"/>
    <w:rsid w:val="002363E1"/>
    <w:rsid w:val="00236634"/>
    <w:rsid w:val="002373C3"/>
    <w:rsid w:val="002376B7"/>
    <w:rsid w:val="0024006B"/>
    <w:rsid w:val="00240389"/>
    <w:rsid w:val="0024060C"/>
    <w:rsid w:val="00240C5F"/>
    <w:rsid w:val="00240E27"/>
    <w:rsid w:val="0024133D"/>
    <w:rsid w:val="0024144B"/>
    <w:rsid w:val="00241753"/>
    <w:rsid w:val="00241CBE"/>
    <w:rsid w:val="00241EC9"/>
    <w:rsid w:val="002420DF"/>
    <w:rsid w:val="00242EEA"/>
    <w:rsid w:val="00242F4B"/>
    <w:rsid w:val="00243FB2"/>
    <w:rsid w:val="00244590"/>
    <w:rsid w:val="00244E71"/>
    <w:rsid w:val="00245200"/>
    <w:rsid w:val="0024567A"/>
    <w:rsid w:val="0024577C"/>
    <w:rsid w:val="00245B2F"/>
    <w:rsid w:val="00245E0F"/>
    <w:rsid w:val="00245E9A"/>
    <w:rsid w:val="00245F49"/>
    <w:rsid w:val="00247451"/>
    <w:rsid w:val="00247880"/>
    <w:rsid w:val="00247EE9"/>
    <w:rsid w:val="002502CD"/>
    <w:rsid w:val="002506BC"/>
    <w:rsid w:val="00250777"/>
    <w:rsid w:val="00250B48"/>
    <w:rsid w:val="00250E17"/>
    <w:rsid w:val="00251327"/>
    <w:rsid w:val="00251637"/>
    <w:rsid w:val="00252092"/>
    <w:rsid w:val="00252191"/>
    <w:rsid w:val="002529A5"/>
    <w:rsid w:val="00252D93"/>
    <w:rsid w:val="00253056"/>
    <w:rsid w:val="00253447"/>
    <w:rsid w:val="00253504"/>
    <w:rsid w:val="0025353D"/>
    <w:rsid w:val="00253711"/>
    <w:rsid w:val="00253D6F"/>
    <w:rsid w:val="00253F3E"/>
    <w:rsid w:val="00254BBA"/>
    <w:rsid w:val="00254D3D"/>
    <w:rsid w:val="00255A14"/>
    <w:rsid w:val="00255CAB"/>
    <w:rsid w:val="0025623E"/>
    <w:rsid w:val="0025658F"/>
    <w:rsid w:val="00256623"/>
    <w:rsid w:val="00256756"/>
    <w:rsid w:val="00256AC5"/>
    <w:rsid w:val="00256F61"/>
    <w:rsid w:val="002570B9"/>
    <w:rsid w:val="0025772C"/>
    <w:rsid w:val="00257B9B"/>
    <w:rsid w:val="0026030B"/>
    <w:rsid w:val="00261868"/>
    <w:rsid w:val="00261C82"/>
    <w:rsid w:val="00262714"/>
    <w:rsid w:val="00263783"/>
    <w:rsid w:val="002637C2"/>
    <w:rsid w:val="0026386F"/>
    <w:rsid w:val="00263907"/>
    <w:rsid w:val="00263E5F"/>
    <w:rsid w:val="002641B1"/>
    <w:rsid w:val="002647E3"/>
    <w:rsid w:val="00265AE5"/>
    <w:rsid w:val="00265B77"/>
    <w:rsid w:val="00265ECC"/>
    <w:rsid w:val="00265FD3"/>
    <w:rsid w:val="0026675B"/>
    <w:rsid w:val="00266A35"/>
    <w:rsid w:val="00266CC1"/>
    <w:rsid w:val="00270C47"/>
    <w:rsid w:val="00270D50"/>
    <w:rsid w:val="00271C1A"/>
    <w:rsid w:val="00271CA9"/>
    <w:rsid w:val="002726FC"/>
    <w:rsid w:val="00272932"/>
    <w:rsid w:val="00272DE0"/>
    <w:rsid w:val="00272FB9"/>
    <w:rsid w:val="002733FD"/>
    <w:rsid w:val="002735CE"/>
    <w:rsid w:val="002736F3"/>
    <w:rsid w:val="0027400A"/>
    <w:rsid w:val="00274663"/>
    <w:rsid w:val="00275525"/>
    <w:rsid w:val="00275F08"/>
    <w:rsid w:val="002760E4"/>
    <w:rsid w:val="00276281"/>
    <w:rsid w:val="00276A0C"/>
    <w:rsid w:val="00277129"/>
    <w:rsid w:val="00277A49"/>
    <w:rsid w:val="00280151"/>
    <w:rsid w:val="002805D8"/>
    <w:rsid w:val="00280A9F"/>
    <w:rsid w:val="002813B2"/>
    <w:rsid w:val="00281A19"/>
    <w:rsid w:val="00281D93"/>
    <w:rsid w:val="00281EA9"/>
    <w:rsid w:val="002822A2"/>
    <w:rsid w:val="00282A82"/>
    <w:rsid w:val="00282BBA"/>
    <w:rsid w:val="00282E00"/>
    <w:rsid w:val="00282EBE"/>
    <w:rsid w:val="00283071"/>
    <w:rsid w:val="00283636"/>
    <w:rsid w:val="00283C38"/>
    <w:rsid w:val="002840D4"/>
    <w:rsid w:val="00284944"/>
    <w:rsid w:val="00284C33"/>
    <w:rsid w:val="00284F8C"/>
    <w:rsid w:val="00284FE4"/>
    <w:rsid w:val="00285610"/>
    <w:rsid w:val="002857C8"/>
    <w:rsid w:val="0028612A"/>
    <w:rsid w:val="00286136"/>
    <w:rsid w:val="00286268"/>
    <w:rsid w:val="00286412"/>
    <w:rsid w:val="002865D9"/>
    <w:rsid w:val="00287061"/>
    <w:rsid w:val="00287145"/>
    <w:rsid w:val="0028714E"/>
    <w:rsid w:val="00287187"/>
    <w:rsid w:val="0028780B"/>
    <w:rsid w:val="00287E39"/>
    <w:rsid w:val="002900DA"/>
    <w:rsid w:val="0029020D"/>
    <w:rsid w:val="00290619"/>
    <w:rsid w:val="0029070F"/>
    <w:rsid w:val="00290A4E"/>
    <w:rsid w:val="00290DC8"/>
    <w:rsid w:val="00291175"/>
    <w:rsid w:val="00291E12"/>
    <w:rsid w:val="002920B1"/>
    <w:rsid w:val="00292AAF"/>
    <w:rsid w:val="0029357C"/>
    <w:rsid w:val="00293A9D"/>
    <w:rsid w:val="00294815"/>
    <w:rsid w:val="002948A7"/>
    <w:rsid w:val="00294DB0"/>
    <w:rsid w:val="00294DD8"/>
    <w:rsid w:val="0029599C"/>
    <w:rsid w:val="002961DE"/>
    <w:rsid w:val="00296286"/>
    <w:rsid w:val="002967CF"/>
    <w:rsid w:val="00296E4D"/>
    <w:rsid w:val="002A011B"/>
    <w:rsid w:val="002A02E8"/>
    <w:rsid w:val="002A0983"/>
    <w:rsid w:val="002A0ACD"/>
    <w:rsid w:val="002A0C74"/>
    <w:rsid w:val="002A0CC2"/>
    <w:rsid w:val="002A0E5F"/>
    <w:rsid w:val="002A14D2"/>
    <w:rsid w:val="002A17CA"/>
    <w:rsid w:val="002A4BC8"/>
    <w:rsid w:val="002A52EF"/>
    <w:rsid w:val="002A55D7"/>
    <w:rsid w:val="002A5776"/>
    <w:rsid w:val="002A59DA"/>
    <w:rsid w:val="002A5B3A"/>
    <w:rsid w:val="002A6800"/>
    <w:rsid w:val="002A6896"/>
    <w:rsid w:val="002A6BC0"/>
    <w:rsid w:val="002A6D02"/>
    <w:rsid w:val="002A6E6C"/>
    <w:rsid w:val="002A6F8E"/>
    <w:rsid w:val="002A7105"/>
    <w:rsid w:val="002A7953"/>
    <w:rsid w:val="002B033F"/>
    <w:rsid w:val="002B14E6"/>
    <w:rsid w:val="002B1503"/>
    <w:rsid w:val="002B1799"/>
    <w:rsid w:val="002B1D44"/>
    <w:rsid w:val="002B2241"/>
    <w:rsid w:val="002B2BEF"/>
    <w:rsid w:val="002B2E22"/>
    <w:rsid w:val="002B3277"/>
    <w:rsid w:val="002B3768"/>
    <w:rsid w:val="002B3C5A"/>
    <w:rsid w:val="002B4539"/>
    <w:rsid w:val="002B46F0"/>
    <w:rsid w:val="002B481F"/>
    <w:rsid w:val="002B4F65"/>
    <w:rsid w:val="002B51C3"/>
    <w:rsid w:val="002B553D"/>
    <w:rsid w:val="002B5C2D"/>
    <w:rsid w:val="002B5E08"/>
    <w:rsid w:val="002B73D8"/>
    <w:rsid w:val="002B78B2"/>
    <w:rsid w:val="002B79F9"/>
    <w:rsid w:val="002B7D3E"/>
    <w:rsid w:val="002C04B7"/>
    <w:rsid w:val="002C07AA"/>
    <w:rsid w:val="002C13A8"/>
    <w:rsid w:val="002C1412"/>
    <w:rsid w:val="002C14C0"/>
    <w:rsid w:val="002C2276"/>
    <w:rsid w:val="002C23D6"/>
    <w:rsid w:val="002C2737"/>
    <w:rsid w:val="002C2A2E"/>
    <w:rsid w:val="002C3151"/>
    <w:rsid w:val="002C364A"/>
    <w:rsid w:val="002C3BBD"/>
    <w:rsid w:val="002C44AD"/>
    <w:rsid w:val="002C4B75"/>
    <w:rsid w:val="002C5327"/>
    <w:rsid w:val="002C5436"/>
    <w:rsid w:val="002C54FB"/>
    <w:rsid w:val="002C5613"/>
    <w:rsid w:val="002C56DF"/>
    <w:rsid w:val="002C579D"/>
    <w:rsid w:val="002C591D"/>
    <w:rsid w:val="002C5BE8"/>
    <w:rsid w:val="002C652C"/>
    <w:rsid w:val="002C7547"/>
    <w:rsid w:val="002C7725"/>
    <w:rsid w:val="002C7CB8"/>
    <w:rsid w:val="002D0799"/>
    <w:rsid w:val="002D0D98"/>
    <w:rsid w:val="002D17F5"/>
    <w:rsid w:val="002D1E66"/>
    <w:rsid w:val="002D1FC1"/>
    <w:rsid w:val="002D2669"/>
    <w:rsid w:val="002D38B4"/>
    <w:rsid w:val="002D3ECF"/>
    <w:rsid w:val="002D413C"/>
    <w:rsid w:val="002D41C9"/>
    <w:rsid w:val="002D46CC"/>
    <w:rsid w:val="002D4894"/>
    <w:rsid w:val="002D492C"/>
    <w:rsid w:val="002D533F"/>
    <w:rsid w:val="002D5CA5"/>
    <w:rsid w:val="002D658F"/>
    <w:rsid w:val="002D6C60"/>
    <w:rsid w:val="002D7095"/>
    <w:rsid w:val="002D7165"/>
    <w:rsid w:val="002D7284"/>
    <w:rsid w:val="002D7D9C"/>
    <w:rsid w:val="002E0496"/>
    <w:rsid w:val="002E0628"/>
    <w:rsid w:val="002E0B48"/>
    <w:rsid w:val="002E0BF1"/>
    <w:rsid w:val="002E0ED9"/>
    <w:rsid w:val="002E2337"/>
    <w:rsid w:val="002E2CD4"/>
    <w:rsid w:val="002E3868"/>
    <w:rsid w:val="002E3953"/>
    <w:rsid w:val="002E3A26"/>
    <w:rsid w:val="002E3EC0"/>
    <w:rsid w:val="002E45B7"/>
    <w:rsid w:val="002E4A28"/>
    <w:rsid w:val="002E570E"/>
    <w:rsid w:val="002E5A93"/>
    <w:rsid w:val="002E5AAE"/>
    <w:rsid w:val="002E6F52"/>
    <w:rsid w:val="002E6F72"/>
    <w:rsid w:val="002E70BE"/>
    <w:rsid w:val="002E75C0"/>
    <w:rsid w:val="002E7D89"/>
    <w:rsid w:val="002F02EF"/>
    <w:rsid w:val="002F0739"/>
    <w:rsid w:val="002F2094"/>
    <w:rsid w:val="002F2169"/>
    <w:rsid w:val="002F22F1"/>
    <w:rsid w:val="002F2B04"/>
    <w:rsid w:val="002F357F"/>
    <w:rsid w:val="002F36CB"/>
    <w:rsid w:val="002F3F1D"/>
    <w:rsid w:val="002F3F55"/>
    <w:rsid w:val="002F4351"/>
    <w:rsid w:val="002F4958"/>
    <w:rsid w:val="002F4CF0"/>
    <w:rsid w:val="002F5D1A"/>
    <w:rsid w:val="002F6161"/>
    <w:rsid w:val="002F62A2"/>
    <w:rsid w:val="002F6891"/>
    <w:rsid w:val="002F6991"/>
    <w:rsid w:val="002F6C2A"/>
    <w:rsid w:val="002F6ECB"/>
    <w:rsid w:val="002F727B"/>
    <w:rsid w:val="002F7A1B"/>
    <w:rsid w:val="002F7E48"/>
    <w:rsid w:val="00300114"/>
    <w:rsid w:val="0030037A"/>
    <w:rsid w:val="00300514"/>
    <w:rsid w:val="003012B8"/>
    <w:rsid w:val="00301EAB"/>
    <w:rsid w:val="00303B32"/>
    <w:rsid w:val="00303B6B"/>
    <w:rsid w:val="00303CC0"/>
    <w:rsid w:val="00303F14"/>
    <w:rsid w:val="00304154"/>
    <w:rsid w:val="0030448A"/>
    <w:rsid w:val="003044F7"/>
    <w:rsid w:val="003047B4"/>
    <w:rsid w:val="00304A66"/>
    <w:rsid w:val="00304BDA"/>
    <w:rsid w:val="00304F61"/>
    <w:rsid w:val="003052C1"/>
    <w:rsid w:val="00305346"/>
    <w:rsid w:val="003053EA"/>
    <w:rsid w:val="003055E4"/>
    <w:rsid w:val="003056CD"/>
    <w:rsid w:val="00305D83"/>
    <w:rsid w:val="0030624F"/>
    <w:rsid w:val="00306557"/>
    <w:rsid w:val="00306606"/>
    <w:rsid w:val="00306791"/>
    <w:rsid w:val="00306C6A"/>
    <w:rsid w:val="00306DA5"/>
    <w:rsid w:val="00307A06"/>
    <w:rsid w:val="00307B1A"/>
    <w:rsid w:val="00310011"/>
    <w:rsid w:val="00310193"/>
    <w:rsid w:val="00310240"/>
    <w:rsid w:val="00310B5F"/>
    <w:rsid w:val="00310F53"/>
    <w:rsid w:val="00311016"/>
    <w:rsid w:val="00311192"/>
    <w:rsid w:val="0031137A"/>
    <w:rsid w:val="003120F4"/>
    <w:rsid w:val="00312125"/>
    <w:rsid w:val="00312236"/>
    <w:rsid w:val="00312CE5"/>
    <w:rsid w:val="0031346B"/>
    <w:rsid w:val="00313570"/>
    <w:rsid w:val="003137DA"/>
    <w:rsid w:val="003146B8"/>
    <w:rsid w:val="00315033"/>
    <w:rsid w:val="003152DE"/>
    <w:rsid w:val="00315A70"/>
    <w:rsid w:val="00315E37"/>
    <w:rsid w:val="0031615B"/>
    <w:rsid w:val="0031645A"/>
    <w:rsid w:val="00316996"/>
    <w:rsid w:val="00316C23"/>
    <w:rsid w:val="00316C51"/>
    <w:rsid w:val="00317702"/>
    <w:rsid w:val="00317C66"/>
    <w:rsid w:val="00317F87"/>
    <w:rsid w:val="00320685"/>
    <w:rsid w:val="00320911"/>
    <w:rsid w:val="00320ABF"/>
    <w:rsid w:val="003217DB"/>
    <w:rsid w:val="00322087"/>
    <w:rsid w:val="0032222D"/>
    <w:rsid w:val="00322D21"/>
    <w:rsid w:val="00323232"/>
    <w:rsid w:val="00323B24"/>
    <w:rsid w:val="003246A0"/>
    <w:rsid w:val="00324AD3"/>
    <w:rsid w:val="00325393"/>
    <w:rsid w:val="0032545B"/>
    <w:rsid w:val="00325B65"/>
    <w:rsid w:val="00325D8A"/>
    <w:rsid w:val="00325DA9"/>
    <w:rsid w:val="00326044"/>
    <w:rsid w:val="00326788"/>
    <w:rsid w:val="0032679D"/>
    <w:rsid w:val="003272B9"/>
    <w:rsid w:val="0033021E"/>
    <w:rsid w:val="00330380"/>
    <w:rsid w:val="00330506"/>
    <w:rsid w:val="003312AE"/>
    <w:rsid w:val="00331833"/>
    <w:rsid w:val="00331B7A"/>
    <w:rsid w:val="00331E1F"/>
    <w:rsid w:val="003322AB"/>
    <w:rsid w:val="00332BC4"/>
    <w:rsid w:val="00332C3F"/>
    <w:rsid w:val="00334964"/>
    <w:rsid w:val="00334F1D"/>
    <w:rsid w:val="003350E6"/>
    <w:rsid w:val="003369A7"/>
    <w:rsid w:val="003373CA"/>
    <w:rsid w:val="00337863"/>
    <w:rsid w:val="00337A93"/>
    <w:rsid w:val="00337E54"/>
    <w:rsid w:val="00340069"/>
    <w:rsid w:val="0034009E"/>
    <w:rsid w:val="003404E1"/>
    <w:rsid w:val="00340553"/>
    <w:rsid w:val="00341352"/>
    <w:rsid w:val="00341D9A"/>
    <w:rsid w:val="00342372"/>
    <w:rsid w:val="00342559"/>
    <w:rsid w:val="00342755"/>
    <w:rsid w:val="003429D5"/>
    <w:rsid w:val="00342A1F"/>
    <w:rsid w:val="0034365D"/>
    <w:rsid w:val="003439E8"/>
    <w:rsid w:val="00343D38"/>
    <w:rsid w:val="003446F4"/>
    <w:rsid w:val="00345714"/>
    <w:rsid w:val="00345743"/>
    <w:rsid w:val="003463D1"/>
    <w:rsid w:val="0034642A"/>
    <w:rsid w:val="00346553"/>
    <w:rsid w:val="00346617"/>
    <w:rsid w:val="003477B6"/>
    <w:rsid w:val="003507A5"/>
    <w:rsid w:val="00350C10"/>
    <w:rsid w:val="00350C35"/>
    <w:rsid w:val="00350CE9"/>
    <w:rsid w:val="00351582"/>
    <w:rsid w:val="00351999"/>
    <w:rsid w:val="00352B70"/>
    <w:rsid w:val="00352D82"/>
    <w:rsid w:val="00353A09"/>
    <w:rsid w:val="00353A58"/>
    <w:rsid w:val="00353FBE"/>
    <w:rsid w:val="00354794"/>
    <w:rsid w:val="00354813"/>
    <w:rsid w:val="003550E8"/>
    <w:rsid w:val="0035533D"/>
    <w:rsid w:val="00355903"/>
    <w:rsid w:val="00355F68"/>
    <w:rsid w:val="00356313"/>
    <w:rsid w:val="003563E5"/>
    <w:rsid w:val="00356882"/>
    <w:rsid w:val="0035705C"/>
    <w:rsid w:val="003570F0"/>
    <w:rsid w:val="0035724F"/>
    <w:rsid w:val="00360311"/>
    <w:rsid w:val="003603FC"/>
    <w:rsid w:val="0036048E"/>
    <w:rsid w:val="0036173A"/>
    <w:rsid w:val="003617D6"/>
    <w:rsid w:val="00361B1E"/>
    <w:rsid w:val="00361B84"/>
    <w:rsid w:val="00362C7D"/>
    <w:rsid w:val="00363493"/>
    <w:rsid w:val="00363CFC"/>
    <w:rsid w:val="003649DA"/>
    <w:rsid w:val="00364E5A"/>
    <w:rsid w:val="00365120"/>
    <w:rsid w:val="0036516A"/>
    <w:rsid w:val="003651B0"/>
    <w:rsid w:val="00365B22"/>
    <w:rsid w:val="00366BBD"/>
    <w:rsid w:val="003677EB"/>
    <w:rsid w:val="00370222"/>
    <w:rsid w:val="00371C38"/>
    <w:rsid w:val="0037235D"/>
    <w:rsid w:val="003731AF"/>
    <w:rsid w:val="003736CB"/>
    <w:rsid w:val="0037387F"/>
    <w:rsid w:val="00374FC2"/>
    <w:rsid w:val="00375A0F"/>
    <w:rsid w:val="00375B20"/>
    <w:rsid w:val="003761EF"/>
    <w:rsid w:val="003763BD"/>
    <w:rsid w:val="0037671B"/>
    <w:rsid w:val="003769B2"/>
    <w:rsid w:val="00376AA5"/>
    <w:rsid w:val="0037709B"/>
    <w:rsid w:val="00377773"/>
    <w:rsid w:val="003777C5"/>
    <w:rsid w:val="0038016C"/>
    <w:rsid w:val="00380549"/>
    <w:rsid w:val="00380760"/>
    <w:rsid w:val="003807EA"/>
    <w:rsid w:val="0038081F"/>
    <w:rsid w:val="00380A18"/>
    <w:rsid w:val="00380AEC"/>
    <w:rsid w:val="00380E91"/>
    <w:rsid w:val="003810DD"/>
    <w:rsid w:val="003814CE"/>
    <w:rsid w:val="0038163D"/>
    <w:rsid w:val="003822CD"/>
    <w:rsid w:val="0038265B"/>
    <w:rsid w:val="00382ADC"/>
    <w:rsid w:val="00382E48"/>
    <w:rsid w:val="0038359B"/>
    <w:rsid w:val="003836D0"/>
    <w:rsid w:val="003838B3"/>
    <w:rsid w:val="003839A1"/>
    <w:rsid w:val="00383A4B"/>
    <w:rsid w:val="00383B36"/>
    <w:rsid w:val="00384009"/>
    <w:rsid w:val="00384806"/>
    <w:rsid w:val="003854BF"/>
    <w:rsid w:val="003855B7"/>
    <w:rsid w:val="00385D13"/>
    <w:rsid w:val="00385D1D"/>
    <w:rsid w:val="00386422"/>
    <w:rsid w:val="00386C43"/>
    <w:rsid w:val="00386EB0"/>
    <w:rsid w:val="00386F2B"/>
    <w:rsid w:val="00387376"/>
    <w:rsid w:val="00387443"/>
    <w:rsid w:val="00387EA4"/>
    <w:rsid w:val="003905FF"/>
    <w:rsid w:val="003906EE"/>
    <w:rsid w:val="0039086D"/>
    <w:rsid w:val="003909ED"/>
    <w:rsid w:val="00390A0D"/>
    <w:rsid w:val="00390C9C"/>
    <w:rsid w:val="00390F08"/>
    <w:rsid w:val="00391475"/>
    <w:rsid w:val="00391528"/>
    <w:rsid w:val="00391861"/>
    <w:rsid w:val="00391A44"/>
    <w:rsid w:val="00391DD3"/>
    <w:rsid w:val="00392131"/>
    <w:rsid w:val="00392F78"/>
    <w:rsid w:val="00394C54"/>
    <w:rsid w:val="00395147"/>
    <w:rsid w:val="00395248"/>
    <w:rsid w:val="003953E6"/>
    <w:rsid w:val="00395706"/>
    <w:rsid w:val="00395904"/>
    <w:rsid w:val="003961B6"/>
    <w:rsid w:val="00396F96"/>
    <w:rsid w:val="00397395"/>
    <w:rsid w:val="003974F4"/>
    <w:rsid w:val="00397E83"/>
    <w:rsid w:val="003A0154"/>
    <w:rsid w:val="003A0165"/>
    <w:rsid w:val="003A12D8"/>
    <w:rsid w:val="003A1913"/>
    <w:rsid w:val="003A38DD"/>
    <w:rsid w:val="003A4C5A"/>
    <w:rsid w:val="003A5159"/>
    <w:rsid w:val="003A524D"/>
    <w:rsid w:val="003A55BE"/>
    <w:rsid w:val="003A58F5"/>
    <w:rsid w:val="003A5F50"/>
    <w:rsid w:val="003B0B1C"/>
    <w:rsid w:val="003B100D"/>
    <w:rsid w:val="003B1CFA"/>
    <w:rsid w:val="003B1D43"/>
    <w:rsid w:val="003B211A"/>
    <w:rsid w:val="003B2306"/>
    <w:rsid w:val="003B23C5"/>
    <w:rsid w:val="003B290F"/>
    <w:rsid w:val="003B2C76"/>
    <w:rsid w:val="003B2F80"/>
    <w:rsid w:val="003B3139"/>
    <w:rsid w:val="003B3543"/>
    <w:rsid w:val="003B3F67"/>
    <w:rsid w:val="003B458C"/>
    <w:rsid w:val="003B4F76"/>
    <w:rsid w:val="003B517B"/>
    <w:rsid w:val="003B58AF"/>
    <w:rsid w:val="003B5D80"/>
    <w:rsid w:val="003B62CD"/>
    <w:rsid w:val="003B661D"/>
    <w:rsid w:val="003B685B"/>
    <w:rsid w:val="003B7E87"/>
    <w:rsid w:val="003C00D9"/>
    <w:rsid w:val="003C0652"/>
    <w:rsid w:val="003C07E1"/>
    <w:rsid w:val="003C0DED"/>
    <w:rsid w:val="003C1628"/>
    <w:rsid w:val="003C1C59"/>
    <w:rsid w:val="003C2094"/>
    <w:rsid w:val="003C2302"/>
    <w:rsid w:val="003C24D4"/>
    <w:rsid w:val="003C2812"/>
    <w:rsid w:val="003C3885"/>
    <w:rsid w:val="003C44FB"/>
    <w:rsid w:val="003C45AC"/>
    <w:rsid w:val="003C4A25"/>
    <w:rsid w:val="003C50FF"/>
    <w:rsid w:val="003C5540"/>
    <w:rsid w:val="003C592C"/>
    <w:rsid w:val="003C5BD9"/>
    <w:rsid w:val="003C5E29"/>
    <w:rsid w:val="003C6069"/>
    <w:rsid w:val="003C62FC"/>
    <w:rsid w:val="003C702F"/>
    <w:rsid w:val="003C707E"/>
    <w:rsid w:val="003C7307"/>
    <w:rsid w:val="003C73AC"/>
    <w:rsid w:val="003C74E1"/>
    <w:rsid w:val="003C7C24"/>
    <w:rsid w:val="003D078C"/>
    <w:rsid w:val="003D08CE"/>
    <w:rsid w:val="003D0995"/>
    <w:rsid w:val="003D0FAE"/>
    <w:rsid w:val="003D1389"/>
    <w:rsid w:val="003D18A6"/>
    <w:rsid w:val="003D27C3"/>
    <w:rsid w:val="003D2810"/>
    <w:rsid w:val="003D2994"/>
    <w:rsid w:val="003D309F"/>
    <w:rsid w:val="003D3567"/>
    <w:rsid w:val="003D377E"/>
    <w:rsid w:val="003D43CF"/>
    <w:rsid w:val="003D594F"/>
    <w:rsid w:val="003D5C2E"/>
    <w:rsid w:val="003D6631"/>
    <w:rsid w:val="003D6AF2"/>
    <w:rsid w:val="003D6B1F"/>
    <w:rsid w:val="003D739D"/>
    <w:rsid w:val="003D76EE"/>
    <w:rsid w:val="003D7B4F"/>
    <w:rsid w:val="003D7BC6"/>
    <w:rsid w:val="003D7C38"/>
    <w:rsid w:val="003D7DD2"/>
    <w:rsid w:val="003E0422"/>
    <w:rsid w:val="003E1B81"/>
    <w:rsid w:val="003E1B8C"/>
    <w:rsid w:val="003E1EB1"/>
    <w:rsid w:val="003E2433"/>
    <w:rsid w:val="003E272B"/>
    <w:rsid w:val="003E2932"/>
    <w:rsid w:val="003E2C28"/>
    <w:rsid w:val="003E3627"/>
    <w:rsid w:val="003E38E6"/>
    <w:rsid w:val="003E3973"/>
    <w:rsid w:val="003E3A81"/>
    <w:rsid w:val="003E3CBA"/>
    <w:rsid w:val="003E3DF8"/>
    <w:rsid w:val="003E4152"/>
    <w:rsid w:val="003E418F"/>
    <w:rsid w:val="003E4190"/>
    <w:rsid w:val="003E42A0"/>
    <w:rsid w:val="003E446D"/>
    <w:rsid w:val="003E4CA3"/>
    <w:rsid w:val="003E4E37"/>
    <w:rsid w:val="003E522D"/>
    <w:rsid w:val="003E594E"/>
    <w:rsid w:val="003E69C1"/>
    <w:rsid w:val="003E7BB9"/>
    <w:rsid w:val="003E7FAA"/>
    <w:rsid w:val="003F025B"/>
    <w:rsid w:val="003F16AF"/>
    <w:rsid w:val="003F1E10"/>
    <w:rsid w:val="003F256A"/>
    <w:rsid w:val="003F35F6"/>
    <w:rsid w:val="003F44DF"/>
    <w:rsid w:val="003F4853"/>
    <w:rsid w:val="003F520D"/>
    <w:rsid w:val="003F5669"/>
    <w:rsid w:val="003F5809"/>
    <w:rsid w:val="003F7369"/>
    <w:rsid w:val="003F7810"/>
    <w:rsid w:val="003F78F1"/>
    <w:rsid w:val="003F7C76"/>
    <w:rsid w:val="00400155"/>
    <w:rsid w:val="00400422"/>
    <w:rsid w:val="00400A54"/>
    <w:rsid w:val="0040116C"/>
    <w:rsid w:val="00401668"/>
    <w:rsid w:val="004017A6"/>
    <w:rsid w:val="00401826"/>
    <w:rsid w:val="00401869"/>
    <w:rsid w:val="004020E6"/>
    <w:rsid w:val="004026FC"/>
    <w:rsid w:val="00402EA1"/>
    <w:rsid w:val="0040353D"/>
    <w:rsid w:val="00403B25"/>
    <w:rsid w:val="00403B5A"/>
    <w:rsid w:val="00404309"/>
    <w:rsid w:val="004049D9"/>
    <w:rsid w:val="00404DE5"/>
    <w:rsid w:val="004051DE"/>
    <w:rsid w:val="00405536"/>
    <w:rsid w:val="004060B2"/>
    <w:rsid w:val="00406C4E"/>
    <w:rsid w:val="004072EF"/>
    <w:rsid w:val="004073D0"/>
    <w:rsid w:val="004101A9"/>
    <w:rsid w:val="00410372"/>
    <w:rsid w:val="004104C1"/>
    <w:rsid w:val="004107D7"/>
    <w:rsid w:val="00410A2F"/>
    <w:rsid w:val="00410E0B"/>
    <w:rsid w:val="0041141A"/>
    <w:rsid w:val="0041168B"/>
    <w:rsid w:val="004116A8"/>
    <w:rsid w:val="00411AF5"/>
    <w:rsid w:val="00412347"/>
    <w:rsid w:val="00412467"/>
    <w:rsid w:val="004125A3"/>
    <w:rsid w:val="0041392E"/>
    <w:rsid w:val="00413FEC"/>
    <w:rsid w:val="004142F2"/>
    <w:rsid w:val="00414377"/>
    <w:rsid w:val="00414D0D"/>
    <w:rsid w:val="00414FB8"/>
    <w:rsid w:val="00415681"/>
    <w:rsid w:val="004158BB"/>
    <w:rsid w:val="00416874"/>
    <w:rsid w:val="00416E28"/>
    <w:rsid w:val="00417375"/>
    <w:rsid w:val="00417F8C"/>
    <w:rsid w:val="004207B7"/>
    <w:rsid w:val="004207DE"/>
    <w:rsid w:val="00420855"/>
    <w:rsid w:val="0042090F"/>
    <w:rsid w:val="0042093B"/>
    <w:rsid w:val="00420AFE"/>
    <w:rsid w:val="00421150"/>
    <w:rsid w:val="00421B28"/>
    <w:rsid w:val="00421BE3"/>
    <w:rsid w:val="00421E6A"/>
    <w:rsid w:val="0042201D"/>
    <w:rsid w:val="00422395"/>
    <w:rsid w:val="00422ED6"/>
    <w:rsid w:val="0042310A"/>
    <w:rsid w:val="0042374D"/>
    <w:rsid w:val="004245DC"/>
    <w:rsid w:val="00424962"/>
    <w:rsid w:val="00424F97"/>
    <w:rsid w:val="004257A5"/>
    <w:rsid w:val="00425E10"/>
    <w:rsid w:val="00426954"/>
    <w:rsid w:val="00426CFE"/>
    <w:rsid w:val="004277E2"/>
    <w:rsid w:val="0042790B"/>
    <w:rsid w:val="00427F4B"/>
    <w:rsid w:val="0043067B"/>
    <w:rsid w:val="00430EFE"/>
    <w:rsid w:val="004313F8"/>
    <w:rsid w:val="004317D6"/>
    <w:rsid w:val="004319E0"/>
    <w:rsid w:val="00431EB5"/>
    <w:rsid w:val="00432D7C"/>
    <w:rsid w:val="00432FEE"/>
    <w:rsid w:val="004338B1"/>
    <w:rsid w:val="00433D2E"/>
    <w:rsid w:val="00434435"/>
    <w:rsid w:val="00435978"/>
    <w:rsid w:val="0043619D"/>
    <w:rsid w:val="004372DD"/>
    <w:rsid w:val="004377A7"/>
    <w:rsid w:val="0043782B"/>
    <w:rsid w:val="004379C6"/>
    <w:rsid w:val="004412EB"/>
    <w:rsid w:val="00441468"/>
    <w:rsid w:val="004414B0"/>
    <w:rsid w:val="0044153C"/>
    <w:rsid w:val="00441798"/>
    <w:rsid w:val="00441FD1"/>
    <w:rsid w:val="004425E8"/>
    <w:rsid w:val="00442EB4"/>
    <w:rsid w:val="004437D0"/>
    <w:rsid w:val="00443CC3"/>
    <w:rsid w:val="004447A3"/>
    <w:rsid w:val="004448FD"/>
    <w:rsid w:val="00444D1F"/>
    <w:rsid w:val="004451EE"/>
    <w:rsid w:val="0044543F"/>
    <w:rsid w:val="00445A44"/>
    <w:rsid w:val="004462D2"/>
    <w:rsid w:val="00446580"/>
    <w:rsid w:val="004472B3"/>
    <w:rsid w:val="0044734D"/>
    <w:rsid w:val="0044737D"/>
    <w:rsid w:val="004473A4"/>
    <w:rsid w:val="00447869"/>
    <w:rsid w:val="00447C70"/>
    <w:rsid w:val="00447E55"/>
    <w:rsid w:val="00447FFE"/>
    <w:rsid w:val="004514C1"/>
    <w:rsid w:val="004515F4"/>
    <w:rsid w:val="004522A4"/>
    <w:rsid w:val="00452305"/>
    <w:rsid w:val="00452357"/>
    <w:rsid w:val="004526A8"/>
    <w:rsid w:val="00452759"/>
    <w:rsid w:val="004527BC"/>
    <w:rsid w:val="0045288F"/>
    <w:rsid w:val="00452B05"/>
    <w:rsid w:val="00452BAE"/>
    <w:rsid w:val="00452ED7"/>
    <w:rsid w:val="00453509"/>
    <w:rsid w:val="00453789"/>
    <w:rsid w:val="00453C0E"/>
    <w:rsid w:val="00453CD0"/>
    <w:rsid w:val="004547AC"/>
    <w:rsid w:val="004548D1"/>
    <w:rsid w:val="00454DDE"/>
    <w:rsid w:val="004550A0"/>
    <w:rsid w:val="0045575F"/>
    <w:rsid w:val="00455946"/>
    <w:rsid w:val="0045594F"/>
    <w:rsid w:val="00455E56"/>
    <w:rsid w:val="00455F83"/>
    <w:rsid w:val="0045665F"/>
    <w:rsid w:val="00456B69"/>
    <w:rsid w:val="00456E4C"/>
    <w:rsid w:val="00457563"/>
    <w:rsid w:val="00457A4C"/>
    <w:rsid w:val="00457AD5"/>
    <w:rsid w:val="00460601"/>
    <w:rsid w:val="004608E5"/>
    <w:rsid w:val="00460A61"/>
    <w:rsid w:val="00460A96"/>
    <w:rsid w:val="00460C7E"/>
    <w:rsid w:val="00461567"/>
    <w:rsid w:val="00461AC2"/>
    <w:rsid w:val="00461F8D"/>
    <w:rsid w:val="0046311E"/>
    <w:rsid w:val="004638FF"/>
    <w:rsid w:val="004646E7"/>
    <w:rsid w:val="004648FC"/>
    <w:rsid w:val="0046570F"/>
    <w:rsid w:val="0046613D"/>
    <w:rsid w:val="0046685A"/>
    <w:rsid w:val="004669F5"/>
    <w:rsid w:val="00466C94"/>
    <w:rsid w:val="00466E67"/>
    <w:rsid w:val="004671F1"/>
    <w:rsid w:val="0046780F"/>
    <w:rsid w:val="00467A8E"/>
    <w:rsid w:val="00470143"/>
    <w:rsid w:val="00470466"/>
    <w:rsid w:val="00470836"/>
    <w:rsid w:val="0047086B"/>
    <w:rsid w:val="0047117A"/>
    <w:rsid w:val="004713CC"/>
    <w:rsid w:val="00471A8E"/>
    <w:rsid w:val="00472399"/>
    <w:rsid w:val="00472723"/>
    <w:rsid w:val="00472792"/>
    <w:rsid w:val="0047296F"/>
    <w:rsid w:val="00472CC8"/>
    <w:rsid w:val="00472F9F"/>
    <w:rsid w:val="0047338A"/>
    <w:rsid w:val="004734A9"/>
    <w:rsid w:val="004734EA"/>
    <w:rsid w:val="004735A1"/>
    <w:rsid w:val="00473928"/>
    <w:rsid w:val="004743EB"/>
    <w:rsid w:val="00475058"/>
    <w:rsid w:val="004756B1"/>
    <w:rsid w:val="004778E6"/>
    <w:rsid w:val="00477E41"/>
    <w:rsid w:val="00480064"/>
    <w:rsid w:val="00480EF0"/>
    <w:rsid w:val="00481BE6"/>
    <w:rsid w:val="00481E8D"/>
    <w:rsid w:val="00482007"/>
    <w:rsid w:val="00482181"/>
    <w:rsid w:val="0048259E"/>
    <w:rsid w:val="00482996"/>
    <w:rsid w:val="00482A25"/>
    <w:rsid w:val="00482D2A"/>
    <w:rsid w:val="00482EE0"/>
    <w:rsid w:val="00482F96"/>
    <w:rsid w:val="004830D2"/>
    <w:rsid w:val="004837A3"/>
    <w:rsid w:val="00483CC5"/>
    <w:rsid w:val="00484075"/>
    <w:rsid w:val="004843DC"/>
    <w:rsid w:val="0048519A"/>
    <w:rsid w:val="0048549F"/>
    <w:rsid w:val="004859DD"/>
    <w:rsid w:val="00485CD4"/>
    <w:rsid w:val="00486007"/>
    <w:rsid w:val="00486133"/>
    <w:rsid w:val="0048624E"/>
    <w:rsid w:val="00486BF4"/>
    <w:rsid w:val="00486DC7"/>
    <w:rsid w:val="0048703D"/>
    <w:rsid w:val="00487900"/>
    <w:rsid w:val="0048790A"/>
    <w:rsid w:val="004900E8"/>
    <w:rsid w:val="00490BC2"/>
    <w:rsid w:val="004911D9"/>
    <w:rsid w:val="0049154B"/>
    <w:rsid w:val="00491CCF"/>
    <w:rsid w:val="004922F9"/>
    <w:rsid w:val="0049252B"/>
    <w:rsid w:val="00492674"/>
    <w:rsid w:val="00492AB7"/>
    <w:rsid w:val="004931AC"/>
    <w:rsid w:val="00493211"/>
    <w:rsid w:val="00493570"/>
    <w:rsid w:val="00493B61"/>
    <w:rsid w:val="00493BF9"/>
    <w:rsid w:val="00493E44"/>
    <w:rsid w:val="004945A5"/>
    <w:rsid w:val="004946C5"/>
    <w:rsid w:val="00494BFE"/>
    <w:rsid w:val="00495135"/>
    <w:rsid w:val="004951F4"/>
    <w:rsid w:val="00495482"/>
    <w:rsid w:val="0049548F"/>
    <w:rsid w:val="004955BA"/>
    <w:rsid w:val="0049588B"/>
    <w:rsid w:val="00495EB9"/>
    <w:rsid w:val="00495FAB"/>
    <w:rsid w:val="00496728"/>
    <w:rsid w:val="0049717A"/>
    <w:rsid w:val="004972BE"/>
    <w:rsid w:val="00497333"/>
    <w:rsid w:val="00497E21"/>
    <w:rsid w:val="004A0E59"/>
    <w:rsid w:val="004A1699"/>
    <w:rsid w:val="004A1835"/>
    <w:rsid w:val="004A2377"/>
    <w:rsid w:val="004A2413"/>
    <w:rsid w:val="004A2555"/>
    <w:rsid w:val="004A2BCA"/>
    <w:rsid w:val="004A2C26"/>
    <w:rsid w:val="004A2D11"/>
    <w:rsid w:val="004A2F46"/>
    <w:rsid w:val="004A3ABA"/>
    <w:rsid w:val="004A410E"/>
    <w:rsid w:val="004A4230"/>
    <w:rsid w:val="004A4C08"/>
    <w:rsid w:val="004A562C"/>
    <w:rsid w:val="004A5B23"/>
    <w:rsid w:val="004A5D71"/>
    <w:rsid w:val="004A6587"/>
    <w:rsid w:val="004A6C56"/>
    <w:rsid w:val="004A708E"/>
    <w:rsid w:val="004A7163"/>
    <w:rsid w:val="004A773E"/>
    <w:rsid w:val="004A7C99"/>
    <w:rsid w:val="004B01FE"/>
    <w:rsid w:val="004B0363"/>
    <w:rsid w:val="004B07DE"/>
    <w:rsid w:val="004B11F7"/>
    <w:rsid w:val="004B1347"/>
    <w:rsid w:val="004B136C"/>
    <w:rsid w:val="004B1444"/>
    <w:rsid w:val="004B171E"/>
    <w:rsid w:val="004B1756"/>
    <w:rsid w:val="004B176B"/>
    <w:rsid w:val="004B19A5"/>
    <w:rsid w:val="004B29C7"/>
    <w:rsid w:val="004B2A80"/>
    <w:rsid w:val="004B2ABE"/>
    <w:rsid w:val="004B3299"/>
    <w:rsid w:val="004B3CC7"/>
    <w:rsid w:val="004B3EAF"/>
    <w:rsid w:val="004B5053"/>
    <w:rsid w:val="004B52A6"/>
    <w:rsid w:val="004B52AF"/>
    <w:rsid w:val="004B5BFD"/>
    <w:rsid w:val="004B5D5A"/>
    <w:rsid w:val="004B64F4"/>
    <w:rsid w:val="004B69A1"/>
    <w:rsid w:val="004B7A94"/>
    <w:rsid w:val="004C01C6"/>
    <w:rsid w:val="004C02BC"/>
    <w:rsid w:val="004C0AD3"/>
    <w:rsid w:val="004C1073"/>
    <w:rsid w:val="004C118B"/>
    <w:rsid w:val="004C1DC4"/>
    <w:rsid w:val="004C1EF6"/>
    <w:rsid w:val="004C2704"/>
    <w:rsid w:val="004C316D"/>
    <w:rsid w:val="004C385E"/>
    <w:rsid w:val="004C39A1"/>
    <w:rsid w:val="004C416B"/>
    <w:rsid w:val="004C4280"/>
    <w:rsid w:val="004C489A"/>
    <w:rsid w:val="004C49F1"/>
    <w:rsid w:val="004C4D02"/>
    <w:rsid w:val="004C5484"/>
    <w:rsid w:val="004C5792"/>
    <w:rsid w:val="004C63B5"/>
    <w:rsid w:val="004C74E5"/>
    <w:rsid w:val="004C789E"/>
    <w:rsid w:val="004D03DD"/>
    <w:rsid w:val="004D08D9"/>
    <w:rsid w:val="004D0AA4"/>
    <w:rsid w:val="004D0FC5"/>
    <w:rsid w:val="004D1EC1"/>
    <w:rsid w:val="004D1F71"/>
    <w:rsid w:val="004D2CAF"/>
    <w:rsid w:val="004D32EA"/>
    <w:rsid w:val="004D33A3"/>
    <w:rsid w:val="004D3CE9"/>
    <w:rsid w:val="004D4428"/>
    <w:rsid w:val="004D52BC"/>
    <w:rsid w:val="004D54D7"/>
    <w:rsid w:val="004D5C9A"/>
    <w:rsid w:val="004D6369"/>
    <w:rsid w:val="004D6451"/>
    <w:rsid w:val="004D64EB"/>
    <w:rsid w:val="004D6F92"/>
    <w:rsid w:val="004D715C"/>
    <w:rsid w:val="004D75EB"/>
    <w:rsid w:val="004D7710"/>
    <w:rsid w:val="004D7A8C"/>
    <w:rsid w:val="004E07BF"/>
    <w:rsid w:val="004E0CDF"/>
    <w:rsid w:val="004E0CF2"/>
    <w:rsid w:val="004E1268"/>
    <w:rsid w:val="004E18AB"/>
    <w:rsid w:val="004E1B03"/>
    <w:rsid w:val="004E2234"/>
    <w:rsid w:val="004E27C7"/>
    <w:rsid w:val="004E286E"/>
    <w:rsid w:val="004E2D71"/>
    <w:rsid w:val="004E2E17"/>
    <w:rsid w:val="004E317F"/>
    <w:rsid w:val="004E3494"/>
    <w:rsid w:val="004E4440"/>
    <w:rsid w:val="004E4876"/>
    <w:rsid w:val="004E4B38"/>
    <w:rsid w:val="004E4C6B"/>
    <w:rsid w:val="004E4C6E"/>
    <w:rsid w:val="004E53FD"/>
    <w:rsid w:val="004E56B3"/>
    <w:rsid w:val="004E5E65"/>
    <w:rsid w:val="004E62D0"/>
    <w:rsid w:val="004E655D"/>
    <w:rsid w:val="004E7386"/>
    <w:rsid w:val="004E7474"/>
    <w:rsid w:val="004E7872"/>
    <w:rsid w:val="004E7FC6"/>
    <w:rsid w:val="004F00FA"/>
    <w:rsid w:val="004F071A"/>
    <w:rsid w:val="004F0E65"/>
    <w:rsid w:val="004F0FC6"/>
    <w:rsid w:val="004F12C1"/>
    <w:rsid w:val="004F1433"/>
    <w:rsid w:val="004F28DB"/>
    <w:rsid w:val="004F2BBF"/>
    <w:rsid w:val="004F364A"/>
    <w:rsid w:val="004F3756"/>
    <w:rsid w:val="004F44FA"/>
    <w:rsid w:val="004F4A19"/>
    <w:rsid w:val="004F4EC6"/>
    <w:rsid w:val="004F5137"/>
    <w:rsid w:val="004F55FD"/>
    <w:rsid w:val="004F591F"/>
    <w:rsid w:val="004F5F81"/>
    <w:rsid w:val="004F6291"/>
    <w:rsid w:val="004F66BE"/>
    <w:rsid w:val="004F6A9D"/>
    <w:rsid w:val="004F6B98"/>
    <w:rsid w:val="004F7A65"/>
    <w:rsid w:val="005002FB"/>
    <w:rsid w:val="005005E8"/>
    <w:rsid w:val="00500602"/>
    <w:rsid w:val="0050070C"/>
    <w:rsid w:val="00501615"/>
    <w:rsid w:val="00501843"/>
    <w:rsid w:val="00501961"/>
    <w:rsid w:val="00501D68"/>
    <w:rsid w:val="00501E8C"/>
    <w:rsid w:val="0050240C"/>
    <w:rsid w:val="00502BC8"/>
    <w:rsid w:val="00502EEA"/>
    <w:rsid w:val="00502F32"/>
    <w:rsid w:val="00503322"/>
    <w:rsid w:val="00503354"/>
    <w:rsid w:val="00503408"/>
    <w:rsid w:val="00503442"/>
    <w:rsid w:val="00503DEC"/>
    <w:rsid w:val="0050406E"/>
    <w:rsid w:val="00504287"/>
    <w:rsid w:val="005048F1"/>
    <w:rsid w:val="00505148"/>
    <w:rsid w:val="005052B9"/>
    <w:rsid w:val="00505535"/>
    <w:rsid w:val="00505749"/>
    <w:rsid w:val="00505781"/>
    <w:rsid w:val="00505B29"/>
    <w:rsid w:val="00505CC5"/>
    <w:rsid w:val="0050627E"/>
    <w:rsid w:val="005071C9"/>
    <w:rsid w:val="00507281"/>
    <w:rsid w:val="005072A5"/>
    <w:rsid w:val="00507EC2"/>
    <w:rsid w:val="0051057E"/>
    <w:rsid w:val="00510B3F"/>
    <w:rsid w:val="00510D9A"/>
    <w:rsid w:val="00510DBD"/>
    <w:rsid w:val="0051117F"/>
    <w:rsid w:val="00511ECF"/>
    <w:rsid w:val="00511F3E"/>
    <w:rsid w:val="005123CE"/>
    <w:rsid w:val="0051249F"/>
    <w:rsid w:val="0051276E"/>
    <w:rsid w:val="00512CD5"/>
    <w:rsid w:val="00512DFF"/>
    <w:rsid w:val="00512F12"/>
    <w:rsid w:val="00513643"/>
    <w:rsid w:val="00513AFB"/>
    <w:rsid w:val="00513BE8"/>
    <w:rsid w:val="00514588"/>
    <w:rsid w:val="0051519E"/>
    <w:rsid w:val="005163F7"/>
    <w:rsid w:val="00516946"/>
    <w:rsid w:val="00516D12"/>
    <w:rsid w:val="0051717B"/>
    <w:rsid w:val="00517E44"/>
    <w:rsid w:val="00517E90"/>
    <w:rsid w:val="0052066E"/>
    <w:rsid w:val="0052084B"/>
    <w:rsid w:val="005208BE"/>
    <w:rsid w:val="00520D1D"/>
    <w:rsid w:val="00520F7E"/>
    <w:rsid w:val="005213E3"/>
    <w:rsid w:val="0052185B"/>
    <w:rsid w:val="00522115"/>
    <w:rsid w:val="005222D8"/>
    <w:rsid w:val="00522CDE"/>
    <w:rsid w:val="00523922"/>
    <w:rsid w:val="0052395E"/>
    <w:rsid w:val="00523D8A"/>
    <w:rsid w:val="00525433"/>
    <w:rsid w:val="00525807"/>
    <w:rsid w:val="0052589D"/>
    <w:rsid w:val="00525DC9"/>
    <w:rsid w:val="005260B4"/>
    <w:rsid w:val="00526D3A"/>
    <w:rsid w:val="005279B7"/>
    <w:rsid w:val="00527A83"/>
    <w:rsid w:val="0053038F"/>
    <w:rsid w:val="00530A44"/>
    <w:rsid w:val="00531916"/>
    <w:rsid w:val="00531DE2"/>
    <w:rsid w:val="0053297C"/>
    <w:rsid w:val="00532AE9"/>
    <w:rsid w:val="00532D7F"/>
    <w:rsid w:val="00533572"/>
    <w:rsid w:val="005336A1"/>
    <w:rsid w:val="005336DC"/>
    <w:rsid w:val="00533A63"/>
    <w:rsid w:val="00533C21"/>
    <w:rsid w:val="005344BD"/>
    <w:rsid w:val="005348FE"/>
    <w:rsid w:val="00534B6A"/>
    <w:rsid w:val="00535A2A"/>
    <w:rsid w:val="00535EA7"/>
    <w:rsid w:val="005361B5"/>
    <w:rsid w:val="00536688"/>
    <w:rsid w:val="00536C1B"/>
    <w:rsid w:val="0054090C"/>
    <w:rsid w:val="00541474"/>
    <w:rsid w:val="00541736"/>
    <w:rsid w:val="00541772"/>
    <w:rsid w:val="00542493"/>
    <w:rsid w:val="00542591"/>
    <w:rsid w:val="00542D86"/>
    <w:rsid w:val="00542DC2"/>
    <w:rsid w:val="00542E1D"/>
    <w:rsid w:val="005435CB"/>
    <w:rsid w:val="00543D97"/>
    <w:rsid w:val="00543E27"/>
    <w:rsid w:val="005452DD"/>
    <w:rsid w:val="005454B0"/>
    <w:rsid w:val="0054587E"/>
    <w:rsid w:val="00545A13"/>
    <w:rsid w:val="00545A70"/>
    <w:rsid w:val="00545C20"/>
    <w:rsid w:val="00545FB3"/>
    <w:rsid w:val="00546077"/>
    <w:rsid w:val="00546465"/>
    <w:rsid w:val="005469B3"/>
    <w:rsid w:val="00546C30"/>
    <w:rsid w:val="0054778F"/>
    <w:rsid w:val="00550F05"/>
    <w:rsid w:val="00551F46"/>
    <w:rsid w:val="00552982"/>
    <w:rsid w:val="00552D8D"/>
    <w:rsid w:val="005532DA"/>
    <w:rsid w:val="00553DAA"/>
    <w:rsid w:val="005546CF"/>
    <w:rsid w:val="00554C54"/>
    <w:rsid w:val="00554D9E"/>
    <w:rsid w:val="00555512"/>
    <w:rsid w:val="00555B12"/>
    <w:rsid w:val="00555B88"/>
    <w:rsid w:val="00555D7B"/>
    <w:rsid w:val="00555DCD"/>
    <w:rsid w:val="00555FDF"/>
    <w:rsid w:val="0055606C"/>
    <w:rsid w:val="00556E22"/>
    <w:rsid w:val="00556FDE"/>
    <w:rsid w:val="00557453"/>
    <w:rsid w:val="00557A98"/>
    <w:rsid w:val="00557C7F"/>
    <w:rsid w:val="00557CC0"/>
    <w:rsid w:val="00560A6B"/>
    <w:rsid w:val="00560B61"/>
    <w:rsid w:val="00561383"/>
    <w:rsid w:val="005613EE"/>
    <w:rsid w:val="00562220"/>
    <w:rsid w:val="005625D7"/>
    <w:rsid w:val="005626A8"/>
    <w:rsid w:val="00562E97"/>
    <w:rsid w:val="005635F6"/>
    <w:rsid w:val="0056364F"/>
    <w:rsid w:val="0056374A"/>
    <w:rsid w:val="005639F1"/>
    <w:rsid w:val="0056542F"/>
    <w:rsid w:val="00566051"/>
    <w:rsid w:val="00566882"/>
    <w:rsid w:val="00567377"/>
    <w:rsid w:val="0056761B"/>
    <w:rsid w:val="0056795D"/>
    <w:rsid w:val="00567D19"/>
    <w:rsid w:val="00567D8E"/>
    <w:rsid w:val="00570F0D"/>
    <w:rsid w:val="00570F74"/>
    <w:rsid w:val="00572377"/>
    <w:rsid w:val="0057238B"/>
    <w:rsid w:val="00572C53"/>
    <w:rsid w:val="00572C8F"/>
    <w:rsid w:val="00573B02"/>
    <w:rsid w:val="00573CAB"/>
    <w:rsid w:val="00573DFE"/>
    <w:rsid w:val="00573EFF"/>
    <w:rsid w:val="005743C5"/>
    <w:rsid w:val="00574872"/>
    <w:rsid w:val="00574C3D"/>
    <w:rsid w:val="00574D2C"/>
    <w:rsid w:val="00574EE2"/>
    <w:rsid w:val="005750A0"/>
    <w:rsid w:val="005750B2"/>
    <w:rsid w:val="00575678"/>
    <w:rsid w:val="00575898"/>
    <w:rsid w:val="005758FB"/>
    <w:rsid w:val="00575C3B"/>
    <w:rsid w:val="005760FF"/>
    <w:rsid w:val="005764FF"/>
    <w:rsid w:val="00576723"/>
    <w:rsid w:val="00576C30"/>
    <w:rsid w:val="005778FF"/>
    <w:rsid w:val="00577A00"/>
    <w:rsid w:val="00577A01"/>
    <w:rsid w:val="00577D59"/>
    <w:rsid w:val="00577F9B"/>
    <w:rsid w:val="00580289"/>
    <w:rsid w:val="005808E3"/>
    <w:rsid w:val="0058092C"/>
    <w:rsid w:val="00580FDA"/>
    <w:rsid w:val="00581166"/>
    <w:rsid w:val="0058141E"/>
    <w:rsid w:val="005816DF"/>
    <w:rsid w:val="005823B3"/>
    <w:rsid w:val="00582976"/>
    <w:rsid w:val="005829E7"/>
    <w:rsid w:val="00582DAA"/>
    <w:rsid w:val="00583AE6"/>
    <w:rsid w:val="00583EBB"/>
    <w:rsid w:val="00584110"/>
    <w:rsid w:val="00584D6D"/>
    <w:rsid w:val="00584D99"/>
    <w:rsid w:val="005854DC"/>
    <w:rsid w:val="00585665"/>
    <w:rsid w:val="00585E3F"/>
    <w:rsid w:val="00585EA4"/>
    <w:rsid w:val="00585EC4"/>
    <w:rsid w:val="00585F8A"/>
    <w:rsid w:val="00586070"/>
    <w:rsid w:val="00586590"/>
    <w:rsid w:val="0058675F"/>
    <w:rsid w:val="00586825"/>
    <w:rsid w:val="00586BE1"/>
    <w:rsid w:val="005876D7"/>
    <w:rsid w:val="00590A3A"/>
    <w:rsid w:val="00590C41"/>
    <w:rsid w:val="00590FAC"/>
    <w:rsid w:val="00591400"/>
    <w:rsid w:val="00592D7C"/>
    <w:rsid w:val="00592F6B"/>
    <w:rsid w:val="005931C9"/>
    <w:rsid w:val="0059364B"/>
    <w:rsid w:val="0059385F"/>
    <w:rsid w:val="00593E97"/>
    <w:rsid w:val="005942F9"/>
    <w:rsid w:val="0059469B"/>
    <w:rsid w:val="00595334"/>
    <w:rsid w:val="0059595A"/>
    <w:rsid w:val="005963EB"/>
    <w:rsid w:val="00596723"/>
    <w:rsid w:val="005970FD"/>
    <w:rsid w:val="00597128"/>
    <w:rsid w:val="005A023A"/>
    <w:rsid w:val="005A0315"/>
    <w:rsid w:val="005A067E"/>
    <w:rsid w:val="005A143F"/>
    <w:rsid w:val="005A1642"/>
    <w:rsid w:val="005A2748"/>
    <w:rsid w:val="005A28E9"/>
    <w:rsid w:val="005A2DCB"/>
    <w:rsid w:val="005A331E"/>
    <w:rsid w:val="005A4289"/>
    <w:rsid w:val="005A531A"/>
    <w:rsid w:val="005A5AD0"/>
    <w:rsid w:val="005A5CBC"/>
    <w:rsid w:val="005A5F19"/>
    <w:rsid w:val="005A6813"/>
    <w:rsid w:val="005A6815"/>
    <w:rsid w:val="005A6C12"/>
    <w:rsid w:val="005A6F5C"/>
    <w:rsid w:val="005A7555"/>
    <w:rsid w:val="005A7681"/>
    <w:rsid w:val="005A7A3B"/>
    <w:rsid w:val="005B015E"/>
    <w:rsid w:val="005B03F6"/>
    <w:rsid w:val="005B0857"/>
    <w:rsid w:val="005B20E7"/>
    <w:rsid w:val="005B21B0"/>
    <w:rsid w:val="005B2241"/>
    <w:rsid w:val="005B29C9"/>
    <w:rsid w:val="005B2A7D"/>
    <w:rsid w:val="005B2DA0"/>
    <w:rsid w:val="005B3412"/>
    <w:rsid w:val="005B370D"/>
    <w:rsid w:val="005B3C68"/>
    <w:rsid w:val="005B4001"/>
    <w:rsid w:val="005B4101"/>
    <w:rsid w:val="005B46D0"/>
    <w:rsid w:val="005B46DD"/>
    <w:rsid w:val="005B4805"/>
    <w:rsid w:val="005B4B34"/>
    <w:rsid w:val="005B4C99"/>
    <w:rsid w:val="005B4FB9"/>
    <w:rsid w:val="005B5044"/>
    <w:rsid w:val="005B6A28"/>
    <w:rsid w:val="005B719D"/>
    <w:rsid w:val="005B72D0"/>
    <w:rsid w:val="005C063D"/>
    <w:rsid w:val="005C1425"/>
    <w:rsid w:val="005C183C"/>
    <w:rsid w:val="005C1A05"/>
    <w:rsid w:val="005C1E56"/>
    <w:rsid w:val="005C1FB2"/>
    <w:rsid w:val="005C1FE1"/>
    <w:rsid w:val="005C22EF"/>
    <w:rsid w:val="005C25B0"/>
    <w:rsid w:val="005C27A8"/>
    <w:rsid w:val="005C2E76"/>
    <w:rsid w:val="005C3759"/>
    <w:rsid w:val="005C3B9A"/>
    <w:rsid w:val="005C433A"/>
    <w:rsid w:val="005C45A6"/>
    <w:rsid w:val="005C4A97"/>
    <w:rsid w:val="005C4B8B"/>
    <w:rsid w:val="005C4D9D"/>
    <w:rsid w:val="005C56BA"/>
    <w:rsid w:val="005C5912"/>
    <w:rsid w:val="005C6328"/>
    <w:rsid w:val="005C6443"/>
    <w:rsid w:val="005C67F0"/>
    <w:rsid w:val="005C6CA4"/>
    <w:rsid w:val="005C6DB1"/>
    <w:rsid w:val="005C6DD5"/>
    <w:rsid w:val="005C6E85"/>
    <w:rsid w:val="005C716B"/>
    <w:rsid w:val="005C730B"/>
    <w:rsid w:val="005C735D"/>
    <w:rsid w:val="005D02AA"/>
    <w:rsid w:val="005D1037"/>
    <w:rsid w:val="005D126D"/>
    <w:rsid w:val="005D1353"/>
    <w:rsid w:val="005D2621"/>
    <w:rsid w:val="005D3252"/>
    <w:rsid w:val="005D32B2"/>
    <w:rsid w:val="005D3630"/>
    <w:rsid w:val="005D3A0D"/>
    <w:rsid w:val="005D3D06"/>
    <w:rsid w:val="005D3DBE"/>
    <w:rsid w:val="005D419A"/>
    <w:rsid w:val="005D44F5"/>
    <w:rsid w:val="005D5363"/>
    <w:rsid w:val="005D5993"/>
    <w:rsid w:val="005D5E71"/>
    <w:rsid w:val="005D6E0A"/>
    <w:rsid w:val="005D7BA5"/>
    <w:rsid w:val="005D7E9B"/>
    <w:rsid w:val="005E0D1B"/>
    <w:rsid w:val="005E28FD"/>
    <w:rsid w:val="005E296F"/>
    <w:rsid w:val="005E29A4"/>
    <w:rsid w:val="005E30E6"/>
    <w:rsid w:val="005E3343"/>
    <w:rsid w:val="005E3ED1"/>
    <w:rsid w:val="005E412C"/>
    <w:rsid w:val="005E4386"/>
    <w:rsid w:val="005E46F6"/>
    <w:rsid w:val="005E4D25"/>
    <w:rsid w:val="005E4D7C"/>
    <w:rsid w:val="005E5569"/>
    <w:rsid w:val="005E57C8"/>
    <w:rsid w:val="005E6165"/>
    <w:rsid w:val="005E64EF"/>
    <w:rsid w:val="005E6E4D"/>
    <w:rsid w:val="005E7671"/>
    <w:rsid w:val="005E76D3"/>
    <w:rsid w:val="005E7A5E"/>
    <w:rsid w:val="005E7DCA"/>
    <w:rsid w:val="005E7EDB"/>
    <w:rsid w:val="005F0B8F"/>
    <w:rsid w:val="005F0E00"/>
    <w:rsid w:val="005F1396"/>
    <w:rsid w:val="005F149C"/>
    <w:rsid w:val="005F14E6"/>
    <w:rsid w:val="005F1609"/>
    <w:rsid w:val="005F27C4"/>
    <w:rsid w:val="005F3014"/>
    <w:rsid w:val="005F3100"/>
    <w:rsid w:val="005F3AAB"/>
    <w:rsid w:val="005F3AEE"/>
    <w:rsid w:val="005F3C6D"/>
    <w:rsid w:val="005F40DF"/>
    <w:rsid w:val="005F5664"/>
    <w:rsid w:val="005F5715"/>
    <w:rsid w:val="005F63D7"/>
    <w:rsid w:val="005F671E"/>
    <w:rsid w:val="005F68D0"/>
    <w:rsid w:val="005F6F7A"/>
    <w:rsid w:val="005F7494"/>
    <w:rsid w:val="005F755C"/>
    <w:rsid w:val="005F7599"/>
    <w:rsid w:val="005F770D"/>
    <w:rsid w:val="005F77C6"/>
    <w:rsid w:val="00600C9C"/>
    <w:rsid w:val="00601509"/>
    <w:rsid w:val="006016E3"/>
    <w:rsid w:val="00601C7D"/>
    <w:rsid w:val="00602238"/>
    <w:rsid w:val="0060229E"/>
    <w:rsid w:val="0060278C"/>
    <w:rsid w:val="00602B05"/>
    <w:rsid w:val="00602EFD"/>
    <w:rsid w:val="00602F27"/>
    <w:rsid w:val="00603219"/>
    <w:rsid w:val="006032C5"/>
    <w:rsid w:val="00603347"/>
    <w:rsid w:val="0060368B"/>
    <w:rsid w:val="0060402B"/>
    <w:rsid w:val="0060441B"/>
    <w:rsid w:val="006049E7"/>
    <w:rsid w:val="00604F3B"/>
    <w:rsid w:val="00605305"/>
    <w:rsid w:val="006053B8"/>
    <w:rsid w:val="00605536"/>
    <w:rsid w:val="006057B8"/>
    <w:rsid w:val="00605DDB"/>
    <w:rsid w:val="00605FCE"/>
    <w:rsid w:val="0060615B"/>
    <w:rsid w:val="0060625E"/>
    <w:rsid w:val="006062A5"/>
    <w:rsid w:val="006064D5"/>
    <w:rsid w:val="00606614"/>
    <w:rsid w:val="00606846"/>
    <w:rsid w:val="00606B69"/>
    <w:rsid w:val="00606DF6"/>
    <w:rsid w:val="0060713F"/>
    <w:rsid w:val="0060781A"/>
    <w:rsid w:val="006079BE"/>
    <w:rsid w:val="00607A36"/>
    <w:rsid w:val="00607BE0"/>
    <w:rsid w:val="00607FF1"/>
    <w:rsid w:val="00610BB0"/>
    <w:rsid w:val="00611255"/>
    <w:rsid w:val="00611F6F"/>
    <w:rsid w:val="0061212C"/>
    <w:rsid w:val="00612506"/>
    <w:rsid w:val="006126BE"/>
    <w:rsid w:val="00612EE1"/>
    <w:rsid w:val="006138EF"/>
    <w:rsid w:val="00613921"/>
    <w:rsid w:val="00613E47"/>
    <w:rsid w:val="00613F61"/>
    <w:rsid w:val="006141C7"/>
    <w:rsid w:val="00614A34"/>
    <w:rsid w:val="00614E5C"/>
    <w:rsid w:val="00615CC5"/>
    <w:rsid w:val="00615CE0"/>
    <w:rsid w:val="0061606F"/>
    <w:rsid w:val="00616132"/>
    <w:rsid w:val="0061622B"/>
    <w:rsid w:val="00616EE0"/>
    <w:rsid w:val="006173B4"/>
    <w:rsid w:val="00617A8C"/>
    <w:rsid w:val="006203B7"/>
    <w:rsid w:val="006208D8"/>
    <w:rsid w:val="00620BB5"/>
    <w:rsid w:val="00620D0C"/>
    <w:rsid w:val="00620EAF"/>
    <w:rsid w:val="0062149D"/>
    <w:rsid w:val="006219D5"/>
    <w:rsid w:val="006219DC"/>
    <w:rsid w:val="00622082"/>
    <w:rsid w:val="006223AE"/>
    <w:rsid w:val="00623487"/>
    <w:rsid w:val="00623F83"/>
    <w:rsid w:val="0062433A"/>
    <w:rsid w:val="00624343"/>
    <w:rsid w:val="00624462"/>
    <w:rsid w:val="00624A33"/>
    <w:rsid w:val="00624C97"/>
    <w:rsid w:val="00624C9B"/>
    <w:rsid w:val="00625012"/>
    <w:rsid w:val="0062513E"/>
    <w:rsid w:val="00625995"/>
    <w:rsid w:val="00625F01"/>
    <w:rsid w:val="00626093"/>
    <w:rsid w:val="006262B3"/>
    <w:rsid w:val="00626690"/>
    <w:rsid w:val="00626CD6"/>
    <w:rsid w:val="00626F5D"/>
    <w:rsid w:val="00627E83"/>
    <w:rsid w:val="0063152F"/>
    <w:rsid w:val="00631D05"/>
    <w:rsid w:val="00631FAB"/>
    <w:rsid w:val="0063213A"/>
    <w:rsid w:val="00632B79"/>
    <w:rsid w:val="006338B3"/>
    <w:rsid w:val="00633A1B"/>
    <w:rsid w:val="0063403E"/>
    <w:rsid w:val="006340AB"/>
    <w:rsid w:val="00634823"/>
    <w:rsid w:val="006353B4"/>
    <w:rsid w:val="00635D0A"/>
    <w:rsid w:val="00635D5B"/>
    <w:rsid w:val="0063630C"/>
    <w:rsid w:val="0063656D"/>
    <w:rsid w:val="00636AF4"/>
    <w:rsid w:val="00637338"/>
    <w:rsid w:val="006408B3"/>
    <w:rsid w:val="00640A16"/>
    <w:rsid w:val="00640F4F"/>
    <w:rsid w:val="006413AA"/>
    <w:rsid w:val="00641BCB"/>
    <w:rsid w:val="0064203F"/>
    <w:rsid w:val="0064224F"/>
    <w:rsid w:val="006423E8"/>
    <w:rsid w:val="00642470"/>
    <w:rsid w:val="00642B58"/>
    <w:rsid w:val="00642C87"/>
    <w:rsid w:val="006437F5"/>
    <w:rsid w:val="00643950"/>
    <w:rsid w:val="00644061"/>
    <w:rsid w:val="00645251"/>
    <w:rsid w:val="00645B3F"/>
    <w:rsid w:val="00645BA2"/>
    <w:rsid w:val="00646282"/>
    <w:rsid w:val="00646832"/>
    <w:rsid w:val="00646C1E"/>
    <w:rsid w:val="00646E27"/>
    <w:rsid w:val="006472ED"/>
    <w:rsid w:val="006473C2"/>
    <w:rsid w:val="00647580"/>
    <w:rsid w:val="0064763C"/>
    <w:rsid w:val="00647733"/>
    <w:rsid w:val="00647E97"/>
    <w:rsid w:val="006505F0"/>
    <w:rsid w:val="006506B7"/>
    <w:rsid w:val="00650E8F"/>
    <w:rsid w:val="00651627"/>
    <w:rsid w:val="00651A74"/>
    <w:rsid w:val="00651D61"/>
    <w:rsid w:val="00651D86"/>
    <w:rsid w:val="00651FC0"/>
    <w:rsid w:val="0065289B"/>
    <w:rsid w:val="006528A2"/>
    <w:rsid w:val="00652951"/>
    <w:rsid w:val="00652952"/>
    <w:rsid w:val="006529AD"/>
    <w:rsid w:val="00652BB6"/>
    <w:rsid w:val="0065316C"/>
    <w:rsid w:val="0065326D"/>
    <w:rsid w:val="00653349"/>
    <w:rsid w:val="006533F8"/>
    <w:rsid w:val="00653581"/>
    <w:rsid w:val="00653984"/>
    <w:rsid w:val="0065466D"/>
    <w:rsid w:val="00654A68"/>
    <w:rsid w:val="00654E85"/>
    <w:rsid w:val="006556C8"/>
    <w:rsid w:val="00655CB7"/>
    <w:rsid w:val="00656010"/>
    <w:rsid w:val="0065636C"/>
    <w:rsid w:val="006567C2"/>
    <w:rsid w:val="00656873"/>
    <w:rsid w:val="006574FB"/>
    <w:rsid w:val="00660426"/>
    <w:rsid w:val="006605A5"/>
    <w:rsid w:val="00661131"/>
    <w:rsid w:val="00661279"/>
    <w:rsid w:val="0066129E"/>
    <w:rsid w:val="00661379"/>
    <w:rsid w:val="0066148D"/>
    <w:rsid w:val="0066161E"/>
    <w:rsid w:val="00662462"/>
    <w:rsid w:val="006628C7"/>
    <w:rsid w:val="00663B19"/>
    <w:rsid w:val="00663B2C"/>
    <w:rsid w:val="00663F64"/>
    <w:rsid w:val="00664149"/>
    <w:rsid w:val="006648B1"/>
    <w:rsid w:val="0066492A"/>
    <w:rsid w:val="00664DAC"/>
    <w:rsid w:val="00665218"/>
    <w:rsid w:val="006656C6"/>
    <w:rsid w:val="00665A03"/>
    <w:rsid w:val="00665A0A"/>
    <w:rsid w:val="00665A76"/>
    <w:rsid w:val="00665FB4"/>
    <w:rsid w:val="0066605D"/>
    <w:rsid w:val="0066628D"/>
    <w:rsid w:val="006666D4"/>
    <w:rsid w:val="00667299"/>
    <w:rsid w:val="006679B4"/>
    <w:rsid w:val="00667FEE"/>
    <w:rsid w:val="00670D67"/>
    <w:rsid w:val="0067148C"/>
    <w:rsid w:val="006714C9"/>
    <w:rsid w:val="006715AA"/>
    <w:rsid w:val="006716B2"/>
    <w:rsid w:val="00671802"/>
    <w:rsid w:val="00671ACC"/>
    <w:rsid w:val="00671CAA"/>
    <w:rsid w:val="006726C1"/>
    <w:rsid w:val="00672D93"/>
    <w:rsid w:val="006731BD"/>
    <w:rsid w:val="00673C8D"/>
    <w:rsid w:val="0067441B"/>
    <w:rsid w:val="0067458D"/>
    <w:rsid w:val="00675469"/>
    <w:rsid w:val="00675DAC"/>
    <w:rsid w:val="00676041"/>
    <w:rsid w:val="00676852"/>
    <w:rsid w:val="00676B61"/>
    <w:rsid w:val="00676DF3"/>
    <w:rsid w:val="00677F02"/>
    <w:rsid w:val="00680887"/>
    <w:rsid w:val="00680934"/>
    <w:rsid w:val="00680A2F"/>
    <w:rsid w:val="00680A61"/>
    <w:rsid w:val="00680AB3"/>
    <w:rsid w:val="006824A3"/>
    <w:rsid w:val="00682D8C"/>
    <w:rsid w:val="00683298"/>
    <w:rsid w:val="0068330F"/>
    <w:rsid w:val="00683B63"/>
    <w:rsid w:val="00684386"/>
    <w:rsid w:val="00684827"/>
    <w:rsid w:val="00684892"/>
    <w:rsid w:val="00684F6F"/>
    <w:rsid w:val="00685087"/>
    <w:rsid w:val="00685263"/>
    <w:rsid w:val="00685A03"/>
    <w:rsid w:val="00685A57"/>
    <w:rsid w:val="00686868"/>
    <w:rsid w:val="0068708C"/>
    <w:rsid w:val="0068744E"/>
    <w:rsid w:val="006875D4"/>
    <w:rsid w:val="00687B9A"/>
    <w:rsid w:val="00687C30"/>
    <w:rsid w:val="00687EAE"/>
    <w:rsid w:val="006902DF"/>
    <w:rsid w:val="00690E93"/>
    <w:rsid w:val="00690FC8"/>
    <w:rsid w:val="00691826"/>
    <w:rsid w:val="0069266A"/>
    <w:rsid w:val="00692A85"/>
    <w:rsid w:val="00693149"/>
    <w:rsid w:val="0069347B"/>
    <w:rsid w:val="00693612"/>
    <w:rsid w:val="00693A32"/>
    <w:rsid w:val="0069415C"/>
    <w:rsid w:val="006949B1"/>
    <w:rsid w:val="00694BB2"/>
    <w:rsid w:val="00695586"/>
    <w:rsid w:val="00695B54"/>
    <w:rsid w:val="0069691E"/>
    <w:rsid w:val="00697373"/>
    <w:rsid w:val="00697423"/>
    <w:rsid w:val="006974CA"/>
    <w:rsid w:val="00697D62"/>
    <w:rsid w:val="00697E12"/>
    <w:rsid w:val="006A01CE"/>
    <w:rsid w:val="006A0493"/>
    <w:rsid w:val="006A09E2"/>
    <w:rsid w:val="006A0A4B"/>
    <w:rsid w:val="006A14AC"/>
    <w:rsid w:val="006A292F"/>
    <w:rsid w:val="006A2B12"/>
    <w:rsid w:val="006A2BEB"/>
    <w:rsid w:val="006A33DB"/>
    <w:rsid w:val="006A35D1"/>
    <w:rsid w:val="006A3801"/>
    <w:rsid w:val="006A38E5"/>
    <w:rsid w:val="006A3AAA"/>
    <w:rsid w:val="006A4560"/>
    <w:rsid w:val="006A45EF"/>
    <w:rsid w:val="006A4CFE"/>
    <w:rsid w:val="006A4E24"/>
    <w:rsid w:val="006A4FE9"/>
    <w:rsid w:val="006A57FD"/>
    <w:rsid w:val="006A65B4"/>
    <w:rsid w:val="006A6B76"/>
    <w:rsid w:val="006A720A"/>
    <w:rsid w:val="006A737B"/>
    <w:rsid w:val="006A78FF"/>
    <w:rsid w:val="006A7B73"/>
    <w:rsid w:val="006B04C2"/>
    <w:rsid w:val="006B06B0"/>
    <w:rsid w:val="006B07A1"/>
    <w:rsid w:val="006B0877"/>
    <w:rsid w:val="006B0917"/>
    <w:rsid w:val="006B0A11"/>
    <w:rsid w:val="006B1218"/>
    <w:rsid w:val="006B1DEE"/>
    <w:rsid w:val="006B25B5"/>
    <w:rsid w:val="006B25E6"/>
    <w:rsid w:val="006B2616"/>
    <w:rsid w:val="006B2A58"/>
    <w:rsid w:val="006B3316"/>
    <w:rsid w:val="006B37BE"/>
    <w:rsid w:val="006B3A1D"/>
    <w:rsid w:val="006B3A71"/>
    <w:rsid w:val="006B4220"/>
    <w:rsid w:val="006B499D"/>
    <w:rsid w:val="006B49EF"/>
    <w:rsid w:val="006B4E92"/>
    <w:rsid w:val="006B5926"/>
    <w:rsid w:val="006B5C8A"/>
    <w:rsid w:val="006B5DC8"/>
    <w:rsid w:val="006B6055"/>
    <w:rsid w:val="006B605A"/>
    <w:rsid w:val="006B6085"/>
    <w:rsid w:val="006B60C2"/>
    <w:rsid w:val="006B62F6"/>
    <w:rsid w:val="006B6505"/>
    <w:rsid w:val="006B65C9"/>
    <w:rsid w:val="006B71E0"/>
    <w:rsid w:val="006B7C34"/>
    <w:rsid w:val="006C0021"/>
    <w:rsid w:val="006C0144"/>
    <w:rsid w:val="006C06FF"/>
    <w:rsid w:val="006C0863"/>
    <w:rsid w:val="006C0E9E"/>
    <w:rsid w:val="006C0EF9"/>
    <w:rsid w:val="006C2725"/>
    <w:rsid w:val="006C2747"/>
    <w:rsid w:val="006C3455"/>
    <w:rsid w:val="006C42D1"/>
    <w:rsid w:val="006C47D4"/>
    <w:rsid w:val="006C55DA"/>
    <w:rsid w:val="006C5842"/>
    <w:rsid w:val="006C5B3E"/>
    <w:rsid w:val="006C5C8C"/>
    <w:rsid w:val="006C6284"/>
    <w:rsid w:val="006C6A92"/>
    <w:rsid w:val="006C70F0"/>
    <w:rsid w:val="006C745F"/>
    <w:rsid w:val="006C782D"/>
    <w:rsid w:val="006D09FC"/>
    <w:rsid w:val="006D0CD6"/>
    <w:rsid w:val="006D0D6D"/>
    <w:rsid w:val="006D17A1"/>
    <w:rsid w:val="006D21B5"/>
    <w:rsid w:val="006D26BE"/>
    <w:rsid w:val="006D2F43"/>
    <w:rsid w:val="006D3347"/>
    <w:rsid w:val="006D371F"/>
    <w:rsid w:val="006D3842"/>
    <w:rsid w:val="006D4202"/>
    <w:rsid w:val="006D4DEE"/>
    <w:rsid w:val="006D530B"/>
    <w:rsid w:val="006D59A3"/>
    <w:rsid w:val="006D5B1B"/>
    <w:rsid w:val="006D62BE"/>
    <w:rsid w:val="006D6997"/>
    <w:rsid w:val="006D72DC"/>
    <w:rsid w:val="006D7866"/>
    <w:rsid w:val="006D7D0B"/>
    <w:rsid w:val="006E0001"/>
    <w:rsid w:val="006E05D4"/>
    <w:rsid w:val="006E07AC"/>
    <w:rsid w:val="006E0D46"/>
    <w:rsid w:val="006E14C4"/>
    <w:rsid w:val="006E15DD"/>
    <w:rsid w:val="006E1BED"/>
    <w:rsid w:val="006E1FEC"/>
    <w:rsid w:val="006E22D4"/>
    <w:rsid w:val="006E23A6"/>
    <w:rsid w:val="006E2454"/>
    <w:rsid w:val="006E2471"/>
    <w:rsid w:val="006E2784"/>
    <w:rsid w:val="006E27C8"/>
    <w:rsid w:val="006E2BD0"/>
    <w:rsid w:val="006E2F35"/>
    <w:rsid w:val="006E314E"/>
    <w:rsid w:val="006E3251"/>
    <w:rsid w:val="006E35FF"/>
    <w:rsid w:val="006E42B9"/>
    <w:rsid w:val="006E43B3"/>
    <w:rsid w:val="006E489E"/>
    <w:rsid w:val="006E4E14"/>
    <w:rsid w:val="006E58B4"/>
    <w:rsid w:val="006E5921"/>
    <w:rsid w:val="006E60EE"/>
    <w:rsid w:val="006E665D"/>
    <w:rsid w:val="006E670C"/>
    <w:rsid w:val="006E686C"/>
    <w:rsid w:val="006E691A"/>
    <w:rsid w:val="006E694A"/>
    <w:rsid w:val="006E6E57"/>
    <w:rsid w:val="006E73C1"/>
    <w:rsid w:val="006E751D"/>
    <w:rsid w:val="006E7961"/>
    <w:rsid w:val="006E7F1C"/>
    <w:rsid w:val="006F06C9"/>
    <w:rsid w:val="006F098C"/>
    <w:rsid w:val="006F1735"/>
    <w:rsid w:val="006F1AFE"/>
    <w:rsid w:val="006F262B"/>
    <w:rsid w:val="006F2748"/>
    <w:rsid w:val="006F2794"/>
    <w:rsid w:val="006F2B59"/>
    <w:rsid w:val="006F2D4C"/>
    <w:rsid w:val="006F2E64"/>
    <w:rsid w:val="006F36CA"/>
    <w:rsid w:val="006F39B0"/>
    <w:rsid w:val="006F3D95"/>
    <w:rsid w:val="006F3F22"/>
    <w:rsid w:val="006F3FE2"/>
    <w:rsid w:val="006F467F"/>
    <w:rsid w:val="006F564C"/>
    <w:rsid w:val="006F5DFD"/>
    <w:rsid w:val="006F6406"/>
    <w:rsid w:val="006F67F8"/>
    <w:rsid w:val="006F6E16"/>
    <w:rsid w:val="006F7C3B"/>
    <w:rsid w:val="006F7D07"/>
    <w:rsid w:val="006F7DF1"/>
    <w:rsid w:val="007000FA"/>
    <w:rsid w:val="007003B2"/>
    <w:rsid w:val="0070046A"/>
    <w:rsid w:val="00700D14"/>
    <w:rsid w:val="00700D35"/>
    <w:rsid w:val="00701410"/>
    <w:rsid w:val="0070196E"/>
    <w:rsid w:val="007021FC"/>
    <w:rsid w:val="007026E8"/>
    <w:rsid w:val="007032B4"/>
    <w:rsid w:val="007033A2"/>
    <w:rsid w:val="007038A7"/>
    <w:rsid w:val="00703A2A"/>
    <w:rsid w:val="00703D77"/>
    <w:rsid w:val="007040E1"/>
    <w:rsid w:val="00704412"/>
    <w:rsid w:val="00704D68"/>
    <w:rsid w:val="00704E1A"/>
    <w:rsid w:val="0070532B"/>
    <w:rsid w:val="00705577"/>
    <w:rsid w:val="00705B70"/>
    <w:rsid w:val="0070610F"/>
    <w:rsid w:val="0070644B"/>
    <w:rsid w:val="0070736B"/>
    <w:rsid w:val="00707C8C"/>
    <w:rsid w:val="00710085"/>
    <w:rsid w:val="00710838"/>
    <w:rsid w:val="00710D51"/>
    <w:rsid w:val="0071123D"/>
    <w:rsid w:val="00711559"/>
    <w:rsid w:val="007115EF"/>
    <w:rsid w:val="00711E77"/>
    <w:rsid w:val="00712505"/>
    <w:rsid w:val="00712576"/>
    <w:rsid w:val="00712725"/>
    <w:rsid w:val="00712C8F"/>
    <w:rsid w:val="00712E91"/>
    <w:rsid w:val="0071301E"/>
    <w:rsid w:val="007131F9"/>
    <w:rsid w:val="007135AF"/>
    <w:rsid w:val="0071365E"/>
    <w:rsid w:val="007143DA"/>
    <w:rsid w:val="0071445C"/>
    <w:rsid w:val="0071446A"/>
    <w:rsid w:val="0071466D"/>
    <w:rsid w:val="00714749"/>
    <w:rsid w:val="0071499C"/>
    <w:rsid w:val="00714FFB"/>
    <w:rsid w:val="00715027"/>
    <w:rsid w:val="007153B4"/>
    <w:rsid w:val="00716547"/>
    <w:rsid w:val="0071699C"/>
    <w:rsid w:val="00716C35"/>
    <w:rsid w:val="00716FE7"/>
    <w:rsid w:val="00717194"/>
    <w:rsid w:val="00717832"/>
    <w:rsid w:val="007202B6"/>
    <w:rsid w:val="007209B7"/>
    <w:rsid w:val="007214BC"/>
    <w:rsid w:val="007217F3"/>
    <w:rsid w:val="0072182C"/>
    <w:rsid w:val="007219F8"/>
    <w:rsid w:val="00721E20"/>
    <w:rsid w:val="00722309"/>
    <w:rsid w:val="00722ADC"/>
    <w:rsid w:val="007238A9"/>
    <w:rsid w:val="00723C54"/>
    <w:rsid w:val="00724F23"/>
    <w:rsid w:val="007258F0"/>
    <w:rsid w:val="00725AAC"/>
    <w:rsid w:val="00725B88"/>
    <w:rsid w:val="00725D86"/>
    <w:rsid w:val="0072662F"/>
    <w:rsid w:val="00726A4C"/>
    <w:rsid w:val="00726C49"/>
    <w:rsid w:val="00726CC9"/>
    <w:rsid w:val="007279E2"/>
    <w:rsid w:val="00727BCD"/>
    <w:rsid w:val="00727C47"/>
    <w:rsid w:val="0073039D"/>
    <w:rsid w:val="00730705"/>
    <w:rsid w:val="00730B0A"/>
    <w:rsid w:val="00730E8E"/>
    <w:rsid w:val="00731785"/>
    <w:rsid w:val="0073269B"/>
    <w:rsid w:val="00732862"/>
    <w:rsid w:val="00732A4B"/>
    <w:rsid w:val="00732C34"/>
    <w:rsid w:val="00733074"/>
    <w:rsid w:val="007338CE"/>
    <w:rsid w:val="007341BD"/>
    <w:rsid w:val="007344C3"/>
    <w:rsid w:val="00734553"/>
    <w:rsid w:val="007353A9"/>
    <w:rsid w:val="007353EF"/>
    <w:rsid w:val="00735763"/>
    <w:rsid w:val="00735D18"/>
    <w:rsid w:val="0073609B"/>
    <w:rsid w:val="0073654A"/>
    <w:rsid w:val="00736FFA"/>
    <w:rsid w:val="007370F5"/>
    <w:rsid w:val="0074001A"/>
    <w:rsid w:val="007402D5"/>
    <w:rsid w:val="00740335"/>
    <w:rsid w:val="007416E8"/>
    <w:rsid w:val="00741FB7"/>
    <w:rsid w:val="007421CB"/>
    <w:rsid w:val="0074244E"/>
    <w:rsid w:val="00742B8C"/>
    <w:rsid w:val="00743336"/>
    <w:rsid w:val="00743364"/>
    <w:rsid w:val="00743C16"/>
    <w:rsid w:val="00743FF5"/>
    <w:rsid w:val="007443DD"/>
    <w:rsid w:val="00744EEC"/>
    <w:rsid w:val="0074509E"/>
    <w:rsid w:val="007451FD"/>
    <w:rsid w:val="00745388"/>
    <w:rsid w:val="0074589B"/>
    <w:rsid w:val="0074599A"/>
    <w:rsid w:val="00745A9F"/>
    <w:rsid w:val="007466C2"/>
    <w:rsid w:val="007468FB"/>
    <w:rsid w:val="00746DD7"/>
    <w:rsid w:val="00747106"/>
    <w:rsid w:val="007471FB"/>
    <w:rsid w:val="00747C3B"/>
    <w:rsid w:val="00747D42"/>
    <w:rsid w:val="0075149E"/>
    <w:rsid w:val="007514BD"/>
    <w:rsid w:val="00752BC4"/>
    <w:rsid w:val="00752E30"/>
    <w:rsid w:val="00753062"/>
    <w:rsid w:val="00753481"/>
    <w:rsid w:val="00753798"/>
    <w:rsid w:val="007537A8"/>
    <w:rsid w:val="00753E79"/>
    <w:rsid w:val="0075413D"/>
    <w:rsid w:val="00754BB7"/>
    <w:rsid w:val="007559F8"/>
    <w:rsid w:val="00755B5B"/>
    <w:rsid w:val="00755EA9"/>
    <w:rsid w:val="00756249"/>
    <w:rsid w:val="007562A4"/>
    <w:rsid w:val="0075687A"/>
    <w:rsid w:val="00757101"/>
    <w:rsid w:val="007571A7"/>
    <w:rsid w:val="007577B8"/>
    <w:rsid w:val="007600DC"/>
    <w:rsid w:val="00760C73"/>
    <w:rsid w:val="00760E04"/>
    <w:rsid w:val="00760EFC"/>
    <w:rsid w:val="007612DD"/>
    <w:rsid w:val="0076152C"/>
    <w:rsid w:val="00761709"/>
    <w:rsid w:val="00761B1D"/>
    <w:rsid w:val="00761D7C"/>
    <w:rsid w:val="007627DD"/>
    <w:rsid w:val="00762BA0"/>
    <w:rsid w:val="00762FB6"/>
    <w:rsid w:val="007635EB"/>
    <w:rsid w:val="00763B25"/>
    <w:rsid w:val="00764042"/>
    <w:rsid w:val="00764258"/>
    <w:rsid w:val="0076443C"/>
    <w:rsid w:val="00764818"/>
    <w:rsid w:val="00764F38"/>
    <w:rsid w:val="00765509"/>
    <w:rsid w:val="0076599A"/>
    <w:rsid w:val="00765C3A"/>
    <w:rsid w:val="00765C4E"/>
    <w:rsid w:val="00766087"/>
    <w:rsid w:val="007664C0"/>
    <w:rsid w:val="0076726F"/>
    <w:rsid w:val="007674BD"/>
    <w:rsid w:val="00770ABD"/>
    <w:rsid w:val="00771010"/>
    <w:rsid w:val="00771087"/>
    <w:rsid w:val="0077129D"/>
    <w:rsid w:val="00771B41"/>
    <w:rsid w:val="00771E69"/>
    <w:rsid w:val="007721BF"/>
    <w:rsid w:val="0077346B"/>
    <w:rsid w:val="007735B8"/>
    <w:rsid w:val="00773794"/>
    <w:rsid w:val="00773D40"/>
    <w:rsid w:val="00774071"/>
    <w:rsid w:val="0077491B"/>
    <w:rsid w:val="00774CA7"/>
    <w:rsid w:val="00775071"/>
    <w:rsid w:val="00775368"/>
    <w:rsid w:val="00775703"/>
    <w:rsid w:val="00775A4C"/>
    <w:rsid w:val="00775B5E"/>
    <w:rsid w:val="007762A2"/>
    <w:rsid w:val="0077671B"/>
    <w:rsid w:val="00776843"/>
    <w:rsid w:val="00776878"/>
    <w:rsid w:val="00776A33"/>
    <w:rsid w:val="00776F0D"/>
    <w:rsid w:val="00777285"/>
    <w:rsid w:val="00777AF5"/>
    <w:rsid w:val="007801D5"/>
    <w:rsid w:val="0078043F"/>
    <w:rsid w:val="00780699"/>
    <w:rsid w:val="00780B1E"/>
    <w:rsid w:val="00781085"/>
    <w:rsid w:val="007810C0"/>
    <w:rsid w:val="007819B9"/>
    <w:rsid w:val="00781E5A"/>
    <w:rsid w:val="0078274F"/>
    <w:rsid w:val="00782886"/>
    <w:rsid w:val="00782B6F"/>
    <w:rsid w:val="00782C9A"/>
    <w:rsid w:val="00782DB6"/>
    <w:rsid w:val="007835DE"/>
    <w:rsid w:val="00783702"/>
    <w:rsid w:val="007839AE"/>
    <w:rsid w:val="00783F68"/>
    <w:rsid w:val="007845E4"/>
    <w:rsid w:val="00784BB3"/>
    <w:rsid w:val="00784BF7"/>
    <w:rsid w:val="00785DAA"/>
    <w:rsid w:val="007860F3"/>
    <w:rsid w:val="00786442"/>
    <w:rsid w:val="007866A0"/>
    <w:rsid w:val="00786E49"/>
    <w:rsid w:val="00786F4B"/>
    <w:rsid w:val="00787011"/>
    <w:rsid w:val="00787733"/>
    <w:rsid w:val="0078786E"/>
    <w:rsid w:val="00787E91"/>
    <w:rsid w:val="00787FB1"/>
    <w:rsid w:val="00790306"/>
    <w:rsid w:val="00790742"/>
    <w:rsid w:val="00790991"/>
    <w:rsid w:val="00791B81"/>
    <w:rsid w:val="00792139"/>
    <w:rsid w:val="007921DA"/>
    <w:rsid w:val="0079298D"/>
    <w:rsid w:val="0079302C"/>
    <w:rsid w:val="007933EB"/>
    <w:rsid w:val="0079342E"/>
    <w:rsid w:val="007936F8"/>
    <w:rsid w:val="007946B3"/>
    <w:rsid w:val="00795519"/>
    <w:rsid w:val="007966CD"/>
    <w:rsid w:val="00796895"/>
    <w:rsid w:val="007971E6"/>
    <w:rsid w:val="00797200"/>
    <w:rsid w:val="007972BA"/>
    <w:rsid w:val="007978A2"/>
    <w:rsid w:val="00797C14"/>
    <w:rsid w:val="00797FEE"/>
    <w:rsid w:val="007A0012"/>
    <w:rsid w:val="007A041B"/>
    <w:rsid w:val="007A0B64"/>
    <w:rsid w:val="007A0C05"/>
    <w:rsid w:val="007A1878"/>
    <w:rsid w:val="007A1DCD"/>
    <w:rsid w:val="007A220D"/>
    <w:rsid w:val="007A23EA"/>
    <w:rsid w:val="007A2BC7"/>
    <w:rsid w:val="007A2D98"/>
    <w:rsid w:val="007A2F06"/>
    <w:rsid w:val="007A325B"/>
    <w:rsid w:val="007A37C4"/>
    <w:rsid w:val="007A3902"/>
    <w:rsid w:val="007A39B9"/>
    <w:rsid w:val="007A3ABD"/>
    <w:rsid w:val="007A3B57"/>
    <w:rsid w:val="007A4182"/>
    <w:rsid w:val="007A490C"/>
    <w:rsid w:val="007A5250"/>
    <w:rsid w:val="007A59B5"/>
    <w:rsid w:val="007A5CE2"/>
    <w:rsid w:val="007A62DB"/>
    <w:rsid w:val="007A68FC"/>
    <w:rsid w:val="007A6958"/>
    <w:rsid w:val="007A746B"/>
    <w:rsid w:val="007A772D"/>
    <w:rsid w:val="007B021F"/>
    <w:rsid w:val="007B0328"/>
    <w:rsid w:val="007B0C65"/>
    <w:rsid w:val="007B0CB7"/>
    <w:rsid w:val="007B0ED3"/>
    <w:rsid w:val="007B1312"/>
    <w:rsid w:val="007B1587"/>
    <w:rsid w:val="007B1DB6"/>
    <w:rsid w:val="007B2432"/>
    <w:rsid w:val="007B2E98"/>
    <w:rsid w:val="007B37A6"/>
    <w:rsid w:val="007B3F38"/>
    <w:rsid w:val="007B40E0"/>
    <w:rsid w:val="007B4552"/>
    <w:rsid w:val="007B4D71"/>
    <w:rsid w:val="007B54F1"/>
    <w:rsid w:val="007B59B9"/>
    <w:rsid w:val="007B5DC8"/>
    <w:rsid w:val="007B5E20"/>
    <w:rsid w:val="007B6440"/>
    <w:rsid w:val="007B6650"/>
    <w:rsid w:val="007B6893"/>
    <w:rsid w:val="007B6915"/>
    <w:rsid w:val="007B6B08"/>
    <w:rsid w:val="007B719A"/>
    <w:rsid w:val="007B7504"/>
    <w:rsid w:val="007B7593"/>
    <w:rsid w:val="007B78F6"/>
    <w:rsid w:val="007C05EA"/>
    <w:rsid w:val="007C079E"/>
    <w:rsid w:val="007C07BD"/>
    <w:rsid w:val="007C09C1"/>
    <w:rsid w:val="007C0F03"/>
    <w:rsid w:val="007C1318"/>
    <w:rsid w:val="007C13A6"/>
    <w:rsid w:val="007C1A6F"/>
    <w:rsid w:val="007C1F28"/>
    <w:rsid w:val="007C3161"/>
    <w:rsid w:val="007C3187"/>
    <w:rsid w:val="007C3783"/>
    <w:rsid w:val="007C380A"/>
    <w:rsid w:val="007C3AE9"/>
    <w:rsid w:val="007C3EE0"/>
    <w:rsid w:val="007C4A50"/>
    <w:rsid w:val="007C4A63"/>
    <w:rsid w:val="007C4E54"/>
    <w:rsid w:val="007C758A"/>
    <w:rsid w:val="007C79C5"/>
    <w:rsid w:val="007C7E45"/>
    <w:rsid w:val="007C7FD6"/>
    <w:rsid w:val="007D01D8"/>
    <w:rsid w:val="007D033D"/>
    <w:rsid w:val="007D1565"/>
    <w:rsid w:val="007D1AEA"/>
    <w:rsid w:val="007D288F"/>
    <w:rsid w:val="007D2DC9"/>
    <w:rsid w:val="007D3120"/>
    <w:rsid w:val="007D34E3"/>
    <w:rsid w:val="007D3AA0"/>
    <w:rsid w:val="007D4449"/>
    <w:rsid w:val="007D4947"/>
    <w:rsid w:val="007D4C52"/>
    <w:rsid w:val="007D4C69"/>
    <w:rsid w:val="007D5042"/>
    <w:rsid w:val="007D507D"/>
    <w:rsid w:val="007D50B5"/>
    <w:rsid w:val="007D645A"/>
    <w:rsid w:val="007D65DC"/>
    <w:rsid w:val="007D7244"/>
    <w:rsid w:val="007D73AE"/>
    <w:rsid w:val="007D7D1C"/>
    <w:rsid w:val="007D7F6C"/>
    <w:rsid w:val="007E08A5"/>
    <w:rsid w:val="007E0A21"/>
    <w:rsid w:val="007E0CF5"/>
    <w:rsid w:val="007E1710"/>
    <w:rsid w:val="007E2235"/>
    <w:rsid w:val="007E2E82"/>
    <w:rsid w:val="007E2F76"/>
    <w:rsid w:val="007E41BE"/>
    <w:rsid w:val="007E4306"/>
    <w:rsid w:val="007E4393"/>
    <w:rsid w:val="007E48A5"/>
    <w:rsid w:val="007E4EB9"/>
    <w:rsid w:val="007E5033"/>
    <w:rsid w:val="007E5833"/>
    <w:rsid w:val="007E59E9"/>
    <w:rsid w:val="007E64CB"/>
    <w:rsid w:val="007E6752"/>
    <w:rsid w:val="007E68C2"/>
    <w:rsid w:val="007E6AEB"/>
    <w:rsid w:val="007E6C23"/>
    <w:rsid w:val="007E6E5F"/>
    <w:rsid w:val="007E6FD8"/>
    <w:rsid w:val="007E7075"/>
    <w:rsid w:val="007E7234"/>
    <w:rsid w:val="007F01D7"/>
    <w:rsid w:val="007F19A1"/>
    <w:rsid w:val="007F2172"/>
    <w:rsid w:val="007F2216"/>
    <w:rsid w:val="007F2258"/>
    <w:rsid w:val="007F279B"/>
    <w:rsid w:val="007F3533"/>
    <w:rsid w:val="007F3B09"/>
    <w:rsid w:val="007F3B80"/>
    <w:rsid w:val="007F4805"/>
    <w:rsid w:val="007F5125"/>
    <w:rsid w:val="007F5823"/>
    <w:rsid w:val="007F5FD0"/>
    <w:rsid w:val="007F68DF"/>
    <w:rsid w:val="007F6B8C"/>
    <w:rsid w:val="007F6CB8"/>
    <w:rsid w:val="007F6D7C"/>
    <w:rsid w:val="007F71AE"/>
    <w:rsid w:val="007F743A"/>
    <w:rsid w:val="007F7890"/>
    <w:rsid w:val="007F7C2C"/>
    <w:rsid w:val="0080124B"/>
    <w:rsid w:val="00801ABD"/>
    <w:rsid w:val="00801DFA"/>
    <w:rsid w:val="00802FAF"/>
    <w:rsid w:val="008033AE"/>
    <w:rsid w:val="008036EF"/>
    <w:rsid w:val="00803AE0"/>
    <w:rsid w:val="00803BA2"/>
    <w:rsid w:val="00803CDD"/>
    <w:rsid w:val="008043FE"/>
    <w:rsid w:val="00805146"/>
    <w:rsid w:val="0080517A"/>
    <w:rsid w:val="00805B7D"/>
    <w:rsid w:val="00805D42"/>
    <w:rsid w:val="00805E6D"/>
    <w:rsid w:val="00806428"/>
    <w:rsid w:val="00806432"/>
    <w:rsid w:val="008065A8"/>
    <w:rsid w:val="008067C3"/>
    <w:rsid w:val="00806CAF"/>
    <w:rsid w:val="0080711C"/>
    <w:rsid w:val="0080759C"/>
    <w:rsid w:val="008076CD"/>
    <w:rsid w:val="00810FE2"/>
    <w:rsid w:val="00812449"/>
    <w:rsid w:val="008127E1"/>
    <w:rsid w:val="008135BA"/>
    <w:rsid w:val="0081376F"/>
    <w:rsid w:val="00813B27"/>
    <w:rsid w:val="008141BA"/>
    <w:rsid w:val="008150F7"/>
    <w:rsid w:val="00815420"/>
    <w:rsid w:val="0081548A"/>
    <w:rsid w:val="00815822"/>
    <w:rsid w:val="00815F53"/>
    <w:rsid w:val="00815F5B"/>
    <w:rsid w:val="0081609B"/>
    <w:rsid w:val="0081658C"/>
    <w:rsid w:val="008166E3"/>
    <w:rsid w:val="00816FC5"/>
    <w:rsid w:val="0081734D"/>
    <w:rsid w:val="00817464"/>
    <w:rsid w:val="0081778C"/>
    <w:rsid w:val="0081785B"/>
    <w:rsid w:val="00817B81"/>
    <w:rsid w:val="00817D7F"/>
    <w:rsid w:val="00820232"/>
    <w:rsid w:val="008206C9"/>
    <w:rsid w:val="00820761"/>
    <w:rsid w:val="00820E29"/>
    <w:rsid w:val="008211C5"/>
    <w:rsid w:val="008213CC"/>
    <w:rsid w:val="00821BD1"/>
    <w:rsid w:val="00821C8E"/>
    <w:rsid w:val="0082227F"/>
    <w:rsid w:val="00822728"/>
    <w:rsid w:val="008227A1"/>
    <w:rsid w:val="00822A7E"/>
    <w:rsid w:val="008231EB"/>
    <w:rsid w:val="00823B13"/>
    <w:rsid w:val="00823E4A"/>
    <w:rsid w:val="008244CF"/>
    <w:rsid w:val="00824935"/>
    <w:rsid w:val="00824A3F"/>
    <w:rsid w:val="00824A52"/>
    <w:rsid w:val="00824C12"/>
    <w:rsid w:val="00824CDA"/>
    <w:rsid w:val="00824D23"/>
    <w:rsid w:val="008250BD"/>
    <w:rsid w:val="008252A2"/>
    <w:rsid w:val="008256B7"/>
    <w:rsid w:val="00826A2D"/>
    <w:rsid w:val="00826E7D"/>
    <w:rsid w:val="008270EA"/>
    <w:rsid w:val="00827130"/>
    <w:rsid w:val="00827165"/>
    <w:rsid w:val="00827DF9"/>
    <w:rsid w:val="00827EDF"/>
    <w:rsid w:val="0083086C"/>
    <w:rsid w:val="00830AD5"/>
    <w:rsid w:val="0083121B"/>
    <w:rsid w:val="008312D9"/>
    <w:rsid w:val="0083162D"/>
    <w:rsid w:val="00831820"/>
    <w:rsid w:val="00831A82"/>
    <w:rsid w:val="00831F26"/>
    <w:rsid w:val="00831FF0"/>
    <w:rsid w:val="008324A0"/>
    <w:rsid w:val="00832781"/>
    <w:rsid w:val="00832C5A"/>
    <w:rsid w:val="008331EF"/>
    <w:rsid w:val="0083335B"/>
    <w:rsid w:val="00833ED1"/>
    <w:rsid w:val="00834F0C"/>
    <w:rsid w:val="00835470"/>
    <w:rsid w:val="00835486"/>
    <w:rsid w:val="008356C8"/>
    <w:rsid w:val="00835877"/>
    <w:rsid w:val="00836300"/>
    <w:rsid w:val="00836EC6"/>
    <w:rsid w:val="00837301"/>
    <w:rsid w:val="0083732A"/>
    <w:rsid w:val="00837413"/>
    <w:rsid w:val="0083771B"/>
    <w:rsid w:val="00837805"/>
    <w:rsid w:val="008409F5"/>
    <w:rsid w:val="00840A6B"/>
    <w:rsid w:val="00840FE2"/>
    <w:rsid w:val="00841B70"/>
    <w:rsid w:val="00841BC5"/>
    <w:rsid w:val="00842310"/>
    <w:rsid w:val="008423B5"/>
    <w:rsid w:val="00842F01"/>
    <w:rsid w:val="00843592"/>
    <w:rsid w:val="00844031"/>
    <w:rsid w:val="00844A00"/>
    <w:rsid w:val="00844C18"/>
    <w:rsid w:val="00844D07"/>
    <w:rsid w:val="008450CE"/>
    <w:rsid w:val="00845113"/>
    <w:rsid w:val="008454D3"/>
    <w:rsid w:val="008459A5"/>
    <w:rsid w:val="00845C62"/>
    <w:rsid w:val="00845D03"/>
    <w:rsid w:val="00846078"/>
    <w:rsid w:val="008465BB"/>
    <w:rsid w:val="00846A6C"/>
    <w:rsid w:val="00846F15"/>
    <w:rsid w:val="00847072"/>
    <w:rsid w:val="0084720A"/>
    <w:rsid w:val="00847869"/>
    <w:rsid w:val="00850028"/>
    <w:rsid w:val="00850662"/>
    <w:rsid w:val="008507D6"/>
    <w:rsid w:val="008510FA"/>
    <w:rsid w:val="008512FD"/>
    <w:rsid w:val="008517DF"/>
    <w:rsid w:val="0085187A"/>
    <w:rsid w:val="00851DAA"/>
    <w:rsid w:val="0085241C"/>
    <w:rsid w:val="00852E7E"/>
    <w:rsid w:val="0085326F"/>
    <w:rsid w:val="008536D8"/>
    <w:rsid w:val="00854F94"/>
    <w:rsid w:val="00855293"/>
    <w:rsid w:val="008554F7"/>
    <w:rsid w:val="008555BC"/>
    <w:rsid w:val="00855738"/>
    <w:rsid w:val="008557C2"/>
    <w:rsid w:val="00855905"/>
    <w:rsid w:val="0085596D"/>
    <w:rsid w:val="00855D47"/>
    <w:rsid w:val="00855F82"/>
    <w:rsid w:val="00856268"/>
    <w:rsid w:val="0085687F"/>
    <w:rsid w:val="0085712D"/>
    <w:rsid w:val="00857EB8"/>
    <w:rsid w:val="0086039D"/>
    <w:rsid w:val="00860B80"/>
    <w:rsid w:val="00860C50"/>
    <w:rsid w:val="00860DE7"/>
    <w:rsid w:val="00861E81"/>
    <w:rsid w:val="00862D88"/>
    <w:rsid w:val="0086327D"/>
    <w:rsid w:val="00863582"/>
    <w:rsid w:val="00864209"/>
    <w:rsid w:val="00864394"/>
    <w:rsid w:val="00864DEF"/>
    <w:rsid w:val="008650C2"/>
    <w:rsid w:val="0086535C"/>
    <w:rsid w:val="008653C2"/>
    <w:rsid w:val="00865C8F"/>
    <w:rsid w:val="00866F3B"/>
    <w:rsid w:val="008671EE"/>
    <w:rsid w:val="00867759"/>
    <w:rsid w:val="008677C7"/>
    <w:rsid w:val="00867AAB"/>
    <w:rsid w:val="00867EAA"/>
    <w:rsid w:val="00870252"/>
    <w:rsid w:val="0087042C"/>
    <w:rsid w:val="00870667"/>
    <w:rsid w:val="008706AF"/>
    <w:rsid w:val="00870FED"/>
    <w:rsid w:val="00871B92"/>
    <w:rsid w:val="00871EB1"/>
    <w:rsid w:val="00872114"/>
    <w:rsid w:val="0087264C"/>
    <w:rsid w:val="00872868"/>
    <w:rsid w:val="00872B65"/>
    <w:rsid w:val="00872EA0"/>
    <w:rsid w:val="00873168"/>
    <w:rsid w:val="00873455"/>
    <w:rsid w:val="00873B72"/>
    <w:rsid w:val="0087415B"/>
    <w:rsid w:val="008749C0"/>
    <w:rsid w:val="00874A18"/>
    <w:rsid w:val="00874E93"/>
    <w:rsid w:val="00875770"/>
    <w:rsid w:val="00875879"/>
    <w:rsid w:val="00875C1C"/>
    <w:rsid w:val="00875CCA"/>
    <w:rsid w:val="0087610E"/>
    <w:rsid w:val="00876489"/>
    <w:rsid w:val="00876746"/>
    <w:rsid w:val="00876C57"/>
    <w:rsid w:val="00876DD4"/>
    <w:rsid w:val="00876E41"/>
    <w:rsid w:val="00877757"/>
    <w:rsid w:val="008800A7"/>
    <w:rsid w:val="00880391"/>
    <w:rsid w:val="00880CBA"/>
    <w:rsid w:val="0088103F"/>
    <w:rsid w:val="00881CFD"/>
    <w:rsid w:val="0088224B"/>
    <w:rsid w:val="00882ABA"/>
    <w:rsid w:val="00882B63"/>
    <w:rsid w:val="00882D9A"/>
    <w:rsid w:val="008831EB"/>
    <w:rsid w:val="008838A8"/>
    <w:rsid w:val="00883900"/>
    <w:rsid w:val="00883998"/>
    <w:rsid w:val="00883BA4"/>
    <w:rsid w:val="00883C79"/>
    <w:rsid w:val="00883CDA"/>
    <w:rsid w:val="00884290"/>
    <w:rsid w:val="00884587"/>
    <w:rsid w:val="008845F4"/>
    <w:rsid w:val="00884A42"/>
    <w:rsid w:val="00884CF5"/>
    <w:rsid w:val="00884E57"/>
    <w:rsid w:val="00886533"/>
    <w:rsid w:val="0088656E"/>
    <w:rsid w:val="00886723"/>
    <w:rsid w:val="00887129"/>
    <w:rsid w:val="008873B7"/>
    <w:rsid w:val="00887711"/>
    <w:rsid w:val="00887A0A"/>
    <w:rsid w:val="008903C9"/>
    <w:rsid w:val="00890531"/>
    <w:rsid w:val="008905EE"/>
    <w:rsid w:val="00890C9B"/>
    <w:rsid w:val="008918F0"/>
    <w:rsid w:val="00891E89"/>
    <w:rsid w:val="008925AC"/>
    <w:rsid w:val="008928E6"/>
    <w:rsid w:val="008928FC"/>
    <w:rsid w:val="008935D1"/>
    <w:rsid w:val="0089372A"/>
    <w:rsid w:val="0089373C"/>
    <w:rsid w:val="00893DC0"/>
    <w:rsid w:val="0089417C"/>
    <w:rsid w:val="0089424D"/>
    <w:rsid w:val="00894384"/>
    <w:rsid w:val="00894737"/>
    <w:rsid w:val="0089474D"/>
    <w:rsid w:val="008947BE"/>
    <w:rsid w:val="00894883"/>
    <w:rsid w:val="00894FB6"/>
    <w:rsid w:val="008953D9"/>
    <w:rsid w:val="0089563F"/>
    <w:rsid w:val="008957FB"/>
    <w:rsid w:val="00895822"/>
    <w:rsid w:val="00897264"/>
    <w:rsid w:val="008979AE"/>
    <w:rsid w:val="00897E9E"/>
    <w:rsid w:val="008A0BF3"/>
    <w:rsid w:val="008A0C89"/>
    <w:rsid w:val="008A185C"/>
    <w:rsid w:val="008A1C7A"/>
    <w:rsid w:val="008A2098"/>
    <w:rsid w:val="008A261F"/>
    <w:rsid w:val="008A32BF"/>
    <w:rsid w:val="008A3AE9"/>
    <w:rsid w:val="008A3F20"/>
    <w:rsid w:val="008A4119"/>
    <w:rsid w:val="008A432E"/>
    <w:rsid w:val="008A438F"/>
    <w:rsid w:val="008A4474"/>
    <w:rsid w:val="008A4492"/>
    <w:rsid w:val="008A4A5C"/>
    <w:rsid w:val="008A4A6E"/>
    <w:rsid w:val="008A4E0D"/>
    <w:rsid w:val="008A5252"/>
    <w:rsid w:val="008A64E9"/>
    <w:rsid w:val="008A6C5A"/>
    <w:rsid w:val="008A6DFA"/>
    <w:rsid w:val="008A6E36"/>
    <w:rsid w:val="008A6EDF"/>
    <w:rsid w:val="008A715C"/>
    <w:rsid w:val="008A724D"/>
    <w:rsid w:val="008A789F"/>
    <w:rsid w:val="008A7939"/>
    <w:rsid w:val="008A7AD0"/>
    <w:rsid w:val="008B0148"/>
    <w:rsid w:val="008B125F"/>
    <w:rsid w:val="008B1377"/>
    <w:rsid w:val="008B1681"/>
    <w:rsid w:val="008B1929"/>
    <w:rsid w:val="008B1C89"/>
    <w:rsid w:val="008B1F55"/>
    <w:rsid w:val="008B1FE9"/>
    <w:rsid w:val="008B28B7"/>
    <w:rsid w:val="008B2928"/>
    <w:rsid w:val="008B3174"/>
    <w:rsid w:val="008B38A4"/>
    <w:rsid w:val="008B3A7F"/>
    <w:rsid w:val="008B431E"/>
    <w:rsid w:val="008B4492"/>
    <w:rsid w:val="008B486E"/>
    <w:rsid w:val="008B5E71"/>
    <w:rsid w:val="008B62F9"/>
    <w:rsid w:val="008B70F4"/>
    <w:rsid w:val="008B7137"/>
    <w:rsid w:val="008B7326"/>
    <w:rsid w:val="008B755E"/>
    <w:rsid w:val="008B7726"/>
    <w:rsid w:val="008C0237"/>
    <w:rsid w:val="008C1076"/>
    <w:rsid w:val="008C1226"/>
    <w:rsid w:val="008C14EA"/>
    <w:rsid w:val="008C18E6"/>
    <w:rsid w:val="008C199E"/>
    <w:rsid w:val="008C3B04"/>
    <w:rsid w:val="008C434D"/>
    <w:rsid w:val="008C4D1B"/>
    <w:rsid w:val="008C5386"/>
    <w:rsid w:val="008C5665"/>
    <w:rsid w:val="008C5800"/>
    <w:rsid w:val="008C584C"/>
    <w:rsid w:val="008C5C5C"/>
    <w:rsid w:val="008C5CB8"/>
    <w:rsid w:val="008C5FEE"/>
    <w:rsid w:val="008C6164"/>
    <w:rsid w:val="008C63C5"/>
    <w:rsid w:val="008C656A"/>
    <w:rsid w:val="008C6830"/>
    <w:rsid w:val="008C68E0"/>
    <w:rsid w:val="008C6909"/>
    <w:rsid w:val="008C6AB7"/>
    <w:rsid w:val="008C6E90"/>
    <w:rsid w:val="008C6F63"/>
    <w:rsid w:val="008C7112"/>
    <w:rsid w:val="008C7371"/>
    <w:rsid w:val="008C7701"/>
    <w:rsid w:val="008D03DB"/>
    <w:rsid w:val="008D070F"/>
    <w:rsid w:val="008D0835"/>
    <w:rsid w:val="008D1380"/>
    <w:rsid w:val="008D16F4"/>
    <w:rsid w:val="008D1DB4"/>
    <w:rsid w:val="008D20EE"/>
    <w:rsid w:val="008D23C1"/>
    <w:rsid w:val="008D31D2"/>
    <w:rsid w:val="008D39E8"/>
    <w:rsid w:val="008D4706"/>
    <w:rsid w:val="008D4A83"/>
    <w:rsid w:val="008D4AD1"/>
    <w:rsid w:val="008D4BD6"/>
    <w:rsid w:val="008D5227"/>
    <w:rsid w:val="008D54D5"/>
    <w:rsid w:val="008D584C"/>
    <w:rsid w:val="008D5907"/>
    <w:rsid w:val="008D6186"/>
    <w:rsid w:val="008D62A0"/>
    <w:rsid w:val="008D71D5"/>
    <w:rsid w:val="008D78F6"/>
    <w:rsid w:val="008D7ADA"/>
    <w:rsid w:val="008D7EA1"/>
    <w:rsid w:val="008E04ED"/>
    <w:rsid w:val="008E058C"/>
    <w:rsid w:val="008E05FB"/>
    <w:rsid w:val="008E07A6"/>
    <w:rsid w:val="008E0C4D"/>
    <w:rsid w:val="008E0DFA"/>
    <w:rsid w:val="008E11A7"/>
    <w:rsid w:val="008E11DF"/>
    <w:rsid w:val="008E18C1"/>
    <w:rsid w:val="008E1E3C"/>
    <w:rsid w:val="008E242B"/>
    <w:rsid w:val="008E29C2"/>
    <w:rsid w:val="008E4A94"/>
    <w:rsid w:val="008E4EAC"/>
    <w:rsid w:val="008E505B"/>
    <w:rsid w:val="008E6202"/>
    <w:rsid w:val="008E661B"/>
    <w:rsid w:val="008E669D"/>
    <w:rsid w:val="008E6A43"/>
    <w:rsid w:val="008E710F"/>
    <w:rsid w:val="008E7948"/>
    <w:rsid w:val="008F08E5"/>
    <w:rsid w:val="008F0E9C"/>
    <w:rsid w:val="008F1066"/>
    <w:rsid w:val="008F1690"/>
    <w:rsid w:val="008F1820"/>
    <w:rsid w:val="008F1B99"/>
    <w:rsid w:val="008F1F87"/>
    <w:rsid w:val="008F1F8E"/>
    <w:rsid w:val="008F2000"/>
    <w:rsid w:val="008F2E23"/>
    <w:rsid w:val="008F38F8"/>
    <w:rsid w:val="008F3D12"/>
    <w:rsid w:val="008F4D6B"/>
    <w:rsid w:val="008F4F65"/>
    <w:rsid w:val="008F5517"/>
    <w:rsid w:val="008F57A0"/>
    <w:rsid w:val="008F6108"/>
    <w:rsid w:val="008F6272"/>
    <w:rsid w:val="008F69C8"/>
    <w:rsid w:val="008F7304"/>
    <w:rsid w:val="0090021B"/>
    <w:rsid w:val="009003D8"/>
    <w:rsid w:val="009007B2"/>
    <w:rsid w:val="00900BB1"/>
    <w:rsid w:val="0090165D"/>
    <w:rsid w:val="00901669"/>
    <w:rsid w:val="00901753"/>
    <w:rsid w:val="0090184C"/>
    <w:rsid w:val="0090199F"/>
    <w:rsid w:val="00901A2A"/>
    <w:rsid w:val="00901B08"/>
    <w:rsid w:val="00901DAA"/>
    <w:rsid w:val="0090297B"/>
    <w:rsid w:val="00902B01"/>
    <w:rsid w:val="00902CA2"/>
    <w:rsid w:val="009038C5"/>
    <w:rsid w:val="009039E6"/>
    <w:rsid w:val="00903DA7"/>
    <w:rsid w:val="00904069"/>
    <w:rsid w:val="009046FA"/>
    <w:rsid w:val="0090488F"/>
    <w:rsid w:val="009055CE"/>
    <w:rsid w:val="00905838"/>
    <w:rsid w:val="00905E19"/>
    <w:rsid w:val="00905EA4"/>
    <w:rsid w:val="00907AAA"/>
    <w:rsid w:val="00907D6C"/>
    <w:rsid w:val="00907DD4"/>
    <w:rsid w:val="00907FAB"/>
    <w:rsid w:val="009100CE"/>
    <w:rsid w:val="00910639"/>
    <w:rsid w:val="00910815"/>
    <w:rsid w:val="00910C48"/>
    <w:rsid w:val="00910F48"/>
    <w:rsid w:val="009110CC"/>
    <w:rsid w:val="00911A86"/>
    <w:rsid w:val="00911CC1"/>
    <w:rsid w:val="00911F5D"/>
    <w:rsid w:val="0091263B"/>
    <w:rsid w:val="00912680"/>
    <w:rsid w:val="00912739"/>
    <w:rsid w:val="00912FD6"/>
    <w:rsid w:val="009130B9"/>
    <w:rsid w:val="009136E7"/>
    <w:rsid w:val="00913875"/>
    <w:rsid w:val="0091391D"/>
    <w:rsid w:val="00913ED4"/>
    <w:rsid w:val="0091483A"/>
    <w:rsid w:val="00914945"/>
    <w:rsid w:val="009149E5"/>
    <w:rsid w:val="00914F09"/>
    <w:rsid w:val="00915077"/>
    <w:rsid w:val="009152D8"/>
    <w:rsid w:val="00915B6A"/>
    <w:rsid w:val="00916412"/>
    <w:rsid w:val="00916B14"/>
    <w:rsid w:val="00916CF7"/>
    <w:rsid w:val="00917084"/>
    <w:rsid w:val="009171CA"/>
    <w:rsid w:val="00917485"/>
    <w:rsid w:val="0092002C"/>
    <w:rsid w:val="00920206"/>
    <w:rsid w:val="00920600"/>
    <w:rsid w:val="009209AB"/>
    <w:rsid w:val="00920BF0"/>
    <w:rsid w:val="009218D8"/>
    <w:rsid w:val="0092204A"/>
    <w:rsid w:val="00923185"/>
    <w:rsid w:val="009236A5"/>
    <w:rsid w:val="0092444B"/>
    <w:rsid w:val="009253CD"/>
    <w:rsid w:val="009253DD"/>
    <w:rsid w:val="00925756"/>
    <w:rsid w:val="00925BD5"/>
    <w:rsid w:val="00926C8A"/>
    <w:rsid w:val="00926D7C"/>
    <w:rsid w:val="00927827"/>
    <w:rsid w:val="00927A17"/>
    <w:rsid w:val="00927AB1"/>
    <w:rsid w:val="00927C31"/>
    <w:rsid w:val="00927C59"/>
    <w:rsid w:val="00927DA1"/>
    <w:rsid w:val="00927F26"/>
    <w:rsid w:val="009310CF"/>
    <w:rsid w:val="0093112E"/>
    <w:rsid w:val="009316E4"/>
    <w:rsid w:val="00931BC5"/>
    <w:rsid w:val="00931E57"/>
    <w:rsid w:val="00933209"/>
    <w:rsid w:val="0093336F"/>
    <w:rsid w:val="00933656"/>
    <w:rsid w:val="00933874"/>
    <w:rsid w:val="009339AA"/>
    <w:rsid w:val="00933BC2"/>
    <w:rsid w:val="00934A97"/>
    <w:rsid w:val="00934AF9"/>
    <w:rsid w:val="00935182"/>
    <w:rsid w:val="009355CB"/>
    <w:rsid w:val="00935B63"/>
    <w:rsid w:val="00935FFB"/>
    <w:rsid w:val="00936802"/>
    <w:rsid w:val="009368DF"/>
    <w:rsid w:val="009372ED"/>
    <w:rsid w:val="0093761B"/>
    <w:rsid w:val="00937F57"/>
    <w:rsid w:val="009410B9"/>
    <w:rsid w:val="009410C8"/>
    <w:rsid w:val="00941B8E"/>
    <w:rsid w:val="00942021"/>
    <w:rsid w:val="009420AC"/>
    <w:rsid w:val="009420C6"/>
    <w:rsid w:val="00942480"/>
    <w:rsid w:val="0094249D"/>
    <w:rsid w:val="009424AD"/>
    <w:rsid w:val="00943585"/>
    <w:rsid w:val="00943693"/>
    <w:rsid w:val="00943D9C"/>
    <w:rsid w:val="00944454"/>
    <w:rsid w:val="0094447A"/>
    <w:rsid w:val="009444BF"/>
    <w:rsid w:val="009449AD"/>
    <w:rsid w:val="00944EF8"/>
    <w:rsid w:val="0094520D"/>
    <w:rsid w:val="00945494"/>
    <w:rsid w:val="009456A4"/>
    <w:rsid w:val="0094614B"/>
    <w:rsid w:val="009469F0"/>
    <w:rsid w:val="00946A5A"/>
    <w:rsid w:val="00946EBD"/>
    <w:rsid w:val="00947318"/>
    <w:rsid w:val="00947540"/>
    <w:rsid w:val="009476B2"/>
    <w:rsid w:val="00947FF4"/>
    <w:rsid w:val="0095094B"/>
    <w:rsid w:val="009510CC"/>
    <w:rsid w:val="009512DD"/>
    <w:rsid w:val="0095191F"/>
    <w:rsid w:val="00951C78"/>
    <w:rsid w:val="009523BF"/>
    <w:rsid w:val="009528DD"/>
    <w:rsid w:val="00952CDD"/>
    <w:rsid w:val="00952E4A"/>
    <w:rsid w:val="00952F8A"/>
    <w:rsid w:val="00953E00"/>
    <w:rsid w:val="009543E6"/>
    <w:rsid w:val="0095474A"/>
    <w:rsid w:val="00954CDB"/>
    <w:rsid w:val="00955BC5"/>
    <w:rsid w:val="00956632"/>
    <w:rsid w:val="00956F0E"/>
    <w:rsid w:val="00960AB7"/>
    <w:rsid w:val="00961CE4"/>
    <w:rsid w:val="00961EBE"/>
    <w:rsid w:val="00962C1A"/>
    <w:rsid w:val="00962D00"/>
    <w:rsid w:val="00962E74"/>
    <w:rsid w:val="0096300E"/>
    <w:rsid w:val="00963461"/>
    <w:rsid w:val="009636EF"/>
    <w:rsid w:val="009639B1"/>
    <w:rsid w:val="00963AFD"/>
    <w:rsid w:val="00963E7F"/>
    <w:rsid w:val="0096452E"/>
    <w:rsid w:val="00965564"/>
    <w:rsid w:val="00965687"/>
    <w:rsid w:val="00965983"/>
    <w:rsid w:val="00965CDD"/>
    <w:rsid w:val="00966232"/>
    <w:rsid w:val="00967130"/>
    <w:rsid w:val="009674CB"/>
    <w:rsid w:val="0096786E"/>
    <w:rsid w:val="009678F0"/>
    <w:rsid w:val="00967DF8"/>
    <w:rsid w:val="009702E4"/>
    <w:rsid w:val="009704F3"/>
    <w:rsid w:val="00970798"/>
    <w:rsid w:val="00971947"/>
    <w:rsid w:val="0097211D"/>
    <w:rsid w:val="009721D0"/>
    <w:rsid w:val="0097253F"/>
    <w:rsid w:val="00974DB2"/>
    <w:rsid w:val="00975439"/>
    <w:rsid w:val="00975C04"/>
    <w:rsid w:val="00975FE6"/>
    <w:rsid w:val="009761E8"/>
    <w:rsid w:val="00976208"/>
    <w:rsid w:val="009767F7"/>
    <w:rsid w:val="009773D4"/>
    <w:rsid w:val="009773E0"/>
    <w:rsid w:val="00977879"/>
    <w:rsid w:val="00977913"/>
    <w:rsid w:val="00977C42"/>
    <w:rsid w:val="00980105"/>
    <w:rsid w:val="0098020E"/>
    <w:rsid w:val="0098075E"/>
    <w:rsid w:val="00981AC3"/>
    <w:rsid w:val="00981F72"/>
    <w:rsid w:val="00982BD2"/>
    <w:rsid w:val="00983267"/>
    <w:rsid w:val="00983327"/>
    <w:rsid w:val="00983951"/>
    <w:rsid w:val="009839A2"/>
    <w:rsid w:val="00983EBC"/>
    <w:rsid w:val="009845D7"/>
    <w:rsid w:val="009849A9"/>
    <w:rsid w:val="00984AEE"/>
    <w:rsid w:val="00984EAC"/>
    <w:rsid w:val="00984F2B"/>
    <w:rsid w:val="00985148"/>
    <w:rsid w:val="009855C5"/>
    <w:rsid w:val="00985F4A"/>
    <w:rsid w:val="009861E6"/>
    <w:rsid w:val="00986626"/>
    <w:rsid w:val="009866EE"/>
    <w:rsid w:val="00986FDD"/>
    <w:rsid w:val="00987A56"/>
    <w:rsid w:val="0099023D"/>
    <w:rsid w:val="00990399"/>
    <w:rsid w:val="0099061C"/>
    <w:rsid w:val="009906E0"/>
    <w:rsid w:val="00990B6A"/>
    <w:rsid w:val="00990DF2"/>
    <w:rsid w:val="00990EC4"/>
    <w:rsid w:val="00990EFD"/>
    <w:rsid w:val="00990FA0"/>
    <w:rsid w:val="009914DF"/>
    <w:rsid w:val="00991DA3"/>
    <w:rsid w:val="0099204B"/>
    <w:rsid w:val="009924A0"/>
    <w:rsid w:val="009924EF"/>
    <w:rsid w:val="00992882"/>
    <w:rsid w:val="0099321B"/>
    <w:rsid w:val="00993E84"/>
    <w:rsid w:val="00994460"/>
    <w:rsid w:val="00994ECF"/>
    <w:rsid w:val="00994ED7"/>
    <w:rsid w:val="00994F6C"/>
    <w:rsid w:val="00995107"/>
    <w:rsid w:val="00995960"/>
    <w:rsid w:val="00995C76"/>
    <w:rsid w:val="00995DC6"/>
    <w:rsid w:val="00996083"/>
    <w:rsid w:val="00996C5C"/>
    <w:rsid w:val="00996E3A"/>
    <w:rsid w:val="0099702B"/>
    <w:rsid w:val="0099779D"/>
    <w:rsid w:val="009978A2"/>
    <w:rsid w:val="00997AE4"/>
    <w:rsid w:val="009A09CB"/>
    <w:rsid w:val="009A103E"/>
    <w:rsid w:val="009A1073"/>
    <w:rsid w:val="009A1559"/>
    <w:rsid w:val="009A1887"/>
    <w:rsid w:val="009A219E"/>
    <w:rsid w:val="009A21A6"/>
    <w:rsid w:val="009A2488"/>
    <w:rsid w:val="009A2491"/>
    <w:rsid w:val="009A2720"/>
    <w:rsid w:val="009A2EFB"/>
    <w:rsid w:val="009A3B58"/>
    <w:rsid w:val="009A42D5"/>
    <w:rsid w:val="009A4692"/>
    <w:rsid w:val="009A47AE"/>
    <w:rsid w:val="009A4C65"/>
    <w:rsid w:val="009A4D56"/>
    <w:rsid w:val="009A500D"/>
    <w:rsid w:val="009A5306"/>
    <w:rsid w:val="009A55DC"/>
    <w:rsid w:val="009A6218"/>
    <w:rsid w:val="009A6E3A"/>
    <w:rsid w:val="009A6ED5"/>
    <w:rsid w:val="009A717D"/>
    <w:rsid w:val="009A794A"/>
    <w:rsid w:val="009A799D"/>
    <w:rsid w:val="009B03DD"/>
    <w:rsid w:val="009B10E8"/>
    <w:rsid w:val="009B25E0"/>
    <w:rsid w:val="009B281E"/>
    <w:rsid w:val="009B2896"/>
    <w:rsid w:val="009B2D17"/>
    <w:rsid w:val="009B3290"/>
    <w:rsid w:val="009B3599"/>
    <w:rsid w:val="009B36DE"/>
    <w:rsid w:val="009B3793"/>
    <w:rsid w:val="009B39A5"/>
    <w:rsid w:val="009B41A1"/>
    <w:rsid w:val="009B469F"/>
    <w:rsid w:val="009B4844"/>
    <w:rsid w:val="009B4A1A"/>
    <w:rsid w:val="009B4A41"/>
    <w:rsid w:val="009B4A4C"/>
    <w:rsid w:val="009B4D20"/>
    <w:rsid w:val="009B5401"/>
    <w:rsid w:val="009B5607"/>
    <w:rsid w:val="009B56DE"/>
    <w:rsid w:val="009B58D8"/>
    <w:rsid w:val="009B59E6"/>
    <w:rsid w:val="009B5AF0"/>
    <w:rsid w:val="009B61DD"/>
    <w:rsid w:val="009B71D5"/>
    <w:rsid w:val="009B7260"/>
    <w:rsid w:val="009B7528"/>
    <w:rsid w:val="009B7B2B"/>
    <w:rsid w:val="009C017D"/>
    <w:rsid w:val="009C0B5D"/>
    <w:rsid w:val="009C0E9C"/>
    <w:rsid w:val="009C195D"/>
    <w:rsid w:val="009C231A"/>
    <w:rsid w:val="009C2F80"/>
    <w:rsid w:val="009C3150"/>
    <w:rsid w:val="009C3439"/>
    <w:rsid w:val="009C3CF7"/>
    <w:rsid w:val="009C42F7"/>
    <w:rsid w:val="009C4B48"/>
    <w:rsid w:val="009C510C"/>
    <w:rsid w:val="009C56AD"/>
    <w:rsid w:val="009C571E"/>
    <w:rsid w:val="009C5AF8"/>
    <w:rsid w:val="009C63BC"/>
    <w:rsid w:val="009C69B7"/>
    <w:rsid w:val="009C6B1B"/>
    <w:rsid w:val="009C6B9A"/>
    <w:rsid w:val="009C6F04"/>
    <w:rsid w:val="009C788B"/>
    <w:rsid w:val="009D0706"/>
    <w:rsid w:val="009D0842"/>
    <w:rsid w:val="009D0A4E"/>
    <w:rsid w:val="009D0EF0"/>
    <w:rsid w:val="009D150F"/>
    <w:rsid w:val="009D180E"/>
    <w:rsid w:val="009D1B84"/>
    <w:rsid w:val="009D1BAC"/>
    <w:rsid w:val="009D2956"/>
    <w:rsid w:val="009D2BDE"/>
    <w:rsid w:val="009D36F1"/>
    <w:rsid w:val="009D38AD"/>
    <w:rsid w:val="009D3ECF"/>
    <w:rsid w:val="009D3F52"/>
    <w:rsid w:val="009D3FA7"/>
    <w:rsid w:val="009D4213"/>
    <w:rsid w:val="009D42F9"/>
    <w:rsid w:val="009D45F1"/>
    <w:rsid w:val="009D4CBD"/>
    <w:rsid w:val="009D535B"/>
    <w:rsid w:val="009D5ADE"/>
    <w:rsid w:val="009D5D2D"/>
    <w:rsid w:val="009D7214"/>
    <w:rsid w:val="009D7318"/>
    <w:rsid w:val="009D7E6B"/>
    <w:rsid w:val="009E0231"/>
    <w:rsid w:val="009E0CED"/>
    <w:rsid w:val="009E11E8"/>
    <w:rsid w:val="009E1ACD"/>
    <w:rsid w:val="009E1E6C"/>
    <w:rsid w:val="009E2003"/>
    <w:rsid w:val="009E2810"/>
    <w:rsid w:val="009E29C6"/>
    <w:rsid w:val="009E2B09"/>
    <w:rsid w:val="009E316E"/>
    <w:rsid w:val="009E3301"/>
    <w:rsid w:val="009E3A7D"/>
    <w:rsid w:val="009E3E78"/>
    <w:rsid w:val="009E3F05"/>
    <w:rsid w:val="009E43B0"/>
    <w:rsid w:val="009E4789"/>
    <w:rsid w:val="009E487B"/>
    <w:rsid w:val="009E4A5D"/>
    <w:rsid w:val="009E4C8D"/>
    <w:rsid w:val="009E4E2C"/>
    <w:rsid w:val="009E5A93"/>
    <w:rsid w:val="009E5F5E"/>
    <w:rsid w:val="009E5FFC"/>
    <w:rsid w:val="009E62CF"/>
    <w:rsid w:val="009E69F0"/>
    <w:rsid w:val="009E6ACC"/>
    <w:rsid w:val="009E6EDC"/>
    <w:rsid w:val="009E7731"/>
    <w:rsid w:val="009E7A27"/>
    <w:rsid w:val="009E7EE8"/>
    <w:rsid w:val="009F002B"/>
    <w:rsid w:val="009F036C"/>
    <w:rsid w:val="009F052F"/>
    <w:rsid w:val="009F0761"/>
    <w:rsid w:val="009F0AED"/>
    <w:rsid w:val="009F0B7A"/>
    <w:rsid w:val="009F0C1F"/>
    <w:rsid w:val="009F0CE2"/>
    <w:rsid w:val="009F0F82"/>
    <w:rsid w:val="009F15D0"/>
    <w:rsid w:val="009F181C"/>
    <w:rsid w:val="009F1843"/>
    <w:rsid w:val="009F273C"/>
    <w:rsid w:val="009F2ED2"/>
    <w:rsid w:val="009F2F2C"/>
    <w:rsid w:val="009F31DB"/>
    <w:rsid w:val="009F3399"/>
    <w:rsid w:val="009F350E"/>
    <w:rsid w:val="009F3FDB"/>
    <w:rsid w:val="009F4329"/>
    <w:rsid w:val="009F487B"/>
    <w:rsid w:val="009F5349"/>
    <w:rsid w:val="009F5445"/>
    <w:rsid w:val="009F5659"/>
    <w:rsid w:val="009F5896"/>
    <w:rsid w:val="009F5C5B"/>
    <w:rsid w:val="009F5F5C"/>
    <w:rsid w:val="009F607E"/>
    <w:rsid w:val="009F61AB"/>
    <w:rsid w:val="009F6507"/>
    <w:rsid w:val="009F6608"/>
    <w:rsid w:val="009F6791"/>
    <w:rsid w:val="009F693B"/>
    <w:rsid w:val="009F6CDA"/>
    <w:rsid w:val="009F6DDA"/>
    <w:rsid w:val="009F6EA8"/>
    <w:rsid w:val="009F7053"/>
    <w:rsid w:val="009F75BD"/>
    <w:rsid w:val="009F75F2"/>
    <w:rsid w:val="00A00147"/>
    <w:rsid w:val="00A00570"/>
    <w:rsid w:val="00A00866"/>
    <w:rsid w:val="00A010AB"/>
    <w:rsid w:val="00A01160"/>
    <w:rsid w:val="00A0168B"/>
    <w:rsid w:val="00A018D7"/>
    <w:rsid w:val="00A01C18"/>
    <w:rsid w:val="00A01F75"/>
    <w:rsid w:val="00A01F9F"/>
    <w:rsid w:val="00A0326C"/>
    <w:rsid w:val="00A032A9"/>
    <w:rsid w:val="00A03913"/>
    <w:rsid w:val="00A03BF6"/>
    <w:rsid w:val="00A03FF7"/>
    <w:rsid w:val="00A0407D"/>
    <w:rsid w:val="00A0475C"/>
    <w:rsid w:val="00A048DB"/>
    <w:rsid w:val="00A04F15"/>
    <w:rsid w:val="00A051ED"/>
    <w:rsid w:val="00A054C1"/>
    <w:rsid w:val="00A0561B"/>
    <w:rsid w:val="00A06267"/>
    <w:rsid w:val="00A06A1F"/>
    <w:rsid w:val="00A06E5F"/>
    <w:rsid w:val="00A078CF"/>
    <w:rsid w:val="00A07AB0"/>
    <w:rsid w:val="00A07C1B"/>
    <w:rsid w:val="00A07E35"/>
    <w:rsid w:val="00A102E3"/>
    <w:rsid w:val="00A1034A"/>
    <w:rsid w:val="00A10819"/>
    <w:rsid w:val="00A113CF"/>
    <w:rsid w:val="00A1194C"/>
    <w:rsid w:val="00A11C34"/>
    <w:rsid w:val="00A11C50"/>
    <w:rsid w:val="00A11CE1"/>
    <w:rsid w:val="00A11D85"/>
    <w:rsid w:val="00A11DE9"/>
    <w:rsid w:val="00A13E61"/>
    <w:rsid w:val="00A13EAE"/>
    <w:rsid w:val="00A14A43"/>
    <w:rsid w:val="00A1564B"/>
    <w:rsid w:val="00A1590B"/>
    <w:rsid w:val="00A15A55"/>
    <w:rsid w:val="00A15F9C"/>
    <w:rsid w:val="00A16471"/>
    <w:rsid w:val="00A164FE"/>
    <w:rsid w:val="00A1678B"/>
    <w:rsid w:val="00A17BB9"/>
    <w:rsid w:val="00A17F34"/>
    <w:rsid w:val="00A20241"/>
    <w:rsid w:val="00A20445"/>
    <w:rsid w:val="00A20853"/>
    <w:rsid w:val="00A209EA"/>
    <w:rsid w:val="00A20F6A"/>
    <w:rsid w:val="00A2125A"/>
    <w:rsid w:val="00A21707"/>
    <w:rsid w:val="00A21752"/>
    <w:rsid w:val="00A21889"/>
    <w:rsid w:val="00A219E7"/>
    <w:rsid w:val="00A2223E"/>
    <w:rsid w:val="00A22282"/>
    <w:rsid w:val="00A225B0"/>
    <w:rsid w:val="00A22ADE"/>
    <w:rsid w:val="00A22BDD"/>
    <w:rsid w:val="00A23072"/>
    <w:rsid w:val="00A230A3"/>
    <w:rsid w:val="00A239CF"/>
    <w:rsid w:val="00A239ED"/>
    <w:rsid w:val="00A239EE"/>
    <w:rsid w:val="00A23D31"/>
    <w:rsid w:val="00A23D6A"/>
    <w:rsid w:val="00A24175"/>
    <w:rsid w:val="00A24197"/>
    <w:rsid w:val="00A246BC"/>
    <w:rsid w:val="00A247D3"/>
    <w:rsid w:val="00A24C9A"/>
    <w:rsid w:val="00A24FF3"/>
    <w:rsid w:val="00A25761"/>
    <w:rsid w:val="00A25796"/>
    <w:rsid w:val="00A2580B"/>
    <w:rsid w:val="00A25A91"/>
    <w:rsid w:val="00A25C88"/>
    <w:rsid w:val="00A2614C"/>
    <w:rsid w:val="00A26221"/>
    <w:rsid w:val="00A26226"/>
    <w:rsid w:val="00A26E36"/>
    <w:rsid w:val="00A26E5E"/>
    <w:rsid w:val="00A27065"/>
    <w:rsid w:val="00A2776E"/>
    <w:rsid w:val="00A277C7"/>
    <w:rsid w:val="00A27F16"/>
    <w:rsid w:val="00A310BC"/>
    <w:rsid w:val="00A3129C"/>
    <w:rsid w:val="00A31820"/>
    <w:rsid w:val="00A32461"/>
    <w:rsid w:val="00A326E6"/>
    <w:rsid w:val="00A32947"/>
    <w:rsid w:val="00A32D71"/>
    <w:rsid w:val="00A33169"/>
    <w:rsid w:val="00A334CA"/>
    <w:rsid w:val="00A33A1A"/>
    <w:rsid w:val="00A33F41"/>
    <w:rsid w:val="00A34680"/>
    <w:rsid w:val="00A34919"/>
    <w:rsid w:val="00A349EC"/>
    <w:rsid w:val="00A349F4"/>
    <w:rsid w:val="00A34AE5"/>
    <w:rsid w:val="00A34CD0"/>
    <w:rsid w:val="00A34EE4"/>
    <w:rsid w:val="00A34F5C"/>
    <w:rsid w:val="00A3530C"/>
    <w:rsid w:val="00A3553D"/>
    <w:rsid w:val="00A35D88"/>
    <w:rsid w:val="00A3678C"/>
    <w:rsid w:val="00A36A56"/>
    <w:rsid w:val="00A36D05"/>
    <w:rsid w:val="00A37B25"/>
    <w:rsid w:val="00A37E9C"/>
    <w:rsid w:val="00A37F8F"/>
    <w:rsid w:val="00A4002D"/>
    <w:rsid w:val="00A400B5"/>
    <w:rsid w:val="00A40DE7"/>
    <w:rsid w:val="00A40F6F"/>
    <w:rsid w:val="00A410F2"/>
    <w:rsid w:val="00A417E0"/>
    <w:rsid w:val="00A419B0"/>
    <w:rsid w:val="00A41AD1"/>
    <w:rsid w:val="00A41B46"/>
    <w:rsid w:val="00A42876"/>
    <w:rsid w:val="00A4290C"/>
    <w:rsid w:val="00A429AC"/>
    <w:rsid w:val="00A42F25"/>
    <w:rsid w:val="00A4309D"/>
    <w:rsid w:val="00A434E8"/>
    <w:rsid w:val="00A436EC"/>
    <w:rsid w:val="00A43D7F"/>
    <w:rsid w:val="00A43E5A"/>
    <w:rsid w:val="00A4454F"/>
    <w:rsid w:val="00A4476E"/>
    <w:rsid w:val="00A452EA"/>
    <w:rsid w:val="00A4576F"/>
    <w:rsid w:val="00A4596E"/>
    <w:rsid w:val="00A45CFA"/>
    <w:rsid w:val="00A46033"/>
    <w:rsid w:val="00A4696E"/>
    <w:rsid w:val="00A474A5"/>
    <w:rsid w:val="00A477DB"/>
    <w:rsid w:val="00A47ACF"/>
    <w:rsid w:val="00A47BEE"/>
    <w:rsid w:val="00A47CF8"/>
    <w:rsid w:val="00A47DB5"/>
    <w:rsid w:val="00A50862"/>
    <w:rsid w:val="00A50C73"/>
    <w:rsid w:val="00A50DD1"/>
    <w:rsid w:val="00A51223"/>
    <w:rsid w:val="00A519FB"/>
    <w:rsid w:val="00A52048"/>
    <w:rsid w:val="00A52196"/>
    <w:rsid w:val="00A52ABF"/>
    <w:rsid w:val="00A534EC"/>
    <w:rsid w:val="00A5417D"/>
    <w:rsid w:val="00A541B4"/>
    <w:rsid w:val="00A54742"/>
    <w:rsid w:val="00A54920"/>
    <w:rsid w:val="00A554D3"/>
    <w:rsid w:val="00A56BFB"/>
    <w:rsid w:val="00A60B11"/>
    <w:rsid w:val="00A616D6"/>
    <w:rsid w:val="00A61ABF"/>
    <w:rsid w:val="00A621F3"/>
    <w:rsid w:val="00A62710"/>
    <w:rsid w:val="00A62E2F"/>
    <w:rsid w:val="00A63B9A"/>
    <w:rsid w:val="00A64186"/>
    <w:rsid w:val="00A644FE"/>
    <w:rsid w:val="00A64612"/>
    <w:rsid w:val="00A64704"/>
    <w:rsid w:val="00A64CE4"/>
    <w:rsid w:val="00A650D9"/>
    <w:rsid w:val="00A653C7"/>
    <w:rsid w:val="00A65C57"/>
    <w:rsid w:val="00A65FCD"/>
    <w:rsid w:val="00A6619D"/>
    <w:rsid w:val="00A66962"/>
    <w:rsid w:val="00A672CA"/>
    <w:rsid w:val="00A6744C"/>
    <w:rsid w:val="00A67B6B"/>
    <w:rsid w:val="00A67F09"/>
    <w:rsid w:val="00A70518"/>
    <w:rsid w:val="00A709C3"/>
    <w:rsid w:val="00A7113D"/>
    <w:rsid w:val="00A71834"/>
    <w:rsid w:val="00A71AAA"/>
    <w:rsid w:val="00A71F7B"/>
    <w:rsid w:val="00A72A36"/>
    <w:rsid w:val="00A73D67"/>
    <w:rsid w:val="00A74EF5"/>
    <w:rsid w:val="00A74F37"/>
    <w:rsid w:val="00A751BB"/>
    <w:rsid w:val="00A75547"/>
    <w:rsid w:val="00A75D7E"/>
    <w:rsid w:val="00A764B0"/>
    <w:rsid w:val="00A766BB"/>
    <w:rsid w:val="00A77399"/>
    <w:rsid w:val="00A77A2A"/>
    <w:rsid w:val="00A8001B"/>
    <w:rsid w:val="00A8014A"/>
    <w:rsid w:val="00A801C1"/>
    <w:rsid w:val="00A80601"/>
    <w:rsid w:val="00A807B5"/>
    <w:rsid w:val="00A80CB5"/>
    <w:rsid w:val="00A82034"/>
    <w:rsid w:val="00A8254D"/>
    <w:rsid w:val="00A8279F"/>
    <w:rsid w:val="00A828DA"/>
    <w:rsid w:val="00A83330"/>
    <w:rsid w:val="00A840F3"/>
    <w:rsid w:val="00A843D0"/>
    <w:rsid w:val="00A84892"/>
    <w:rsid w:val="00A8518D"/>
    <w:rsid w:val="00A85E71"/>
    <w:rsid w:val="00A862E5"/>
    <w:rsid w:val="00A86DB4"/>
    <w:rsid w:val="00A875D7"/>
    <w:rsid w:val="00A877C8"/>
    <w:rsid w:val="00A90B9C"/>
    <w:rsid w:val="00A90C30"/>
    <w:rsid w:val="00A91096"/>
    <w:rsid w:val="00A91803"/>
    <w:rsid w:val="00A91B30"/>
    <w:rsid w:val="00A91C5E"/>
    <w:rsid w:val="00A91C70"/>
    <w:rsid w:val="00A928C6"/>
    <w:rsid w:val="00A92E76"/>
    <w:rsid w:val="00A93453"/>
    <w:rsid w:val="00A936CD"/>
    <w:rsid w:val="00A938A4"/>
    <w:rsid w:val="00A93A1B"/>
    <w:rsid w:val="00A94926"/>
    <w:rsid w:val="00A94B6F"/>
    <w:rsid w:val="00A94CE5"/>
    <w:rsid w:val="00A94D01"/>
    <w:rsid w:val="00A94E4F"/>
    <w:rsid w:val="00A9529E"/>
    <w:rsid w:val="00A95366"/>
    <w:rsid w:val="00A95568"/>
    <w:rsid w:val="00A96394"/>
    <w:rsid w:val="00A97023"/>
    <w:rsid w:val="00A977A5"/>
    <w:rsid w:val="00AA02B1"/>
    <w:rsid w:val="00AA04E1"/>
    <w:rsid w:val="00AA0AFD"/>
    <w:rsid w:val="00AA0DB5"/>
    <w:rsid w:val="00AA0EAC"/>
    <w:rsid w:val="00AA1401"/>
    <w:rsid w:val="00AA18E6"/>
    <w:rsid w:val="00AA2A27"/>
    <w:rsid w:val="00AA2C27"/>
    <w:rsid w:val="00AA30FB"/>
    <w:rsid w:val="00AA3B35"/>
    <w:rsid w:val="00AA4592"/>
    <w:rsid w:val="00AA4CA0"/>
    <w:rsid w:val="00AA56F1"/>
    <w:rsid w:val="00AA6008"/>
    <w:rsid w:val="00AA6731"/>
    <w:rsid w:val="00AA673E"/>
    <w:rsid w:val="00AA677F"/>
    <w:rsid w:val="00AA6D4E"/>
    <w:rsid w:val="00AA6F8D"/>
    <w:rsid w:val="00AA727D"/>
    <w:rsid w:val="00AA7BEB"/>
    <w:rsid w:val="00AB0675"/>
    <w:rsid w:val="00AB06D3"/>
    <w:rsid w:val="00AB09B1"/>
    <w:rsid w:val="00AB1064"/>
    <w:rsid w:val="00AB1467"/>
    <w:rsid w:val="00AB1D91"/>
    <w:rsid w:val="00AB2747"/>
    <w:rsid w:val="00AB284F"/>
    <w:rsid w:val="00AB29BC"/>
    <w:rsid w:val="00AB2A63"/>
    <w:rsid w:val="00AB2CB4"/>
    <w:rsid w:val="00AB2D00"/>
    <w:rsid w:val="00AB3B94"/>
    <w:rsid w:val="00AB42C4"/>
    <w:rsid w:val="00AB4457"/>
    <w:rsid w:val="00AB48A5"/>
    <w:rsid w:val="00AB4E02"/>
    <w:rsid w:val="00AB4EED"/>
    <w:rsid w:val="00AB55DE"/>
    <w:rsid w:val="00AB57C2"/>
    <w:rsid w:val="00AB594A"/>
    <w:rsid w:val="00AB5FC0"/>
    <w:rsid w:val="00AB616C"/>
    <w:rsid w:val="00AB6CC1"/>
    <w:rsid w:val="00AB6F4F"/>
    <w:rsid w:val="00AB79C0"/>
    <w:rsid w:val="00AC0A5F"/>
    <w:rsid w:val="00AC1A01"/>
    <w:rsid w:val="00AC1DE8"/>
    <w:rsid w:val="00AC2689"/>
    <w:rsid w:val="00AC2AC3"/>
    <w:rsid w:val="00AC2EF0"/>
    <w:rsid w:val="00AC3339"/>
    <w:rsid w:val="00AC3955"/>
    <w:rsid w:val="00AC3C10"/>
    <w:rsid w:val="00AC3C94"/>
    <w:rsid w:val="00AC5B2D"/>
    <w:rsid w:val="00AC5CBE"/>
    <w:rsid w:val="00AC5D5F"/>
    <w:rsid w:val="00AC5F11"/>
    <w:rsid w:val="00AC69F3"/>
    <w:rsid w:val="00AC75BB"/>
    <w:rsid w:val="00AC769E"/>
    <w:rsid w:val="00AC77B0"/>
    <w:rsid w:val="00AC7894"/>
    <w:rsid w:val="00AC7AB8"/>
    <w:rsid w:val="00AD01EB"/>
    <w:rsid w:val="00AD031E"/>
    <w:rsid w:val="00AD0495"/>
    <w:rsid w:val="00AD0556"/>
    <w:rsid w:val="00AD097C"/>
    <w:rsid w:val="00AD0B14"/>
    <w:rsid w:val="00AD0CC7"/>
    <w:rsid w:val="00AD206B"/>
    <w:rsid w:val="00AD24FC"/>
    <w:rsid w:val="00AD2C88"/>
    <w:rsid w:val="00AD33B7"/>
    <w:rsid w:val="00AD3B8F"/>
    <w:rsid w:val="00AD3D17"/>
    <w:rsid w:val="00AD41B4"/>
    <w:rsid w:val="00AD438A"/>
    <w:rsid w:val="00AD4D21"/>
    <w:rsid w:val="00AD4FE8"/>
    <w:rsid w:val="00AD5086"/>
    <w:rsid w:val="00AD5308"/>
    <w:rsid w:val="00AD5324"/>
    <w:rsid w:val="00AD53F9"/>
    <w:rsid w:val="00AD5546"/>
    <w:rsid w:val="00AD57F8"/>
    <w:rsid w:val="00AD5B22"/>
    <w:rsid w:val="00AD5C60"/>
    <w:rsid w:val="00AD5E3B"/>
    <w:rsid w:val="00AD5ED7"/>
    <w:rsid w:val="00AD6E0D"/>
    <w:rsid w:val="00AD7699"/>
    <w:rsid w:val="00AD7D12"/>
    <w:rsid w:val="00AE00B4"/>
    <w:rsid w:val="00AE082D"/>
    <w:rsid w:val="00AE0A48"/>
    <w:rsid w:val="00AE15F4"/>
    <w:rsid w:val="00AE16D4"/>
    <w:rsid w:val="00AE1BBE"/>
    <w:rsid w:val="00AE1CDF"/>
    <w:rsid w:val="00AE1D9C"/>
    <w:rsid w:val="00AE1FE5"/>
    <w:rsid w:val="00AE25F7"/>
    <w:rsid w:val="00AE2D60"/>
    <w:rsid w:val="00AE2DBC"/>
    <w:rsid w:val="00AE2E91"/>
    <w:rsid w:val="00AE2FEF"/>
    <w:rsid w:val="00AE3075"/>
    <w:rsid w:val="00AE367A"/>
    <w:rsid w:val="00AE3FEF"/>
    <w:rsid w:val="00AE42FE"/>
    <w:rsid w:val="00AE45C1"/>
    <w:rsid w:val="00AE4D8C"/>
    <w:rsid w:val="00AE6333"/>
    <w:rsid w:val="00AE6977"/>
    <w:rsid w:val="00AE7840"/>
    <w:rsid w:val="00AF00C1"/>
    <w:rsid w:val="00AF053F"/>
    <w:rsid w:val="00AF1368"/>
    <w:rsid w:val="00AF152B"/>
    <w:rsid w:val="00AF155B"/>
    <w:rsid w:val="00AF16F7"/>
    <w:rsid w:val="00AF1AFF"/>
    <w:rsid w:val="00AF1EE3"/>
    <w:rsid w:val="00AF253A"/>
    <w:rsid w:val="00AF340D"/>
    <w:rsid w:val="00AF372C"/>
    <w:rsid w:val="00AF3922"/>
    <w:rsid w:val="00AF3D27"/>
    <w:rsid w:val="00AF41E6"/>
    <w:rsid w:val="00AF4253"/>
    <w:rsid w:val="00AF4A6B"/>
    <w:rsid w:val="00AF51B6"/>
    <w:rsid w:val="00AF56B3"/>
    <w:rsid w:val="00AF6018"/>
    <w:rsid w:val="00AF62E2"/>
    <w:rsid w:val="00AF6C5B"/>
    <w:rsid w:val="00AF6D71"/>
    <w:rsid w:val="00AF75B7"/>
    <w:rsid w:val="00AF767B"/>
    <w:rsid w:val="00AF767F"/>
    <w:rsid w:val="00AF79B0"/>
    <w:rsid w:val="00B00C0D"/>
    <w:rsid w:val="00B01B31"/>
    <w:rsid w:val="00B01B4A"/>
    <w:rsid w:val="00B01E33"/>
    <w:rsid w:val="00B01FD0"/>
    <w:rsid w:val="00B01FEE"/>
    <w:rsid w:val="00B02134"/>
    <w:rsid w:val="00B028C1"/>
    <w:rsid w:val="00B02A96"/>
    <w:rsid w:val="00B02B12"/>
    <w:rsid w:val="00B03AFE"/>
    <w:rsid w:val="00B03B75"/>
    <w:rsid w:val="00B03FAB"/>
    <w:rsid w:val="00B042D8"/>
    <w:rsid w:val="00B04DB8"/>
    <w:rsid w:val="00B04E87"/>
    <w:rsid w:val="00B05236"/>
    <w:rsid w:val="00B055A0"/>
    <w:rsid w:val="00B05CD2"/>
    <w:rsid w:val="00B060A4"/>
    <w:rsid w:val="00B06A43"/>
    <w:rsid w:val="00B06A4E"/>
    <w:rsid w:val="00B06C02"/>
    <w:rsid w:val="00B072B0"/>
    <w:rsid w:val="00B077B7"/>
    <w:rsid w:val="00B07ADA"/>
    <w:rsid w:val="00B07B4F"/>
    <w:rsid w:val="00B07BA4"/>
    <w:rsid w:val="00B07EA5"/>
    <w:rsid w:val="00B1049F"/>
    <w:rsid w:val="00B10DBC"/>
    <w:rsid w:val="00B11ACF"/>
    <w:rsid w:val="00B11BD0"/>
    <w:rsid w:val="00B11E7F"/>
    <w:rsid w:val="00B11F2C"/>
    <w:rsid w:val="00B125C7"/>
    <w:rsid w:val="00B128E6"/>
    <w:rsid w:val="00B12AA9"/>
    <w:rsid w:val="00B12AC9"/>
    <w:rsid w:val="00B13027"/>
    <w:rsid w:val="00B135A9"/>
    <w:rsid w:val="00B137EB"/>
    <w:rsid w:val="00B13C7B"/>
    <w:rsid w:val="00B13CFB"/>
    <w:rsid w:val="00B14D7F"/>
    <w:rsid w:val="00B150AF"/>
    <w:rsid w:val="00B156F6"/>
    <w:rsid w:val="00B15AB8"/>
    <w:rsid w:val="00B15E0B"/>
    <w:rsid w:val="00B162AD"/>
    <w:rsid w:val="00B170FB"/>
    <w:rsid w:val="00B17435"/>
    <w:rsid w:val="00B17852"/>
    <w:rsid w:val="00B17C78"/>
    <w:rsid w:val="00B20787"/>
    <w:rsid w:val="00B20C32"/>
    <w:rsid w:val="00B21032"/>
    <w:rsid w:val="00B2107A"/>
    <w:rsid w:val="00B212FA"/>
    <w:rsid w:val="00B21C20"/>
    <w:rsid w:val="00B22B81"/>
    <w:rsid w:val="00B22BC8"/>
    <w:rsid w:val="00B23D78"/>
    <w:rsid w:val="00B23F7D"/>
    <w:rsid w:val="00B245FB"/>
    <w:rsid w:val="00B24652"/>
    <w:rsid w:val="00B24CDA"/>
    <w:rsid w:val="00B25134"/>
    <w:rsid w:val="00B25561"/>
    <w:rsid w:val="00B259C1"/>
    <w:rsid w:val="00B25A2C"/>
    <w:rsid w:val="00B25A40"/>
    <w:rsid w:val="00B2633E"/>
    <w:rsid w:val="00B2638C"/>
    <w:rsid w:val="00B26C4C"/>
    <w:rsid w:val="00B27708"/>
    <w:rsid w:val="00B27DF5"/>
    <w:rsid w:val="00B27EDE"/>
    <w:rsid w:val="00B30254"/>
    <w:rsid w:val="00B30673"/>
    <w:rsid w:val="00B309C9"/>
    <w:rsid w:val="00B30D1A"/>
    <w:rsid w:val="00B30FDE"/>
    <w:rsid w:val="00B31BCD"/>
    <w:rsid w:val="00B31DB4"/>
    <w:rsid w:val="00B32620"/>
    <w:rsid w:val="00B329F9"/>
    <w:rsid w:val="00B32FF9"/>
    <w:rsid w:val="00B33206"/>
    <w:rsid w:val="00B332CE"/>
    <w:rsid w:val="00B33BA3"/>
    <w:rsid w:val="00B340C0"/>
    <w:rsid w:val="00B3424F"/>
    <w:rsid w:val="00B3444F"/>
    <w:rsid w:val="00B34952"/>
    <w:rsid w:val="00B34F3C"/>
    <w:rsid w:val="00B357E2"/>
    <w:rsid w:val="00B36433"/>
    <w:rsid w:val="00B368F5"/>
    <w:rsid w:val="00B368FA"/>
    <w:rsid w:val="00B37355"/>
    <w:rsid w:val="00B37B2A"/>
    <w:rsid w:val="00B40160"/>
    <w:rsid w:val="00B4121A"/>
    <w:rsid w:val="00B41384"/>
    <w:rsid w:val="00B4159C"/>
    <w:rsid w:val="00B41A7A"/>
    <w:rsid w:val="00B420C8"/>
    <w:rsid w:val="00B4250A"/>
    <w:rsid w:val="00B426F8"/>
    <w:rsid w:val="00B42984"/>
    <w:rsid w:val="00B42BBF"/>
    <w:rsid w:val="00B43002"/>
    <w:rsid w:val="00B431ED"/>
    <w:rsid w:val="00B43CBF"/>
    <w:rsid w:val="00B43CE8"/>
    <w:rsid w:val="00B44AF8"/>
    <w:rsid w:val="00B44E9E"/>
    <w:rsid w:val="00B44FBF"/>
    <w:rsid w:val="00B45565"/>
    <w:rsid w:val="00B459A1"/>
    <w:rsid w:val="00B45FF7"/>
    <w:rsid w:val="00B465A3"/>
    <w:rsid w:val="00B46E1D"/>
    <w:rsid w:val="00B475DA"/>
    <w:rsid w:val="00B476E6"/>
    <w:rsid w:val="00B50581"/>
    <w:rsid w:val="00B50828"/>
    <w:rsid w:val="00B5096C"/>
    <w:rsid w:val="00B514B1"/>
    <w:rsid w:val="00B51F99"/>
    <w:rsid w:val="00B51FBF"/>
    <w:rsid w:val="00B5262D"/>
    <w:rsid w:val="00B526FE"/>
    <w:rsid w:val="00B53732"/>
    <w:rsid w:val="00B53BB9"/>
    <w:rsid w:val="00B54A21"/>
    <w:rsid w:val="00B54B2B"/>
    <w:rsid w:val="00B55815"/>
    <w:rsid w:val="00B5609D"/>
    <w:rsid w:val="00B560A3"/>
    <w:rsid w:val="00B5706A"/>
    <w:rsid w:val="00B5761A"/>
    <w:rsid w:val="00B5773D"/>
    <w:rsid w:val="00B5780E"/>
    <w:rsid w:val="00B57909"/>
    <w:rsid w:val="00B57CA9"/>
    <w:rsid w:val="00B6123B"/>
    <w:rsid w:val="00B617B9"/>
    <w:rsid w:val="00B620C9"/>
    <w:rsid w:val="00B62282"/>
    <w:rsid w:val="00B6233B"/>
    <w:rsid w:val="00B62A26"/>
    <w:rsid w:val="00B62E9B"/>
    <w:rsid w:val="00B634D3"/>
    <w:rsid w:val="00B63D47"/>
    <w:rsid w:val="00B643EC"/>
    <w:rsid w:val="00B64E3F"/>
    <w:rsid w:val="00B6664B"/>
    <w:rsid w:val="00B666CA"/>
    <w:rsid w:val="00B66886"/>
    <w:rsid w:val="00B66D31"/>
    <w:rsid w:val="00B678E7"/>
    <w:rsid w:val="00B67A6B"/>
    <w:rsid w:val="00B67AB7"/>
    <w:rsid w:val="00B67EA7"/>
    <w:rsid w:val="00B704E2"/>
    <w:rsid w:val="00B70B6F"/>
    <w:rsid w:val="00B70D69"/>
    <w:rsid w:val="00B71BE5"/>
    <w:rsid w:val="00B71F99"/>
    <w:rsid w:val="00B72523"/>
    <w:rsid w:val="00B726D2"/>
    <w:rsid w:val="00B728DE"/>
    <w:rsid w:val="00B72FD5"/>
    <w:rsid w:val="00B738E1"/>
    <w:rsid w:val="00B73F30"/>
    <w:rsid w:val="00B74058"/>
    <w:rsid w:val="00B741CF"/>
    <w:rsid w:val="00B752AD"/>
    <w:rsid w:val="00B7571C"/>
    <w:rsid w:val="00B75D66"/>
    <w:rsid w:val="00B76059"/>
    <w:rsid w:val="00B76A08"/>
    <w:rsid w:val="00B7795E"/>
    <w:rsid w:val="00B77D70"/>
    <w:rsid w:val="00B77E85"/>
    <w:rsid w:val="00B8012B"/>
    <w:rsid w:val="00B80CCB"/>
    <w:rsid w:val="00B80EF9"/>
    <w:rsid w:val="00B81639"/>
    <w:rsid w:val="00B82D2F"/>
    <w:rsid w:val="00B82DEB"/>
    <w:rsid w:val="00B82EF9"/>
    <w:rsid w:val="00B83274"/>
    <w:rsid w:val="00B836AF"/>
    <w:rsid w:val="00B83F2B"/>
    <w:rsid w:val="00B845B9"/>
    <w:rsid w:val="00B845C6"/>
    <w:rsid w:val="00B84BCC"/>
    <w:rsid w:val="00B84C28"/>
    <w:rsid w:val="00B85650"/>
    <w:rsid w:val="00B85CA3"/>
    <w:rsid w:val="00B85E8C"/>
    <w:rsid w:val="00B860E6"/>
    <w:rsid w:val="00B86317"/>
    <w:rsid w:val="00B86588"/>
    <w:rsid w:val="00B86693"/>
    <w:rsid w:val="00B867CD"/>
    <w:rsid w:val="00B86978"/>
    <w:rsid w:val="00B86DF6"/>
    <w:rsid w:val="00B87075"/>
    <w:rsid w:val="00B8724B"/>
    <w:rsid w:val="00B8780C"/>
    <w:rsid w:val="00B87C8D"/>
    <w:rsid w:val="00B90081"/>
    <w:rsid w:val="00B900AE"/>
    <w:rsid w:val="00B900B8"/>
    <w:rsid w:val="00B901B5"/>
    <w:rsid w:val="00B9027D"/>
    <w:rsid w:val="00B90817"/>
    <w:rsid w:val="00B9147D"/>
    <w:rsid w:val="00B91569"/>
    <w:rsid w:val="00B91DDE"/>
    <w:rsid w:val="00B91DEA"/>
    <w:rsid w:val="00B920BB"/>
    <w:rsid w:val="00B92998"/>
    <w:rsid w:val="00B92A6A"/>
    <w:rsid w:val="00B92BCF"/>
    <w:rsid w:val="00B93168"/>
    <w:rsid w:val="00B9336F"/>
    <w:rsid w:val="00B93F50"/>
    <w:rsid w:val="00B94CBD"/>
    <w:rsid w:val="00B94E27"/>
    <w:rsid w:val="00B954E3"/>
    <w:rsid w:val="00B95807"/>
    <w:rsid w:val="00B95F13"/>
    <w:rsid w:val="00B95F24"/>
    <w:rsid w:val="00B96C47"/>
    <w:rsid w:val="00B9712B"/>
    <w:rsid w:val="00B97463"/>
    <w:rsid w:val="00BA120B"/>
    <w:rsid w:val="00BA15BA"/>
    <w:rsid w:val="00BA19DF"/>
    <w:rsid w:val="00BA1B16"/>
    <w:rsid w:val="00BA1BF1"/>
    <w:rsid w:val="00BA277C"/>
    <w:rsid w:val="00BA2969"/>
    <w:rsid w:val="00BA29B5"/>
    <w:rsid w:val="00BA3645"/>
    <w:rsid w:val="00BA3C28"/>
    <w:rsid w:val="00BA3C7A"/>
    <w:rsid w:val="00BA5603"/>
    <w:rsid w:val="00BA5922"/>
    <w:rsid w:val="00BA5C36"/>
    <w:rsid w:val="00BA5C51"/>
    <w:rsid w:val="00BA5D2E"/>
    <w:rsid w:val="00BA6B59"/>
    <w:rsid w:val="00BA6C55"/>
    <w:rsid w:val="00BA6FD5"/>
    <w:rsid w:val="00BB1137"/>
    <w:rsid w:val="00BB12C8"/>
    <w:rsid w:val="00BB1633"/>
    <w:rsid w:val="00BB1B45"/>
    <w:rsid w:val="00BB1EAB"/>
    <w:rsid w:val="00BB2048"/>
    <w:rsid w:val="00BB2590"/>
    <w:rsid w:val="00BB2D6A"/>
    <w:rsid w:val="00BB2D91"/>
    <w:rsid w:val="00BB2E49"/>
    <w:rsid w:val="00BB2F91"/>
    <w:rsid w:val="00BB30EB"/>
    <w:rsid w:val="00BB320C"/>
    <w:rsid w:val="00BB4300"/>
    <w:rsid w:val="00BB5532"/>
    <w:rsid w:val="00BB57A9"/>
    <w:rsid w:val="00BB5901"/>
    <w:rsid w:val="00BB5A5F"/>
    <w:rsid w:val="00BB6698"/>
    <w:rsid w:val="00BB6CAD"/>
    <w:rsid w:val="00BB701F"/>
    <w:rsid w:val="00BB707D"/>
    <w:rsid w:val="00BB73B4"/>
    <w:rsid w:val="00BB74B3"/>
    <w:rsid w:val="00BB76DA"/>
    <w:rsid w:val="00BB7740"/>
    <w:rsid w:val="00BB794D"/>
    <w:rsid w:val="00BC06BF"/>
    <w:rsid w:val="00BC0A99"/>
    <w:rsid w:val="00BC0D98"/>
    <w:rsid w:val="00BC0DB5"/>
    <w:rsid w:val="00BC1822"/>
    <w:rsid w:val="00BC20B8"/>
    <w:rsid w:val="00BC26F3"/>
    <w:rsid w:val="00BC2D13"/>
    <w:rsid w:val="00BC3229"/>
    <w:rsid w:val="00BC3BC9"/>
    <w:rsid w:val="00BC4339"/>
    <w:rsid w:val="00BC480F"/>
    <w:rsid w:val="00BC4DEA"/>
    <w:rsid w:val="00BC4E69"/>
    <w:rsid w:val="00BC5421"/>
    <w:rsid w:val="00BC5616"/>
    <w:rsid w:val="00BC5D6A"/>
    <w:rsid w:val="00BC6B0C"/>
    <w:rsid w:val="00BC6BA4"/>
    <w:rsid w:val="00BC6C6F"/>
    <w:rsid w:val="00BC778F"/>
    <w:rsid w:val="00BD000C"/>
    <w:rsid w:val="00BD06D6"/>
    <w:rsid w:val="00BD094B"/>
    <w:rsid w:val="00BD0D1B"/>
    <w:rsid w:val="00BD0F31"/>
    <w:rsid w:val="00BD1AB9"/>
    <w:rsid w:val="00BD1B37"/>
    <w:rsid w:val="00BD28AE"/>
    <w:rsid w:val="00BD301E"/>
    <w:rsid w:val="00BD34B0"/>
    <w:rsid w:val="00BD3ACE"/>
    <w:rsid w:val="00BD3CB2"/>
    <w:rsid w:val="00BD4326"/>
    <w:rsid w:val="00BD44B2"/>
    <w:rsid w:val="00BD4AF9"/>
    <w:rsid w:val="00BD4DF8"/>
    <w:rsid w:val="00BD4FD8"/>
    <w:rsid w:val="00BD5264"/>
    <w:rsid w:val="00BD5504"/>
    <w:rsid w:val="00BD5804"/>
    <w:rsid w:val="00BD5E2C"/>
    <w:rsid w:val="00BD5FC5"/>
    <w:rsid w:val="00BD6762"/>
    <w:rsid w:val="00BD6D3B"/>
    <w:rsid w:val="00BD733E"/>
    <w:rsid w:val="00BD7ADE"/>
    <w:rsid w:val="00BE063B"/>
    <w:rsid w:val="00BE0733"/>
    <w:rsid w:val="00BE0898"/>
    <w:rsid w:val="00BE092F"/>
    <w:rsid w:val="00BE11B5"/>
    <w:rsid w:val="00BE1487"/>
    <w:rsid w:val="00BE1A44"/>
    <w:rsid w:val="00BE247A"/>
    <w:rsid w:val="00BE268B"/>
    <w:rsid w:val="00BE278A"/>
    <w:rsid w:val="00BE30FA"/>
    <w:rsid w:val="00BE34C7"/>
    <w:rsid w:val="00BE429E"/>
    <w:rsid w:val="00BE4355"/>
    <w:rsid w:val="00BE479B"/>
    <w:rsid w:val="00BE4982"/>
    <w:rsid w:val="00BE4C71"/>
    <w:rsid w:val="00BE5483"/>
    <w:rsid w:val="00BE5758"/>
    <w:rsid w:val="00BE5860"/>
    <w:rsid w:val="00BE58BB"/>
    <w:rsid w:val="00BE5E7C"/>
    <w:rsid w:val="00BE62B4"/>
    <w:rsid w:val="00BE6479"/>
    <w:rsid w:val="00BE6547"/>
    <w:rsid w:val="00BE71FA"/>
    <w:rsid w:val="00BE7323"/>
    <w:rsid w:val="00BE77E8"/>
    <w:rsid w:val="00BE79A7"/>
    <w:rsid w:val="00BE79CD"/>
    <w:rsid w:val="00BE7E50"/>
    <w:rsid w:val="00BF0019"/>
    <w:rsid w:val="00BF0364"/>
    <w:rsid w:val="00BF0531"/>
    <w:rsid w:val="00BF067B"/>
    <w:rsid w:val="00BF0AF5"/>
    <w:rsid w:val="00BF1029"/>
    <w:rsid w:val="00BF123D"/>
    <w:rsid w:val="00BF12E6"/>
    <w:rsid w:val="00BF1397"/>
    <w:rsid w:val="00BF21C6"/>
    <w:rsid w:val="00BF2349"/>
    <w:rsid w:val="00BF263E"/>
    <w:rsid w:val="00BF29F0"/>
    <w:rsid w:val="00BF2D25"/>
    <w:rsid w:val="00BF3602"/>
    <w:rsid w:val="00BF3DA8"/>
    <w:rsid w:val="00BF3F7F"/>
    <w:rsid w:val="00BF4161"/>
    <w:rsid w:val="00BF429A"/>
    <w:rsid w:val="00BF47A3"/>
    <w:rsid w:val="00BF4814"/>
    <w:rsid w:val="00BF48C0"/>
    <w:rsid w:val="00BF4CB0"/>
    <w:rsid w:val="00BF4F06"/>
    <w:rsid w:val="00BF51A2"/>
    <w:rsid w:val="00BF52E7"/>
    <w:rsid w:val="00BF5C29"/>
    <w:rsid w:val="00BF6044"/>
    <w:rsid w:val="00BF6AD1"/>
    <w:rsid w:val="00BF75E5"/>
    <w:rsid w:val="00BF7C4E"/>
    <w:rsid w:val="00BF7D3D"/>
    <w:rsid w:val="00BF7E0B"/>
    <w:rsid w:val="00C00101"/>
    <w:rsid w:val="00C008D8"/>
    <w:rsid w:val="00C010DC"/>
    <w:rsid w:val="00C02301"/>
    <w:rsid w:val="00C02A69"/>
    <w:rsid w:val="00C03DF6"/>
    <w:rsid w:val="00C040B4"/>
    <w:rsid w:val="00C04A2F"/>
    <w:rsid w:val="00C04D70"/>
    <w:rsid w:val="00C04F5C"/>
    <w:rsid w:val="00C051DC"/>
    <w:rsid w:val="00C05B55"/>
    <w:rsid w:val="00C05CAA"/>
    <w:rsid w:val="00C061A4"/>
    <w:rsid w:val="00C06423"/>
    <w:rsid w:val="00C067B2"/>
    <w:rsid w:val="00C071F1"/>
    <w:rsid w:val="00C07382"/>
    <w:rsid w:val="00C07A82"/>
    <w:rsid w:val="00C1035A"/>
    <w:rsid w:val="00C1056C"/>
    <w:rsid w:val="00C109BF"/>
    <w:rsid w:val="00C10F9C"/>
    <w:rsid w:val="00C11C65"/>
    <w:rsid w:val="00C11F55"/>
    <w:rsid w:val="00C126A0"/>
    <w:rsid w:val="00C12854"/>
    <w:rsid w:val="00C1308B"/>
    <w:rsid w:val="00C13452"/>
    <w:rsid w:val="00C13520"/>
    <w:rsid w:val="00C13607"/>
    <w:rsid w:val="00C138CE"/>
    <w:rsid w:val="00C14106"/>
    <w:rsid w:val="00C141F1"/>
    <w:rsid w:val="00C1464A"/>
    <w:rsid w:val="00C15311"/>
    <w:rsid w:val="00C153E4"/>
    <w:rsid w:val="00C1560F"/>
    <w:rsid w:val="00C15C6D"/>
    <w:rsid w:val="00C15FBD"/>
    <w:rsid w:val="00C1665A"/>
    <w:rsid w:val="00C16BF0"/>
    <w:rsid w:val="00C173D8"/>
    <w:rsid w:val="00C175C1"/>
    <w:rsid w:val="00C179E6"/>
    <w:rsid w:val="00C20349"/>
    <w:rsid w:val="00C20D69"/>
    <w:rsid w:val="00C20F25"/>
    <w:rsid w:val="00C21B79"/>
    <w:rsid w:val="00C21D95"/>
    <w:rsid w:val="00C21F48"/>
    <w:rsid w:val="00C220D0"/>
    <w:rsid w:val="00C2258F"/>
    <w:rsid w:val="00C23022"/>
    <w:rsid w:val="00C23219"/>
    <w:rsid w:val="00C23550"/>
    <w:rsid w:val="00C235F7"/>
    <w:rsid w:val="00C23BCF"/>
    <w:rsid w:val="00C23D61"/>
    <w:rsid w:val="00C24026"/>
    <w:rsid w:val="00C24100"/>
    <w:rsid w:val="00C24B1D"/>
    <w:rsid w:val="00C24F0C"/>
    <w:rsid w:val="00C25089"/>
    <w:rsid w:val="00C250D4"/>
    <w:rsid w:val="00C253BD"/>
    <w:rsid w:val="00C264D3"/>
    <w:rsid w:val="00C266EE"/>
    <w:rsid w:val="00C269C1"/>
    <w:rsid w:val="00C27117"/>
    <w:rsid w:val="00C278EE"/>
    <w:rsid w:val="00C3060B"/>
    <w:rsid w:val="00C30CB6"/>
    <w:rsid w:val="00C314BC"/>
    <w:rsid w:val="00C31E0C"/>
    <w:rsid w:val="00C32580"/>
    <w:rsid w:val="00C326C1"/>
    <w:rsid w:val="00C326F0"/>
    <w:rsid w:val="00C341F4"/>
    <w:rsid w:val="00C34429"/>
    <w:rsid w:val="00C3499F"/>
    <w:rsid w:val="00C34C84"/>
    <w:rsid w:val="00C34E3E"/>
    <w:rsid w:val="00C350D6"/>
    <w:rsid w:val="00C36FEE"/>
    <w:rsid w:val="00C37230"/>
    <w:rsid w:val="00C373DA"/>
    <w:rsid w:val="00C378D2"/>
    <w:rsid w:val="00C3790C"/>
    <w:rsid w:val="00C37ACE"/>
    <w:rsid w:val="00C409AF"/>
    <w:rsid w:val="00C414B3"/>
    <w:rsid w:val="00C41528"/>
    <w:rsid w:val="00C419BC"/>
    <w:rsid w:val="00C41C1D"/>
    <w:rsid w:val="00C41F45"/>
    <w:rsid w:val="00C4213B"/>
    <w:rsid w:val="00C424AB"/>
    <w:rsid w:val="00C42CF9"/>
    <w:rsid w:val="00C43020"/>
    <w:rsid w:val="00C4323C"/>
    <w:rsid w:val="00C435CB"/>
    <w:rsid w:val="00C4385F"/>
    <w:rsid w:val="00C43940"/>
    <w:rsid w:val="00C43C6B"/>
    <w:rsid w:val="00C44BEE"/>
    <w:rsid w:val="00C44D0D"/>
    <w:rsid w:val="00C451A2"/>
    <w:rsid w:val="00C4544E"/>
    <w:rsid w:val="00C45789"/>
    <w:rsid w:val="00C45818"/>
    <w:rsid w:val="00C45F02"/>
    <w:rsid w:val="00C46468"/>
    <w:rsid w:val="00C46F3A"/>
    <w:rsid w:val="00C4737F"/>
    <w:rsid w:val="00C47845"/>
    <w:rsid w:val="00C47B81"/>
    <w:rsid w:val="00C47BB2"/>
    <w:rsid w:val="00C47E75"/>
    <w:rsid w:val="00C50CA9"/>
    <w:rsid w:val="00C512C0"/>
    <w:rsid w:val="00C51BE5"/>
    <w:rsid w:val="00C51E95"/>
    <w:rsid w:val="00C52524"/>
    <w:rsid w:val="00C52525"/>
    <w:rsid w:val="00C52AF3"/>
    <w:rsid w:val="00C52CB6"/>
    <w:rsid w:val="00C52E2E"/>
    <w:rsid w:val="00C52ED5"/>
    <w:rsid w:val="00C536B8"/>
    <w:rsid w:val="00C53932"/>
    <w:rsid w:val="00C53B5C"/>
    <w:rsid w:val="00C54485"/>
    <w:rsid w:val="00C54C35"/>
    <w:rsid w:val="00C54D45"/>
    <w:rsid w:val="00C55046"/>
    <w:rsid w:val="00C5518A"/>
    <w:rsid w:val="00C5525A"/>
    <w:rsid w:val="00C55499"/>
    <w:rsid w:val="00C55A58"/>
    <w:rsid w:val="00C55BE7"/>
    <w:rsid w:val="00C55CA0"/>
    <w:rsid w:val="00C55CD4"/>
    <w:rsid w:val="00C55D83"/>
    <w:rsid w:val="00C56285"/>
    <w:rsid w:val="00C562A3"/>
    <w:rsid w:val="00C564BA"/>
    <w:rsid w:val="00C56773"/>
    <w:rsid w:val="00C56A0D"/>
    <w:rsid w:val="00C56B4E"/>
    <w:rsid w:val="00C56C88"/>
    <w:rsid w:val="00C56D8C"/>
    <w:rsid w:val="00C57829"/>
    <w:rsid w:val="00C60241"/>
    <w:rsid w:val="00C6066F"/>
    <w:rsid w:val="00C60681"/>
    <w:rsid w:val="00C607C4"/>
    <w:rsid w:val="00C60816"/>
    <w:rsid w:val="00C60E09"/>
    <w:rsid w:val="00C61897"/>
    <w:rsid w:val="00C62360"/>
    <w:rsid w:val="00C62438"/>
    <w:rsid w:val="00C625DA"/>
    <w:rsid w:val="00C625E1"/>
    <w:rsid w:val="00C62907"/>
    <w:rsid w:val="00C63160"/>
    <w:rsid w:val="00C638C3"/>
    <w:rsid w:val="00C63F24"/>
    <w:rsid w:val="00C64C98"/>
    <w:rsid w:val="00C64CB7"/>
    <w:rsid w:val="00C65581"/>
    <w:rsid w:val="00C65935"/>
    <w:rsid w:val="00C65D16"/>
    <w:rsid w:val="00C6609C"/>
    <w:rsid w:val="00C6624E"/>
    <w:rsid w:val="00C66751"/>
    <w:rsid w:val="00C66A36"/>
    <w:rsid w:val="00C66EFC"/>
    <w:rsid w:val="00C67049"/>
    <w:rsid w:val="00C6739B"/>
    <w:rsid w:val="00C708B2"/>
    <w:rsid w:val="00C70971"/>
    <w:rsid w:val="00C709F2"/>
    <w:rsid w:val="00C70C83"/>
    <w:rsid w:val="00C71393"/>
    <w:rsid w:val="00C714D7"/>
    <w:rsid w:val="00C71728"/>
    <w:rsid w:val="00C718F5"/>
    <w:rsid w:val="00C723D0"/>
    <w:rsid w:val="00C7337E"/>
    <w:rsid w:val="00C73420"/>
    <w:rsid w:val="00C734AC"/>
    <w:rsid w:val="00C7364E"/>
    <w:rsid w:val="00C73A2E"/>
    <w:rsid w:val="00C742F6"/>
    <w:rsid w:val="00C74FBA"/>
    <w:rsid w:val="00C75824"/>
    <w:rsid w:val="00C75920"/>
    <w:rsid w:val="00C75C36"/>
    <w:rsid w:val="00C75DCB"/>
    <w:rsid w:val="00C76B78"/>
    <w:rsid w:val="00C77397"/>
    <w:rsid w:val="00C77FD4"/>
    <w:rsid w:val="00C80721"/>
    <w:rsid w:val="00C80968"/>
    <w:rsid w:val="00C809CA"/>
    <w:rsid w:val="00C80E7C"/>
    <w:rsid w:val="00C80F29"/>
    <w:rsid w:val="00C811A6"/>
    <w:rsid w:val="00C822A1"/>
    <w:rsid w:val="00C82579"/>
    <w:rsid w:val="00C829C2"/>
    <w:rsid w:val="00C82A7A"/>
    <w:rsid w:val="00C82DAB"/>
    <w:rsid w:val="00C82E38"/>
    <w:rsid w:val="00C83447"/>
    <w:rsid w:val="00C83A98"/>
    <w:rsid w:val="00C83D41"/>
    <w:rsid w:val="00C8428B"/>
    <w:rsid w:val="00C8522D"/>
    <w:rsid w:val="00C85DCD"/>
    <w:rsid w:val="00C85FB4"/>
    <w:rsid w:val="00C87078"/>
    <w:rsid w:val="00C872BA"/>
    <w:rsid w:val="00C87B60"/>
    <w:rsid w:val="00C87EF0"/>
    <w:rsid w:val="00C908C1"/>
    <w:rsid w:val="00C91F12"/>
    <w:rsid w:val="00C92DDF"/>
    <w:rsid w:val="00C9343A"/>
    <w:rsid w:val="00C936EB"/>
    <w:rsid w:val="00C9469B"/>
    <w:rsid w:val="00C94BD3"/>
    <w:rsid w:val="00C94D78"/>
    <w:rsid w:val="00C94E4C"/>
    <w:rsid w:val="00C950F2"/>
    <w:rsid w:val="00C951BC"/>
    <w:rsid w:val="00C95FC5"/>
    <w:rsid w:val="00C9634D"/>
    <w:rsid w:val="00C96477"/>
    <w:rsid w:val="00C96D74"/>
    <w:rsid w:val="00C973D6"/>
    <w:rsid w:val="00C975F6"/>
    <w:rsid w:val="00C9791B"/>
    <w:rsid w:val="00C97E29"/>
    <w:rsid w:val="00C97E95"/>
    <w:rsid w:val="00CA005D"/>
    <w:rsid w:val="00CA1911"/>
    <w:rsid w:val="00CA19DA"/>
    <w:rsid w:val="00CA21E9"/>
    <w:rsid w:val="00CA29B6"/>
    <w:rsid w:val="00CA31D7"/>
    <w:rsid w:val="00CA3286"/>
    <w:rsid w:val="00CA32EA"/>
    <w:rsid w:val="00CA36C6"/>
    <w:rsid w:val="00CA3A52"/>
    <w:rsid w:val="00CA3FEE"/>
    <w:rsid w:val="00CA405C"/>
    <w:rsid w:val="00CA4766"/>
    <w:rsid w:val="00CA4920"/>
    <w:rsid w:val="00CA4D5C"/>
    <w:rsid w:val="00CA5173"/>
    <w:rsid w:val="00CA51CD"/>
    <w:rsid w:val="00CA5224"/>
    <w:rsid w:val="00CA587C"/>
    <w:rsid w:val="00CA5ADF"/>
    <w:rsid w:val="00CA5CE1"/>
    <w:rsid w:val="00CA763D"/>
    <w:rsid w:val="00CB01C6"/>
    <w:rsid w:val="00CB08C8"/>
    <w:rsid w:val="00CB0EC3"/>
    <w:rsid w:val="00CB0EC5"/>
    <w:rsid w:val="00CB1CA5"/>
    <w:rsid w:val="00CB20E6"/>
    <w:rsid w:val="00CB26D4"/>
    <w:rsid w:val="00CB299F"/>
    <w:rsid w:val="00CB3168"/>
    <w:rsid w:val="00CB3209"/>
    <w:rsid w:val="00CB3961"/>
    <w:rsid w:val="00CB4035"/>
    <w:rsid w:val="00CB430D"/>
    <w:rsid w:val="00CB474C"/>
    <w:rsid w:val="00CB474E"/>
    <w:rsid w:val="00CB48ED"/>
    <w:rsid w:val="00CB4D06"/>
    <w:rsid w:val="00CB4E03"/>
    <w:rsid w:val="00CB5290"/>
    <w:rsid w:val="00CB53AD"/>
    <w:rsid w:val="00CB5A51"/>
    <w:rsid w:val="00CB5A83"/>
    <w:rsid w:val="00CB6148"/>
    <w:rsid w:val="00CB6355"/>
    <w:rsid w:val="00CB63E5"/>
    <w:rsid w:val="00CB64E0"/>
    <w:rsid w:val="00CB6645"/>
    <w:rsid w:val="00CB6676"/>
    <w:rsid w:val="00CB6D9D"/>
    <w:rsid w:val="00CB71BB"/>
    <w:rsid w:val="00CB772A"/>
    <w:rsid w:val="00CB7778"/>
    <w:rsid w:val="00CB789E"/>
    <w:rsid w:val="00CB7CE5"/>
    <w:rsid w:val="00CB7DA9"/>
    <w:rsid w:val="00CB7E5C"/>
    <w:rsid w:val="00CB7F4A"/>
    <w:rsid w:val="00CC0341"/>
    <w:rsid w:val="00CC0A0E"/>
    <w:rsid w:val="00CC0AF4"/>
    <w:rsid w:val="00CC1082"/>
    <w:rsid w:val="00CC24DD"/>
    <w:rsid w:val="00CC2CF1"/>
    <w:rsid w:val="00CC2D05"/>
    <w:rsid w:val="00CC2D17"/>
    <w:rsid w:val="00CC3B43"/>
    <w:rsid w:val="00CC3C3E"/>
    <w:rsid w:val="00CC3D43"/>
    <w:rsid w:val="00CC43D7"/>
    <w:rsid w:val="00CC4CA0"/>
    <w:rsid w:val="00CC4CD7"/>
    <w:rsid w:val="00CC4D42"/>
    <w:rsid w:val="00CC53D6"/>
    <w:rsid w:val="00CC548F"/>
    <w:rsid w:val="00CC5879"/>
    <w:rsid w:val="00CC5A4A"/>
    <w:rsid w:val="00CC5DB8"/>
    <w:rsid w:val="00CC5E07"/>
    <w:rsid w:val="00CC659D"/>
    <w:rsid w:val="00CC6E52"/>
    <w:rsid w:val="00CC7060"/>
    <w:rsid w:val="00CC719A"/>
    <w:rsid w:val="00CC7284"/>
    <w:rsid w:val="00CC7515"/>
    <w:rsid w:val="00CC78F1"/>
    <w:rsid w:val="00CC7A65"/>
    <w:rsid w:val="00CD00A9"/>
    <w:rsid w:val="00CD04A0"/>
    <w:rsid w:val="00CD05F0"/>
    <w:rsid w:val="00CD0E96"/>
    <w:rsid w:val="00CD1483"/>
    <w:rsid w:val="00CD2F9D"/>
    <w:rsid w:val="00CD3AEA"/>
    <w:rsid w:val="00CD3C52"/>
    <w:rsid w:val="00CD3EF5"/>
    <w:rsid w:val="00CD446A"/>
    <w:rsid w:val="00CD4B34"/>
    <w:rsid w:val="00CD4C18"/>
    <w:rsid w:val="00CD4E5F"/>
    <w:rsid w:val="00CD55AC"/>
    <w:rsid w:val="00CD59C9"/>
    <w:rsid w:val="00CD6985"/>
    <w:rsid w:val="00CD6ADA"/>
    <w:rsid w:val="00CD6B3C"/>
    <w:rsid w:val="00CD6B8D"/>
    <w:rsid w:val="00CD6D0D"/>
    <w:rsid w:val="00CD711E"/>
    <w:rsid w:val="00CE037B"/>
    <w:rsid w:val="00CE0787"/>
    <w:rsid w:val="00CE08D2"/>
    <w:rsid w:val="00CE0DB2"/>
    <w:rsid w:val="00CE100F"/>
    <w:rsid w:val="00CE1069"/>
    <w:rsid w:val="00CE109C"/>
    <w:rsid w:val="00CE175A"/>
    <w:rsid w:val="00CE19FF"/>
    <w:rsid w:val="00CE1DC0"/>
    <w:rsid w:val="00CE201F"/>
    <w:rsid w:val="00CE2072"/>
    <w:rsid w:val="00CE21D5"/>
    <w:rsid w:val="00CE2479"/>
    <w:rsid w:val="00CE29A9"/>
    <w:rsid w:val="00CE2A23"/>
    <w:rsid w:val="00CE2D1D"/>
    <w:rsid w:val="00CE2E8E"/>
    <w:rsid w:val="00CE2F5B"/>
    <w:rsid w:val="00CE2F89"/>
    <w:rsid w:val="00CE33D1"/>
    <w:rsid w:val="00CE3D9D"/>
    <w:rsid w:val="00CE3DC9"/>
    <w:rsid w:val="00CE3E82"/>
    <w:rsid w:val="00CE4B71"/>
    <w:rsid w:val="00CE4DE1"/>
    <w:rsid w:val="00CE7656"/>
    <w:rsid w:val="00CE7E0B"/>
    <w:rsid w:val="00CF0663"/>
    <w:rsid w:val="00CF06E2"/>
    <w:rsid w:val="00CF0CBF"/>
    <w:rsid w:val="00CF179B"/>
    <w:rsid w:val="00CF18E5"/>
    <w:rsid w:val="00CF1A11"/>
    <w:rsid w:val="00CF1AD5"/>
    <w:rsid w:val="00CF1D4A"/>
    <w:rsid w:val="00CF221F"/>
    <w:rsid w:val="00CF2BFD"/>
    <w:rsid w:val="00CF2DC3"/>
    <w:rsid w:val="00CF2E13"/>
    <w:rsid w:val="00CF319F"/>
    <w:rsid w:val="00CF33F9"/>
    <w:rsid w:val="00CF3CC1"/>
    <w:rsid w:val="00CF45BA"/>
    <w:rsid w:val="00CF4F91"/>
    <w:rsid w:val="00CF5166"/>
    <w:rsid w:val="00CF5ABA"/>
    <w:rsid w:val="00CF62EE"/>
    <w:rsid w:val="00CF6928"/>
    <w:rsid w:val="00CF6AFB"/>
    <w:rsid w:val="00CF70FD"/>
    <w:rsid w:val="00CF71A9"/>
    <w:rsid w:val="00CF7255"/>
    <w:rsid w:val="00CF7711"/>
    <w:rsid w:val="00CF7AED"/>
    <w:rsid w:val="00D004E0"/>
    <w:rsid w:val="00D008FA"/>
    <w:rsid w:val="00D00DE0"/>
    <w:rsid w:val="00D00EC7"/>
    <w:rsid w:val="00D01243"/>
    <w:rsid w:val="00D019DB"/>
    <w:rsid w:val="00D01C4D"/>
    <w:rsid w:val="00D025A0"/>
    <w:rsid w:val="00D03105"/>
    <w:rsid w:val="00D03688"/>
    <w:rsid w:val="00D04564"/>
    <w:rsid w:val="00D04A47"/>
    <w:rsid w:val="00D04CB0"/>
    <w:rsid w:val="00D04EE2"/>
    <w:rsid w:val="00D04F06"/>
    <w:rsid w:val="00D050D9"/>
    <w:rsid w:val="00D055AD"/>
    <w:rsid w:val="00D05BA4"/>
    <w:rsid w:val="00D06A7A"/>
    <w:rsid w:val="00D06DF5"/>
    <w:rsid w:val="00D0717B"/>
    <w:rsid w:val="00D073D2"/>
    <w:rsid w:val="00D07787"/>
    <w:rsid w:val="00D07961"/>
    <w:rsid w:val="00D104CB"/>
    <w:rsid w:val="00D104E2"/>
    <w:rsid w:val="00D10629"/>
    <w:rsid w:val="00D1063F"/>
    <w:rsid w:val="00D108DC"/>
    <w:rsid w:val="00D1105A"/>
    <w:rsid w:val="00D11223"/>
    <w:rsid w:val="00D1272F"/>
    <w:rsid w:val="00D127C6"/>
    <w:rsid w:val="00D12D03"/>
    <w:rsid w:val="00D13265"/>
    <w:rsid w:val="00D13294"/>
    <w:rsid w:val="00D13366"/>
    <w:rsid w:val="00D13383"/>
    <w:rsid w:val="00D134BA"/>
    <w:rsid w:val="00D13780"/>
    <w:rsid w:val="00D1484D"/>
    <w:rsid w:val="00D14C3C"/>
    <w:rsid w:val="00D14C49"/>
    <w:rsid w:val="00D14CA5"/>
    <w:rsid w:val="00D14EF5"/>
    <w:rsid w:val="00D15455"/>
    <w:rsid w:val="00D1570A"/>
    <w:rsid w:val="00D158C8"/>
    <w:rsid w:val="00D15D64"/>
    <w:rsid w:val="00D163D0"/>
    <w:rsid w:val="00D166FD"/>
    <w:rsid w:val="00D168B6"/>
    <w:rsid w:val="00D178C0"/>
    <w:rsid w:val="00D17FB9"/>
    <w:rsid w:val="00D208F8"/>
    <w:rsid w:val="00D20CD8"/>
    <w:rsid w:val="00D20D88"/>
    <w:rsid w:val="00D21158"/>
    <w:rsid w:val="00D213AC"/>
    <w:rsid w:val="00D2140F"/>
    <w:rsid w:val="00D219B9"/>
    <w:rsid w:val="00D21A0D"/>
    <w:rsid w:val="00D21E6C"/>
    <w:rsid w:val="00D228CF"/>
    <w:rsid w:val="00D231FD"/>
    <w:rsid w:val="00D2371B"/>
    <w:rsid w:val="00D239AE"/>
    <w:rsid w:val="00D23A48"/>
    <w:rsid w:val="00D240CC"/>
    <w:rsid w:val="00D2425D"/>
    <w:rsid w:val="00D2452B"/>
    <w:rsid w:val="00D24DC7"/>
    <w:rsid w:val="00D2504B"/>
    <w:rsid w:val="00D25505"/>
    <w:rsid w:val="00D2608C"/>
    <w:rsid w:val="00D2644D"/>
    <w:rsid w:val="00D26673"/>
    <w:rsid w:val="00D2693D"/>
    <w:rsid w:val="00D26C02"/>
    <w:rsid w:val="00D26C07"/>
    <w:rsid w:val="00D27759"/>
    <w:rsid w:val="00D27C60"/>
    <w:rsid w:val="00D30293"/>
    <w:rsid w:val="00D3055E"/>
    <w:rsid w:val="00D30627"/>
    <w:rsid w:val="00D30680"/>
    <w:rsid w:val="00D30C92"/>
    <w:rsid w:val="00D30ED7"/>
    <w:rsid w:val="00D31639"/>
    <w:rsid w:val="00D31CD4"/>
    <w:rsid w:val="00D3263E"/>
    <w:rsid w:val="00D33481"/>
    <w:rsid w:val="00D337F5"/>
    <w:rsid w:val="00D33BAD"/>
    <w:rsid w:val="00D34026"/>
    <w:rsid w:val="00D3439E"/>
    <w:rsid w:val="00D3466D"/>
    <w:rsid w:val="00D3491D"/>
    <w:rsid w:val="00D34B38"/>
    <w:rsid w:val="00D34F1A"/>
    <w:rsid w:val="00D3506A"/>
    <w:rsid w:val="00D35A3F"/>
    <w:rsid w:val="00D35A9E"/>
    <w:rsid w:val="00D35F9C"/>
    <w:rsid w:val="00D36C4A"/>
    <w:rsid w:val="00D36D6D"/>
    <w:rsid w:val="00D374F2"/>
    <w:rsid w:val="00D37B37"/>
    <w:rsid w:val="00D37CE4"/>
    <w:rsid w:val="00D37D67"/>
    <w:rsid w:val="00D37FC8"/>
    <w:rsid w:val="00D40043"/>
    <w:rsid w:val="00D40742"/>
    <w:rsid w:val="00D41805"/>
    <w:rsid w:val="00D419BF"/>
    <w:rsid w:val="00D41DD5"/>
    <w:rsid w:val="00D41DF6"/>
    <w:rsid w:val="00D42A41"/>
    <w:rsid w:val="00D42FC3"/>
    <w:rsid w:val="00D42FDD"/>
    <w:rsid w:val="00D4389A"/>
    <w:rsid w:val="00D43AA6"/>
    <w:rsid w:val="00D43C18"/>
    <w:rsid w:val="00D43D86"/>
    <w:rsid w:val="00D44A28"/>
    <w:rsid w:val="00D44E46"/>
    <w:rsid w:val="00D44EBB"/>
    <w:rsid w:val="00D4566C"/>
    <w:rsid w:val="00D456C4"/>
    <w:rsid w:val="00D45810"/>
    <w:rsid w:val="00D45C81"/>
    <w:rsid w:val="00D45FE4"/>
    <w:rsid w:val="00D46475"/>
    <w:rsid w:val="00D4656C"/>
    <w:rsid w:val="00D46608"/>
    <w:rsid w:val="00D474D6"/>
    <w:rsid w:val="00D47A42"/>
    <w:rsid w:val="00D47C93"/>
    <w:rsid w:val="00D507C6"/>
    <w:rsid w:val="00D508F6"/>
    <w:rsid w:val="00D51183"/>
    <w:rsid w:val="00D51FA4"/>
    <w:rsid w:val="00D52350"/>
    <w:rsid w:val="00D524BA"/>
    <w:rsid w:val="00D52893"/>
    <w:rsid w:val="00D53137"/>
    <w:rsid w:val="00D537D4"/>
    <w:rsid w:val="00D53F23"/>
    <w:rsid w:val="00D55273"/>
    <w:rsid w:val="00D56265"/>
    <w:rsid w:val="00D565A0"/>
    <w:rsid w:val="00D56F1F"/>
    <w:rsid w:val="00D5767A"/>
    <w:rsid w:val="00D57DD2"/>
    <w:rsid w:val="00D6009F"/>
    <w:rsid w:val="00D610E9"/>
    <w:rsid w:val="00D61E38"/>
    <w:rsid w:val="00D61E58"/>
    <w:rsid w:val="00D624C7"/>
    <w:rsid w:val="00D62D4B"/>
    <w:rsid w:val="00D62DC0"/>
    <w:rsid w:val="00D63244"/>
    <w:rsid w:val="00D636ED"/>
    <w:rsid w:val="00D639C2"/>
    <w:rsid w:val="00D639E1"/>
    <w:rsid w:val="00D63A14"/>
    <w:rsid w:val="00D63A89"/>
    <w:rsid w:val="00D63BC4"/>
    <w:rsid w:val="00D63E46"/>
    <w:rsid w:val="00D64A91"/>
    <w:rsid w:val="00D652C2"/>
    <w:rsid w:val="00D653BF"/>
    <w:rsid w:val="00D65449"/>
    <w:rsid w:val="00D67B3C"/>
    <w:rsid w:val="00D67F76"/>
    <w:rsid w:val="00D71206"/>
    <w:rsid w:val="00D71273"/>
    <w:rsid w:val="00D7224F"/>
    <w:rsid w:val="00D724F6"/>
    <w:rsid w:val="00D72822"/>
    <w:rsid w:val="00D72D02"/>
    <w:rsid w:val="00D72D0C"/>
    <w:rsid w:val="00D73406"/>
    <w:rsid w:val="00D735D3"/>
    <w:rsid w:val="00D739F3"/>
    <w:rsid w:val="00D73B2A"/>
    <w:rsid w:val="00D73CDE"/>
    <w:rsid w:val="00D741F9"/>
    <w:rsid w:val="00D742AD"/>
    <w:rsid w:val="00D742EA"/>
    <w:rsid w:val="00D74951"/>
    <w:rsid w:val="00D74E47"/>
    <w:rsid w:val="00D74F7D"/>
    <w:rsid w:val="00D752AA"/>
    <w:rsid w:val="00D75325"/>
    <w:rsid w:val="00D75741"/>
    <w:rsid w:val="00D757EE"/>
    <w:rsid w:val="00D75D69"/>
    <w:rsid w:val="00D75E4B"/>
    <w:rsid w:val="00D75FE4"/>
    <w:rsid w:val="00D761BF"/>
    <w:rsid w:val="00D766FA"/>
    <w:rsid w:val="00D766FB"/>
    <w:rsid w:val="00D77A89"/>
    <w:rsid w:val="00D8022F"/>
    <w:rsid w:val="00D80C1E"/>
    <w:rsid w:val="00D813E2"/>
    <w:rsid w:val="00D814F9"/>
    <w:rsid w:val="00D8190F"/>
    <w:rsid w:val="00D81EB8"/>
    <w:rsid w:val="00D82875"/>
    <w:rsid w:val="00D82A8D"/>
    <w:rsid w:val="00D82CDE"/>
    <w:rsid w:val="00D82EB9"/>
    <w:rsid w:val="00D834D4"/>
    <w:rsid w:val="00D83581"/>
    <w:rsid w:val="00D83AB5"/>
    <w:rsid w:val="00D83AC4"/>
    <w:rsid w:val="00D83B7A"/>
    <w:rsid w:val="00D83D1D"/>
    <w:rsid w:val="00D83F23"/>
    <w:rsid w:val="00D844AB"/>
    <w:rsid w:val="00D8457B"/>
    <w:rsid w:val="00D8511F"/>
    <w:rsid w:val="00D85363"/>
    <w:rsid w:val="00D853E5"/>
    <w:rsid w:val="00D8584A"/>
    <w:rsid w:val="00D85ADB"/>
    <w:rsid w:val="00D86663"/>
    <w:rsid w:val="00D87112"/>
    <w:rsid w:val="00D87718"/>
    <w:rsid w:val="00D87965"/>
    <w:rsid w:val="00D87E2C"/>
    <w:rsid w:val="00D9045F"/>
    <w:rsid w:val="00D90947"/>
    <w:rsid w:val="00D90B26"/>
    <w:rsid w:val="00D922C2"/>
    <w:rsid w:val="00D924C2"/>
    <w:rsid w:val="00D924C6"/>
    <w:rsid w:val="00D92703"/>
    <w:rsid w:val="00D92704"/>
    <w:rsid w:val="00D928B7"/>
    <w:rsid w:val="00D92BF7"/>
    <w:rsid w:val="00D93AC8"/>
    <w:rsid w:val="00D93B04"/>
    <w:rsid w:val="00D94516"/>
    <w:rsid w:val="00D94C06"/>
    <w:rsid w:val="00D94E7F"/>
    <w:rsid w:val="00D94F1B"/>
    <w:rsid w:val="00D964BA"/>
    <w:rsid w:val="00D96840"/>
    <w:rsid w:val="00D96B71"/>
    <w:rsid w:val="00D96F3E"/>
    <w:rsid w:val="00D97377"/>
    <w:rsid w:val="00D979AE"/>
    <w:rsid w:val="00D97A59"/>
    <w:rsid w:val="00D97B68"/>
    <w:rsid w:val="00D97B80"/>
    <w:rsid w:val="00D97CA5"/>
    <w:rsid w:val="00D97CC7"/>
    <w:rsid w:val="00DA0178"/>
    <w:rsid w:val="00DA0380"/>
    <w:rsid w:val="00DA0933"/>
    <w:rsid w:val="00DA13D2"/>
    <w:rsid w:val="00DA1489"/>
    <w:rsid w:val="00DA17EB"/>
    <w:rsid w:val="00DA1BFD"/>
    <w:rsid w:val="00DA1D75"/>
    <w:rsid w:val="00DA2441"/>
    <w:rsid w:val="00DA25FD"/>
    <w:rsid w:val="00DA2BC0"/>
    <w:rsid w:val="00DA3F49"/>
    <w:rsid w:val="00DA4465"/>
    <w:rsid w:val="00DA493F"/>
    <w:rsid w:val="00DA5961"/>
    <w:rsid w:val="00DA6ABF"/>
    <w:rsid w:val="00DA7215"/>
    <w:rsid w:val="00DA7301"/>
    <w:rsid w:val="00DA761B"/>
    <w:rsid w:val="00DA794C"/>
    <w:rsid w:val="00DA7FD1"/>
    <w:rsid w:val="00DB05DD"/>
    <w:rsid w:val="00DB05E1"/>
    <w:rsid w:val="00DB0851"/>
    <w:rsid w:val="00DB08B4"/>
    <w:rsid w:val="00DB0F07"/>
    <w:rsid w:val="00DB1284"/>
    <w:rsid w:val="00DB1FA7"/>
    <w:rsid w:val="00DB2CC9"/>
    <w:rsid w:val="00DB30F6"/>
    <w:rsid w:val="00DB3713"/>
    <w:rsid w:val="00DB4492"/>
    <w:rsid w:val="00DB48E2"/>
    <w:rsid w:val="00DB4BFD"/>
    <w:rsid w:val="00DB4C48"/>
    <w:rsid w:val="00DB4D2B"/>
    <w:rsid w:val="00DB5773"/>
    <w:rsid w:val="00DB627E"/>
    <w:rsid w:val="00DB6841"/>
    <w:rsid w:val="00DB6BE5"/>
    <w:rsid w:val="00DB748F"/>
    <w:rsid w:val="00DB7C84"/>
    <w:rsid w:val="00DC013C"/>
    <w:rsid w:val="00DC0ABD"/>
    <w:rsid w:val="00DC1450"/>
    <w:rsid w:val="00DC24F5"/>
    <w:rsid w:val="00DC25E3"/>
    <w:rsid w:val="00DC2D47"/>
    <w:rsid w:val="00DC2FFE"/>
    <w:rsid w:val="00DC3CBC"/>
    <w:rsid w:val="00DC3DDC"/>
    <w:rsid w:val="00DC4260"/>
    <w:rsid w:val="00DC42E0"/>
    <w:rsid w:val="00DC4478"/>
    <w:rsid w:val="00DC4622"/>
    <w:rsid w:val="00DC4947"/>
    <w:rsid w:val="00DC4DD4"/>
    <w:rsid w:val="00DC5398"/>
    <w:rsid w:val="00DC574A"/>
    <w:rsid w:val="00DC5996"/>
    <w:rsid w:val="00DC5B8E"/>
    <w:rsid w:val="00DC62E9"/>
    <w:rsid w:val="00DC6527"/>
    <w:rsid w:val="00DC65CD"/>
    <w:rsid w:val="00DC746C"/>
    <w:rsid w:val="00DC77BA"/>
    <w:rsid w:val="00DC7822"/>
    <w:rsid w:val="00DC7C98"/>
    <w:rsid w:val="00DD0639"/>
    <w:rsid w:val="00DD0B30"/>
    <w:rsid w:val="00DD119F"/>
    <w:rsid w:val="00DD1BF0"/>
    <w:rsid w:val="00DD1CAC"/>
    <w:rsid w:val="00DD2031"/>
    <w:rsid w:val="00DD20BB"/>
    <w:rsid w:val="00DD2136"/>
    <w:rsid w:val="00DD36C8"/>
    <w:rsid w:val="00DD3A17"/>
    <w:rsid w:val="00DD3E73"/>
    <w:rsid w:val="00DD4529"/>
    <w:rsid w:val="00DD4952"/>
    <w:rsid w:val="00DD515C"/>
    <w:rsid w:val="00DD5281"/>
    <w:rsid w:val="00DD549E"/>
    <w:rsid w:val="00DD54B0"/>
    <w:rsid w:val="00DD5504"/>
    <w:rsid w:val="00DD58F5"/>
    <w:rsid w:val="00DD608F"/>
    <w:rsid w:val="00DD6185"/>
    <w:rsid w:val="00DD6F98"/>
    <w:rsid w:val="00DD7524"/>
    <w:rsid w:val="00DE03CD"/>
    <w:rsid w:val="00DE131A"/>
    <w:rsid w:val="00DE1336"/>
    <w:rsid w:val="00DE1551"/>
    <w:rsid w:val="00DE19B6"/>
    <w:rsid w:val="00DE1D05"/>
    <w:rsid w:val="00DE1DC3"/>
    <w:rsid w:val="00DE209B"/>
    <w:rsid w:val="00DE226E"/>
    <w:rsid w:val="00DE287B"/>
    <w:rsid w:val="00DE2CB4"/>
    <w:rsid w:val="00DE5A54"/>
    <w:rsid w:val="00DE5A8C"/>
    <w:rsid w:val="00DE5F50"/>
    <w:rsid w:val="00DE6799"/>
    <w:rsid w:val="00DE6A09"/>
    <w:rsid w:val="00DE7749"/>
    <w:rsid w:val="00DF0023"/>
    <w:rsid w:val="00DF04ED"/>
    <w:rsid w:val="00DF0569"/>
    <w:rsid w:val="00DF07F8"/>
    <w:rsid w:val="00DF0C74"/>
    <w:rsid w:val="00DF13A3"/>
    <w:rsid w:val="00DF194C"/>
    <w:rsid w:val="00DF2B56"/>
    <w:rsid w:val="00DF2D12"/>
    <w:rsid w:val="00DF3895"/>
    <w:rsid w:val="00DF3E4D"/>
    <w:rsid w:val="00DF48F1"/>
    <w:rsid w:val="00DF4BF6"/>
    <w:rsid w:val="00DF5042"/>
    <w:rsid w:val="00DF5526"/>
    <w:rsid w:val="00DF5A0B"/>
    <w:rsid w:val="00DF5A8A"/>
    <w:rsid w:val="00DF5B0C"/>
    <w:rsid w:val="00DF73FA"/>
    <w:rsid w:val="00DF7CC9"/>
    <w:rsid w:val="00E00084"/>
    <w:rsid w:val="00E0022F"/>
    <w:rsid w:val="00E0038A"/>
    <w:rsid w:val="00E005B0"/>
    <w:rsid w:val="00E007C2"/>
    <w:rsid w:val="00E00C2D"/>
    <w:rsid w:val="00E00E0C"/>
    <w:rsid w:val="00E0157D"/>
    <w:rsid w:val="00E0194D"/>
    <w:rsid w:val="00E01C8F"/>
    <w:rsid w:val="00E01F14"/>
    <w:rsid w:val="00E022CB"/>
    <w:rsid w:val="00E0230D"/>
    <w:rsid w:val="00E025FC"/>
    <w:rsid w:val="00E02BC1"/>
    <w:rsid w:val="00E02F70"/>
    <w:rsid w:val="00E0351B"/>
    <w:rsid w:val="00E03BEC"/>
    <w:rsid w:val="00E044F7"/>
    <w:rsid w:val="00E047B6"/>
    <w:rsid w:val="00E047D3"/>
    <w:rsid w:val="00E0485A"/>
    <w:rsid w:val="00E0543B"/>
    <w:rsid w:val="00E06045"/>
    <w:rsid w:val="00E06D2A"/>
    <w:rsid w:val="00E07212"/>
    <w:rsid w:val="00E07634"/>
    <w:rsid w:val="00E07666"/>
    <w:rsid w:val="00E07701"/>
    <w:rsid w:val="00E07725"/>
    <w:rsid w:val="00E07892"/>
    <w:rsid w:val="00E079C1"/>
    <w:rsid w:val="00E07A29"/>
    <w:rsid w:val="00E07C0C"/>
    <w:rsid w:val="00E105E3"/>
    <w:rsid w:val="00E11A0E"/>
    <w:rsid w:val="00E11AA7"/>
    <w:rsid w:val="00E11DFC"/>
    <w:rsid w:val="00E11E90"/>
    <w:rsid w:val="00E12333"/>
    <w:rsid w:val="00E132E4"/>
    <w:rsid w:val="00E133E1"/>
    <w:rsid w:val="00E149EC"/>
    <w:rsid w:val="00E15679"/>
    <w:rsid w:val="00E15B0F"/>
    <w:rsid w:val="00E15B4A"/>
    <w:rsid w:val="00E15CAE"/>
    <w:rsid w:val="00E16437"/>
    <w:rsid w:val="00E1665C"/>
    <w:rsid w:val="00E16E5B"/>
    <w:rsid w:val="00E1711A"/>
    <w:rsid w:val="00E171F8"/>
    <w:rsid w:val="00E17211"/>
    <w:rsid w:val="00E17C14"/>
    <w:rsid w:val="00E2020C"/>
    <w:rsid w:val="00E203CA"/>
    <w:rsid w:val="00E20A86"/>
    <w:rsid w:val="00E211FC"/>
    <w:rsid w:val="00E227F1"/>
    <w:rsid w:val="00E22F41"/>
    <w:rsid w:val="00E23407"/>
    <w:rsid w:val="00E236B6"/>
    <w:rsid w:val="00E253A7"/>
    <w:rsid w:val="00E25FF5"/>
    <w:rsid w:val="00E26129"/>
    <w:rsid w:val="00E26D35"/>
    <w:rsid w:val="00E27715"/>
    <w:rsid w:val="00E27913"/>
    <w:rsid w:val="00E305EE"/>
    <w:rsid w:val="00E30B03"/>
    <w:rsid w:val="00E31A3A"/>
    <w:rsid w:val="00E31A95"/>
    <w:rsid w:val="00E3219A"/>
    <w:rsid w:val="00E3282C"/>
    <w:rsid w:val="00E333DC"/>
    <w:rsid w:val="00E33DDB"/>
    <w:rsid w:val="00E342F9"/>
    <w:rsid w:val="00E34BFC"/>
    <w:rsid w:val="00E34ECF"/>
    <w:rsid w:val="00E356AD"/>
    <w:rsid w:val="00E358AE"/>
    <w:rsid w:val="00E35BA5"/>
    <w:rsid w:val="00E36064"/>
    <w:rsid w:val="00E3657D"/>
    <w:rsid w:val="00E366C5"/>
    <w:rsid w:val="00E36876"/>
    <w:rsid w:val="00E36A0D"/>
    <w:rsid w:val="00E36AC8"/>
    <w:rsid w:val="00E36AEA"/>
    <w:rsid w:val="00E36DD4"/>
    <w:rsid w:val="00E37208"/>
    <w:rsid w:val="00E37A79"/>
    <w:rsid w:val="00E37AB8"/>
    <w:rsid w:val="00E37AE2"/>
    <w:rsid w:val="00E402A3"/>
    <w:rsid w:val="00E409C8"/>
    <w:rsid w:val="00E41006"/>
    <w:rsid w:val="00E41424"/>
    <w:rsid w:val="00E415A6"/>
    <w:rsid w:val="00E416BF"/>
    <w:rsid w:val="00E41816"/>
    <w:rsid w:val="00E41BC3"/>
    <w:rsid w:val="00E41CD3"/>
    <w:rsid w:val="00E42396"/>
    <w:rsid w:val="00E42470"/>
    <w:rsid w:val="00E4250A"/>
    <w:rsid w:val="00E43519"/>
    <w:rsid w:val="00E436BE"/>
    <w:rsid w:val="00E43D85"/>
    <w:rsid w:val="00E43EB2"/>
    <w:rsid w:val="00E451C1"/>
    <w:rsid w:val="00E45516"/>
    <w:rsid w:val="00E45B91"/>
    <w:rsid w:val="00E4621B"/>
    <w:rsid w:val="00E4762C"/>
    <w:rsid w:val="00E476AE"/>
    <w:rsid w:val="00E47CA0"/>
    <w:rsid w:val="00E506BE"/>
    <w:rsid w:val="00E515A4"/>
    <w:rsid w:val="00E5178F"/>
    <w:rsid w:val="00E519C6"/>
    <w:rsid w:val="00E51EEB"/>
    <w:rsid w:val="00E51F04"/>
    <w:rsid w:val="00E5218F"/>
    <w:rsid w:val="00E53C7A"/>
    <w:rsid w:val="00E53E6A"/>
    <w:rsid w:val="00E53F7E"/>
    <w:rsid w:val="00E54576"/>
    <w:rsid w:val="00E54A73"/>
    <w:rsid w:val="00E54B6D"/>
    <w:rsid w:val="00E55ABD"/>
    <w:rsid w:val="00E5659B"/>
    <w:rsid w:val="00E56866"/>
    <w:rsid w:val="00E56951"/>
    <w:rsid w:val="00E56F3E"/>
    <w:rsid w:val="00E57601"/>
    <w:rsid w:val="00E579EE"/>
    <w:rsid w:val="00E57FCE"/>
    <w:rsid w:val="00E60286"/>
    <w:rsid w:val="00E60E51"/>
    <w:rsid w:val="00E610F0"/>
    <w:rsid w:val="00E614A1"/>
    <w:rsid w:val="00E61D7E"/>
    <w:rsid w:val="00E62086"/>
    <w:rsid w:val="00E6269B"/>
    <w:rsid w:val="00E62F15"/>
    <w:rsid w:val="00E635B9"/>
    <w:rsid w:val="00E63864"/>
    <w:rsid w:val="00E638D7"/>
    <w:rsid w:val="00E639A7"/>
    <w:rsid w:val="00E639D9"/>
    <w:rsid w:val="00E6403E"/>
    <w:rsid w:val="00E642E9"/>
    <w:rsid w:val="00E645D0"/>
    <w:rsid w:val="00E646DB"/>
    <w:rsid w:val="00E64CBE"/>
    <w:rsid w:val="00E64E37"/>
    <w:rsid w:val="00E65C48"/>
    <w:rsid w:val="00E66369"/>
    <w:rsid w:val="00E6657F"/>
    <w:rsid w:val="00E66A62"/>
    <w:rsid w:val="00E66CDC"/>
    <w:rsid w:val="00E67301"/>
    <w:rsid w:val="00E67B68"/>
    <w:rsid w:val="00E70A8B"/>
    <w:rsid w:val="00E7106D"/>
    <w:rsid w:val="00E722D7"/>
    <w:rsid w:val="00E72374"/>
    <w:rsid w:val="00E726C5"/>
    <w:rsid w:val="00E73699"/>
    <w:rsid w:val="00E750AB"/>
    <w:rsid w:val="00E75264"/>
    <w:rsid w:val="00E757C7"/>
    <w:rsid w:val="00E75D52"/>
    <w:rsid w:val="00E75FCB"/>
    <w:rsid w:val="00E76F0E"/>
    <w:rsid w:val="00E76F4B"/>
    <w:rsid w:val="00E772C5"/>
    <w:rsid w:val="00E775DD"/>
    <w:rsid w:val="00E776F4"/>
    <w:rsid w:val="00E77F01"/>
    <w:rsid w:val="00E804E2"/>
    <w:rsid w:val="00E80580"/>
    <w:rsid w:val="00E80750"/>
    <w:rsid w:val="00E80829"/>
    <w:rsid w:val="00E810B3"/>
    <w:rsid w:val="00E81EC4"/>
    <w:rsid w:val="00E825DC"/>
    <w:rsid w:val="00E8277A"/>
    <w:rsid w:val="00E8313D"/>
    <w:rsid w:val="00E83457"/>
    <w:rsid w:val="00E834AD"/>
    <w:rsid w:val="00E835C8"/>
    <w:rsid w:val="00E84545"/>
    <w:rsid w:val="00E84F11"/>
    <w:rsid w:val="00E84FB1"/>
    <w:rsid w:val="00E8518E"/>
    <w:rsid w:val="00E861CF"/>
    <w:rsid w:val="00E8634A"/>
    <w:rsid w:val="00E865E9"/>
    <w:rsid w:val="00E866A0"/>
    <w:rsid w:val="00E86C07"/>
    <w:rsid w:val="00E87111"/>
    <w:rsid w:val="00E87117"/>
    <w:rsid w:val="00E878D3"/>
    <w:rsid w:val="00E87D64"/>
    <w:rsid w:val="00E87D73"/>
    <w:rsid w:val="00E87F51"/>
    <w:rsid w:val="00E90A40"/>
    <w:rsid w:val="00E90A4D"/>
    <w:rsid w:val="00E90CB5"/>
    <w:rsid w:val="00E9104E"/>
    <w:rsid w:val="00E91551"/>
    <w:rsid w:val="00E92171"/>
    <w:rsid w:val="00E925B9"/>
    <w:rsid w:val="00E92801"/>
    <w:rsid w:val="00E92871"/>
    <w:rsid w:val="00E931AF"/>
    <w:rsid w:val="00E940FA"/>
    <w:rsid w:val="00E94414"/>
    <w:rsid w:val="00E94AD7"/>
    <w:rsid w:val="00E94DD4"/>
    <w:rsid w:val="00E950F7"/>
    <w:rsid w:val="00E965AE"/>
    <w:rsid w:val="00E97363"/>
    <w:rsid w:val="00E97436"/>
    <w:rsid w:val="00E97A8C"/>
    <w:rsid w:val="00E97F0F"/>
    <w:rsid w:val="00EA0039"/>
    <w:rsid w:val="00EA01EB"/>
    <w:rsid w:val="00EA027E"/>
    <w:rsid w:val="00EA0388"/>
    <w:rsid w:val="00EA0F12"/>
    <w:rsid w:val="00EA11E5"/>
    <w:rsid w:val="00EA148C"/>
    <w:rsid w:val="00EA1734"/>
    <w:rsid w:val="00EA1923"/>
    <w:rsid w:val="00EA1B55"/>
    <w:rsid w:val="00EA1D6C"/>
    <w:rsid w:val="00EA2100"/>
    <w:rsid w:val="00EA232C"/>
    <w:rsid w:val="00EA24A5"/>
    <w:rsid w:val="00EA2971"/>
    <w:rsid w:val="00EA2CD6"/>
    <w:rsid w:val="00EA3644"/>
    <w:rsid w:val="00EA3874"/>
    <w:rsid w:val="00EA3A77"/>
    <w:rsid w:val="00EA3D25"/>
    <w:rsid w:val="00EA4699"/>
    <w:rsid w:val="00EA5257"/>
    <w:rsid w:val="00EA52F2"/>
    <w:rsid w:val="00EA53CF"/>
    <w:rsid w:val="00EA5EC1"/>
    <w:rsid w:val="00EA60AE"/>
    <w:rsid w:val="00EA60B7"/>
    <w:rsid w:val="00EA63A9"/>
    <w:rsid w:val="00EA6431"/>
    <w:rsid w:val="00EA68E6"/>
    <w:rsid w:val="00EA6CAA"/>
    <w:rsid w:val="00EA6F91"/>
    <w:rsid w:val="00EA7B57"/>
    <w:rsid w:val="00EB125B"/>
    <w:rsid w:val="00EB1DF7"/>
    <w:rsid w:val="00EB29B9"/>
    <w:rsid w:val="00EB2FBB"/>
    <w:rsid w:val="00EB3493"/>
    <w:rsid w:val="00EB3BE5"/>
    <w:rsid w:val="00EB44F6"/>
    <w:rsid w:val="00EB4834"/>
    <w:rsid w:val="00EB4998"/>
    <w:rsid w:val="00EB4C2F"/>
    <w:rsid w:val="00EB5188"/>
    <w:rsid w:val="00EB576E"/>
    <w:rsid w:val="00EB583C"/>
    <w:rsid w:val="00EB626E"/>
    <w:rsid w:val="00EB6946"/>
    <w:rsid w:val="00EB7475"/>
    <w:rsid w:val="00EB7DDA"/>
    <w:rsid w:val="00EC1837"/>
    <w:rsid w:val="00EC18F6"/>
    <w:rsid w:val="00EC2C7D"/>
    <w:rsid w:val="00EC2EAC"/>
    <w:rsid w:val="00EC3B82"/>
    <w:rsid w:val="00EC3F1E"/>
    <w:rsid w:val="00EC4BA6"/>
    <w:rsid w:val="00EC4D10"/>
    <w:rsid w:val="00EC500A"/>
    <w:rsid w:val="00EC52EB"/>
    <w:rsid w:val="00EC55CA"/>
    <w:rsid w:val="00EC55E3"/>
    <w:rsid w:val="00EC57D2"/>
    <w:rsid w:val="00EC59BA"/>
    <w:rsid w:val="00EC5A22"/>
    <w:rsid w:val="00EC5AFF"/>
    <w:rsid w:val="00EC60DD"/>
    <w:rsid w:val="00EC73E9"/>
    <w:rsid w:val="00EC74D1"/>
    <w:rsid w:val="00EC7519"/>
    <w:rsid w:val="00EC78AD"/>
    <w:rsid w:val="00EC79CD"/>
    <w:rsid w:val="00EC7B11"/>
    <w:rsid w:val="00EC7DEA"/>
    <w:rsid w:val="00EC7F53"/>
    <w:rsid w:val="00ED0486"/>
    <w:rsid w:val="00ED083B"/>
    <w:rsid w:val="00ED19E1"/>
    <w:rsid w:val="00ED1DFC"/>
    <w:rsid w:val="00ED22C0"/>
    <w:rsid w:val="00ED239B"/>
    <w:rsid w:val="00ED24B7"/>
    <w:rsid w:val="00ED2CE6"/>
    <w:rsid w:val="00ED305B"/>
    <w:rsid w:val="00ED317B"/>
    <w:rsid w:val="00ED33FA"/>
    <w:rsid w:val="00ED3764"/>
    <w:rsid w:val="00ED37C3"/>
    <w:rsid w:val="00ED39EB"/>
    <w:rsid w:val="00ED3F7B"/>
    <w:rsid w:val="00ED4490"/>
    <w:rsid w:val="00ED4541"/>
    <w:rsid w:val="00ED5683"/>
    <w:rsid w:val="00ED574C"/>
    <w:rsid w:val="00ED5938"/>
    <w:rsid w:val="00ED5945"/>
    <w:rsid w:val="00ED5BB5"/>
    <w:rsid w:val="00ED5CCD"/>
    <w:rsid w:val="00ED62B6"/>
    <w:rsid w:val="00ED6393"/>
    <w:rsid w:val="00ED651B"/>
    <w:rsid w:val="00ED6DDE"/>
    <w:rsid w:val="00ED7029"/>
    <w:rsid w:val="00EE15EF"/>
    <w:rsid w:val="00EE1E70"/>
    <w:rsid w:val="00EE2D1E"/>
    <w:rsid w:val="00EE2D6B"/>
    <w:rsid w:val="00EE2EC4"/>
    <w:rsid w:val="00EE35FC"/>
    <w:rsid w:val="00EE3615"/>
    <w:rsid w:val="00EE4178"/>
    <w:rsid w:val="00EE41FC"/>
    <w:rsid w:val="00EE4437"/>
    <w:rsid w:val="00EE4BF6"/>
    <w:rsid w:val="00EE5313"/>
    <w:rsid w:val="00EE5B21"/>
    <w:rsid w:val="00EE5E65"/>
    <w:rsid w:val="00EE60FF"/>
    <w:rsid w:val="00EE6291"/>
    <w:rsid w:val="00EE666B"/>
    <w:rsid w:val="00EE6737"/>
    <w:rsid w:val="00EE6A4F"/>
    <w:rsid w:val="00EE7250"/>
    <w:rsid w:val="00EE73AB"/>
    <w:rsid w:val="00EE7CD8"/>
    <w:rsid w:val="00EF0490"/>
    <w:rsid w:val="00EF1811"/>
    <w:rsid w:val="00EF188F"/>
    <w:rsid w:val="00EF1B28"/>
    <w:rsid w:val="00EF1FE4"/>
    <w:rsid w:val="00EF20F7"/>
    <w:rsid w:val="00EF2BBC"/>
    <w:rsid w:val="00EF2ECC"/>
    <w:rsid w:val="00EF35BE"/>
    <w:rsid w:val="00EF4171"/>
    <w:rsid w:val="00EF46EB"/>
    <w:rsid w:val="00EF52DA"/>
    <w:rsid w:val="00EF561A"/>
    <w:rsid w:val="00EF5BD0"/>
    <w:rsid w:val="00EF5C87"/>
    <w:rsid w:val="00EF5CC7"/>
    <w:rsid w:val="00EF611F"/>
    <w:rsid w:val="00EF67A9"/>
    <w:rsid w:val="00EF6DE2"/>
    <w:rsid w:val="00EF742B"/>
    <w:rsid w:val="00EF7812"/>
    <w:rsid w:val="00F01A40"/>
    <w:rsid w:val="00F01C8A"/>
    <w:rsid w:val="00F0282A"/>
    <w:rsid w:val="00F02A4F"/>
    <w:rsid w:val="00F02B64"/>
    <w:rsid w:val="00F030E5"/>
    <w:rsid w:val="00F03443"/>
    <w:rsid w:val="00F03679"/>
    <w:rsid w:val="00F03D6C"/>
    <w:rsid w:val="00F03E38"/>
    <w:rsid w:val="00F03F23"/>
    <w:rsid w:val="00F04199"/>
    <w:rsid w:val="00F04246"/>
    <w:rsid w:val="00F04A86"/>
    <w:rsid w:val="00F052F5"/>
    <w:rsid w:val="00F05478"/>
    <w:rsid w:val="00F05FB0"/>
    <w:rsid w:val="00F0608D"/>
    <w:rsid w:val="00F06FDF"/>
    <w:rsid w:val="00F0753A"/>
    <w:rsid w:val="00F077F0"/>
    <w:rsid w:val="00F078BF"/>
    <w:rsid w:val="00F104B7"/>
    <w:rsid w:val="00F10AF7"/>
    <w:rsid w:val="00F11BFD"/>
    <w:rsid w:val="00F1211F"/>
    <w:rsid w:val="00F1231A"/>
    <w:rsid w:val="00F12792"/>
    <w:rsid w:val="00F12D5B"/>
    <w:rsid w:val="00F133DF"/>
    <w:rsid w:val="00F13598"/>
    <w:rsid w:val="00F135B0"/>
    <w:rsid w:val="00F14124"/>
    <w:rsid w:val="00F149B6"/>
    <w:rsid w:val="00F14D47"/>
    <w:rsid w:val="00F15617"/>
    <w:rsid w:val="00F15B2A"/>
    <w:rsid w:val="00F16A27"/>
    <w:rsid w:val="00F202D9"/>
    <w:rsid w:val="00F203E6"/>
    <w:rsid w:val="00F20AD6"/>
    <w:rsid w:val="00F20D5A"/>
    <w:rsid w:val="00F214D3"/>
    <w:rsid w:val="00F21EF8"/>
    <w:rsid w:val="00F21EFC"/>
    <w:rsid w:val="00F22853"/>
    <w:rsid w:val="00F22C0D"/>
    <w:rsid w:val="00F23F9E"/>
    <w:rsid w:val="00F24791"/>
    <w:rsid w:val="00F24ED6"/>
    <w:rsid w:val="00F25156"/>
    <w:rsid w:val="00F261ED"/>
    <w:rsid w:val="00F26508"/>
    <w:rsid w:val="00F26AE3"/>
    <w:rsid w:val="00F276CA"/>
    <w:rsid w:val="00F27DE3"/>
    <w:rsid w:val="00F30143"/>
    <w:rsid w:val="00F30144"/>
    <w:rsid w:val="00F30A9F"/>
    <w:rsid w:val="00F30B68"/>
    <w:rsid w:val="00F312FC"/>
    <w:rsid w:val="00F315DC"/>
    <w:rsid w:val="00F315E4"/>
    <w:rsid w:val="00F31A13"/>
    <w:rsid w:val="00F31E40"/>
    <w:rsid w:val="00F32320"/>
    <w:rsid w:val="00F32367"/>
    <w:rsid w:val="00F32E22"/>
    <w:rsid w:val="00F3303B"/>
    <w:rsid w:val="00F33C88"/>
    <w:rsid w:val="00F34D1C"/>
    <w:rsid w:val="00F34D43"/>
    <w:rsid w:val="00F35670"/>
    <w:rsid w:val="00F35717"/>
    <w:rsid w:val="00F35A25"/>
    <w:rsid w:val="00F36CA3"/>
    <w:rsid w:val="00F36E0F"/>
    <w:rsid w:val="00F3717A"/>
    <w:rsid w:val="00F37ACD"/>
    <w:rsid w:val="00F37C1B"/>
    <w:rsid w:val="00F37F0C"/>
    <w:rsid w:val="00F37FBF"/>
    <w:rsid w:val="00F40DC8"/>
    <w:rsid w:val="00F40F23"/>
    <w:rsid w:val="00F4151A"/>
    <w:rsid w:val="00F4151D"/>
    <w:rsid w:val="00F41E44"/>
    <w:rsid w:val="00F4237E"/>
    <w:rsid w:val="00F42762"/>
    <w:rsid w:val="00F429A0"/>
    <w:rsid w:val="00F43007"/>
    <w:rsid w:val="00F43805"/>
    <w:rsid w:val="00F43C3F"/>
    <w:rsid w:val="00F4485E"/>
    <w:rsid w:val="00F451B6"/>
    <w:rsid w:val="00F46330"/>
    <w:rsid w:val="00F46404"/>
    <w:rsid w:val="00F46C02"/>
    <w:rsid w:val="00F4711D"/>
    <w:rsid w:val="00F477DE"/>
    <w:rsid w:val="00F503C5"/>
    <w:rsid w:val="00F50464"/>
    <w:rsid w:val="00F513D4"/>
    <w:rsid w:val="00F51CCC"/>
    <w:rsid w:val="00F52489"/>
    <w:rsid w:val="00F52844"/>
    <w:rsid w:val="00F534B3"/>
    <w:rsid w:val="00F5365D"/>
    <w:rsid w:val="00F5520E"/>
    <w:rsid w:val="00F55A94"/>
    <w:rsid w:val="00F56ECB"/>
    <w:rsid w:val="00F57C69"/>
    <w:rsid w:val="00F6002F"/>
    <w:rsid w:val="00F60142"/>
    <w:rsid w:val="00F60608"/>
    <w:rsid w:val="00F61600"/>
    <w:rsid w:val="00F616C8"/>
    <w:rsid w:val="00F6210B"/>
    <w:rsid w:val="00F6237D"/>
    <w:rsid w:val="00F624E9"/>
    <w:rsid w:val="00F627CB"/>
    <w:rsid w:val="00F62E9A"/>
    <w:rsid w:val="00F63855"/>
    <w:rsid w:val="00F63FCD"/>
    <w:rsid w:val="00F64359"/>
    <w:rsid w:val="00F65158"/>
    <w:rsid w:val="00F65324"/>
    <w:rsid w:val="00F658C8"/>
    <w:rsid w:val="00F659C7"/>
    <w:rsid w:val="00F66416"/>
    <w:rsid w:val="00F6687C"/>
    <w:rsid w:val="00F67032"/>
    <w:rsid w:val="00F672AE"/>
    <w:rsid w:val="00F6761C"/>
    <w:rsid w:val="00F67BBA"/>
    <w:rsid w:val="00F700BE"/>
    <w:rsid w:val="00F70107"/>
    <w:rsid w:val="00F702D7"/>
    <w:rsid w:val="00F70903"/>
    <w:rsid w:val="00F70CB0"/>
    <w:rsid w:val="00F70D63"/>
    <w:rsid w:val="00F70E60"/>
    <w:rsid w:val="00F71293"/>
    <w:rsid w:val="00F71A86"/>
    <w:rsid w:val="00F71BDC"/>
    <w:rsid w:val="00F7210B"/>
    <w:rsid w:val="00F726CC"/>
    <w:rsid w:val="00F728DA"/>
    <w:rsid w:val="00F72A38"/>
    <w:rsid w:val="00F72C9E"/>
    <w:rsid w:val="00F72EE7"/>
    <w:rsid w:val="00F7308D"/>
    <w:rsid w:val="00F7366F"/>
    <w:rsid w:val="00F73E0B"/>
    <w:rsid w:val="00F73E19"/>
    <w:rsid w:val="00F74101"/>
    <w:rsid w:val="00F74AD7"/>
    <w:rsid w:val="00F75975"/>
    <w:rsid w:val="00F76064"/>
    <w:rsid w:val="00F76285"/>
    <w:rsid w:val="00F763CC"/>
    <w:rsid w:val="00F76456"/>
    <w:rsid w:val="00F7674B"/>
    <w:rsid w:val="00F769F8"/>
    <w:rsid w:val="00F76FCB"/>
    <w:rsid w:val="00F772E0"/>
    <w:rsid w:val="00F77394"/>
    <w:rsid w:val="00F7742E"/>
    <w:rsid w:val="00F77DBF"/>
    <w:rsid w:val="00F8108D"/>
    <w:rsid w:val="00F81246"/>
    <w:rsid w:val="00F8140C"/>
    <w:rsid w:val="00F82330"/>
    <w:rsid w:val="00F824BF"/>
    <w:rsid w:val="00F82538"/>
    <w:rsid w:val="00F82682"/>
    <w:rsid w:val="00F82A7E"/>
    <w:rsid w:val="00F82B3F"/>
    <w:rsid w:val="00F831F6"/>
    <w:rsid w:val="00F83B4E"/>
    <w:rsid w:val="00F83DDF"/>
    <w:rsid w:val="00F83EB8"/>
    <w:rsid w:val="00F846A6"/>
    <w:rsid w:val="00F85A8E"/>
    <w:rsid w:val="00F85C2C"/>
    <w:rsid w:val="00F869ED"/>
    <w:rsid w:val="00F86A9B"/>
    <w:rsid w:val="00F87166"/>
    <w:rsid w:val="00F87B80"/>
    <w:rsid w:val="00F90A29"/>
    <w:rsid w:val="00F91054"/>
    <w:rsid w:val="00F912F1"/>
    <w:rsid w:val="00F9199E"/>
    <w:rsid w:val="00F91A19"/>
    <w:rsid w:val="00F91AF5"/>
    <w:rsid w:val="00F92491"/>
    <w:rsid w:val="00F92653"/>
    <w:rsid w:val="00F92EC0"/>
    <w:rsid w:val="00F9320B"/>
    <w:rsid w:val="00F9330A"/>
    <w:rsid w:val="00F94095"/>
    <w:rsid w:val="00F942F5"/>
    <w:rsid w:val="00F94644"/>
    <w:rsid w:val="00F94A56"/>
    <w:rsid w:val="00F95146"/>
    <w:rsid w:val="00F960ED"/>
    <w:rsid w:val="00F961CF"/>
    <w:rsid w:val="00F9682E"/>
    <w:rsid w:val="00F9692A"/>
    <w:rsid w:val="00F96D67"/>
    <w:rsid w:val="00F9724A"/>
    <w:rsid w:val="00F97319"/>
    <w:rsid w:val="00F97534"/>
    <w:rsid w:val="00F97A83"/>
    <w:rsid w:val="00F97CBB"/>
    <w:rsid w:val="00FA02B7"/>
    <w:rsid w:val="00FA0600"/>
    <w:rsid w:val="00FA081A"/>
    <w:rsid w:val="00FA0C5D"/>
    <w:rsid w:val="00FA1323"/>
    <w:rsid w:val="00FA150A"/>
    <w:rsid w:val="00FA18A5"/>
    <w:rsid w:val="00FA23E9"/>
    <w:rsid w:val="00FA2DD1"/>
    <w:rsid w:val="00FA3335"/>
    <w:rsid w:val="00FA3C81"/>
    <w:rsid w:val="00FA402A"/>
    <w:rsid w:val="00FA4A1E"/>
    <w:rsid w:val="00FA5B0B"/>
    <w:rsid w:val="00FA61E9"/>
    <w:rsid w:val="00FA6563"/>
    <w:rsid w:val="00FA65D3"/>
    <w:rsid w:val="00FA6981"/>
    <w:rsid w:val="00FA6DA4"/>
    <w:rsid w:val="00FA748D"/>
    <w:rsid w:val="00FA7620"/>
    <w:rsid w:val="00FA783F"/>
    <w:rsid w:val="00FA7A39"/>
    <w:rsid w:val="00FA7CF5"/>
    <w:rsid w:val="00FB012D"/>
    <w:rsid w:val="00FB05A0"/>
    <w:rsid w:val="00FB06CA"/>
    <w:rsid w:val="00FB0BB5"/>
    <w:rsid w:val="00FB0D73"/>
    <w:rsid w:val="00FB0DF0"/>
    <w:rsid w:val="00FB153B"/>
    <w:rsid w:val="00FB158B"/>
    <w:rsid w:val="00FB1ACD"/>
    <w:rsid w:val="00FB2085"/>
    <w:rsid w:val="00FB218F"/>
    <w:rsid w:val="00FB249B"/>
    <w:rsid w:val="00FB3378"/>
    <w:rsid w:val="00FB366F"/>
    <w:rsid w:val="00FB3CD2"/>
    <w:rsid w:val="00FB3D8E"/>
    <w:rsid w:val="00FB462F"/>
    <w:rsid w:val="00FB49B9"/>
    <w:rsid w:val="00FB4C51"/>
    <w:rsid w:val="00FB4FAF"/>
    <w:rsid w:val="00FB51A6"/>
    <w:rsid w:val="00FB59C7"/>
    <w:rsid w:val="00FB5CE1"/>
    <w:rsid w:val="00FB5D90"/>
    <w:rsid w:val="00FB6830"/>
    <w:rsid w:val="00FB700D"/>
    <w:rsid w:val="00FB7012"/>
    <w:rsid w:val="00FB712A"/>
    <w:rsid w:val="00FB7B4A"/>
    <w:rsid w:val="00FB7C48"/>
    <w:rsid w:val="00FC00E2"/>
    <w:rsid w:val="00FC0651"/>
    <w:rsid w:val="00FC092E"/>
    <w:rsid w:val="00FC1B0E"/>
    <w:rsid w:val="00FC1D5A"/>
    <w:rsid w:val="00FC21F3"/>
    <w:rsid w:val="00FC23B2"/>
    <w:rsid w:val="00FC347F"/>
    <w:rsid w:val="00FC36EB"/>
    <w:rsid w:val="00FC3792"/>
    <w:rsid w:val="00FC5BD8"/>
    <w:rsid w:val="00FC66F3"/>
    <w:rsid w:val="00FC7092"/>
    <w:rsid w:val="00FC751A"/>
    <w:rsid w:val="00FC781B"/>
    <w:rsid w:val="00FD0385"/>
    <w:rsid w:val="00FD09B9"/>
    <w:rsid w:val="00FD0C6F"/>
    <w:rsid w:val="00FD0D28"/>
    <w:rsid w:val="00FD1179"/>
    <w:rsid w:val="00FD23B8"/>
    <w:rsid w:val="00FD2825"/>
    <w:rsid w:val="00FD28F9"/>
    <w:rsid w:val="00FD2DE1"/>
    <w:rsid w:val="00FD2F42"/>
    <w:rsid w:val="00FD3C98"/>
    <w:rsid w:val="00FD3CEA"/>
    <w:rsid w:val="00FD42B4"/>
    <w:rsid w:val="00FD4DE4"/>
    <w:rsid w:val="00FD5B2F"/>
    <w:rsid w:val="00FD5B49"/>
    <w:rsid w:val="00FD6F05"/>
    <w:rsid w:val="00FD6FC7"/>
    <w:rsid w:val="00FD6FD8"/>
    <w:rsid w:val="00FD70B8"/>
    <w:rsid w:val="00FD74DD"/>
    <w:rsid w:val="00FD778F"/>
    <w:rsid w:val="00FD7A22"/>
    <w:rsid w:val="00FD7B72"/>
    <w:rsid w:val="00FD7D0D"/>
    <w:rsid w:val="00FD7D72"/>
    <w:rsid w:val="00FE08AD"/>
    <w:rsid w:val="00FE1388"/>
    <w:rsid w:val="00FE159C"/>
    <w:rsid w:val="00FE1BEA"/>
    <w:rsid w:val="00FE1BF0"/>
    <w:rsid w:val="00FE1DBB"/>
    <w:rsid w:val="00FE209F"/>
    <w:rsid w:val="00FE254A"/>
    <w:rsid w:val="00FE299E"/>
    <w:rsid w:val="00FE29F5"/>
    <w:rsid w:val="00FE3960"/>
    <w:rsid w:val="00FE3B32"/>
    <w:rsid w:val="00FE3CFD"/>
    <w:rsid w:val="00FE3D61"/>
    <w:rsid w:val="00FE4BE7"/>
    <w:rsid w:val="00FE5253"/>
    <w:rsid w:val="00FE5682"/>
    <w:rsid w:val="00FE5DC5"/>
    <w:rsid w:val="00FE6099"/>
    <w:rsid w:val="00FE622A"/>
    <w:rsid w:val="00FE632E"/>
    <w:rsid w:val="00FE674C"/>
    <w:rsid w:val="00FE6A46"/>
    <w:rsid w:val="00FE734F"/>
    <w:rsid w:val="00FE7E5C"/>
    <w:rsid w:val="00FE7FDA"/>
    <w:rsid w:val="00FF0146"/>
    <w:rsid w:val="00FF01BA"/>
    <w:rsid w:val="00FF04F6"/>
    <w:rsid w:val="00FF0D8A"/>
    <w:rsid w:val="00FF19D5"/>
    <w:rsid w:val="00FF27FB"/>
    <w:rsid w:val="00FF3ABD"/>
    <w:rsid w:val="00FF3ECA"/>
    <w:rsid w:val="00FF463C"/>
    <w:rsid w:val="00FF51CC"/>
    <w:rsid w:val="00FF51F4"/>
    <w:rsid w:val="00FF5648"/>
    <w:rsid w:val="00FF56DB"/>
    <w:rsid w:val="00FF61AC"/>
    <w:rsid w:val="00FF61EF"/>
    <w:rsid w:val="00FF6585"/>
    <w:rsid w:val="00FF699D"/>
    <w:rsid w:val="00FF6A27"/>
    <w:rsid w:val="00FF6AB9"/>
    <w:rsid w:val="00FF7219"/>
    <w:rsid w:val="00FF728D"/>
    <w:rsid w:val="00FF731E"/>
    <w:rsid w:val="00FF7368"/>
    <w:rsid w:val="00FF771F"/>
    <w:rsid w:val="00FF7F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FD66EE"/>
  <w15:docId w15:val="{8EB24A93-FB98-4956-B152-225764F7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2220"/>
    <w:rPr>
      <w:sz w:val="24"/>
      <w:szCs w:val="24"/>
    </w:rPr>
  </w:style>
  <w:style w:type="paragraph" w:styleId="Heading1">
    <w:name w:val="heading 1"/>
    <w:basedOn w:val="1"/>
    <w:next w:val="Normal"/>
    <w:link w:val="Heading1Char"/>
    <w:qFormat/>
    <w:rsid w:val="007E7234"/>
    <w:pPr>
      <w:outlineLvl w:val="0"/>
    </w:pPr>
  </w:style>
  <w:style w:type="paragraph" w:styleId="Heading2">
    <w:name w:val="heading 2"/>
    <w:basedOn w:val="Normal"/>
    <w:next w:val="Normal"/>
    <w:link w:val="Heading2Char"/>
    <w:qFormat/>
    <w:rsid w:val="007E7234"/>
    <w:pPr>
      <w:ind w:firstLine="720"/>
      <w:outlineLvl w:val="1"/>
    </w:pPr>
    <w:rPr>
      <w:b/>
    </w:rPr>
  </w:style>
  <w:style w:type="paragraph" w:styleId="Heading9">
    <w:name w:val="heading 9"/>
    <w:basedOn w:val="Normal"/>
    <w:next w:val="Normal"/>
    <w:link w:val="Heading9Char"/>
    <w:semiHidden/>
    <w:unhideWhenUsed/>
    <w:qFormat/>
    <w:rsid w:val="00124B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ind w:left="0" w:firstLine="0"/>
      <w:jc w:val="center"/>
    </w:pPr>
    <w:rPr>
      <w:sz w:val="28"/>
    </w:rPr>
  </w:style>
  <w:style w:type="paragraph" w:customStyle="1" w:styleId="Level2-GHGPreamble">
    <w:name w:val="_Level 2-GHG Preamble"/>
    <w:link w:val="Level2-GHGPreambleCharChar"/>
    <w:autoRedefine/>
    <w:uiPriority w:val="99"/>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tabs>
        <w:tab w:val="num" w:pos="360"/>
      </w:tabs>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ind w:left="3600" w:hanging="360"/>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tabs>
        <w:tab w:val="num" w:pos="360"/>
      </w:tabs>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aliases w:val="FR Comment Reference,TSD Comment Reference"/>
    <w:uiPriority w:val="99"/>
    <w:qFormat/>
    <w:rsid w:val="00501961"/>
    <w:rPr>
      <w:sz w:val="16"/>
      <w:szCs w:val="16"/>
    </w:rPr>
  </w:style>
  <w:style w:type="paragraph" w:styleId="CommentText">
    <w:name w:val="annotation text"/>
    <w:basedOn w:val="Normal"/>
    <w:link w:val="CommentTextChar"/>
    <w:uiPriority w:val="99"/>
    <w:rsid w:val="00501961"/>
    <w:rPr>
      <w:rFonts w:ascii="Courier New" w:hAnsi="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uiPriority w:val="99"/>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uiPriority w:val="99"/>
    <w:rsid w:val="00787E91"/>
    <w:rPr>
      <w:rFonts w:ascii="Courier New" w:hAnsi="Courier New"/>
      <w:sz w:val="24"/>
      <w:szCs w:val="24"/>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rPr>
  </w:style>
  <w:style w:type="character" w:styleId="Strong">
    <w:name w:val="Strong"/>
    <w:qFormat/>
    <w:rsid w:val="00787E91"/>
    <w:rPr>
      <w:b/>
      <w:bCs/>
    </w:rPr>
  </w:style>
  <w:style w:type="paragraph" w:styleId="FootnoteText">
    <w:name w:val="footnote text"/>
    <w:aliases w:val=" Char, Char4,ALTS FOOTNOTE,Char,Char4,Footnote Text - Preamble,Footnote Text Char Char,Footnote Text Char Char Char Char,Footnote Text Char Char1,Footnote Text Char1,Footnote Text Char1 Char Char,fn"/>
    <w:basedOn w:val="Normal"/>
    <w:link w:val="FootnoteTextChar"/>
    <w:rsid w:val="00787E91"/>
    <w:rPr>
      <w:rFonts w:ascii="Courier New" w:hAnsi="Courier New"/>
      <w:sz w:val="20"/>
      <w:szCs w:val="20"/>
    </w:rPr>
  </w:style>
  <w:style w:type="character" w:styleId="FootnoteReference">
    <w:name w:val="footnote reference"/>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F3717A"/>
    <w:pPr>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link w:val="Header"/>
    <w:uiPriority w:val="99"/>
    <w:rsid w:val="008D20EE"/>
    <w:rPr>
      <w:sz w:val="24"/>
      <w:szCs w:val="24"/>
    </w:rPr>
  </w:style>
  <w:style w:type="paragraph" w:styleId="Footer">
    <w:name w:val="footer"/>
    <w:basedOn w:val="Normal"/>
    <w:link w:val="FooterChar"/>
    <w:uiPriority w:val="99"/>
    <w:rsid w:val="008D20EE"/>
    <w:pPr>
      <w:tabs>
        <w:tab w:val="center" w:pos="4680"/>
        <w:tab w:val="right" w:pos="9360"/>
      </w:tabs>
    </w:p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287187"/>
  </w:style>
  <w:style w:type="paragraph" w:customStyle="1" w:styleId="GHGPreamble-level4">
    <w:name w:val="_GHG Preamble-level4"/>
    <w:semiHidden/>
    <w:rsid w:val="00287187"/>
    <w:pPr>
      <w:numPr>
        <w:ilvl w:val="5"/>
        <w:numId w:val="4"/>
      </w:numPr>
      <w:tabs>
        <w:tab w:val="num" w:pos="1440"/>
      </w:tabs>
      <w:ind w:left="1440" w:hanging="360"/>
    </w:pPr>
    <w:rPr>
      <w:color w:val="000000"/>
      <w:sz w:val="24"/>
      <w:szCs w:val="24"/>
    </w:rPr>
  </w:style>
  <w:style w:type="numbering" w:styleId="111111">
    <w:name w:val="Outline List 2"/>
    <w:basedOn w:val="NoList"/>
    <w:semiHidden/>
    <w:rsid w:val="00287187"/>
    <w:pPr>
      <w:numPr>
        <w:numId w:val="5"/>
      </w:numPr>
    </w:pPr>
  </w:style>
  <w:style w:type="paragraph" w:customStyle="1" w:styleId="GHGLevels">
    <w:name w:val="GHG Levels"/>
    <w:basedOn w:val="Normal"/>
    <w:link w:val="GHGLevelsCharChar"/>
    <w:rsid w:val="00556FDE"/>
    <w:pPr>
      <w:numPr>
        <w:numId w:val="6"/>
      </w:numPr>
      <w:spacing w:before="80" w:after="80"/>
    </w:pPr>
    <w:rPr>
      <w:bCs/>
    </w:rPr>
  </w:style>
  <w:style w:type="character" w:customStyle="1" w:styleId="GHGLevelsCharChar">
    <w:name w:val="GHG Levels Char Char"/>
    <w:link w:val="GHGLevels"/>
    <w:rsid w:val="00556FDE"/>
    <w:rPr>
      <w:bCs/>
      <w:sz w:val="24"/>
      <w:szCs w:val="24"/>
    </w:rPr>
  </w:style>
  <w:style w:type="table" w:styleId="TableGrid">
    <w:name w:val="Table Grid"/>
    <w:basedOn w:val="TableNormal"/>
    <w:uiPriority w:val="59"/>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 Char4 Char,ALTS FOOTNOTE Char,Char Char,Char4 Char,Footnote Text - Preamble Char,Footnote Text Char Char Char,Footnote Text Char Char Char Char Char,Footnote Text Char1 Char,Footnote Text Char1 Char Char Char,fn Char"/>
    <w:link w:val="FootnoteText"/>
    <w:locked/>
    <w:rsid w:val="00452B05"/>
    <w:rPr>
      <w:rFonts w:ascii="Courier New" w:hAnsi="Courier New" w:cs="Courier New"/>
    </w:rPr>
  </w:style>
  <w:style w:type="paragraph" w:customStyle="1" w:styleId="BodyText1">
    <w:name w:val="Body Text1"/>
    <w:aliases w:val="body tx,bt,flush,indent,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7"/>
      </w:numPr>
      <w:tabs>
        <w:tab w:val="clear" w:pos="2160"/>
      </w:tabs>
      <w:spacing w:after="120"/>
      <w:ind w:left="1800"/>
    </w:pPr>
    <w:rPr>
      <w:sz w:val="24"/>
    </w:rPr>
  </w:style>
  <w:style w:type="character" w:customStyle="1" w:styleId="bodytextChar">
    <w:name w:val="body text Char"/>
    <w:aliases w:val="body tx Char,bt Char,flush Char,indent Char"/>
    <w:link w:val="BodyText1"/>
    <w:uiPriority w:val="99"/>
    <w:rsid w:val="00B85CA3"/>
    <w:rPr>
      <w:sz w:val="24"/>
    </w:rPr>
  </w:style>
  <w:style w:type="character" w:styleId="FollowedHyperlink">
    <w:name w:val="FollowedHyperlink"/>
    <w:uiPriority w:val="99"/>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0">
    <w:name w:val="Light Grid - Accent 310"/>
    <w:basedOn w:val="Normal"/>
    <w:uiPriority w:val="34"/>
    <w:qFormat/>
    <w:rsid w:val="00B368FA"/>
    <w:pPr>
      <w:ind w:left="720"/>
    </w:pPr>
  </w:style>
  <w:style w:type="character" w:customStyle="1" w:styleId="Level2-GHGPreambleCharChar">
    <w:name w:val="_Level 2-GHG Preamble Char Char"/>
    <w:link w:val="Level2-GHGPreamble"/>
    <w:uiPriority w:val="99"/>
    <w:rsid w:val="008947BE"/>
    <w:rPr>
      <w:rFonts w:ascii="Courier New" w:hAnsi="Courier New" w:cs="Courier New"/>
      <w:b/>
      <w:sz w:val="24"/>
      <w:szCs w:val="24"/>
      <w:u w:val="single"/>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 w:type="paragraph" w:customStyle="1" w:styleId="GHGPARAGRAPH1">
    <w:name w:val="____GHG PARAGRAPH"/>
    <w:basedOn w:val="Normal"/>
    <w:next w:val="Normal"/>
    <w:link w:val="GHGPARAGRAPHChar"/>
    <w:qFormat/>
    <w:rsid w:val="007131F9"/>
    <w:pPr>
      <w:spacing w:line="480" w:lineRule="auto"/>
      <w:ind w:firstLine="720"/>
    </w:pPr>
    <w:rPr>
      <w:rFonts w:ascii="Courier New" w:hAnsi="Courier New" w:cs="Courier New"/>
      <w:bCs/>
    </w:rPr>
  </w:style>
  <w:style w:type="paragraph" w:styleId="Revision">
    <w:name w:val="Revision"/>
    <w:hidden/>
    <w:uiPriority w:val="99"/>
    <w:semiHidden/>
    <w:rsid w:val="006413AA"/>
    <w:rPr>
      <w:sz w:val="24"/>
      <w:szCs w:val="24"/>
    </w:rPr>
  </w:style>
  <w:style w:type="paragraph" w:customStyle="1" w:styleId="TABLEFOOTNOTES">
    <w:name w:val="TABLE FOOTNOTES"/>
    <w:basedOn w:val="Normal"/>
    <w:link w:val="TABLEFOOTNOTESChar"/>
    <w:qFormat/>
    <w:rsid w:val="000703D3"/>
    <w:pPr>
      <w:tabs>
        <w:tab w:val="left" w:pos="360"/>
      </w:tabs>
      <w:spacing w:after="40"/>
      <w:ind w:left="216" w:hanging="216"/>
    </w:pPr>
    <w:rPr>
      <w:sz w:val="20"/>
      <w:szCs w:val="20"/>
    </w:rPr>
  </w:style>
  <w:style w:type="character" w:customStyle="1" w:styleId="TABLEFOOTNOTESChar">
    <w:name w:val="TABLE FOOTNOTES Char"/>
    <w:basedOn w:val="DefaultParagraphFont"/>
    <w:link w:val="TABLEFOOTNOTES"/>
    <w:rsid w:val="000703D3"/>
  </w:style>
  <w:style w:type="paragraph" w:customStyle="1" w:styleId="TableHeader">
    <w:name w:val="Table Header"/>
    <w:next w:val="Default"/>
    <w:uiPriority w:val="99"/>
    <w:rsid w:val="000703D3"/>
    <w:pPr>
      <w:keepNext/>
      <w:spacing w:before="60" w:after="60"/>
      <w:jc w:val="center"/>
    </w:pPr>
    <w:rPr>
      <w:rFonts w:eastAsiaTheme="minorHAnsi"/>
      <w:b/>
      <w:sz w:val="22"/>
      <w:szCs w:val="24"/>
    </w:rPr>
  </w:style>
  <w:style w:type="paragraph" w:customStyle="1" w:styleId="footnote">
    <w:name w:val="footnote"/>
    <w:basedOn w:val="Normal"/>
    <w:link w:val="footnoteChar"/>
    <w:rsid w:val="00F40DC8"/>
    <w:pPr>
      <w:autoSpaceDE w:val="0"/>
      <w:autoSpaceDN w:val="0"/>
      <w:adjustRightInd w:val="0"/>
      <w:spacing w:after="40"/>
    </w:pPr>
    <w:rPr>
      <w:rFonts w:ascii="Courier New" w:hAnsi="Courier New" w:cs="Courier New"/>
      <w:sz w:val="20"/>
    </w:rPr>
  </w:style>
  <w:style w:type="character" w:customStyle="1" w:styleId="footnoteChar">
    <w:name w:val="footnote Char"/>
    <w:basedOn w:val="DefaultParagraphFont"/>
    <w:link w:val="footnote"/>
    <w:locked/>
    <w:rsid w:val="00F40DC8"/>
    <w:rPr>
      <w:rFonts w:ascii="Courier New" w:hAnsi="Courier New" w:cs="Courier New"/>
      <w:szCs w:val="24"/>
    </w:rPr>
  </w:style>
  <w:style w:type="paragraph" w:styleId="ListParagraph">
    <w:name w:val="List Paragraph"/>
    <w:basedOn w:val="Normal"/>
    <w:uiPriority w:val="34"/>
    <w:qFormat/>
    <w:rsid w:val="00F40DC8"/>
    <w:pPr>
      <w:ind w:left="720"/>
      <w:contextualSpacing/>
    </w:pPr>
  </w:style>
  <w:style w:type="character" w:customStyle="1" w:styleId="Bullet-GHGPreambleChar">
    <w:name w:val="_Bullet-GHG Preamble Char"/>
    <w:basedOn w:val="DefaultParagraphFont"/>
    <w:locked/>
    <w:rsid w:val="00310193"/>
    <w:rPr>
      <w:rFonts w:ascii="Courier New" w:hAnsi="Courier New"/>
      <w:sz w:val="24"/>
      <w:szCs w:val="24"/>
    </w:rPr>
  </w:style>
  <w:style w:type="paragraph" w:customStyle="1" w:styleId="Bullet-GHGPreamblelast">
    <w:name w:val="_Bullet-GHG Preamble_last"/>
    <w:qFormat/>
    <w:rsid w:val="00310193"/>
    <w:pPr>
      <w:numPr>
        <w:numId w:val="8"/>
      </w:numPr>
      <w:spacing w:before="80" w:after="240"/>
    </w:pPr>
    <w:rPr>
      <w:rFonts w:ascii="Courier New" w:hAnsi="Courier New"/>
      <w:sz w:val="24"/>
      <w:szCs w:val="24"/>
    </w:rPr>
  </w:style>
  <w:style w:type="paragraph" w:styleId="EndnoteText">
    <w:name w:val="endnote text"/>
    <w:basedOn w:val="Normal"/>
    <w:link w:val="EndnoteTextChar"/>
    <w:rsid w:val="000E5064"/>
    <w:rPr>
      <w:sz w:val="20"/>
      <w:szCs w:val="20"/>
    </w:rPr>
  </w:style>
  <w:style w:type="character" w:customStyle="1" w:styleId="EndnoteTextChar">
    <w:name w:val="Endnote Text Char"/>
    <w:basedOn w:val="DefaultParagraphFont"/>
    <w:link w:val="EndnoteText"/>
    <w:rsid w:val="000E5064"/>
  </w:style>
  <w:style w:type="character" w:styleId="EndnoteReference">
    <w:name w:val="endnote reference"/>
    <w:basedOn w:val="DefaultParagraphFont"/>
    <w:rsid w:val="000E5064"/>
    <w:rPr>
      <w:vertAlign w:val="superscript"/>
    </w:rPr>
  </w:style>
  <w:style w:type="character" w:customStyle="1" w:styleId="GHGPARAGRAPHChar">
    <w:name w:val="____GHG PARAGRAPH Char"/>
    <w:link w:val="GHGPARAGRAPH1"/>
    <w:locked/>
    <w:rsid w:val="00CF5ABA"/>
    <w:rPr>
      <w:rFonts w:ascii="Courier New" w:hAnsi="Courier New" w:cs="Courier New"/>
      <w:bCs/>
      <w:sz w:val="24"/>
      <w:szCs w:val="24"/>
    </w:rPr>
  </w:style>
  <w:style w:type="character" w:customStyle="1" w:styleId="CommentTextChar4">
    <w:name w:val="Comment Text Char4"/>
    <w:basedOn w:val="DefaultParagraphFont"/>
    <w:uiPriority w:val="99"/>
    <w:locked/>
    <w:rsid w:val="00A72A36"/>
    <w:rPr>
      <w:rFonts w:ascii="Courier New" w:hAnsi="Courier New" w:cs="Courier New"/>
      <w:lang w:val="en-US" w:eastAsia="en-US" w:bidi="ar-SA"/>
    </w:rPr>
  </w:style>
  <w:style w:type="character" w:customStyle="1" w:styleId="Heading9Char">
    <w:name w:val="Heading 9 Char"/>
    <w:basedOn w:val="DefaultParagraphFont"/>
    <w:link w:val="Heading9"/>
    <w:rsid w:val="00124B02"/>
    <w:rPr>
      <w:rFonts w:asciiTheme="majorHAnsi" w:eastAsiaTheme="majorEastAsia" w:hAnsiTheme="majorHAnsi" w:cstheme="majorBidi"/>
      <w:i/>
      <w:iCs/>
      <w:color w:val="404040" w:themeColor="text1" w:themeTint="BF"/>
    </w:rPr>
  </w:style>
  <w:style w:type="paragraph" w:customStyle="1" w:styleId="GHGPARAGRAPH2">
    <w:name w:val="___GHG PARAGRAPH"/>
    <w:link w:val="GHGPARAGRAPHCharChar1"/>
    <w:qFormat/>
    <w:rsid w:val="006F36CA"/>
    <w:pPr>
      <w:spacing w:line="480" w:lineRule="auto"/>
      <w:ind w:firstLine="720"/>
    </w:pPr>
    <w:rPr>
      <w:bCs/>
      <w:sz w:val="24"/>
      <w:szCs w:val="24"/>
    </w:rPr>
  </w:style>
  <w:style w:type="character" w:customStyle="1" w:styleId="GHGPARAGRAPHCharChar1">
    <w:name w:val="___GHG PARAGRAPH Char Char"/>
    <w:link w:val="GHGPARAGRAPH2"/>
    <w:locked/>
    <w:rsid w:val="006F36CA"/>
    <w:rPr>
      <w:bCs/>
      <w:sz w:val="24"/>
      <w:szCs w:val="24"/>
    </w:rPr>
  </w:style>
  <w:style w:type="paragraph" w:styleId="BodyText">
    <w:name w:val="Body Text"/>
    <w:basedOn w:val="Normal"/>
    <w:link w:val="BodyTextChar0"/>
    <w:uiPriority w:val="99"/>
    <w:unhideWhenUsed/>
    <w:rsid w:val="00E5218F"/>
    <w:pPr>
      <w:spacing w:after="120"/>
    </w:pPr>
  </w:style>
  <w:style w:type="character" w:customStyle="1" w:styleId="BodyTextChar0">
    <w:name w:val="Body Text Char"/>
    <w:basedOn w:val="DefaultParagraphFont"/>
    <w:link w:val="BodyText"/>
    <w:uiPriority w:val="99"/>
    <w:rsid w:val="00E5218F"/>
    <w:rPr>
      <w:sz w:val="24"/>
      <w:szCs w:val="24"/>
    </w:rPr>
  </w:style>
  <w:style w:type="paragraph" w:customStyle="1" w:styleId="EquationFormat">
    <w:name w:val="Equation Format"/>
    <w:uiPriority w:val="99"/>
    <w:rsid w:val="00D30680"/>
    <w:pPr>
      <w:keepLines/>
      <w:tabs>
        <w:tab w:val="center" w:pos="5040"/>
        <w:tab w:val="right" w:pos="9360"/>
      </w:tabs>
      <w:spacing w:line="360" w:lineRule="auto"/>
    </w:pPr>
    <w:rPr>
      <w:sz w:val="24"/>
      <w:szCs w:val="24"/>
    </w:rPr>
  </w:style>
  <w:style w:type="character" w:customStyle="1" w:styleId="Heading1Char">
    <w:name w:val="Heading 1 Char"/>
    <w:basedOn w:val="DefaultParagraphFont"/>
    <w:link w:val="Heading1"/>
    <w:rsid w:val="003137DA"/>
    <w:rPr>
      <w:b/>
      <w:sz w:val="24"/>
      <w:szCs w:val="24"/>
    </w:rPr>
  </w:style>
  <w:style w:type="character" w:customStyle="1" w:styleId="normaltextrun1">
    <w:name w:val="normaltextrun1"/>
    <w:basedOn w:val="DefaultParagraphFont"/>
    <w:rsid w:val="00841BC5"/>
  </w:style>
  <w:style w:type="character" w:styleId="UnresolvedMention">
    <w:name w:val="Unresolved Mention"/>
    <w:basedOn w:val="DefaultParagraphFont"/>
    <w:uiPriority w:val="99"/>
    <w:semiHidden/>
    <w:unhideWhenUsed/>
    <w:rsid w:val="00165651"/>
    <w:rPr>
      <w:color w:val="605E5C"/>
      <w:shd w:val="clear" w:color="auto" w:fill="E1DFDD"/>
    </w:rPr>
  </w:style>
  <w:style w:type="paragraph" w:customStyle="1" w:styleId="LightGrid-Accent3100">
    <w:name w:val="Light Grid - Accent 3100"/>
    <w:basedOn w:val="Normal"/>
    <w:uiPriority w:val="34"/>
    <w:qFormat/>
    <w:rsid w:val="00747C3B"/>
    <w:pPr>
      <w:ind w:left="720"/>
    </w:pPr>
  </w:style>
  <w:style w:type="character" w:customStyle="1" w:styleId="normaltextrun">
    <w:name w:val="normaltextrun"/>
    <w:basedOn w:val="DefaultParagraphFont"/>
    <w:rsid w:val="00CF319F"/>
  </w:style>
  <w:style w:type="character" w:customStyle="1" w:styleId="findhit">
    <w:name w:val="findhit"/>
    <w:basedOn w:val="DefaultParagraphFont"/>
    <w:rsid w:val="00D3491D"/>
  </w:style>
  <w:style w:type="character" w:styleId="Mention">
    <w:name w:val="Mention"/>
    <w:basedOn w:val="DefaultParagraphFont"/>
    <w:uiPriority w:val="99"/>
    <w:unhideWhenUsed/>
    <w:rsid w:val="00555DCD"/>
    <w:rPr>
      <w:color w:val="2B579A"/>
      <w:shd w:val="clear" w:color="auto" w:fill="E1DFDD"/>
    </w:rPr>
  </w:style>
  <w:style w:type="paragraph" w:customStyle="1" w:styleId="msonormal">
    <w:name w:val="msonormal"/>
    <w:basedOn w:val="Normal"/>
    <w:rsid w:val="00A27065"/>
    <w:pPr>
      <w:spacing w:before="100" w:beforeAutospacing="1" w:after="100" w:afterAutospacing="1"/>
    </w:pPr>
  </w:style>
  <w:style w:type="paragraph" w:customStyle="1" w:styleId="font5">
    <w:name w:val="font5"/>
    <w:basedOn w:val="Normal"/>
    <w:rsid w:val="00A27065"/>
    <w:pPr>
      <w:spacing w:before="100" w:beforeAutospacing="1" w:after="100" w:afterAutospacing="1"/>
    </w:pPr>
    <w:rPr>
      <w:rFonts w:ascii="Calibri" w:hAnsi="Calibri" w:cs="Calibri"/>
      <w:sz w:val="18"/>
      <w:szCs w:val="18"/>
    </w:rPr>
  </w:style>
  <w:style w:type="paragraph" w:customStyle="1" w:styleId="font6">
    <w:name w:val="font6"/>
    <w:basedOn w:val="Normal"/>
    <w:rsid w:val="00A27065"/>
    <w:pPr>
      <w:spacing w:before="100" w:beforeAutospacing="1" w:after="100" w:afterAutospacing="1"/>
    </w:pPr>
    <w:rPr>
      <w:rFonts w:ascii="Calibri" w:hAnsi="Calibri" w:cs="Calibri"/>
      <w:sz w:val="18"/>
      <w:szCs w:val="18"/>
    </w:rPr>
  </w:style>
  <w:style w:type="paragraph" w:customStyle="1" w:styleId="xl131">
    <w:name w:val="xl13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32">
    <w:name w:val="xl132"/>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33">
    <w:name w:val="xl133"/>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34">
    <w:name w:val="xl134"/>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35">
    <w:name w:val="xl135"/>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36">
    <w:name w:val="xl136"/>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37">
    <w:name w:val="xl137"/>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38">
    <w:name w:val="xl138"/>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39">
    <w:name w:val="xl139"/>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1">
    <w:name w:val="xl14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2">
    <w:name w:val="xl142"/>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3">
    <w:name w:val="xl143"/>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4">
    <w:name w:val="xl144"/>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5">
    <w:name w:val="xl145"/>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46">
    <w:name w:val="xl146"/>
    <w:basedOn w:val="Normal"/>
    <w:rsid w:val="00A27065"/>
    <w:pPr>
      <w:spacing w:before="100" w:beforeAutospacing="1" w:after="100" w:afterAutospacing="1"/>
    </w:pPr>
    <w:rPr>
      <w:rFonts w:ascii="Calibri" w:hAnsi="Calibri" w:cs="Calibri"/>
      <w:sz w:val="18"/>
      <w:szCs w:val="18"/>
    </w:rPr>
  </w:style>
  <w:style w:type="paragraph" w:customStyle="1" w:styleId="xl147">
    <w:name w:val="xl147"/>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18"/>
      <w:szCs w:val="18"/>
    </w:rPr>
  </w:style>
  <w:style w:type="paragraph" w:customStyle="1" w:styleId="xl148">
    <w:name w:val="xl148"/>
    <w:basedOn w:val="Normal"/>
    <w:rsid w:val="00A27065"/>
    <w:pPr>
      <w:pBdr>
        <w:top w:val="single" w:sz="4" w:space="0" w:color="auto"/>
        <w:left w:val="single" w:sz="4" w:space="0" w:color="auto"/>
        <w:bottom w:val="single" w:sz="4" w:space="0" w:color="auto"/>
      </w:pBdr>
      <w:shd w:val="clear" w:color="000000" w:fill="808080"/>
      <w:spacing w:before="100" w:beforeAutospacing="1" w:after="100" w:afterAutospacing="1"/>
    </w:pPr>
    <w:rPr>
      <w:rFonts w:ascii="Calibri" w:hAnsi="Calibri" w:cs="Calibri"/>
      <w:sz w:val="16"/>
      <w:szCs w:val="16"/>
    </w:rPr>
  </w:style>
  <w:style w:type="paragraph" w:customStyle="1" w:styleId="xl149">
    <w:name w:val="xl149"/>
    <w:basedOn w:val="Normal"/>
    <w:rsid w:val="00A2706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Calibri" w:hAnsi="Calibri" w:cs="Calibri"/>
      <w:sz w:val="16"/>
      <w:szCs w:val="16"/>
    </w:rPr>
  </w:style>
  <w:style w:type="paragraph" w:customStyle="1" w:styleId="xl150">
    <w:name w:val="xl150"/>
    <w:basedOn w:val="Normal"/>
    <w:rsid w:val="00A27065"/>
    <w:pPr>
      <w:pBdr>
        <w:top w:val="single" w:sz="4" w:space="0" w:color="auto"/>
        <w:bottom w:val="single" w:sz="4" w:space="0" w:color="auto"/>
      </w:pBdr>
      <w:spacing w:before="100" w:beforeAutospacing="1" w:after="100" w:afterAutospacing="1"/>
    </w:pPr>
    <w:rPr>
      <w:rFonts w:ascii="Calibri" w:hAnsi="Calibri" w:cs="Calibri"/>
      <w:i/>
      <w:iCs/>
      <w:sz w:val="18"/>
      <w:szCs w:val="18"/>
    </w:rPr>
  </w:style>
  <w:style w:type="paragraph" w:customStyle="1" w:styleId="xl151">
    <w:name w:val="xl151"/>
    <w:basedOn w:val="Normal"/>
    <w:rsid w:val="00A27065"/>
    <w:pPr>
      <w:pBdr>
        <w:top w:val="single" w:sz="4" w:space="0" w:color="auto"/>
      </w:pBdr>
      <w:spacing w:before="100" w:beforeAutospacing="1" w:after="100" w:afterAutospacing="1"/>
    </w:pPr>
    <w:rPr>
      <w:rFonts w:ascii="Calibri" w:hAnsi="Calibri" w:cs="Calibri"/>
      <w:b/>
      <w:bCs/>
      <w:sz w:val="18"/>
      <w:szCs w:val="18"/>
    </w:rPr>
  </w:style>
  <w:style w:type="paragraph" w:customStyle="1" w:styleId="xl152">
    <w:name w:val="xl152"/>
    <w:basedOn w:val="Normal"/>
    <w:rsid w:val="00A27065"/>
    <w:pPr>
      <w:pBdr>
        <w:top w:val="single" w:sz="4" w:space="0" w:color="auto"/>
        <w:right w:val="single" w:sz="4" w:space="0" w:color="auto"/>
      </w:pBdr>
      <w:spacing w:before="100" w:beforeAutospacing="1" w:after="100" w:afterAutospacing="1"/>
    </w:pPr>
    <w:rPr>
      <w:rFonts w:ascii="Calibri" w:hAnsi="Calibri" w:cs="Calibri"/>
      <w:b/>
      <w:bCs/>
      <w:sz w:val="18"/>
      <w:szCs w:val="18"/>
    </w:rPr>
  </w:style>
  <w:style w:type="paragraph" w:customStyle="1" w:styleId="xl153">
    <w:name w:val="xl153"/>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54">
    <w:name w:val="xl154"/>
    <w:basedOn w:val="Normal"/>
    <w:rsid w:val="00A27065"/>
    <w:pPr>
      <w:pBdr>
        <w:top w:val="single" w:sz="4" w:space="0" w:color="auto"/>
        <w:left w:val="single" w:sz="4" w:space="0" w:color="auto"/>
        <w:bottom w:val="single" w:sz="4" w:space="0" w:color="auto"/>
      </w:pBdr>
      <w:shd w:val="clear" w:color="000000" w:fill="808080"/>
      <w:spacing w:before="100" w:beforeAutospacing="1" w:after="100" w:afterAutospacing="1"/>
    </w:pPr>
    <w:rPr>
      <w:rFonts w:ascii="Calibri" w:hAnsi="Calibri" w:cs="Calibri"/>
      <w:sz w:val="16"/>
      <w:szCs w:val="16"/>
    </w:rPr>
  </w:style>
  <w:style w:type="paragraph" w:customStyle="1" w:styleId="xl155">
    <w:name w:val="xl155"/>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6"/>
      <w:szCs w:val="16"/>
    </w:rPr>
  </w:style>
  <w:style w:type="paragraph" w:customStyle="1" w:styleId="xl156">
    <w:name w:val="xl156"/>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57">
    <w:name w:val="xl157"/>
    <w:basedOn w:val="Normal"/>
    <w:rsid w:val="00A27065"/>
    <w:pPr>
      <w:spacing w:before="100" w:beforeAutospacing="1" w:after="100" w:afterAutospacing="1"/>
    </w:pPr>
    <w:rPr>
      <w:rFonts w:ascii="Calibri" w:hAnsi="Calibri" w:cs="Calibri"/>
      <w:sz w:val="16"/>
      <w:szCs w:val="16"/>
    </w:rPr>
  </w:style>
  <w:style w:type="paragraph" w:customStyle="1" w:styleId="xl158">
    <w:name w:val="xl158"/>
    <w:basedOn w:val="Normal"/>
    <w:rsid w:val="00A27065"/>
    <w:pPr>
      <w:pBdr>
        <w:top w:val="single" w:sz="4" w:space="0" w:color="auto"/>
        <w:left w:val="single" w:sz="4" w:space="0" w:color="auto"/>
        <w:bottom w:val="single" w:sz="4" w:space="0" w:color="auto"/>
      </w:pBdr>
      <w:shd w:val="clear" w:color="000000" w:fill="D9D9D9"/>
      <w:spacing w:before="100" w:beforeAutospacing="1" w:after="100" w:afterAutospacing="1"/>
    </w:pPr>
    <w:rPr>
      <w:rFonts w:ascii="Calibri" w:hAnsi="Calibri" w:cs="Calibri"/>
      <w:sz w:val="16"/>
      <w:szCs w:val="16"/>
    </w:rPr>
  </w:style>
  <w:style w:type="paragraph" w:customStyle="1" w:styleId="xl159">
    <w:name w:val="xl159"/>
    <w:basedOn w:val="Normal"/>
    <w:rsid w:val="00A2706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sz w:val="16"/>
      <w:szCs w:val="16"/>
    </w:rPr>
  </w:style>
  <w:style w:type="paragraph" w:customStyle="1" w:styleId="xl161">
    <w:name w:val="xl16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31869B"/>
      <w:sz w:val="18"/>
      <w:szCs w:val="18"/>
    </w:rPr>
  </w:style>
  <w:style w:type="paragraph" w:customStyle="1" w:styleId="xl162">
    <w:name w:val="xl162"/>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31869B"/>
      <w:sz w:val="18"/>
      <w:szCs w:val="18"/>
    </w:rPr>
  </w:style>
  <w:style w:type="paragraph" w:customStyle="1" w:styleId="xl163">
    <w:name w:val="xl163"/>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31869B"/>
      <w:sz w:val="18"/>
      <w:szCs w:val="18"/>
    </w:rPr>
  </w:style>
  <w:style w:type="paragraph" w:customStyle="1" w:styleId="xl164">
    <w:name w:val="xl164"/>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65">
    <w:name w:val="xl165"/>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18"/>
      <w:szCs w:val="18"/>
    </w:rPr>
  </w:style>
  <w:style w:type="paragraph" w:customStyle="1" w:styleId="xl166">
    <w:name w:val="xl166"/>
    <w:basedOn w:val="Normal"/>
    <w:rsid w:val="00A27065"/>
    <w:pPr>
      <w:pBdr>
        <w:top w:val="single" w:sz="4" w:space="0" w:color="auto"/>
        <w:bottom w:val="single" w:sz="4" w:space="0" w:color="auto"/>
      </w:pBdr>
      <w:spacing w:before="100" w:beforeAutospacing="1" w:after="100" w:afterAutospacing="1"/>
    </w:pPr>
    <w:rPr>
      <w:rFonts w:ascii="Calibri" w:hAnsi="Calibri" w:cs="Calibri"/>
      <w:b/>
      <w:bCs/>
      <w:sz w:val="18"/>
      <w:szCs w:val="18"/>
    </w:rPr>
  </w:style>
  <w:style w:type="paragraph" w:customStyle="1" w:styleId="xl167">
    <w:name w:val="xl167"/>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18"/>
      <w:szCs w:val="18"/>
    </w:rPr>
  </w:style>
  <w:style w:type="paragraph" w:customStyle="1" w:styleId="xl168">
    <w:name w:val="xl168"/>
    <w:basedOn w:val="Normal"/>
    <w:rsid w:val="00A27065"/>
    <w:pPr>
      <w:pBdr>
        <w:top w:val="single" w:sz="4" w:space="0" w:color="auto"/>
        <w:bottom w:val="single" w:sz="4" w:space="0" w:color="auto"/>
      </w:pBdr>
      <w:spacing w:before="100" w:beforeAutospacing="1" w:after="100" w:afterAutospacing="1"/>
    </w:pPr>
    <w:rPr>
      <w:rFonts w:ascii="Calibri" w:hAnsi="Calibri" w:cs="Calibri"/>
      <w:i/>
      <w:iCs/>
      <w:sz w:val="18"/>
      <w:szCs w:val="18"/>
    </w:rPr>
  </w:style>
  <w:style w:type="paragraph" w:customStyle="1" w:styleId="xl169">
    <w:name w:val="xl169"/>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70">
    <w:name w:val="xl170"/>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71">
    <w:name w:val="xl17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31869B"/>
      <w:sz w:val="18"/>
      <w:szCs w:val="18"/>
    </w:rPr>
  </w:style>
  <w:style w:type="paragraph" w:customStyle="1" w:styleId="xl172">
    <w:name w:val="xl172"/>
    <w:basedOn w:val="Normal"/>
    <w:rsid w:val="00A27065"/>
    <w:pPr>
      <w:pBdr>
        <w:top w:val="single" w:sz="4" w:space="0" w:color="auto"/>
      </w:pBdr>
      <w:spacing w:before="100" w:beforeAutospacing="1" w:after="100" w:afterAutospacing="1"/>
    </w:pPr>
    <w:rPr>
      <w:rFonts w:ascii="Calibri" w:hAnsi="Calibri" w:cs="Calibri"/>
      <w:sz w:val="18"/>
      <w:szCs w:val="18"/>
    </w:rPr>
  </w:style>
  <w:style w:type="paragraph" w:customStyle="1" w:styleId="xl173">
    <w:name w:val="xl173"/>
    <w:basedOn w:val="Normal"/>
    <w:rsid w:val="00A27065"/>
    <w:pPr>
      <w:pBdr>
        <w:top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74">
    <w:name w:val="xl174"/>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75">
    <w:name w:val="xl175"/>
    <w:basedOn w:val="Normal"/>
    <w:rsid w:val="00A27065"/>
    <w:pPr>
      <w:pBdr>
        <w:top w:val="single" w:sz="4" w:space="0" w:color="auto"/>
        <w:lef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6">
    <w:name w:val="xl176"/>
    <w:basedOn w:val="Normal"/>
    <w:rsid w:val="00A27065"/>
    <w:pPr>
      <w:pBdr>
        <w:top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7">
    <w:name w:val="xl177"/>
    <w:basedOn w:val="Normal"/>
    <w:rsid w:val="00A27065"/>
    <w:pPr>
      <w:pBdr>
        <w:top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8">
    <w:name w:val="xl178"/>
    <w:basedOn w:val="Normal"/>
    <w:rsid w:val="00A27065"/>
    <w:pPr>
      <w:pBdr>
        <w:left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9">
    <w:name w:val="xl179"/>
    <w:basedOn w:val="Normal"/>
    <w:rsid w:val="00A27065"/>
    <w:pPr>
      <w:pBdr>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0">
    <w:name w:val="xl180"/>
    <w:basedOn w:val="Normal"/>
    <w:rsid w:val="00A27065"/>
    <w:pPr>
      <w:pBdr>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1">
    <w:name w:val="xl181"/>
    <w:basedOn w:val="Normal"/>
    <w:rsid w:val="00A27065"/>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2">
    <w:name w:val="xl182"/>
    <w:basedOn w:val="Normal"/>
    <w:rsid w:val="00A27065"/>
    <w:pPr>
      <w:pBdr>
        <w:top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3">
    <w:name w:val="xl183"/>
    <w:basedOn w:val="Normal"/>
    <w:rsid w:val="00A27065"/>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4">
    <w:name w:val="xl184"/>
    <w:basedOn w:val="Normal"/>
    <w:rsid w:val="00A27065"/>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sz w:val="16"/>
      <w:szCs w:val="16"/>
    </w:rPr>
  </w:style>
  <w:style w:type="paragraph" w:customStyle="1" w:styleId="xl185">
    <w:name w:val="xl185"/>
    <w:basedOn w:val="Normal"/>
    <w:rsid w:val="00A27065"/>
    <w:pPr>
      <w:pBdr>
        <w:top w:val="single" w:sz="4" w:space="0" w:color="auto"/>
        <w:bottom w:val="single" w:sz="4" w:space="0" w:color="auto"/>
      </w:pBdr>
      <w:spacing w:before="100" w:beforeAutospacing="1" w:after="100" w:afterAutospacing="1"/>
      <w:jc w:val="center"/>
    </w:pPr>
    <w:rPr>
      <w:rFonts w:ascii="Calibri" w:hAnsi="Calibri" w:cs="Calibri"/>
      <w:b/>
      <w:bCs/>
      <w:sz w:val="16"/>
      <w:szCs w:val="16"/>
    </w:rPr>
  </w:style>
  <w:style w:type="paragraph" w:customStyle="1" w:styleId="xl186">
    <w:name w:val="xl186"/>
    <w:basedOn w:val="Normal"/>
    <w:rsid w:val="00A27065"/>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187">
    <w:name w:val="xl187"/>
    <w:basedOn w:val="Normal"/>
    <w:rsid w:val="00A27065"/>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8">
    <w:name w:val="xl188"/>
    <w:basedOn w:val="Normal"/>
    <w:rsid w:val="00A27065"/>
    <w:pPr>
      <w:pBdr>
        <w:top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9">
    <w:name w:val="xl189"/>
    <w:basedOn w:val="Normal"/>
    <w:rsid w:val="00A27065"/>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90">
    <w:name w:val="xl190"/>
    <w:basedOn w:val="Normal"/>
    <w:rsid w:val="00A2706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91">
    <w:name w:val="xl19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92">
    <w:name w:val="xl192"/>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93">
    <w:name w:val="xl193"/>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94">
    <w:name w:val="xl194"/>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95">
    <w:name w:val="xl195"/>
    <w:basedOn w:val="Normal"/>
    <w:rsid w:val="00A27065"/>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sz w:val="18"/>
      <w:szCs w:val="18"/>
    </w:rPr>
  </w:style>
  <w:style w:type="paragraph" w:customStyle="1" w:styleId="xl196">
    <w:name w:val="xl196"/>
    <w:basedOn w:val="Normal"/>
    <w:rsid w:val="00A27065"/>
    <w:pPr>
      <w:pBdr>
        <w:top w:val="single" w:sz="4" w:space="0" w:color="auto"/>
        <w:bottom w:val="single" w:sz="4" w:space="0" w:color="auto"/>
      </w:pBdr>
      <w:spacing w:before="100" w:beforeAutospacing="1" w:after="100" w:afterAutospacing="1"/>
    </w:pPr>
    <w:rPr>
      <w:rFonts w:ascii="Calibri" w:hAnsi="Calibri" w:cs="Calibri"/>
      <w:i/>
      <w:iCs/>
      <w:sz w:val="18"/>
      <w:szCs w:val="18"/>
    </w:rPr>
  </w:style>
  <w:style w:type="paragraph" w:customStyle="1" w:styleId="xl197">
    <w:name w:val="xl197"/>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98">
    <w:name w:val="xl198"/>
    <w:basedOn w:val="Normal"/>
    <w:rsid w:val="00A27065"/>
    <w:pPr>
      <w:pBdr>
        <w:top w:val="single" w:sz="4" w:space="0" w:color="auto"/>
      </w:pBdr>
      <w:spacing w:before="100" w:beforeAutospacing="1" w:after="100" w:afterAutospacing="1"/>
    </w:pPr>
    <w:rPr>
      <w:rFonts w:ascii="Calibri" w:hAnsi="Calibri" w:cs="Calibri"/>
      <w:sz w:val="18"/>
      <w:szCs w:val="18"/>
    </w:rPr>
  </w:style>
  <w:style w:type="paragraph" w:customStyle="1" w:styleId="xl199">
    <w:name w:val="xl199"/>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200">
    <w:name w:val="xl200"/>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201">
    <w:name w:val="xl201"/>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202">
    <w:name w:val="xl202"/>
    <w:basedOn w:val="Normal"/>
    <w:rsid w:val="00A27065"/>
    <w:pPr>
      <w:pBdr>
        <w:top w:val="single" w:sz="4" w:space="0" w:color="auto"/>
        <w:bottom w:val="single" w:sz="4" w:space="0" w:color="auto"/>
      </w:pBdr>
      <w:shd w:val="clear" w:color="000000" w:fill="FFFF00"/>
      <w:spacing w:before="100" w:beforeAutospacing="1" w:after="100" w:afterAutospacing="1"/>
    </w:pPr>
    <w:rPr>
      <w:rFonts w:ascii="Calibri" w:hAnsi="Calibri" w:cs="Calibri"/>
      <w:i/>
      <w:iCs/>
      <w:sz w:val="18"/>
      <w:szCs w:val="18"/>
    </w:rPr>
  </w:style>
  <w:style w:type="paragraph" w:customStyle="1" w:styleId="xl203">
    <w:name w:val="xl203"/>
    <w:basedOn w:val="Normal"/>
    <w:rsid w:val="00A27065"/>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i/>
      <w:iCs/>
      <w:sz w:val="18"/>
      <w:szCs w:val="18"/>
    </w:rPr>
  </w:style>
  <w:style w:type="paragraph" w:customStyle="1" w:styleId="xl204">
    <w:name w:val="xl204"/>
    <w:basedOn w:val="Normal"/>
    <w:rsid w:val="00A27065"/>
    <w:pPr>
      <w:pBdr>
        <w:top w:val="single" w:sz="4" w:space="0" w:color="auto"/>
        <w:bottom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205">
    <w:name w:val="xl205"/>
    <w:basedOn w:val="Normal"/>
    <w:rsid w:val="00A27065"/>
    <w:pPr>
      <w:pBdr>
        <w:top w:val="single" w:sz="4" w:space="0" w:color="auto"/>
        <w:bottom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206">
    <w:name w:val="xl206"/>
    <w:basedOn w:val="Normal"/>
    <w:rsid w:val="00A27065"/>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207">
    <w:name w:val="xl207"/>
    <w:basedOn w:val="Normal"/>
    <w:rsid w:val="00A27065"/>
    <w:pPr>
      <w:pBdr>
        <w:top w:val="single" w:sz="4" w:space="0" w:color="auto"/>
        <w:bottom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140">
    <w:name w:val="xl140"/>
    <w:basedOn w:val="Normal"/>
    <w:rsid w:val="00C607C4"/>
    <w:pPr>
      <w:pBdr>
        <w:top w:val="single" w:sz="4" w:space="0" w:color="auto"/>
        <w:left w:val="single" w:sz="4" w:space="0" w:color="auto"/>
      </w:pBdr>
      <w:spacing w:before="100" w:beforeAutospacing="1" w:after="100" w:afterAutospacing="1"/>
    </w:pPr>
    <w:rPr>
      <w:rFonts w:ascii="Calibri" w:hAnsi="Calibri" w:cs="Calibri"/>
      <w:sz w:val="18"/>
      <w:szCs w:val="18"/>
    </w:rPr>
  </w:style>
  <w:style w:type="paragraph" w:customStyle="1" w:styleId="xl160">
    <w:name w:val="xl160"/>
    <w:basedOn w:val="Normal"/>
    <w:rsid w:val="00C607C4"/>
    <w:pPr>
      <w:pBdr>
        <w:top w:val="single" w:sz="4" w:space="0" w:color="auto"/>
        <w:left w:val="single" w:sz="4" w:space="0" w:color="auto"/>
        <w:bottom w:val="single" w:sz="4" w:space="0" w:color="auto"/>
      </w:pBdr>
      <w:shd w:val="clear" w:color="000000" w:fill="D9D9D9"/>
      <w:spacing w:before="100" w:beforeAutospacing="1" w:after="100" w:afterAutospacing="1"/>
    </w:pPr>
    <w:rPr>
      <w:rFonts w:ascii="Calibri" w:hAnsi="Calibri" w:cs="Calibri"/>
      <w:sz w:val="16"/>
      <w:szCs w:val="16"/>
    </w:rPr>
  </w:style>
  <w:style w:type="paragraph" w:customStyle="1" w:styleId="xl208">
    <w:name w:val="xl208"/>
    <w:basedOn w:val="Normal"/>
    <w:rsid w:val="00C607C4"/>
    <w:pPr>
      <w:pBdr>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209">
    <w:name w:val="xl209"/>
    <w:basedOn w:val="Normal"/>
    <w:rsid w:val="00C607C4"/>
    <w:pPr>
      <w:pBdr>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210">
    <w:name w:val="xl210"/>
    <w:basedOn w:val="Normal"/>
    <w:rsid w:val="00C607C4"/>
    <w:pPr>
      <w:spacing w:before="100" w:beforeAutospacing="1" w:after="100" w:afterAutospacing="1"/>
    </w:pPr>
    <w:rPr>
      <w:rFonts w:ascii="Calibri" w:hAnsi="Calibri" w:cs="Calibri"/>
      <w:sz w:val="18"/>
      <w:szCs w:val="18"/>
    </w:rPr>
  </w:style>
  <w:style w:type="paragraph" w:customStyle="1" w:styleId="xl211">
    <w:name w:val="xl211"/>
    <w:basedOn w:val="Normal"/>
    <w:rsid w:val="00C607C4"/>
    <w:pPr>
      <w:pBdr>
        <w:right w:val="single" w:sz="4" w:space="0" w:color="auto"/>
      </w:pBdr>
      <w:spacing w:before="100" w:beforeAutospacing="1" w:after="100" w:afterAutospacing="1"/>
    </w:pPr>
    <w:rPr>
      <w:rFonts w:ascii="Calibri" w:hAnsi="Calibri" w:cs="Calibri"/>
      <w:sz w:val="18"/>
      <w:szCs w:val="18"/>
    </w:rPr>
  </w:style>
  <w:style w:type="paragraph" w:customStyle="1" w:styleId="xl212">
    <w:name w:val="xl212"/>
    <w:basedOn w:val="Normal"/>
    <w:rsid w:val="00C607C4"/>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213">
    <w:name w:val="xl213"/>
    <w:basedOn w:val="Normal"/>
    <w:rsid w:val="00C607C4"/>
    <w:pPr>
      <w:pBdr>
        <w:top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214">
    <w:name w:val="xl214"/>
    <w:basedOn w:val="Normal"/>
    <w:rsid w:val="00C607C4"/>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Bullet-GHGPreamble2">
    <w:name w:val="_Bullet-GHG Preamble_2"/>
    <w:basedOn w:val="Normal"/>
    <w:rsid w:val="00623487"/>
    <w:pPr>
      <w:numPr>
        <w:numId w:val="10"/>
      </w:numPr>
      <w:spacing w:before="40" w:after="200"/>
    </w:pPr>
    <w:rPr>
      <w:rFonts w:eastAsiaTheme="minorHAnsi" w:cstheme="minorBidi"/>
      <w:szCs w:val="22"/>
    </w:rPr>
  </w:style>
  <w:style w:type="character" w:customStyle="1" w:styleId="ui-provider">
    <w:name w:val="ui-provider"/>
    <w:basedOn w:val="DefaultParagraphFont"/>
    <w:rsid w:val="004B3EAF"/>
  </w:style>
  <w:style w:type="paragraph" w:customStyle="1" w:styleId="a">
    <w:name w:val="!"/>
    <w:rsid w:val="0092204A"/>
    <w:pPr>
      <w:autoSpaceDE w:val="0"/>
      <w:autoSpaceDN w:val="0"/>
      <w:adjustRightInd w:val="0"/>
      <w:ind w:left="-1440"/>
    </w:pPr>
    <w:rPr>
      <w:sz w:val="24"/>
      <w:szCs w:val="24"/>
    </w:rPr>
  </w:style>
  <w:style w:type="paragraph" w:customStyle="1" w:styleId="BodyTextFirstline05">
    <w:name w:val="Body Text + First line:  0.5&quot;"/>
    <w:basedOn w:val="BodyText"/>
    <w:rsid w:val="00CA005D"/>
    <w:pPr>
      <w:spacing w:after="240"/>
      <w:ind w:firstLine="720"/>
    </w:pPr>
    <w:rPr>
      <w:szCs w:val="20"/>
    </w:rPr>
  </w:style>
  <w:style w:type="paragraph" w:customStyle="1" w:styleId="TableExhibitTitle">
    <w:name w:val="Table/Exhibit Title"/>
    <w:basedOn w:val="Normal"/>
    <w:rsid w:val="008D1380"/>
    <w:pPr>
      <w:keepNext/>
      <w:spacing w:before="360" w:after="60"/>
      <w:outlineLvl w:val="3"/>
    </w:pPr>
    <w:rPr>
      <w:b/>
    </w:rPr>
  </w:style>
  <w:style w:type="paragraph" w:customStyle="1" w:styleId="TableText">
    <w:name w:val="Table Text"/>
    <w:basedOn w:val="Default"/>
    <w:rsid w:val="00CA005D"/>
    <w:pPr>
      <w:spacing w:before="30" w:after="30"/>
    </w:pPr>
    <w:rPr>
      <w:color w:val="auto"/>
      <w:sz w:val="22"/>
    </w:rPr>
  </w:style>
  <w:style w:type="paragraph" w:styleId="ListNumber2">
    <w:name w:val="List Number 2"/>
    <w:basedOn w:val="Normal"/>
    <w:unhideWhenUsed/>
    <w:rsid w:val="00CA005D"/>
    <w:pPr>
      <w:numPr>
        <w:numId w:val="15"/>
      </w:numPr>
      <w:spacing w:after="240"/>
      <w:ind w:left="1440" w:hanging="720"/>
    </w:pPr>
  </w:style>
  <w:style w:type="paragraph" w:styleId="ListBullet">
    <w:name w:val="List Bullet"/>
    <w:basedOn w:val="ListParagraph"/>
    <w:unhideWhenUsed/>
    <w:rsid w:val="00CA005D"/>
    <w:pPr>
      <w:spacing w:after="240"/>
      <w:ind w:left="1440" w:hanging="360"/>
    </w:pPr>
  </w:style>
  <w:style w:type="paragraph" w:customStyle="1" w:styleId="TableTextCentered">
    <w:name w:val="Table Text + Centered"/>
    <w:basedOn w:val="TableText"/>
    <w:rsid w:val="00CA005D"/>
    <w:pPr>
      <w:jc w:val="center"/>
    </w:pPr>
    <w:rPr>
      <w:szCs w:val="20"/>
    </w:rPr>
  </w:style>
  <w:style w:type="paragraph" w:customStyle="1" w:styleId="Heading10">
    <w:name w:val="Heading1"/>
    <w:basedOn w:val="Normal"/>
    <w:qFormat/>
    <w:rsid w:val="008D1380"/>
    <w:pPr>
      <w:outlineLvl w:val="0"/>
    </w:pPr>
    <w:rPr>
      <w:b/>
      <w:bCs/>
      <w:u w:val="single"/>
    </w:rPr>
  </w:style>
  <w:style w:type="paragraph" w:customStyle="1" w:styleId="Heading20">
    <w:name w:val="Heading2"/>
    <w:basedOn w:val="ListParagraph"/>
    <w:qFormat/>
    <w:rsid w:val="008D1380"/>
    <w:pPr>
      <w:numPr>
        <w:numId w:val="13"/>
      </w:numPr>
      <w:pBdr>
        <w:bottom w:val="single" w:sz="4" w:space="1" w:color="auto"/>
      </w:pBdr>
      <w:spacing w:before="240" w:line="259" w:lineRule="auto"/>
      <w:outlineLvl w:val="1"/>
    </w:pPr>
    <w:rPr>
      <w:b/>
      <w:bCs/>
    </w:rPr>
  </w:style>
  <w:style w:type="paragraph" w:customStyle="1" w:styleId="StyleListParagraphBoldBefore12ptBottomSinglesolid">
    <w:name w:val="Style List Paragraph + Bold Before:  12 pt Bottom: (Single solid ..."/>
    <w:basedOn w:val="ListParagraph"/>
    <w:rsid w:val="008D1380"/>
    <w:pPr>
      <w:pBdr>
        <w:bottom w:val="single" w:sz="4" w:space="1" w:color="auto"/>
      </w:pBdr>
      <w:spacing w:before="240" w:line="259" w:lineRule="auto"/>
      <w:outlineLvl w:val="1"/>
    </w:pPr>
    <w:rPr>
      <w:b/>
      <w:bCs/>
      <w:szCs w:val="20"/>
    </w:rPr>
  </w:style>
  <w:style w:type="paragraph" w:customStyle="1" w:styleId="StyleListParagraphBoldBefore12ptBottomSinglesolid1">
    <w:name w:val="Style List Paragraph + Bold Before:  12 pt Bottom: (Single solid ...1"/>
    <w:basedOn w:val="ListParagraph"/>
    <w:rsid w:val="008D1380"/>
    <w:pPr>
      <w:pBdr>
        <w:bottom w:val="single" w:sz="4" w:space="1" w:color="auto"/>
      </w:pBdr>
      <w:spacing w:before="240" w:line="259" w:lineRule="auto"/>
      <w:outlineLvl w:val="1"/>
    </w:pPr>
    <w:rPr>
      <w:b/>
      <w:bCs/>
      <w:szCs w:val="20"/>
    </w:rPr>
  </w:style>
  <w:style w:type="paragraph" w:customStyle="1" w:styleId="StyleBoldBefore6pt">
    <w:name w:val="Style Bold Before:  6 pt"/>
    <w:basedOn w:val="Normal"/>
    <w:rsid w:val="008D1380"/>
    <w:pPr>
      <w:spacing w:before="120"/>
      <w:outlineLvl w:val="2"/>
    </w:pPr>
    <w:rPr>
      <w:b/>
      <w:bCs/>
      <w:szCs w:val="20"/>
    </w:rPr>
  </w:style>
  <w:style w:type="paragraph" w:customStyle="1" w:styleId="StyleBodyTextFirstline05BoldFirstline025">
    <w:name w:val="Style Body Text + First line:  0.5&quot; + Bold First line:  0.25&quot;"/>
    <w:basedOn w:val="BodyTextFirstline05"/>
    <w:rsid w:val="008D1380"/>
    <w:pPr>
      <w:ind w:firstLine="360"/>
      <w:outlineLvl w:val="3"/>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33299115974DE4A9F9D2BCFD7E48759" ma:contentTypeVersion="19" ma:contentTypeDescription="Create a new document." ma:contentTypeScope="" ma:versionID="3653c4098dc2ffae5ff7647798b8639d">
  <xsd:schema xmlns:xsd="http://www.w3.org/2001/XMLSchema" xmlns:xs="http://www.w3.org/2001/XMLSchema" xmlns:p="http://schemas.microsoft.com/office/2006/metadata/properties" xmlns:ns1="http://schemas.microsoft.com/sharepoint/v3" xmlns:ns2="4a60d1e6-9fb0-49a5-b8a6-8b05d7a50250" xmlns:ns3="4ffa91fb-a0ff-4ac5-b2db-65c790d184a4" xmlns:ns4="http://schemas.microsoft.com/sharepoint.v3" xmlns:ns5="http://schemas.microsoft.com/sharepoint/v3/fields" xmlns:ns6="c45a38fa-5f4a-4a15-8f16-325b23925f60" targetNamespace="http://schemas.microsoft.com/office/2006/metadata/properties" ma:root="true" ma:fieldsID="1a69e975cb93c65e82c15bab1ffdeaab" ns1:_="" ns2:_="" ns3:_="" ns4:_="" ns5:_="" ns6:_="">
    <xsd:import namespace="http://schemas.microsoft.com/sharepoint/v3"/>
    <xsd:import namespace="4a60d1e6-9fb0-49a5-b8a6-8b05d7a50250"/>
    <xsd:import namespace="4ffa91fb-a0ff-4ac5-b2db-65c790d184a4"/>
    <xsd:import namespace="http://schemas.microsoft.com/sharepoint.v3"/>
    <xsd:import namespace="http://schemas.microsoft.com/sharepoint/v3/fields"/>
    <xsd:import namespace="c45a38fa-5f4a-4a15-8f16-325b23925f60"/>
    <xsd:element name="properties">
      <xsd:complexType>
        <xsd:sequence>
          <xsd:element name="documentManagement">
            <xsd:complexType>
              <xsd:all>
                <xsd:element ref="ns2:Caption" minOccurs="0"/>
                <xsd:element ref="ns2:EventInfo" minOccurs="0"/>
                <xsd:element ref="ns3:EPA_x0020_Contributor" minOccurs="0"/>
                <xsd:element ref="ns3:Record" minOccurs="0"/>
                <xsd:element ref="ns4:CategoryDescription" minOccurs="0"/>
                <xsd:element ref="ns3:Identifier" minOccurs="0"/>
                <xsd:element ref="ns3:EPA_x0020_Office"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2:MediaServiceMetadata" minOccurs="0"/>
                <xsd:element ref="ns2:MediaServiceFastMetadata" minOccurs="0"/>
                <xsd:element ref="ns6:SharedWithUsers" minOccurs="0"/>
                <xsd:element ref="ns6: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3:Document_x0020_Creation_x0020_Date" minOccurs="0"/>
                <xsd:element ref="ns3:Cre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hidden="true"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a60d1e6-9fb0-49a5-b8a6-8b05d7a50250" elementFormDefault="qualified">
    <xsd:import namespace="http://schemas.microsoft.com/office/2006/documentManagement/types"/>
    <xsd:import namespace="http://schemas.microsoft.com/office/infopath/2007/PartnerControls"/>
    <xsd:element name="Caption" ma:index="1" nillable="true" ma:displayName="Caption" ma:description="As specific as possible, for example, label equipment and locations and explain activity occurring" ma:format="Dropdown" ma:internalName="Caption" ma:readOnly="false">
      <xsd:simpleType>
        <xsd:restriction base="dms:Note">
          <xsd:maxLength value="255"/>
        </xsd:restriction>
      </xsd:simpleType>
    </xsd:element>
    <xsd:element name="EventInfo" ma:index="2" nillable="true" ma:displayName="Event Info" ma:description="Title, location, host, date, attendees, etc." ma:format="Dropdown" ma:internalName="EventInfo" ma:readOnly="false">
      <xsd:simpleType>
        <xsd:restriction base="dms:Note">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hidden="true" ma:internalName="MediaServiceOCR"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EPA_x0020_Contributor" ma:index="3"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 ma:index="5" nillable="true" ma:displayName="Record" ma:default="Shared" ma:description="For documents that provide evidence of EPA decisions and actions, select &quot;Shared&quot; (open access) or &quot;Private&quot; (restricted access)." ma:format="Dropdown" ma:hidden="true"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hidden="true" ma:internalName="Identifier" ma:readOnly="false">
      <xsd:simpleType>
        <xsd:restriction base="dms:Note"/>
      </xsd:simpleType>
    </xsd:element>
    <xsd:element name="EPA_x0020_Office" ma:index="11" nillable="true" ma:displayName="EPA Office" ma:description="Enter the EPA organization primarily responsible for the document. The office of the person uploading the document has been entered by default." ma:hidden="true" ma:internalName="EPA_x0020_Office" ma:readOnly="false">
      <xsd:simpleType>
        <xsd:restriction base="dms:Text">
          <xsd:maxLength value="255"/>
        </xsd:restriction>
      </xsd:simpleType>
    </xsd:element>
    <xsd:element name="External_x0020_Contributor" ma:index="12" nillable="true" ma:displayName="External Contributor" ma:description="Enter a non-EPA person who contributed to the creation of the document but is not the primary author." ma:hidden="true" ma:internalName="External_x0020_Contributor" ma:readOnly="false">
      <xsd:simpleType>
        <xsd:restriction base="dms:Note"/>
      </xsd:simpleType>
    </xsd:element>
    <xsd:element name="EPA_x0020_Related_x0020_Documents" ma:index="14" nillable="true" ma:displayName="Other Related Documents" ma:description="Enter any related document." ma:hidden="true" ma:internalName="EPA_x0020_Related_x0020_Documents" ma:readOnly="false">
      <xsd:simpleType>
        <xsd:restriction base="dms:Note"/>
      </xsd:simpleType>
    </xsd:element>
    <xsd:element name="Rights" ma:index="16" nillable="true" ma:displayName="Rights" ma:description="Enter information about intellectual property rights held over the document (e.g. copyright, patent, trademark)." ma:hidden="true" ma:internalName="Rights" ma:readOnly="false">
      <xsd:simpleType>
        <xsd:restriction base="dms:Note"/>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f5fa294-946b-4ca5-baa1-f9bd57ee5e31}" ma:internalName="TaxCatchAllLabel" ma:readOnly="false" ma:showField="CatchAllDataLabel" ma:web="c45a38fa-5f4a-4a15-8f16-325b23925f6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f5fa294-946b-4ca5-baa1-f9bd57ee5e31}" ma:internalName="TaxCatchAll" ma:readOnly="false" ma:showField="CatchAllData" ma:web="c45a38fa-5f4a-4a15-8f16-325b23925f60">
      <xsd:complexType>
        <xsd:complexContent>
          <xsd:extension base="dms:MultiChoiceLookup">
            <xsd:sequence>
              <xsd:element name="Value" type="dms:Lookup" maxOccurs="unbounded" minOccurs="0" nillable="true"/>
            </xsd:sequence>
          </xsd:extension>
        </xsd:complexContent>
      </xsd:complexType>
    </xsd:element>
    <xsd:element name="Document_x0020_Creation_x0020_Date" ma:index="41" nillable="true" ma:displayName="Document Date" ma:default="[today]" ma:description="Enter the date this document was last modified. The upload date has been entered by default." ma:format="DateOnly" ma:hidden="true" ma:internalName="Document_x0020_Creation_x0020_Date" ma:readOnly="false">
      <xsd:simpleType>
        <xsd:restriction base="dms:DateTime"/>
      </xsd:simpleType>
    </xsd:element>
    <xsd:element name="Creator" ma:index="42" nillable="true" ma:displayName="Creator" ma:description="Enter the person primarily responsible for the document. The name of the person uploading the document has been entered by default." ma:hidden="true"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hidden="true"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hidden="true" ma:internalName="_Coverage" ma:readOnly="false">
      <xsd:simpleType>
        <xsd:restriction base="dms:Text">
          <xsd:maxLength value="255"/>
        </xsd:restriction>
      </xsd:simpleType>
    </xsd:element>
    <xsd:element name="_Source" ma:index="15" nillable="true" ma:displayName="Source" ma:description="Enter a source from which the document is derived." ma:hidden="true" ma:internalName="_Sourc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5a38fa-5f4a-4a15-8f16-325b23925f60"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2022-12-10T05:00:00+00:00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4a60d1e6-9fb0-49a5-b8a6-8b05d7a50250">
      <Terms xmlns="http://schemas.microsoft.com/office/infopath/2007/PartnerControls"/>
    </lcf76f155ced4ddcb4097134ff3c332f>
    <SharedWithUsers xmlns="c45a38fa-5f4a-4a15-8f16-325b23925f60">
      <UserInfo>
        <DisplayName>Tracy Curtis</DisplayName>
        <AccountId>10507</AccountId>
        <AccountType/>
      </UserInfo>
      <UserInfo>
        <DisplayName>Bogle, Stephanie</DisplayName>
        <AccountId>12295</AccountId>
        <AccountType/>
      </UserInfo>
      <UserInfo>
        <DisplayName>Bohman, Jennifer</DisplayName>
        <AccountId>5245</AccountId>
        <AccountType/>
      </UserInfo>
    </SharedWithUsers>
    <TaxCatchAllLabel xmlns="4ffa91fb-a0ff-4ac5-b2db-65c790d184a4" xsi:nil="true"/>
    <EventInfo xmlns="4a60d1e6-9fb0-49a5-b8a6-8b05d7a50250" xsi:nil="true"/>
    <Caption xmlns="4a60d1e6-9fb0-49a5-b8a6-8b05d7a50250" xsi:nil="true"/>
  </documentManagement>
</p:properties>
</file>

<file path=customXml/itemProps1.xml><?xml version="1.0" encoding="utf-8"?>
<ds:datastoreItem xmlns:ds="http://schemas.openxmlformats.org/officeDocument/2006/customXml" ds:itemID="{E4091F69-A7A4-488D-98C1-932187F750CC}">
  <ds:schemaRefs>
    <ds:schemaRef ds:uri="Microsoft.SharePoint.Taxonomy.ContentTypeSync"/>
  </ds:schemaRefs>
</ds:datastoreItem>
</file>

<file path=customXml/itemProps2.xml><?xml version="1.0" encoding="utf-8"?>
<ds:datastoreItem xmlns:ds="http://schemas.openxmlformats.org/officeDocument/2006/customXml" ds:itemID="{004C5523-9E83-4AA7-B0C8-1FD7FE11EA51}">
  <ds:schemaRefs>
    <ds:schemaRef ds:uri="http://schemas.microsoft.com/sharepoint/v3/contenttype/forms"/>
  </ds:schemaRefs>
</ds:datastoreItem>
</file>

<file path=customXml/itemProps3.xml><?xml version="1.0" encoding="utf-8"?>
<ds:datastoreItem xmlns:ds="http://schemas.openxmlformats.org/officeDocument/2006/customXml" ds:itemID="{263A8928-A282-4791-A0A5-BF5A224B163E}">
  <ds:schemaRefs>
    <ds:schemaRef ds:uri="http://schemas.openxmlformats.org/officeDocument/2006/bibliography"/>
  </ds:schemaRefs>
</ds:datastoreItem>
</file>

<file path=customXml/itemProps4.xml><?xml version="1.0" encoding="utf-8"?>
<ds:datastoreItem xmlns:ds="http://schemas.openxmlformats.org/officeDocument/2006/customXml" ds:itemID="{911E7DE3-E4CD-44DE-9526-4ACFAA5D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60d1e6-9fb0-49a5-b8a6-8b05d7a50250"/>
    <ds:schemaRef ds:uri="4ffa91fb-a0ff-4ac5-b2db-65c790d184a4"/>
    <ds:schemaRef ds:uri="http://schemas.microsoft.com/sharepoint.v3"/>
    <ds:schemaRef ds:uri="http://schemas.microsoft.com/sharepoint/v3/fields"/>
    <ds:schemaRef ds:uri="c45a38fa-5f4a-4a15-8f16-325b23925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ED9086-23C2-48E0-A262-845710FDDC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a60d1e6-9fb0-49a5-b8a6-8b05d7a50250"/>
    <ds:schemaRef ds:uri="c45a38fa-5f4a-4a15-8f16-325b23925f6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8204</Words>
  <Characters>46769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CadmusGroup Inc</Company>
  <LinksUpToDate>false</LinksUpToDate>
  <CharactersWithSpaces>54864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Teresa</dc:creator>
  <cp:lastModifiedBy>Vanek, Riley</cp:lastModifiedBy>
  <cp:revision>7</cp:revision>
  <cp:lastPrinted>2015-12-16T01:18:00Z</cp:lastPrinted>
  <dcterms:created xsi:type="dcterms:W3CDTF">2024-08-29T12:17:00Z</dcterms:created>
  <dcterms:modified xsi:type="dcterms:W3CDTF">2024-11-07T21:56:00Z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0x010100D33299115974DE4A9F9D2BCFD7E48759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Order">
    <vt:r8>45900</vt:r8>
  </property>
  <property fmtid="{D5CDD505-2E9C-101B-9397-08002B2CF9AE}" pid="8" name="TaxKeyword">
    <vt:lpwstr/>
  </property>
  <property fmtid="{D5CDD505-2E9C-101B-9397-08002B2CF9AE}" pid="9" name="TemplateUrl">
    <vt:lpwstr/>
  </property>
  <property fmtid="{D5CDD505-2E9C-101B-9397-08002B2CF9AE}" pid="10" name="xd_ProgID">
    <vt:lpwstr/>
  </property>
  <property fmtid="{D5CDD505-2E9C-101B-9397-08002B2CF9AE}" pid="11" name="_CopySource">
    <vt:lpwstr>https://usepa.sharepoint.com/sites/oar_Work/ghgrp_rule/Shared Documents/Routing/Revised Package/SAN 7230 GHGRP NPRM ICR Supporting Statement.docx</vt:lpwstr>
  </property>
  <property fmtid="{D5CDD505-2E9C-101B-9397-08002B2CF9AE}" pid="12" name="_ExtendedDescription">
    <vt:lpwstr/>
  </property>
</Properties>
</file>