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411B66E9">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796BCE" w:rsidRPr="00A7152F" w:rsidP="00796BCE" w14:paraId="14E268E8" w14:textId="77777777">
      <w:pPr>
        <w:suppressAutoHyphens/>
        <w:jc w:val="center"/>
        <w:rPr>
          <w:rFonts w:asciiTheme="minorHAnsi" w:hAnsiTheme="minorHAnsi" w:cstheme="minorHAnsi"/>
          <w:bCs/>
          <w:szCs w:val="24"/>
        </w:rPr>
      </w:pPr>
      <w:bookmarkStart w:id="0" w:name="Text1"/>
      <w:r w:rsidRPr="00A7152F">
        <w:rPr>
          <w:rFonts w:asciiTheme="minorHAnsi" w:hAnsiTheme="minorHAnsi" w:cstheme="minorHAnsi"/>
          <w:bCs/>
          <w:szCs w:val="24"/>
        </w:rPr>
        <w:t>Student Assistance General Provisions – Annual Fire Safety Repor</w:t>
      </w:r>
      <w:bookmarkEnd w:id="0"/>
      <w:r w:rsidRPr="00A7152F">
        <w:rPr>
          <w:rFonts w:asciiTheme="minorHAnsi" w:hAnsiTheme="minorHAnsi" w:cstheme="minorHAnsi"/>
          <w:bCs/>
          <w:szCs w:val="24"/>
        </w:rPr>
        <w:t>t</w:t>
      </w:r>
    </w:p>
    <w:p w:rsidR="005F4E11" w:rsidRPr="00F74288" w:rsidP="00F74288" w14:paraId="05DA5314" w14:textId="77777777">
      <w:pPr>
        <w:jc w:val="center"/>
        <w:rPr>
          <w:rFonts w:asciiTheme="minorHAnsi" w:hAnsiTheme="minorHAnsi" w:cstheme="minorHAnsi"/>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796BCE" w:rsidP="00796BCE" w14:paraId="26D13BB6" w14:textId="007E7DDB">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 xml:space="preserve">As provided by </w:t>
      </w:r>
      <w:bookmarkStart w:id="1" w:name="_Hlk180502126"/>
      <w:r w:rsidRPr="00A7152F">
        <w:rPr>
          <w:rFonts w:asciiTheme="minorHAnsi" w:hAnsiTheme="minorHAnsi" w:cstheme="minorHAnsi"/>
          <w:szCs w:val="24"/>
        </w:rPr>
        <w:t>Section 485(i) of the Higher Education Act of 1965, as amended</w:t>
      </w:r>
      <w:bookmarkEnd w:id="1"/>
      <w:r w:rsidRPr="00A7152F">
        <w:rPr>
          <w:rFonts w:asciiTheme="minorHAnsi" w:hAnsiTheme="minorHAnsi" w:cstheme="minorHAnsi"/>
          <w:szCs w:val="24"/>
        </w:rPr>
        <w:t xml:space="preserve">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002E2D62" w:rsidP="00796BCE" w14:paraId="0FAEE173" w14:textId="430BB6AB">
      <w:pPr>
        <w:tabs>
          <w:tab w:val="left" w:pos="0"/>
        </w:tabs>
        <w:suppressAutoHyphens/>
        <w:ind w:left="720"/>
        <w:rPr>
          <w:rFonts w:asciiTheme="minorHAnsi" w:hAnsiTheme="minorHAnsi" w:cstheme="minorHAnsi"/>
          <w:szCs w:val="24"/>
        </w:rPr>
      </w:pPr>
    </w:p>
    <w:p w:rsidR="002E2D62" w:rsidP="002E2D62" w14:paraId="62429938" w14:textId="3002CFA2">
      <w:pPr>
        <w:widowControl w:val="0"/>
        <w:ind w:left="720"/>
        <w:rPr>
          <w:rFonts w:ascii="Calibri" w:hAnsi="Calibri"/>
          <w:snapToGrid w:val="0"/>
          <w:szCs w:val="24"/>
        </w:rPr>
      </w:pPr>
      <w:r w:rsidRPr="00F66185">
        <w:rPr>
          <w:rFonts w:ascii="Calibri" w:hAnsi="Calibri"/>
          <w:snapToGrid w:val="0"/>
          <w:szCs w:val="24"/>
        </w:rPr>
        <w:t xml:space="preserve">This is a request for extension </w:t>
      </w:r>
      <w:r w:rsidR="00624B7C">
        <w:rPr>
          <w:rFonts w:ascii="Calibri" w:hAnsi="Calibri"/>
          <w:snapToGrid w:val="0"/>
          <w:szCs w:val="24"/>
        </w:rPr>
        <w:t xml:space="preserve">without change </w:t>
      </w:r>
      <w:r w:rsidRPr="00F66185">
        <w:rPr>
          <w:rFonts w:ascii="Calibri" w:hAnsi="Calibri"/>
          <w:snapToGrid w:val="0"/>
          <w:szCs w:val="24"/>
        </w:rPr>
        <w:t xml:space="preserve">of the current information collection 1845-0114.  </w:t>
      </w:r>
      <w:r w:rsidR="00AE734D">
        <w:rPr>
          <w:rFonts w:ascii="Calibri" w:hAnsi="Calibri"/>
          <w:snapToGrid w:val="0"/>
          <w:szCs w:val="24"/>
        </w:rPr>
        <w:t>There has been no change to the regulations since the previous information collection filing.</w:t>
      </w:r>
    </w:p>
    <w:p w:rsidR="002E2D62" w:rsidP="002E2D62" w14:paraId="12F37017" w14:textId="77777777">
      <w:pPr>
        <w:widowControl w:val="0"/>
        <w:ind w:left="720"/>
        <w:rPr>
          <w:rFonts w:ascii="Calibri" w:hAnsi="Calibri"/>
          <w:snapToGrid w:val="0"/>
          <w:szCs w:val="24"/>
        </w:rPr>
      </w:pPr>
    </w:p>
    <w:p w:rsidR="00796BCE" w:rsidRPr="002E2D62" w:rsidP="002E2D62" w14:paraId="43EC7050" w14:textId="2FFCDE93">
      <w:pPr>
        <w:widowControl w:val="0"/>
        <w:ind w:left="720"/>
        <w:rPr>
          <w:rFonts w:ascii="Calibri" w:hAnsi="Calibri"/>
          <w:snapToGrid w:val="0"/>
          <w:szCs w:val="24"/>
        </w:rPr>
      </w:pPr>
      <w:r w:rsidRPr="00A7152F">
        <w:rPr>
          <w:rFonts w:asciiTheme="minorHAnsi" w:hAnsiTheme="minorHAnsi" w:cstheme="minorHAnsi"/>
          <w:szCs w:val="24"/>
        </w:rPr>
        <w:t>The collection requirements in the regulations are necessary to meet institutional information reporting to students and staff as well as for reporting to Congress through the Secretary.</w:t>
      </w:r>
    </w:p>
    <w:p w:rsidR="00796BCE" w:rsidRPr="00A7152F" w:rsidP="00796BCE" w14:paraId="609D7392" w14:textId="77777777">
      <w:pPr>
        <w:tabs>
          <w:tab w:val="left" w:pos="0"/>
        </w:tabs>
        <w:suppressAutoHyphens/>
        <w:ind w:left="720"/>
        <w:rPr>
          <w:rFonts w:asciiTheme="minorHAnsi" w:hAnsiTheme="minorHAnsi" w:cstheme="minorHAnsi"/>
          <w:szCs w:val="24"/>
        </w:rPr>
      </w:pPr>
    </w:p>
    <w:p w:rsidR="00796BCE" w:rsidRPr="00A7152F" w:rsidP="00796BCE" w14:paraId="13677EF5"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u w:val="single"/>
        </w:rPr>
        <w:t>Section 668.49(b) – Annual fire safety report</w:t>
      </w:r>
    </w:p>
    <w:p w:rsidR="00796BCE" w:rsidRPr="00A7152F" w:rsidP="00796BCE" w14:paraId="7C2181CB"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identify the minimum information that must be included in the annual fire safety report for institutions that have on-campus housing.</w:t>
      </w:r>
    </w:p>
    <w:p w:rsidR="00796BCE" w:rsidRPr="00A7152F" w:rsidP="00796BCE" w14:paraId="2C7D5517" w14:textId="77777777">
      <w:pPr>
        <w:tabs>
          <w:tab w:val="left" w:pos="0"/>
        </w:tabs>
        <w:suppressAutoHyphens/>
        <w:ind w:left="720"/>
        <w:rPr>
          <w:rFonts w:asciiTheme="minorHAnsi" w:hAnsiTheme="minorHAnsi" w:cstheme="minorHAnsi"/>
          <w:szCs w:val="24"/>
        </w:rPr>
      </w:pPr>
    </w:p>
    <w:p w:rsidR="00796BCE" w:rsidRPr="00A7152F" w:rsidP="00796BCE" w14:paraId="5F360F12"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u w:val="single"/>
        </w:rPr>
        <w:t>Section 668.49(c) – Fire statistics</w:t>
      </w:r>
    </w:p>
    <w:p w:rsidR="00796BCE" w:rsidRPr="00A7152F" w:rsidP="00796BCE" w14:paraId="1E77AB16"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identify the required statistics and the time frame that must be reported for the specified data.</w:t>
      </w:r>
    </w:p>
    <w:p w:rsidR="00796BCE" w:rsidRPr="00A7152F" w:rsidP="00796BCE" w14:paraId="6FEB3C10" w14:textId="77777777">
      <w:pPr>
        <w:tabs>
          <w:tab w:val="left" w:pos="0"/>
        </w:tabs>
        <w:suppressAutoHyphens/>
        <w:ind w:left="720"/>
        <w:rPr>
          <w:rFonts w:asciiTheme="minorHAnsi" w:hAnsiTheme="minorHAnsi" w:cstheme="minorHAnsi"/>
          <w:szCs w:val="24"/>
        </w:rPr>
      </w:pPr>
    </w:p>
    <w:p w:rsidR="00796BCE" w:rsidRPr="00A7152F" w:rsidP="00796BCE" w14:paraId="2E6C202F" w14:textId="77777777">
      <w:pPr>
        <w:ind w:left="720"/>
        <w:rPr>
          <w:rFonts w:asciiTheme="minorHAnsi" w:hAnsiTheme="minorHAnsi" w:cstheme="minorHAnsi"/>
          <w:szCs w:val="24"/>
        </w:rPr>
      </w:pPr>
      <w:r w:rsidRPr="00A7152F">
        <w:rPr>
          <w:rFonts w:asciiTheme="minorHAnsi" w:hAnsiTheme="minorHAnsi" w:cstheme="minorHAnsi"/>
          <w:szCs w:val="24"/>
          <w:u w:val="single"/>
        </w:rPr>
        <w:t>Section 668.49(d) – Fire log</w:t>
      </w:r>
    </w:p>
    <w:p w:rsidR="00796BCE" w:rsidRPr="00A7152F" w:rsidP="00796BCE" w14:paraId="093D33E9"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specify the information that must be included in the fire log, how it must be maintained and provides for its accessibility to the public.</w:t>
      </w:r>
    </w:p>
    <w:p w:rsidR="00AD381B" w:rsidRPr="005F4E11" w:rsidP="00AD381B" w14:paraId="64280E58" w14:textId="21918FD6">
      <w:pPr>
        <w:pStyle w:val="ListParagraph"/>
        <w:suppressAutoHyphens/>
        <w:spacing w:line="240" w:lineRule="exact"/>
        <w:rPr>
          <w:rFonts w:asciiTheme="minorHAnsi" w:hAnsiTheme="minorHAnsi" w:cstheme="minorHAnsi"/>
          <w:szCs w:val="24"/>
        </w:rPr>
      </w:pP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796BCE" w:rsidRPr="00A7152F" w:rsidP="00796BCE" w14:paraId="59FE6082"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Under the regulations, institutions that maintain on-campus housing are required to gather the required fire safety information and distribute it to inform both current and prospective students and employees of incidences meeting the fire reporting criteria.  This can be achieved through mailing, providing the publication directly or posting to the Internet or an Intranet web site.  This annual fire safety reporting information will inform the campus community and be provided to the Secretary to be disseminated to the public as well as being reported to Congress.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796BCE" w:rsidRPr="00A7152F" w:rsidP="00796BCE" w14:paraId="394BF54D" w14:textId="4670D451">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 institution may provide this information to the general public via an Internet or Intranet web site.  The Secretary make</w:t>
      </w:r>
      <w:r w:rsidR="00F63A1C">
        <w:rPr>
          <w:rFonts w:asciiTheme="minorHAnsi" w:hAnsiTheme="minorHAnsi" w:cstheme="minorHAnsi"/>
          <w:szCs w:val="24"/>
        </w:rPr>
        <w:t>s</w:t>
      </w:r>
      <w:r w:rsidRPr="00A7152F">
        <w:rPr>
          <w:rFonts w:asciiTheme="minorHAnsi" w:hAnsiTheme="minorHAnsi" w:cstheme="minorHAnsi"/>
          <w:szCs w:val="24"/>
        </w:rPr>
        <w:t xml:space="preserve"> this information available to the general public</w:t>
      </w:r>
      <w:r w:rsidR="00F63A1C">
        <w:rPr>
          <w:rFonts w:asciiTheme="minorHAnsi" w:hAnsiTheme="minorHAnsi" w:cstheme="minorHAnsi"/>
          <w:szCs w:val="24"/>
        </w:rPr>
        <w:t xml:space="preserve"> at the webpage Campus Safety and Security (</w:t>
      </w:r>
      <w:hyperlink r:id="rId9" w:anchor="/" w:history="1">
        <w:r w:rsidRPr="00F4648B" w:rsidR="00F63A1C">
          <w:rPr>
            <w:rStyle w:val="Hyperlink"/>
            <w:rFonts w:asciiTheme="minorHAnsi" w:hAnsiTheme="minorHAnsi" w:cstheme="minorHAnsi"/>
            <w:szCs w:val="24"/>
          </w:rPr>
          <w:t>https://ope.ed.gov/campussafety/#/</w:t>
        </w:r>
      </w:hyperlink>
      <w:r w:rsidR="00F63A1C">
        <w:rPr>
          <w:rFonts w:asciiTheme="minorHAnsi" w:hAnsiTheme="minorHAnsi" w:cstheme="minorHAnsi"/>
          <w:szCs w:val="24"/>
        </w:rPr>
        <w:t xml:space="preserve">) </w:t>
      </w:r>
      <w:r w:rsidRPr="00A7152F">
        <w:rPr>
          <w:rFonts w:asciiTheme="minorHAnsi" w:hAnsiTheme="minorHAnsi" w:cstheme="minorHAnsi"/>
          <w:szCs w:val="24"/>
        </w:rPr>
        <w:t>as well as providing an annual report to Congress.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796BCE" w:rsidRPr="00A7152F" w:rsidP="00796BCE" w14:paraId="440E7CBE"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There is no duplication of data as a result of the collection of this information.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796BCE" w:rsidP="00AD381B" w14:paraId="6A2E0D50" w14:textId="385EAE6B">
      <w:pPr>
        <w:pStyle w:val="ListParagraph"/>
        <w:contextualSpacing w:val="0"/>
        <w:rPr>
          <w:rFonts w:asciiTheme="minorHAnsi" w:hAnsiTheme="minorHAnsi" w:cstheme="minorHAnsi"/>
          <w:szCs w:val="24"/>
        </w:rPr>
      </w:pPr>
      <w:r w:rsidRPr="00A7152F">
        <w:rPr>
          <w:rFonts w:asciiTheme="minorHAnsi" w:hAnsiTheme="minorHAnsi" w:cstheme="minorHAnsi"/>
          <w:szCs w:val="24"/>
        </w:rPr>
        <w:t>No small businesses are impacted by this collection.</w:t>
      </w:r>
    </w:p>
    <w:p w:rsidR="00796BCE" w:rsidRPr="005F4E11" w:rsidP="00AD381B" w14:paraId="23560754"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796BCE" w:rsidRPr="00A7152F" w:rsidP="00796BCE" w14:paraId="667E7A13" w14:textId="77777777">
      <w:pPr>
        <w:tabs>
          <w:tab w:val="left" w:pos="-720"/>
        </w:tabs>
        <w:suppressAutoHyphens/>
        <w:ind w:left="720"/>
        <w:rPr>
          <w:rFonts w:asciiTheme="minorHAnsi" w:hAnsiTheme="minorHAnsi" w:cstheme="minorHAnsi"/>
        </w:rPr>
      </w:pPr>
      <w:r w:rsidRPr="00A7152F">
        <w:rPr>
          <w:rFonts w:asciiTheme="minorHAnsi" w:hAnsiTheme="minorHAnsi" w:cstheme="minorHAnsi"/>
        </w:rPr>
        <w:t>Per statute, the information must be collected annually.</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796BCE" w:rsidRPr="00A7152F" w:rsidP="00796BCE" w14:paraId="7F21F897"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 information collection requirements require no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CF24BD" w:rsidRPr="006F273D" w:rsidP="00796BCE" w14:paraId="67386AC4" w14:textId="11DE7FB8">
      <w:pPr>
        <w:tabs>
          <w:tab w:val="left" w:pos="-720"/>
        </w:tabs>
        <w:suppressAutoHyphens/>
        <w:ind w:left="720"/>
        <w:rPr>
          <w:rFonts w:asciiTheme="minorHAnsi" w:hAnsiTheme="minorHAnsi" w:cstheme="minorHAnsi"/>
          <w:szCs w:val="24"/>
        </w:rPr>
      </w:pPr>
      <w:r w:rsidRPr="006F273D">
        <w:rPr>
          <w:rFonts w:asciiTheme="minorHAnsi" w:hAnsiTheme="minorHAnsi" w:cstheme="minorHAnsi"/>
          <w:szCs w:val="24"/>
        </w:rPr>
        <w:t xml:space="preserve">On </w:t>
      </w:r>
      <w:r w:rsidRPr="006F273D" w:rsidR="006F273D">
        <w:rPr>
          <w:rFonts w:asciiTheme="minorHAnsi" w:hAnsiTheme="minorHAnsi" w:cstheme="minorHAnsi"/>
          <w:szCs w:val="24"/>
        </w:rPr>
        <w:t>November 8</w:t>
      </w:r>
      <w:r w:rsidRPr="006F273D">
        <w:rPr>
          <w:rFonts w:asciiTheme="minorHAnsi" w:hAnsiTheme="minorHAnsi" w:cstheme="minorHAnsi"/>
          <w:szCs w:val="24"/>
        </w:rPr>
        <w:t xml:space="preserve">, 2024, a Federal Register Notice was published (Vol. 89 FR </w:t>
      </w:r>
      <w:r w:rsidR="006F273D">
        <w:rPr>
          <w:rFonts w:asciiTheme="minorHAnsi" w:hAnsiTheme="minorHAnsi" w:cstheme="minorHAnsi"/>
          <w:szCs w:val="24"/>
        </w:rPr>
        <w:t>88749</w:t>
      </w:r>
      <w:r w:rsidRPr="006F273D">
        <w:rPr>
          <w:rFonts w:asciiTheme="minorHAnsi" w:hAnsiTheme="minorHAnsi" w:cstheme="minorHAnsi"/>
          <w:szCs w:val="24"/>
        </w:rPr>
        <w:t xml:space="preserve">) inviting public comment on this information collection.  The period ended </w:t>
      </w:r>
      <w:r w:rsidR="006F273D">
        <w:rPr>
          <w:rFonts w:asciiTheme="minorHAnsi" w:hAnsiTheme="minorHAnsi" w:cstheme="minorHAnsi"/>
          <w:szCs w:val="24"/>
        </w:rPr>
        <w:t>January</w:t>
      </w:r>
      <w:r w:rsidRPr="006F273D">
        <w:rPr>
          <w:rFonts w:asciiTheme="minorHAnsi" w:hAnsiTheme="minorHAnsi" w:cstheme="minorHAnsi"/>
          <w:szCs w:val="24"/>
        </w:rPr>
        <w:t xml:space="preserve"> </w:t>
      </w:r>
      <w:r w:rsidR="006F273D">
        <w:rPr>
          <w:rFonts w:asciiTheme="minorHAnsi" w:hAnsiTheme="minorHAnsi" w:cstheme="minorHAnsi"/>
          <w:szCs w:val="24"/>
        </w:rPr>
        <w:t>7</w:t>
      </w:r>
      <w:r w:rsidRPr="006F273D">
        <w:rPr>
          <w:rFonts w:asciiTheme="minorHAnsi" w:hAnsiTheme="minorHAnsi" w:cstheme="minorHAnsi"/>
          <w:szCs w:val="24"/>
        </w:rPr>
        <w:t>, 202</w:t>
      </w:r>
      <w:r w:rsidR="006F273D">
        <w:rPr>
          <w:rFonts w:asciiTheme="minorHAnsi" w:hAnsiTheme="minorHAnsi" w:cstheme="minorHAnsi"/>
          <w:szCs w:val="24"/>
        </w:rPr>
        <w:t>5</w:t>
      </w:r>
      <w:r w:rsidRPr="006F273D">
        <w:rPr>
          <w:rFonts w:asciiTheme="minorHAnsi" w:hAnsiTheme="minorHAnsi" w:cstheme="minorHAnsi"/>
          <w:szCs w:val="24"/>
        </w:rPr>
        <w:t>.</w:t>
      </w:r>
      <w:r w:rsidR="006F273D">
        <w:rPr>
          <w:rFonts w:asciiTheme="minorHAnsi" w:hAnsiTheme="minorHAnsi" w:cstheme="minorHAnsi"/>
          <w:szCs w:val="24"/>
        </w:rPr>
        <w:t xml:space="preserve">  No comments were received.  No changes have been made to the estimate of respondents/responses/burden hours.</w:t>
      </w:r>
    </w:p>
    <w:p w:rsidR="00CF24BD" w:rsidRPr="006F273D" w:rsidP="00796BCE" w14:paraId="0881C2FA" w14:textId="77777777">
      <w:pPr>
        <w:tabs>
          <w:tab w:val="left" w:pos="-720"/>
        </w:tabs>
        <w:suppressAutoHyphens/>
        <w:ind w:left="720"/>
        <w:rPr>
          <w:rFonts w:asciiTheme="minorHAnsi" w:hAnsiTheme="minorHAnsi" w:cstheme="minorHAnsi"/>
          <w:szCs w:val="24"/>
        </w:rPr>
      </w:pPr>
    </w:p>
    <w:p w:rsidR="00796BCE" w:rsidRPr="00A7152F" w:rsidP="00796BCE" w14:paraId="51B9B981" w14:textId="670DAE9D">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This is the request</w:t>
      </w:r>
      <w:r w:rsidR="006F273D">
        <w:rPr>
          <w:rFonts w:asciiTheme="minorHAnsi" w:hAnsiTheme="minorHAnsi" w:cstheme="minorHAnsi"/>
          <w:szCs w:val="24"/>
        </w:rPr>
        <w:t xml:space="preserve"> for a 3</w:t>
      </w:r>
      <w:r w:rsidRPr="00A7152F" w:rsidR="006F273D">
        <w:rPr>
          <w:rFonts w:asciiTheme="minorHAnsi" w:hAnsiTheme="minorHAnsi" w:cstheme="minorHAnsi"/>
          <w:szCs w:val="24"/>
        </w:rPr>
        <w:t>0 day</w:t>
      </w:r>
      <w:r w:rsidR="006F273D">
        <w:rPr>
          <w:rFonts w:asciiTheme="minorHAnsi" w:hAnsiTheme="minorHAnsi" w:cstheme="minorHAnsi"/>
          <w:szCs w:val="24"/>
        </w:rPr>
        <w:t xml:space="preserve"> notice inviting</w:t>
      </w:r>
      <w:r w:rsidRPr="00A7152F" w:rsidR="006F273D">
        <w:rPr>
          <w:rFonts w:asciiTheme="minorHAnsi" w:hAnsiTheme="minorHAnsi" w:cstheme="minorHAnsi"/>
          <w:szCs w:val="24"/>
        </w:rPr>
        <w:t xml:space="preserve"> public comment period</w:t>
      </w:r>
      <w:r w:rsidRPr="00A7152F">
        <w:rPr>
          <w:rFonts w:asciiTheme="minorHAnsi" w:hAnsiTheme="minorHAnsi" w:cstheme="minorHAnsi"/>
          <w:szCs w:val="24"/>
        </w:rPr>
        <w:t>.  There has been no change to the regulations since 2009.</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796BCE" w:rsidRPr="00A7152F" w:rsidP="00796BCE" w14:paraId="104E3FB4"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5F4E11" w:rsidRPr="005F4E11" w:rsidP="005F4E11" w14:paraId="1B24E42B" w14:textId="4F843885">
      <w:pPr>
        <w:tabs>
          <w:tab w:val="left" w:pos="-720"/>
        </w:tabs>
        <w:suppressAutoHyphens/>
        <w:ind w:left="720"/>
        <w:rPr>
          <w:rFonts w:asciiTheme="minorHAnsi" w:hAnsiTheme="minorHAnsi" w:cstheme="minorHAnsi"/>
          <w:bCs/>
          <w:szCs w:val="24"/>
        </w:rPr>
      </w:pPr>
      <w:r w:rsidRPr="00396343">
        <w:rPr>
          <w:rFonts w:asciiTheme="minorHAnsi" w:hAnsiTheme="minorHAnsi" w:cstheme="minorHAnsi"/>
          <w:szCs w:val="24"/>
        </w:rPr>
        <w:t>The Department requirements do not cover any confidential information.</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t>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5F4E11" w:rsidRPr="005F4E11" w:rsidP="005F4E11" w14:paraId="642D20C1" w14:textId="5EB40DC8">
      <w:pPr>
        <w:tabs>
          <w:tab w:val="left" w:pos="-720"/>
        </w:tabs>
        <w:suppressAutoHyphens/>
        <w:ind w:left="720"/>
        <w:rPr>
          <w:rFonts w:asciiTheme="minorHAnsi" w:hAnsiTheme="minorHAnsi" w:cstheme="minorHAnsi"/>
          <w:bCs/>
          <w:szCs w:val="24"/>
        </w:rPr>
      </w:pPr>
      <w:r w:rsidRPr="00396343">
        <w:rPr>
          <w:rFonts w:asciiTheme="minorHAnsi" w:hAnsiTheme="minorHAnsi" w:cstheme="minorHAnsi"/>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8C6751" w:rsidRPr="008C6751" w:rsidP="008C6751" w14:paraId="4662EE26" w14:textId="0CF8F70C">
      <w:pPr>
        <w:tabs>
          <w:tab w:val="left" w:pos="-720"/>
        </w:tabs>
        <w:suppressAutoHyphens/>
        <w:ind w:left="720"/>
        <w:rPr>
          <w:rFonts w:asciiTheme="minorHAnsi" w:hAnsiTheme="minorHAnsi" w:cstheme="minorHAnsi"/>
          <w:szCs w:val="24"/>
        </w:rPr>
      </w:pPr>
      <w:r>
        <w:rPr>
          <w:rFonts w:asciiTheme="minorHAnsi" w:hAnsiTheme="minorHAnsi" w:cstheme="minorHAnsi"/>
          <w:szCs w:val="24"/>
        </w:rPr>
        <w:t>We</w:t>
      </w:r>
      <w:r w:rsidR="002E2D62">
        <w:rPr>
          <w:rFonts w:asciiTheme="minorHAnsi" w:hAnsiTheme="minorHAnsi" w:cstheme="minorHAnsi"/>
          <w:szCs w:val="24"/>
        </w:rPr>
        <w:t xml:space="preserve"> continue to </w:t>
      </w:r>
      <w:r w:rsidRPr="008C6751">
        <w:rPr>
          <w:rFonts w:asciiTheme="minorHAnsi" w:hAnsiTheme="minorHAnsi" w:cstheme="minorHAnsi"/>
          <w:szCs w:val="24"/>
        </w:rPr>
        <w:t>estimate the hours required for institutions with on-campus housing to meet the regulatory requirements to report this fire safety information will be approximately 2 hours per institution annually.</w:t>
      </w:r>
    </w:p>
    <w:p w:rsidR="008C6751" w:rsidRPr="008C6751" w:rsidP="008C6751" w14:paraId="5C5704F0" w14:textId="77777777">
      <w:pPr>
        <w:tabs>
          <w:tab w:val="left" w:pos="-720"/>
        </w:tabs>
        <w:suppressAutoHyphens/>
        <w:ind w:left="720"/>
        <w:rPr>
          <w:rFonts w:asciiTheme="minorHAnsi" w:hAnsiTheme="minorHAnsi" w:cstheme="minorHAnsi"/>
          <w:szCs w:val="24"/>
        </w:rPr>
      </w:pPr>
    </w:p>
    <w:p w:rsidR="008C6751" w:rsidRPr="008C6751" w:rsidP="008C6751" w14:paraId="116562ED"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u w:val="single"/>
        </w:rPr>
        <w:t>Affected Entities and Burden</w:t>
      </w:r>
      <w:r w:rsidRPr="008C6751">
        <w:rPr>
          <w:rFonts w:asciiTheme="minorHAnsi" w:hAnsiTheme="minorHAnsi" w:cstheme="minorHAnsi"/>
          <w:szCs w:val="24"/>
        </w:rPr>
        <w:t>:</w:t>
      </w:r>
    </w:p>
    <w:p w:rsidR="008C6751" w:rsidRPr="008C6751" w:rsidP="008C6751" w14:paraId="7990DB9C"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 xml:space="preserve">Establishing/maintaining required fire log – </w:t>
      </w:r>
    </w:p>
    <w:p w:rsidR="008C6751" w:rsidRPr="008C6751" w:rsidP="008C6751" w14:paraId="4545F4B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p>
    <w:p w:rsidR="008C6751" w:rsidRPr="008C6751" w:rsidP="008C6751" w14:paraId="27CB0DA4"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Responses</w:t>
      </w:r>
      <w:r w:rsidRPr="008C6751">
        <w:rPr>
          <w:rFonts w:asciiTheme="minorHAnsi" w:hAnsiTheme="minorHAnsi" w:cstheme="minorHAnsi"/>
          <w:szCs w:val="24"/>
          <w:u w:val="single"/>
        </w:rPr>
        <w:tab/>
      </w:r>
      <w:r w:rsidRPr="008C6751">
        <w:rPr>
          <w:rFonts w:asciiTheme="minorHAnsi" w:hAnsiTheme="minorHAnsi" w:cstheme="minorHAnsi"/>
          <w:szCs w:val="24"/>
          <w:u w:val="single"/>
        </w:rPr>
        <w:tab/>
        <w:t>Burden Hours</w:t>
      </w:r>
    </w:p>
    <w:p w:rsidR="008C6751" w:rsidRPr="008C6751" w:rsidP="008C6751" w14:paraId="33D726A5"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Institutions:</w:t>
      </w:r>
    </w:p>
    <w:p w:rsidR="008C6751" w:rsidRPr="00624B7C" w:rsidP="008C6751" w14:paraId="5FF24827"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Public</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w:t>
      </w:r>
      <w:r w:rsidRPr="00624B7C">
        <w:rPr>
          <w:rFonts w:asciiTheme="minorHAnsi" w:hAnsiTheme="minorHAnsi" w:cstheme="minorHAnsi"/>
          <w:szCs w:val="24"/>
        </w:rPr>
        <w:t>841</w:t>
      </w:r>
      <w:r w:rsidRPr="00624B7C">
        <w:rPr>
          <w:rFonts w:asciiTheme="minorHAnsi" w:hAnsiTheme="minorHAnsi" w:cstheme="minorHAnsi"/>
          <w:szCs w:val="24"/>
        </w:rPr>
        <w:tab/>
      </w:r>
      <w:r w:rsidRPr="00624B7C">
        <w:rPr>
          <w:rFonts w:asciiTheme="minorHAnsi" w:hAnsiTheme="minorHAnsi" w:cstheme="minorHAnsi"/>
          <w:szCs w:val="24"/>
        </w:rPr>
        <w:tab/>
        <w:t xml:space="preserve">   841</w:t>
      </w:r>
      <w:r w:rsidRPr="00624B7C">
        <w:rPr>
          <w:rFonts w:asciiTheme="minorHAnsi" w:hAnsiTheme="minorHAnsi" w:cstheme="minorHAnsi"/>
          <w:szCs w:val="24"/>
        </w:rPr>
        <w:tab/>
        <w:t xml:space="preserve">   X .5 hours =    421 hours</w:t>
      </w:r>
    </w:p>
    <w:p w:rsidR="008C6751" w:rsidRPr="00624B7C" w:rsidP="008C6751" w14:paraId="6CC6F38E" w14:textId="77777777">
      <w:pPr>
        <w:tabs>
          <w:tab w:val="left" w:pos="-720"/>
        </w:tabs>
        <w:suppressAutoHyphens/>
        <w:ind w:left="720"/>
        <w:rPr>
          <w:rFonts w:asciiTheme="minorHAnsi" w:hAnsiTheme="minorHAnsi" w:cstheme="minorHAnsi"/>
          <w:szCs w:val="24"/>
        </w:rPr>
      </w:pPr>
      <w:r w:rsidRPr="00624B7C">
        <w:rPr>
          <w:rFonts w:asciiTheme="minorHAnsi" w:hAnsiTheme="minorHAnsi" w:cstheme="minorHAnsi"/>
          <w:szCs w:val="24"/>
        </w:rPr>
        <w:t>Private</w:t>
      </w:r>
      <w:r w:rsidRPr="00624B7C">
        <w:rPr>
          <w:rFonts w:asciiTheme="minorHAnsi" w:hAnsiTheme="minorHAnsi" w:cstheme="minorHAnsi"/>
          <w:szCs w:val="24"/>
        </w:rPr>
        <w:tab/>
      </w:r>
      <w:r w:rsidRPr="00624B7C">
        <w:rPr>
          <w:rFonts w:asciiTheme="minorHAnsi" w:hAnsiTheme="minorHAnsi" w:cstheme="minorHAnsi"/>
          <w:szCs w:val="24"/>
        </w:rPr>
        <w:tab/>
      </w:r>
      <w:r w:rsidRPr="00624B7C">
        <w:rPr>
          <w:rFonts w:asciiTheme="minorHAnsi" w:hAnsiTheme="minorHAnsi" w:cstheme="minorHAnsi"/>
          <w:szCs w:val="24"/>
        </w:rPr>
        <w:tab/>
      </w:r>
      <w:r w:rsidRPr="00624B7C">
        <w:rPr>
          <w:rFonts w:asciiTheme="minorHAnsi" w:hAnsiTheme="minorHAnsi" w:cstheme="minorHAnsi"/>
          <w:szCs w:val="24"/>
        </w:rPr>
        <w:tab/>
        <w:t>1,237</w:t>
      </w:r>
      <w:r w:rsidRPr="00624B7C">
        <w:rPr>
          <w:rFonts w:asciiTheme="minorHAnsi" w:hAnsiTheme="minorHAnsi" w:cstheme="minorHAnsi"/>
          <w:szCs w:val="24"/>
        </w:rPr>
        <w:tab/>
      </w:r>
      <w:r w:rsidRPr="00624B7C">
        <w:rPr>
          <w:rFonts w:asciiTheme="minorHAnsi" w:hAnsiTheme="minorHAnsi" w:cstheme="minorHAnsi"/>
          <w:szCs w:val="24"/>
        </w:rPr>
        <w:tab/>
        <w:t>1,237</w:t>
      </w:r>
      <w:r w:rsidRPr="00624B7C">
        <w:rPr>
          <w:rFonts w:asciiTheme="minorHAnsi" w:hAnsiTheme="minorHAnsi" w:cstheme="minorHAnsi"/>
          <w:szCs w:val="24"/>
        </w:rPr>
        <w:tab/>
        <w:t xml:space="preserve">   X .5 hours =    619 hours</w:t>
      </w:r>
    </w:p>
    <w:p w:rsidR="008C6751" w:rsidRPr="00624B7C" w:rsidP="008C6751" w14:paraId="277A844D" w14:textId="77777777">
      <w:pPr>
        <w:tabs>
          <w:tab w:val="left" w:pos="-720"/>
        </w:tabs>
        <w:suppressAutoHyphens/>
        <w:ind w:left="720"/>
        <w:rPr>
          <w:rFonts w:asciiTheme="minorHAnsi" w:hAnsiTheme="minorHAnsi" w:cstheme="minorHAnsi"/>
          <w:szCs w:val="24"/>
          <w:u w:val="single"/>
        </w:rPr>
      </w:pPr>
      <w:r w:rsidRPr="00624B7C">
        <w:rPr>
          <w:rFonts w:asciiTheme="minorHAnsi" w:hAnsiTheme="minorHAnsi" w:cstheme="minorHAnsi"/>
          <w:szCs w:val="24"/>
          <w:u w:val="single"/>
        </w:rPr>
        <w:t>Proprietary</w:t>
      </w:r>
      <w:r w:rsidRPr="00624B7C">
        <w:rPr>
          <w:rFonts w:asciiTheme="minorHAnsi" w:hAnsiTheme="minorHAnsi" w:cstheme="minorHAnsi"/>
          <w:szCs w:val="24"/>
          <w:u w:val="single"/>
        </w:rPr>
        <w:tab/>
      </w:r>
      <w:r w:rsidRPr="00624B7C">
        <w:rPr>
          <w:rFonts w:asciiTheme="minorHAnsi" w:hAnsiTheme="minorHAnsi" w:cstheme="minorHAnsi"/>
          <w:szCs w:val="24"/>
          <w:u w:val="single"/>
        </w:rPr>
        <w:tab/>
      </w:r>
      <w:r w:rsidRPr="00624B7C">
        <w:rPr>
          <w:rFonts w:asciiTheme="minorHAnsi" w:hAnsiTheme="minorHAnsi" w:cstheme="minorHAnsi"/>
          <w:szCs w:val="24"/>
          <w:u w:val="single"/>
        </w:rPr>
        <w:tab/>
        <w:t xml:space="preserve">     77</w:t>
      </w:r>
      <w:r w:rsidRPr="00624B7C">
        <w:rPr>
          <w:rFonts w:asciiTheme="minorHAnsi" w:hAnsiTheme="minorHAnsi" w:cstheme="minorHAnsi"/>
          <w:szCs w:val="24"/>
          <w:u w:val="single"/>
        </w:rPr>
        <w:tab/>
      </w:r>
      <w:r w:rsidRPr="00624B7C">
        <w:rPr>
          <w:rFonts w:asciiTheme="minorHAnsi" w:hAnsiTheme="minorHAnsi" w:cstheme="minorHAnsi"/>
          <w:szCs w:val="24"/>
          <w:u w:val="single"/>
        </w:rPr>
        <w:tab/>
        <w:t xml:space="preserve">     77</w:t>
      </w:r>
      <w:r w:rsidRPr="00624B7C">
        <w:rPr>
          <w:rFonts w:asciiTheme="minorHAnsi" w:hAnsiTheme="minorHAnsi" w:cstheme="minorHAnsi"/>
          <w:szCs w:val="24"/>
          <w:u w:val="single"/>
        </w:rPr>
        <w:tab/>
        <w:t xml:space="preserve">   X .5 hours =      39 hours</w:t>
      </w:r>
    </w:p>
    <w:p w:rsidR="008C6751" w:rsidRPr="008C6751" w:rsidP="008C6751" w14:paraId="22323F3D" w14:textId="77777777">
      <w:pPr>
        <w:tabs>
          <w:tab w:val="left" w:pos="-720"/>
        </w:tabs>
        <w:suppressAutoHyphens/>
        <w:ind w:left="720"/>
        <w:rPr>
          <w:rFonts w:asciiTheme="minorHAnsi" w:hAnsiTheme="minorHAnsi" w:cstheme="minorHAnsi"/>
          <w:szCs w:val="24"/>
        </w:rPr>
      </w:pPr>
      <w:r w:rsidRPr="00624B7C">
        <w:rPr>
          <w:rFonts w:asciiTheme="minorHAnsi" w:hAnsiTheme="minorHAnsi" w:cstheme="minorHAnsi"/>
          <w:szCs w:val="24"/>
        </w:rPr>
        <w:t>SUBTOTAL</w:t>
      </w:r>
      <w:r w:rsidRPr="00624B7C">
        <w:rPr>
          <w:rFonts w:asciiTheme="minorHAnsi" w:hAnsiTheme="minorHAnsi" w:cstheme="minorHAnsi"/>
          <w:szCs w:val="24"/>
        </w:rPr>
        <w:tab/>
      </w:r>
      <w:r w:rsidRPr="00624B7C">
        <w:rPr>
          <w:rFonts w:asciiTheme="minorHAnsi" w:hAnsiTheme="minorHAnsi" w:cstheme="minorHAnsi"/>
          <w:szCs w:val="24"/>
        </w:rPr>
        <w:tab/>
      </w:r>
      <w:r w:rsidRPr="00624B7C">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 xml:space="preserve">           1,079 hours</w:t>
      </w:r>
    </w:p>
    <w:p w:rsidR="008C6751" w:rsidRPr="008C6751" w:rsidP="008C6751" w14:paraId="7CB0C2A6" w14:textId="77777777">
      <w:pPr>
        <w:tabs>
          <w:tab w:val="left" w:pos="-720"/>
        </w:tabs>
        <w:suppressAutoHyphens/>
        <w:ind w:left="720"/>
        <w:rPr>
          <w:rFonts w:asciiTheme="minorHAnsi" w:hAnsiTheme="minorHAnsi" w:cstheme="minorHAnsi"/>
          <w:szCs w:val="24"/>
        </w:rPr>
      </w:pPr>
    </w:p>
    <w:p w:rsidR="002E2D62" w14:paraId="4F8286E1" w14:textId="77777777">
      <w:pPr>
        <w:rPr>
          <w:rFonts w:asciiTheme="minorHAnsi" w:hAnsiTheme="minorHAnsi" w:cstheme="minorHAnsi"/>
          <w:szCs w:val="24"/>
        </w:rPr>
      </w:pPr>
      <w:r>
        <w:rPr>
          <w:rFonts w:asciiTheme="minorHAnsi" w:hAnsiTheme="minorHAnsi" w:cstheme="minorHAnsi"/>
          <w:szCs w:val="24"/>
        </w:rPr>
        <w:br w:type="page"/>
      </w:r>
    </w:p>
    <w:p w:rsidR="008C6751" w:rsidRPr="008C6751" w:rsidP="008C6751" w14:paraId="2428630D" w14:textId="3EE0C215">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 xml:space="preserve">Gathering data for and creating annual fire safety report – </w:t>
      </w:r>
    </w:p>
    <w:p w:rsidR="008C6751" w:rsidRPr="008C6751" w:rsidP="008C6751" w14:paraId="3C6CB03B"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p>
    <w:p w:rsidR="008C6751" w:rsidRPr="008C6751" w:rsidP="008C6751" w14:paraId="30B19E5A"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Responses</w:t>
      </w:r>
      <w:r w:rsidRPr="008C6751">
        <w:rPr>
          <w:rFonts w:asciiTheme="minorHAnsi" w:hAnsiTheme="minorHAnsi" w:cstheme="minorHAnsi"/>
          <w:szCs w:val="24"/>
          <w:u w:val="single"/>
        </w:rPr>
        <w:tab/>
        <w:t>Burden Hours</w:t>
      </w:r>
    </w:p>
    <w:p w:rsidR="008C6751" w:rsidRPr="008C6751" w:rsidP="008C6751" w14:paraId="2914B126"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Institutions:</w:t>
      </w:r>
    </w:p>
    <w:p w:rsidR="008C6751" w:rsidRPr="008C6751" w:rsidP="008C6751" w14:paraId="19DCB91A"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Public</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 xml:space="preserve">   841</w:t>
      </w:r>
      <w:r w:rsidRPr="008C6751">
        <w:rPr>
          <w:rFonts w:asciiTheme="minorHAnsi" w:hAnsiTheme="minorHAnsi" w:cstheme="minorHAnsi"/>
          <w:szCs w:val="24"/>
        </w:rPr>
        <w:tab/>
        <w:t xml:space="preserve">   X 1.5 hours = 1,262 hours</w:t>
      </w:r>
    </w:p>
    <w:p w:rsidR="008C6751" w:rsidRPr="008C6751" w:rsidP="008C6751" w14:paraId="43B5DA0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Private</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1,237</w:t>
      </w:r>
      <w:r w:rsidRPr="008C6751">
        <w:rPr>
          <w:rFonts w:asciiTheme="minorHAnsi" w:hAnsiTheme="minorHAnsi" w:cstheme="minorHAnsi"/>
          <w:szCs w:val="24"/>
        </w:rPr>
        <w:tab/>
        <w:t xml:space="preserve">   X 1.5 hours = 1,856 hours</w:t>
      </w:r>
    </w:p>
    <w:p w:rsidR="008C6751" w:rsidRPr="008C6751" w:rsidP="008C6751" w14:paraId="327B5375"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u w:val="single"/>
        </w:rPr>
        <w:t>Proprietary</w:t>
      </w:r>
      <w:r w:rsidRPr="008C6751">
        <w:rPr>
          <w:rFonts w:asciiTheme="minorHAnsi" w:hAnsiTheme="minorHAnsi" w:cstheme="minorHAnsi"/>
          <w:szCs w:val="24"/>
          <w:u w:val="single"/>
        </w:rPr>
        <w:tab/>
      </w:r>
      <w:r w:rsidRPr="008C6751">
        <w:rPr>
          <w:rFonts w:asciiTheme="minorHAnsi" w:hAnsiTheme="minorHAnsi" w:cstheme="minorHAnsi"/>
          <w:szCs w:val="24"/>
          <w:u w:val="single"/>
        </w:rPr>
        <w:tab/>
      </w:r>
      <w:r w:rsidRPr="008C6751">
        <w:rPr>
          <w:rFonts w:asciiTheme="minorHAnsi" w:hAnsiTheme="minorHAnsi" w:cstheme="minorHAnsi"/>
          <w:szCs w:val="24"/>
          <w:u w:val="single"/>
        </w:rPr>
        <w:tab/>
        <w:t>*</w:t>
      </w:r>
      <w:r w:rsidRPr="008C6751">
        <w:rPr>
          <w:rFonts w:asciiTheme="minorHAnsi" w:hAnsiTheme="minorHAnsi" w:cstheme="minorHAnsi"/>
          <w:szCs w:val="24"/>
          <w:u w:val="single"/>
        </w:rPr>
        <w:tab/>
      </w:r>
      <w:r w:rsidRPr="008C6751">
        <w:rPr>
          <w:rFonts w:asciiTheme="minorHAnsi" w:hAnsiTheme="minorHAnsi" w:cstheme="minorHAnsi"/>
          <w:szCs w:val="24"/>
          <w:u w:val="single"/>
        </w:rPr>
        <w:tab/>
        <w:t xml:space="preserve">     77</w:t>
      </w:r>
      <w:r w:rsidRPr="008C6751">
        <w:rPr>
          <w:rFonts w:asciiTheme="minorHAnsi" w:hAnsiTheme="minorHAnsi" w:cstheme="minorHAnsi"/>
          <w:szCs w:val="24"/>
          <w:u w:val="single"/>
        </w:rPr>
        <w:tab/>
        <w:t xml:space="preserve">   X 1.5 hours =    116 hours</w:t>
      </w:r>
    </w:p>
    <w:p w:rsidR="008C6751" w:rsidRPr="008C6751" w:rsidP="008C6751" w14:paraId="403D7975"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SUBTOTAL</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 xml:space="preserve">              3,234 hours</w:t>
      </w:r>
    </w:p>
    <w:p w:rsidR="008C6751" w:rsidRPr="008C6751" w:rsidP="008C6751" w14:paraId="11696210" w14:textId="77777777">
      <w:pPr>
        <w:tabs>
          <w:tab w:val="left" w:pos="-720"/>
        </w:tabs>
        <w:suppressAutoHyphens/>
        <w:ind w:left="720"/>
        <w:rPr>
          <w:rFonts w:asciiTheme="minorHAnsi" w:hAnsiTheme="minorHAnsi" w:cstheme="minorHAnsi"/>
          <w:szCs w:val="24"/>
        </w:rPr>
      </w:pPr>
    </w:p>
    <w:p w:rsidR="008C6751" w:rsidRPr="008C6751" w:rsidP="008C6751" w14:paraId="6EA17D50" w14:textId="77777777">
      <w:pPr>
        <w:pStyle w:val="ListParagraph"/>
        <w:tabs>
          <w:tab w:val="left" w:pos="-720"/>
        </w:tabs>
        <w:suppressAutoHyphens/>
        <w:rPr>
          <w:rFonts w:asciiTheme="minorHAnsi" w:hAnsiTheme="minorHAnsi" w:cstheme="minorHAnsi"/>
          <w:szCs w:val="24"/>
        </w:rPr>
      </w:pPr>
      <w:r w:rsidRPr="008C6751">
        <w:rPr>
          <w:rFonts w:asciiTheme="minorHAnsi" w:hAnsiTheme="minorHAnsi" w:cstheme="minorHAnsi"/>
          <w:szCs w:val="24"/>
        </w:rPr>
        <w:t xml:space="preserve"> *-The asterisk is used to avoid double counting the institutions in the universe of respondents.</w:t>
      </w:r>
    </w:p>
    <w:p w:rsidR="008C6751" w:rsidRPr="008C6751" w:rsidP="008C6751" w14:paraId="4451534F" w14:textId="77777777">
      <w:pPr>
        <w:pStyle w:val="ListParagraph"/>
        <w:tabs>
          <w:tab w:val="left" w:pos="-720"/>
        </w:tabs>
        <w:suppressAutoHyphens/>
        <w:rPr>
          <w:rFonts w:asciiTheme="minorHAnsi" w:hAnsiTheme="minorHAnsi" w:cstheme="minorHAnsi"/>
          <w:szCs w:val="24"/>
        </w:rPr>
      </w:pPr>
    </w:p>
    <w:p w:rsidR="008C6751" w:rsidRPr="008C6751" w:rsidP="008C6751" w14:paraId="7EF5D13E"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u w:val="single"/>
        </w:rPr>
        <w:t>Current Burden Inventory</w:t>
      </w:r>
      <w:r w:rsidRPr="008C6751">
        <w:rPr>
          <w:rFonts w:asciiTheme="minorHAnsi" w:hAnsiTheme="minorHAnsi" w:cstheme="minorHAnsi"/>
          <w:szCs w:val="24"/>
        </w:rPr>
        <w:t>:</w:t>
      </w:r>
    </w:p>
    <w:p w:rsidR="008C6751" w:rsidRPr="008C6751" w:rsidP="008C6751" w14:paraId="376925AB"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of</w:t>
      </w:r>
      <w:r w:rsidRPr="008C6751">
        <w:rPr>
          <w:rFonts w:asciiTheme="minorHAnsi" w:hAnsiTheme="minorHAnsi" w:cstheme="minorHAnsi"/>
          <w:szCs w:val="24"/>
        </w:rPr>
        <w:tab/>
      </w:r>
      <w:r w:rsidRPr="008C6751">
        <w:rPr>
          <w:rFonts w:asciiTheme="minorHAnsi" w:hAnsiTheme="minorHAnsi" w:cstheme="minorHAnsi"/>
          <w:szCs w:val="24"/>
        </w:rPr>
        <w:tab/>
        <w:t># of</w:t>
      </w:r>
    </w:p>
    <w:p w:rsidR="008C6751" w:rsidRPr="008C6751" w:rsidP="008C6751" w14:paraId="57D6EB8F"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 xml:space="preserve"> Responses</w:t>
      </w:r>
      <w:r w:rsidRPr="008C6751">
        <w:rPr>
          <w:rFonts w:asciiTheme="minorHAnsi" w:hAnsiTheme="minorHAnsi" w:cstheme="minorHAnsi"/>
          <w:szCs w:val="24"/>
          <w:u w:val="single"/>
        </w:rPr>
        <w:tab/>
        <w:t xml:space="preserve"> Burden Hours</w:t>
      </w:r>
    </w:p>
    <w:p w:rsidR="008C6751" w:rsidRPr="008C6751" w:rsidP="008C6751" w14:paraId="6B17B001" w14:textId="35B648EE">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w:t>
      </w:r>
      <w:r w:rsidRPr="00624B7C" w:rsidR="0071506F">
        <w:rPr>
          <w:rFonts w:asciiTheme="minorHAnsi" w:hAnsiTheme="minorHAnsi" w:cstheme="minorHAnsi"/>
          <w:szCs w:val="24"/>
        </w:rPr>
        <w:t>2,155</w:t>
      </w:r>
      <w:r w:rsidRPr="008C6751">
        <w:rPr>
          <w:rFonts w:asciiTheme="minorHAnsi" w:hAnsiTheme="minorHAnsi" w:cstheme="minorHAnsi"/>
          <w:szCs w:val="24"/>
        </w:rPr>
        <w:tab/>
      </w:r>
      <w:r w:rsidR="0071506F">
        <w:rPr>
          <w:rFonts w:asciiTheme="minorHAnsi" w:hAnsiTheme="minorHAnsi" w:cstheme="minorHAnsi"/>
          <w:szCs w:val="24"/>
        </w:rPr>
        <w:t>4,310</w:t>
      </w:r>
      <w:r w:rsidRPr="008C6751">
        <w:rPr>
          <w:rFonts w:asciiTheme="minorHAnsi" w:hAnsiTheme="minorHAnsi" w:cstheme="minorHAnsi"/>
          <w:szCs w:val="24"/>
        </w:rPr>
        <w:tab/>
      </w:r>
      <w:r w:rsidRPr="008C6751">
        <w:rPr>
          <w:rFonts w:asciiTheme="minorHAnsi" w:hAnsiTheme="minorHAnsi" w:cstheme="minorHAnsi"/>
          <w:szCs w:val="24"/>
        </w:rPr>
        <w:tab/>
        <w:t xml:space="preserve">   </w:t>
      </w:r>
      <w:r w:rsidR="0071506F">
        <w:rPr>
          <w:rFonts w:asciiTheme="minorHAnsi" w:hAnsiTheme="minorHAnsi" w:cstheme="minorHAnsi"/>
          <w:szCs w:val="24"/>
        </w:rPr>
        <w:t>4,313</w:t>
      </w:r>
    </w:p>
    <w:p w:rsidR="008C6751" w:rsidRPr="008C6751" w:rsidP="008C6751" w14:paraId="06C7F527" w14:textId="77777777">
      <w:pPr>
        <w:tabs>
          <w:tab w:val="left" w:pos="-720"/>
        </w:tabs>
        <w:suppressAutoHyphens/>
        <w:ind w:left="720"/>
        <w:rPr>
          <w:rFonts w:asciiTheme="minorHAnsi" w:hAnsiTheme="minorHAnsi" w:cstheme="minorHAnsi"/>
          <w:szCs w:val="24"/>
        </w:rPr>
      </w:pPr>
    </w:p>
    <w:p w:rsidR="00920F63" w:rsidRPr="008C6751" w:rsidP="00920F63" w14:paraId="64280E95" w14:textId="77777777">
      <w:pPr>
        <w:pStyle w:val="ListParagraph"/>
        <w:tabs>
          <w:tab w:val="left" w:pos="-720"/>
        </w:tabs>
        <w:suppressAutoHyphens/>
        <w:rPr>
          <w:rStyle w:val="a"/>
          <w:rFonts w:asciiTheme="minorHAnsi" w:hAnsiTheme="minorHAnsi" w:cstheme="minorHAnsi"/>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80" w:type="dxa"/>
        <w:tblLayout w:type="fixed"/>
        <w:tblLook w:val="0020"/>
      </w:tblPr>
      <w:tblGrid>
        <w:gridCol w:w="2425"/>
        <w:gridCol w:w="1530"/>
        <w:gridCol w:w="1260"/>
        <w:gridCol w:w="1080"/>
        <w:gridCol w:w="1260"/>
        <w:gridCol w:w="1825"/>
      </w:tblGrid>
      <w:tr w14:paraId="64280EAE" w14:textId="77777777" w:rsidTr="00294571">
        <w:tblPrEx>
          <w:tblW w:w="9380" w:type="dxa"/>
          <w:tblLayout w:type="fixed"/>
          <w:tblLook w:val="0020"/>
        </w:tblPrEx>
        <w:trPr>
          <w:tblHeader/>
        </w:trPr>
        <w:tc>
          <w:tcPr>
            <w:tcW w:w="2425" w:type="dxa"/>
          </w:tcPr>
          <w:p w:rsidR="002537A2"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530" w:type="dxa"/>
          </w:tcPr>
          <w:p w:rsidR="002537A2"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002537A2"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080" w:type="dxa"/>
          </w:tcPr>
          <w:p w:rsidR="002537A2"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2537A2"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25" w:type="dxa"/>
          </w:tcPr>
          <w:p w:rsidR="002537A2"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294571">
        <w:tblPrEx>
          <w:tblW w:w="9380" w:type="dxa"/>
          <w:tblLayout w:type="fixed"/>
          <w:tblLook w:val="0020"/>
        </w:tblPrEx>
        <w:tc>
          <w:tcPr>
            <w:tcW w:w="2425" w:type="dxa"/>
          </w:tcPr>
          <w:p w:rsidR="002537A2" w:rsidRPr="00AA5138" w:rsidP="00AA513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530" w:type="dxa"/>
          </w:tcPr>
          <w:p w:rsidR="002537A2" w:rsidRPr="00624B7C" w:rsidP="00294571" w14:paraId="64280EBC" w14:textId="3F9F8B26">
            <w:pPr>
              <w:jc w:val="right"/>
              <w:rPr>
                <w:rFonts w:asciiTheme="minorHAnsi" w:hAnsiTheme="minorHAnsi" w:cstheme="minorHAnsi"/>
                <w:szCs w:val="24"/>
              </w:rPr>
            </w:pPr>
            <w:r w:rsidRPr="00624B7C">
              <w:rPr>
                <w:rFonts w:asciiTheme="minorHAnsi" w:hAnsiTheme="minorHAnsi" w:cstheme="minorHAnsi"/>
                <w:szCs w:val="24"/>
              </w:rPr>
              <w:t>77</w:t>
            </w:r>
          </w:p>
        </w:tc>
        <w:tc>
          <w:tcPr>
            <w:tcW w:w="1260" w:type="dxa"/>
          </w:tcPr>
          <w:p w:rsidR="002537A2" w:rsidRPr="00624B7C" w:rsidP="00294571" w14:paraId="64280EBD" w14:textId="501BAA5D">
            <w:pPr>
              <w:jc w:val="right"/>
              <w:rPr>
                <w:rFonts w:asciiTheme="minorHAnsi" w:hAnsiTheme="minorHAnsi" w:cstheme="minorHAnsi"/>
                <w:szCs w:val="24"/>
              </w:rPr>
            </w:pPr>
            <w:r w:rsidRPr="00624B7C">
              <w:rPr>
                <w:rFonts w:asciiTheme="minorHAnsi" w:hAnsiTheme="minorHAnsi" w:cstheme="minorHAnsi"/>
                <w:szCs w:val="24"/>
              </w:rPr>
              <w:t>154</w:t>
            </w:r>
          </w:p>
        </w:tc>
        <w:tc>
          <w:tcPr>
            <w:tcW w:w="1080" w:type="dxa"/>
          </w:tcPr>
          <w:p w:rsidR="002537A2" w:rsidRPr="00AA5138" w:rsidP="00294571" w14:paraId="64280EBF" w14:textId="2C696CC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155</w:t>
            </w:r>
          </w:p>
        </w:tc>
        <w:tc>
          <w:tcPr>
            <w:tcW w:w="1260" w:type="dxa"/>
          </w:tcPr>
          <w:p w:rsidR="002537A2" w:rsidRPr="00AA5138" w:rsidP="00294571" w14:paraId="64280EC0" w14:textId="18CEEA94">
            <w:pPr>
              <w:jc w:val="right"/>
              <w:rPr>
                <w:rFonts w:asciiTheme="minorHAnsi" w:hAnsiTheme="minorHAnsi" w:cstheme="minorHAnsi"/>
                <w:szCs w:val="24"/>
              </w:rPr>
            </w:pPr>
            <w:r>
              <w:rPr>
                <w:rFonts w:asciiTheme="minorHAnsi" w:hAnsiTheme="minorHAnsi" w:cstheme="minorHAnsi"/>
                <w:szCs w:val="24"/>
              </w:rPr>
              <w:t>$</w:t>
            </w:r>
            <w:r>
              <w:rPr>
                <w:rFonts w:asciiTheme="minorHAnsi" w:hAnsiTheme="minorHAnsi" w:cstheme="minorHAnsi"/>
                <w:szCs w:val="24"/>
              </w:rPr>
              <w:t>44.41</w:t>
            </w:r>
          </w:p>
        </w:tc>
        <w:tc>
          <w:tcPr>
            <w:tcW w:w="1825" w:type="dxa"/>
          </w:tcPr>
          <w:p w:rsidR="00294571" w:rsidRPr="00AA5138" w:rsidP="00294571" w14:paraId="64280EC1" w14:textId="15006E4B">
            <w:pPr>
              <w:jc w:val="right"/>
              <w:rPr>
                <w:rFonts w:asciiTheme="minorHAnsi" w:hAnsiTheme="minorHAnsi" w:cstheme="minorHAnsi"/>
                <w:szCs w:val="24"/>
              </w:rPr>
            </w:pPr>
            <w:r>
              <w:rPr>
                <w:rFonts w:asciiTheme="minorHAnsi" w:hAnsiTheme="minorHAnsi" w:cstheme="minorHAnsi"/>
                <w:szCs w:val="24"/>
              </w:rPr>
              <w:t>$6,883.55</w:t>
            </w:r>
          </w:p>
        </w:tc>
      </w:tr>
      <w:tr w14:paraId="64280ECC" w14:textId="77777777" w:rsidTr="00294571">
        <w:tblPrEx>
          <w:tblW w:w="9380" w:type="dxa"/>
          <w:tblLayout w:type="fixed"/>
          <w:tblLook w:val="0020"/>
        </w:tblPrEx>
        <w:tc>
          <w:tcPr>
            <w:tcW w:w="2425" w:type="dxa"/>
          </w:tcPr>
          <w:p w:rsidR="002537A2" w:rsidRPr="00AA5138" w:rsidP="00AA513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530" w:type="dxa"/>
          </w:tcPr>
          <w:p w:rsidR="002537A2" w:rsidRPr="00624B7C" w:rsidP="00294571" w14:paraId="64280EC6" w14:textId="32881ABC">
            <w:pPr>
              <w:jc w:val="right"/>
              <w:rPr>
                <w:rFonts w:asciiTheme="minorHAnsi" w:hAnsiTheme="minorHAnsi" w:cstheme="minorHAnsi"/>
                <w:szCs w:val="24"/>
              </w:rPr>
            </w:pPr>
            <w:r w:rsidRPr="00624B7C">
              <w:rPr>
                <w:rFonts w:asciiTheme="minorHAnsi" w:hAnsiTheme="minorHAnsi" w:cstheme="minorHAnsi"/>
                <w:szCs w:val="24"/>
              </w:rPr>
              <w:t>1,237</w:t>
            </w:r>
          </w:p>
        </w:tc>
        <w:tc>
          <w:tcPr>
            <w:tcW w:w="1260" w:type="dxa"/>
          </w:tcPr>
          <w:p w:rsidR="002537A2" w:rsidRPr="00624B7C" w:rsidP="00294571" w14:paraId="64280EC7" w14:textId="0906D503">
            <w:pPr>
              <w:jc w:val="right"/>
              <w:rPr>
                <w:rFonts w:asciiTheme="minorHAnsi" w:hAnsiTheme="minorHAnsi" w:cstheme="minorHAnsi"/>
                <w:szCs w:val="24"/>
              </w:rPr>
            </w:pPr>
            <w:r w:rsidRPr="00624B7C">
              <w:rPr>
                <w:rFonts w:asciiTheme="minorHAnsi" w:hAnsiTheme="minorHAnsi" w:cstheme="minorHAnsi"/>
                <w:szCs w:val="24"/>
              </w:rPr>
              <w:t>2,474</w:t>
            </w:r>
          </w:p>
        </w:tc>
        <w:tc>
          <w:tcPr>
            <w:tcW w:w="1080" w:type="dxa"/>
          </w:tcPr>
          <w:p w:rsidR="002537A2" w:rsidRPr="00AA5138" w:rsidP="00294571" w14:paraId="64280EC9" w14:textId="737A906C">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2,475</w:t>
            </w:r>
          </w:p>
        </w:tc>
        <w:tc>
          <w:tcPr>
            <w:tcW w:w="1260" w:type="dxa"/>
          </w:tcPr>
          <w:p w:rsidR="002537A2" w:rsidRPr="00AA5138" w:rsidP="00294571" w14:paraId="64280ECA" w14:textId="5509E364">
            <w:pPr>
              <w:jc w:val="right"/>
              <w:rPr>
                <w:rFonts w:asciiTheme="minorHAnsi" w:hAnsiTheme="minorHAnsi" w:cstheme="minorHAnsi"/>
                <w:szCs w:val="24"/>
              </w:rPr>
            </w:pPr>
            <w:r>
              <w:rPr>
                <w:rFonts w:asciiTheme="minorHAnsi" w:hAnsiTheme="minorHAnsi" w:cstheme="minorHAnsi"/>
                <w:szCs w:val="24"/>
              </w:rPr>
              <w:t>$44.41</w:t>
            </w:r>
          </w:p>
        </w:tc>
        <w:tc>
          <w:tcPr>
            <w:tcW w:w="1825" w:type="dxa"/>
          </w:tcPr>
          <w:p w:rsidR="002537A2" w:rsidRPr="00AA5138" w:rsidP="00294571" w14:paraId="64280ECB" w14:textId="1C266542">
            <w:pPr>
              <w:jc w:val="right"/>
              <w:rPr>
                <w:rFonts w:asciiTheme="minorHAnsi" w:hAnsiTheme="minorHAnsi" w:cstheme="minorHAnsi"/>
                <w:szCs w:val="24"/>
              </w:rPr>
            </w:pPr>
            <w:r>
              <w:rPr>
                <w:rFonts w:asciiTheme="minorHAnsi" w:hAnsiTheme="minorHAnsi" w:cstheme="minorHAnsi"/>
                <w:szCs w:val="24"/>
              </w:rPr>
              <w:t>$109,914.75</w:t>
            </w:r>
          </w:p>
        </w:tc>
      </w:tr>
      <w:tr w14:paraId="64280ED6" w14:textId="77777777" w:rsidTr="00294571">
        <w:tblPrEx>
          <w:tblW w:w="9380" w:type="dxa"/>
          <w:tblLayout w:type="fixed"/>
          <w:tblLook w:val="0020"/>
        </w:tblPrEx>
        <w:tc>
          <w:tcPr>
            <w:tcW w:w="2425" w:type="dxa"/>
          </w:tcPr>
          <w:p w:rsidR="002537A2"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530" w:type="dxa"/>
          </w:tcPr>
          <w:p w:rsidR="002537A2" w:rsidRPr="00624B7C" w:rsidP="00294571" w14:paraId="64280ED0" w14:textId="0BB468BB">
            <w:pPr>
              <w:jc w:val="right"/>
              <w:rPr>
                <w:rFonts w:asciiTheme="minorHAnsi" w:hAnsiTheme="minorHAnsi" w:cstheme="minorHAnsi"/>
                <w:szCs w:val="24"/>
              </w:rPr>
            </w:pPr>
            <w:r w:rsidRPr="00624B7C">
              <w:rPr>
                <w:rFonts w:asciiTheme="minorHAnsi" w:hAnsiTheme="minorHAnsi" w:cstheme="minorHAnsi"/>
                <w:szCs w:val="24"/>
              </w:rPr>
              <w:t>841</w:t>
            </w:r>
          </w:p>
        </w:tc>
        <w:tc>
          <w:tcPr>
            <w:tcW w:w="1260" w:type="dxa"/>
          </w:tcPr>
          <w:p w:rsidR="002537A2" w:rsidRPr="00624B7C" w:rsidP="00294571" w14:paraId="64280ED1" w14:textId="517DEFF5">
            <w:pPr>
              <w:jc w:val="right"/>
              <w:rPr>
                <w:rFonts w:asciiTheme="minorHAnsi" w:hAnsiTheme="minorHAnsi" w:cstheme="minorHAnsi"/>
                <w:szCs w:val="24"/>
              </w:rPr>
            </w:pPr>
            <w:r w:rsidRPr="00624B7C">
              <w:rPr>
                <w:rFonts w:asciiTheme="minorHAnsi" w:hAnsiTheme="minorHAnsi" w:cstheme="minorHAnsi"/>
                <w:szCs w:val="24"/>
              </w:rPr>
              <w:t>1,682</w:t>
            </w:r>
          </w:p>
        </w:tc>
        <w:tc>
          <w:tcPr>
            <w:tcW w:w="1080" w:type="dxa"/>
          </w:tcPr>
          <w:p w:rsidR="002537A2" w:rsidRPr="00AA5138" w:rsidP="00294571" w14:paraId="64280ED3" w14:textId="676B674A">
            <w:pPr>
              <w:jc w:val="right"/>
              <w:rPr>
                <w:rFonts w:asciiTheme="minorHAnsi" w:hAnsiTheme="minorHAnsi" w:cstheme="minorHAnsi"/>
                <w:szCs w:val="24"/>
              </w:rPr>
            </w:pPr>
            <w:r>
              <w:rPr>
                <w:rFonts w:asciiTheme="minorHAnsi" w:hAnsiTheme="minorHAnsi" w:cstheme="minorHAnsi"/>
                <w:szCs w:val="24"/>
              </w:rPr>
              <w:t>1,683</w:t>
            </w:r>
          </w:p>
        </w:tc>
        <w:tc>
          <w:tcPr>
            <w:tcW w:w="1260" w:type="dxa"/>
          </w:tcPr>
          <w:p w:rsidR="002537A2" w:rsidRPr="00AA5138" w:rsidP="00294571" w14:paraId="64280ED4" w14:textId="318C175E">
            <w:pPr>
              <w:jc w:val="right"/>
              <w:rPr>
                <w:rFonts w:asciiTheme="minorHAnsi" w:hAnsiTheme="minorHAnsi" w:cstheme="minorHAnsi"/>
                <w:szCs w:val="24"/>
              </w:rPr>
            </w:pPr>
            <w:r>
              <w:rPr>
                <w:rFonts w:asciiTheme="minorHAnsi" w:hAnsiTheme="minorHAnsi" w:cstheme="minorHAnsi"/>
                <w:szCs w:val="24"/>
              </w:rPr>
              <w:t>$44.41</w:t>
            </w:r>
          </w:p>
        </w:tc>
        <w:tc>
          <w:tcPr>
            <w:tcW w:w="1825" w:type="dxa"/>
          </w:tcPr>
          <w:p w:rsidR="00294571" w:rsidRPr="00AA5138" w:rsidP="00294571" w14:paraId="64280ED5" w14:textId="30982338">
            <w:pPr>
              <w:jc w:val="right"/>
              <w:rPr>
                <w:rFonts w:asciiTheme="minorHAnsi" w:hAnsiTheme="minorHAnsi" w:cstheme="minorHAnsi"/>
                <w:szCs w:val="24"/>
              </w:rPr>
            </w:pPr>
            <w:r>
              <w:rPr>
                <w:rFonts w:asciiTheme="minorHAnsi" w:hAnsiTheme="minorHAnsi" w:cstheme="minorHAnsi"/>
                <w:szCs w:val="24"/>
              </w:rPr>
              <w:t>$74,742.03</w:t>
            </w:r>
          </w:p>
        </w:tc>
      </w:tr>
      <w:tr w14:paraId="64280EE0" w14:textId="77777777" w:rsidTr="00294571">
        <w:tblPrEx>
          <w:tblW w:w="9380" w:type="dxa"/>
          <w:tblLayout w:type="fixed"/>
          <w:tblLook w:val="0020"/>
        </w:tblPrEx>
        <w:tc>
          <w:tcPr>
            <w:tcW w:w="2425" w:type="dxa"/>
          </w:tcPr>
          <w:p w:rsidR="002537A2"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530" w:type="dxa"/>
          </w:tcPr>
          <w:p w:rsidR="002537A2" w:rsidRPr="00624B7C" w:rsidP="00294571" w14:paraId="64280EDA" w14:textId="77205F32">
            <w:pPr>
              <w:jc w:val="right"/>
              <w:rPr>
                <w:rFonts w:asciiTheme="minorHAnsi" w:hAnsiTheme="minorHAnsi" w:cstheme="minorHAnsi"/>
                <w:b/>
                <w:bCs/>
                <w:szCs w:val="24"/>
              </w:rPr>
            </w:pPr>
            <w:r w:rsidRPr="00624B7C">
              <w:rPr>
                <w:rFonts w:asciiTheme="minorHAnsi" w:hAnsiTheme="minorHAnsi" w:cstheme="minorHAnsi"/>
                <w:b/>
                <w:bCs/>
                <w:szCs w:val="24"/>
              </w:rPr>
              <w:t>2,155</w:t>
            </w:r>
          </w:p>
        </w:tc>
        <w:tc>
          <w:tcPr>
            <w:tcW w:w="1260" w:type="dxa"/>
          </w:tcPr>
          <w:p w:rsidR="002537A2" w:rsidRPr="00624B7C" w:rsidP="00294571" w14:paraId="64280EDB" w14:textId="183CE470">
            <w:pPr>
              <w:jc w:val="right"/>
              <w:rPr>
                <w:rFonts w:asciiTheme="minorHAnsi" w:hAnsiTheme="minorHAnsi" w:cstheme="minorHAnsi"/>
                <w:b/>
                <w:bCs/>
                <w:szCs w:val="24"/>
              </w:rPr>
            </w:pPr>
            <w:r w:rsidRPr="00624B7C">
              <w:rPr>
                <w:rFonts w:asciiTheme="minorHAnsi" w:hAnsiTheme="minorHAnsi" w:cstheme="minorHAnsi"/>
                <w:b/>
                <w:bCs/>
                <w:szCs w:val="24"/>
              </w:rPr>
              <w:t>4,310</w:t>
            </w:r>
          </w:p>
        </w:tc>
        <w:tc>
          <w:tcPr>
            <w:tcW w:w="1080" w:type="dxa"/>
          </w:tcPr>
          <w:p w:rsidR="002537A2" w:rsidRPr="00AA5138" w:rsidP="00294571" w14:paraId="64280EDD" w14:textId="1238C668">
            <w:pPr>
              <w:jc w:val="right"/>
              <w:rPr>
                <w:rFonts w:asciiTheme="minorHAnsi" w:hAnsiTheme="minorHAnsi" w:cstheme="minorHAnsi"/>
                <w:b/>
                <w:bCs/>
                <w:szCs w:val="24"/>
              </w:rPr>
            </w:pPr>
            <w:r>
              <w:rPr>
                <w:rFonts w:asciiTheme="minorHAnsi" w:hAnsiTheme="minorHAnsi" w:cstheme="minorHAnsi"/>
                <w:b/>
                <w:bCs/>
                <w:szCs w:val="24"/>
              </w:rPr>
              <w:t>4,313</w:t>
            </w:r>
          </w:p>
        </w:tc>
        <w:tc>
          <w:tcPr>
            <w:tcW w:w="1260" w:type="dxa"/>
          </w:tcPr>
          <w:p w:rsidR="002537A2" w:rsidRPr="00AA5138" w:rsidP="00294571" w14:paraId="64280EDE" w14:textId="77777777">
            <w:pPr>
              <w:jc w:val="right"/>
              <w:rPr>
                <w:rFonts w:asciiTheme="minorHAnsi" w:hAnsiTheme="minorHAnsi" w:cstheme="minorHAnsi"/>
                <w:b/>
                <w:bCs/>
                <w:szCs w:val="24"/>
              </w:rPr>
            </w:pPr>
          </w:p>
        </w:tc>
        <w:tc>
          <w:tcPr>
            <w:tcW w:w="1825" w:type="dxa"/>
          </w:tcPr>
          <w:p w:rsidR="002537A2" w:rsidRPr="00AA5138" w:rsidP="00294571" w14:paraId="64280EDF" w14:textId="4B97C78B">
            <w:pPr>
              <w:jc w:val="right"/>
              <w:rPr>
                <w:rFonts w:asciiTheme="minorHAnsi" w:hAnsiTheme="minorHAnsi" w:cstheme="minorHAnsi"/>
                <w:b/>
                <w:bCs/>
                <w:szCs w:val="24"/>
              </w:rPr>
            </w:pPr>
            <w:r>
              <w:rPr>
                <w:rFonts w:asciiTheme="minorHAnsi" w:hAnsiTheme="minorHAnsi" w:cstheme="minorHAnsi"/>
                <w:b/>
                <w:bCs/>
                <w:szCs w:val="24"/>
              </w:rPr>
              <w:t>$191,540.33</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48CEE338">
      <w:pPr>
        <w:tabs>
          <w:tab w:val="left" w:pos="-720"/>
        </w:tabs>
        <w:suppressAutoHyphens/>
        <w:rPr>
          <w:rFonts w:ascii="Times New Roman" w:hAnsi="Times New Roman"/>
          <w:szCs w:val="24"/>
        </w:rPr>
      </w:pPr>
    </w:p>
    <w:p w:rsidR="008C6751" w:rsidRPr="008C6751" w:rsidP="008C6751" w14:paraId="29D2BFFD"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There are no additional cost burdens associated with this collection other than those listed at the end of item 12.</w:t>
      </w:r>
    </w:p>
    <w:p w:rsidR="008C6751" w:rsidP="00AD381B" w14:paraId="79A0D330"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C6751" w:rsidRPr="008C6751" w:rsidP="008C6751" w14:paraId="1279ED6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There is no system start-up costs associated with these proposed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77777777">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77777777">
            <w:pPr>
              <w:tabs>
                <w:tab w:val="left" w:pos="-720"/>
              </w:tabs>
              <w:suppressAutoHyphens/>
              <w:rPr>
                <w:rFonts w:ascii="Times New Roman" w:hAnsi="Times New Roman"/>
                <w:b/>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31163" w:rsidRPr="008C6751" w:rsidP="00B31163" w14:paraId="78D5DC0B" w14:textId="58740C15">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This request is to extend</w:t>
      </w:r>
      <w:r>
        <w:rPr>
          <w:rFonts w:asciiTheme="minorHAnsi" w:hAnsiTheme="minorHAnsi" w:cstheme="minorHAnsi"/>
          <w:szCs w:val="24"/>
        </w:rPr>
        <w:t xml:space="preserve"> </w:t>
      </w:r>
      <w:r w:rsidRPr="00396343">
        <w:rPr>
          <w:rFonts w:asciiTheme="minorHAnsi" w:hAnsiTheme="minorHAnsi" w:cstheme="minorHAnsi"/>
          <w:szCs w:val="24"/>
        </w:rPr>
        <w:t xml:space="preserve">the current information collection.  There has been no revision to the regulations regarding the specific fire safety reports.  </w:t>
      </w:r>
      <w:r w:rsidR="00367658">
        <w:rPr>
          <w:rFonts w:asciiTheme="minorHAnsi" w:hAnsiTheme="minorHAnsi" w:cstheme="minorHAnsi"/>
          <w:szCs w:val="24"/>
        </w:rPr>
        <w:t>We</w:t>
      </w:r>
      <w:r>
        <w:rPr>
          <w:rFonts w:asciiTheme="minorHAnsi" w:hAnsiTheme="minorHAnsi" w:cstheme="minorHAnsi"/>
          <w:szCs w:val="24"/>
        </w:rPr>
        <w:t xml:space="preserve"> continue to </w:t>
      </w:r>
      <w:r w:rsidRPr="008C6751">
        <w:rPr>
          <w:rFonts w:asciiTheme="minorHAnsi" w:hAnsiTheme="minorHAnsi" w:cstheme="minorHAnsi"/>
          <w:szCs w:val="24"/>
        </w:rPr>
        <w:t xml:space="preserve">estimate the hours required for institutions with on-campus housing to meet the regulatory requirements to report this fire safety information will be approximately </w:t>
      </w:r>
      <w:r w:rsidRPr="00624B7C">
        <w:rPr>
          <w:rFonts w:asciiTheme="minorHAnsi" w:hAnsiTheme="minorHAnsi" w:cstheme="minorHAnsi"/>
          <w:szCs w:val="24"/>
        </w:rPr>
        <w:t>4,313 hours for the 2,155 institution annually.</w:t>
      </w:r>
    </w:p>
    <w:p w:rsidR="008C6751" w:rsidRPr="00396343" w:rsidP="008C6751" w14:paraId="0C36B8C8" w14:textId="3F679618">
      <w:pPr>
        <w:tabs>
          <w:tab w:val="left" w:pos="-720"/>
        </w:tabs>
        <w:suppressAutoHyphens/>
        <w:ind w:left="720"/>
        <w:rPr>
          <w:rFonts w:asciiTheme="minorHAnsi" w:hAnsiTheme="minorHAnsi" w:cstheme="minorHAnsi"/>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C6751" w:rsidRPr="00396343" w:rsidP="008C6751" w14:paraId="680B65F3" w14:textId="77777777">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This information is required under statute and regulation to be reported to the general public and Congressional committees or subcommittees.</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C6751" w:rsidRPr="00396343" w:rsidP="008C6751" w14:paraId="6E75F4EF" w14:textId="77777777">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C6751" w:rsidRPr="00396343" w:rsidP="008C6751" w14:paraId="1BDF0772" w14:textId="77777777">
      <w:pPr>
        <w:tabs>
          <w:tab w:val="left" w:pos="-720"/>
        </w:tabs>
        <w:suppressAutoHyphens/>
        <w:ind w:left="720"/>
        <w:rPr>
          <w:rFonts w:asciiTheme="minorHAnsi" w:hAnsiTheme="minorHAnsi" w:cstheme="minorHAnsi"/>
          <w:szCs w:val="24"/>
        </w:rPr>
      </w:pPr>
      <w:r w:rsidRPr="00396343">
        <w:rPr>
          <w:rStyle w:val="a"/>
          <w:rFonts w:asciiTheme="minorHAnsi" w:hAnsiTheme="minorHAnsi" w:cstheme="minorHAnsi"/>
        </w:rPr>
        <w:t>The Department is not requesting any exceptions to the “Certification for Paperwork Reduction Act Submissions” of OMB Form 83-1.</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A1C" w14:paraId="64280F18" w14:textId="77777777">
    <w:pPr>
      <w:spacing w:before="140" w:line="100" w:lineRule="exact"/>
      <w:rPr>
        <w:sz w:val="10"/>
      </w:rPr>
    </w:pPr>
  </w:p>
  <w:p w:rsidR="00F63A1C" w14:paraId="64280F19" w14:textId="77777777">
    <w:pPr>
      <w:tabs>
        <w:tab w:val="left" w:pos="0"/>
      </w:tabs>
      <w:suppressAutoHyphens/>
    </w:pPr>
  </w:p>
  <w:p w:rsidR="00F63A1C"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63A1C"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63A1C"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0521AD5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77D9C">
      <w:rPr>
        <w:rFonts w:ascii="Times New Roman" w:hAnsi="Times New Roman"/>
        <w:szCs w:val="24"/>
      </w:rPr>
      <w:t>1845</w:t>
    </w:r>
    <w:r w:rsidRPr="00C875E8">
      <w:rPr>
        <w:rFonts w:ascii="Times New Roman" w:hAnsi="Times New Roman"/>
        <w:szCs w:val="24"/>
      </w:rPr>
      <w:t>-</w:t>
    </w:r>
    <w:r w:rsidR="00277D9C">
      <w:rPr>
        <w:rFonts w:ascii="Times New Roman" w:hAnsi="Times New Roman"/>
        <w:szCs w:val="24"/>
      </w:rPr>
      <w:t>0097</w:t>
    </w:r>
    <w:r w:rsidR="00CF7918">
      <w:rPr>
        <w:rFonts w:ascii="Times New Roman" w:hAnsi="Times New Roman"/>
        <w:szCs w:val="24"/>
      </w:rPr>
      <w:t xml:space="preserve">     </w:t>
    </w:r>
    <w:r w:rsidR="00E22FD3">
      <w:rPr>
        <w:rFonts w:ascii="Times New Roman" w:hAnsi="Times New Roman"/>
        <w:szCs w:val="24"/>
      </w:rPr>
      <w:tab/>
    </w:r>
    <w:r w:rsidRPr="00C875E8">
      <w:rPr>
        <w:rFonts w:ascii="Times New Roman" w:hAnsi="Times New Roman"/>
        <w:szCs w:val="24"/>
      </w:rPr>
      <w:t xml:space="preserve">Revised: </w:t>
    </w:r>
    <w:r w:rsidR="00B31163">
      <w:rPr>
        <w:rFonts w:ascii="Times New Roman" w:hAnsi="Times New Roman"/>
        <w:szCs w:val="24"/>
      </w:rPr>
      <w:t>1</w:t>
    </w:r>
    <w:r w:rsidR="00624B7C">
      <w:rPr>
        <w:rFonts w:ascii="Times New Roman" w:hAnsi="Times New Roman"/>
        <w:szCs w:val="24"/>
      </w:rPr>
      <w:t>/</w:t>
    </w:r>
    <w:r w:rsidR="00CF24BD">
      <w:rPr>
        <w:rFonts w:ascii="Times New Roman" w:hAnsi="Times New Roman"/>
        <w:szCs w:val="24"/>
      </w:rPr>
      <w:t>8</w:t>
    </w:r>
    <w:r w:rsidRPr="00C875E8">
      <w:rPr>
        <w:rFonts w:ascii="Times New Roman" w:hAnsi="Times New Roman"/>
        <w:szCs w:val="24"/>
      </w:rPr>
      <w:t>/</w:t>
    </w:r>
    <w:r w:rsidR="00277D9C">
      <w:rPr>
        <w:rFonts w:ascii="Times New Roman" w:hAnsi="Times New Roman"/>
        <w:szCs w:val="24"/>
      </w:rPr>
      <w:t>202</w:t>
    </w:r>
    <w:r w:rsidR="00CF24BD">
      <w:rPr>
        <w:rFonts w:ascii="Times New Roman" w:hAnsi="Times New Roman"/>
        <w:szCs w:val="24"/>
      </w:rPr>
      <w:t>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3273170">
    <w:abstractNumId w:val="0"/>
  </w:num>
  <w:num w:numId="2" w16cid:durableId="428166049">
    <w:abstractNumId w:val="2"/>
  </w:num>
  <w:num w:numId="3" w16cid:durableId="722026145">
    <w:abstractNumId w:val="1"/>
  </w:num>
  <w:num w:numId="4" w16cid:durableId="1617054310">
    <w:abstractNumId w:val="3"/>
  </w:num>
  <w:num w:numId="5" w16cid:durableId="160977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51D64"/>
    <w:rsid w:val="001824F3"/>
    <w:rsid w:val="001A6AE0"/>
    <w:rsid w:val="001C73C0"/>
    <w:rsid w:val="001E79BD"/>
    <w:rsid w:val="002225CC"/>
    <w:rsid w:val="00224A3B"/>
    <w:rsid w:val="00240A39"/>
    <w:rsid w:val="00246FE9"/>
    <w:rsid w:val="00250100"/>
    <w:rsid w:val="002537A2"/>
    <w:rsid w:val="00262A69"/>
    <w:rsid w:val="00270AF7"/>
    <w:rsid w:val="00277D9C"/>
    <w:rsid w:val="00294571"/>
    <w:rsid w:val="002A3221"/>
    <w:rsid w:val="002C3520"/>
    <w:rsid w:val="002E14E0"/>
    <w:rsid w:val="002E2D62"/>
    <w:rsid w:val="002F55E5"/>
    <w:rsid w:val="0032078A"/>
    <w:rsid w:val="0032539E"/>
    <w:rsid w:val="00367658"/>
    <w:rsid w:val="003860E4"/>
    <w:rsid w:val="00396343"/>
    <w:rsid w:val="003B1545"/>
    <w:rsid w:val="00412915"/>
    <w:rsid w:val="00442E07"/>
    <w:rsid w:val="0052073E"/>
    <w:rsid w:val="00534B4A"/>
    <w:rsid w:val="00575DDA"/>
    <w:rsid w:val="00581C11"/>
    <w:rsid w:val="005F4E11"/>
    <w:rsid w:val="00624B7C"/>
    <w:rsid w:val="0068567A"/>
    <w:rsid w:val="006A292A"/>
    <w:rsid w:val="006A38F7"/>
    <w:rsid w:val="006A4EBB"/>
    <w:rsid w:val="006B4172"/>
    <w:rsid w:val="006F273D"/>
    <w:rsid w:val="00713B69"/>
    <w:rsid w:val="0071506F"/>
    <w:rsid w:val="00755D99"/>
    <w:rsid w:val="00756FD3"/>
    <w:rsid w:val="00765392"/>
    <w:rsid w:val="00790E3E"/>
    <w:rsid w:val="00796BCE"/>
    <w:rsid w:val="007C0A4C"/>
    <w:rsid w:val="007F6104"/>
    <w:rsid w:val="00800D30"/>
    <w:rsid w:val="00807D1A"/>
    <w:rsid w:val="00834A62"/>
    <w:rsid w:val="00874EFE"/>
    <w:rsid w:val="00882126"/>
    <w:rsid w:val="008933F1"/>
    <w:rsid w:val="008C675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152F"/>
    <w:rsid w:val="00A73590"/>
    <w:rsid w:val="00A7636D"/>
    <w:rsid w:val="00A9138E"/>
    <w:rsid w:val="00AA5138"/>
    <w:rsid w:val="00AC1C89"/>
    <w:rsid w:val="00AD381B"/>
    <w:rsid w:val="00AE734D"/>
    <w:rsid w:val="00AF5B5B"/>
    <w:rsid w:val="00AF5D1A"/>
    <w:rsid w:val="00AF6535"/>
    <w:rsid w:val="00B017F9"/>
    <w:rsid w:val="00B07213"/>
    <w:rsid w:val="00B10A05"/>
    <w:rsid w:val="00B31163"/>
    <w:rsid w:val="00B54167"/>
    <w:rsid w:val="00B62E06"/>
    <w:rsid w:val="00B64B1D"/>
    <w:rsid w:val="00B9671B"/>
    <w:rsid w:val="00BA1D31"/>
    <w:rsid w:val="00BC1A67"/>
    <w:rsid w:val="00C164D3"/>
    <w:rsid w:val="00C20670"/>
    <w:rsid w:val="00C224FD"/>
    <w:rsid w:val="00C86713"/>
    <w:rsid w:val="00C875E8"/>
    <w:rsid w:val="00C92035"/>
    <w:rsid w:val="00CA5D3D"/>
    <w:rsid w:val="00CC2A72"/>
    <w:rsid w:val="00CC3FB5"/>
    <w:rsid w:val="00CD2067"/>
    <w:rsid w:val="00CD47BC"/>
    <w:rsid w:val="00CF24BD"/>
    <w:rsid w:val="00CF7918"/>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4648B"/>
    <w:rsid w:val="00F5782B"/>
    <w:rsid w:val="00F63A1C"/>
    <w:rsid w:val="00F66185"/>
    <w:rsid w:val="00F73131"/>
    <w:rsid w:val="00F74288"/>
    <w:rsid w:val="00F94386"/>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e.ed.gov/campus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2025-01-08T18:05:00Z</dcterms:created>
  <dcterms:modified xsi:type="dcterms:W3CDTF">2025-01-08T18:05:00Z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