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E6999" w:rsidRPr="00C0663C" w:rsidP="005471A1" w14:paraId="118877A4" w14:textId="77777777">
      <w:pPr>
        <w:widowControl w:val="0"/>
        <w:tabs>
          <w:tab w:val="center" w:pos="4680"/>
        </w:tabs>
        <w:jc w:val="center"/>
        <w:rPr>
          <w:b/>
        </w:rPr>
      </w:pPr>
      <w:r w:rsidRPr="00C0663C">
        <w:rPr>
          <w:b/>
        </w:rPr>
        <w:t>Department of Commerce</w:t>
      </w:r>
    </w:p>
    <w:p w:rsidR="004E6999" w:rsidRPr="00C0663C" w:rsidP="00616447" w14:paraId="3B62928A" w14:textId="77777777">
      <w:pPr>
        <w:widowControl w:val="0"/>
        <w:tabs>
          <w:tab w:val="center" w:pos="4680"/>
        </w:tabs>
        <w:jc w:val="center"/>
        <w:rPr>
          <w:b/>
        </w:rPr>
      </w:pPr>
      <w:r w:rsidRPr="00C0663C">
        <w:rPr>
          <w:b/>
        </w:rPr>
        <w:t>U</w:t>
      </w:r>
      <w:r w:rsidR="00006EA0">
        <w:rPr>
          <w:b/>
        </w:rPr>
        <w:t>.S.</w:t>
      </w:r>
      <w:r w:rsidRPr="00C0663C">
        <w:rPr>
          <w:b/>
        </w:rPr>
        <w:t xml:space="preserve"> Census Bureau</w:t>
      </w:r>
    </w:p>
    <w:p w:rsidR="0017334C" w:rsidRPr="00C0663C" w:rsidP="00616447" w14:paraId="4F9C884E" w14:textId="77777777">
      <w:pPr>
        <w:widowControl w:val="0"/>
        <w:tabs>
          <w:tab w:val="center" w:pos="4680"/>
        </w:tabs>
        <w:jc w:val="center"/>
        <w:rPr>
          <w:b/>
        </w:rPr>
      </w:pPr>
      <w:r w:rsidRPr="00C0663C">
        <w:rPr>
          <w:b/>
        </w:rPr>
        <w:t>OMB Information Collection Request</w:t>
      </w:r>
    </w:p>
    <w:p w:rsidR="004E6999" w:rsidRPr="00C0663C" w:rsidP="00616447" w14:paraId="4325FFD0" w14:textId="77777777">
      <w:pPr>
        <w:widowControl w:val="0"/>
        <w:tabs>
          <w:tab w:val="center" w:pos="4680"/>
        </w:tabs>
        <w:jc w:val="center"/>
        <w:rPr>
          <w:b/>
        </w:rPr>
      </w:pPr>
      <w:r w:rsidRPr="00C0663C">
        <w:rPr>
          <w:b/>
        </w:rPr>
        <w:t>Construction Progress Reporting Surveys</w:t>
      </w:r>
    </w:p>
    <w:p w:rsidR="004E6999" w:rsidRPr="00C0663C" w:rsidP="00616447" w14:paraId="23D3A27C" w14:textId="77777777">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C0663C">
        <w:rPr>
          <w:b/>
        </w:rPr>
        <w:t>OMB Control Number 0607-0153</w:t>
      </w:r>
    </w:p>
    <w:p w:rsidR="004E6999" w14:paraId="090D334F" w14:textId="77777777">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006EA0" w:rsidP="00006EA0" w14:paraId="5A762362" w14:textId="77777777">
      <w:pPr>
        <w:widowControl w:val="0"/>
        <w:tabs>
          <w:tab w:val="left" w:pos="-1080"/>
          <w:tab w:val="left" w:pos="-720"/>
          <w:tab w:val="left" w:pos="-36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E6999" w:rsidRPr="00006EA0" w:rsidP="00006EA0" w14:paraId="01383D99" w14:textId="77777777">
      <w:pPr>
        <w:widowControl w:val="0"/>
        <w:tabs>
          <w:tab w:val="left" w:pos="-1080"/>
          <w:tab w:val="left" w:pos="-720"/>
          <w:tab w:val="left" w:pos="-36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C0663C">
        <w:rPr>
          <w:b/>
        </w:rPr>
        <w:t>Part B</w:t>
      </w:r>
      <w:r>
        <w:t xml:space="preserve">. </w:t>
      </w:r>
      <w:r w:rsidR="0017347A">
        <w:t>–</w:t>
      </w:r>
      <w:r>
        <w:t xml:space="preserve"> </w:t>
      </w:r>
      <w:r w:rsidRPr="00006EA0">
        <w:rPr>
          <w:b/>
        </w:rPr>
        <w:t>Collections</w:t>
      </w:r>
      <w:r w:rsidRPr="00006EA0" w:rsidR="0017347A">
        <w:rPr>
          <w:b/>
        </w:rPr>
        <w:t xml:space="preserve"> </w:t>
      </w:r>
      <w:r w:rsidRPr="00006EA0">
        <w:rPr>
          <w:b/>
        </w:rPr>
        <w:t>of Information Employing Statistical Methods</w:t>
      </w:r>
    </w:p>
    <w:p w:rsidR="004E6999" w14:paraId="659FC5A3" w14:textId="77777777">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E6999" w14:paraId="3D6DDAC1" w14:textId="77777777">
      <w:pPr>
        <w:pStyle w:val="Quick1"/>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hanging="810"/>
      </w:pPr>
      <w:r>
        <w:tab/>
        <w:t xml:space="preserve"> 1.</w:t>
      </w:r>
      <w:r>
        <w:tab/>
      </w:r>
      <w:r>
        <w:rPr>
          <w:u w:val="single"/>
        </w:rPr>
        <w:t>Universe and Respondent Selection</w:t>
      </w:r>
    </w:p>
    <w:p w:rsidR="006E293C" w14:paraId="03482F9A" w14:textId="77777777">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pPr>
    </w:p>
    <w:p w:rsidR="00AC1ABF" w:rsidP="00AC1ABF" w14:paraId="2230B12A" w14:textId="532BDB74">
      <w:pPr>
        <w:pStyle w:val="xmsonormal"/>
        <w:shd w:val="clear" w:color="auto" w:fill="FFFFFF"/>
        <w:spacing w:before="0" w:beforeAutospacing="0" w:after="0" w:afterAutospacing="0"/>
        <w:ind w:left="810"/>
        <w:rPr>
          <w:color w:val="000000"/>
        </w:rPr>
      </w:pPr>
      <w:r>
        <w:rPr>
          <w:color w:val="000000"/>
        </w:rPr>
        <w:t xml:space="preserve">The monthly universe for private construction is approximately </w:t>
      </w:r>
      <w:r w:rsidR="003A127B">
        <w:rPr>
          <w:color w:val="000000"/>
        </w:rPr>
        <w:t>6,200</w:t>
      </w:r>
      <w:r>
        <w:rPr>
          <w:color w:val="000000"/>
        </w:rPr>
        <w:t xml:space="preserve"> projects with an estimated sample size of </w:t>
      </w:r>
      <w:r w:rsidR="003A127B">
        <w:rPr>
          <w:color w:val="000000"/>
        </w:rPr>
        <w:t>580</w:t>
      </w:r>
      <w:r>
        <w:rPr>
          <w:color w:val="000000"/>
        </w:rPr>
        <w:t xml:space="preserve"> new projects selected each month.</w:t>
      </w:r>
      <w:r>
        <w:rPr>
          <w:color w:val="000000"/>
          <w:bdr w:val="none" w:sz="0" w:space="0" w:color="auto" w:frame="1"/>
        </w:rPr>
        <w:t>  </w:t>
      </w:r>
      <w:r>
        <w:rPr>
          <w:color w:val="000000"/>
        </w:rPr>
        <w:t xml:space="preserve">State and local governments have a monthly universe of approximately </w:t>
      </w:r>
      <w:r w:rsidR="003A127B">
        <w:rPr>
          <w:color w:val="000000"/>
        </w:rPr>
        <w:t>8,700</w:t>
      </w:r>
      <w:r>
        <w:rPr>
          <w:color w:val="000000"/>
        </w:rPr>
        <w:t xml:space="preserve"> projects with an estimated sample size of</w:t>
      </w:r>
      <w:r w:rsidR="00801A08">
        <w:rPr>
          <w:color w:val="000000"/>
        </w:rPr>
        <w:t xml:space="preserve"> 750</w:t>
      </w:r>
      <w:r>
        <w:rPr>
          <w:color w:val="000000"/>
        </w:rPr>
        <w:t xml:space="preserve"> new projects selected each month.</w:t>
      </w:r>
      <w:r>
        <w:rPr>
          <w:color w:val="000000"/>
          <w:bdr w:val="none" w:sz="0" w:space="0" w:color="auto" w:frame="1"/>
        </w:rPr>
        <w:t>  </w:t>
      </w:r>
      <w:r>
        <w:rPr>
          <w:color w:val="000000"/>
        </w:rPr>
        <w:t xml:space="preserve">The federal government has a monthly universe of approximately 300 projects with an estimated sample size of </w:t>
      </w:r>
      <w:r w:rsidR="003A127B">
        <w:rPr>
          <w:color w:val="000000"/>
        </w:rPr>
        <w:t>60</w:t>
      </w:r>
      <w:r>
        <w:rPr>
          <w:color w:val="000000"/>
        </w:rPr>
        <w:t xml:space="preserve"> new projects selected each month. The monthly universe for multifamily is approximately 240 projects with </w:t>
      </w:r>
      <w:r w:rsidR="003A127B">
        <w:rPr>
          <w:color w:val="000000"/>
        </w:rPr>
        <w:t>all</w:t>
      </w:r>
      <w:r>
        <w:rPr>
          <w:color w:val="000000"/>
        </w:rPr>
        <w:t xml:space="preserve"> projects selected each month.</w:t>
      </w:r>
      <w:r>
        <w:rPr>
          <w:color w:val="000000"/>
          <w:bdr w:val="none" w:sz="0" w:space="0" w:color="auto" w:frame="1"/>
        </w:rPr>
        <w:t>  </w:t>
      </w:r>
      <w:r>
        <w:rPr>
          <w:color w:val="000000"/>
        </w:rPr>
        <w:t xml:space="preserve">Construction projects stay in sample until conclusion of the project (an </w:t>
      </w:r>
      <w:r w:rsidRPr="00D17EFF">
        <w:rPr>
          <w:color w:val="000000"/>
        </w:rPr>
        <w:t>average of 12 months</w:t>
      </w:r>
      <w:r>
        <w:rPr>
          <w:color w:val="000000"/>
        </w:rPr>
        <w:t>).</w:t>
      </w:r>
      <w:r>
        <w:rPr>
          <w:color w:val="000000"/>
          <w:bdr w:val="none" w:sz="0" w:space="0" w:color="auto" w:frame="1"/>
        </w:rPr>
        <w:t>  </w:t>
      </w:r>
      <w:r>
        <w:rPr>
          <w:color w:val="000000"/>
        </w:rPr>
        <w:t xml:space="preserve">On average </w:t>
      </w:r>
      <w:r w:rsidRPr="0046391B">
        <w:rPr>
          <w:color w:val="000000"/>
        </w:rPr>
        <w:t>22,000</w:t>
      </w:r>
      <w:r>
        <w:rPr>
          <w:color w:val="000000"/>
        </w:rPr>
        <w:t xml:space="preserve"> projects are</w:t>
      </w:r>
      <w:r w:rsidR="009F3ED8">
        <w:rPr>
          <w:color w:val="000000"/>
        </w:rPr>
        <w:t xml:space="preserve"> active</w:t>
      </w:r>
      <w:r>
        <w:rPr>
          <w:color w:val="000000"/>
        </w:rPr>
        <w:t xml:space="preserve"> in</w:t>
      </w:r>
      <w:r w:rsidR="009F3ED8">
        <w:rPr>
          <w:color w:val="000000"/>
        </w:rPr>
        <w:t xml:space="preserve"> the</w:t>
      </w:r>
      <w:r>
        <w:rPr>
          <w:color w:val="000000"/>
        </w:rPr>
        <w:t xml:space="preserve"> sample each month and </w:t>
      </w:r>
      <w:r>
        <w:rPr>
          <w:color w:val="000000"/>
          <w:bdr w:val="none" w:sz="0" w:space="0" w:color="auto" w:frame="1"/>
        </w:rPr>
        <w:t>are asked to report two key items: the value of construction per month (ongoing basis) as well as the total value (one time) for the entire project.  </w:t>
      </w:r>
      <w:r w:rsidR="00FA1CC8">
        <w:rPr>
          <w:color w:val="000000"/>
          <w:bdr w:val="none" w:sz="0" w:space="0" w:color="auto" w:frame="1"/>
        </w:rPr>
        <w:t>There are another 10,000 sample cases on average that do not receive a monthly survey because th</w:t>
      </w:r>
      <w:r w:rsidR="002C0311">
        <w:rPr>
          <w:color w:val="000000"/>
          <w:bdr w:val="none" w:sz="0" w:space="0" w:color="auto" w:frame="1"/>
        </w:rPr>
        <w:t>ose respondents were</w:t>
      </w:r>
      <w:r w:rsidR="00FA1CC8">
        <w:rPr>
          <w:color w:val="000000"/>
          <w:bdr w:val="none" w:sz="0" w:space="0" w:color="auto" w:frame="1"/>
        </w:rPr>
        <w:t xml:space="preserve"> refusals</w:t>
      </w:r>
      <w:r w:rsidR="002C0311">
        <w:rPr>
          <w:color w:val="000000"/>
          <w:bdr w:val="none" w:sz="0" w:space="0" w:color="auto" w:frame="1"/>
        </w:rPr>
        <w:t xml:space="preserve"> when they were contacted for a current or prior project.</w:t>
      </w:r>
    </w:p>
    <w:p w:rsidR="00AC1ABF" w:rsidP="00AC1ABF" w14:paraId="41096030" w14:textId="77777777">
      <w:pPr>
        <w:pStyle w:val="xmsonormal"/>
        <w:shd w:val="clear" w:color="auto" w:fill="FFFFFF"/>
        <w:spacing w:before="0" w:beforeAutospacing="0" w:after="0" w:afterAutospacing="0"/>
        <w:ind w:left="810"/>
        <w:rPr>
          <w:color w:val="000000"/>
        </w:rPr>
      </w:pPr>
    </w:p>
    <w:p w:rsidR="00AC1ABF" w:rsidP="00AC1ABF" w14:paraId="1FBBF9AA" w14:textId="6E571A5E">
      <w:pPr>
        <w:pStyle w:val="xmsonormal"/>
        <w:shd w:val="clear" w:color="auto" w:fill="FFFFFF"/>
        <w:spacing w:before="0" w:beforeAutospacing="0" w:after="0" w:afterAutospacing="0"/>
        <w:ind w:left="810"/>
        <w:rPr>
          <w:color w:val="000000"/>
        </w:rPr>
      </w:pPr>
      <w:r>
        <w:rPr>
          <w:color w:val="000000"/>
        </w:rPr>
        <w:t>The monthly value of construction unit response rates</w:t>
      </w:r>
      <w:r w:rsidR="00E0361F">
        <w:rPr>
          <w:color w:val="000000"/>
        </w:rPr>
        <w:t xml:space="preserve"> and total quantity response rates</w:t>
      </w:r>
      <w:r>
        <w:rPr>
          <w:color w:val="000000"/>
        </w:rPr>
        <w:t xml:space="preserve"> after 3 months of collection effort are</w:t>
      </w:r>
      <w:r w:rsidR="00AC5334">
        <w:rPr>
          <w:color w:val="000000"/>
        </w:rPr>
        <w:t xml:space="preserve"> show in the table below</w:t>
      </w:r>
      <w:r>
        <w:rPr>
          <w:rStyle w:val="FootnoteReference"/>
          <w:color w:val="000000"/>
        </w:rPr>
        <w:footnoteReference w:id="2"/>
      </w:r>
      <w:r w:rsidR="00AC5334">
        <w:rPr>
          <w:color w:val="000000"/>
        </w:rPr>
        <w:t>.</w:t>
      </w:r>
      <w:r>
        <w:rPr>
          <w:color w:val="000000"/>
        </w:rPr>
        <w:t xml:space="preserve"> </w:t>
      </w:r>
      <w:r w:rsidR="00770A6F">
        <w:rPr>
          <w:color w:val="000000"/>
        </w:rPr>
        <w:t xml:space="preserve">These rates reflect all </w:t>
      </w:r>
      <w:r w:rsidR="00943EF5">
        <w:rPr>
          <w:color w:val="000000"/>
        </w:rPr>
        <w:t xml:space="preserve">eligible </w:t>
      </w:r>
      <w:r w:rsidR="00770A6F">
        <w:rPr>
          <w:color w:val="000000"/>
        </w:rPr>
        <w:t>sample cases, both active and refusals.</w:t>
      </w:r>
    </w:p>
    <w:tbl>
      <w:tblPr>
        <w:tblStyle w:val="TableGrid"/>
        <w:tblW w:w="0" w:type="auto"/>
        <w:tblInd w:w="810" w:type="dxa"/>
        <w:tblLook w:val="04A0"/>
      </w:tblPr>
      <w:tblGrid>
        <w:gridCol w:w="2796"/>
        <w:gridCol w:w="1879"/>
        <w:gridCol w:w="1980"/>
      </w:tblGrid>
      <w:tr w14:paraId="6DB368EE" w14:textId="77777777" w:rsidTr="009626FF">
        <w:tblPrEx>
          <w:tblW w:w="0" w:type="auto"/>
          <w:tblInd w:w="810" w:type="dxa"/>
          <w:tblLook w:val="04A0"/>
        </w:tblPrEx>
        <w:trPr>
          <w:trHeight w:val="879"/>
        </w:trPr>
        <w:tc>
          <w:tcPr>
            <w:tcW w:w="2796" w:type="dxa"/>
          </w:tcPr>
          <w:p w:rsidR="00943EF5" w:rsidP="00AC1ABF" w14:paraId="2980EEFA" w14:textId="6E584335">
            <w:pPr>
              <w:pStyle w:val="xmsonormal"/>
              <w:spacing w:before="0" w:beforeAutospacing="0" w:after="0" w:afterAutospacing="0"/>
              <w:rPr>
                <w:color w:val="000000"/>
              </w:rPr>
            </w:pPr>
            <w:r>
              <w:rPr>
                <w:color w:val="000000"/>
              </w:rPr>
              <w:t>Survey (including all eligible sample cases)</w:t>
            </w:r>
          </w:p>
        </w:tc>
        <w:tc>
          <w:tcPr>
            <w:tcW w:w="1879" w:type="dxa"/>
          </w:tcPr>
          <w:p w:rsidR="00943EF5" w:rsidP="00AC1ABF" w14:paraId="07ABC07E" w14:textId="77777777">
            <w:pPr>
              <w:pStyle w:val="xmsonormal"/>
              <w:spacing w:before="0" w:beforeAutospacing="0" w:after="0" w:afterAutospacing="0"/>
              <w:rPr>
                <w:color w:val="000000"/>
              </w:rPr>
            </w:pPr>
            <w:r>
              <w:rPr>
                <w:color w:val="000000"/>
              </w:rPr>
              <w:t>Unit Response Rate</w:t>
            </w:r>
          </w:p>
          <w:p w:rsidR="00943EF5" w:rsidP="00AC1ABF" w14:paraId="525CAAEF" w14:textId="1141FFC3">
            <w:pPr>
              <w:pStyle w:val="xmsonormal"/>
              <w:spacing w:before="0" w:beforeAutospacing="0" w:after="0" w:afterAutospacing="0"/>
              <w:rPr>
                <w:color w:val="000000"/>
              </w:rPr>
            </w:pPr>
            <w:r>
              <w:rPr>
                <w:color w:val="000000"/>
              </w:rPr>
              <w:t>(URR)</w:t>
            </w:r>
          </w:p>
        </w:tc>
        <w:tc>
          <w:tcPr>
            <w:tcW w:w="1980" w:type="dxa"/>
          </w:tcPr>
          <w:p w:rsidR="00943EF5" w:rsidP="00AC1ABF" w14:paraId="481682EB" w14:textId="695E3386">
            <w:pPr>
              <w:pStyle w:val="xmsonormal"/>
              <w:spacing w:before="0" w:beforeAutospacing="0" w:after="0" w:afterAutospacing="0"/>
              <w:rPr>
                <w:color w:val="000000"/>
              </w:rPr>
            </w:pPr>
            <w:r>
              <w:rPr>
                <w:color w:val="000000"/>
              </w:rPr>
              <w:t>Total Quantity Response Rate (TQRR)</w:t>
            </w:r>
          </w:p>
        </w:tc>
      </w:tr>
      <w:tr w14:paraId="60A7D20D" w14:textId="77777777" w:rsidTr="009626FF">
        <w:tblPrEx>
          <w:tblW w:w="0" w:type="auto"/>
          <w:tblInd w:w="810" w:type="dxa"/>
          <w:tblLook w:val="04A0"/>
        </w:tblPrEx>
        <w:trPr>
          <w:trHeight w:val="350"/>
        </w:trPr>
        <w:tc>
          <w:tcPr>
            <w:tcW w:w="2796" w:type="dxa"/>
          </w:tcPr>
          <w:p w:rsidR="00943EF5" w:rsidP="00AC1ABF" w14:paraId="1F293725" w14:textId="1491A7B9">
            <w:pPr>
              <w:pStyle w:val="xmsonormal"/>
              <w:spacing w:before="0" w:beforeAutospacing="0" w:after="0" w:afterAutospacing="0"/>
              <w:rPr>
                <w:color w:val="000000"/>
              </w:rPr>
            </w:pPr>
            <w:r>
              <w:rPr>
                <w:color w:val="000000"/>
              </w:rPr>
              <w:t>Private Non-residential</w:t>
            </w:r>
          </w:p>
        </w:tc>
        <w:tc>
          <w:tcPr>
            <w:tcW w:w="1879" w:type="dxa"/>
          </w:tcPr>
          <w:p w:rsidR="00943EF5" w:rsidP="00A834DB" w14:paraId="0B354815" w14:textId="597C2BC9">
            <w:pPr>
              <w:pStyle w:val="xmsonormal"/>
              <w:spacing w:before="0" w:beforeAutospacing="0" w:after="0" w:afterAutospacing="0"/>
              <w:jc w:val="right"/>
              <w:rPr>
                <w:color w:val="000000"/>
              </w:rPr>
            </w:pPr>
            <w:r>
              <w:rPr>
                <w:color w:val="000000"/>
              </w:rPr>
              <w:t>2</w:t>
            </w:r>
            <w:r w:rsidR="00356A1F">
              <w:rPr>
                <w:color w:val="000000"/>
              </w:rPr>
              <w:t>4</w:t>
            </w:r>
            <w:r>
              <w:rPr>
                <w:color w:val="000000"/>
              </w:rPr>
              <w:t>%</w:t>
            </w:r>
          </w:p>
        </w:tc>
        <w:tc>
          <w:tcPr>
            <w:tcW w:w="1980" w:type="dxa"/>
          </w:tcPr>
          <w:p w:rsidR="00943EF5" w:rsidP="00A834DB" w14:paraId="161B059A" w14:textId="035E504A">
            <w:pPr>
              <w:pStyle w:val="xmsonormal"/>
              <w:spacing w:before="0" w:beforeAutospacing="0" w:after="0" w:afterAutospacing="0"/>
              <w:jc w:val="right"/>
              <w:rPr>
                <w:color w:val="000000"/>
              </w:rPr>
            </w:pPr>
            <w:r>
              <w:rPr>
                <w:color w:val="000000"/>
              </w:rPr>
              <w:t>29</w:t>
            </w:r>
            <w:r>
              <w:rPr>
                <w:color w:val="000000"/>
              </w:rPr>
              <w:t>%</w:t>
            </w:r>
          </w:p>
        </w:tc>
      </w:tr>
      <w:tr w14:paraId="621BAEFD" w14:textId="77777777" w:rsidTr="009626FF">
        <w:tblPrEx>
          <w:tblW w:w="0" w:type="auto"/>
          <w:tblInd w:w="810" w:type="dxa"/>
          <w:tblLook w:val="04A0"/>
        </w:tblPrEx>
        <w:trPr>
          <w:trHeight w:val="287"/>
        </w:trPr>
        <w:tc>
          <w:tcPr>
            <w:tcW w:w="2796" w:type="dxa"/>
          </w:tcPr>
          <w:p w:rsidR="00943EF5" w:rsidP="00AC1ABF" w14:paraId="50B5254B" w14:textId="48697685">
            <w:pPr>
              <w:pStyle w:val="xmsonormal"/>
              <w:spacing w:before="0" w:beforeAutospacing="0" w:after="0" w:afterAutospacing="0"/>
              <w:rPr>
                <w:color w:val="000000"/>
              </w:rPr>
            </w:pPr>
            <w:r>
              <w:rPr>
                <w:color w:val="000000"/>
              </w:rPr>
              <w:t>State and Local</w:t>
            </w:r>
          </w:p>
        </w:tc>
        <w:tc>
          <w:tcPr>
            <w:tcW w:w="1879" w:type="dxa"/>
          </w:tcPr>
          <w:p w:rsidR="00943EF5" w:rsidP="00A834DB" w14:paraId="50648CE1" w14:textId="219DF30F">
            <w:pPr>
              <w:pStyle w:val="xmsonormal"/>
              <w:spacing w:before="0" w:beforeAutospacing="0" w:after="0" w:afterAutospacing="0"/>
              <w:jc w:val="right"/>
              <w:rPr>
                <w:color w:val="000000"/>
              </w:rPr>
            </w:pPr>
            <w:r>
              <w:rPr>
                <w:color w:val="000000"/>
              </w:rPr>
              <w:t>6</w:t>
            </w:r>
            <w:r w:rsidR="00356A1F">
              <w:rPr>
                <w:color w:val="000000"/>
              </w:rPr>
              <w:t>1</w:t>
            </w:r>
            <w:r>
              <w:rPr>
                <w:color w:val="000000"/>
              </w:rPr>
              <w:t>%</w:t>
            </w:r>
          </w:p>
        </w:tc>
        <w:tc>
          <w:tcPr>
            <w:tcW w:w="1980" w:type="dxa"/>
          </w:tcPr>
          <w:p w:rsidR="00943EF5" w:rsidP="00A834DB" w14:paraId="3C7D7D63" w14:textId="16F3C55D">
            <w:pPr>
              <w:pStyle w:val="xmsonormal"/>
              <w:spacing w:before="0" w:beforeAutospacing="0" w:after="0" w:afterAutospacing="0"/>
              <w:jc w:val="right"/>
              <w:rPr>
                <w:color w:val="000000"/>
              </w:rPr>
            </w:pPr>
            <w:r>
              <w:rPr>
                <w:color w:val="000000"/>
              </w:rPr>
              <w:t>68%</w:t>
            </w:r>
          </w:p>
        </w:tc>
      </w:tr>
      <w:tr w14:paraId="651EA1CE" w14:textId="77777777" w:rsidTr="009626FF">
        <w:tblPrEx>
          <w:tblW w:w="0" w:type="auto"/>
          <w:tblInd w:w="810" w:type="dxa"/>
          <w:tblLook w:val="04A0"/>
        </w:tblPrEx>
        <w:trPr>
          <w:trHeight w:val="287"/>
        </w:trPr>
        <w:tc>
          <w:tcPr>
            <w:tcW w:w="2796" w:type="dxa"/>
          </w:tcPr>
          <w:p w:rsidR="00943EF5" w:rsidP="00AC1ABF" w14:paraId="7B1E1A45" w14:textId="3B417682">
            <w:pPr>
              <w:pStyle w:val="xmsonormal"/>
              <w:spacing w:before="0" w:beforeAutospacing="0" w:after="0" w:afterAutospacing="0"/>
              <w:rPr>
                <w:color w:val="000000"/>
              </w:rPr>
            </w:pPr>
            <w:r>
              <w:rPr>
                <w:color w:val="000000"/>
              </w:rPr>
              <w:t>Federal</w:t>
            </w:r>
          </w:p>
        </w:tc>
        <w:tc>
          <w:tcPr>
            <w:tcW w:w="1879" w:type="dxa"/>
          </w:tcPr>
          <w:p w:rsidR="00943EF5" w:rsidP="00A834DB" w14:paraId="4CE2D375" w14:textId="0064765D">
            <w:pPr>
              <w:pStyle w:val="xmsonormal"/>
              <w:spacing w:before="0" w:beforeAutospacing="0" w:after="0" w:afterAutospacing="0"/>
              <w:jc w:val="right"/>
              <w:rPr>
                <w:color w:val="000000"/>
              </w:rPr>
            </w:pPr>
            <w:r>
              <w:rPr>
                <w:color w:val="000000"/>
              </w:rPr>
              <w:t>5</w:t>
            </w:r>
            <w:r w:rsidR="00356A1F">
              <w:rPr>
                <w:color w:val="000000"/>
              </w:rPr>
              <w:t>4</w:t>
            </w:r>
            <w:r>
              <w:rPr>
                <w:color w:val="000000"/>
              </w:rPr>
              <w:t>%</w:t>
            </w:r>
          </w:p>
        </w:tc>
        <w:tc>
          <w:tcPr>
            <w:tcW w:w="1980" w:type="dxa"/>
          </w:tcPr>
          <w:p w:rsidR="00943EF5" w:rsidP="00A834DB" w14:paraId="34D71C3A" w14:textId="571E8C7F">
            <w:pPr>
              <w:pStyle w:val="xmsonormal"/>
              <w:spacing w:before="0" w:beforeAutospacing="0" w:after="0" w:afterAutospacing="0"/>
              <w:jc w:val="right"/>
              <w:rPr>
                <w:color w:val="000000"/>
              </w:rPr>
            </w:pPr>
            <w:r>
              <w:rPr>
                <w:color w:val="000000"/>
              </w:rPr>
              <w:t>6</w:t>
            </w:r>
            <w:r w:rsidR="00E23406">
              <w:rPr>
                <w:color w:val="000000"/>
              </w:rPr>
              <w:t>4</w:t>
            </w:r>
            <w:r>
              <w:rPr>
                <w:color w:val="000000"/>
              </w:rPr>
              <w:t>%</w:t>
            </w:r>
          </w:p>
        </w:tc>
      </w:tr>
      <w:tr w14:paraId="58A6FEF5" w14:textId="77777777" w:rsidTr="009626FF">
        <w:tblPrEx>
          <w:tblW w:w="0" w:type="auto"/>
          <w:tblInd w:w="810" w:type="dxa"/>
          <w:tblLook w:val="04A0"/>
        </w:tblPrEx>
        <w:trPr>
          <w:trHeight w:val="287"/>
        </w:trPr>
        <w:tc>
          <w:tcPr>
            <w:tcW w:w="2796" w:type="dxa"/>
          </w:tcPr>
          <w:p w:rsidR="00943EF5" w:rsidP="00AC1ABF" w14:paraId="54F07C4D" w14:textId="5DAEDD56">
            <w:pPr>
              <w:pStyle w:val="xmsonormal"/>
              <w:spacing w:before="0" w:beforeAutospacing="0" w:after="0" w:afterAutospacing="0"/>
              <w:rPr>
                <w:color w:val="000000"/>
              </w:rPr>
            </w:pPr>
            <w:r>
              <w:rPr>
                <w:color w:val="000000"/>
              </w:rPr>
              <w:t>Private Multifamily</w:t>
            </w:r>
          </w:p>
        </w:tc>
        <w:tc>
          <w:tcPr>
            <w:tcW w:w="1879" w:type="dxa"/>
          </w:tcPr>
          <w:p w:rsidR="00943EF5" w:rsidP="00A834DB" w14:paraId="28DD7D3A" w14:textId="1AD40015">
            <w:pPr>
              <w:pStyle w:val="xmsonormal"/>
              <w:spacing w:before="0" w:beforeAutospacing="0" w:after="0" w:afterAutospacing="0"/>
              <w:jc w:val="right"/>
              <w:rPr>
                <w:color w:val="000000"/>
              </w:rPr>
            </w:pPr>
            <w:r>
              <w:rPr>
                <w:color w:val="000000"/>
              </w:rPr>
              <w:t>17%</w:t>
            </w:r>
          </w:p>
        </w:tc>
        <w:tc>
          <w:tcPr>
            <w:tcW w:w="1980" w:type="dxa"/>
          </w:tcPr>
          <w:p w:rsidR="00943EF5" w:rsidP="00A834DB" w14:paraId="5419D916" w14:textId="399DAAA9">
            <w:pPr>
              <w:pStyle w:val="xmsonormal"/>
              <w:spacing w:before="0" w:beforeAutospacing="0" w:after="0" w:afterAutospacing="0"/>
              <w:jc w:val="right"/>
              <w:rPr>
                <w:color w:val="000000"/>
              </w:rPr>
            </w:pPr>
            <w:r>
              <w:rPr>
                <w:color w:val="000000"/>
              </w:rPr>
              <w:t>3</w:t>
            </w:r>
            <w:r w:rsidR="00E23406">
              <w:rPr>
                <w:color w:val="000000"/>
              </w:rPr>
              <w:t>3</w:t>
            </w:r>
            <w:r>
              <w:rPr>
                <w:color w:val="000000"/>
              </w:rPr>
              <w:t>%</w:t>
            </w:r>
          </w:p>
        </w:tc>
      </w:tr>
    </w:tbl>
    <w:p w:rsidR="00943EF5" w:rsidP="00AC1ABF" w14:paraId="5EFBD9B9" w14:textId="77777777">
      <w:pPr>
        <w:pStyle w:val="xmsonormal"/>
        <w:shd w:val="clear" w:color="auto" w:fill="FFFFFF"/>
        <w:spacing w:before="0" w:beforeAutospacing="0" w:after="0" w:afterAutospacing="0"/>
        <w:ind w:left="810"/>
        <w:rPr>
          <w:color w:val="000000"/>
        </w:rPr>
      </w:pPr>
    </w:p>
    <w:p w:rsidR="009626FF" w:rsidP="00AC1ABF" w14:paraId="17100943" w14:textId="77777777">
      <w:pPr>
        <w:pStyle w:val="xmsonormal"/>
        <w:shd w:val="clear" w:color="auto" w:fill="FFFFFF"/>
        <w:spacing w:before="0" w:beforeAutospacing="0" w:after="0" w:afterAutospacing="0"/>
        <w:ind w:left="810"/>
        <w:rPr>
          <w:color w:val="000000"/>
        </w:rPr>
      </w:pPr>
    </w:p>
    <w:p w:rsidR="009626FF" w:rsidP="00AC1ABF" w14:paraId="7EFA7817" w14:textId="77777777">
      <w:pPr>
        <w:pStyle w:val="xmsonormal"/>
        <w:shd w:val="clear" w:color="auto" w:fill="FFFFFF"/>
        <w:spacing w:before="0" w:beforeAutospacing="0" w:after="0" w:afterAutospacing="0"/>
        <w:ind w:left="810"/>
        <w:rPr>
          <w:color w:val="000000"/>
        </w:rPr>
      </w:pPr>
    </w:p>
    <w:p w:rsidR="009626FF" w:rsidP="00AC1ABF" w14:paraId="05566C90" w14:textId="77777777">
      <w:pPr>
        <w:pStyle w:val="xmsonormal"/>
        <w:shd w:val="clear" w:color="auto" w:fill="FFFFFF"/>
        <w:spacing w:before="0" w:beforeAutospacing="0" w:after="0" w:afterAutospacing="0"/>
        <w:ind w:left="810"/>
        <w:rPr>
          <w:color w:val="000000"/>
        </w:rPr>
      </w:pPr>
    </w:p>
    <w:p w:rsidR="009626FF" w:rsidP="00AC1ABF" w14:paraId="20DC4141" w14:textId="77777777">
      <w:pPr>
        <w:pStyle w:val="xmsonormal"/>
        <w:shd w:val="clear" w:color="auto" w:fill="FFFFFF"/>
        <w:spacing w:before="0" w:beforeAutospacing="0" w:after="0" w:afterAutospacing="0"/>
        <w:ind w:left="810"/>
        <w:rPr>
          <w:color w:val="000000"/>
        </w:rPr>
      </w:pPr>
    </w:p>
    <w:p w:rsidR="009626FF" w:rsidP="00AC1ABF" w14:paraId="30F1A29F" w14:textId="77777777">
      <w:pPr>
        <w:pStyle w:val="xmsonormal"/>
        <w:shd w:val="clear" w:color="auto" w:fill="FFFFFF"/>
        <w:spacing w:before="0" w:beforeAutospacing="0" w:after="0" w:afterAutospacing="0"/>
        <w:ind w:left="810"/>
        <w:rPr>
          <w:color w:val="000000"/>
        </w:rPr>
      </w:pPr>
    </w:p>
    <w:p w:rsidR="009626FF" w:rsidP="00AC1ABF" w14:paraId="16D92EC1" w14:textId="77777777">
      <w:pPr>
        <w:pStyle w:val="xmsonormal"/>
        <w:shd w:val="clear" w:color="auto" w:fill="FFFFFF"/>
        <w:spacing w:before="0" w:beforeAutospacing="0" w:after="0" w:afterAutospacing="0"/>
        <w:ind w:left="810"/>
        <w:rPr>
          <w:color w:val="000000"/>
        </w:rPr>
      </w:pPr>
    </w:p>
    <w:p w:rsidR="00943EF5" w:rsidP="00AC1ABF" w14:paraId="16A6B585" w14:textId="66AE6477">
      <w:pPr>
        <w:pStyle w:val="xmsonormal"/>
        <w:shd w:val="clear" w:color="auto" w:fill="FFFFFF"/>
        <w:spacing w:before="0" w:beforeAutospacing="0" w:after="0" w:afterAutospacing="0"/>
        <w:ind w:left="810"/>
        <w:rPr>
          <w:color w:val="000000"/>
        </w:rPr>
      </w:pPr>
      <w:r>
        <w:rPr>
          <w:color w:val="000000"/>
        </w:rPr>
        <w:t>If we consider only the cases being actively collected</w:t>
      </w:r>
      <w:r w:rsidR="00ED100B">
        <w:rPr>
          <w:color w:val="000000"/>
        </w:rPr>
        <w:t>, which represent about 56% of all sample cases</w:t>
      </w:r>
      <w:r>
        <w:rPr>
          <w:color w:val="000000"/>
        </w:rPr>
        <w:t xml:space="preserve">, the monthly value of construction </w:t>
      </w:r>
      <w:r w:rsidR="009626FF">
        <w:rPr>
          <w:color w:val="000000"/>
        </w:rPr>
        <w:t>URR and TQRR</w:t>
      </w:r>
      <w:r>
        <w:rPr>
          <w:color w:val="000000"/>
        </w:rPr>
        <w:t xml:space="preserve"> after 3 months of collection effort are:</w:t>
      </w:r>
    </w:p>
    <w:p w:rsidR="009626FF" w:rsidP="00AC1ABF" w14:paraId="48657B63" w14:textId="77777777">
      <w:pPr>
        <w:pStyle w:val="xmsonormal"/>
        <w:shd w:val="clear" w:color="auto" w:fill="FFFFFF"/>
        <w:spacing w:before="0" w:beforeAutospacing="0" w:after="0" w:afterAutospacing="0"/>
        <w:ind w:left="810"/>
        <w:rPr>
          <w:color w:val="000000"/>
        </w:rPr>
      </w:pPr>
    </w:p>
    <w:tbl>
      <w:tblPr>
        <w:tblStyle w:val="TableGrid"/>
        <w:tblW w:w="0" w:type="auto"/>
        <w:tblInd w:w="810" w:type="dxa"/>
        <w:tblLook w:val="04A0"/>
      </w:tblPr>
      <w:tblGrid>
        <w:gridCol w:w="2796"/>
        <w:gridCol w:w="1879"/>
        <w:gridCol w:w="1980"/>
      </w:tblGrid>
      <w:tr w14:paraId="0878A5BA" w14:textId="77777777" w:rsidTr="009626FF">
        <w:tblPrEx>
          <w:tblW w:w="0" w:type="auto"/>
          <w:tblInd w:w="810" w:type="dxa"/>
          <w:tblLook w:val="04A0"/>
        </w:tblPrEx>
        <w:trPr>
          <w:trHeight w:val="879"/>
        </w:trPr>
        <w:tc>
          <w:tcPr>
            <w:tcW w:w="2796" w:type="dxa"/>
          </w:tcPr>
          <w:p w:rsidR="00943EF5" w:rsidP="000B155F" w14:paraId="4E9F9F9A" w14:textId="2D83AFAC">
            <w:pPr>
              <w:pStyle w:val="xmsonormal"/>
              <w:spacing w:before="0" w:beforeAutospacing="0" w:after="0" w:afterAutospacing="0"/>
              <w:rPr>
                <w:color w:val="000000"/>
              </w:rPr>
            </w:pPr>
            <w:r>
              <w:rPr>
                <w:color w:val="000000"/>
              </w:rPr>
              <w:t xml:space="preserve">Survey (including only active sample cases, </w:t>
            </w:r>
            <w:r w:rsidR="00FD7E68">
              <w:rPr>
                <w:color w:val="000000"/>
              </w:rPr>
              <w:t>i.e.</w:t>
            </w:r>
            <w:r>
              <w:rPr>
                <w:color w:val="000000"/>
              </w:rPr>
              <w:t xml:space="preserve"> non-refusals)</w:t>
            </w:r>
          </w:p>
        </w:tc>
        <w:tc>
          <w:tcPr>
            <w:tcW w:w="1879" w:type="dxa"/>
          </w:tcPr>
          <w:p w:rsidR="00943EF5" w:rsidP="000B155F" w14:paraId="5CBAB607" w14:textId="77777777">
            <w:pPr>
              <w:pStyle w:val="xmsonormal"/>
              <w:spacing w:before="0" w:beforeAutospacing="0" w:after="0" w:afterAutospacing="0"/>
              <w:rPr>
                <w:color w:val="000000"/>
              </w:rPr>
            </w:pPr>
            <w:r>
              <w:rPr>
                <w:color w:val="000000"/>
              </w:rPr>
              <w:t>Unit Response Rate</w:t>
            </w:r>
          </w:p>
          <w:p w:rsidR="00943EF5" w:rsidP="000B155F" w14:paraId="01E617A5" w14:textId="77777777">
            <w:pPr>
              <w:pStyle w:val="xmsonormal"/>
              <w:spacing w:before="0" w:beforeAutospacing="0" w:after="0" w:afterAutospacing="0"/>
              <w:rPr>
                <w:color w:val="000000"/>
              </w:rPr>
            </w:pPr>
            <w:r>
              <w:rPr>
                <w:color w:val="000000"/>
              </w:rPr>
              <w:t>(URR)</w:t>
            </w:r>
          </w:p>
        </w:tc>
        <w:tc>
          <w:tcPr>
            <w:tcW w:w="1980" w:type="dxa"/>
          </w:tcPr>
          <w:p w:rsidR="00943EF5" w:rsidP="000B155F" w14:paraId="7325B409" w14:textId="77777777">
            <w:pPr>
              <w:pStyle w:val="xmsonormal"/>
              <w:spacing w:before="0" w:beforeAutospacing="0" w:after="0" w:afterAutospacing="0"/>
              <w:rPr>
                <w:color w:val="000000"/>
              </w:rPr>
            </w:pPr>
            <w:r>
              <w:rPr>
                <w:color w:val="000000"/>
              </w:rPr>
              <w:t>Total Quantity Response Rate (TQRR)</w:t>
            </w:r>
          </w:p>
        </w:tc>
      </w:tr>
      <w:tr w14:paraId="25687BF7" w14:textId="77777777" w:rsidTr="009626FF">
        <w:tblPrEx>
          <w:tblW w:w="0" w:type="auto"/>
          <w:tblInd w:w="810" w:type="dxa"/>
          <w:tblLook w:val="04A0"/>
        </w:tblPrEx>
        <w:trPr>
          <w:trHeight w:val="350"/>
        </w:trPr>
        <w:tc>
          <w:tcPr>
            <w:tcW w:w="2796" w:type="dxa"/>
          </w:tcPr>
          <w:p w:rsidR="00943EF5" w:rsidP="000B155F" w14:paraId="177A7CB5" w14:textId="77777777">
            <w:pPr>
              <w:pStyle w:val="xmsonormal"/>
              <w:spacing w:before="0" w:beforeAutospacing="0" w:after="0" w:afterAutospacing="0"/>
              <w:rPr>
                <w:color w:val="000000"/>
              </w:rPr>
            </w:pPr>
            <w:r>
              <w:rPr>
                <w:color w:val="000000"/>
              </w:rPr>
              <w:t>Private Non-residential</w:t>
            </w:r>
          </w:p>
        </w:tc>
        <w:tc>
          <w:tcPr>
            <w:tcW w:w="1879" w:type="dxa"/>
          </w:tcPr>
          <w:p w:rsidR="00943EF5" w:rsidP="000B155F" w14:paraId="510EDEB4" w14:textId="18177B39">
            <w:pPr>
              <w:pStyle w:val="xmsonormal"/>
              <w:spacing w:before="0" w:beforeAutospacing="0" w:after="0" w:afterAutospacing="0"/>
              <w:jc w:val="right"/>
              <w:rPr>
                <w:color w:val="000000"/>
              </w:rPr>
            </w:pPr>
            <w:r>
              <w:rPr>
                <w:color w:val="000000"/>
              </w:rPr>
              <w:t>65%</w:t>
            </w:r>
          </w:p>
        </w:tc>
        <w:tc>
          <w:tcPr>
            <w:tcW w:w="1980" w:type="dxa"/>
          </w:tcPr>
          <w:p w:rsidR="00943EF5" w:rsidP="000B155F" w14:paraId="42828D03" w14:textId="6F3D0F9A">
            <w:pPr>
              <w:pStyle w:val="xmsonormal"/>
              <w:spacing w:before="0" w:beforeAutospacing="0" w:after="0" w:afterAutospacing="0"/>
              <w:jc w:val="right"/>
              <w:rPr>
                <w:color w:val="000000"/>
              </w:rPr>
            </w:pPr>
            <w:r>
              <w:rPr>
                <w:color w:val="000000"/>
              </w:rPr>
              <w:t>67</w:t>
            </w:r>
            <w:r>
              <w:rPr>
                <w:color w:val="000000"/>
              </w:rPr>
              <w:t>%</w:t>
            </w:r>
          </w:p>
        </w:tc>
      </w:tr>
      <w:tr w14:paraId="4BBC83ED" w14:textId="77777777" w:rsidTr="009626FF">
        <w:tblPrEx>
          <w:tblW w:w="0" w:type="auto"/>
          <w:tblInd w:w="810" w:type="dxa"/>
          <w:tblLook w:val="04A0"/>
        </w:tblPrEx>
        <w:trPr>
          <w:trHeight w:val="287"/>
        </w:trPr>
        <w:tc>
          <w:tcPr>
            <w:tcW w:w="2796" w:type="dxa"/>
          </w:tcPr>
          <w:p w:rsidR="00943EF5" w:rsidP="000B155F" w14:paraId="34687E56" w14:textId="77777777">
            <w:pPr>
              <w:pStyle w:val="xmsonormal"/>
              <w:spacing w:before="0" w:beforeAutospacing="0" w:after="0" w:afterAutospacing="0"/>
              <w:rPr>
                <w:color w:val="000000"/>
              </w:rPr>
            </w:pPr>
            <w:r>
              <w:rPr>
                <w:color w:val="000000"/>
              </w:rPr>
              <w:t>State and Local</w:t>
            </w:r>
          </w:p>
        </w:tc>
        <w:tc>
          <w:tcPr>
            <w:tcW w:w="1879" w:type="dxa"/>
          </w:tcPr>
          <w:p w:rsidR="00943EF5" w:rsidP="000B155F" w14:paraId="27C36749" w14:textId="432F7781">
            <w:pPr>
              <w:pStyle w:val="xmsonormal"/>
              <w:spacing w:before="0" w:beforeAutospacing="0" w:after="0" w:afterAutospacing="0"/>
              <w:jc w:val="right"/>
              <w:rPr>
                <w:color w:val="000000"/>
              </w:rPr>
            </w:pPr>
            <w:r>
              <w:rPr>
                <w:color w:val="000000"/>
              </w:rPr>
              <w:t>89%</w:t>
            </w:r>
          </w:p>
        </w:tc>
        <w:tc>
          <w:tcPr>
            <w:tcW w:w="1980" w:type="dxa"/>
          </w:tcPr>
          <w:p w:rsidR="00943EF5" w:rsidP="000B155F" w14:paraId="0E5E1E49" w14:textId="1530AB8D">
            <w:pPr>
              <w:pStyle w:val="xmsonormal"/>
              <w:spacing w:before="0" w:beforeAutospacing="0" w:after="0" w:afterAutospacing="0"/>
              <w:jc w:val="right"/>
              <w:rPr>
                <w:color w:val="000000"/>
              </w:rPr>
            </w:pPr>
            <w:r>
              <w:rPr>
                <w:color w:val="000000"/>
              </w:rPr>
              <w:t>88%</w:t>
            </w:r>
          </w:p>
        </w:tc>
      </w:tr>
      <w:tr w14:paraId="5F426BFE" w14:textId="77777777" w:rsidTr="009626FF">
        <w:tblPrEx>
          <w:tblW w:w="0" w:type="auto"/>
          <w:tblInd w:w="810" w:type="dxa"/>
          <w:tblLook w:val="04A0"/>
        </w:tblPrEx>
        <w:trPr>
          <w:trHeight w:val="287"/>
        </w:trPr>
        <w:tc>
          <w:tcPr>
            <w:tcW w:w="2796" w:type="dxa"/>
          </w:tcPr>
          <w:p w:rsidR="00943EF5" w:rsidP="000B155F" w14:paraId="1A1DF7C9" w14:textId="77777777">
            <w:pPr>
              <w:pStyle w:val="xmsonormal"/>
              <w:spacing w:before="0" w:beforeAutospacing="0" w:after="0" w:afterAutospacing="0"/>
              <w:rPr>
                <w:color w:val="000000"/>
              </w:rPr>
            </w:pPr>
            <w:r>
              <w:rPr>
                <w:color w:val="000000"/>
              </w:rPr>
              <w:t>Federal</w:t>
            </w:r>
          </w:p>
        </w:tc>
        <w:tc>
          <w:tcPr>
            <w:tcW w:w="1879" w:type="dxa"/>
          </w:tcPr>
          <w:p w:rsidR="00943EF5" w:rsidP="000B155F" w14:paraId="0AB7A7F3" w14:textId="7C5E15F1">
            <w:pPr>
              <w:pStyle w:val="xmsonormal"/>
              <w:spacing w:before="0" w:beforeAutospacing="0" w:after="0" w:afterAutospacing="0"/>
              <w:jc w:val="right"/>
              <w:rPr>
                <w:color w:val="000000"/>
              </w:rPr>
            </w:pPr>
            <w:r>
              <w:rPr>
                <w:color w:val="000000"/>
              </w:rPr>
              <w:t>89%</w:t>
            </w:r>
          </w:p>
        </w:tc>
        <w:tc>
          <w:tcPr>
            <w:tcW w:w="1980" w:type="dxa"/>
          </w:tcPr>
          <w:p w:rsidR="00943EF5" w:rsidP="000B155F" w14:paraId="42B2C528" w14:textId="0396BE4F">
            <w:pPr>
              <w:pStyle w:val="xmsonormal"/>
              <w:spacing w:before="0" w:beforeAutospacing="0" w:after="0" w:afterAutospacing="0"/>
              <w:jc w:val="right"/>
              <w:rPr>
                <w:color w:val="000000"/>
              </w:rPr>
            </w:pPr>
            <w:r>
              <w:rPr>
                <w:color w:val="000000"/>
              </w:rPr>
              <w:t>86</w:t>
            </w:r>
            <w:r>
              <w:rPr>
                <w:color w:val="000000"/>
              </w:rPr>
              <w:t>%</w:t>
            </w:r>
          </w:p>
        </w:tc>
      </w:tr>
      <w:tr w14:paraId="494F002C" w14:textId="77777777" w:rsidTr="009626FF">
        <w:tblPrEx>
          <w:tblW w:w="0" w:type="auto"/>
          <w:tblInd w:w="810" w:type="dxa"/>
          <w:tblLook w:val="04A0"/>
        </w:tblPrEx>
        <w:trPr>
          <w:trHeight w:val="287"/>
        </w:trPr>
        <w:tc>
          <w:tcPr>
            <w:tcW w:w="2796" w:type="dxa"/>
          </w:tcPr>
          <w:p w:rsidR="00943EF5" w:rsidP="000B155F" w14:paraId="1235CEA9" w14:textId="77777777">
            <w:pPr>
              <w:pStyle w:val="xmsonormal"/>
              <w:spacing w:before="0" w:beforeAutospacing="0" w:after="0" w:afterAutospacing="0"/>
              <w:rPr>
                <w:color w:val="000000"/>
              </w:rPr>
            </w:pPr>
            <w:r>
              <w:rPr>
                <w:color w:val="000000"/>
              </w:rPr>
              <w:t>Private Multifamily</w:t>
            </w:r>
          </w:p>
        </w:tc>
        <w:tc>
          <w:tcPr>
            <w:tcW w:w="1879" w:type="dxa"/>
          </w:tcPr>
          <w:p w:rsidR="00943EF5" w:rsidP="000B155F" w14:paraId="3545E5A3" w14:textId="462218CD">
            <w:pPr>
              <w:pStyle w:val="xmsonormal"/>
              <w:spacing w:before="0" w:beforeAutospacing="0" w:after="0" w:afterAutospacing="0"/>
              <w:jc w:val="right"/>
              <w:rPr>
                <w:color w:val="000000"/>
              </w:rPr>
            </w:pPr>
            <w:r>
              <w:rPr>
                <w:color w:val="000000"/>
              </w:rPr>
              <w:t>78%</w:t>
            </w:r>
          </w:p>
        </w:tc>
        <w:tc>
          <w:tcPr>
            <w:tcW w:w="1980" w:type="dxa"/>
          </w:tcPr>
          <w:p w:rsidR="00943EF5" w:rsidP="000B155F" w14:paraId="5587798D" w14:textId="23BFA96B">
            <w:pPr>
              <w:pStyle w:val="xmsonormal"/>
              <w:spacing w:before="0" w:beforeAutospacing="0" w:after="0" w:afterAutospacing="0"/>
              <w:jc w:val="right"/>
              <w:rPr>
                <w:color w:val="000000"/>
              </w:rPr>
            </w:pPr>
            <w:r>
              <w:rPr>
                <w:color w:val="000000"/>
              </w:rPr>
              <w:t>86</w:t>
            </w:r>
            <w:r>
              <w:rPr>
                <w:color w:val="000000"/>
              </w:rPr>
              <w:t>%</w:t>
            </w:r>
          </w:p>
        </w:tc>
      </w:tr>
    </w:tbl>
    <w:p w:rsidR="00943EF5" w:rsidP="00AC1ABF" w14:paraId="7298749E" w14:textId="77777777">
      <w:pPr>
        <w:pStyle w:val="xmsonormal"/>
        <w:shd w:val="clear" w:color="auto" w:fill="FFFFFF"/>
        <w:spacing w:before="0" w:beforeAutospacing="0" w:after="0" w:afterAutospacing="0"/>
        <w:ind w:left="810"/>
        <w:rPr>
          <w:color w:val="000000"/>
        </w:rPr>
      </w:pPr>
    </w:p>
    <w:p w:rsidR="00E0361F" w14:paraId="20183855" w14:textId="0E148098">
      <w:pPr>
        <w:pStyle w:val="xmsonormal"/>
        <w:shd w:val="clear" w:color="auto" w:fill="FFFFFF"/>
        <w:spacing w:before="0" w:beforeAutospacing="0" w:after="0" w:afterAutospacing="0"/>
        <w:ind w:left="810"/>
        <w:rPr>
          <w:color w:val="000000"/>
        </w:rPr>
      </w:pPr>
      <w:r>
        <w:rPr>
          <w:color w:val="000000"/>
        </w:rPr>
        <w:t xml:space="preserve">When a sample case refuses to participate in the reporting of monthly value put in place, an effort is made to obtain the total construction value, and estimated start and completion dates for the project.  This reduces the number of items that we </w:t>
      </w:r>
      <w:r w:rsidR="00C477B8">
        <w:rPr>
          <w:color w:val="000000"/>
        </w:rPr>
        <w:t>must</w:t>
      </w:r>
      <w:r>
        <w:rPr>
          <w:color w:val="000000"/>
        </w:rPr>
        <w:t xml:space="preserve"> impute </w:t>
      </w:r>
      <w:r w:rsidR="00C477B8">
        <w:rPr>
          <w:color w:val="000000"/>
        </w:rPr>
        <w:t>to</w:t>
      </w:r>
      <w:r>
        <w:rPr>
          <w:color w:val="000000"/>
        </w:rPr>
        <w:t xml:space="preserve"> impute monthly value put in place.</w:t>
      </w:r>
      <w:r>
        <w:rPr>
          <w:color w:val="000000"/>
        </w:rPr>
        <w:t xml:space="preserve"> The total value of construction unit response rates and total quantity response rates are shown in the table below:</w:t>
      </w:r>
    </w:p>
    <w:p w:rsidR="00E0361F" w14:paraId="18FA7E36" w14:textId="77777777">
      <w:pPr>
        <w:pStyle w:val="xmsonormal"/>
        <w:shd w:val="clear" w:color="auto" w:fill="FFFFFF"/>
        <w:spacing w:before="0" w:beforeAutospacing="0" w:after="0" w:afterAutospacing="0"/>
        <w:ind w:left="810"/>
        <w:rPr>
          <w:color w:val="000000"/>
        </w:rPr>
      </w:pPr>
    </w:p>
    <w:tbl>
      <w:tblPr>
        <w:tblStyle w:val="TableGrid"/>
        <w:tblW w:w="0" w:type="auto"/>
        <w:tblInd w:w="810" w:type="dxa"/>
        <w:tblLook w:val="04A0"/>
      </w:tblPr>
      <w:tblGrid>
        <w:gridCol w:w="2796"/>
        <w:gridCol w:w="1879"/>
        <w:gridCol w:w="1980"/>
      </w:tblGrid>
      <w:tr w14:paraId="4A02B413" w14:textId="77777777" w:rsidTr="009626FF">
        <w:tblPrEx>
          <w:tblW w:w="0" w:type="auto"/>
          <w:tblInd w:w="810" w:type="dxa"/>
          <w:tblLook w:val="04A0"/>
        </w:tblPrEx>
        <w:trPr>
          <w:trHeight w:val="879"/>
        </w:trPr>
        <w:tc>
          <w:tcPr>
            <w:tcW w:w="2796" w:type="dxa"/>
          </w:tcPr>
          <w:p w:rsidR="00E0361F" w:rsidP="009B4FE1" w14:paraId="77D6A7C6" w14:textId="150E934A">
            <w:pPr>
              <w:pStyle w:val="xmsonormal"/>
              <w:spacing w:before="0" w:beforeAutospacing="0" w:after="0" w:afterAutospacing="0"/>
              <w:rPr>
                <w:color w:val="000000"/>
              </w:rPr>
            </w:pPr>
            <w:r>
              <w:rPr>
                <w:color w:val="000000"/>
              </w:rPr>
              <w:t>Survey (including all eligible sample cases)</w:t>
            </w:r>
          </w:p>
        </w:tc>
        <w:tc>
          <w:tcPr>
            <w:tcW w:w="1879" w:type="dxa"/>
          </w:tcPr>
          <w:p w:rsidR="00E0361F" w:rsidP="009B4FE1" w14:paraId="00EF48D3" w14:textId="77777777">
            <w:pPr>
              <w:pStyle w:val="xmsonormal"/>
              <w:spacing w:before="0" w:beforeAutospacing="0" w:after="0" w:afterAutospacing="0"/>
              <w:rPr>
                <w:color w:val="000000"/>
              </w:rPr>
            </w:pPr>
            <w:r>
              <w:rPr>
                <w:color w:val="000000"/>
              </w:rPr>
              <w:t>Unit Response Rate</w:t>
            </w:r>
          </w:p>
          <w:p w:rsidR="00E0361F" w:rsidP="009B4FE1" w14:paraId="76C97DB9" w14:textId="77777777">
            <w:pPr>
              <w:pStyle w:val="xmsonormal"/>
              <w:spacing w:before="0" w:beforeAutospacing="0" w:after="0" w:afterAutospacing="0"/>
              <w:rPr>
                <w:color w:val="000000"/>
              </w:rPr>
            </w:pPr>
            <w:r>
              <w:rPr>
                <w:color w:val="000000"/>
              </w:rPr>
              <w:t>(URR)</w:t>
            </w:r>
          </w:p>
        </w:tc>
        <w:tc>
          <w:tcPr>
            <w:tcW w:w="1980" w:type="dxa"/>
          </w:tcPr>
          <w:p w:rsidR="00E0361F" w:rsidP="009B4FE1" w14:paraId="2AE90F75" w14:textId="77777777">
            <w:pPr>
              <w:pStyle w:val="xmsonormal"/>
              <w:spacing w:before="0" w:beforeAutospacing="0" w:after="0" w:afterAutospacing="0"/>
              <w:rPr>
                <w:color w:val="000000"/>
              </w:rPr>
            </w:pPr>
            <w:r>
              <w:rPr>
                <w:color w:val="000000"/>
              </w:rPr>
              <w:t>Total Quantity Response Rate (TQRR)</w:t>
            </w:r>
          </w:p>
        </w:tc>
      </w:tr>
      <w:tr w14:paraId="2EB5D114" w14:textId="77777777" w:rsidTr="009626FF">
        <w:tblPrEx>
          <w:tblW w:w="0" w:type="auto"/>
          <w:tblInd w:w="810" w:type="dxa"/>
          <w:tblLook w:val="04A0"/>
        </w:tblPrEx>
        <w:trPr>
          <w:trHeight w:val="404"/>
        </w:trPr>
        <w:tc>
          <w:tcPr>
            <w:tcW w:w="2796" w:type="dxa"/>
          </w:tcPr>
          <w:p w:rsidR="00E0361F" w:rsidP="00E0361F" w14:paraId="330C2E03" w14:textId="54DD21B8">
            <w:pPr>
              <w:pStyle w:val="xmsonormal"/>
              <w:spacing w:before="0" w:beforeAutospacing="0" w:after="0" w:afterAutospacing="0"/>
              <w:rPr>
                <w:color w:val="000000"/>
              </w:rPr>
            </w:pPr>
            <w:r>
              <w:rPr>
                <w:color w:val="000000"/>
              </w:rPr>
              <w:t>Private Non-residential</w:t>
            </w:r>
          </w:p>
        </w:tc>
        <w:tc>
          <w:tcPr>
            <w:tcW w:w="1879" w:type="dxa"/>
          </w:tcPr>
          <w:p w:rsidR="00E0361F" w:rsidP="00E0361F" w14:paraId="754DFCA2" w14:textId="09349CFD">
            <w:pPr>
              <w:pStyle w:val="xmsonormal"/>
              <w:spacing w:before="0" w:beforeAutospacing="0" w:after="0" w:afterAutospacing="0"/>
              <w:jc w:val="right"/>
              <w:rPr>
                <w:color w:val="000000"/>
              </w:rPr>
            </w:pPr>
            <w:r>
              <w:rPr>
                <w:color w:val="000000"/>
              </w:rPr>
              <w:t>36</w:t>
            </w:r>
            <w:r>
              <w:rPr>
                <w:color w:val="000000"/>
              </w:rPr>
              <w:t>%</w:t>
            </w:r>
          </w:p>
        </w:tc>
        <w:tc>
          <w:tcPr>
            <w:tcW w:w="1980" w:type="dxa"/>
          </w:tcPr>
          <w:p w:rsidR="00E0361F" w:rsidP="00E0361F" w14:paraId="4BE1C0FF" w14:textId="35C60ED5">
            <w:pPr>
              <w:pStyle w:val="xmsonormal"/>
              <w:spacing w:before="0" w:beforeAutospacing="0" w:after="0" w:afterAutospacing="0"/>
              <w:jc w:val="right"/>
              <w:rPr>
                <w:color w:val="000000"/>
              </w:rPr>
            </w:pPr>
            <w:r>
              <w:rPr>
                <w:color w:val="000000"/>
              </w:rPr>
              <w:t>56</w:t>
            </w:r>
            <w:r>
              <w:rPr>
                <w:color w:val="000000"/>
              </w:rPr>
              <w:t>%</w:t>
            </w:r>
          </w:p>
        </w:tc>
      </w:tr>
      <w:tr w14:paraId="57F3BEB0" w14:textId="77777777" w:rsidTr="009626FF">
        <w:tblPrEx>
          <w:tblW w:w="0" w:type="auto"/>
          <w:tblInd w:w="810" w:type="dxa"/>
          <w:tblLook w:val="04A0"/>
        </w:tblPrEx>
        <w:trPr>
          <w:trHeight w:val="350"/>
        </w:trPr>
        <w:tc>
          <w:tcPr>
            <w:tcW w:w="2796" w:type="dxa"/>
          </w:tcPr>
          <w:p w:rsidR="00E0361F" w:rsidP="00E0361F" w14:paraId="5AEB5340" w14:textId="52624138">
            <w:pPr>
              <w:pStyle w:val="xmsonormal"/>
              <w:spacing w:before="0" w:beforeAutospacing="0" w:after="0" w:afterAutospacing="0"/>
              <w:rPr>
                <w:color w:val="000000"/>
              </w:rPr>
            </w:pPr>
            <w:r>
              <w:rPr>
                <w:color w:val="000000"/>
              </w:rPr>
              <w:t>State and Local</w:t>
            </w:r>
          </w:p>
        </w:tc>
        <w:tc>
          <w:tcPr>
            <w:tcW w:w="1879" w:type="dxa"/>
          </w:tcPr>
          <w:p w:rsidR="00E0361F" w:rsidP="00E0361F" w14:paraId="10E5A548" w14:textId="7CBC7D6C">
            <w:pPr>
              <w:pStyle w:val="xmsonormal"/>
              <w:spacing w:before="0" w:beforeAutospacing="0" w:after="0" w:afterAutospacing="0"/>
              <w:jc w:val="right"/>
              <w:rPr>
                <w:color w:val="000000"/>
              </w:rPr>
            </w:pPr>
            <w:r>
              <w:rPr>
                <w:color w:val="000000"/>
              </w:rPr>
              <w:t>78</w:t>
            </w:r>
            <w:r>
              <w:rPr>
                <w:color w:val="000000"/>
              </w:rPr>
              <w:t>%</w:t>
            </w:r>
          </w:p>
        </w:tc>
        <w:tc>
          <w:tcPr>
            <w:tcW w:w="1980" w:type="dxa"/>
          </w:tcPr>
          <w:p w:rsidR="00E0361F" w:rsidP="00E0361F" w14:paraId="55026544" w14:textId="00EF7638">
            <w:pPr>
              <w:pStyle w:val="xmsonormal"/>
              <w:spacing w:before="0" w:beforeAutospacing="0" w:after="0" w:afterAutospacing="0"/>
              <w:jc w:val="right"/>
              <w:rPr>
                <w:color w:val="000000"/>
              </w:rPr>
            </w:pPr>
            <w:r>
              <w:rPr>
                <w:color w:val="000000"/>
              </w:rPr>
              <w:t>8</w:t>
            </w:r>
            <w:r w:rsidR="00C477B8">
              <w:rPr>
                <w:color w:val="000000"/>
              </w:rPr>
              <w:t>5</w:t>
            </w:r>
            <w:r>
              <w:rPr>
                <w:color w:val="000000"/>
              </w:rPr>
              <w:t>%</w:t>
            </w:r>
          </w:p>
        </w:tc>
      </w:tr>
      <w:tr w14:paraId="20E0D3A8" w14:textId="77777777" w:rsidTr="009626FF">
        <w:tblPrEx>
          <w:tblW w:w="0" w:type="auto"/>
          <w:tblInd w:w="810" w:type="dxa"/>
          <w:tblLook w:val="04A0"/>
        </w:tblPrEx>
        <w:trPr>
          <w:trHeight w:val="431"/>
        </w:trPr>
        <w:tc>
          <w:tcPr>
            <w:tcW w:w="2796" w:type="dxa"/>
          </w:tcPr>
          <w:p w:rsidR="00E0361F" w:rsidP="00E0361F" w14:paraId="5408ADAD" w14:textId="258A7F50">
            <w:pPr>
              <w:pStyle w:val="xmsonormal"/>
              <w:spacing w:before="0" w:beforeAutospacing="0" w:after="0" w:afterAutospacing="0"/>
              <w:rPr>
                <w:color w:val="000000"/>
              </w:rPr>
            </w:pPr>
            <w:r>
              <w:rPr>
                <w:color w:val="000000"/>
              </w:rPr>
              <w:t>Federal</w:t>
            </w:r>
          </w:p>
        </w:tc>
        <w:tc>
          <w:tcPr>
            <w:tcW w:w="1879" w:type="dxa"/>
          </w:tcPr>
          <w:p w:rsidR="00E0361F" w:rsidP="00E0361F" w14:paraId="6BFBA2C2" w14:textId="3A379BFD">
            <w:pPr>
              <w:pStyle w:val="xmsonormal"/>
              <w:spacing w:before="0" w:beforeAutospacing="0" w:after="0" w:afterAutospacing="0"/>
              <w:jc w:val="right"/>
              <w:rPr>
                <w:color w:val="000000"/>
              </w:rPr>
            </w:pPr>
            <w:r>
              <w:rPr>
                <w:color w:val="000000"/>
              </w:rPr>
              <w:t>6</w:t>
            </w:r>
            <w:r>
              <w:rPr>
                <w:color w:val="000000"/>
              </w:rPr>
              <w:t>9%</w:t>
            </w:r>
          </w:p>
        </w:tc>
        <w:tc>
          <w:tcPr>
            <w:tcW w:w="1980" w:type="dxa"/>
          </w:tcPr>
          <w:p w:rsidR="00E0361F" w:rsidP="00E0361F" w14:paraId="2F9FCF4F" w14:textId="24F698BB">
            <w:pPr>
              <w:pStyle w:val="xmsonormal"/>
              <w:spacing w:before="0" w:beforeAutospacing="0" w:after="0" w:afterAutospacing="0"/>
              <w:jc w:val="right"/>
              <w:rPr>
                <w:color w:val="000000"/>
              </w:rPr>
            </w:pPr>
            <w:r>
              <w:rPr>
                <w:color w:val="000000"/>
              </w:rPr>
              <w:t>8</w:t>
            </w:r>
            <w:r w:rsidR="00C477B8">
              <w:rPr>
                <w:color w:val="000000"/>
              </w:rPr>
              <w:t>0</w:t>
            </w:r>
            <w:r>
              <w:rPr>
                <w:color w:val="000000"/>
              </w:rPr>
              <w:t>%</w:t>
            </w:r>
          </w:p>
        </w:tc>
      </w:tr>
      <w:tr w14:paraId="2F401166" w14:textId="77777777" w:rsidTr="009626FF">
        <w:tblPrEx>
          <w:tblW w:w="0" w:type="auto"/>
          <w:tblInd w:w="810" w:type="dxa"/>
          <w:tblLook w:val="04A0"/>
        </w:tblPrEx>
        <w:trPr>
          <w:trHeight w:val="359"/>
        </w:trPr>
        <w:tc>
          <w:tcPr>
            <w:tcW w:w="2796" w:type="dxa"/>
          </w:tcPr>
          <w:p w:rsidR="00E0361F" w:rsidP="00E0361F" w14:paraId="1C8B1E02" w14:textId="1F952EDA">
            <w:pPr>
              <w:pStyle w:val="xmsonormal"/>
              <w:spacing w:before="0" w:beforeAutospacing="0" w:after="0" w:afterAutospacing="0"/>
              <w:rPr>
                <w:color w:val="000000"/>
              </w:rPr>
            </w:pPr>
            <w:r>
              <w:rPr>
                <w:color w:val="000000"/>
              </w:rPr>
              <w:t>Private Multifamily</w:t>
            </w:r>
          </w:p>
        </w:tc>
        <w:tc>
          <w:tcPr>
            <w:tcW w:w="1879" w:type="dxa"/>
          </w:tcPr>
          <w:p w:rsidR="00E0361F" w:rsidP="00E0361F" w14:paraId="200AF57D" w14:textId="7641AA78">
            <w:pPr>
              <w:pStyle w:val="xmsonormal"/>
              <w:spacing w:before="0" w:beforeAutospacing="0" w:after="0" w:afterAutospacing="0"/>
              <w:jc w:val="right"/>
              <w:rPr>
                <w:color w:val="000000"/>
              </w:rPr>
            </w:pPr>
            <w:r>
              <w:rPr>
                <w:color w:val="000000"/>
              </w:rPr>
              <w:t>32</w:t>
            </w:r>
            <w:r>
              <w:rPr>
                <w:color w:val="000000"/>
              </w:rPr>
              <w:t>%</w:t>
            </w:r>
          </w:p>
        </w:tc>
        <w:tc>
          <w:tcPr>
            <w:tcW w:w="1980" w:type="dxa"/>
          </w:tcPr>
          <w:p w:rsidR="00E0361F" w:rsidP="00E0361F" w14:paraId="5F78902E" w14:textId="44E729A8">
            <w:pPr>
              <w:pStyle w:val="xmsonormal"/>
              <w:spacing w:before="0" w:beforeAutospacing="0" w:after="0" w:afterAutospacing="0"/>
              <w:jc w:val="right"/>
              <w:rPr>
                <w:color w:val="000000"/>
              </w:rPr>
            </w:pPr>
            <w:r>
              <w:rPr>
                <w:color w:val="000000"/>
              </w:rPr>
              <w:t>5</w:t>
            </w:r>
            <w:r>
              <w:rPr>
                <w:color w:val="000000"/>
              </w:rPr>
              <w:t>6%</w:t>
            </w:r>
          </w:p>
        </w:tc>
      </w:tr>
    </w:tbl>
    <w:p w:rsidR="00E0361F" w14:paraId="4168F32C" w14:textId="77777777">
      <w:pPr>
        <w:pStyle w:val="xmsonormal"/>
        <w:shd w:val="clear" w:color="auto" w:fill="FFFFFF"/>
        <w:spacing w:before="0" w:beforeAutospacing="0" w:after="0" w:afterAutospacing="0"/>
        <w:ind w:left="810"/>
        <w:rPr>
          <w:color w:val="000000"/>
        </w:rPr>
      </w:pPr>
    </w:p>
    <w:p w:rsidR="009626FF" w:rsidP="009626FF" w14:paraId="5E8A5FA3" w14:textId="3B796D07">
      <w:pPr>
        <w:pStyle w:val="xmsonormal"/>
        <w:shd w:val="clear" w:color="auto" w:fill="FFFFFF"/>
        <w:spacing w:before="0" w:beforeAutospacing="0" w:after="0" w:afterAutospacing="0"/>
        <w:ind w:left="810"/>
        <w:rPr>
          <w:color w:val="000000"/>
        </w:rPr>
      </w:pPr>
      <w:r>
        <w:t xml:space="preserve">If we consider only the cases being actively collected, the total </w:t>
      </w:r>
      <w:r w:rsidR="00ED100B">
        <w:t xml:space="preserve">value of </w:t>
      </w:r>
      <w:r>
        <w:rPr>
          <w:color w:val="000000"/>
        </w:rPr>
        <w:t>construction URR and TQRR are:</w:t>
      </w:r>
    </w:p>
    <w:tbl>
      <w:tblPr>
        <w:tblStyle w:val="TableGrid"/>
        <w:tblW w:w="0" w:type="auto"/>
        <w:tblInd w:w="810" w:type="dxa"/>
        <w:tblLook w:val="04A0"/>
      </w:tblPr>
      <w:tblGrid>
        <w:gridCol w:w="2796"/>
        <w:gridCol w:w="1879"/>
        <w:gridCol w:w="1980"/>
      </w:tblGrid>
      <w:tr w14:paraId="50CADED6" w14:textId="77777777" w:rsidTr="009B4FE1">
        <w:tblPrEx>
          <w:tblW w:w="0" w:type="auto"/>
          <w:tblInd w:w="810" w:type="dxa"/>
          <w:tblLook w:val="04A0"/>
        </w:tblPrEx>
        <w:trPr>
          <w:trHeight w:val="879"/>
        </w:trPr>
        <w:tc>
          <w:tcPr>
            <w:tcW w:w="2796" w:type="dxa"/>
          </w:tcPr>
          <w:p w:rsidR="00ED100B" w:rsidP="009B4FE1" w14:paraId="3018EEC8" w14:textId="6DDDEDCB">
            <w:pPr>
              <w:pStyle w:val="xmsonormal"/>
              <w:spacing w:before="0" w:beforeAutospacing="0" w:after="0" w:afterAutospacing="0"/>
              <w:rPr>
                <w:color w:val="000000"/>
              </w:rPr>
            </w:pPr>
            <w:r>
              <w:rPr>
                <w:color w:val="000000"/>
              </w:rPr>
              <w:t xml:space="preserve">Survey (including only active sample cases, </w:t>
            </w:r>
            <w:r w:rsidR="00FD7E68">
              <w:rPr>
                <w:color w:val="000000"/>
              </w:rPr>
              <w:t>i.e.</w:t>
            </w:r>
            <w:r>
              <w:rPr>
                <w:color w:val="000000"/>
              </w:rPr>
              <w:t xml:space="preserve"> non-refusals)</w:t>
            </w:r>
          </w:p>
        </w:tc>
        <w:tc>
          <w:tcPr>
            <w:tcW w:w="1879" w:type="dxa"/>
          </w:tcPr>
          <w:p w:rsidR="00ED100B" w:rsidP="009B4FE1" w14:paraId="478D3709" w14:textId="77777777">
            <w:pPr>
              <w:pStyle w:val="xmsonormal"/>
              <w:spacing w:before="0" w:beforeAutospacing="0" w:after="0" w:afterAutospacing="0"/>
              <w:rPr>
                <w:color w:val="000000"/>
              </w:rPr>
            </w:pPr>
            <w:r>
              <w:rPr>
                <w:color w:val="000000"/>
              </w:rPr>
              <w:t>Unit Response Rate</w:t>
            </w:r>
          </w:p>
          <w:p w:rsidR="00ED100B" w:rsidP="009B4FE1" w14:paraId="0F853FF2" w14:textId="77777777">
            <w:pPr>
              <w:pStyle w:val="xmsonormal"/>
              <w:spacing w:before="0" w:beforeAutospacing="0" w:after="0" w:afterAutospacing="0"/>
              <w:rPr>
                <w:color w:val="000000"/>
              </w:rPr>
            </w:pPr>
            <w:r>
              <w:rPr>
                <w:color w:val="000000"/>
              </w:rPr>
              <w:t>(URR)</w:t>
            </w:r>
          </w:p>
        </w:tc>
        <w:tc>
          <w:tcPr>
            <w:tcW w:w="1980" w:type="dxa"/>
          </w:tcPr>
          <w:p w:rsidR="00ED100B" w:rsidP="009B4FE1" w14:paraId="05F2DB11" w14:textId="77777777">
            <w:pPr>
              <w:pStyle w:val="xmsonormal"/>
              <w:spacing w:before="0" w:beforeAutospacing="0" w:after="0" w:afterAutospacing="0"/>
              <w:rPr>
                <w:color w:val="000000"/>
              </w:rPr>
            </w:pPr>
            <w:r>
              <w:rPr>
                <w:color w:val="000000"/>
              </w:rPr>
              <w:t>Total Quantity Response Rate (TQRR)</w:t>
            </w:r>
          </w:p>
        </w:tc>
      </w:tr>
      <w:tr w14:paraId="1721EDBE" w14:textId="77777777" w:rsidTr="009B4FE1">
        <w:tblPrEx>
          <w:tblW w:w="0" w:type="auto"/>
          <w:tblInd w:w="810" w:type="dxa"/>
          <w:tblLook w:val="04A0"/>
        </w:tblPrEx>
        <w:trPr>
          <w:trHeight w:val="404"/>
        </w:trPr>
        <w:tc>
          <w:tcPr>
            <w:tcW w:w="2796" w:type="dxa"/>
          </w:tcPr>
          <w:p w:rsidR="00ED100B" w:rsidP="009B4FE1" w14:paraId="11D39269" w14:textId="77777777">
            <w:pPr>
              <w:pStyle w:val="xmsonormal"/>
              <w:spacing w:before="0" w:beforeAutospacing="0" w:after="0" w:afterAutospacing="0"/>
              <w:rPr>
                <w:color w:val="000000"/>
              </w:rPr>
            </w:pPr>
            <w:r>
              <w:rPr>
                <w:color w:val="000000"/>
              </w:rPr>
              <w:t>Private Non-residential</w:t>
            </w:r>
          </w:p>
        </w:tc>
        <w:tc>
          <w:tcPr>
            <w:tcW w:w="1879" w:type="dxa"/>
          </w:tcPr>
          <w:p w:rsidR="00ED100B" w:rsidP="009B4FE1" w14:paraId="7CA47160" w14:textId="06A4CE2C">
            <w:pPr>
              <w:pStyle w:val="xmsonormal"/>
              <w:spacing w:before="0" w:beforeAutospacing="0" w:after="0" w:afterAutospacing="0"/>
              <w:jc w:val="right"/>
              <w:rPr>
                <w:color w:val="000000"/>
              </w:rPr>
            </w:pPr>
            <w:r>
              <w:rPr>
                <w:color w:val="000000"/>
              </w:rPr>
              <w:t>80%</w:t>
            </w:r>
          </w:p>
        </w:tc>
        <w:tc>
          <w:tcPr>
            <w:tcW w:w="1980" w:type="dxa"/>
          </w:tcPr>
          <w:p w:rsidR="00ED100B" w:rsidP="009B4FE1" w14:paraId="4B9E68A9" w14:textId="454F6D14">
            <w:pPr>
              <w:pStyle w:val="xmsonormal"/>
              <w:spacing w:before="0" w:beforeAutospacing="0" w:after="0" w:afterAutospacing="0"/>
              <w:jc w:val="right"/>
              <w:rPr>
                <w:color w:val="000000"/>
              </w:rPr>
            </w:pPr>
            <w:r>
              <w:rPr>
                <w:color w:val="000000"/>
              </w:rPr>
              <w:t>82%</w:t>
            </w:r>
          </w:p>
        </w:tc>
      </w:tr>
      <w:tr w14:paraId="7B6487C8" w14:textId="77777777" w:rsidTr="009B4FE1">
        <w:tblPrEx>
          <w:tblW w:w="0" w:type="auto"/>
          <w:tblInd w:w="810" w:type="dxa"/>
          <w:tblLook w:val="04A0"/>
        </w:tblPrEx>
        <w:trPr>
          <w:trHeight w:val="350"/>
        </w:trPr>
        <w:tc>
          <w:tcPr>
            <w:tcW w:w="2796" w:type="dxa"/>
          </w:tcPr>
          <w:p w:rsidR="00ED100B" w:rsidP="009B4FE1" w14:paraId="0BAA5D68" w14:textId="77777777">
            <w:pPr>
              <w:pStyle w:val="xmsonormal"/>
              <w:spacing w:before="0" w:beforeAutospacing="0" w:after="0" w:afterAutospacing="0"/>
              <w:rPr>
                <w:color w:val="000000"/>
              </w:rPr>
            </w:pPr>
            <w:r>
              <w:rPr>
                <w:color w:val="000000"/>
              </w:rPr>
              <w:t>State and Local</w:t>
            </w:r>
          </w:p>
        </w:tc>
        <w:tc>
          <w:tcPr>
            <w:tcW w:w="1879" w:type="dxa"/>
          </w:tcPr>
          <w:p w:rsidR="00ED100B" w:rsidP="009B4FE1" w14:paraId="21CE07EB" w14:textId="078E31F1">
            <w:pPr>
              <w:pStyle w:val="xmsonormal"/>
              <w:spacing w:before="0" w:beforeAutospacing="0" w:after="0" w:afterAutospacing="0"/>
              <w:jc w:val="right"/>
              <w:rPr>
                <w:color w:val="000000"/>
              </w:rPr>
            </w:pPr>
            <w:r>
              <w:rPr>
                <w:color w:val="000000"/>
              </w:rPr>
              <w:t>95%</w:t>
            </w:r>
          </w:p>
        </w:tc>
        <w:tc>
          <w:tcPr>
            <w:tcW w:w="1980" w:type="dxa"/>
          </w:tcPr>
          <w:p w:rsidR="00ED100B" w:rsidP="009B4FE1" w14:paraId="7812917E" w14:textId="6A1D5238">
            <w:pPr>
              <w:pStyle w:val="xmsonormal"/>
              <w:spacing w:before="0" w:beforeAutospacing="0" w:after="0" w:afterAutospacing="0"/>
              <w:jc w:val="right"/>
              <w:rPr>
                <w:color w:val="000000"/>
              </w:rPr>
            </w:pPr>
            <w:r>
              <w:rPr>
                <w:color w:val="000000"/>
              </w:rPr>
              <w:t>94%</w:t>
            </w:r>
          </w:p>
        </w:tc>
      </w:tr>
      <w:tr w14:paraId="14759579" w14:textId="77777777" w:rsidTr="009B4FE1">
        <w:tblPrEx>
          <w:tblW w:w="0" w:type="auto"/>
          <w:tblInd w:w="810" w:type="dxa"/>
          <w:tblLook w:val="04A0"/>
        </w:tblPrEx>
        <w:trPr>
          <w:trHeight w:val="431"/>
        </w:trPr>
        <w:tc>
          <w:tcPr>
            <w:tcW w:w="2796" w:type="dxa"/>
          </w:tcPr>
          <w:p w:rsidR="00ED100B" w:rsidP="009B4FE1" w14:paraId="5AB9EAFB" w14:textId="77777777">
            <w:pPr>
              <w:pStyle w:val="xmsonormal"/>
              <w:spacing w:before="0" w:beforeAutospacing="0" w:after="0" w:afterAutospacing="0"/>
              <w:rPr>
                <w:color w:val="000000"/>
              </w:rPr>
            </w:pPr>
            <w:r>
              <w:rPr>
                <w:color w:val="000000"/>
              </w:rPr>
              <w:t>Federal</w:t>
            </w:r>
          </w:p>
        </w:tc>
        <w:tc>
          <w:tcPr>
            <w:tcW w:w="1879" w:type="dxa"/>
          </w:tcPr>
          <w:p w:rsidR="00ED100B" w:rsidP="009B4FE1" w14:paraId="29788B9B" w14:textId="2913D2E2">
            <w:pPr>
              <w:pStyle w:val="xmsonormal"/>
              <w:spacing w:before="0" w:beforeAutospacing="0" w:after="0" w:afterAutospacing="0"/>
              <w:jc w:val="right"/>
              <w:rPr>
                <w:color w:val="000000"/>
              </w:rPr>
            </w:pPr>
            <w:r>
              <w:rPr>
                <w:color w:val="000000"/>
              </w:rPr>
              <w:t>94%</w:t>
            </w:r>
          </w:p>
        </w:tc>
        <w:tc>
          <w:tcPr>
            <w:tcW w:w="1980" w:type="dxa"/>
          </w:tcPr>
          <w:p w:rsidR="00ED100B" w:rsidP="009B4FE1" w14:paraId="10908CC8" w14:textId="526B8BA6">
            <w:pPr>
              <w:pStyle w:val="xmsonormal"/>
              <w:spacing w:before="0" w:beforeAutospacing="0" w:after="0" w:afterAutospacing="0"/>
              <w:jc w:val="right"/>
              <w:rPr>
                <w:color w:val="000000"/>
              </w:rPr>
            </w:pPr>
            <w:r>
              <w:rPr>
                <w:color w:val="000000"/>
              </w:rPr>
              <w:t>95%</w:t>
            </w:r>
          </w:p>
        </w:tc>
      </w:tr>
      <w:tr w14:paraId="7F26C001" w14:textId="77777777" w:rsidTr="009B4FE1">
        <w:tblPrEx>
          <w:tblW w:w="0" w:type="auto"/>
          <w:tblInd w:w="810" w:type="dxa"/>
          <w:tblLook w:val="04A0"/>
        </w:tblPrEx>
        <w:trPr>
          <w:trHeight w:val="359"/>
        </w:trPr>
        <w:tc>
          <w:tcPr>
            <w:tcW w:w="2796" w:type="dxa"/>
          </w:tcPr>
          <w:p w:rsidR="00ED100B" w:rsidP="009B4FE1" w14:paraId="7DF3FB00" w14:textId="77777777">
            <w:pPr>
              <w:pStyle w:val="xmsonormal"/>
              <w:spacing w:before="0" w:beforeAutospacing="0" w:after="0" w:afterAutospacing="0"/>
              <w:rPr>
                <w:color w:val="000000"/>
              </w:rPr>
            </w:pPr>
            <w:r>
              <w:rPr>
                <w:color w:val="000000"/>
              </w:rPr>
              <w:t>Private Multifamily</w:t>
            </w:r>
          </w:p>
        </w:tc>
        <w:tc>
          <w:tcPr>
            <w:tcW w:w="1879" w:type="dxa"/>
          </w:tcPr>
          <w:p w:rsidR="00ED100B" w:rsidP="009B4FE1" w14:paraId="13F12A1C" w14:textId="79B81FE5">
            <w:pPr>
              <w:pStyle w:val="xmsonormal"/>
              <w:spacing w:before="0" w:beforeAutospacing="0" w:after="0" w:afterAutospacing="0"/>
              <w:jc w:val="right"/>
              <w:rPr>
                <w:color w:val="000000"/>
              </w:rPr>
            </w:pPr>
            <w:r>
              <w:rPr>
                <w:color w:val="000000"/>
              </w:rPr>
              <w:t>86%</w:t>
            </w:r>
          </w:p>
        </w:tc>
        <w:tc>
          <w:tcPr>
            <w:tcW w:w="1980" w:type="dxa"/>
          </w:tcPr>
          <w:p w:rsidR="00ED100B" w:rsidP="009B4FE1" w14:paraId="25E9386F" w14:textId="54CD0E9C">
            <w:pPr>
              <w:pStyle w:val="xmsonormal"/>
              <w:spacing w:before="0" w:beforeAutospacing="0" w:after="0" w:afterAutospacing="0"/>
              <w:jc w:val="right"/>
              <w:rPr>
                <w:color w:val="000000"/>
              </w:rPr>
            </w:pPr>
            <w:r>
              <w:rPr>
                <w:color w:val="000000"/>
              </w:rPr>
              <w:t>91%</w:t>
            </w:r>
          </w:p>
        </w:tc>
      </w:tr>
    </w:tbl>
    <w:p w:rsidR="009626FF" w14:paraId="7582A2A6" w14:textId="77777777">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pPr>
    </w:p>
    <w:p w:rsidR="00ED100B" w14:paraId="0179127A" w14:textId="62261E44">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pPr>
      <w:r>
        <w:t xml:space="preserve">The lower response rates for total construction value are mainly due to the inability to collect data due to respondent refusals, which make up about 44% of all sample cases.  The average TQRR for total construction value for refusals is 34% for multifamily </w:t>
      </w:r>
      <w:r>
        <w:t>projects, 35% for private nonresidential projects,</w:t>
      </w:r>
      <w:r w:rsidR="00BD54BA">
        <w:t xml:space="preserve"> 37% for federal projects, and</w:t>
      </w:r>
      <w:r>
        <w:t xml:space="preserve"> 53% for state &amp; local projects.</w:t>
      </w:r>
    </w:p>
    <w:p w:rsidR="00ED100B" w14:paraId="1179B3C6" w14:textId="77777777">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pPr>
    </w:p>
    <w:p w:rsidR="00ED100B" w14:paraId="109C6F00" w14:textId="77777777">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pPr>
    </w:p>
    <w:p w:rsidR="00037762" w14:paraId="3BE9B183" w14:textId="35631657">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pPr>
      <w:r>
        <w:t xml:space="preserve">Projects are selected </w:t>
      </w:r>
      <w:r w:rsidR="00456914">
        <w:t xml:space="preserve">each month </w:t>
      </w:r>
      <w:r>
        <w:t>using stratified systematic sampling procedures. Projects are stratified within ownership (private nonresidential, state &amp; local, federal) by type of construction</w:t>
      </w:r>
      <w:r w:rsidR="002D47D1">
        <w:t xml:space="preserve"> </w:t>
      </w:r>
      <w:r w:rsidR="00563FCD">
        <w:t>(TC)</w:t>
      </w:r>
      <w:r>
        <w:t xml:space="preserve"> and </w:t>
      </w:r>
      <w:r w:rsidR="00456914">
        <w:t xml:space="preserve">estimated project </w:t>
      </w:r>
      <w:r>
        <w:t xml:space="preserve">value.  </w:t>
      </w:r>
      <w:r w:rsidR="00456914">
        <w:t xml:space="preserve">Stratum sampling rates were </w:t>
      </w:r>
      <w:r w:rsidR="00EA7989">
        <w:t xml:space="preserve">initially </w:t>
      </w:r>
      <w:r w:rsidR="00456914">
        <w:t xml:space="preserve">determined by applying Chromy’s algorithm for </w:t>
      </w:r>
      <w:r w:rsidR="00563FCD">
        <w:t>multivariate sample allocation which optimizes sample size based on cost and variance constraints. The target coefficients of variation (CVs) for major TCs w</w:t>
      </w:r>
      <w:r w:rsidR="00A4699C">
        <w:t>ere</w:t>
      </w:r>
      <w:r w:rsidR="00563FCD">
        <w:t xml:space="preserve"> set between 10-20%, and 35% and 50% f</w:t>
      </w:r>
      <w:r w:rsidR="00DF3B80">
        <w:t xml:space="preserve">or nested subcategories within each major TC. Optimal sample sizes were then boosted to account for expected rate </w:t>
      </w:r>
      <w:r w:rsidR="00A4699C">
        <w:t xml:space="preserve">of nonresponse in each TC group and sampling rates for each </w:t>
      </w:r>
      <w:r w:rsidR="00A4699C">
        <w:t>strata</w:t>
      </w:r>
      <w:r w:rsidR="00A4699C">
        <w:t xml:space="preserve"> were determined. </w:t>
      </w:r>
      <w:r w:rsidR="00344F79">
        <w:t>Starting in January 2023, a new certainty stratum boundary was introduced, so that only projects with a selection value of $100M or more are selected with certainty for private non-residential projects, state &amp; local or federal projects. The previous certainty stratum was $10M or more. Projects valued between $10M and $99M are now sampled at a rate of 1/2. This change was made to reduce the workload of new cases entering the sample each month.</w:t>
      </w:r>
      <w:r w:rsidR="00601CA2">
        <w:t xml:space="preserve">  Sampling rates for the remaining value strata (under $10M) were also lowered.</w:t>
      </w:r>
      <w:r w:rsidR="009F3ED8">
        <w:t xml:space="preserve">  Since this change the new case workload has been reduced by </w:t>
      </w:r>
      <w:r w:rsidR="00BF00AD">
        <w:t xml:space="preserve">about 540 </w:t>
      </w:r>
      <w:r w:rsidR="009F3ED8">
        <w:t>cases on average each month</w:t>
      </w:r>
      <w:r w:rsidR="00BF00AD">
        <w:t xml:space="preserve">, decreasing the total number of cases for the year by about 6,500. </w:t>
      </w:r>
      <w:r w:rsidR="009F3ED8">
        <w:t>Currently</w:t>
      </w:r>
      <w:r w:rsidR="00DE5EF3">
        <w:t>, as of July 2024,</w:t>
      </w:r>
      <w:r w:rsidR="009F3ED8">
        <w:t xml:space="preserve"> about 27% of the active cases were sampled prior to </w:t>
      </w:r>
      <w:r w:rsidR="002C0311">
        <w:t>January 2023, with</w:t>
      </w:r>
      <w:r w:rsidR="009F3ED8">
        <w:t xml:space="preserve"> the remaining 73</w:t>
      </w:r>
      <w:r w:rsidR="00FD7E68">
        <w:t>% sampled</w:t>
      </w:r>
      <w:r w:rsidR="009F3ED8">
        <w:t xml:space="preserve"> under the new stratum sampling rates.</w:t>
      </w:r>
      <w:r w:rsidR="00DE5EF3">
        <w:t xml:space="preserve">  We close</w:t>
      </w:r>
      <w:r w:rsidR="00BF00AD">
        <w:t xml:space="preserve"> </w:t>
      </w:r>
      <w:r w:rsidR="00DE5EF3">
        <w:t xml:space="preserve">out about </w:t>
      </w:r>
      <w:r w:rsidR="00A064FE">
        <w:t>1,400</w:t>
      </w:r>
      <w:r w:rsidR="00DE5EF3">
        <w:t xml:space="preserve"> cases</w:t>
      </w:r>
      <w:r w:rsidR="00A064FE">
        <w:t xml:space="preserve"> on average</w:t>
      </w:r>
      <w:r w:rsidR="00DE5EF3">
        <w:t xml:space="preserve"> each month while taking on about </w:t>
      </w:r>
      <w:r w:rsidR="00781A1F">
        <w:t>1,630</w:t>
      </w:r>
      <w:r w:rsidR="00DE5EF3">
        <w:t xml:space="preserve"> number of new cases each month.  About </w:t>
      </w:r>
      <w:r w:rsidR="00655697">
        <w:t>15-20</w:t>
      </w:r>
      <w:r w:rsidR="00DE5EF3">
        <w:t xml:space="preserve">% of our sample cases become </w:t>
      </w:r>
      <w:r w:rsidR="00BD54BA">
        <w:t xml:space="preserve">complete </w:t>
      </w:r>
      <w:r w:rsidR="00DE5EF3">
        <w:t>refusals after 3 months of non-response, resulting in a need to impute the monthly spending for these cases until their completion</w:t>
      </w:r>
      <w:r w:rsidR="005B43E8">
        <w:t>, but also reducing the interview workload.</w:t>
      </w:r>
      <w:r w:rsidR="00BD54BA">
        <w:t xml:space="preserve"> </w:t>
      </w:r>
      <w:r w:rsidR="00A4699C">
        <w:t>These rates can be found in the survey methodology posted online</w:t>
      </w:r>
      <w:r w:rsidR="00535EBB">
        <w:t xml:space="preserve"> at </w:t>
      </w:r>
      <w:hyperlink r:id="rId5" w:history="1">
        <w:r w:rsidRPr="008E6C3E" w:rsidR="00DE5EF3">
          <w:rPr>
            <w:rStyle w:val="Hyperlink"/>
          </w:rPr>
          <w:t xml:space="preserve">http://www.census.gov/construction/ </w:t>
        </w:r>
        <w:r w:rsidRPr="008E6C3E" w:rsidR="00535EBB">
          <w:rPr>
            <w:rStyle w:val="Hyperlink"/>
          </w:rPr>
          <w:t>c30/methodology.html</w:t>
        </w:r>
      </w:hyperlink>
      <w:r w:rsidR="00A4699C">
        <w:t>.</w:t>
      </w:r>
      <w:r w:rsidR="000E0B92">
        <w:t xml:space="preserve"> Multifamily residential projects that are not duplicates or out-of-scope are selected with certainty from multi-unit projects included in the sample for the Survey of Construction</w:t>
      </w:r>
      <w:r w:rsidR="00021C56">
        <w:t>.</w:t>
      </w:r>
    </w:p>
    <w:p w:rsidR="008D7B27" w14:paraId="7477F471" w14:textId="77777777">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pPr>
    </w:p>
    <w:p w:rsidR="004E6999" w14:paraId="38E98C6F" w14:textId="77777777">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E6999" w14:paraId="72BD620D" w14:textId="77777777">
      <w:pPr>
        <w:pStyle w:val="Quick1"/>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hanging="810"/>
      </w:pPr>
      <w:r>
        <w:tab/>
        <w:t>2.</w:t>
      </w:r>
      <w:r>
        <w:tab/>
      </w:r>
      <w:r>
        <w:rPr>
          <w:u w:val="single"/>
        </w:rPr>
        <w:t>Procedures for Collecting Information</w:t>
      </w:r>
    </w:p>
    <w:p w:rsidR="004E6999" w14:paraId="666783DB" w14:textId="77777777">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25B1E" w:rsidP="00825B1E" w14:paraId="2C3A6192" w14:textId="5601C34B">
      <w:pPr>
        <w:pStyle w:val="NormalWeb"/>
        <w:shd w:val="clear" w:color="auto" w:fill="FFFFFF"/>
        <w:spacing w:before="0" w:beforeAutospacing="0" w:after="0" w:afterAutospacing="0"/>
        <w:ind w:left="810"/>
        <w:rPr>
          <w:rFonts w:ascii="Calibri" w:hAnsi="Calibri"/>
          <w:color w:val="000000"/>
        </w:rPr>
      </w:pPr>
      <w:r>
        <w:rPr>
          <w:color w:val="000000"/>
        </w:rPr>
        <w:t xml:space="preserve">The Census Bureau is contracted with an outside vendor to provide source data on private, </w:t>
      </w:r>
      <w:r>
        <w:rPr>
          <w:color w:val="000000"/>
        </w:rPr>
        <w:t>state</w:t>
      </w:r>
      <w:r>
        <w:rPr>
          <w:color w:val="000000"/>
        </w:rPr>
        <w:t xml:space="preserve"> and local government</w:t>
      </w:r>
      <w:r w:rsidR="00AE4EB4">
        <w:rPr>
          <w:color w:val="000000"/>
        </w:rPr>
        <w:t>,</w:t>
      </w:r>
      <w:r>
        <w:rPr>
          <w:color w:val="000000"/>
        </w:rPr>
        <w:t xml:space="preserve"> and federal government </w:t>
      </w:r>
      <w:r w:rsidR="00BA000E">
        <w:rPr>
          <w:color w:val="000000"/>
        </w:rPr>
        <w:t xml:space="preserve">construction </w:t>
      </w:r>
      <w:r>
        <w:rPr>
          <w:color w:val="000000"/>
        </w:rPr>
        <w:t>projects</w:t>
      </w:r>
      <w:r w:rsidR="00BA000E">
        <w:rPr>
          <w:color w:val="000000"/>
        </w:rPr>
        <w:t xml:space="preserve"> valued at $75,000 or more</w:t>
      </w:r>
      <w:r w:rsidR="000A3B8E">
        <w:rPr>
          <w:color w:val="000000"/>
        </w:rPr>
        <w:t>.</w:t>
      </w:r>
      <w:r>
        <w:rPr>
          <w:color w:val="000000"/>
        </w:rPr>
        <w:t>  Projects in areas not covered by building permit systems or reported by the outside vendor are obtained by Census field staff within a small number of non-</w:t>
      </w:r>
      <w:r>
        <w:rPr>
          <w:color w:val="000000"/>
        </w:rPr>
        <w:t>permit</w:t>
      </w:r>
      <w:r>
        <w:rPr>
          <w:color w:val="000000"/>
        </w:rPr>
        <w:t xml:space="preserve"> areas, and are selected with certainty.  Projects are stratified by type of construction and valuation</w:t>
      </w:r>
      <w:r w:rsidR="00995156">
        <w:rPr>
          <w:color w:val="000000"/>
        </w:rPr>
        <w:t xml:space="preserve"> and then a systematic sample is taken in each strata using predetermined sampling rates</w:t>
      </w:r>
      <w:r w:rsidR="00B12FBE">
        <w:rPr>
          <w:color w:val="000000"/>
        </w:rPr>
        <w:t xml:space="preserve"> which can be found in the methodology posted on our webpage</w:t>
      </w:r>
      <w:r w:rsidR="000A3B8E">
        <w:rPr>
          <w:color w:val="000000"/>
        </w:rPr>
        <w:t>.</w:t>
      </w:r>
      <w:r>
        <w:rPr>
          <w:color w:val="000000"/>
        </w:rPr>
        <w:t xml:space="preserve">  </w:t>
      </w:r>
      <w:r w:rsidRPr="00535EBB">
        <w:rPr>
          <w:color w:val="000000"/>
        </w:rPr>
        <w:t xml:space="preserve">Each month </w:t>
      </w:r>
      <w:r w:rsidRPr="00535EBB" w:rsidR="00B12FBE">
        <w:rPr>
          <w:color w:val="000000"/>
        </w:rPr>
        <w:t>all</w:t>
      </w:r>
      <w:r w:rsidRPr="00535EBB">
        <w:rPr>
          <w:color w:val="000000"/>
        </w:rPr>
        <w:t xml:space="preserve"> new privately owned multi-unit residential building projects </w:t>
      </w:r>
      <w:r w:rsidRPr="00535EBB" w:rsidR="00B12FBE">
        <w:rPr>
          <w:color w:val="000000"/>
        </w:rPr>
        <w:t xml:space="preserve">with 2 or more units are </w:t>
      </w:r>
      <w:r w:rsidRPr="00535EBB">
        <w:rPr>
          <w:color w:val="000000"/>
        </w:rPr>
        <w:t>selected</w:t>
      </w:r>
      <w:r w:rsidRPr="006D5352" w:rsidR="00A52EEC">
        <w:rPr>
          <w:color w:val="000000"/>
        </w:rPr>
        <w:t xml:space="preserve"> to report in CPRS</w:t>
      </w:r>
      <w:r w:rsidRPr="006D5352">
        <w:rPr>
          <w:color w:val="000000"/>
        </w:rPr>
        <w:t xml:space="preserve"> from the sampled cases used in the Census Bureau’s Survey</w:t>
      </w:r>
      <w:r w:rsidRPr="00145E44" w:rsidR="00995156">
        <w:rPr>
          <w:color w:val="000000"/>
        </w:rPr>
        <w:t xml:space="preserve"> of Construction</w:t>
      </w:r>
      <w:r w:rsidRPr="00145E44">
        <w:rPr>
          <w:color w:val="000000"/>
        </w:rPr>
        <w:t>.</w:t>
      </w:r>
      <w:r>
        <w:rPr>
          <w:color w:val="000000"/>
        </w:rPr>
        <w:t xml:space="preserve">  </w:t>
      </w:r>
    </w:p>
    <w:p w:rsidR="00825B1E" w:rsidP="00825B1E" w14:paraId="56BDDEED" w14:textId="77777777">
      <w:pPr>
        <w:pStyle w:val="NormalWeb"/>
        <w:shd w:val="clear" w:color="auto" w:fill="FFFFFF"/>
        <w:spacing w:before="0" w:beforeAutospacing="0" w:after="0" w:afterAutospacing="0"/>
        <w:rPr>
          <w:rFonts w:ascii="Calibri" w:hAnsi="Calibri"/>
          <w:color w:val="000000"/>
        </w:rPr>
      </w:pPr>
      <w:r>
        <w:rPr>
          <w:color w:val="000000"/>
        </w:rPr>
        <w:t> </w:t>
      </w:r>
    </w:p>
    <w:p w:rsidR="00825B1E" w:rsidP="00825B1E" w14:paraId="4D1E0F7A" w14:textId="4951EBF1">
      <w:pPr>
        <w:pStyle w:val="NormalWeb"/>
        <w:shd w:val="clear" w:color="auto" w:fill="FFFFFF"/>
        <w:spacing w:before="0" w:beforeAutospacing="0" w:after="0" w:afterAutospacing="0"/>
        <w:ind w:left="810"/>
        <w:rPr>
          <w:rFonts w:ascii="Calibri" w:hAnsi="Calibri"/>
          <w:color w:val="000000"/>
        </w:rPr>
      </w:pPr>
      <w:r>
        <w:rPr>
          <w:color w:val="000000"/>
        </w:rPr>
        <w:t>Once a project is selected</w:t>
      </w:r>
      <w:r w:rsidR="0017334C">
        <w:rPr>
          <w:color w:val="000000"/>
        </w:rPr>
        <w:t>,</w:t>
      </w:r>
      <w:r>
        <w:rPr>
          <w:color w:val="000000"/>
        </w:rPr>
        <w:t xml:space="preserve"> it remains in the sample until it is completed.  Monthly construction project reports are requested from the appropriate owner, contractor, builder, or agent responsible for the project.  </w:t>
      </w:r>
      <w:r w:rsidRPr="00A55619" w:rsidR="00A55619">
        <w:rPr>
          <w:color w:val="000000"/>
        </w:rPr>
        <w:t xml:space="preserve"> </w:t>
      </w:r>
      <w:r w:rsidR="00A55619">
        <w:rPr>
          <w:color w:val="000000"/>
        </w:rPr>
        <w:t xml:space="preserve">Imputations are made for projects that have not reported at the time of the monthly tabulation, based on estimated total construction value and month of start of the project. </w:t>
      </w:r>
      <w:r w:rsidR="00A52EEC">
        <w:rPr>
          <w:color w:val="000000"/>
        </w:rPr>
        <w:t>Estimates of value put in place are obtained by multiplying the final weight of each project by the monthly reported value and summing all projects. The final weight is a product of the basic weight (reciprocal of the probability of selection) and adjustment factors to account for outliers, costs not included in the monthly construction spending</w:t>
      </w:r>
      <w:r w:rsidR="00FB0A4F">
        <w:rPr>
          <w:color w:val="000000"/>
        </w:rPr>
        <w:t xml:space="preserve"> such as architectural and engineering fees</w:t>
      </w:r>
      <w:r w:rsidR="00A52EEC">
        <w:rPr>
          <w:color w:val="000000"/>
        </w:rPr>
        <w:t xml:space="preserve">, and frame duplication.  </w:t>
      </w:r>
      <w:r w:rsidR="00956F74">
        <w:rPr>
          <w:color w:val="000000"/>
        </w:rPr>
        <w:t>Weighted data are summed over all sample project</w:t>
      </w:r>
      <w:r w:rsidR="00E05C9F">
        <w:rPr>
          <w:color w:val="000000"/>
        </w:rPr>
        <w:t>s</w:t>
      </w:r>
      <w:r w:rsidR="00956F74">
        <w:rPr>
          <w:color w:val="000000"/>
        </w:rPr>
        <w:t xml:space="preserve"> by type of construction and ownerships (private, </w:t>
      </w:r>
      <w:r w:rsidR="00956F74">
        <w:rPr>
          <w:color w:val="000000"/>
        </w:rPr>
        <w:t>state</w:t>
      </w:r>
      <w:r w:rsidR="00956F74">
        <w:rPr>
          <w:color w:val="000000"/>
        </w:rPr>
        <w:t xml:space="preserve"> and local, and federal). </w:t>
      </w:r>
      <w:r w:rsidR="00A52EEC">
        <w:rPr>
          <w:color w:val="000000"/>
        </w:rPr>
        <w:t xml:space="preserve">In </w:t>
      </w:r>
      <w:r w:rsidR="00237B99">
        <w:rPr>
          <w:color w:val="000000"/>
        </w:rPr>
        <w:t>addition,</w:t>
      </w:r>
      <w:r w:rsidR="00A52EEC">
        <w:rPr>
          <w:color w:val="000000"/>
        </w:rPr>
        <w:t xml:space="preserve"> </w:t>
      </w:r>
      <w:r w:rsidR="00A52EEC">
        <w:rPr>
          <w:color w:val="000000"/>
        </w:rPr>
        <w:t>undercoverage</w:t>
      </w:r>
      <w:r w:rsidR="00A52EEC">
        <w:rPr>
          <w:color w:val="000000"/>
        </w:rPr>
        <w:t xml:space="preserve"> factors are applied </w:t>
      </w:r>
      <w:r w:rsidR="00956F74">
        <w:rPr>
          <w:color w:val="000000"/>
        </w:rPr>
        <w:t xml:space="preserve">to </w:t>
      </w:r>
      <w:r w:rsidR="00A55619">
        <w:rPr>
          <w:color w:val="000000"/>
        </w:rPr>
        <w:t xml:space="preserve">projects in each ownership to </w:t>
      </w:r>
      <w:r w:rsidR="00956F74">
        <w:rPr>
          <w:color w:val="000000"/>
        </w:rPr>
        <w:t>account for projects not included in the frame.</w:t>
      </w:r>
      <w:r w:rsidR="00A55619">
        <w:rPr>
          <w:color w:val="000000"/>
        </w:rPr>
        <w:t xml:space="preserve"> Private</w:t>
      </w:r>
      <w:r w:rsidR="000A3B8E">
        <w:rPr>
          <w:color w:val="000000"/>
        </w:rPr>
        <w:t xml:space="preserve"> manufacturing</w:t>
      </w:r>
      <w:r w:rsidR="00A55619">
        <w:rPr>
          <w:color w:val="000000"/>
        </w:rPr>
        <w:t xml:space="preserve"> construction is benchmarked to the Annual Capital Expenditures Survey.</w:t>
      </w:r>
    </w:p>
    <w:p w:rsidR="004E6999" w14:paraId="15448BF2" w14:textId="77777777">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E6999" w14:paraId="01B9877A" w14:textId="77777777">
      <w:pPr>
        <w:pStyle w:val="Quick1"/>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hanging="810"/>
      </w:pPr>
      <w:r>
        <w:tab/>
        <w:t>3.</w:t>
      </w:r>
      <w:r>
        <w:tab/>
      </w:r>
      <w:r>
        <w:rPr>
          <w:u w:val="single"/>
        </w:rPr>
        <w:t>Methods to Maximize Response</w:t>
      </w:r>
    </w:p>
    <w:p w:rsidR="004E6999" w14:paraId="458F0E83" w14:textId="77777777">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D5857" w:rsidP="004D5857" w14:paraId="35C0DAE2" w14:textId="3634A40D">
      <w:pPr>
        <w:ind w:left="720"/>
        <w:rPr>
          <w:iCs/>
          <w:szCs w:val="24"/>
        </w:rPr>
      </w:pPr>
      <w:r w:rsidRPr="00AE3633">
        <w:t xml:space="preserve">To increase response rates, respondents are </w:t>
      </w:r>
      <w:r w:rsidRPr="00AE3633" w:rsidR="00C765E1">
        <w:t>encouraged</w:t>
      </w:r>
      <w:r w:rsidRPr="00AE3633">
        <w:t xml:space="preserve"> to report online.  Respondents who choose to respond via Centurion receive email notifications rather than </w:t>
      </w:r>
      <w:r w:rsidRPr="00AE3633" w:rsidR="00724311">
        <w:t xml:space="preserve">letters or </w:t>
      </w:r>
      <w:r w:rsidRPr="00AE3633">
        <w:t xml:space="preserve">paper forms. </w:t>
      </w:r>
      <w:r>
        <w:t>Thus, w</w:t>
      </w:r>
      <w:r w:rsidRPr="00135B6C">
        <w:rPr>
          <w:iCs/>
          <w:szCs w:val="24"/>
        </w:rPr>
        <w:t>e have also drastically reduced the amount of paper survey forms that are generated each month. Instead, a pressure sealed letter is sent to respondents to encourage them to report online via their login credentials. Because of the speed in submitting and loading data via Centurion v</w:t>
      </w:r>
      <w:r>
        <w:rPr>
          <w:iCs/>
          <w:szCs w:val="24"/>
        </w:rPr>
        <w:t>er</w:t>
      </w:r>
      <w:r w:rsidRPr="00135B6C">
        <w:rPr>
          <w:iCs/>
          <w:szCs w:val="24"/>
        </w:rPr>
        <w:t>s</w:t>
      </w:r>
      <w:r>
        <w:rPr>
          <w:iCs/>
          <w:szCs w:val="24"/>
        </w:rPr>
        <w:t>us</w:t>
      </w:r>
      <w:r w:rsidRPr="00135B6C">
        <w:rPr>
          <w:iCs/>
          <w:szCs w:val="24"/>
        </w:rPr>
        <w:t xml:space="preserve"> having to mail back a paper form, respondents are indirectly given more time to complete the survey. This is a positive improvement for the response rate.</w:t>
      </w:r>
    </w:p>
    <w:p w:rsidR="004D5857" w:rsidP="004D5857" w14:paraId="2E3C17C6" w14:textId="4299CD65">
      <w:pPr>
        <w:ind w:left="720"/>
      </w:pPr>
    </w:p>
    <w:p w:rsidR="004D5857" w:rsidP="004D5857" w14:paraId="0A4DF985" w14:textId="3A4DC4FE">
      <w:pPr>
        <w:ind w:left="720"/>
        <w:rPr>
          <w:iCs/>
          <w:szCs w:val="24"/>
        </w:rPr>
      </w:pPr>
      <w:r w:rsidRPr="00A834DB">
        <w:rPr>
          <w:iCs/>
          <w:szCs w:val="24"/>
        </w:rPr>
        <w:t>We have expanded the use of email for contact, leveraging an automated “eblast” process for both initial and follow-up operations.</w:t>
      </w:r>
      <w:r>
        <w:rPr>
          <w:iCs/>
          <w:szCs w:val="24"/>
        </w:rPr>
        <w:t xml:space="preserve"> </w:t>
      </w:r>
      <w:r w:rsidRPr="00135B6C">
        <w:rPr>
          <w:iCs/>
          <w:szCs w:val="24"/>
        </w:rPr>
        <w:t>We now utilize the email blast twice a month. The first blast is delivered on the first day of the processing month to eligible Centurion respondents. The second email blast occurs in the middle of the month and is targeted to respondents that have yet to report, which potentially increases the response rate.</w:t>
      </w:r>
    </w:p>
    <w:p w:rsidR="004D5857" w:rsidP="004D5857" w14:paraId="171CB19D" w14:textId="77777777">
      <w:pPr>
        <w:ind w:left="720"/>
        <w:rPr>
          <w:iCs/>
          <w:szCs w:val="24"/>
        </w:rPr>
      </w:pPr>
    </w:p>
    <w:p w:rsidR="00CF28DF" w:rsidP="004D5857" w14:paraId="579566E5" w14:textId="59DD7AEC">
      <w:pPr>
        <w:ind w:left="720"/>
      </w:pPr>
      <w:r w:rsidRPr="00AE3633">
        <w:t xml:space="preserve">Several attempts are made to collect information by telephone follow-up if a response has not been received online or by mail or fax.  </w:t>
      </w:r>
      <w:r w:rsidRPr="00A834DB" w:rsidR="004D5857">
        <w:rPr>
          <w:iCs/>
          <w:szCs w:val="24"/>
        </w:rPr>
        <w:t>In conjunction with ongoing efforts to transition from reliance on mailed survey forms to paperless options, we are encouraging as much online reporting as possible.  This effectively provides respondents with more time to complete their response while still meeting our indicator processing deadlines, and in turn can support a positive impact on our overall response rate.</w:t>
      </w:r>
    </w:p>
    <w:p w:rsidR="00CF28DF" w:rsidP="008C3910" w14:paraId="51AB0251" w14:textId="77777777">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pPr>
    </w:p>
    <w:p w:rsidR="00CF28DF" w:rsidP="00CF28DF" w14:paraId="53507DDF" w14:textId="19E035B4">
      <w:pPr>
        <w:ind w:left="720"/>
        <w:rPr>
          <w:iCs/>
          <w:szCs w:val="24"/>
        </w:rPr>
      </w:pPr>
      <w:r w:rsidRPr="00135B6C">
        <w:rPr>
          <w:iCs/>
          <w:szCs w:val="24"/>
        </w:rPr>
        <w:t>In April 2020, the CPRS robocall was first introduced to quickly call thousands of respondents to encourage them to report online. Because of the success of the robocall, its relative low cost, and NPC’s inability to completely their normal monthly calling workload, the robocall was permanently implemented for CPRS later in 2020.</w:t>
      </w:r>
      <w:r>
        <w:rPr>
          <w:iCs/>
          <w:szCs w:val="24"/>
        </w:rPr>
        <w:t xml:space="preserve"> </w:t>
      </w:r>
      <w:r w:rsidRPr="00AE3633">
        <w:t xml:space="preserve">We </w:t>
      </w:r>
      <w:r w:rsidRPr="00A834DB">
        <w:t>utilize</w:t>
      </w:r>
      <w:r w:rsidRPr="00AE3633">
        <w:t xml:space="preserve"> robocall technology to ensure every active respondent is contacted at least once per </w:t>
      </w:r>
      <w:r w:rsidRPr="00AE3633">
        <w:t>month. If a respondent has more than one project in the sample, information is requested for all projects with one telephone call.  Each respondent is contacted at their requested time by the computer assisted interview process known as the Call Scheduler.  In addition to telephone follow-ups, letters are mailed to respondents to encourage response (see Attachments F-</w:t>
      </w:r>
      <w:r>
        <w:t>H</w:t>
      </w:r>
      <w:r w:rsidRPr="00AE3633">
        <w:t xml:space="preserve">).  </w:t>
      </w:r>
      <w:r w:rsidRPr="00135B6C">
        <w:rPr>
          <w:iCs/>
          <w:szCs w:val="24"/>
        </w:rPr>
        <w:t xml:space="preserve"> Today the robocall continues to be used in coordination with the Call Scheduler table and is utilized to call over 3,000 respondents each month. This has freed NPC staff to concentrate their efforts on contacting delinquent respondents for a second (and possibly third time) each month to get their VIP.</w:t>
      </w:r>
    </w:p>
    <w:p w:rsidR="00CF28DF" w:rsidRPr="00135B6C" w:rsidP="00CF28DF" w14:paraId="5F6F6CB2" w14:textId="77777777">
      <w:pPr>
        <w:ind w:left="720"/>
        <w:rPr>
          <w:iCs/>
          <w:szCs w:val="24"/>
        </w:rPr>
      </w:pPr>
    </w:p>
    <w:p w:rsidR="004D5857" w:rsidP="00D02F04" w14:paraId="504BD500" w14:textId="4AB3A46F">
      <w:pPr>
        <w:ind w:left="720"/>
        <w:rPr>
          <w:iCs/>
          <w:szCs w:val="24"/>
        </w:rPr>
      </w:pPr>
      <w:r w:rsidRPr="00AE3633">
        <w:t xml:space="preserve">For State and Local Government’s that publish their project spending on their websites, we extract the relevant spending information that is needed for our survey without requesting additional response from the respondent.  Additionally, we have developed reporting arrangements with other State and Local Governments who send us consolidated reporting via a monthly spreadsheet.  </w:t>
      </w:r>
      <w:r w:rsidRPr="00A834DB" w:rsidR="00D02F04">
        <w:rPr>
          <w:iCs/>
          <w:szCs w:val="24"/>
        </w:rPr>
        <w:t>Beginning with the November 2019 statistical period, Census HQ staff began transitioning state Department of Transportations (DOTs) to an autoloading process.  Since that initial effort, we have successfully converted 1</w:t>
      </w:r>
      <w:r w:rsidRPr="00A834DB" w:rsidR="006F122E">
        <w:rPr>
          <w:iCs/>
          <w:szCs w:val="24"/>
        </w:rPr>
        <w:t>3</w:t>
      </w:r>
      <w:r w:rsidRPr="00A834DB" w:rsidR="00D02F04">
        <w:rPr>
          <w:iCs/>
          <w:szCs w:val="24"/>
        </w:rPr>
        <w:t xml:space="preserve"> DOTs comprising over 1,</w:t>
      </w:r>
      <w:r w:rsidRPr="00A834DB" w:rsidR="006F122E">
        <w:rPr>
          <w:iCs/>
          <w:szCs w:val="24"/>
        </w:rPr>
        <w:t>6</w:t>
      </w:r>
      <w:r w:rsidRPr="00A834DB" w:rsidR="00D02F04">
        <w:rPr>
          <w:iCs/>
          <w:szCs w:val="24"/>
        </w:rPr>
        <w:t xml:space="preserve">00 projects to this more streamlined and efficient collection process.  </w:t>
      </w:r>
    </w:p>
    <w:p w:rsidR="00CF28DF" w:rsidRPr="004D5857" w:rsidP="004D5857" w14:paraId="55DD2582" w14:textId="16D73A1F">
      <w:pPr>
        <w:ind w:left="720"/>
        <w:rPr>
          <w:iCs/>
        </w:rPr>
      </w:pPr>
    </w:p>
    <w:p w:rsidR="00885F35" w:rsidRPr="004D5857" w:rsidP="004D5857" w14:paraId="0EB1FDA4" w14:textId="77777777">
      <w:pPr>
        <w:pStyle w:val="xmsonormal"/>
        <w:shd w:val="clear" w:color="auto" w:fill="FFFFFF"/>
        <w:spacing w:before="0" w:beforeAutospacing="0" w:after="0" w:afterAutospacing="0"/>
        <w:ind w:left="720"/>
        <w:rPr>
          <w:iCs/>
          <w:color w:val="000000"/>
        </w:rPr>
      </w:pPr>
      <w:r w:rsidRPr="004D5857">
        <w:rPr>
          <w:iCs/>
          <w:color w:val="000000"/>
        </w:rPr>
        <w:t>We can see this improvement in response rates best if we consider only the cases being actively collected. The monthly value of construction unit response rates after 3 months of collection effort are much improved because of these collective efforts. The tables below show the average monthly unit response rate and total quantity response rates for 2020 compared to an average based on the most recent available 12 months (May 2023-April 2024).</w:t>
      </w:r>
    </w:p>
    <w:p w:rsidR="00885F35" w:rsidRPr="00E400AA" w:rsidP="00885F35" w14:paraId="5D5C481B" w14:textId="77777777">
      <w:pPr>
        <w:pStyle w:val="xmsonormal"/>
        <w:shd w:val="clear" w:color="auto" w:fill="FFFFFF"/>
        <w:spacing w:before="0" w:beforeAutospacing="0" w:after="0" w:afterAutospacing="0"/>
        <w:ind w:left="810"/>
        <w:rPr>
          <w:rFonts w:asciiTheme="minorHAnsi" w:hAnsiTheme="minorHAnsi" w:cstheme="minorHAnsi"/>
          <w:color w:val="000000"/>
        </w:rPr>
      </w:pPr>
    </w:p>
    <w:p w:rsidR="00885F35" w:rsidRPr="004D5857" w:rsidP="004D5857" w14:paraId="3847113F" w14:textId="77777777">
      <w:pPr>
        <w:ind w:left="720"/>
        <w:rPr>
          <w:rFonts w:cstheme="minorHAnsi"/>
          <w:szCs w:val="24"/>
        </w:rPr>
      </w:pPr>
      <w:r w:rsidRPr="004D5857">
        <w:rPr>
          <w:rFonts w:cstheme="minorHAnsi"/>
          <w:szCs w:val="24"/>
        </w:rPr>
        <w:t>Based on January 2020-December 2020, these average monthly rates were:</w:t>
      </w:r>
    </w:p>
    <w:tbl>
      <w:tblPr>
        <w:tblStyle w:val="TableGrid"/>
        <w:tblW w:w="0" w:type="auto"/>
        <w:tblInd w:w="1530" w:type="dxa"/>
        <w:tblLook w:val="04A0"/>
      </w:tblPr>
      <w:tblGrid>
        <w:gridCol w:w="2796"/>
        <w:gridCol w:w="1879"/>
        <w:gridCol w:w="1440"/>
      </w:tblGrid>
      <w:tr w14:paraId="252A0B32" w14:textId="77777777" w:rsidTr="004D5857">
        <w:tblPrEx>
          <w:tblW w:w="0" w:type="auto"/>
          <w:tblInd w:w="1530" w:type="dxa"/>
          <w:tblLook w:val="04A0"/>
        </w:tblPrEx>
        <w:trPr>
          <w:trHeight w:val="879"/>
        </w:trPr>
        <w:tc>
          <w:tcPr>
            <w:tcW w:w="2796" w:type="dxa"/>
          </w:tcPr>
          <w:p w:rsidR="00885F35" w:rsidRPr="008C3910" w:rsidP="00135B6C" w14:paraId="196D64C6" w14:textId="77777777">
            <w:pPr>
              <w:pStyle w:val="xmsonormal"/>
              <w:spacing w:before="0" w:beforeAutospacing="0" w:after="0" w:afterAutospacing="0"/>
              <w:rPr>
                <w:rFonts w:asciiTheme="minorHAnsi" w:hAnsiTheme="minorHAnsi" w:cstheme="minorHAnsi"/>
                <w:color w:val="000000"/>
              </w:rPr>
            </w:pPr>
          </w:p>
        </w:tc>
        <w:tc>
          <w:tcPr>
            <w:tcW w:w="1879" w:type="dxa"/>
          </w:tcPr>
          <w:p w:rsidR="00885F35" w:rsidRPr="008C3910" w:rsidP="00135B6C" w14:paraId="14BFACF7" w14:textId="77777777">
            <w:pPr>
              <w:pStyle w:val="xmsonormal"/>
              <w:spacing w:before="0" w:beforeAutospacing="0" w:after="0" w:afterAutospacing="0"/>
              <w:rPr>
                <w:rFonts w:asciiTheme="minorHAnsi" w:hAnsiTheme="minorHAnsi" w:cstheme="minorHAnsi"/>
                <w:color w:val="000000"/>
              </w:rPr>
            </w:pPr>
            <w:r w:rsidRPr="008C3910">
              <w:rPr>
                <w:rFonts w:asciiTheme="minorHAnsi" w:hAnsiTheme="minorHAnsi" w:cstheme="minorHAnsi"/>
                <w:color w:val="000000"/>
              </w:rPr>
              <w:t>Unit Response Rate</w:t>
            </w:r>
          </w:p>
          <w:p w:rsidR="00885F35" w:rsidRPr="008C3910" w:rsidP="00135B6C" w14:paraId="185B3994" w14:textId="77777777">
            <w:pPr>
              <w:pStyle w:val="xmsonormal"/>
              <w:spacing w:before="0" w:beforeAutospacing="0" w:after="0" w:afterAutospacing="0"/>
              <w:rPr>
                <w:rFonts w:asciiTheme="minorHAnsi" w:hAnsiTheme="minorHAnsi" w:cstheme="minorHAnsi"/>
                <w:color w:val="000000"/>
              </w:rPr>
            </w:pPr>
            <w:r w:rsidRPr="008C3910">
              <w:rPr>
                <w:rFonts w:asciiTheme="minorHAnsi" w:hAnsiTheme="minorHAnsi" w:cstheme="minorHAnsi"/>
                <w:color w:val="000000"/>
              </w:rPr>
              <w:t>(URR)</w:t>
            </w:r>
          </w:p>
        </w:tc>
        <w:tc>
          <w:tcPr>
            <w:tcW w:w="1440" w:type="dxa"/>
          </w:tcPr>
          <w:p w:rsidR="00885F35" w:rsidRPr="008C3910" w:rsidP="00135B6C" w14:paraId="7EBC9EEE" w14:textId="77777777">
            <w:pPr>
              <w:pStyle w:val="xmsonormal"/>
              <w:spacing w:before="0" w:beforeAutospacing="0" w:after="0" w:afterAutospacing="0"/>
              <w:rPr>
                <w:rFonts w:asciiTheme="minorHAnsi" w:hAnsiTheme="minorHAnsi" w:cstheme="minorHAnsi"/>
                <w:color w:val="000000"/>
              </w:rPr>
            </w:pPr>
            <w:r w:rsidRPr="008C3910">
              <w:rPr>
                <w:rFonts w:asciiTheme="minorHAnsi" w:hAnsiTheme="minorHAnsi" w:cstheme="minorHAnsi"/>
                <w:color w:val="000000"/>
              </w:rPr>
              <w:t>Total Quantity Response Rate (TQRR)</w:t>
            </w:r>
          </w:p>
        </w:tc>
      </w:tr>
      <w:tr w14:paraId="615B85F4" w14:textId="77777777" w:rsidTr="004D5857">
        <w:tblPrEx>
          <w:tblW w:w="0" w:type="auto"/>
          <w:tblInd w:w="1530" w:type="dxa"/>
          <w:tblLook w:val="04A0"/>
        </w:tblPrEx>
        <w:trPr>
          <w:trHeight w:val="350"/>
        </w:trPr>
        <w:tc>
          <w:tcPr>
            <w:tcW w:w="2796" w:type="dxa"/>
          </w:tcPr>
          <w:p w:rsidR="00885F35" w:rsidRPr="008C3910" w:rsidP="00135B6C" w14:paraId="58FC4505" w14:textId="77777777">
            <w:pPr>
              <w:pStyle w:val="xmsonormal"/>
              <w:spacing w:before="0" w:beforeAutospacing="0" w:after="0" w:afterAutospacing="0"/>
              <w:rPr>
                <w:rFonts w:asciiTheme="minorHAnsi" w:hAnsiTheme="minorHAnsi" w:cstheme="minorHAnsi"/>
                <w:color w:val="000000"/>
              </w:rPr>
            </w:pPr>
            <w:r w:rsidRPr="008C3910">
              <w:rPr>
                <w:rFonts w:asciiTheme="minorHAnsi" w:hAnsiTheme="minorHAnsi" w:cstheme="minorHAnsi"/>
                <w:color w:val="000000"/>
              </w:rPr>
              <w:t>Private Non-residential</w:t>
            </w:r>
          </w:p>
        </w:tc>
        <w:tc>
          <w:tcPr>
            <w:tcW w:w="1879" w:type="dxa"/>
          </w:tcPr>
          <w:p w:rsidR="00885F35" w:rsidRPr="008C3910" w:rsidP="00135B6C" w14:paraId="60F0B212" w14:textId="77777777">
            <w:pPr>
              <w:pStyle w:val="xmsonormal"/>
              <w:jc w:val="right"/>
              <w:rPr>
                <w:rFonts w:asciiTheme="minorHAnsi" w:hAnsiTheme="minorHAnsi" w:cstheme="minorHAnsi"/>
                <w:color w:val="000000"/>
              </w:rPr>
            </w:pPr>
            <w:r w:rsidRPr="008C3910">
              <w:rPr>
                <w:rFonts w:asciiTheme="minorHAnsi" w:hAnsiTheme="minorHAnsi" w:cstheme="minorHAnsi"/>
                <w:color w:val="000000"/>
              </w:rPr>
              <w:t>49%</w:t>
            </w:r>
          </w:p>
        </w:tc>
        <w:tc>
          <w:tcPr>
            <w:tcW w:w="1440" w:type="dxa"/>
          </w:tcPr>
          <w:p w:rsidR="00885F35" w:rsidRPr="008C3910" w:rsidP="00135B6C" w14:paraId="0CEC53E7" w14:textId="77777777">
            <w:pPr>
              <w:pStyle w:val="xmsonormal"/>
              <w:jc w:val="right"/>
              <w:rPr>
                <w:rFonts w:asciiTheme="minorHAnsi" w:hAnsiTheme="minorHAnsi" w:cstheme="minorHAnsi"/>
                <w:color w:val="000000"/>
              </w:rPr>
            </w:pPr>
            <w:r w:rsidRPr="008C3910">
              <w:rPr>
                <w:rFonts w:asciiTheme="minorHAnsi" w:hAnsiTheme="minorHAnsi" w:cstheme="minorHAnsi"/>
                <w:color w:val="000000"/>
              </w:rPr>
              <w:t>58%</w:t>
            </w:r>
          </w:p>
        </w:tc>
      </w:tr>
      <w:tr w14:paraId="504A81F1" w14:textId="77777777" w:rsidTr="004D5857">
        <w:tblPrEx>
          <w:tblW w:w="0" w:type="auto"/>
          <w:tblInd w:w="1530" w:type="dxa"/>
          <w:tblLook w:val="04A0"/>
        </w:tblPrEx>
        <w:trPr>
          <w:trHeight w:val="287"/>
        </w:trPr>
        <w:tc>
          <w:tcPr>
            <w:tcW w:w="2796" w:type="dxa"/>
          </w:tcPr>
          <w:p w:rsidR="00885F35" w:rsidRPr="008C3910" w:rsidP="00135B6C" w14:paraId="0F2ED4F5" w14:textId="77777777">
            <w:pPr>
              <w:pStyle w:val="xmsonormal"/>
              <w:spacing w:before="0" w:beforeAutospacing="0" w:after="0" w:afterAutospacing="0"/>
              <w:rPr>
                <w:rFonts w:asciiTheme="minorHAnsi" w:hAnsiTheme="minorHAnsi" w:cstheme="minorHAnsi"/>
                <w:color w:val="000000"/>
              </w:rPr>
            </w:pPr>
            <w:r w:rsidRPr="008C3910">
              <w:rPr>
                <w:rFonts w:asciiTheme="minorHAnsi" w:hAnsiTheme="minorHAnsi" w:cstheme="minorHAnsi"/>
                <w:color w:val="000000"/>
              </w:rPr>
              <w:t>State and Local</w:t>
            </w:r>
          </w:p>
        </w:tc>
        <w:tc>
          <w:tcPr>
            <w:tcW w:w="1879" w:type="dxa"/>
          </w:tcPr>
          <w:p w:rsidR="00885F35" w:rsidRPr="008C3910" w:rsidP="00135B6C" w14:paraId="12AC8363" w14:textId="77777777">
            <w:pPr>
              <w:pStyle w:val="xmsonormal"/>
              <w:jc w:val="right"/>
              <w:rPr>
                <w:rFonts w:asciiTheme="minorHAnsi" w:hAnsiTheme="minorHAnsi" w:cstheme="minorHAnsi"/>
                <w:color w:val="000000"/>
              </w:rPr>
            </w:pPr>
            <w:r w:rsidRPr="008C3910">
              <w:rPr>
                <w:rFonts w:asciiTheme="minorHAnsi" w:hAnsiTheme="minorHAnsi" w:cstheme="minorHAnsi"/>
                <w:color w:val="000000"/>
              </w:rPr>
              <w:t>79%</w:t>
            </w:r>
          </w:p>
        </w:tc>
        <w:tc>
          <w:tcPr>
            <w:tcW w:w="1440" w:type="dxa"/>
          </w:tcPr>
          <w:p w:rsidR="00885F35" w:rsidRPr="008C3910" w:rsidP="00135B6C" w14:paraId="7F393245" w14:textId="77777777">
            <w:pPr>
              <w:pStyle w:val="xmsonormal"/>
              <w:jc w:val="right"/>
              <w:rPr>
                <w:rFonts w:asciiTheme="minorHAnsi" w:hAnsiTheme="minorHAnsi" w:cstheme="minorHAnsi"/>
                <w:color w:val="000000"/>
              </w:rPr>
            </w:pPr>
            <w:r w:rsidRPr="008C3910">
              <w:rPr>
                <w:rFonts w:asciiTheme="minorHAnsi" w:hAnsiTheme="minorHAnsi" w:cstheme="minorHAnsi"/>
                <w:color w:val="000000"/>
              </w:rPr>
              <w:t>80%</w:t>
            </w:r>
          </w:p>
        </w:tc>
      </w:tr>
      <w:tr w14:paraId="25F22D5A" w14:textId="77777777" w:rsidTr="004D5857">
        <w:tblPrEx>
          <w:tblW w:w="0" w:type="auto"/>
          <w:tblInd w:w="1530" w:type="dxa"/>
          <w:tblLook w:val="04A0"/>
        </w:tblPrEx>
        <w:trPr>
          <w:trHeight w:val="287"/>
        </w:trPr>
        <w:tc>
          <w:tcPr>
            <w:tcW w:w="2796" w:type="dxa"/>
          </w:tcPr>
          <w:p w:rsidR="00885F35" w:rsidRPr="008C3910" w:rsidP="00135B6C" w14:paraId="5567E493" w14:textId="77777777">
            <w:pPr>
              <w:pStyle w:val="xmsonormal"/>
              <w:spacing w:before="0" w:beforeAutospacing="0" w:after="0" w:afterAutospacing="0"/>
              <w:rPr>
                <w:rFonts w:asciiTheme="minorHAnsi" w:hAnsiTheme="minorHAnsi" w:cstheme="minorHAnsi"/>
                <w:color w:val="000000"/>
              </w:rPr>
            </w:pPr>
            <w:r w:rsidRPr="008C3910">
              <w:rPr>
                <w:rFonts w:asciiTheme="minorHAnsi" w:hAnsiTheme="minorHAnsi" w:cstheme="minorHAnsi"/>
                <w:color w:val="000000"/>
              </w:rPr>
              <w:t>Federal</w:t>
            </w:r>
          </w:p>
        </w:tc>
        <w:tc>
          <w:tcPr>
            <w:tcW w:w="1879" w:type="dxa"/>
          </w:tcPr>
          <w:p w:rsidR="00885F35" w:rsidRPr="008C3910" w:rsidP="00135B6C" w14:paraId="0DB8B612" w14:textId="77777777">
            <w:pPr>
              <w:pStyle w:val="xmsonormal"/>
              <w:jc w:val="right"/>
              <w:rPr>
                <w:rFonts w:asciiTheme="minorHAnsi" w:hAnsiTheme="minorHAnsi" w:cstheme="minorHAnsi"/>
                <w:color w:val="000000"/>
              </w:rPr>
            </w:pPr>
            <w:r w:rsidRPr="008C3910">
              <w:rPr>
                <w:rFonts w:asciiTheme="minorHAnsi" w:hAnsiTheme="minorHAnsi" w:cstheme="minorHAnsi"/>
                <w:color w:val="000000"/>
              </w:rPr>
              <w:t>79%</w:t>
            </w:r>
          </w:p>
        </w:tc>
        <w:tc>
          <w:tcPr>
            <w:tcW w:w="1440" w:type="dxa"/>
          </w:tcPr>
          <w:p w:rsidR="00885F35" w:rsidRPr="008C3910" w:rsidP="00135B6C" w14:paraId="022D7BC7" w14:textId="77777777">
            <w:pPr>
              <w:pStyle w:val="xmsonormal"/>
              <w:jc w:val="right"/>
              <w:rPr>
                <w:rFonts w:asciiTheme="minorHAnsi" w:hAnsiTheme="minorHAnsi" w:cstheme="minorHAnsi"/>
                <w:color w:val="000000"/>
              </w:rPr>
            </w:pPr>
            <w:r w:rsidRPr="008C3910">
              <w:rPr>
                <w:rFonts w:asciiTheme="minorHAnsi" w:hAnsiTheme="minorHAnsi" w:cstheme="minorHAnsi"/>
                <w:color w:val="000000"/>
              </w:rPr>
              <w:t>83%</w:t>
            </w:r>
          </w:p>
        </w:tc>
      </w:tr>
      <w:tr w14:paraId="2FAA596F" w14:textId="77777777" w:rsidTr="004D5857">
        <w:tblPrEx>
          <w:tblW w:w="0" w:type="auto"/>
          <w:tblInd w:w="1530" w:type="dxa"/>
          <w:tblLook w:val="04A0"/>
        </w:tblPrEx>
        <w:trPr>
          <w:trHeight w:val="287"/>
        </w:trPr>
        <w:tc>
          <w:tcPr>
            <w:tcW w:w="2796" w:type="dxa"/>
          </w:tcPr>
          <w:p w:rsidR="00885F35" w:rsidRPr="008C3910" w:rsidP="00135B6C" w14:paraId="56C2A80B" w14:textId="77777777">
            <w:pPr>
              <w:pStyle w:val="xmsonormal"/>
              <w:spacing w:before="0" w:beforeAutospacing="0" w:after="0" w:afterAutospacing="0"/>
              <w:rPr>
                <w:rFonts w:asciiTheme="minorHAnsi" w:hAnsiTheme="minorHAnsi" w:cstheme="minorHAnsi"/>
                <w:color w:val="000000"/>
              </w:rPr>
            </w:pPr>
            <w:r w:rsidRPr="008C3910">
              <w:rPr>
                <w:rFonts w:asciiTheme="minorHAnsi" w:hAnsiTheme="minorHAnsi" w:cstheme="minorHAnsi"/>
                <w:color w:val="000000"/>
              </w:rPr>
              <w:t>Private Multifamily</w:t>
            </w:r>
          </w:p>
        </w:tc>
        <w:tc>
          <w:tcPr>
            <w:tcW w:w="1879" w:type="dxa"/>
          </w:tcPr>
          <w:p w:rsidR="00885F35" w:rsidRPr="008C3910" w:rsidP="00135B6C" w14:paraId="04B59062" w14:textId="77777777">
            <w:pPr>
              <w:pStyle w:val="xmsonormal"/>
              <w:jc w:val="right"/>
              <w:rPr>
                <w:rFonts w:asciiTheme="minorHAnsi" w:hAnsiTheme="minorHAnsi" w:cstheme="minorHAnsi"/>
                <w:color w:val="000000"/>
              </w:rPr>
            </w:pPr>
            <w:r w:rsidRPr="008C3910">
              <w:rPr>
                <w:rFonts w:asciiTheme="minorHAnsi" w:hAnsiTheme="minorHAnsi" w:cstheme="minorHAnsi"/>
                <w:color w:val="000000"/>
              </w:rPr>
              <w:t>60%</w:t>
            </w:r>
          </w:p>
        </w:tc>
        <w:tc>
          <w:tcPr>
            <w:tcW w:w="1440" w:type="dxa"/>
          </w:tcPr>
          <w:p w:rsidR="00885F35" w:rsidRPr="008C3910" w:rsidP="00135B6C" w14:paraId="44709FAC" w14:textId="77777777">
            <w:pPr>
              <w:pStyle w:val="xmsonormal"/>
              <w:jc w:val="right"/>
              <w:rPr>
                <w:rFonts w:asciiTheme="minorHAnsi" w:hAnsiTheme="minorHAnsi" w:cstheme="minorHAnsi"/>
                <w:color w:val="000000"/>
              </w:rPr>
            </w:pPr>
            <w:r w:rsidRPr="008C3910">
              <w:rPr>
                <w:rFonts w:asciiTheme="minorHAnsi" w:hAnsiTheme="minorHAnsi" w:cstheme="minorHAnsi"/>
                <w:color w:val="000000"/>
              </w:rPr>
              <w:t>76%</w:t>
            </w:r>
          </w:p>
        </w:tc>
      </w:tr>
    </w:tbl>
    <w:p w:rsidR="00885F35" w:rsidP="004D5857" w14:paraId="3535C9E5" w14:textId="77777777">
      <w:pPr>
        <w:ind w:left="720"/>
        <w:rPr>
          <w:rFonts w:cstheme="minorHAnsi"/>
          <w:szCs w:val="24"/>
        </w:rPr>
      </w:pPr>
    </w:p>
    <w:p w:rsidR="00950253" w:rsidP="004D5857" w14:paraId="7C48DC68" w14:textId="77777777">
      <w:pPr>
        <w:ind w:left="720"/>
        <w:rPr>
          <w:rFonts w:cstheme="minorHAnsi"/>
          <w:szCs w:val="24"/>
        </w:rPr>
      </w:pPr>
    </w:p>
    <w:p w:rsidR="00950253" w:rsidP="004D5857" w14:paraId="33AD10D1" w14:textId="77777777">
      <w:pPr>
        <w:ind w:left="720"/>
        <w:rPr>
          <w:rFonts w:cstheme="minorHAnsi"/>
          <w:szCs w:val="24"/>
        </w:rPr>
      </w:pPr>
    </w:p>
    <w:p w:rsidR="00950253" w:rsidP="004D5857" w14:paraId="4D891F8F" w14:textId="77777777">
      <w:pPr>
        <w:ind w:left="720"/>
        <w:rPr>
          <w:rFonts w:cstheme="minorHAnsi"/>
          <w:szCs w:val="24"/>
        </w:rPr>
      </w:pPr>
    </w:p>
    <w:p w:rsidR="00950253" w:rsidP="004D5857" w14:paraId="4C7884C0" w14:textId="77777777">
      <w:pPr>
        <w:ind w:left="720"/>
        <w:rPr>
          <w:rFonts w:cstheme="minorHAnsi"/>
          <w:szCs w:val="24"/>
        </w:rPr>
      </w:pPr>
    </w:p>
    <w:p w:rsidR="00950253" w:rsidP="004D5857" w14:paraId="27A4F162" w14:textId="77777777">
      <w:pPr>
        <w:ind w:left="720"/>
        <w:rPr>
          <w:rFonts w:cstheme="minorHAnsi"/>
          <w:szCs w:val="24"/>
        </w:rPr>
      </w:pPr>
    </w:p>
    <w:p w:rsidR="00950253" w:rsidP="004D5857" w14:paraId="3B67D253" w14:textId="77777777">
      <w:pPr>
        <w:ind w:left="720"/>
        <w:rPr>
          <w:rFonts w:cstheme="minorHAnsi"/>
          <w:szCs w:val="24"/>
        </w:rPr>
      </w:pPr>
    </w:p>
    <w:p w:rsidR="00950253" w:rsidP="004D5857" w14:paraId="2BEBD2C7" w14:textId="77777777">
      <w:pPr>
        <w:ind w:left="720"/>
        <w:rPr>
          <w:rFonts w:cstheme="minorHAnsi"/>
          <w:szCs w:val="24"/>
        </w:rPr>
      </w:pPr>
    </w:p>
    <w:p w:rsidR="00950253" w:rsidRPr="008C3910" w:rsidP="004D5857" w14:paraId="0E6CC027" w14:textId="77777777">
      <w:pPr>
        <w:ind w:left="720"/>
        <w:rPr>
          <w:rFonts w:cstheme="minorHAnsi"/>
          <w:szCs w:val="24"/>
        </w:rPr>
      </w:pPr>
    </w:p>
    <w:p w:rsidR="00885F35" w:rsidRPr="004D5857" w:rsidP="004D5857" w14:paraId="6B8F3679" w14:textId="77777777">
      <w:pPr>
        <w:ind w:left="720"/>
        <w:rPr>
          <w:rFonts w:cstheme="minorHAnsi"/>
          <w:szCs w:val="24"/>
        </w:rPr>
      </w:pPr>
      <w:r w:rsidRPr="004D5857">
        <w:rPr>
          <w:rFonts w:cstheme="minorHAnsi"/>
          <w:szCs w:val="24"/>
        </w:rPr>
        <w:t>Based on May 2023- April 2024, these average monthly rates are now:</w:t>
      </w:r>
    </w:p>
    <w:tbl>
      <w:tblPr>
        <w:tblStyle w:val="TableGrid"/>
        <w:tblW w:w="0" w:type="auto"/>
        <w:tblInd w:w="1327" w:type="dxa"/>
        <w:tblLook w:val="04A0"/>
      </w:tblPr>
      <w:tblGrid>
        <w:gridCol w:w="2796"/>
        <w:gridCol w:w="1879"/>
        <w:gridCol w:w="1440"/>
      </w:tblGrid>
      <w:tr w14:paraId="06423042" w14:textId="77777777" w:rsidTr="004D5857">
        <w:tblPrEx>
          <w:tblW w:w="0" w:type="auto"/>
          <w:tblInd w:w="1327" w:type="dxa"/>
          <w:tblLook w:val="04A0"/>
        </w:tblPrEx>
        <w:trPr>
          <w:trHeight w:val="879"/>
        </w:trPr>
        <w:tc>
          <w:tcPr>
            <w:tcW w:w="2796" w:type="dxa"/>
          </w:tcPr>
          <w:p w:rsidR="00885F35" w:rsidRPr="00E400AA" w:rsidP="00135B6C" w14:paraId="7029A974" w14:textId="77777777">
            <w:pPr>
              <w:pStyle w:val="xmsonormal"/>
              <w:spacing w:before="0" w:beforeAutospacing="0" w:after="0" w:afterAutospacing="0"/>
              <w:rPr>
                <w:rFonts w:asciiTheme="minorHAnsi" w:hAnsiTheme="minorHAnsi" w:cstheme="minorHAnsi"/>
                <w:color w:val="000000"/>
              </w:rPr>
            </w:pPr>
          </w:p>
        </w:tc>
        <w:tc>
          <w:tcPr>
            <w:tcW w:w="1879" w:type="dxa"/>
          </w:tcPr>
          <w:p w:rsidR="00885F35" w:rsidRPr="00E400AA" w:rsidP="00135B6C" w14:paraId="0956BDC1" w14:textId="77777777">
            <w:pPr>
              <w:pStyle w:val="xmsonormal"/>
              <w:spacing w:before="0" w:beforeAutospacing="0" w:after="0" w:afterAutospacing="0"/>
              <w:rPr>
                <w:rFonts w:asciiTheme="minorHAnsi" w:hAnsiTheme="minorHAnsi" w:cstheme="minorHAnsi"/>
                <w:color w:val="000000"/>
              </w:rPr>
            </w:pPr>
            <w:r w:rsidRPr="00E400AA">
              <w:rPr>
                <w:rFonts w:asciiTheme="minorHAnsi" w:hAnsiTheme="minorHAnsi" w:cstheme="minorHAnsi"/>
                <w:color w:val="000000"/>
              </w:rPr>
              <w:t>Unit Response Rate</w:t>
            </w:r>
          </w:p>
          <w:p w:rsidR="00885F35" w:rsidRPr="00E400AA" w:rsidP="00135B6C" w14:paraId="5FBA5D45" w14:textId="77777777">
            <w:pPr>
              <w:pStyle w:val="xmsonormal"/>
              <w:spacing w:before="0" w:beforeAutospacing="0" w:after="0" w:afterAutospacing="0"/>
              <w:rPr>
                <w:rFonts w:asciiTheme="minorHAnsi" w:hAnsiTheme="minorHAnsi" w:cstheme="minorHAnsi"/>
                <w:color w:val="000000"/>
              </w:rPr>
            </w:pPr>
            <w:r w:rsidRPr="00E400AA">
              <w:rPr>
                <w:rFonts w:asciiTheme="minorHAnsi" w:hAnsiTheme="minorHAnsi" w:cstheme="minorHAnsi"/>
                <w:color w:val="000000"/>
              </w:rPr>
              <w:t>(URR)</w:t>
            </w:r>
          </w:p>
        </w:tc>
        <w:tc>
          <w:tcPr>
            <w:tcW w:w="1440" w:type="dxa"/>
          </w:tcPr>
          <w:p w:rsidR="00885F35" w:rsidRPr="00E400AA" w:rsidP="00135B6C" w14:paraId="0B98F6D6" w14:textId="77777777">
            <w:pPr>
              <w:pStyle w:val="xmsonormal"/>
              <w:spacing w:before="0" w:beforeAutospacing="0" w:after="0" w:afterAutospacing="0"/>
              <w:rPr>
                <w:rFonts w:asciiTheme="minorHAnsi" w:hAnsiTheme="minorHAnsi" w:cstheme="minorHAnsi"/>
                <w:color w:val="000000"/>
              </w:rPr>
            </w:pPr>
            <w:r w:rsidRPr="00E400AA">
              <w:rPr>
                <w:rFonts w:asciiTheme="minorHAnsi" w:hAnsiTheme="minorHAnsi" w:cstheme="minorHAnsi"/>
                <w:color w:val="000000"/>
              </w:rPr>
              <w:t>Total Quantity Response Rate (TQRR)</w:t>
            </w:r>
          </w:p>
        </w:tc>
      </w:tr>
      <w:tr w14:paraId="1CD0F9A0" w14:textId="77777777" w:rsidTr="004D5857">
        <w:tblPrEx>
          <w:tblW w:w="0" w:type="auto"/>
          <w:tblInd w:w="1327" w:type="dxa"/>
          <w:tblLook w:val="04A0"/>
        </w:tblPrEx>
        <w:trPr>
          <w:trHeight w:val="350"/>
        </w:trPr>
        <w:tc>
          <w:tcPr>
            <w:tcW w:w="2796" w:type="dxa"/>
          </w:tcPr>
          <w:p w:rsidR="00885F35" w:rsidRPr="00E400AA" w:rsidP="00135B6C" w14:paraId="34421684" w14:textId="77777777">
            <w:pPr>
              <w:pStyle w:val="xmsonormal"/>
              <w:spacing w:before="0" w:beforeAutospacing="0" w:after="0" w:afterAutospacing="0"/>
              <w:rPr>
                <w:rFonts w:asciiTheme="minorHAnsi" w:hAnsiTheme="minorHAnsi" w:cstheme="minorHAnsi"/>
                <w:color w:val="000000"/>
              </w:rPr>
            </w:pPr>
            <w:r w:rsidRPr="00E400AA">
              <w:rPr>
                <w:rFonts w:asciiTheme="minorHAnsi" w:hAnsiTheme="minorHAnsi" w:cstheme="minorHAnsi"/>
                <w:color w:val="000000"/>
              </w:rPr>
              <w:t>Private Non-residential</w:t>
            </w:r>
          </w:p>
        </w:tc>
        <w:tc>
          <w:tcPr>
            <w:tcW w:w="1879" w:type="dxa"/>
          </w:tcPr>
          <w:p w:rsidR="00885F35" w:rsidRPr="00E400AA" w:rsidP="00135B6C" w14:paraId="666684D1" w14:textId="77777777">
            <w:pPr>
              <w:pStyle w:val="xmsonormal"/>
              <w:jc w:val="right"/>
              <w:rPr>
                <w:rFonts w:asciiTheme="minorHAnsi" w:hAnsiTheme="minorHAnsi" w:cstheme="minorHAnsi"/>
                <w:color w:val="000000"/>
              </w:rPr>
            </w:pPr>
            <w:r w:rsidRPr="00E400AA">
              <w:rPr>
                <w:rFonts w:asciiTheme="minorHAnsi" w:hAnsiTheme="minorHAnsi" w:cstheme="minorHAnsi"/>
                <w:color w:val="000000"/>
              </w:rPr>
              <w:t>65%</w:t>
            </w:r>
          </w:p>
        </w:tc>
        <w:tc>
          <w:tcPr>
            <w:tcW w:w="1440" w:type="dxa"/>
          </w:tcPr>
          <w:p w:rsidR="00885F35" w:rsidRPr="00E400AA" w:rsidP="00135B6C" w14:paraId="06022EFB" w14:textId="77777777">
            <w:pPr>
              <w:pStyle w:val="xmsonormal"/>
              <w:jc w:val="right"/>
              <w:rPr>
                <w:rFonts w:asciiTheme="minorHAnsi" w:hAnsiTheme="minorHAnsi" w:cstheme="minorHAnsi"/>
                <w:color w:val="000000"/>
              </w:rPr>
            </w:pPr>
            <w:r w:rsidRPr="00E400AA">
              <w:rPr>
                <w:rFonts w:asciiTheme="minorHAnsi" w:hAnsiTheme="minorHAnsi" w:cstheme="minorHAnsi"/>
                <w:color w:val="000000"/>
              </w:rPr>
              <w:t>67%</w:t>
            </w:r>
          </w:p>
        </w:tc>
      </w:tr>
      <w:tr w14:paraId="40F65B77" w14:textId="77777777" w:rsidTr="004D5857">
        <w:tblPrEx>
          <w:tblW w:w="0" w:type="auto"/>
          <w:tblInd w:w="1327" w:type="dxa"/>
          <w:tblLook w:val="04A0"/>
        </w:tblPrEx>
        <w:trPr>
          <w:trHeight w:val="287"/>
        </w:trPr>
        <w:tc>
          <w:tcPr>
            <w:tcW w:w="2796" w:type="dxa"/>
          </w:tcPr>
          <w:p w:rsidR="00885F35" w:rsidRPr="00E400AA" w:rsidP="00135B6C" w14:paraId="18052992" w14:textId="77777777">
            <w:pPr>
              <w:pStyle w:val="xmsonormal"/>
              <w:spacing w:before="0" w:beforeAutospacing="0" w:after="0" w:afterAutospacing="0"/>
              <w:rPr>
                <w:rFonts w:asciiTheme="minorHAnsi" w:hAnsiTheme="minorHAnsi" w:cstheme="minorHAnsi"/>
                <w:color w:val="000000"/>
              </w:rPr>
            </w:pPr>
            <w:r w:rsidRPr="00E400AA">
              <w:rPr>
                <w:rFonts w:asciiTheme="minorHAnsi" w:hAnsiTheme="minorHAnsi" w:cstheme="minorHAnsi"/>
                <w:color w:val="000000"/>
              </w:rPr>
              <w:t>State and Local</w:t>
            </w:r>
          </w:p>
        </w:tc>
        <w:tc>
          <w:tcPr>
            <w:tcW w:w="1879" w:type="dxa"/>
          </w:tcPr>
          <w:p w:rsidR="00885F35" w:rsidRPr="00E400AA" w:rsidP="00135B6C" w14:paraId="19189398" w14:textId="77777777">
            <w:pPr>
              <w:pStyle w:val="xmsonormal"/>
              <w:jc w:val="right"/>
              <w:rPr>
                <w:rFonts w:asciiTheme="minorHAnsi" w:hAnsiTheme="minorHAnsi" w:cstheme="minorHAnsi"/>
                <w:color w:val="000000"/>
              </w:rPr>
            </w:pPr>
            <w:r w:rsidRPr="00E400AA">
              <w:rPr>
                <w:rFonts w:asciiTheme="minorHAnsi" w:hAnsiTheme="minorHAnsi" w:cstheme="minorHAnsi"/>
                <w:color w:val="000000"/>
              </w:rPr>
              <w:t>89%</w:t>
            </w:r>
          </w:p>
        </w:tc>
        <w:tc>
          <w:tcPr>
            <w:tcW w:w="1440" w:type="dxa"/>
          </w:tcPr>
          <w:p w:rsidR="00885F35" w:rsidRPr="00E400AA" w:rsidP="00135B6C" w14:paraId="5EE2E19E" w14:textId="77777777">
            <w:pPr>
              <w:pStyle w:val="xmsonormal"/>
              <w:jc w:val="right"/>
              <w:rPr>
                <w:rFonts w:asciiTheme="minorHAnsi" w:hAnsiTheme="minorHAnsi" w:cstheme="minorHAnsi"/>
                <w:color w:val="000000"/>
              </w:rPr>
            </w:pPr>
            <w:r w:rsidRPr="00E400AA">
              <w:rPr>
                <w:rFonts w:asciiTheme="minorHAnsi" w:hAnsiTheme="minorHAnsi" w:cstheme="minorHAnsi"/>
                <w:color w:val="000000"/>
              </w:rPr>
              <w:t>88%</w:t>
            </w:r>
          </w:p>
        </w:tc>
      </w:tr>
      <w:tr w14:paraId="23BB5BE4" w14:textId="77777777" w:rsidTr="004D5857">
        <w:tblPrEx>
          <w:tblW w:w="0" w:type="auto"/>
          <w:tblInd w:w="1327" w:type="dxa"/>
          <w:tblLook w:val="04A0"/>
        </w:tblPrEx>
        <w:trPr>
          <w:trHeight w:val="287"/>
        </w:trPr>
        <w:tc>
          <w:tcPr>
            <w:tcW w:w="2796" w:type="dxa"/>
          </w:tcPr>
          <w:p w:rsidR="00885F35" w:rsidRPr="00E400AA" w:rsidP="00135B6C" w14:paraId="461FC1BE" w14:textId="77777777">
            <w:pPr>
              <w:pStyle w:val="xmsonormal"/>
              <w:spacing w:before="0" w:beforeAutospacing="0" w:after="0" w:afterAutospacing="0"/>
              <w:rPr>
                <w:rFonts w:asciiTheme="minorHAnsi" w:hAnsiTheme="minorHAnsi" w:cstheme="minorHAnsi"/>
                <w:color w:val="000000"/>
              </w:rPr>
            </w:pPr>
            <w:r w:rsidRPr="00E400AA">
              <w:rPr>
                <w:rFonts w:asciiTheme="minorHAnsi" w:hAnsiTheme="minorHAnsi" w:cstheme="minorHAnsi"/>
                <w:color w:val="000000"/>
              </w:rPr>
              <w:t>Federal</w:t>
            </w:r>
          </w:p>
        </w:tc>
        <w:tc>
          <w:tcPr>
            <w:tcW w:w="1879" w:type="dxa"/>
          </w:tcPr>
          <w:p w:rsidR="00885F35" w:rsidRPr="00E400AA" w:rsidP="00135B6C" w14:paraId="4B5863E0" w14:textId="77777777">
            <w:pPr>
              <w:pStyle w:val="xmsonormal"/>
              <w:jc w:val="right"/>
              <w:rPr>
                <w:rFonts w:asciiTheme="minorHAnsi" w:hAnsiTheme="minorHAnsi" w:cstheme="minorHAnsi"/>
                <w:color w:val="000000"/>
              </w:rPr>
            </w:pPr>
            <w:r w:rsidRPr="00E400AA">
              <w:rPr>
                <w:rFonts w:asciiTheme="minorHAnsi" w:hAnsiTheme="minorHAnsi" w:cstheme="minorHAnsi"/>
                <w:color w:val="000000"/>
              </w:rPr>
              <w:t>89%</w:t>
            </w:r>
          </w:p>
        </w:tc>
        <w:tc>
          <w:tcPr>
            <w:tcW w:w="1440" w:type="dxa"/>
          </w:tcPr>
          <w:p w:rsidR="00885F35" w:rsidRPr="00E400AA" w:rsidP="00135B6C" w14:paraId="18FC57A7" w14:textId="77777777">
            <w:pPr>
              <w:pStyle w:val="xmsonormal"/>
              <w:jc w:val="right"/>
              <w:rPr>
                <w:rFonts w:asciiTheme="minorHAnsi" w:hAnsiTheme="minorHAnsi" w:cstheme="minorHAnsi"/>
                <w:color w:val="000000"/>
              </w:rPr>
            </w:pPr>
            <w:r w:rsidRPr="00E400AA">
              <w:rPr>
                <w:rFonts w:asciiTheme="minorHAnsi" w:hAnsiTheme="minorHAnsi" w:cstheme="minorHAnsi"/>
                <w:color w:val="000000"/>
              </w:rPr>
              <w:t>86%</w:t>
            </w:r>
          </w:p>
        </w:tc>
      </w:tr>
      <w:tr w14:paraId="2F326C1E" w14:textId="77777777" w:rsidTr="004D5857">
        <w:tblPrEx>
          <w:tblW w:w="0" w:type="auto"/>
          <w:tblInd w:w="1327" w:type="dxa"/>
          <w:tblLook w:val="04A0"/>
        </w:tblPrEx>
        <w:trPr>
          <w:trHeight w:val="287"/>
        </w:trPr>
        <w:tc>
          <w:tcPr>
            <w:tcW w:w="2796" w:type="dxa"/>
          </w:tcPr>
          <w:p w:rsidR="00885F35" w:rsidRPr="00E400AA" w:rsidP="00135B6C" w14:paraId="65C0F279" w14:textId="77777777">
            <w:pPr>
              <w:pStyle w:val="xmsonormal"/>
              <w:spacing w:before="0" w:beforeAutospacing="0" w:after="0" w:afterAutospacing="0"/>
              <w:rPr>
                <w:rFonts w:asciiTheme="minorHAnsi" w:hAnsiTheme="minorHAnsi" w:cstheme="minorHAnsi"/>
                <w:color w:val="000000"/>
              </w:rPr>
            </w:pPr>
            <w:r w:rsidRPr="00E400AA">
              <w:rPr>
                <w:rFonts w:asciiTheme="minorHAnsi" w:hAnsiTheme="minorHAnsi" w:cstheme="minorHAnsi"/>
                <w:color w:val="000000"/>
              </w:rPr>
              <w:t>Private Multifamily</w:t>
            </w:r>
          </w:p>
        </w:tc>
        <w:tc>
          <w:tcPr>
            <w:tcW w:w="1879" w:type="dxa"/>
          </w:tcPr>
          <w:p w:rsidR="00885F35" w:rsidRPr="00E400AA" w:rsidP="00135B6C" w14:paraId="3622F216" w14:textId="77777777">
            <w:pPr>
              <w:pStyle w:val="xmsonormal"/>
              <w:jc w:val="right"/>
              <w:rPr>
                <w:rFonts w:asciiTheme="minorHAnsi" w:hAnsiTheme="minorHAnsi" w:cstheme="minorHAnsi"/>
                <w:color w:val="000000"/>
              </w:rPr>
            </w:pPr>
            <w:r w:rsidRPr="00E400AA">
              <w:rPr>
                <w:rFonts w:asciiTheme="minorHAnsi" w:hAnsiTheme="minorHAnsi" w:cstheme="minorHAnsi"/>
                <w:color w:val="000000"/>
              </w:rPr>
              <w:t>78%</w:t>
            </w:r>
          </w:p>
        </w:tc>
        <w:tc>
          <w:tcPr>
            <w:tcW w:w="1440" w:type="dxa"/>
          </w:tcPr>
          <w:p w:rsidR="00885F35" w:rsidRPr="00E400AA" w:rsidP="00135B6C" w14:paraId="75ADFF92" w14:textId="77777777">
            <w:pPr>
              <w:pStyle w:val="xmsonormal"/>
              <w:jc w:val="right"/>
              <w:rPr>
                <w:rFonts w:asciiTheme="minorHAnsi" w:hAnsiTheme="minorHAnsi" w:cstheme="minorHAnsi"/>
                <w:color w:val="000000"/>
              </w:rPr>
            </w:pPr>
            <w:r w:rsidRPr="00E400AA">
              <w:rPr>
                <w:rFonts w:asciiTheme="minorHAnsi" w:hAnsiTheme="minorHAnsi" w:cstheme="minorHAnsi"/>
                <w:color w:val="000000"/>
              </w:rPr>
              <w:t>86%</w:t>
            </w:r>
          </w:p>
        </w:tc>
      </w:tr>
    </w:tbl>
    <w:p w:rsidR="00885F35" w:rsidRPr="00E400AA" w:rsidP="00885F35" w14:paraId="3C6A79EA" w14:textId="77777777">
      <w:pPr>
        <w:rPr>
          <w:rFonts w:cstheme="minorHAnsi"/>
          <w:szCs w:val="24"/>
        </w:rPr>
      </w:pPr>
    </w:p>
    <w:p w:rsidR="008C3910" w:rsidP="008C3910" w14:paraId="6FD91300" w14:textId="77777777">
      <w:pPr>
        <w:ind w:left="720"/>
        <w:rPr>
          <w:szCs w:val="24"/>
        </w:rPr>
      </w:pPr>
      <w:r w:rsidRPr="004D5857">
        <w:rPr>
          <w:szCs w:val="24"/>
        </w:rPr>
        <w:t>These tables show that both the URR and TQRR increased for all four surveys following the implementation of the strategies discussed above. Unit response rates increase 10% or more and the total quantity response rates increased slightly for State and Local (8%) and Federal (3%) surveys and about 10% for the both the Private Non-residential and Multifamily surveys.</w:t>
      </w:r>
    </w:p>
    <w:p w:rsidR="00CF28DF" w:rsidRPr="004D5857" w:rsidP="004D5857" w14:paraId="1580458C" w14:textId="77777777">
      <w:pPr>
        <w:ind w:left="720"/>
        <w:rPr>
          <w:szCs w:val="24"/>
        </w:rPr>
      </w:pPr>
    </w:p>
    <w:p w:rsidR="00CF28DF" w:rsidP="002C0311" w14:paraId="5558FFDB" w14:textId="71E0000E">
      <w:pPr>
        <w:ind w:left="720"/>
      </w:pPr>
      <w:r w:rsidRPr="004D5857">
        <w:rPr>
          <w:szCs w:val="24"/>
        </w:rPr>
        <w:t>Refusal to participate in the survey continues to be our most difficult challenge, as refusals make up about a third of the active sample projects each month.  Thus, we will continue to search for innovative and effective new ways to address the ever-present issue of declining participation in surveys that support official statistics. One way we could do this is through public messaging that helps to increase awareness of the importance of survey participation. We are also looking for new methodological approaches to estimation.  One method we are currently investigating involves replacing the reporting of monthly VIP with a phased spending model.  We are typically successful at obtaining responses for total value of construction and start and completion dates in the initial interview for a sample project, even when respondents refuse to participate in the monthly survey.  Using this information and reported spending pattern history we are researching the development of phasing patterns that can be applied to the total value of construction to produce monthly spending estimates over the life of a project. We also continue to identify potential alternative data sources and investigate new data collection methods, i.e. satellite imagery, as part of the construction re-engineering project.</w:t>
      </w:r>
      <w:r>
        <w:rPr>
          <w:szCs w:val="24"/>
        </w:rPr>
        <w:t xml:space="preserve"> </w:t>
      </w:r>
      <w:r w:rsidRPr="00645F78" w:rsidR="004C1E91">
        <w:rPr>
          <w:color w:val="000000"/>
          <w:shd w:val="clear" w:color="auto" w:fill="FFFFFF"/>
        </w:rPr>
        <w:t xml:space="preserve">The Construction Re-engineering </w:t>
      </w:r>
      <w:r>
        <w:rPr>
          <w:color w:val="000000"/>
          <w:shd w:val="clear" w:color="auto" w:fill="FFFFFF"/>
        </w:rPr>
        <w:t xml:space="preserve">project </w:t>
      </w:r>
      <w:r w:rsidRPr="00645F78" w:rsidR="004C1E91">
        <w:rPr>
          <w:color w:val="000000"/>
          <w:shd w:val="clear" w:color="auto" w:fill="FFFFFF"/>
        </w:rPr>
        <w:t>includes assessing the availability, reliability, and accuracy of alternative data sources that can be leveraged in lieu of direct response.  This includes acquisition of third-party data sources, development of proof-of-concept estimate curation that leverages these sources, and analysis of the comparability with established indicator estimates.  Additionally, the team is exploring the application of satellite imagery and machine learning models to not only detect new construction but also track these projects through their construction lifecycle</w:t>
      </w:r>
      <w:r w:rsidR="002C0311">
        <w:rPr>
          <w:color w:val="000000"/>
          <w:shd w:val="clear" w:color="auto" w:fill="FFFFFF"/>
        </w:rPr>
        <w:t xml:space="preserve">. </w:t>
      </w:r>
      <w:r w:rsidRPr="00645F78" w:rsidR="004C1E91">
        <w:rPr>
          <w:color w:val="000000"/>
          <w:shd w:val="clear" w:color="auto" w:fill="FFFFFF"/>
        </w:rPr>
        <w:t xml:space="preserve"> </w:t>
      </w:r>
      <w:r w:rsidR="002C0311">
        <w:rPr>
          <w:color w:val="000000"/>
          <w:shd w:val="clear" w:color="auto" w:fill="FFFFFF"/>
        </w:rPr>
        <w:t xml:space="preserve">This information could be combined with other data sources to model the value of construction </w:t>
      </w:r>
      <w:r w:rsidRPr="004D5857" w:rsidR="002C0311">
        <w:t>put in</w:t>
      </w:r>
      <w:r w:rsidRPr="004D5857">
        <w:t xml:space="preserve"> </w:t>
      </w:r>
      <w:r>
        <w:t>p</w:t>
      </w:r>
      <w:r w:rsidRPr="00CF28DF" w:rsidR="002C0311">
        <w:t>lace</w:t>
      </w:r>
      <w:r w:rsidRPr="00CF28DF" w:rsidR="004C1E91">
        <w:t>.</w:t>
      </w:r>
    </w:p>
    <w:p w:rsidR="004C1E91" w:rsidRPr="00CF28DF" w:rsidP="002C0311" w14:paraId="3FEC4A85" w14:textId="396F20A2">
      <w:pPr>
        <w:ind w:left="720"/>
      </w:pPr>
      <w:r w:rsidRPr="004D5857">
        <w:t>Through these modernization efforts, our goal is to reduce the program's reliance on traditional survey collection modes, reduce overall respondent burden, and at the same time, improve the quality and accuracy of the construction spending indicator</w:t>
      </w:r>
      <w:r w:rsidRPr="004D5857" w:rsidR="00A834DB">
        <w:t>.</w:t>
      </w:r>
    </w:p>
    <w:p w:rsidR="00950253" w:rsidP="004C4AE4" w14:paraId="231353FA" w14:textId="77777777">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pPr>
    </w:p>
    <w:p w:rsidR="004E6999" w:rsidP="004C4AE4" w14:paraId="77AE30C9" w14:textId="1808C251">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pPr>
      <w:r>
        <w:tab/>
      </w:r>
      <w:r>
        <w:tab/>
      </w:r>
      <w:r>
        <w:tab/>
      </w:r>
      <w:r>
        <w:tab/>
      </w:r>
      <w:r>
        <w:tab/>
      </w:r>
      <w:r>
        <w:tab/>
      </w:r>
    </w:p>
    <w:p w:rsidR="004E6999" w14:paraId="70927AC4" w14:textId="77777777">
      <w:pPr>
        <w:pStyle w:val="Quick1"/>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hanging="810"/>
      </w:pPr>
      <w:r>
        <w:tab/>
        <w:t>4.</w:t>
      </w:r>
      <w:r>
        <w:tab/>
      </w:r>
      <w:r w:rsidR="00E11379">
        <w:rPr>
          <w:u w:val="single"/>
        </w:rPr>
        <w:t>Tests of Procedures of Methods</w:t>
      </w:r>
    </w:p>
    <w:p w:rsidR="004E6999" w14:paraId="3E7C92D6" w14:textId="77777777">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57471" w:rsidP="002C5FA5" w14:paraId="4C19E94B" w14:textId="12B54C26">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pPr>
      <w:r>
        <w:t xml:space="preserve">We completed an evaluation of the CPRS as required by the Statistical Policy Directive on Compilation, Release, and Evaluation of Principal Federal Economic Indicators; this evaluation was submitted to the OMB in </w:t>
      </w:r>
      <w:r w:rsidR="001B418C">
        <w:t xml:space="preserve">March </w:t>
      </w:r>
      <w:r w:rsidR="00A834DB">
        <w:t>2022</w:t>
      </w:r>
      <w:r>
        <w:t xml:space="preserve">. </w:t>
      </w:r>
    </w:p>
    <w:p w:rsidR="00AD14AB" w:rsidP="002C5FA5" w14:paraId="190B1F72" w14:textId="77777777">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pPr>
    </w:p>
    <w:p w:rsidR="0046391B" w:rsidP="00157471" w14:paraId="5F85EC5E" w14:textId="77777777">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right="810"/>
      </w:pPr>
      <w:r>
        <w:t xml:space="preserve">All changes to methodology or processing systems are tested.  </w:t>
      </w:r>
    </w:p>
    <w:p w:rsidR="0046391B" w:rsidP="00157471" w14:paraId="06E27BC7" w14:textId="77777777">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right="810"/>
      </w:pPr>
    </w:p>
    <w:p w:rsidR="004E6999" w:rsidP="00157471" w14:paraId="3E9489CB" w14:textId="281C21C9">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right="810"/>
      </w:pPr>
      <w:r>
        <w:t>For example, prior to implementing the new certainty sampling strata in 2023, research was conducted to determine the impact on imputation and variance rates.</w:t>
      </w:r>
      <w:r w:rsidR="00A834DB">
        <w:t xml:space="preserve"> </w:t>
      </w:r>
    </w:p>
    <w:p w:rsidR="004E6999" w14:paraId="63770E41" w14:textId="77777777">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E6999" w14:paraId="696AC7D3" w14:textId="77777777">
      <w:pPr>
        <w:pStyle w:val="Quick1"/>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hanging="810"/>
      </w:pPr>
      <w:r>
        <w:tab/>
        <w:t>5.</w:t>
      </w:r>
      <w:r>
        <w:tab/>
      </w:r>
      <w:r>
        <w:rPr>
          <w:u w:val="single"/>
        </w:rPr>
        <w:t>Contacts for Statistical Aspects and Data Collection</w:t>
      </w:r>
    </w:p>
    <w:p w:rsidR="004E6999" w14:paraId="4080DF4A" w14:textId="77777777">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E6999" w:rsidP="00FD5020" w14:paraId="2B02FA78" w14:textId="28BF7A64">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pPr>
      <w:r>
        <w:t>T</w:t>
      </w:r>
      <w:r>
        <w:t xml:space="preserve">he </w:t>
      </w:r>
      <w:r>
        <w:t>Economic Indicators Division (EID</w:t>
      </w:r>
      <w:r>
        <w:t xml:space="preserve">) plans and coordinates the survey.  This includes the design of the reporting forms, instructions for collecting and editing information, </w:t>
      </w:r>
      <w:r w:rsidR="003327C9">
        <w:t>tabulation,</w:t>
      </w:r>
      <w:r>
        <w:t xml:space="preserve"> and publication of the data.</w:t>
      </w:r>
      <w:r>
        <w:t xml:space="preserve">  The Economic Statistical Methods Division (ESMD)</w:t>
      </w:r>
      <w:r w:rsidR="00871559">
        <w:t xml:space="preserve"> is responsible for the survey methodology and sample selection.</w:t>
      </w:r>
    </w:p>
    <w:p w:rsidR="004E6999" w14:paraId="2C4F863E" w14:textId="77777777">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r>
      <w:r>
        <w:tab/>
      </w:r>
    </w:p>
    <w:p w:rsidR="004E6999" w14:paraId="01DDB84B" w14:textId="23377298">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pPr>
      <w:r>
        <w:t xml:space="preserve">The </w:t>
      </w:r>
      <w:r>
        <w:t>contact person for questions relating to the statistical aspects o</w:t>
      </w:r>
      <w:r w:rsidR="004622A3">
        <w:t>f the survey is M</w:t>
      </w:r>
      <w:r w:rsidR="00613E72">
        <w:t xml:space="preserve">s. </w:t>
      </w:r>
      <w:r w:rsidR="00FB1272">
        <w:t>Sarah Konya</w:t>
      </w:r>
      <w:r w:rsidR="00A741C8">
        <w:t xml:space="preserve">, </w:t>
      </w:r>
      <w:r w:rsidR="00FB1272">
        <w:t xml:space="preserve">Assistant Division </w:t>
      </w:r>
      <w:r w:rsidR="00A741C8">
        <w:t xml:space="preserve">Chief </w:t>
      </w:r>
      <w:r w:rsidR="00FB1272">
        <w:t>for</w:t>
      </w:r>
      <w:r w:rsidR="00A741C8">
        <w:t xml:space="preserve"> </w:t>
      </w:r>
      <w:r w:rsidR="00FB1272">
        <w:t>Manufacturing, Investment, and Construction Programs</w:t>
      </w:r>
      <w:r w:rsidR="00871559">
        <w:t>, ESMD</w:t>
      </w:r>
      <w:r>
        <w:t xml:space="preserve">. </w:t>
      </w:r>
      <w:r w:rsidR="00613E72">
        <w:t xml:space="preserve"> Sh</w:t>
      </w:r>
      <w:r>
        <w:t>e</w:t>
      </w:r>
      <w:r w:rsidR="00613E72">
        <w:t xml:space="preserve"> can be reached on (301) 763-</w:t>
      </w:r>
      <w:r w:rsidR="00FB1272">
        <w:t>9835</w:t>
      </w:r>
      <w:r>
        <w:t>.</w:t>
      </w:r>
    </w:p>
    <w:p w:rsidR="004E6999" w14:paraId="31F3B877" w14:textId="77777777">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E6999" w14:paraId="6DF86EF1" w14:textId="360DF96B">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pPr>
      <w:r>
        <w:t xml:space="preserve">The contact person for questions relating to the collection, analysis and processing </w:t>
      </w:r>
      <w:r w:rsidR="00613E72">
        <w:t>of the data i</w:t>
      </w:r>
      <w:r w:rsidR="00D33221">
        <w:t xml:space="preserve">s </w:t>
      </w:r>
      <w:r w:rsidR="006700F6">
        <w:t>Mr. Aidan Smith</w:t>
      </w:r>
      <w:r w:rsidR="00D33221">
        <w:t>,</w:t>
      </w:r>
      <w:r>
        <w:t xml:space="preserve"> </w:t>
      </w:r>
      <w:r w:rsidR="00D33221">
        <w:t xml:space="preserve">Assistant </w:t>
      </w:r>
      <w:r w:rsidR="00FD5020">
        <w:t xml:space="preserve">Division </w:t>
      </w:r>
      <w:r w:rsidR="00D33221">
        <w:t>Chief for Construction Indicator Programs</w:t>
      </w:r>
      <w:r w:rsidR="00871559">
        <w:t>, EID</w:t>
      </w:r>
      <w:r w:rsidR="00D33221">
        <w:t xml:space="preserve">.  </w:t>
      </w:r>
      <w:r w:rsidR="006700F6">
        <w:t>He</w:t>
      </w:r>
      <w:r>
        <w:t xml:space="preserve"> </w:t>
      </w:r>
      <w:r w:rsidR="00D33221">
        <w:t>can be reached on (301) 763-</w:t>
      </w:r>
      <w:r w:rsidR="006700F6">
        <w:t>2972</w:t>
      </w:r>
      <w:r>
        <w:t>.</w:t>
      </w:r>
    </w:p>
    <w:p w:rsidR="00645F78" w14:paraId="51264E7E" w14:textId="459E22B2">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pPr>
    </w:p>
    <w:p w:rsidR="00645F78" w14:paraId="5EA5E838" w14:textId="1DCA9938">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pPr>
    </w:p>
    <w:p w:rsidR="00645F78" w14:paraId="0064A9E7" w14:textId="30D6AB02">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pPr>
    </w:p>
    <w:p w:rsidR="00645F78" w14:paraId="366B2606" w14:textId="479E822E">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pPr>
    </w:p>
    <w:p w:rsidR="00645F78" w14:paraId="26F4FBEC" w14:textId="1F716514">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pPr>
    </w:p>
    <w:p w:rsidR="00645F78" w14:paraId="5C3F69A9" w14:textId="07C5577B">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pPr>
    </w:p>
    <w:p w:rsidR="00645F78" w14:paraId="38B9D06B" w14:textId="4B7D5E54">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pPr>
    </w:p>
    <w:p w:rsidR="00A834DB" w14:paraId="41B51447" w14:textId="77777777">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pPr>
    </w:p>
    <w:p w:rsidR="00A834DB" w14:paraId="41F26F9E" w14:textId="77777777">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pPr>
    </w:p>
    <w:p w:rsidR="00A834DB" w14:paraId="77B901B6" w14:textId="77777777">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pPr>
    </w:p>
    <w:p w:rsidR="00950253" w14:paraId="2B5992C4" w14:textId="77777777">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pPr>
    </w:p>
    <w:p w:rsidR="00950253" w14:paraId="50C8CA6A" w14:textId="77777777">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pPr>
    </w:p>
    <w:p w:rsidR="00950253" w14:paraId="1CC76524" w14:textId="77777777">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pPr>
    </w:p>
    <w:p w:rsidR="00950253" w14:paraId="49A35B6A" w14:textId="77777777">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pPr>
    </w:p>
    <w:p w:rsidR="00A834DB" w14:paraId="4D389253" w14:textId="77777777">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pPr>
    </w:p>
    <w:p w:rsidR="00645F78" w14:paraId="2398A4F8" w14:textId="31FD7983">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pPr>
    </w:p>
    <w:p w:rsidR="00645F78" w14:paraId="642B7200" w14:textId="71C15AEA">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pPr>
    </w:p>
    <w:p w:rsidR="00645F78" w14:paraId="21C9B8F2" w14:textId="77777777">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pPr>
    </w:p>
    <w:p w:rsidR="004E6999" w14:paraId="6EC50FDB" w14:textId="77777777">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r>
    </w:p>
    <w:p w:rsidR="004E6999" w14:paraId="18FE2B96" w14:textId="77777777">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t>Attachments:</w:t>
      </w:r>
    </w:p>
    <w:p w:rsidR="004E6999" w14:paraId="69DAEA0A" w14:textId="77777777">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E6999" w:rsidRPr="00BC65EF" w:rsidP="002C5FA5" w14:paraId="0E516597" w14:textId="77777777">
      <w:pPr>
        <w:pStyle w:val="ListParagraph"/>
        <w:widowControl w:val="0"/>
        <w:numPr>
          <w:ilvl w:val="0"/>
          <w:numId w:val="2"/>
        </w:numPr>
        <w:tabs>
          <w:tab w:val="left" w:pos="-1080"/>
          <w:tab w:val="left" w:pos="-720"/>
          <w:tab w:val="left" w:pos="0"/>
          <w:tab w:val="left" w:pos="450"/>
          <w:tab w:val="left" w:pos="810"/>
          <w:tab w:val="left" w:pos="11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BC65EF">
        <w:t>Form C-700</w:t>
      </w:r>
      <w:r w:rsidRPr="00BC65EF" w:rsidR="00685DE7">
        <w:t>:</w:t>
      </w:r>
      <w:r w:rsidRPr="00BC65EF">
        <w:t xml:space="preserve"> Construction Pro</w:t>
      </w:r>
      <w:r w:rsidRPr="00BC65EF" w:rsidR="00685DE7">
        <w:t>gress</w:t>
      </w:r>
      <w:r w:rsidRPr="00BC65EF">
        <w:t xml:space="preserve"> Report</w:t>
      </w:r>
      <w:r w:rsidRPr="00BC65EF" w:rsidR="00685DE7">
        <w:t>ing Survey for Private Construction Projects</w:t>
      </w:r>
    </w:p>
    <w:p w:rsidR="004E6999" w:rsidRPr="00BC65EF" w:rsidP="002C5FA5" w14:paraId="63B3112B" w14:textId="77777777">
      <w:pPr>
        <w:pStyle w:val="ListParagraph"/>
        <w:widowControl w:val="0"/>
        <w:numPr>
          <w:ilvl w:val="0"/>
          <w:numId w:val="2"/>
        </w:numPr>
        <w:tabs>
          <w:tab w:val="left" w:pos="-1080"/>
          <w:tab w:val="left" w:pos="-720"/>
          <w:tab w:val="left" w:pos="0"/>
          <w:tab w:val="left" w:pos="450"/>
          <w:tab w:val="left" w:pos="810"/>
          <w:tab w:val="left" w:pos="11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BC65EF">
        <w:t>Form C-700(R)</w:t>
      </w:r>
      <w:r w:rsidRPr="00BC65EF" w:rsidR="00B665F3">
        <w:t xml:space="preserve">: </w:t>
      </w:r>
      <w:r w:rsidRPr="00BC65EF">
        <w:t>Construction Pro</w:t>
      </w:r>
      <w:r w:rsidRPr="00BC65EF" w:rsidR="00685DE7">
        <w:t>gress</w:t>
      </w:r>
      <w:r w:rsidRPr="00BC65EF">
        <w:t xml:space="preserve"> Report</w:t>
      </w:r>
      <w:r w:rsidRPr="00BC65EF" w:rsidR="00685DE7">
        <w:t>ing Survey for Multifamily Residential Projects</w:t>
      </w:r>
    </w:p>
    <w:p w:rsidR="004E6999" w:rsidRPr="00BC65EF" w14:paraId="67A68B1D" w14:textId="77777777">
      <w:pPr>
        <w:widowControl w:val="0"/>
        <w:numPr>
          <w:ilvl w:val="0"/>
          <w:numId w:val="1"/>
        </w:numPr>
        <w:tabs>
          <w:tab w:val="left" w:pos="-1080"/>
          <w:tab w:val="left" w:pos="-720"/>
          <w:tab w:val="left" w:pos="0"/>
          <w:tab w:val="left" w:pos="450"/>
          <w:tab w:val="left" w:pos="8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BC65EF">
        <w:t>Form C-700(SL)</w:t>
      </w:r>
      <w:r w:rsidRPr="00BC65EF" w:rsidR="00B665F3">
        <w:t xml:space="preserve">: </w:t>
      </w:r>
      <w:r w:rsidRPr="00BC65EF">
        <w:t>Construction Pr</w:t>
      </w:r>
      <w:r w:rsidRPr="00BC65EF" w:rsidR="00685DE7">
        <w:t>ogress</w:t>
      </w:r>
      <w:r w:rsidRPr="00BC65EF">
        <w:t xml:space="preserve"> Report</w:t>
      </w:r>
      <w:r w:rsidRPr="00BC65EF" w:rsidR="00685DE7">
        <w:t xml:space="preserve">ing Survey for </w:t>
      </w:r>
      <w:r w:rsidRPr="00BC65EF">
        <w:t>State and Local Governments</w:t>
      </w:r>
    </w:p>
    <w:p w:rsidR="004E6999" w:rsidRPr="00BC65EF" w14:paraId="7B33D855" w14:textId="77777777">
      <w:pPr>
        <w:widowControl w:val="0"/>
        <w:numPr>
          <w:ilvl w:val="0"/>
          <w:numId w:val="1"/>
        </w:numPr>
        <w:tabs>
          <w:tab w:val="left" w:pos="-1080"/>
          <w:tab w:val="left" w:pos="-720"/>
          <w:tab w:val="left" w:pos="0"/>
          <w:tab w:val="left" w:pos="450"/>
          <w:tab w:val="left" w:pos="8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BC65EF">
        <w:t>Form C-700(F)</w:t>
      </w:r>
      <w:r w:rsidRPr="00BC65EF" w:rsidR="00B665F3">
        <w:t>:</w:t>
      </w:r>
      <w:r w:rsidRPr="00BC65EF">
        <w:t xml:space="preserve"> Construction Pro</w:t>
      </w:r>
      <w:r w:rsidRPr="00BC65EF" w:rsidR="00685DE7">
        <w:t>g</w:t>
      </w:r>
      <w:r w:rsidRPr="00BC65EF" w:rsidR="00B665F3">
        <w:t>r</w:t>
      </w:r>
      <w:r w:rsidRPr="00BC65EF" w:rsidR="00685DE7">
        <w:t>ess</w:t>
      </w:r>
      <w:r w:rsidRPr="00BC65EF">
        <w:t xml:space="preserve"> Report</w:t>
      </w:r>
      <w:r w:rsidRPr="00BC65EF" w:rsidR="00B665F3">
        <w:t>ing Survey for</w:t>
      </w:r>
      <w:r w:rsidRPr="00BC65EF">
        <w:t xml:space="preserve"> Federal Government</w:t>
      </w:r>
    </w:p>
    <w:p w:rsidR="002C5FA5" w:rsidRPr="00B84C55" w14:paraId="0EFF3E4D" w14:textId="77777777">
      <w:pPr>
        <w:widowControl w:val="0"/>
        <w:numPr>
          <w:ilvl w:val="0"/>
          <w:numId w:val="1"/>
        </w:numPr>
        <w:tabs>
          <w:tab w:val="left" w:pos="-1080"/>
          <w:tab w:val="left" w:pos="-720"/>
          <w:tab w:val="left" w:pos="0"/>
          <w:tab w:val="left" w:pos="450"/>
          <w:tab w:val="left" w:pos="8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B84C55">
        <w:t>BEA Letter of Support for CPRS</w:t>
      </w:r>
    </w:p>
    <w:p w:rsidR="004E6999" w:rsidRPr="00BC65EF" w14:paraId="7105C88A" w14:textId="77777777">
      <w:pPr>
        <w:widowControl w:val="0"/>
        <w:numPr>
          <w:ilvl w:val="0"/>
          <w:numId w:val="1"/>
        </w:numPr>
        <w:tabs>
          <w:tab w:val="left" w:pos="-1080"/>
          <w:tab w:val="left" w:pos="-720"/>
          <w:tab w:val="left" w:pos="0"/>
          <w:tab w:val="left" w:pos="450"/>
          <w:tab w:val="left" w:pos="8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BC65EF">
        <w:t>Respondent Letter f</w:t>
      </w:r>
      <w:r w:rsidRPr="00BC65EF" w:rsidR="002672A2">
        <w:t>or Newly Selected Private Construction Projects</w:t>
      </w:r>
      <w:r w:rsidRPr="00BC65EF">
        <w:t xml:space="preserve"> (C-700-L1</w:t>
      </w:r>
      <w:r w:rsidRPr="00BC65EF" w:rsidR="00FB7D7B">
        <w:t>A</w:t>
      </w:r>
      <w:r w:rsidRPr="00BC65EF">
        <w:t>)</w:t>
      </w:r>
    </w:p>
    <w:p w:rsidR="004E6999" w:rsidRPr="00BC65EF" w14:paraId="05EB5BA9" w14:textId="77777777">
      <w:pPr>
        <w:widowControl w:val="0"/>
        <w:numPr>
          <w:ilvl w:val="0"/>
          <w:numId w:val="1"/>
        </w:numPr>
        <w:tabs>
          <w:tab w:val="left" w:pos="-1080"/>
          <w:tab w:val="left" w:pos="-720"/>
          <w:tab w:val="left" w:pos="0"/>
          <w:tab w:val="left" w:pos="450"/>
          <w:tab w:val="left" w:pos="8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BC65EF">
        <w:t xml:space="preserve">Respondent Letter </w:t>
      </w:r>
      <w:r w:rsidRPr="00BC65EF" w:rsidR="002672A2">
        <w:t xml:space="preserve">for Newly Selected Public Construction Projects </w:t>
      </w:r>
      <w:r w:rsidRPr="00BC65EF">
        <w:t>(C-700-L</w:t>
      </w:r>
      <w:r w:rsidRPr="00BC65EF" w:rsidR="00FB7D7B">
        <w:t>1B</w:t>
      </w:r>
      <w:r w:rsidRPr="00BC65EF">
        <w:t>)</w:t>
      </w:r>
    </w:p>
    <w:p w:rsidR="004E6999" w:rsidRPr="00BC65EF" w14:paraId="312809E2" w14:textId="22C7B566">
      <w:pPr>
        <w:widowControl w:val="0"/>
        <w:numPr>
          <w:ilvl w:val="0"/>
          <w:numId w:val="1"/>
        </w:numPr>
        <w:tabs>
          <w:tab w:val="left" w:pos="-1080"/>
          <w:tab w:val="left" w:pos="-720"/>
          <w:tab w:val="left" w:pos="0"/>
          <w:tab w:val="left" w:pos="450"/>
          <w:tab w:val="left" w:pos="8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Pressure Sealed Letter for Continuing </w:t>
      </w:r>
      <w:r w:rsidRPr="00BC65EF" w:rsidR="002672A2">
        <w:t>Projects</w:t>
      </w:r>
      <w:r w:rsidRPr="00BC65EF">
        <w:t xml:space="preserve"> (C-700-L</w:t>
      </w:r>
      <w:r w:rsidRPr="00BC65EF" w:rsidR="00FB7D7B">
        <w:t>2</w:t>
      </w:r>
      <w:r>
        <w:t>(PS</w:t>
      </w:r>
      <w:r w:rsidRPr="00BC65EF">
        <w:t>)</w:t>
      </w:r>
      <w:r>
        <w:t>)</w:t>
      </w:r>
    </w:p>
    <w:p w:rsidR="002C5FA5" w:rsidRPr="00BC65EF" w14:paraId="46D22D75" w14:textId="77777777">
      <w:pPr>
        <w:widowControl w:val="0"/>
        <w:numPr>
          <w:ilvl w:val="0"/>
          <w:numId w:val="1"/>
        </w:numPr>
        <w:tabs>
          <w:tab w:val="left" w:pos="-1080"/>
          <w:tab w:val="left" w:pos="-720"/>
          <w:tab w:val="left" w:pos="0"/>
          <w:tab w:val="left" w:pos="450"/>
          <w:tab w:val="left" w:pos="8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BC65EF">
        <w:t>Picture of Centurion Login Screen for Confidentiality</w:t>
      </w:r>
    </w:p>
    <w:p w:rsidR="004E2EA4" w:rsidRPr="00BC65EF" w:rsidP="004E2EA4" w14:paraId="0826C084" w14:textId="77777777">
      <w:pPr>
        <w:widowControl w:val="0"/>
        <w:numPr>
          <w:ilvl w:val="0"/>
          <w:numId w:val="1"/>
        </w:numPr>
        <w:tabs>
          <w:tab w:val="left" w:pos="-1080"/>
          <w:tab w:val="left" w:pos="-720"/>
          <w:tab w:val="left" w:pos="0"/>
          <w:tab w:val="left" w:pos="450"/>
          <w:tab w:val="left" w:pos="8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BC65EF">
        <w:t>Picture of Centurion Burden Statement</w:t>
      </w:r>
    </w:p>
    <w:p w:rsidR="004E2EA4" w:rsidP="004E2EA4" w14:paraId="51B447B7" w14:textId="29084345">
      <w:pPr>
        <w:widowControl w:val="0"/>
        <w:numPr>
          <w:ilvl w:val="0"/>
          <w:numId w:val="1"/>
        </w:numPr>
        <w:tabs>
          <w:tab w:val="left" w:pos="-1080"/>
          <w:tab w:val="left" w:pos="-720"/>
          <w:tab w:val="left" w:pos="0"/>
          <w:tab w:val="left" w:pos="450"/>
          <w:tab w:val="left" w:pos="8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BC65EF">
        <w:t xml:space="preserve">Picture of </w:t>
      </w:r>
      <w:r w:rsidR="006700F6">
        <w:t>Website</w:t>
      </w:r>
      <w:r w:rsidRPr="00BC65EF">
        <w:t xml:space="preserve"> ‘About the Survey’</w:t>
      </w:r>
    </w:p>
    <w:p w:rsidR="00297C47" w:rsidP="004E2EA4" w14:paraId="578D06F2" w14:textId="55A0F612">
      <w:pPr>
        <w:widowControl w:val="0"/>
        <w:numPr>
          <w:ilvl w:val="0"/>
          <w:numId w:val="1"/>
        </w:numPr>
        <w:tabs>
          <w:tab w:val="left" w:pos="-1080"/>
          <w:tab w:val="left" w:pos="-720"/>
          <w:tab w:val="left" w:pos="0"/>
          <w:tab w:val="left" w:pos="450"/>
          <w:tab w:val="left" w:pos="8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Legal Authority</w:t>
      </w:r>
    </w:p>
    <w:p w:rsidR="006700F6" w:rsidRPr="00BC65EF" w:rsidP="00AD14AB" w14:paraId="1B0CF240" w14:textId="0FB0F87B">
      <w:pPr>
        <w:widowControl w:val="0"/>
        <w:tabs>
          <w:tab w:val="left" w:pos="-1080"/>
          <w:tab w:val="left" w:pos="-720"/>
          <w:tab w:val="left" w:pos="0"/>
          <w:tab w:val="left" w:pos="450"/>
          <w:tab w:val="left" w:pos="8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pPr>
    </w:p>
    <w:sectPr w:rsidSect="00B84C55">
      <w:headerReference w:type="even" r:id="rId6"/>
      <w:headerReference w:type="default" r:id="rId7"/>
      <w:footerReference w:type="even" r:id="rId8"/>
      <w:footerReference w:type="default" r:id="rId9"/>
      <w:headerReference w:type="first" r:id="rId10"/>
      <w:footerReference w:type="first" r:id="rId11"/>
      <w:pgSz w:w="12240" w:h="15840"/>
      <w:pgMar w:top="1440" w:right="1440" w:bottom="900" w:left="1440" w:header="1440" w:footer="1350" w:gutter="0"/>
      <w:pgNumType w:start="8"/>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1646" w14:paraId="73B95A1E" w14:textId="2001FDA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E1BE4">
      <w:rPr>
        <w:rStyle w:val="PageNumber"/>
        <w:noProof/>
      </w:rPr>
      <w:t>10</w:t>
    </w:r>
    <w:r>
      <w:rPr>
        <w:rStyle w:val="PageNumber"/>
      </w:rPr>
      <w:fldChar w:fldCharType="end"/>
    </w:r>
  </w:p>
  <w:p w:rsidR="00331646" w:rsidP="00B84C55" w14:paraId="28C331A1" w14:textId="20587A35">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1646" w14:paraId="1AAEF144" w14:textId="551BCFB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E1BE4">
      <w:rPr>
        <w:rStyle w:val="PageNumber"/>
        <w:noProof/>
      </w:rPr>
      <w:t>11</w:t>
    </w:r>
    <w:r>
      <w:rPr>
        <w:rStyle w:val="PageNumber"/>
      </w:rPr>
      <w:fldChar w:fldCharType="end"/>
    </w:r>
  </w:p>
  <w:p w:rsidR="00331646" w14:paraId="446A864F"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84C55" w14:paraId="3F43B52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3785C" w14:paraId="3BC64B29" w14:textId="77777777">
      <w:r>
        <w:separator/>
      </w:r>
    </w:p>
  </w:footnote>
  <w:footnote w:type="continuationSeparator" w:id="1">
    <w:p w:rsidR="00B3785C" w14:paraId="0B492D2E" w14:textId="77777777">
      <w:r>
        <w:continuationSeparator/>
      </w:r>
    </w:p>
  </w:footnote>
  <w:footnote w:id="2">
    <w:p w:rsidR="00AC5334" w:rsidP="00AC5334" w14:paraId="49405D86" w14:textId="0D64F7FF">
      <w:pPr>
        <w:pStyle w:val="xmsonormal"/>
        <w:shd w:val="clear" w:color="auto" w:fill="FFFFFF"/>
        <w:spacing w:before="0" w:beforeAutospacing="0" w:after="0" w:afterAutospacing="0"/>
        <w:ind w:left="810"/>
        <w:rPr>
          <w:color w:val="000000"/>
        </w:rPr>
      </w:pPr>
      <w:r w:rsidRPr="00AC5334">
        <w:rPr>
          <w:rStyle w:val="FootnoteReference"/>
        </w:rPr>
        <w:footnoteRef/>
      </w:r>
      <w:r w:rsidRPr="00AC5334">
        <w:t xml:space="preserve"> </w:t>
      </w:r>
      <w:r w:rsidRPr="00A834DB">
        <w:rPr>
          <w:color w:val="000000"/>
        </w:rPr>
        <w:t>Rate calculation based on survey periods May 2023-Apr 2024</w:t>
      </w:r>
      <w:r w:rsidRPr="00AC5334">
        <w:rPr>
          <w:color w:val="000000"/>
        </w:rPr>
        <w:t>.</w:t>
      </w:r>
    </w:p>
    <w:p w:rsidR="00AC5334" w14:paraId="66508BC2" w14:textId="4550C48E">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84C55" w14:paraId="45DB99B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84C55" w14:paraId="6B5A58CC"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84C55" w14:paraId="169F8F7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61F052C"/>
    <w:multiLevelType w:val="hybridMultilevel"/>
    <w:tmpl w:val="893078DE"/>
    <w:lvl w:ilvl="0">
      <w:start w:val="3"/>
      <w:numFmt w:val="upperLetter"/>
      <w:lvlText w:val="%1."/>
      <w:lvlJc w:val="left"/>
      <w:pPr>
        <w:tabs>
          <w:tab w:val="num" w:pos="1170"/>
        </w:tabs>
        <w:ind w:left="1170" w:hanging="360"/>
      </w:pPr>
      <w:rPr>
        <w:rFonts w:hint="default"/>
      </w:rPr>
    </w:lvl>
    <w:lvl w:ilvl="1" w:tentative="1">
      <w:start w:val="1"/>
      <w:numFmt w:val="lowerLetter"/>
      <w:lvlText w:val="%2."/>
      <w:lvlJc w:val="left"/>
      <w:pPr>
        <w:tabs>
          <w:tab w:val="num" w:pos="1890"/>
        </w:tabs>
        <w:ind w:left="1890" w:hanging="360"/>
      </w:pPr>
    </w:lvl>
    <w:lvl w:ilvl="2" w:tentative="1">
      <w:start w:val="1"/>
      <w:numFmt w:val="lowerRoman"/>
      <w:lvlText w:val="%3."/>
      <w:lvlJc w:val="right"/>
      <w:pPr>
        <w:tabs>
          <w:tab w:val="num" w:pos="2610"/>
        </w:tabs>
        <w:ind w:left="2610" w:hanging="180"/>
      </w:pPr>
    </w:lvl>
    <w:lvl w:ilvl="3" w:tentative="1">
      <w:start w:val="1"/>
      <w:numFmt w:val="decimal"/>
      <w:lvlText w:val="%4."/>
      <w:lvlJc w:val="left"/>
      <w:pPr>
        <w:tabs>
          <w:tab w:val="num" w:pos="3330"/>
        </w:tabs>
        <w:ind w:left="3330" w:hanging="360"/>
      </w:pPr>
    </w:lvl>
    <w:lvl w:ilvl="4" w:tentative="1">
      <w:start w:val="1"/>
      <w:numFmt w:val="lowerLetter"/>
      <w:lvlText w:val="%5."/>
      <w:lvlJc w:val="left"/>
      <w:pPr>
        <w:tabs>
          <w:tab w:val="num" w:pos="4050"/>
        </w:tabs>
        <w:ind w:left="4050" w:hanging="360"/>
      </w:pPr>
    </w:lvl>
    <w:lvl w:ilvl="5" w:tentative="1">
      <w:start w:val="1"/>
      <w:numFmt w:val="lowerRoman"/>
      <w:lvlText w:val="%6."/>
      <w:lvlJc w:val="right"/>
      <w:pPr>
        <w:tabs>
          <w:tab w:val="num" w:pos="4770"/>
        </w:tabs>
        <w:ind w:left="4770" w:hanging="180"/>
      </w:pPr>
    </w:lvl>
    <w:lvl w:ilvl="6" w:tentative="1">
      <w:start w:val="1"/>
      <w:numFmt w:val="decimal"/>
      <w:lvlText w:val="%7."/>
      <w:lvlJc w:val="left"/>
      <w:pPr>
        <w:tabs>
          <w:tab w:val="num" w:pos="5490"/>
        </w:tabs>
        <w:ind w:left="5490" w:hanging="360"/>
      </w:pPr>
    </w:lvl>
    <w:lvl w:ilvl="7" w:tentative="1">
      <w:start w:val="1"/>
      <w:numFmt w:val="lowerLetter"/>
      <w:lvlText w:val="%8."/>
      <w:lvlJc w:val="left"/>
      <w:pPr>
        <w:tabs>
          <w:tab w:val="num" w:pos="6210"/>
        </w:tabs>
        <w:ind w:left="6210" w:hanging="360"/>
      </w:pPr>
    </w:lvl>
    <w:lvl w:ilvl="8" w:tentative="1">
      <w:start w:val="1"/>
      <w:numFmt w:val="lowerRoman"/>
      <w:lvlText w:val="%9."/>
      <w:lvlJc w:val="right"/>
      <w:pPr>
        <w:tabs>
          <w:tab w:val="num" w:pos="6930"/>
        </w:tabs>
        <w:ind w:left="6930" w:hanging="180"/>
      </w:pPr>
    </w:lvl>
  </w:abstractNum>
  <w:abstractNum w:abstractNumId="1">
    <w:nsid w:val="5B727C57"/>
    <w:multiLevelType w:val="hybridMultilevel"/>
    <w:tmpl w:val="2CCC14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7DFA333A"/>
    <w:multiLevelType w:val="hybridMultilevel"/>
    <w:tmpl w:val="71D8087C"/>
    <w:lvl w:ilvl="0">
      <w:start w:val="1"/>
      <w:numFmt w:val="upperLetter"/>
      <w:lvlText w:val="%1."/>
      <w:lvlJc w:val="left"/>
      <w:pPr>
        <w:ind w:left="1170" w:hanging="360"/>
      </w:pPr>
      <w:rPr>
        <w:rFonts w:hint="default"/>
      </w:rPr>
    </w:lvl>
    <w:lvl w:ilvl="1" w:tentative="1">
      <w:start w:val="1"/>
      <w:numFmt w:val="lowerLetter"/>
      <w:lvlText w:val="%2."/>
      <w:lvlJc w:val="left"/>
      <w:pPr>
        <w:ind w:left="1890" w:hanging="360"/>
      </w:pPr>
    </w:lvl>
    <w:lvl w:ilvl="2" w:tentative="1">
      <w:start w:val="1"/>
      <w:numFmt w:val="lowerRoman"/>
      <w:lvlText w:val="%3."/>
      <w:lvlJc w:val="right"/>
      <w:pPr>
        <w:ind w:left="2610" w:hanging="180"/>
      </w:pPr>
    </w:lvl>
    <w:lvl w:ilvl="3" w:tentative="1">
      <w:start w:val="1"/>
      <w:numFmt w:val="decimal"/>
      <w:lvlText w:val="%4."/>
      <w:lvlJc w:val="left"/>
      <w:pPr>
        <w:ind w:left="3330" w:hanging="360"/>
      </w:pPr>
    </w:lvl>
    <w:lvl w:ilvl="4" w:tentative="1">
      <w:start w:val="1"/>
      <w:numFmt w:val="lowerLetter"/>
      <w:lvlText w:val="%5."/>
      <w:lvlJc w:val="left"/>
      <w:pPr>
        <w:ind w:left="4050" w:hanging="360"/>
      </w:pPr>
    </w:lvl>
    <w:lvl w:ilvl="5" w:tentative="1">
      <w:start w:val="1"/>
      <w:numFmt w:val="lowerRoman"/>
      <w:lvlText w:val="%6."/>
      <w:lvlJc w:val="right"/>
      <w:pPr>
        <w:ind w:left="4770" w:hanging="180"/>
      </w:pPr>
    </w:lvl>
    <w:lvl w:ilvl="6" w:tentative="1">
      <w:start w:val="1"/>
      <w:numFmt w:val="decimal"/>
      <w:lvlText w:val="%7."/>
      <w:lvlJc w:val="left"/>
      <w:pPr>
        <w:ind w:left="5490" w:hanging="360"/>
      </w:pPr>
    </w:lvl>
    <w:lvl w:ilvl="7" w:tentative="1">
      <w:start w:val="1"/>
      <w:numFmt w:val="lowerLetter"/>
      <w:lvlText w:val="%8."/>
      <w:lvlJc w:val="left"/>
      <w:pPr>
        <w:ind w:left="6210" w:hanging="360"/>
      </w:pPr>
    </w:lvl>
    <w:lvl w:ilvl="8" w:tentative="1">
      <w:start w:val="1"/>
      <w:numFmt w:val="lowerRoman"/>
      <w:lvlText w:val="%9."/>
      <w:lvlJc w:val="right"/>
      <w:pPr>
        <w:ind w:left="6930" w:hanging="180"/>
      </w:pPr>
    </w:lvl>
  </w:abstractNum>
  <w:num w:numId="1" w16cid:durableId="1220241236">
    <w:abstractNumId w:val="0"/>
  </w:num>
  <w:num w:numId="2" w16cid:durableId="800808915">
    <w:abstractNumId w:val="2"/>
  </w:num>
  <w:num w:numId="3" w16cid:durableId="16095866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6999"/>
    <w:rsid w:val="000030D7"/>
    <w:rsid w:val="00006EA0"/>
    <w:rsid w:val="00021C56"/>
    <w:rsid w:val="00022A88"/>
    <w:rsid w:val="00037762"/>
    <w:rsid w:val="000555E2"/>
    <w:rsid w:val="00056AB3"/>
    <w:rsid w:val="000762E1"/>
    <w:rsid w:val="00081345"/>
    <w:rsid w:val="000A3B8E"/>
    <w:rsid w:val="000B155F"/>
    <w:rsid w:val="000C4E77"/>
    <w:rsid w:val="000D1A09"/>
    <w:rsid w:val="000E0B92"/>
    <w:rsid w:val="000E3B34"/>
    <w:rsid w:val="00103125"/>
    <w:rsid w:val="00135B6C"/>
    <w:rsid w:val="00145E44"/>
    <w:rsid w:val="00157471"/>
    <w:rsid w:val="00161DF6"/>
    <w:rsid w:val="001622F2"/>
    <w:rsid w:val="0017334C"/>
    <w:rsid w:val="0017347A"/>
    <w:rsid w:val="00175C07"/>
    <w:rsid w:val="001B418C"/>
    <w:rsid w:val="001C670F"/>
    <w:rsid w:val="002148E2"/>
    <w:rsid w:val="00237B99"/>
    <w:rsid w:val="002414C5"/>
    <w:rsid w:val="0025431E"/>
    <w:rsid w:val="002672A2"/>
    <w:rsid w:val="0028469A"/>
    <w:rsid w:val="00286B5A"/>
    <w:rsid w:val="002957CA"/>
    <w:rsid w:val="00295AA3"/>
    <w:rsid w:val="00297C47"/>
    <w:rsid w:val="002A068C"/>
    <w:rsid w:val="002B6D3A"/>
    <w:rsid w:val="002C0311"/>
    <w:rsid w:val="002C5FA5"/>
    <w:rsid w:val="002C7EFE"/>
    <w:rsid w:val="002D0E4A"/>
    <w:rsid w:val="002D207C"/>
    <w:rsid w:val="002D2F10"/>
    <w:rsid w:val="002D47D1"/>
    <w:rsid w:val="002E25D2"/>
    <w:rsid w:val="003047C0"/>
    <w:rsid w:val="00310B1D"/>
    <w:rsid w:val="00331646"/>
    <w:rsid w:val="003327C9"/>
    <w:rsid w:val="00344F79"/>
    <w:rsid w:val="00356A1F"/>
    <w:rsid w:val="00381A27"/>
    <w:rsid w:val="0039034A"/>
    <w:rsid w:val="003A127B"/>
    <w:rsid w:val="003B1E3D"/>
    <w:rsid w:val="003B1ED4"/>
    <w:rsid w:val="004122D5"/>
    <w:rsid w:val="004130A6"/>
    <w:rsid w:val="0042185A"/>
    <w:rsid w:val="00430F79"/>
    <w:rsid w:val="00445565"/>
    <w:rsid w:val="00446587"/>
    <w:rsid w:val="0045560A"/>
    <w:rsid w:val="00456914"/>
    <w:rsid w:val="00456CC4"/>
    <w:rsid w:val="004622A3"/>
    <w:rsid w:val="0046391B"/>
    <w:rsid w:val="00495D22"/>
    <w:rsid w:val="004A3A58"/>
    <w:rsid w:val="004C1E91"/>
    <w:rsid w:val="004C4AE4"/>
    <w:rsid w:val="004D5857"/>
    <w:rsid w:val="004E2EA4"/>
    <w:rsid w:val="004E6199"/>
    <w:rsid w:val="004E6999"/>
    <w:rsid w:val="005102D2"/>
    <w:rsid w:val="00535EBB"/>
    <w:rsid w:val="005423EA"/>
    <w:rsid w:val="005471A1"/>
    <w:rsid w:val="00547AF5"/>
    <w:rsid w:val="00563FCD"/>
    <w:rsid w:val="00580A8E"/>
    <w:rsid w:val="005A3916"/>
    <w:rsid w:val="005B43E8"/>
    <w:rsid w:val="005D76C8"/>
    <w:rsid w:val="005E540D"/>
    <w:rsid w:val="005F24C4"/>
    <w:rsid w:val="00601CA2"/>
    <w:rsid w:val="006124E0"/>
    <w:rsid w:val="00613E72"/>
    <w:rsid w:val="00616447"/>
    <w:rsid w:val="00623C40"/>
    <w:rsid w:val="00634C94"/>
    <w:rsid w:val="0064125A"/>
    <w:rsid w:val="00645F78"/>
    <w:rsid w:val="00655697"/>
    <w:rsid w:val="006700F6"/>
    <w:rsid w:val="00674CFF"/>
    <w:rsid w:val="00683514"/>
    <w:rsid w:val="00685DE7"/>
    <w:rsid w:val="006A7132"/>
    <w:rsid w:val="006D5352"/>
    <w:rsid w:val="006E293C"/>
    <w:rsid w:val="006E676B"/>
    <w:rsid w:val="006F122E"/>
    <w:rsid w:val="00724311"/>
    <w:rsid w:val="00770A6F"/>
    <w:rsid w:val="00781A1F"/>
    <w:rsid w:val="00801A08"/>
    <w:rsid w:val="00812151"/>
    <w:rsid w:val="0082368D"/>
    <w:rsid w:val="00825B1E"/>
    <w:rsid w:val="008261FB"/>
    <w:rsid w:val="008373F1"/>
    <w:rsid w:val="0084149C"/>
    <w:rsid w:val="00845CF9"/>
    <w:rsid w:val="008509B7"/>
    <w:rsid w:val="0086107D"/>
    <w:rsid w:val="00865EAA"/>
    <w:rsid w:val="00871559"/>
    <w:rsid w:val="008844A0"/>
    <w:rsid w:val="00885740"/>
    <w:rsid w:val="00885F35"/>
    <w:rsid w:val="00897944"/>
    <w:rsid w:val="008C3910"/>
    <w:rsid w:val="008D7B27"/>
    <w:rsid w:val="008E6C3E"/>
    <w:rsid w:val="00913305"/>
    <w:rsid w:val="00943EF5"/>
    <w:rsid w:val="00950253"/>
    <w:rsid w:val="00955D1B"/>
    <w:rsid w:val="00956F74"/>
    <w:rsid w:val="009626FF"/>
    <w:rsid w:val="00974E54"/>
    <w:rsid w:val="00983736"/>
    <w:rsid w:val="00986C99"/>
    <w:rsid w:val="0099176E"/>
    <w:rsid w:val="0099442C"/>
    <w:rsid w:val="00995156"/>
    <w:rsid w:val="009A0247"/>
    <w:rsid w:val="009A4674"/>
    <w:rsid w:val="009B2B25"/>
    <w:rsid w:val="009B4FE1"/>
    <w:rsid w:val="009E7804"/>
    <w:rsid w:val="009F3ED8"/>
    <w:rsid w:val="009F7A60"/>
    <w:rsid w:val="00A064FE"/>
    <w:rsid w:val="00A12032"/>
    <w:rsid w:val="00A3223E"/>
    <w:rsid w:val="00A4012A"/>
    <w:rsid w:val="00A4699C"/>
    <w:rsid w:val="00A52EEC"/>
    <w:rsid w:val="00A55619"/>
    <w:rsid w:val="00A61158"/>
    <w:rsid w:val="00A7133D"/>
    <w:rsid w:val="00A741C8"/>
    <w:rsid w:val="00A834DB"/>
    <w:rsid w:val="00A83B17"/>
    <w:rsid w:val="00A95CE9"/>
    <w:rsid w:val="00AA36E6"/>
    <w:rsid w:val="00AA78EF"/>
    <w:rsid w:val="00AC1ABF"/>
    <w:rsid w:val="00AC5334"/>
    <w:rsid w:val="00AD14AB"/>
    <w:rsid w:val="00AD5ACB"/>
    <w:rsid w:val="00AE1BE4"/>
    <w:rsid w:val="00AE3633"/>
    <w:rsid w:val="00AE4EB4"/>
    <w:rsid w:val="00B12FBE"/>
    <w:rsid w:val="00B35307"/>
    <w:rsid w:val="00B3785C"/>
    <w:rsid w:val="00B50B49"/>
    <w:rsid w:val="00B628E1"/>
    <w:rsid w:val="00B665F3"/>
    <w:rsid w:val="00B84C55"/>
    <w:rsid w:val="00BA000E"/>
    <w:rsid w:val="00BA609B"/>
    <w:rsid w:val="00BC65EF"/>
    <w:rsid w:val="00BC7772"/>
    <w:rsid w:val="00BD54BA"/>
    <w:rsid w:val="00BE2A33"/>
    <w:rsid w:val="00BF00AD"/>
    <w:rsid w:val="00BF5A4E"/>
    <w:rsid w:val="00C03563"/>
    <w:rsid w:val="00C0663C"/>
    <w:rsid w:val="00C16A84"/>
    <w:rsid w:val="00C25493"/>
    <w:rsid w:val="00C405B5"/>
    <w:rsid w:val="00C477B8"/>
    <w:rsid w:val="00C765E1"/>
    <w:rsid w:val="00C81A70"/>
    <w:rsid w:val="00C90A35"/>
    <w:rsid w:val="00C966DF"/>
    <w:rsid w:val="00CD15F8"/>
    <w:rsid w:val="00CD6102"/>
    <w:rsid w:val="00CE0BA3"/>
    <w:rsid w:val="00CE748E"/>
    <w:rsid w:val="00CE7FD5"/>
    <w:rsid w:val="00CF28DF"/>
    <w:rsid w:val="00CF3551"/>
    <w:rsid w:val="00D0084D"/>
    <w:rsid w:val="00D02F04"/>
    <w:rsid w:val="00D062A9"/>
    <w:rsid w:val="00D1221D"/>
    <w:rsid w:val="00D17EFF"/>
    <w:rsid w:val="00D21E36"/>
    <w:rsid w:val="00D22D5C"/>
    <w:rsid w:val="00D33221"/>
    <w:rsid w:val="00D721BE"/>
    <w:rsid w:val="00D91C4D"/>
    <w:rsid w:val="00D9218D"/>
    <w:rsid w:val="00D96A97"/>
    <w:rsid w:val="00DA2786"/>
    <w:rsid w:val="00DB15A2"/>
    <w:rsid w:val="00DB311D"/>
    <w:rsid w:val="00DC4D07"/>
    <w:rsid w:val="00DE5EF3"/>
    <w:rsid w:val="00DF3131"/>
    <w:rsid w:val="00DF3B80"/>
    <w:rsid w:val="00E0361F"/>
    <w:rsid w:val="00E04F9B"/>
    <w:rsid w:val="00E05C9F"/>
    <w:rsid w:val="00E11379"/>
    <w:rsid w:val="00E2081A"/>
    <w:rsid w:val="00E23406"/>
    <w:rsid w:val="00E400AA"/>
    <w:rsid w:val="00E55645"/>
    <w:rsid w:val="00E60E70"/>
    <w:rsid w:val="00E71F34"/>
    <w:rsid w:val="00E73AAB"/>
    <w:rsid w:val="00E80206"/>
    <w:rsid w:val="00E833B0"/>
    <w:rsid w:val="00E85E74"/>
    <w:rsid w:val="00EA7989"/>
    <w:rsid w:val="00ED100B"/>
    <w:rsid w:val="00ED4345"/>
    <w:rsid w:val="00EF076A"/>
    <w:rsid w:val="00F03CD4"/>
    <w:rsid w:val="00F151D0"/>
    <w:rsid w:val="00F56739"/>
    <w:rsid w:val="00F65433"/>
    <w:rsid w:val="00F84EDB"/>
    <w:rsid w:val="00FA0A14"/>
    <w:rsid w:val="00FA1CC8"/>
    <w:rsid w:val="00FA3FAB"/>
    <w:rsid w:val="00FB0A4F"/>
    <w:rsid w:val="00FB1272"/>
    <w:rsid w:val="00FB7D7B"/>
    <w:rsid w:val="00FD5020"/>
    <w:rsid w:val="00FD7E68"/>
    <w:rsid w:val="00FE1CCD"/>
    <w:rsid w:val="00FE243F"/>
    <w:rsid w:val="00FE4C2D"/>
    <w:rsid w:val="00FE5838"/>
  </w:rsids>
  <w:docVars>
    <w:docVar w:name="_AMO_XmlVersion" w:val="Empty"/>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8B17576"/>
  <w15:docId w15:val="{ED9D9E06-5F26-4BB6-81CD-9C4ACB4AD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320"/>
        <w:tab w:val="right" w:pos="8640"/>
      </w:tabs>
    </w:p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rPr>
      <w:b/>
    </w:rPr>
  </w:style>
  <w:style w:type="paragraph" w:customStyle="1" w:styleId="QuickA">
    <w:name w:val="Quick A."/>
    <w:basedOn w:val="Normal"/>
    <w:pPr>
      <w:widowControl w:val="0"/>
    </w:pPr>
  </w:style>
  <w:style w:type="paragraph" w:customStyle="1" w:styleId="Quick1">
    <w:name w:val="Quick 1."/>
    <w:basedOn w:val="Normal"/>
    <w:pPr>
      <w:widowControl w:val="0"/>
    </w:pPr>
  </w:style>
  <w:style w:type="paragraph" w:customStyle="1" w:styleId="Quicka0">
    <w:name w:val="Quick a."/>
    <w:basedOn w:val="Normal"/>
    <w:pPr>
      <w:widowControl w:val="0"/>
    </w:p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0">
    <w:name w:val="_20"/>
    <w:basedOn w:val="Normal"/>
    <w:pPr>
      <w:widowControl w:val="0"/>
      <w:tabs>
        <w:tab w:val="left" w:pos="5040"/>
        <w:tab w:val="left" w:pos="5760"/>
        <w:tab w:val="left" w:pos="6480"/>
        <w:tab w:val="left" w:pos="7200"/>
        <w:tab w:val="left" w:pos="7920"/>
        <w:tab w:val="left" w:pos="8640"/>
      </w:tabs>
      <w:ind w:left="5040"/>
    </w:pPr>
  </w:style>
  <w:style w:type="paragraph" w:customStyle="1" w:styleId="19">
    <w:name w:val="_19"/>
    <w:basedOn w:val="Normal"/>
    <w:pPr>
      <w:widowControl w:val="0"/>
      <w:tabs>
        <w:tab w:val="left" w:pos="5760"/>
        <w:tab w:val="left" w:pos="6480"/>
        <w:tab w:val="left" w:pos="7200"/>
        <w:tab w:val="left" w:pos="7920"/>
        <w:tab w:val="left" w:pos="8640"/>
      </w:tabs>
      <w:ind w:left="5760"/>
    </w:pPr>
  </w:style>
  <w:style w:type="paragraph" w:customStyle="1" w:styleId="18">
    <w:name w:val="_18"/>
    <w:basedOn w:val="Normal"/>
    <w:pPr>
      <w:widowControl w:val="0"/>
      <w:tabs>
        <w:tab w:val="left" w:pos="6480"/>
        <w:tab w:val="left" w:pos="7200"/>
        <w:tab w:val="left" w:pos="7920"/>
        <w:tab w:val="left" w:pos="8640"/>
      </w:tabs>
      <w:ind w:left="6480"/>
    </w:p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customStyle="1" w:styleId="9">
    <w:name w:val="_9"/>
    <w:basedOn w:val="Normal"/>
    <w:pPr>
      <w:widowControl w:val="0"/>
      <w:tabs>
        <w:tab w:val="left" w:pos="6480"/>
        <w:tab w:val="left" w:pos="7200"/>
        <w:tab w:val="left" w:pos="7920"/>
        <w:tab w:val="left" w:pos="864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
    <w:name w:val="_2"/>
    <w:basedOn w:val="Normal"/>
    <w:pPr>
      <w:widowControl w:val="0"/>
      <w:tabs>
        <w:tab w:val="left" w:pos="5040"/>
        <w:tab w:val="left" w:pos="5760"/>
        <w:tab w:val="left" w:pos="6480"/>
        <w:tab w:val="left" w:pos="7200"/>
        <w:tab w:val="left" w:pos="7920"/>
        <w:tab w:val="left" w:pos="8640"/>
      </w:tabs>
      <w:ind w:left="5040"/>
    </w:pPr>
  </w:style>
  <w:style w:type="paragraph" w:customStyle="1" w:styleId="1">
    <w:name w:val="_1"/>
    <w:basedOn w:val="Normal"/>
    <w:pPr>
      <w:widowControl w:val="0"/>
      <w:tabs>
        <w:tab w:val="left" w:pos="5760"/>
        <w:tab w:val="left" w:pos="6480"/>
        <w:tab w:val="left" w:pos="7200"/>
        <w:tab w:val="left" w:pos="7920"/>
        <w:tab w:val="left" w:pos="8640"/>
      </w:tabs>
      <w:ind w:left="5760"/>
    </w:pPr>
  </w:style>
  <w:style w:type="paragraph" w:customStyle="1" w:styleId="a">
    <w:name w:val="_"/>
    <w:basedOn w:val="Normal"/>
    <w:pPr>
      <w:widowControl w:val="0"/>
      <w:tabs>
        <w:tab w:val="left" w:pos="6480"/>
        <w:tab w:val="left" w:pos="7200"/>
        <w:tab w:val="left" w:pos="7920"/>
        <w:tab w:val="left" w:pos="8640"/>
      </w:tabs>
      <w:ind w:left="6480"/>
    </w:pPr>
  </w:style>
  <w:style w:type="character" w:styleId="PageNumber">
    <w:name w:val="page number"/>
    <w:basedOn w:val="DefaultParagraphFont"/>
    <w:semiHidden/>
  </w:style>
  <w:style w:type="paragraph" w:styleId="Header">
    <w:name w:val="header"/>
    <w:basedOn w:val="Normal"/>
    <w:semiHidden/>
    <w:pPr>
      <w:tabs>
        <w:tab w:val="center" w:pos="4320"/>
        <w:tab w:val="right" w:pos="8640"/>
      </w:tabs>
    </w:pPr>
  </w:style>
  <w:style w:type="paragraph" w:styleId="BalloonText">
    <w:name w:val="Balloon Text"/>
    <w:basedOn w:val="Normal"/>
    <w:link w:val="BalloonTextChar"/>
    <w:uiPriority w:val="99"/>
    <w:semiHidden/>
    <w:unhideWhenUsed/>
    <w:rsid w:val="00103125"/>
    <w:rPr>
      <w:rFonts w:ascii="Tahoma" w:hAnsi="Tahoma" w:cs="Tahoma"/>
      <w:sz w:val="16"/>
      <w:szCs w:val="16"/>
    </w:rPr>
  </w:style>
  <w:style w:type="character" w:customStyle="1" w:styleId="BalloonTextChar">
    <w:name w:val="Balloon Text Char"/>
    <w:basedOn w:val="DefaultParagraphFont"/>
    <w:link w:val="BalloonText"/>
    <w:uiPriority w:val="99"/>
    <w:semiHidden/>
    <w:rsid w:val="00103125"/>
    <w:rPr>
      <w:rFonts w:ascii="Tahoma" w:hAnsi="Tahoma" w:cs="Tahoma"/>
      <w:sz w:val="16"/>
      <w:szCs w:val="16"/>
    </w:rPr>
  </w:style>
  <w:style w:type="paragraph" w:styleId="ListParagraph">
    <w:name w:val="List Paragraph"/>
    <w:basedOn w:val="Normal"/>
    <w:uiPriority w:val="34"/>
    <w:qFormat/>
    <w:rsid w:val="00685DE7"/>
    <w:pPr>
      <w:ind w:left="720"/>
      <w:contextualSpacing/>
    </w:pPr>
  </w:style>
  <w:style w:type="character" w:styleId="CommentReference">
    <w:name w:val="annotation reference"/>
    <w:basedOn w:val="DefaultParagraphFont"/>
    <w:uiPriority w:val="99"/>
    <w:semiHidden/>
    <w:unhideWhenUsed/>
    <w:rsid w:val="00B665F3"/>
    <w:rPr>
      <w:sz w:val="16"/>
      <w:szCs w:val="16"/>
    </w:rPr>
  </w:style>
  <w:style w:type="paragraph" w:styleId="CommentText">
    <w:name w:val="annotation text"/>
    <w:basedOn w:val="Normal"/>
    <w:link w:val="CommentTextChar"/>
    <w:uiPriority w:val="99"/>
    <w:unhideWhenUsed/>
    <w:rsid w:val="00B665F3"/>
    <w:rPr>
      <w:sz w:val="20"/>
    </w:rPr>
  </w:style>
  <w:style w:type="character" w:customStyle="1" w:styleId="CommentTextChar">
    <w:name w:val="Comment Text Char"/>
    <w:basedOn w:val="DefaultParagraphFont"/>
    <w:link w:val="CommentText"/>
    <w:uiPriority w:val="99"/>
    <w:rsid w:val="00B665F3"/>
  </w:style>
  <w:style w:type="paragraph" w:styleId="CommentSubject">
    <w:name w:val="annotation subject"/>
    <w:basedOn w:val="CommentText"/>
    <w:next w:val="CommentText"/>
    <w:link w:val="CommentSubjectChar"/>
    <w:uiPriority w:val="99"/>
    <w:semiHidden/>
    <w:unhideWhenUsed/>
    <w:rsid w:val="00B665F3"/>
    <w:rPr>
      <w:b/>
      <w:bCs/>
    </w:rPr>
  </w:style>
  <w:style w:type="character" w:customStyle="1" w:styleId="CommentSubjectChar">
    <w:name w:val="Comment Subject Char"/>
    <w:basedOn w:val="CommentTextChar"/>
    <w:link w:val="CommentSubject"/>
    <w:uiPriority w:val="99"/>
    <w:semiHidden/>
    <w:rsid w:val="00B665F3"/>
    <w:rPr>
      <w:b/>
      <w:bCs/>
    </w:rPr>
  </w:style>
  <w:style w:type="paragraph" w:styleId="Revision">
    <w:name w:val="Revision"/>
    <w:hidden/>
    <w:uiPriority w:val="99"/>
    <w:semiHidden/>
    <w:rsid w:val="00B665F3"/>
    <w:rPr>
      <w:sz w:val="24"/>
    </w:rPr>
  </w:style>
  <w:style w:type="paragraph" w:styleId="NormalWeb">
    <w:name w:val="Normal (Web)"/>
    <w:basedOn w:val="Normal"/>
    <w:uiPriority w:val="99"/>
    <w:unhideWhenUsed/>
    <w:rsid w:val="00825B1E"/>
    <w:pPr>
      <w:spacing w:before="100" w:beforeAutospacing="1" w:after="100" w:afterAutospacing="1"/>
    </w:pPr>
    <w:rPr>
      <w:szCs w:val="24"/>
    </w:rPr>
  </w:style>
  <w:style w:type="character" w:styleId="Hyperlink">
    <w:name w:val="Hyperlink"/>
    <w:basedOn w:val="DefaultParagraphFont"/>
    <w:uiPriority w:val="99"/>
    <w:unhideWhenUsed/>
    <w:rsid w:val="00BA000E"/>
    <w:rPr>
      <w:color w:val="0000FF" w:themeColor="hyperlink"/>
      <w:u w:val="single"/>
    </w:rPr>
  </w:style>
  <w:style w:type="paragraph" w:customStyle="1" w:styleId="xmsonormal">
    <w:name w:val="x_msonormal"/>
    <w:basedOn w:val="Normal"/>
    <w:rsid w:val="00AC1ABF"/>
    <w:pPr>
      <w:spacing w:before="100" w:beforeAutospacing="1" w:after="100" w:afterAutospacing="1"/>
    </w:pPr>
    <w:rPr>
      <w:szCs w:val="24"/>
    </w:rPr>
  </w:style>
  <w:style w:type="character" w:styleId="UnresolvedMention">
    <w:name w:val="Unresolved Mention"/>
    <w:basedOn w:val="DefaultParagraphFont"/>
    <w:uiPriority w:val="99"/>
    <w:semiHidden/>
    <w:unhideWhenUsed/>
    <w:rsid w:val="00DE5EF3"/>
    <w:rPr>
      <w:color w:val="605E5C"/>
      <w:shd w:val="clear" w:color="auto" w:fill="E1DFDD"/>
    </w:rPr>
  </w:style>
  <w:style w:type="table" w:styleId="TableGrid">
    <w:name w:val="Table Grid"/>
    <w:basedOn w:val="TableNormal"/>
    <w:uiPriority w:val="59"/>
    <w:rsid w:val="00943E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AC5334"/>
    <w:rPr>
      <w:sz w:val="20"/>
    </w:rPr>
  </w:style>
  <w:style w:type="character" w:customStyle="1" w:styleId="FootnoteTextChar">
    <w:name w:val="Footnote Text Char"/>
    <w:basedOn w:val="DefaultParagraphFont"/>
    <w:link w:val="FootnoteText"/>
    <w:uiPriority w:val="99"/>
    <w:semiHidden/>
    <w:rsid w:val="00AC5334"/>
  </w:style>
  <w:style w:type="character" w:styleId="FootnoteReference">
    <w:name w:val="footnote reference"/>
    <w:basedOn w:val="DefaultParagraphFont"/>
    <w:uiPriority w:val="99"/>
    <w:semiHidden/>
    <w:unhideWhenUsed/>
    <w:rsid w:val="00AC533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http://www.census.gov/construction/%20c30/methodology.html" TargetMode="Externa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1085</TotalTime>
  <Pages>8</Pages>
  <Words>2557</Words>
  <Characters>14376</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16900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Bureau Of The Census</dc:creator>
  <cp:lastModifiedBy>Bonnie E Kegan (CENSUS/ESMD FED)</cp:lastModifiedBy>
  <cp:revision>23</cp:revision>
  <cp:lastPrinted>2015-12-17T23:08:00Z</cp:lastPrinted>
  <dcterms:created xsi:type="dcterms:W3CDTF">2021-11-03T13:27:00Z</dcterms:created>
  <dcterms:modified xsi:type="dcterms:W3CDTF">2024-09-18T15:46:00Z</dcterms:modified>
</cp:coreProperties>
</file>