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19F" w:rsidRPr="00DE12C8" w:rsidP="0077019F" w14:paraId="31890754" w14:textId="77777777">
      <w:pPr>
        <w:pStyle w:val="Title"/>
        <w:rPr>
          <w:sz w:val="24"/>
          <w:szCs w:val="24"/>
        </w:rPr>
      </w:pPr>
    </w:p>
    <w:p w:rsidR="0077019F" w:rsidRPr="00DE12C8" w:rsidP="0077019F" w14:paraId="70EAE998" w14:textId="3B044C06">
      <w:pPr>
        <w:pStyle w:val="Title"/>
        <w:rPr>
          <w:sz w:val="24"/>
          <w:szCs w:val="24"/>
          <w:u w:val="none"/>
        </w:rPr>
      </w:pPr>
      <w:r w:rsidRPr="00DE12C8">
        <w:rPr>
          <w:sz w:val="24"/>
          <w:szCs w:val="24"/>
          <w:u w:val="none"/>
        </w:rPr>
        <w:t xml:space="preserve">2024 </w:t>
      </w:r>
      <w:r w:rsidRPr="00DE12C8">
        <w:rPr>
          <w:sz w:val="24"/>
          <w:szCs w:val="24"/>
          <w:u w:val="none"/>
        </w:rPr>
        <w:t>SUPPORTING STATEMENT</w:t>
      </w:r>
    </w:p>
    <w:p w:rsidR="00D27BF3" w:rsidRPr="00DE12C8" w:rsidP="0077019F" w14:paraId="6200D465" w14:textId="64DD0BC2">
      <w:pPr>
        <w:pStyle w:val="Title"/>
        <w:rPr>
          <w:sz w:val="24"/>
          <w:szCs w:val="24"/>
          <w:u w:val="none"/>
        </w:rPr>
      </w:pPr>
      <w:r w:rsidRPr="00DE12C8">
        <w:rPr>
          <w:sz w:val="24"/>
          <w:szCs w:val="24"/>
          <w:u w:val="none"/>
        </w:rPr>
        <w:t>PAPERWORK REDUCTION ACT SUBMISSION</w:t>
      </w:r>
    </w:p>
    <w:p w:rsidR="00D27BF3" w:rsidRPr="00DE12C8" w:rsidP="0077019F" w14:paraId="69824BCF" w14:textId="5381FA65">
      <w:pPr>
        <w:pStyle w:val="Title"/>
        <w:rPr>
          <w:sz w:val="24"/>
          <w:szCs w:val="24"/>
          <w:u w:val="none"/>
        </w:rPr>
      </w:pPr>
      <w:r w:rsidRPr="00DE12C8">
        <w:rPr>
          <w:sz w:val="24"/>
          <w:szCs w:val="24"/>
          <w:u w:val="none"/>
        </w:rPr>
        <w:t>SERVICING OF WATER PROGRAMS LOANS AND GRANTS</w:t>
      </w:r>
    </w:p>
    <w:p w:rsidR="0077019F" w:rsidRPr="00DE12C8" w:rsidP="0077019F" w14:paraId="7F106261" w14:textId="3BB5862F">
      <w:pPr>
        <w:jc w:val="center"/>
        <w:rPr>
          <w:b/>
          <w:szCs w:val="24"/>
        </w:rPr>
      </w:pPr>
      <w:r w:rsidRPr="00DE12C8">
        <w:rPr>
          <w:b/>
          <w:szCs w:val="24"/>
        </w:rPr>
        <w:t>OMB N</w:t>
      </w:r>
      <w:r w:rsidRPr="00DE12C8" w:rsidR="0060689A">
        <w:rPr>
          <w:b/>
          <w:szCs w:val="24"/>
        </w:rPr>
        <w:t>O</w:t>
      </w:r>
      <w:r w:rsidRPr="00DE12C8">
        <w:rPr>
          <w:b/>
          <w:szCs w:val="24"/>
        </w:rPr>
        <w:t xml:space="preserve">. </w:t>
      </w:r>
      <w:r w:rsidRPr="00DE12C8">
        <w:rPr>
          <w:b/>
          <w:szCs w:val="24"/>
        </w:rPr>
        <w:t>0572-0137</w:t>
      </w:r>
    </w:p>
    <w:p w:rsidR="0077019F" w:rsidRPr="00DE12C8" w:rsidP="0077019F" w14:paraId="553E4585" w14:textId="77777777">
      <w:pPr>
        <w:rPr>
          <w:b/>
          <w:szCs w:val="24"/>
        </w:rPr>
      </w:pPr>
    </w:p>
    <w:p w:rsidR="0077019F" w:rsidRPr="00420DF3" w:rsidP="00990CF1" w14:paraId="50FDD290" w14:textId="77777777">
      <w:pPr>
        <w:numPr>
          <w:ilvl w:val="0"/>
          <w:numId w:val="1"/>
        </w:numPr>
        <w:tabs>
          <w:tab w:val="num" w:pos="360"/>
          <w:tab w:val="clear" w:pos="720"/>
        </w:tabs>
        <w:ind w:left="360" w:hanging="360"/>
        <w:rPr>
          <w:b/>
          <w:szCs w:val="24"/>
          <w:u w:val="single"/>
        </w:rPr>
      </w:pPr>
      <w:r w:rsidRPr="00420DF3">
        <w:rPr>
          <w:b/>
          <w:szCs w:val="24"/>
          <w:u w:val="single"/>
        </w:rPr>
        <w:t>Justification</w:t>
      </w:r>
    </w:p>
    <w:p w:rsidR="0077019F" w:rsidRPr="00420DF3" w:rsidP="0077019F" w14:paraId="3483B096" w14:textId="77777777">
      <w:pPr>
        <w:rPr>
          <w:b/>
          <w:szCs w:val="24"/>
          <w:u w:val="single"/>
        </w:rPr>
      </w:pPr>
    </w:p>
    <w:p w:rsidR="0077019F" w:rsidRPr="00420DF3" w:rsidP="0077019F" w14:paraId="3B1A2EE7" w14:textId="77777777">
      <w:pPr>
        <w:numPr>
          <w:ilvl w:val="0"/>
          <w:numId w:val="2"/>
        </w:numPr>
        <w:tabs>
          <w:tab w:val="left" w:pos="360"/>
          <w:tab w:val="num" w:pos="540"/>
          <w:tab w:val="clear" w:pos="810"/>
        </w:tabs>
        <w:ind w:left="540" w:hanging="540"/>
        <w:rPr>
          <w:b/>
          <w:szCs w:val="24"/>
          <w:u w:val="single"/>
        </w:rPr>
      </w:pPr>
      <w:r w:rsidRPr="00420DF3">
        <w:rPr>
          <w:b/>
          <w:szCs w:val="24"/>
          <w:u w:val="single"/>
        </w:rPr>
        <w:t>Explain the circumstances that make the collection of information necessary.</w:t>
      </w:r>
    </w:p>
    <w:p w:rsidR="0077019F" w:rsidRPr="00420DF3" w:rsidP="0077019F" w14:paraId="76862789" w14:textId="77777777">
      <w:pPr>
        <w:rPr>
          <w:b/>
          <w:szCs w:val="24"/>
          <w:u w:val="single"/>
        </w:rPr>
      </w:pPr>
    </w:p>
    <w:p w:rsidR="00DA2C37" w:rsidRPr="00420DF3" w:rsidP="00DA2C37" w14:paraId="5A5D694B" w14:textId="0CBADBAD">
      <w:pPr>
        <w:rPr>
          <w:szCs w:val="24"/>
        </w:rPr>
      </w:pPr>
      <w:r w:rsidRPr="00420DF3">
        <w:rPr>
          <w:szCs w:val="24"/>
        </w:rPr>
        <w:t xml:space="preserve">This information collection package covers </w:t>
      </w:r>
      <w:r w:rsidRPr="00420DF3" w:rsidR="00750B3C">
        <w:rPr>
          <w:szCs w:val="24"/>
        </w:rPr>
        <w:t xml:space="preserve">the </w:t>
      </w:r>
      <w:r w:rsidRPr="00420DF3" w:rsidR="00CE5A78">
        <w:rPr>
          <w:szCs w:val="24"/>
        </w:rPr>
        <w:t>S</w:t>
      </w:r>
      <w:r w:rsidRPr="00420DF3" w:rsidR="00750B3C">
        <w:rPr>
          <w:szCs w:val="24"/>
        </w:rPr>
        <w:t>ervicing of Water Programs L</w:t>
      </w:r>
      <w:r w:rsidRPr="00420DF3">
        <w:rPr>
          <w:szCs w:val="24"/>
        </w:rPr>
        <w:t>oan</w:t>
      </w:r>
      <w:r w:rsidRPr="00420DF3" w:rsidR="00750B3C">
        <w:rPr>
          <w:szCs w:val="24"/>
        </w:rPr>
        <w:t>s</w:t>
      </w:r>
      <w:r w:rsidRPr="00420DF3">
        <w:rPr>
          <w:szCs w:val="24"/>
        </w:rPr>
        <w:t xml:space="preserve"> and </w:t>
      </w:r>
      <w:r w:rsidRPr="00420DF3" w:rsidR="00750B3C">
        <w:rPr>
          <w:szCs w:val="24"/>
        </w:rPr>
        <w:t>Grants r</w:t>
      </w:r>
      <w:r w:rsidRPr="00420DF3">
        <w:rPr>
          <w:szCs w:val="24"/>
        </w:rPr>
        <w:t xml:space="preserve">egulation, </w:t>
      </w:r>
      <w:hyperlink r:id="rId8" w:history="1">
        <w:r w:rsidRPr="00420DF3">
          <w:rPr>
            <w:rStyle w:val="Hyperlink"/>
            <w:szCs w:val="24"/>
          </w:rPr>
          <w:t xml:space="preserve">7 CFR </w:t>
        </w:r>
        <w:r w:rsidRPr="00420DF3" w:rsidR="001B76F5">
          <w:rPr>
            <w:rStyle w:val="Hyperlink"/>
            <w:szCs w:val="24"/>
          </w:rPr>
          <w:t xml:space="preserve">part </w:t>
        </w:r>
        <w:r w:rsidRPr="00420DF3">
          <w:rPr>
            <w:rStyle w:val="Hyperlink"/>
            <w:szCs w:val="24"/>
          </w:rPr>
          <w:t>1782</w:t>
        </w:r>
      </w:hyperlink>
      <w:r w:rsidRPr="00420DF3" w:rsidR="001A45BC">
        <w:rPr>
          <w:szCs w:val="24"/>
        </w:rPr>
        <w:t xml:space="preserve">.  </w:t>
      </w:r>
      <w:r w:rsidRPr="00420DF3">
        <w:rPr>
          <w:szCs w:val="24"/>
        </w:rPr>
        <w:t>The regulation outlines the Rural Utilities Service's (RUS), an agency delivering the United States Department of Agriculture's (USDA) Rural Development Utilities Programs, hereinafter referred to as Rural Development</w:t>
      </w:r>
      <w:r w:rsidRPr="00420DF3" w:rsidR="00A562BC">
        <w:rPr>
          <w:szCs w:val="24"/>
        </w:rPr>
        <w:t xml:space="preserve"> (RD)</w:t>
      </w:r>
      <w:r w:rsidRPr="00420DF3">
        <w:rPr>
          <w:szCs w:val="24"/>
        </w:rPr>
        <w:t xml:space="preserve"> and/or Agency, policies and procedures for servicing direct and insured Water and Waste Disposal loans and grants</w:t>
      </w:r>
      <w:r w:rsidRPr="00420DF3" w:rsidR="00DD0B70">
        <w:rPr>
          <w:szCs w:val="24"/>
        </w:rPr>
        <w:t xml:space="preserve"> (WWLG)</w:t>
      </w:r>
      <w:r w:rsidRPr="00420DF3">
        <w:rPr>
          <w:szCs w:val="24"/>
        </w:rPr>
        <w:t>; Watershed loans and advances</w:t>
      </w:r>
      <w:r w:rsidRPr="00420DF3" w:rsidR="00422BDE">
        <w:rPr>
          <w:szCs w:val="24"/>
        </w:rPr>
        <w:t xml:space="preserve"> (Watershed)</w:t>
      </w:r>
      <w:r w:rsidRPr="00420DF3">
        <w:rPr>
          <w:szCs w:val="24"/>
        </w:rPr>
        <w:t>; Resource Conservation and Development loans</w:t>
      </w:r>
      <w:r w:rsidRPr="00420DF3" w:rsidR="00422BDE">
        <w:rPr>
          <w:szCs w:val="24"/>
        </w:rPr>
        <w:t xml:space="preserve"> (RCDL)</w:t>
      </w:r>
      <w:r w:rsidRPr="00420DF3">
        <w:rPr>
          <w:szCs w:val="24"/>
        </w:rPr>
        <w:t>; Technical Assistance and Training grants</w:t>
      </w:r>
      <w:r w:rsidRPr="00420DF3" w:rsidR="00422BDE">
        <w:rPr>
          <w:szCs w:val="24"/>
        </w:rPr>
        <w:t xml:space="preserve"> (TAT)</w:t>
      </w:r>
      <w:r w:rsidRPr="00420DF3">
        <w:rPr>
          <w:szCs w:val="24"/>
        </w:rPr>
        <w:t>; Emergency Community Water Assistance grants</w:t>
      </w:r>
      <w:r w:rsidRPr="00420DF3" w:rsidR="00422BDE">
        <w:rPr>
          <w:szCs w:val="24"/>
        </w:rPr>
        <w:t xml:space="preserve"> (ECWAG)</w:t>
      </w:r>
      <w:r w:rsidRPr="00420DF3">
        <w:rPr>
          <w:szCs w:val="24"/>
        </w:rPr>
        <w:t>; Solid Waste Management grants</w:t>
      </w:r>
      <w:r w:rsidRPr="00420DF3" w:rsidR="00422BDE">
        <w:rPr>
          <w:szCs w:val="24"/>
        </w:rPr>
        <w:t xml:space="preserve"> (SWMG)</w:t>
      </w:r>
      <w:r w:rsidRPr="00420DF3">
        <w:rPr>
          <w:szCs w:val="24"/>
        </w:rPr>
        <w:t>; and section 306C W</w:t>
      </w:r>
      <w:r w:rsidRPr="00420DF3" w:rsidR="0086102E">
        <w:rPr>
          <w:szCs w:val="24"/>
        </w:rPr>
        <w:t xml:space="preserve">ater and Waste Facility </w:t>
      </w:r>
      <w:r w:rsidRPr="00420DF3">
        <w:rPr>
          <w:szCs w:val="24"/>
        </w:rPr>
        <w:t>loans and grants</w:t>
      </w:r>
      <w:r w:rsidRPr="00420DF3" w:rsidR="00422BDE">
        <w:rPr>
          <w:szCs w:val="24"/>
        </w:rPr>
        <w:t xml:space="preserve"> </w:t>
      </w:r>
      <w:r w:rsidRPr="00420DF3" w:rsidR="0028755E">
        <w:rPr>
          <w:szCs w:val="24"/>
        </w:rPr>
        <w:t>(Colonias/Tribal)</w:t>
      </w:r>
      <w:r w:rsidRPr="00420DF3">
        <w:rPr>
          <w:szCs w:val="24"/>
        </w:rPr>
        <w:t>.</w:t>
      </w:r>
    </w:p>
    <w:p w:rsidR="001A471E" w:rsidRPr="00420DF3" w:rsidP="0077019F" w14:paraId="32C18770" w14:textId="2ECE9275">
      <w:pPr>
        <w:rPr>
          <w:szCs w:val="24"/>
        </w:rPr>
      </w:pPr>
    </w:p>
    <w:p w:rsidR="00A562BC" w:rsidRPr="00420DF3" w:rsidP="0077019F" w14:paraId="3B039395" w14:textId="68CA7683">
      <w:pPr>
        <w:rPr>
          <w:szCs w:val="24"/>
        </w:rPr>
      </w:pPr>
      <w:r w:rsidRPr="00420DF3">
        <w:rPr>
          <w:szCs w:val="24"/>
        </w:rPr>
        <w:t>Loan and grant servicing is provided b</w:t>
      </w:r>
      <w:r w:rsidRPr="00420DF3" w:rsidR="007F510B">
        <w:rPr>
          <w:szCs w:val="24"/>
        </w:rPr>
        <w:t>y the Agency</w:t>
      </w:r>
      <w:r w:rsidRPr="00420DF3">
        <w:rPr>
          <w:szCs w:val="24"/>
        </w:rPr>
        <w:t xml:space="preserve"> </w:t>
      </w:r>
      <w:r w:rsidRPr="00420DF3">
        <w:rPr>
          <w:szCs w:val="24"/>
        </w:rPr>
        <w:t>in order to</w:t>
      </w:r>
      <w:r w:rsidRPr="00420DF3">
        <w:rPr>
          <w:szCs w:val="24"/>
        </w:rPr>
        <w:t xml:space="preserve"> assist recipients in complying with the established objectives and requirements for loans and grants, repaying loans on schedule, acting in accordance with any necessary agreements, and protecting </w:t>
      </w:r>
      <w:r w:rsidRPr="00420DF3" w:rsidR="00A62E00">
        <w:rPr>
          <w:szCs w:val="24"/>
        </w:rPr>
        <w:t>the Agency’s</w:t>
      </w:r>
      <w:r w:rsidRPr="00420DF3">
        <w:rPr>
          <w:szCs w:val="24"/>
        </w:rPr>
        <w:t xml:space="preserve"> financial interest. Servicing by </w:t>
      </w:r>
      <w:r w:rsidRPr="00420DF3" w:rsidR="007170D6">
        <w:rPr>
          <w:szCs w:val="24"/>
        </w:rPr>
        <w:t xml:space="preserve">the Agency </w:t>
      </w:r>
      <w:r w:rsidRPr="00420DF3">
        <w:rPr>
          <w:szCs w:val="24"/>
        </w:rPr>
        <w:t>includes, but is not limited to, the review of budgets, management reports, audits, and financial statements; performing operational inspections; providing, arranging, or recommending technical assistance; evaluating environmental impacts of proposed actions by the borrower; and performing civil rights compliance and graduation reviews.</w:t>
      </w:r>
    </w:p>
    <w:p w:rsidR="003373C3" w:rsidRPr="00420DF3" w:rsidP="0077019F" w14:paraId="0D7AC37B" w14:textId="77777777">
      <w:pPr>
        <w:rPr>
          <w:szCs w:val="24"/>
        </w:rPr>
      </w:pPr>
    </w:p>
    <w:p w:rsidR="005677BA" w:rsidRPr="00420DF3" w:rsidP="0077019F" w14:paraId="25688DE9" w14:textId="475CD845">
      <w:pPr>
        <w:rPr>
          <w:szCs w:val="24"/>
        </w:rPr>
      </w:pPr>
      <w:r w:rsidRPr="00420DF3">
        <w:rPr>
          <w:szCs w:val="24"/>
        </w:rPr>
        <w:t>Th</w:t>
      </w:r>
      <w:r w:rsidRPr="00420DF3" w:rsidR="00DF65C9">
        <w:rPr>
          <w:szCs w:val="24"/>
        </w:rPr>
        <w:t xml:space="preserve">e servicing actions </w:t>
      </w:r>
      <w:r w:rsidRPr="00420DF3" w:rsidR="005B0D70">
        <w:rPr>
          <w:szCs w:val="24"/>
        </w:rPr>
        <w:t>during construction p</w:t>
      </w:r>
      <w:r w:rsidRPr="00420DF3" w:rsidR="00400C9A">
        <w:rPr>
          <w:szCs w:val="24"/>
        </w:rPr>
        <w:t>hase</w:t>
      </w:r>
      <w:r w:rsidRPr="00420DF3" w:rsidR="005B0D70">
        <w:rPr>
          <w:szCs w:val="24"/>
        </w:rPr>
        <w:t xml:space="preserve"> </w:t>
      </w:r>
      <w:r w:rsidRPr="00420DF3" w:rsidR="00674836">
        <w:rPr>
          <w:szCs w:val="24"/>
        </w:rPr>
        <w:t xml:space="preserve">are covered under </w:t>
      </w:r>
    </w:p>
    <w:p w:rsidR="003373C3" w:rsidRPr="00420DF3" w:rsidP="005677BA" w14:paraId="17F1E0D3" w14:textId="176F56FB">
      <w:pPr>
        <w:pStyle w:val="ListParagraph"/>
        <w:numPr>
          <w:ilvl w:val="0"/>
          <w:numId w:val="30"/>
        </w:numPr>
        <w:rPr>
          <w:sz w:val="24"/>
          <w:szCs w:val="24"/>
        </w:rPr>
      </w:pPr>
      <w:r w:rsidRPr="00420DF3">
        <w:rPr>
          <w:sz w:val="24"/>
          <w:szCs w:val="24"/>
        </w:rPr>
        <w:t>OMB No. 0572-0121</w:t>
      </w:r>
      <w:r w:rsidRPr="00420DF3" w:rsidR="006C7F61">
        <w:rPr>
          <w:sz w:val="24"/>
          <w:szCs w:val="24"/>
        </w:rPr>
        <w:t xml:space="preserve"> for WWLG, </w:t>
      </w:r>
      <w:r w:rsidRPr="00420DF3" w:rsidR="009C3FF9">
        <w:rPr>
          <w:sz w:val="24"/>
          <w:szCs w:val="24"/>
        </w:rPr>
        <w:t>ECWAG, and Colonias/</w:t>
      </w:r>
      <w:r w:rsidRPr="00420DF3" w:rsidR="009C3FF9">
        <w:rPr>
          <w:sz w:val="24"/>
          <w:szCs w:val="24"/>
        </w:rPr>
        <w:t>Tribal</w:t>
      </w:r>
      <w:r w:rsidRPr="00420DF3" w:rsidR="005677BA">
        <w:rPr>
          <w:sz w:val="24"/>
          <w:szCs w:val="24"/>
        </w:rPr>
        <w:t>;</w:t>
      </w:r>
      <w:r w:rsidRPr="00420DF3" w:rsidR="009C3FF9">
        <w:rPr>
          <w:sz w:val="24"/>
          <w:szCs w:val="24"/>
        </w:rPr>
        <w:t>.</w:t>
      </w:r>
      <w:r w:rsidRPr="00420DF3" w:rsidR="009C3FF9">
        <w:rPr>
          <w:sz w:val="24"/>
          <w:szCs w:val="24"/>
        </w:rPr>
        <w:t xml:space="preserve">  </w:t>
      </w:r>
      <w:r w:rsidRPr="00420DF3">
        <w:rPr>
          <w:sz w:val="24"/>
          <w:szCs w:val="24"/>
        </w:rPr>
        <w:t xml:space="preserve"> </w:t>
      </w:r>
    </w:p>
    <w:p w:rsidR="005677BA" w:rsidRPr="00420DF3" w:rsidP="005677BA" w14:paraId="5E12C61A" w14:textId="50EC2E1E">
      <w:pPr>
        <w:pStyle w:val="ListParagraph"/>
        <w:numPr>
          <w:ilvl w:val="0"/>
          <w:numId w:val="30"/>
        </w:numPr>
        <w:rPr>
          <w:sz w:val="24"/>
          <w:szCs w:val="24"/>
        </w:rPr>
      </w:pPr>
      <w:r w:rsidRPr="00420DF3">
        <w:rPr>
          <w:sz w:val="24"/>
          <w:szCs w:val="24"/>
        </w:rPr>
        <w:t xml:space="preserve">OMB No. </w:t>
      </w:r>
      <w:r w:rsidRPr="00420DF3" w:rsidR="00BF252A">
        <w:rPr>
          <w:sz w:val="24"/>
          <w:szCs w:val="24"/>
        </w:rPr>
        <w:t xml:space="preserve">0572-0112 for </w:t>
      </w:r>
      <w:r w:rsidRPr="00420DF3" w:rsidR="0037455E">
        <w:rPr>
          <w:sz w:val="24"/>
          <w:szCs w:val="24"/>
        </w:rPr>
        <w:t>TAT and SWMG.</w:t>
      </w:r>
    </w:p>
    <w:p w:rsidR="002D7DDE" w:rsidRPr="00420DF3" w:rsidP="0077019F" w14:paraId="18B0198E" w14:textId="77777777">
      <w:pPr>
        <w:rPr>
          <w:szCs w:val="24"/>
        </w:rPr>
      </w:pPr>
    </w:p>
    <w:p w:rsidR="00C04519" w:rsidRPr="00420DF3" w:rsidP="0077019F" w14:paraId="5307D54D" w14:textId="5C96D24A">
      <w:pPr>
        <w:rPr>
          <w:szCs w:val="24"/>
        </w:rPr>
      </w:pPr>
      <w:r w:rsidRPr="00420DF3">
        <w:rPr>
          <w:szCs w:val="24"/>
        </w:rPr>
        <w:t>Routine and s</w:t>
      </w:r>
      <w:r w:rsidRPr="00420DF3" w:rsidR="00CE6DB9">
        <w:rPr>
          <w:szCs w:val="24"/>
        </w:rPr>
        <w:t xml:space="preserve">pecial servicing activities </w:t>
      </w:r>
      <w:r w:rsidRPr="00420DF3" w:rsidR="00F449BF">
        <w:rPr>
          <w:szCs w:val="24"/>
        </w:rPr>
        <w:t>for the WWLG,</w:t>
      </w:r>
      <w:r w:rsidRPr="00420DF3" w:rsidR="002D7DDE">
        <w:rPr>
          <w:szCs w:val="24"/>
        </w:rPr>
        <w:t xml:space="preserve"> </w:t>
      </w:r>
      <w:r w:rsidRPr="00420DF3" w:rsidR="00E2149D">
        <w:rPr>
          <w:szCs w:val="24"/>
        </w:rPr>
        <w:t xml:space="preserve">Watershed, RCDL, </w:t>
      </w:r>
      <w:r w:rsidRPr="00420DF3" w:rsidR="00D9420E">
        <w:rPr>
          <w:szCs w:val="24"/>
        </w:rPr>
        <w:t>TAT, ECWAG, SWMG, and Colonias/Tribal are covered under this package.</w:t>
      </w:r>
      <w:r w:rsidRPr="00420DF3" w:rsidR="00F449BF">
        <w:rPr>
          <w:szCs w:val="24"/>
        </w:rPr>
        <w:t xml:space="preserve">  </w:t>
      </w:r>
      <w:r w:rsidRPr="00420DF3" w:rsidR="00E74AD5">
        <w:rPr>
          <w:szCs w:val="24"/>
        </w:rPr>
        <w:t>Watershed</w:t>
      </w:r>
      <w:r w:rsidRPr="00420DF3" w:rsidR="00914786">
        <w:rPr>
          <w:szCs w:val="24"/>
        </w:rPr>
        <w:t xml:space="preserve"> program currently has two (2) loans </w:t>
      </w:r>
      <w:r w:rsidRPr="00420DF3" w:rsidR="00534C13">
        <w:rPr>
          <w:szCs w:val="24"/>
        </w:rPr>
        <w:t xml:space="preserve">that are being serviced, which we have accounted for </w:t>
      </w:r>
      <w:r w:rsidRPr="00420DF3" w:rsidR="008C1E25">
        <w:rPr>
          <w:szCs w:val="24"/>
        </w:rPr>
        <w:t>one</w:t>
      </w:r>
      <w:r w:rsidRPr="00420DF3" w:rsidR="00176BB9">
        <w:rPr>
          <w:szCs w:val="24"/>
        </w:rPr>
        <w:t xml:space="preserve"> as routine and the other </w:t>
      </w:r>
      <w:r w:rsidRPr="00420DF3" w:rsidR="00730347">
        <w:rPr>
          <w:szCs w:val="24"/>
        </w:rPr>
        <w:t>as special servicing action</w:t>
      </w:r>
      <w:r w:rsidRPr="00420DF3" w:rsidR="008C1E25">
        <w:rPr>
          <w:szCs w:val="24"/>
        </w:rPr>
        <w:t>.</w:t>
      </w:r>
      <w:r w:rsidRPr="00420DF3" w:rsidR="00432A7A">
        <w:rPr>
          <w:szCs w:val="24"/>
        </w:rPr>
        <w:t xml:space="preserve"> </w:t>
      </w:r>
      <w:r w:rsidRPr="00420DF3" w:rsidR="009D65EE">
        <w:rPr>
          <w:szCs w:val="24"/>
        </w:rPr>
        <w:t xml:space="preserve"> </w:t>
      </w:r>
      <w:r w:rsidRPr="00420DF3" w:rsidR="0063644F">
        <w:rPr>
          <w:szCs w:val="24"/>
        </w:rPr>
        <w:t xml:space="preserve">RCDL program had one loan that was obligated in </w:t>
      </w:r>
      <w:r w:rsidRPr="00420DF3" w:rsidR="0063644F">
        <w:rPr>
          <w:szCs w:val="24"/>
        </w:rPr>
        <w:t>1968</w:t>
      </w:r>
      <w:r w:rsidRPr="00420DF3" w:rsidR="008253B4">
        <w:rPr>
          <w:szCs w:val="24"/>
        </w:rPr>
        <w:t xml:space="preserve"> and the life of the loan was for 50 years.  </w:t>
      </w:r>
      <w:r w:rsidRPr="00420DF3" w:rsidR="000D18B1">
        <w:rPr>
          <w:szCs w:val="24"/>
        </w:rPr>
        <w:t xml:space="preserve">The servicing of the loan expired in </w:t>
      </w:r>
      <w:r w:rsidRPr="00420DF3" w:rsidR="004366DF">
        <w:rPr>
          <w:szCs w:val="24"/>
        </w:rPr>
        <w:t xml:space="preserve">2018.  RCDL has not made any </w:t>
      </w:r>
      <w:r w:rsidRPr="00420DF3" w:rsidR="00150CE9">
        <w:rPr>
          <w:szCs w:val="24"/>
        </w:rPr>
        <w:t xml:space="preserve">other </w:t>
      </w:r>
      <w:r w:rsidRPr="00420DF3" w:rsidR="004366DF">
        <w:rPr>
          <w:szCs w:val="24"/>
        </w:rPr>
        <w:t>loans since 1968</w:t>
      </w:r>
      <w:r w:rsidRPr="00420DF3" w:rsidR="00EB4356">
        <w:rPr>
          <w:szCs w:val="24"/>
        </w:rPr>
        <w:t xml:space="preserve">, </w:t>
      </w:r>
      <w:r w:rsidRPr="00420DF3" w:rsidR="004366DF">
        <w:rPr>
          <w:szCs w:val="24"/>
        </w:rPr>
        <w:t>does not anticipate any loans bei</w:t>
      </w:r>
      <w:r w:rsidRPr="00420DF3" w:rsidR="00150CE9">
        <w:rPr>
          <w:szCs w:val="24"/>
        </w:rPr>
        <w:t xml:space="preserve">ng obligated for the </w:t>
      </w:r>
      <w:r w:rsidRPr="00420DF3" w:rsidR="00A53977">
        <w:rPr>
          <w:szCs w:val="24"/>
        </w:rPr>
        <w:t>timeframe of this renewal period</w:t>
      </w:r>
      <w:r w:rsidRPr="00420DF3" w:rsidR="00EB4356">
        <w:rPr>
          <w:szCs w:val="24"/>
        </w:rPr>
        <w:t>, and should any loans be made during the renewal period then it is assumed it would be well below 10</w:t>
      </w:r>
      <w:r w:rsidRPr="00420DF3" w:rsidR="00157375">
        <w:rPr>
          <w:szCs w:val="24"/>
        </w:rPr>
        <w:t xml:space="preserve"> loans.</w:t>
      </w:r>
    </w:p>
    <w:p w:rsidR="00CE6DB9" w:rsidRPr="00420DF3" w:rsidP="0077019F" w14:paraId="2366D7BA" w14:textId="77777777">
      <w:pPr>
        <w:rPr>
          <w:szCs w:val="24"/>
        </w:rPr>
      </w:pPr>
    </w:p>
    <w:p w:rsidR="009D65EE" w:rsidRPr="00420DF3" w:rsidP="0077019F" w14:paraId="39209F37" w14:textId="6C2EDC4C">
      <w:pPr>
        <w:rPr>
          <w:szCs w:val="24"/>
        </w:rPr>
      </w:pPr>
      <w:r w:rsidRPr="00420DF3">
        <w:rPr>
          <w:szCs w:val="24"/>
        </w:rPr>
        <w:t xml:space="preserve">Routine servicing actions for TAT, ECWAG and SWMG are zero, because these programs are grants and typically do not have any servicing actions.  </w:t>
      </w:r>
      <w:r w:rsidRPr="00420DF3" w:rsidR="00CE712B">
        <w:rPr>
          <w:szCs w:val="24"/>
        </w:rPr>
        <w:t xml:space="preserve">These programs typically do not have </w:t>
      </w:r>
      <w:r w:rsidRPr="00420DF3" w:rsidR="001419BC">
        <w:rPr>
          <w:szCs w:val="24"/>
        </w:rPr>
        <w:t>special</w:t>
      </w:r>
      <w:r w:rsidRPr="00420DF3" w:rsidR="00CE712B">
        <w:rPr>
          <w:szCs w:val="24"/>
        </w:rPr>
        <w:t xml:space="preserve"> servicing actions</w:t>
      </w:r>
      <w:r w:rsidRPr="00420DF3" w:rsidR="00B515B3">
        <w:rPr>
          <w:szCs w:val="24"/>
        </w:rPr>
        <w:t xml:space="preserve"> either</w:t>
      </w:r>
      <w:r w:rsidRPr="00420DF3" w:rsidR="00CE712B">
        <w:rPr>
          <w:szCs w:val="24"/>
        </w:rPr>
        <w:t xml:space="preserve">, but on rare occasions a transfer and assume may need to be </w:t>
      </w:r>
      <w:r w:rsidRPr="00420DF3" w:rsidR="001419BC">
        <w:rPr>
          <w:szCs w:val="24"/>
        </w:rPr>
        <w:t>completed</w:t>
      </w:r>
      <w:r w:rsidRPr="00420DF3" w:rsidR="00CE712B">
        <w:rPr>
          <w:szCs w:val="24"/>
        </w:rPr>
        <w:t xml:space="preserve">; therefore, </w:t>
      </w:r>
      <w:r w:rsidRPr="00420DF3" w:rsidR="001419BC">
        <w:rPr>
          <w:szCs w:val="24"/>
        </w:rPr>
        <w:t>one (1) respondent was added for special servicing actions.</w:t>
      </w:r>
      <w:r w:rsidRPr="00420DF3">
        <w:rPr>
          <w:szCs w:val="24"/>
        </w:rPr>
        <w:t xml:space="preserve">  </w:t>
      </w:r>
    </w:p>
    <w:p w:rsidR="009D65EE" w:rsidRPr="00420DF3" w:rsidP="0077019F" w14:paraId="6A5B99B6" w14:textId="77777777">
      <w:pPr>
        <w:rPr>
          <w:szCs w:val="24"/>
        </w:rPr>
      </w:pPr>
    </w:p>
    <w:p w:rsidR="0077019F" w:rsidRPr="00420DF3" w:rsidP="0077019F" w14:paraId="072F6894" w14:textId="77777777">
      <w:pPr>
        <w:numPr>
          <w:ilvl w:val="0"/>
          <w:numId w:val="2"/>
        </w:numPr>
        <w:tabs>
          <w:tab w:val="num" w:pos="360"/>
          <w:tab w:val="clear" w:pos="810"/>
        </w:tabs>
        <w:ind w:left="540" w:hanging="540"/>
        <w:rPr>
          <w:szCs w:val="24"/>
        </w:rPr>
      </w:pPr>
      <w:r w:rsidRPr="00420DF3">
        <w:rPr>
          <w:b/>
          <w:szCs w:val="24"/>
          <w:u w:val="single"/>
        </w:rPr>
        <w:t>Indicate how, by whom, and for what purpose the information is to be used.  Except</w:t>
      </w:r>
    </w:p>
    <w:p w:rsidR="0077019F" w:rsidRPr="00420DF3" w:rsidP="0077019F" w14:paraId="40CBAABD" w14:textId="77777777">
      <w:pPr>
        <w:rPr>
          <w:szCs w:val="24"/>
        </w:rPr>
      </w:pPr>
      <w:r w:rsidRPr="00420DF3">
        <w:rPr>
          <w:b/>
          <w:szCs w:val="24"/>
          <w:u w:val="single"/>
        </w:rPr>
        <w:t>for a new collection, indicate the actual use the Agency has made of the information received from the current collection.</w:t>
      </w:r>
    </w:p>
    <w:p w:rsidR="0077019F" w:rsidRPr="00420DF3" w:rsidP="0077019F" w14:paraId="6061FE9B" w14:textId="77777777">
      <w:pPr>
        <w:rPr>
          <w:szCs w:val="24"/>
        </w:rPr>
      </w:pPr>
    </w:p>
    <w:p w:rsidR="0077019F" w:rsidRPr="00420DF3" w:rsidP="0077019F" w14:paraId="2A717A5E" w14:textId="10002C01">
      <w:pPr>
        <w:rPr>
          <w:szCs w:val="24"/>
        </w:rPr>
      </w:pPr>
      <w:r w:rsidRPr="00420DF3">
        <w:rPr>
          <w:szCs w:val="24"/>
        </w:rPr>
        <w:t>The Agency provides forms and/or guidelines to assist in collection and submission of the information required to service loans and grants.  In some cases, use of Agency forms is optional</w:t>
      </w:r>
      <w:r w:rsidR="00EB2CAB">
        <w:rPr>
          <w:szCs w:val="24"/>
        </w:rPr>
        <w:t>,</w:t>
      </w:r>
      <w:r w:rsidRPr="00420DF3">
        <w:rPr>
          <w:szCs w:val="24"/>
        </w:rPr>
        <w:t xml:space="preserve"> and the borrower may submit the information required on other forms.  The Agency utilizes existing R</w:t>
      </w:r>
      <w:r w:rsidRPr="00420DF3" w:rsidR="002A26E0">
        <w:rPr>
          <w:szCs w:val="24"/>
        </w:rPr>
        <w:t>D</w:t>
      </w:r>
      <w:r w:rsidRPr="00420DF3">
        <w:rPr>
          <w:szCs w:val="24"/>
        </w:rPr>
        <w:t xml:space="preserve"> forms to the greatest extent possible to continue to meet the needs of the program.  The forms or related items completed by the borrower are submitted to and evaluated by the Agency servicing office.  The information, mostly financial in nature, is required to determine if borrowers, based on their individual situations, qualify for the various servicing authorities.</w:t>
      </w:r>
    </w:p>
    <w:p w:rsidR="0077019F" w:rsidRPr="00420DF3" w:rsidP="0077019F" w14:paraId="5E703DDD" w14:textId="77777777">
      <w:pPr>
        <w:rPr>
          <w:szCs w:val="24"/>
        </w:rPr>
      </w:pPr>
    </w:p>
    <w:p w:rsidR="0077019F" w:rsidRPr="00420DF3" w:rsidP="0077019F" w14:paraId="13023FB3" w14:textId="77777777">
      <w:pPr>
        <w:rPr>
          <w:szCs w:val="24"/>
        </w:rPr>
      </w:pPr>
      <w:r w:rsidRPr="00420DF3">
        <w:rPr>
          <w:szCs w:val="24"/>
        </w:rPr>
        <w:t>The specific items, which impose burden under this regulation, are:</w:t>
      </w:r>
    </w:p>
    <w:p w:rsidR="000E5156" w:rsidRPr="00420DF3" w:rsidP="0077019F" w14:paraId="6C0DF263" w14:textId="77777777">
      <w:pPr>
        <w:rPr>
          <w:szCs w:val="24"/>
        </w:rPr>
      </w:pPr>
    </w:p>
    <w:p w:rsidR="0077019F" w:rsidRPr="00420DF3" w:rsidP="00990CF1" w14:paraId="6E18B3F4" w14:textId="7F41329B">
      <w:pPr>
        <w:pStyle w:val="Heading1"/>
        <w:jc w:val="center"/>
        <w:rPr>
          <w:szCs w:val="24"/>
          <w:u w:val="none"/>
        </w:rPr>
      </w:pPr>
      <w:r w:rsidRPr="00420DF3">
        <w:rPr>
          <w:szCs w:val="24"/>
          <w:u w:val="none"/>
        </w:rPr>
        <w:t>REPORTING REQUIREMENTS – NO</w:t>
      </w:r>
      <w:r w:rsidRPr="00420DF3" w:rsidR="00A429F8">
        <w:rPr>
          <w:szCs w:val="24"/>
          <w:u w:val="none"/>
        </w:rPr>
        <w:t>N-</w:t>
      </w:r>
      <w:r w:rsidRPr="00420DF3">
        <w:rPr>
          <w:szCs w:val="24"/>
          <w:u w:val="none"/>
        </w:rPr>
        <w:t xml:space="preserve"> FORMS</w:t>
      </w:r>
    </w:p>
    <w:p w:rsidR="000E5156" w:rsidRPr="00420DF3" w:rsidP="00990CF1" w14:paraId="44BC7860" w14:textId="77777777">
      <w:pPr>
        <w:jc w:val="center"/>
        <w:rPr>
          <w:b/>
          <w:szCs w:val="24"/>
        </w:rPr>
      </w:pPr>
      <w:r w:rsidRPr="00420DF3">
        <w:rPr>
          <w:b/>
          <w:szCs w:val="24"/>
        </w:rPr>
        <w:t>(</w:t>
      </w:r>
      <w:r w:rsidRPr="00420DF3" w:rsidR="005D3156">
        <w:rPr>
          <w:b/>
          <w:szCs w:val="24"/>
        </w:rPr>
        <w:t xml:space="preserve">Items are </w:t>
      </w:r>
      <w:r w:rsidRPr="00420DF3">
        <w:rPr>
          <w:b/>
          <w:szCs w:val="24"/>
        </w:rPr>
        <w:t>in order of regulation appearance)</w:t>
      </w:r>
    </w:p>
    <w:p w:rsidR="000E5156" w:rsidRPr="00420DF3" w:rsidP="0077019F" w14:paraId="0D62C189" w14:textId="77777777">
      <w:pPr>
        <w:rPr>
          <w:b/>
          <w:szCs w:val="24"/>
          <w:u w:val="single"/>
        </w:rPr>
      </w:pPr>
    </w:p>
    <w:p w:rsidR="008B2BEF" w:rsidP="00273BAA" w14:paraId="2BFB6D9D" w14:textId="2B9EBAE4">
      <w:pPr>
        <w:rPr>
          <w:b/>
          <w:szCs w:val="24"/>
          <w:u w:val="single"/>
        </w:rPr>
      </w:pPr>
      <w:r>
        <w:rPr>
          <w:b/>
          <w:szCs w:val="24"/>
          <w:u w:val="single"/>
        </w:rPr>
        <w:t>Routine Servicing Actions:</w:t>
      </w:r>
    </w:p>
    <w:p w:rsidR="008B2BEF" w:rsidP="00273BAA" w14:paraId="2A846C84" w14:textId="77777777">
      <w:pPr>
        <w:rPr>
          <w:b/>
          <w:szCs w:val="24"/>
          <w:u w:val="single"/>
        </w:rPr>
      </w:pPr>
    </w:p>
    <w:p w:rsidR="00273BAA" w:rsidRPr="00E94082" w:rsidP="00273BAA" w14:paraId="308016F8" w14:textId="0E8C007D">
      <w:pPr>
        <w:rPr>
          <w:bCs/>
          <w:szCs w:val="24"/>
          <w:u w:val="single"/>
        </w:rPr>
      </w:pPr>
      <w:r w:rsidRPr="00E94082">
        <w:rPr>
          <w:bCs/>
          <w:szCs w:val="24"/>
          <w:u w:val="single"/>
        </w:rPr>
        <w:t>Audits and Year-End Financial Reports</w:t>
      </w:r>
      <w:r w:rsidRPr="00E94082" w:rsidR="00E53998">
        <w:rPr>
          <w:bCs/>
          <w:szCs w:val="24"/>
          <w:u w:val="single"/>
        </w:rPr>
        <w:t xml:space="preserve"> (Written)</w:t>
      </w:r>
    </w:p>
    <w:p w:rsidR="00273BAA" w:rsidRPr="00E94082" w:rsidP="00273BAA" w14:paraId="3CFDE310" w14:textId="71BC30FC">
      <w:pPr>
        <w:rPr>
          <w:bCs/>
          <w:szCs w:val="24"/>
        </w:rPr>
      </w:pPr>
      <w:r w:rsidRPr="00E94082">
        <w:rPr>
          <w:bCs/>
          <w:szCs w:val="24"/>
        </w:rPr>
        <w:t xml:space="preserve">An annual audit under the Single Audit Act is required if </w:t>
      </w:r>
      <w:r w:rsidR="00E53998">
        <w:rPr>
          <w:bCs/>
          <w:szCs w:val="24"/>
        </w:rPr>
        <w:t xml:space="preserve">a borrower </w:t>
      </w:r>
      <w:r w:rsidRPr="00E94082">
        <w:rPr>
          <w:bCs/>
          <w:szCs w:val="24"/>
        </w:rPr>
        <w:t>expend</w:t>
      </w:r>
      <w:r w:rsidR="00E53998">
        <w:rPr>
          <w:bCs/>
          <w:szCs w:val="24"/>
        </w:rPr>
        <w:t>s</w:t>
      </w:r>
      <w:r w:rsidRPr="00E94082">
        <w:rPr>
          <w:bCs/>
          <w:szCs w:val="24"/>
        </w:rPr>
        <w:t xml:space="preserve"> $750,000 or more in Federal financial assistance per fiscal year.  The total Federal funds expended from all sources shall be used to determine Federal financial assistance expended.  All audits are to be performed in accordance with </w:t>
      </w:r>
      <w:hyperlink r:id="rId9" w:tgtFrame="_blank" w:history="1">
        <w:r w:rsidRPr="00E94082">
          <w:rPr>
            <w:rStyle w:val="Hyperlink"/>
            <w:bCs/>
            <w:szCs w:val="24"/>
            <w:u w:val="none"/>
          </w:rPr>
          <w:t>2 CFR part 200</w:t>
        </w:r>
      </w:hyperlink>
      <w:r w:rsidRPr="00E94082">
        <w:rPr>
          <w:bCs/>
          <w:szCs w:val="24"/>
        </w:rPr>
        <w:t xml:space="preserve">, as adopted by USDA through </w:t>
      </w:r>
      <w:hyperlink r:id="rId10" w:tgtFrame="_blank" w:history="1">
        <w:r w:rsidRPr="00E94082">
          <w:rPr>
            <w:rStyle w:val="Hyperlink"/>
            <w:bCs/>
            <w:szCs w:val="24"/>
            <w:u w:val="none"/>
          </w:rPr>
          <w:t>2 CFR part 400</w:t>
        </w:r>
      </w:hyperlink>
      <w:r w:rsidRPr="00E94082">
        <w:rPr>
          <w:bCs/>
          <w:szCs w:val="24"/>
        </w:rPr>
        <w:t>.  The audit must be prepared by an independent licensed Certified Public Accountant, or a State or Federal auditor if allowed by State law and must be submitted within 9 months of the borrower’s fiscal year end. </w:t>
      </w:r>
    </w:p>
    <w:p w:rsidR="00273BAA" w:rsidRPr="00E94082" w:rsidP="00273BAA" w14:paraId="72FCB4C7" w14:textId="77777777">
      <w:pPr>
        <w:rPr>
          <w:bCs/>
          <w:szCs w:val="24"/>
        </w:rPr>
      </w:pPr>
      <w:r w:rsidRPr="00E94082">
        <w:rPr>
          <w:bCs/>
          <w:szCs w:val="24"/>
        </w:rPr>
        <w:t> </w:t>
      </w:r>
    </w:p>
    <w:p w:rsidR="00273BAA" w:rsidP="00273BAA" w14:paraId="63B01992" w14:textId="77777777">
      <w:pPr>
        <w:rPr>
          <w:bCs/>
          <w:szCs w:val="24"/>
        </w:rPr>
      </w:pPr>
      <w:r w:rsidRPr="00E94082">
        <w:rPr>
          <w:bCs/>
          <w:szCs w:val="24"/>
        </w:rPr>
        <w:t>All borrowers who are exempt from audits must provide RUS/RD with annual financial statements.  This consists of a verification of the organization's balance sheet and statement of income and expense by an appropriate official of the organization.  Forms RD 442–2 and 442–3 may be used.  The financials must be submitted within 60 days of the organization’s fiscal year-end.   </w:t>
      </w:r>
    </w:p>
    <w:p w:rsidR="001C30CB" w:rsidP="00273BAA" w14:paraId="762998E2" w14:textId="77777777">
      <w:pPr>
        <w:rPr>
          <w:bCs/>
          <w:szCs w:val="24"/>
        </w:rPr>
      </w:pPr>
    </w:p>
    <w:p w:rsidR="00B75101" w:rsidRPr="008B2BEF" w:rsidP="00B75101" w14:paraId="4803D36B" w14:textId="77777777">
      <w:pPr>
        <w:rPr>
          <w:bCs/>
          <w:szCs w:val="24"/>
        </w:rPr>
      </w:pPr>
      <w:r w:rsidRPr="00E94082">
        <w:rPr>
          <w:bCs/>
          <w:szCs w:val="24"/>
          <w:u w:val="single"/>
        </w:rPr>
        <w:t>Insurance (Written)</w:t>
      </w:r>
    </w:p>
    <w:p w:rsidR="00B75101" w:rsidRPr="00420DF3" w:rsidP="00B75101" w14:paraId="55D290D4" w14:textId="66999B1B">
      <w:pPr>
        <w:rPr>
          <w:szCs w:val="24"/>
        </w:rPr>
      </w:pPr>
      <w:r>
        <w:rPr>
          <w:szCs w:val="24"/>
        </w:rPr>
        <w:t>B</w:t>
      </w:r>
      <w:r w:rsidRPr="00420DF3">
        <w:rPr>
          <w:szCs w:val="24"/>
        </w:rPr>
        <w:t xml:space="preserve">orrowers must obtain adequate insurance to protect the Government’s financial interest.  The type of insurance varies by borrower and may include liability, workers compensation, floodplains, etc.  The Agency will evaluate each transaction on a case-by-case basis.  </w:t>
      </w:r>
    </w:p>
    <w:p w:rsidR="001C30CB" w:rsidRPr="00E94082" w:rsidP="00273BAA" w14:paraId="22BF8FA3" w14:textId="77777777">
      <w:pPr>
        <w:rPr>
          <w:bCs/>
          <w:szCs w:val="24"/>
        </w:rPr>
      </w:pPr>
    </w:p>
    <w:p w:rsidR="006334B8" w:rsidRPr="0039592E" w:rsidP="1780DA72" w14:paraId="2E0DC771" w14:textId="6CE8E95C">
      <w:pPr>
        <w:rPr>
          <w:u w:val="single"/>
        </w:rPr>
      </w:pPr>
      <w:r>
        <w:rPr>
          <w:u w:val="single"/>
        </w:rPr>
        <w:t xml:space="preserve">Operating </w:t>
      </w:r>
      <w:r w:rsidRPr="0007250D">
        <w:rPr>
          <w:u w:val="single"/>
        </w:rPr>
        <w:t>Budget (Written)</w:t>
      </w:r>
    </w:p>
    <w:p w:rsidR="006334B8" w:rsidP="1780DA72" w14:paraId="56C06C26" w14:textId="3DA490FA">
      <w:pPr>
        <w:spacing w:before="240" w:after="240"/>
        <w:rPr>
          <w:rFonts w:ascii="Segoe UI" w:eastAsia="Segoe UI" w:hAnsi="Segoe UI" w:cs="Segoe UI"/>
          <w:sz w:val="18"/>
          <w:szCs w:val="18"/>
        </w:rPr>
      </w:pPr>
      <w:r w:rsidRPr="1780DA72">
        <w:rPr>
          <w:szCs w:val="24"/>
        </w:rPr>
        <w:t xml:space="preserve">Applicants use the </w:t>
      </w:r>
      <w:r w:rsidR="00CB25A2">
        <w:rPr>
          <w:szCs w:val="24"/>
        </w:rPr>
        <w:t xml:space="preserve">budget </w:t>
      </w:r>
      <w:r w:rsidRPr="1780DA72">
        <w:rPr>
          <w:szCs w:val="24"/>
        </w:rPr>
        <w:t xml:space="preserve">to project income and expense items and a complete cash flow.  These projections are necessary in determining the source and reliability of the projected income and the adequacy of resources to repay the loan in a timely manner, operate and maintain the facility, </w:t>
      </w:r>
      <w:r w:rsidRPr="1780DA72">
        <w:rPr>
          <w:szCs w:val="24"/>
        </w:rPr>
        <w:t xml:space="preserve">and maintain adequate reserves.  </w:t>
      </w:r>
      <w:r w:rsidRPr="1780DA72" w:rsidR="7357DC66">
        <w:rPr>
          <w:szCs w:val="24"/>
        </w:rPr>
        <w:t xml:space="preserve">Information can be provided on Form RD 442-7 </w:t>
      </w:r>
      <w:r w:rsidRPr="0039592E" w:rsidR="7357DC66">
        <w:rPr>
          <w:szCs w:val="24"/>
        </w:rPr>
        <w:t>or similar format can be used.</w:t>
      </w:r>
    </w:p>
    <w:p w:rsidR="008B2BEF" w:rsidP="008B2BEF" w14:paraId="3F3390F7" w14:textId="06F2272A">
      <w:pPr>
        <w:rPr>
          <w:b/>
          <w:szCs w:val="24"/>
          <w:u w:val="single"/>
        </w:rPr>
      </w:pPr>
      <w:r>
        <w:rPr>
          <w:b/>
          <w:szCs w:val="24"/>
          <w:u w:val="single"/>
        </w:rPr>
        <w:t>Special Servicing Actions:</w:t>
      </w:r>
    </w:p>
    <w:p w:rsidR="008B2BEF" w:rsidP="00990CF1" w14:paraId="249FFC3A" w14:textId="77777777">
      <w:pPr>
        <w:rPr>
          <w:b/>
          <w:szCs w:val="24"/>
          <w:u w:val="single"/>
        </w:rPr>
      </w:pPr>
    </w:p>
    <w:p w:rsidR="000E5156" w:rsidRPr="008B2BEF" w:rsidP="00990CF1" w14:paraId="5097C78C" w14:textId="6B7DE660">
      <w:pPr>
        <w:rPr>
          <w:bCs/>
          <w:szCs w:val="24"/>
        </w:rPr>
      </w:pPr>
      <w:r w:rsidRPr="00E94082">
        <w:rPr>
          <w:bCs/>
          <w:szCs w:val="24"/>
          <w:u w:val="single"/>
        </w:rPr>
        <w:t>Environmental Evaluation</w:t>
      </w:r>
      <w:r w:rsidRPr="00E94082" w:rsidR="00EB7F70">
        <w:rPr>
          <w:bCs/>
          <w:szCs w:val="24"/>
          <w:u w:val="single"/>
        </w:rPr>
        <w:t xml:space="preserve"> (Written)</w:t>
      </w:r>
    </w:p>
    <w:p w:rsidR="000E5156" w:rsidRPr="00420DF3" w14:paraId="69CF2744" w14:textId="3BCD0618">
      <w:pPr>
        <w:rPr>
          <w:szCs w:val="24"/>
        </w:rPr>
      </w:pPr>
      <w:r w:rsidRPr="00420DF3">
        <w:rPr>
          <w:szCs w:val="24"/>
        </w:rPr>
        <w:t>Certain servicing actions require borrowers to submit evidence that security property has been evaluated for releases of hazardous substances of petroleum products.  The Agency requires that borrowers, a</w:t>
      </w:r>
      <w:r w:rsidRPr="00420DF3" w:rsidR="00F467EF">
        <w:rPr>
          <w:szCs w:val="24"/>
        </w:rPr>
        <w:t>t</w:t>
      </w:r>
      <w:r w:rsidRPr="00420DF3">
        <w:rPr>
          <w:szCs w:val="24"/>
        </w:rPr>
        <w:t xml:space="preserve"> a minimum,</w:t>
      </w:r>
      <w:r w:rsidRPr="00420DF3" w:rsidR="00F467EF">
        <w:rPr>
          <w:szCs w:val="24"/>
        </w:rPr>
        <w:t xml:space="preserve"> </w:t>
      </w:r>
      <w:r w:rsidRPr="00420DF3">
        <w:rPr>
          <w:szCs w:val="24"/>
        </w:rPr>
        <w:t xml:space="preserve">complete a questionnaire prior to transaction approval.  The requirement is necessary to protect the Government’s interest when taking possession of property subject to environmental contamination.  </w:t>
      </w:r>
    </w:p>
    <w:p w:rsidR="00FD367D" w:rsidRPr="00420DF3" w:rsidP="00990CF1" w14:paraId="6199216D" w14:textId="77777777">
      <w:pPr>
        <w:rPr>
          <w:szCs w:val="24"/>
        </w:rPr>
      </w:pPr>
    </w:p>
    <w:p w:rsidR="00B77E1F" w:rsidRPr="00E94082" w:rsidP="00990CF1" w14:paraId="7B305E5F" w14:textId="45CFF8CB">
      <w:pPr>
        <w:rPr>
          <w:bCs/>
          <w:szCs w:val="24"/>
          <w:u w:val="single"/>
        </w:rPr>
      </w:pPr>
      <w:r w:rsidRPr="00E94082">
        <w:rPr>
          <w:bCs/>
          <w:szCs w:val="24"/>
          <w:u w:val="single"/>
        </w:rPr>
        <w:t>Application for Commercial Credit</w:t>
      </w:r>
      <w:r w:rsidRPr="00E94082" w:rsidR="00EB7F70">
        <w:rPr>
          <w:bCs/>
          <w:szCs w:val="24"/>
          <w:u w:val="single"/>
        </w:rPr>
        <w:t xml:space="preserve"> –</w:t>
      </w:r>
      <w:r w:rsidRPr="00E94082">
        <w:rPr>
          <w:bCs/>
          <w:szCs w:val="24"/>
          <w:u w:val="single"/>
        </w:rPr>
        <w:t xml:space="preserve"> Graduation</w:t>
      </w:r>
      <w:r w:rsidRPr="00E94082" w:rsidR="00EB7F70">
        <w:rPr>
          <w:bCs/>
          <w:szCs w:val="24"/>
          <w:u w:val="single"/>
        </w:rPr>
        <w:t xml:space="preserve"> (Written)</w:t>
      </w:r>
    </w:p>
    <w:p w:rsidR="00B77E1F" w:rsidRPr="00420DF3" w:rsidP="00990CF1" w14:paraId="09A15694" w14:textId="27348633">
      <w:pPr>
        <w:rPr>
          <w:szCs w:val="24"/>
        </w:rPr>
      </w:pPr>
      <w:r w:rsidRPr="00420DF3">
        <w:rPr>
          <w:szCs w:val="24"/>
        </w:rPr>
        <w:t xml:space="preserve">Pursuant to </w:t>
      </w:r>
      <w:hyperlink r:id="rId11" w:history="1">
        <w:r w:rsidRPr="00420DF3" w:rsidR="00FD60CB">
          <w:rPr>
            <w:rStyle w:val="Hyperlink"/>
            <w:szCs w:val="24"/>
          </w:rPr>
          <w:t xml:space="preserve">7 CFR </w:t>
        </w:r>
        <w:r w:rsidRPr="00420DF3">
          <w:rPr>
            <w:rStyle w:val="Hyperlink"/>
            <w:szCs w:val="24"/>
          </w:rPr>
          <w:t>1782.11</w:t>
        </w:r>
      </w:hyperlink>
      <w:r w:rsidRPr="00420DF3">
        <w:rPr>
          <w:szCs w:val="24"/>
        </w:rPr>
        <w:t xml:space="preserve">, Refinancing Requirements, existing borrowers are routinely reviewed to determine whether they have the capacity to refinance their outstanding indebtedness through a commercial credit source.  The review, including the initial screening, is completed by the Agency using the Audit/Financial Statements.  If the initial screening determines that they may be able to refinance, then the borrower is required to solicit credit from conventional sources.  </w:t>
      </w:r>
      <w:r w:rsidRPr="00420DF3" w:rsidR="00C62739">
        <w:rPr>
          <w:szCs w:val="24"/>
        </w:rPr>
        <w:t xml:space="preserve">If the conventional creditor is willing, the borrower is required to refinance.  The results of the review are recorded as applicable.  </w:t>
      </w:r>
    </w:p>
    <w:p w:rsidR="00B77E1F" w:rsidRPr="00420DF3" w:rsidP="00990CF1" w14:paraId="0D832D2E" w14:textId="77777777">
      <w:pPr>
        <w:rPr>
          <w:b/>
          <w:szCs w:val="24"/>
          <w:u w:val="single"/>
        </w:rPr>
      </w:pPr>
    </w:p>
    <w:p w:rsidR="00C62739" w:rsidRPr="00E94082" w:rsidP="00990CF1" w14:paraId="7C690723" w14:textId="77777777">
      <w:pPr>
        <w:rPr>
          <w:bCs/>
          <w:szCs w:val="24"/>
          <w:u w:val="single"/>
        </w:rPr>
      </w:pPr>
      <w:r w:rsidRPr="00E94082">
        <w:rPr>
          <w:bCs/>
          <w:szCs w:val="24"/>
          <w:u w:val="single"/>
        </w:rPr>
        <w:t>Appraisal (Written)</w:t>
      </w:r>
    </w:p>
    <w:p w:rsidR="00C62739" w:rsidRPr="00420DF3" w:rsidP="00990CF1" w14:paraId="6443CA37" w14:textId="3AA068CC">
      <w:pPr>
        <w:rPr>
          <w:szCs w:val="24"/>
        </w:rPr>
      </w:pPr>
      <w:r w:rsidRPr="00420DF3">
        <w:rPr>
          <w:szCs w:val="24"/>
        </w:rPr>
        <w:t xml:space="preserve">An appraisal, completed by a qualified, independent third-party source, may be required </w:t>
      </w:r>
      <w:r w:rsidRPr="00420DF3">
        <w:rPr>
          <w:szCs w:val="24"/>
        </w:rPr>
        <w:t>as a result of</w:t>
      </w:r>
      <w:r w:rsidRPr="00420DF3">
        <w:rPr>
          <w:szCs w:val="24"/>
        </w:rPr>
        <w:t xml:space="preserve"> some contemplated servicing actions, such as transfer and assumptions and liquidation actions.  The appraisal is completed in conformity with statutes and regulations by a licensed appraiser.  The resulting report is reviewed by Agency staff to qualify the validity of the report</w:t>
      </w:r>
    </w:p>
    <w:p w:rsidR="00C62739" w:rsidRPr="00420DF3" w:rsidP="00990CF1" w14:paraId="17B18D9A" w14:textId="77777777">
      <w:pPr>
        <w:rPr>
          <w:b/>
          <w:szCs w:val="24"/>
          <w:u w:val="single"/>
        </w:rPr>
      </w:pPr>
    </w:p>
    <w:p w:rsidR="00C62739" w:rsidRPr="00E94082" w:rsidP="00990CF1" w14:paraId="11921CD2" w14:textId="169E0EFC">
      <w:pPr>
        <w:rPr>
          <w:bCs/>
          <w:szCs w:val="24"/>
          <w:u w:val="single"/>
        </w:rPr>
      </w:pPr>
      <w:r w:rsidRPr="00E94082">
        <w:rPr>
          <w:bCs/>
          <w:szCs w:val="24"/>
          <w:u w:val="single"/>
        </w:rPr>
        <w:t>Conveyance Instrument</w:t>
      </w:r>
      <w:r w:rsidRPr="00E94082" w:rsidR="009816CB">
        <w:rPr>
          <w:bCs/>
          <w:szCs w:val="24"/>
          <w:u w:val="single"/>
        </w:rPr>
        <w:t xml:space="preserve"> </w:t>
      </w:r>
      <w:r w:rsidRPr="00E94082">
        <w:rPr>
          <w:bCs/>
          <w:szCs w:val="24"/>
          <w:u w:val="single"/>
        </w:rPr>
        <w:t>- Purchase Agreement, etc. (Written)</w:t>
      </w:r>
    </w:p>
    <w:p w:rsidR="00C62739" w:rsidRPr="00420DF3" w:rsidP="00990CF1" w14:paraId="2D686FE5" w14:textId="32CC079D">
      <w:pPr>
        <w:rPr>
          <w:szCs w:val="24"/>
        </w:rPr>
      </w:pPr>
      <w:r w:rsidRPr="00420DF3">
        <w:rPr>
          <w:szCs w:val="24"/>
        </w:rPr>
        <w:t xml:space="preserve">In the instance that there is a sale or exchange of property, the participating parties must submit a fully authorized conveyance instrument that outlines the terms of the transfer, which is reviewed by the Agency for validity.  This agreement must include language pertaining to civil rights covenants outlined in </w:t>
      </w:r>
      <w:hyperlink r:id="rId12" w:history="1">
        <w:r w:rsidRPr="00420DF3">
          <w:rPr>
            <w:rStyle w:val="Hyperlink"/>
            <w:szCs w:val="24"/>
          </w:rPr>
          <w:t>7 CFR</w:t>
        </w:r>
        <w:r w:rsidRPr="00420DF3" w:rsidR="00392344">
          <w:rPr>
            <w:rStyle w:val="Hyperlink"/>
            <w:szCs w:val="24"/>
          </w:rPr>
          <w:t xml:space="preserve"> part</w:t>
        </w:r>
        <w:r w:rsidRPr="00420DF3">
          <w:rPr>
            <w:rStyle w:val="Hyperlink"/>
            <w:szCs w:val="24"/>
          </w:rPr>
          <w:t xml:space="preserve"> 1901</w:t>
        </w:r>
      </w:hyperlink>
      <w:r w:rsidRPr="00420DF3">
        <w:rPr>
          <w:szCs w:val="24"/>
        </w:rPr>
        <w:t xml:space="preserve">.  </w:t>
      </w:r>
    </w:p>
    <w:p w:rsidR="00C62739" w:rsidRPr="00420DF3" w:rsidP="00990CF1" w14:paraId="1A99623C" w14:textId="77777777">
      <w:pPr>
        <w:rPr>
          <w:b/>
          <w:szCs w:val="24"/>
          <w:u w:val="single"/>
        </w:rPr>
      </w:pPr>
    </w:p>
    <w:p w:rsidR="00326822" w:rsidRPr="00E94082" w:rsidP="00990CF1" w14:paraId="095A5A90" w14:textId="77777777">
      <w:pPr>
        <w:rPr>
          <w:bCs/>
          <w:szCs w:val="24"/>
          <w:u w:val="single"/>
        </w:rPr>
      </w:pPr>
      <w:r w:rsidRPr="00E94082">
        <w:rPr>
          <w:bCs/>
          <w:szCs w:val="24"/>
          <w:u w:val="single"/>
        </w:rPr>
        <w:t>Rights and Obligations Assumptions Agreement (Written)</w:t>
      </w:r>
    </w:p>
    <w:p w:rsidR="004C7381" w:rsidRPr="00420DF3" w14:paraId="764C5DB9" w14:textId="15B194C2">
      <w:pPr>
        <w:rPr>
          <w:b/>
          <w:szCs w:val="24"/>
          <w:u w:val="single"/>
        </w:rPr>
      </w:pPr>
      <w:r w:rsidRPr="00420DF3">
        <w:rPr>
          <w:szCs w:val="24"/>
        </w:rPr>
        <w:t>When there is a sale or exchange of secured property, the participating parties must submit a written agreement assuming all rights and obligations of the original borrower.  If for any reason the assuming party does not wish to comply with the established parameters, then they are deemed an ineligible borrower and handled in accordance with established statutes and regulations.  The Agreement, which could be in the form of a Purchase Agreement or another legally amenable format, must be reviewed and agreed to by the Ag</w:t>
      </w:r>
      <w:r w:rsidRPr="00420DF3" w:rsidR="00633287">
        <w:rPr>
          <w:szCs w:val="24"/>
        </w:rPr>
        <w:t xml:space="preserve">ency.  </w:t>
      </w:r>
    </w:p>
    <w:p w:rsidR="00183E2D" w:rsidRPr="00420DF3" w:rsidP="00990CF1" w14:paraId="38C94D6B" w14:textId="77777777">
      <w:pPr>
        <w:rPr>
          <w:b/>
          <w:szCs w:val="24"/>
          <w:u w:val="single"/>
        </w:rPr>
      </w:pPr>
    </w:p>
    <w:p w:rsidR="00633287" w:rsidRPr="008B2BEF" w:rsidP="00990CF1" w14:paraId="6AB478AB" w14:textId="77777777">
      <w:pPr>
        <w:rPr>
          <w:bCs/>
          <w:szCs w:val="24"/>
        </w:rPr>
      </w:pPr>
      <w:r w:rsidRPr="00E94082">
        <w:rPr>
          <w:bCs/>
          <w:szCs w:val="24"/>
          <w:u w:val="single"/>
        </w:rPr>
        <w:t>Consent of Lienholders (Written)</w:t>
      </w:r>
    </w:p>
    <w:p w:rsidR="00633287" w:rsidRPr="00420DF3" w:rsidP="00990CF1" w14:paraId="288618B5" w14:textId="7D18FA1F">
      <w:pPr>
        <w:rPr>
          <w:szCs w:val="24"/>
        </w:rPr>
      </w:pPr>
      <w:r w:rsidRPr="00420DF3">
        <w:rPr>
          <w:szCs w:val="24"/>
        </w:rPr>
        <w:t xml:space="preserve">The Agency must approve all transfers to eligible transferees.  </w:t>
      </w:r>
      <w:r w:rsidRPr="00420DF3">
        <w:rPr>
          <w:szCs w:val="24"/>
        </w:rPr>
        <w:t>In order to</w:t>
      </w:r>
      <w:r w:rsidRPr="00420DF3">
        <w:rPr>
          <w:szCs w:val="24"/>
        </w:rPr>
        <w:t xml:space="preserve"> protect the Agency’s security interest, a determination must be made that no liens, judgments or similar claims against the security exist prior to transferring the property.  The Agency requires the written consent of any other lienholder as a condition of approving the transfer.  The impact on the public is limited to obtaining the written consent of lienholders.  </w:t>
      </w:r>
    </w:p>
    <w:p w:rsidR="00633287" w:rsidP="00990CF1" w14:paraId="3B6E9066" w14:textId="77777777">
      <w:pPr>
        <w:rPr>
          <w:b/>
          <w:szCs w:val="24"/>
          <w:u w:val="single"/>
        </w:rPr>
      </w:pPr>
    </w:p>
    <w:p w:rsidR="00633287" w:rsidRPr="00E94082" w:rsidP="00990CF1" w14:paraId="1BA67F2F" w14:textId="77777777">
      <w:pPr>
        <w:rPr>
          <w:bCs/>
          <w:szCs w:val="24"/>
          <w:u w:val="single"/>
        </w:rPr>
      </w:pPr>
      <w:r w:rsidRPr="00E94082">
        <w:rPr>
          <w:bCs/>
          <w:szCs w:val="24"/>
          <w:u w:val="single"/>
        </w:rPr>
        <w:t>Letter of Conditions (Written)</w:t>
      </w:r>
    </w:p>
    <w:p w:rsidR="00633287" w:rsidRPr="00420DF3" w:rsidP="00990CF1" w14:paraId="5D69F7A7" w14:textId="764E7F77">
      <w:pPr>
        <w:rPr>
          <w:szCs w:val="24"/>
        </w:rPr>
      </w:pPr>
      <w:r w:rsidRPr="00420DF3">
        <w:rPr>
          <w:szCs w:val="24"/>
        </w:rPr>
        <w:t xml:space="preserve">Following the review and initial authorization of a transfer and assumption </w:t>
      </w:r>
      <w:r w:rsidRPr="00420DF3" w:rsidR="00B83E0C">
        <w:rPr>
          <w:szCs w:val="24"/>
        </w:rPr>
        <w:t>transaction</w:t>
      </w:r>
      <w:r w:rsidRPr="00420DF3">
        <w:rPr>
          <w:szCs w:val="24"/>
        </w:rPr>
        <w:t xml:space="preserve">, the Agency will issue </w:t>
      </w:r>
      <w:r w:rsidRPr="00420DF3" w:rsidR="00EA43C3">
        <w:rPr>
          <w:szCs w:val="24"/>
        </w:rPr>
        <w:t xml:space="preserve">a Letter of Conditions, which is reviewed and agreed to by the involved parties.  The Letter of Conditions spells out all terms, covenants, and other pertinent items relevant to the administration of the assumed loans.  The applicant acknowledges the formal acceptance of the included items through Form RD 1942-46, Letter of Intent to Meet Conditions (below).  </w:t>
      </w:r>
    </w:p>
    <w:p w:rsidR="00633287" w:rsidP="00990CF1" w14:paraId="454EA9BE" w14:textId="77777777">
      <w:pPr>
        <w:rPr>
          <w:b/>
          <w:szCs w:val="24"/>
          <w:u w:val="single"/>
        </w:rPr>
      </w:pPr>
    </w:p>
    <w:p w:rsidR="004425AD" w:rsidP="00990CF1" w14:paraId="5E0D277C" w14:textId="5DEEAA7A">
      <w:pPr>
        <w:rPr>
          <w:bCs/>
          <w:szCs w:val="24"/>
          <w:u w:val="single"/>
        </w:rPr>
      </w:pPr>
      <w:r w:rsidRPr="0039592E">
        <w:rPr>
          <w:bCs/>
          <w:szCs w:val="24"/>
          <w:u w:val="single"/>
        </w:rPr>
        <w:t>Insurance</w:t>
      </w:r>
      <w:r>
        <w:rPr>
          <w:bCs/>
          <w:szCs w:val="24"/>
          <w:u w:val="single"/>
        </w:rPr>
        <w:t xml:space="preserve"> (Written)</w:t>
      </w:r>
    </w:p>
    <w:p w:rsidR="00811A72" w:rsidRPr="0039592E" w:rsidP="00990CF1" w14:paraId="13D57C61" w14:textId="7C091F39">
      <w:pPr>
        <w:rPr>
          <w:bCs/>
          <w:szCs w:val="24"/>
        </w:rPr>
      </w:pPr>
      <w:r>
        <w:rPr>
          <w:bCs/>
          <w:szCs w:val="24"/>
        </w:rPr>
        <w:t xml:space="preserve">According to </w:t>
      </w:r>
      <w:hyperlink r:id="rId13" w:anchor="p-1782.13(a)(9)" w:history="1">
        <w:r w:rsidRPr="00372206">
          <w:rPr>
            <w:rStyle w:val="Hyperlink"/>
            <w:bCs/>
            <w:szCs w:val="24"/>
          </w:rPr>
          <w:t>7 CFR 1782.</w:t>
        </w:r>
        <w:r w:rsidRPr="00372206" w:rsidR="003508A4">
          <w:rPr>
            <w:rStyle w:val="Hyperlink"/>
            <w:bCs/>
            <w:szCs w:val="24"/>
          </w:rPr>
          <w:t>13(a)(9)</w:t>
        </w:r>
      </w:hyperlink>
      <w:r w:rsidR="00C22249">
        <w:rPr>
          <w:bCs/>
          <w:szCs w:val="24"/>
        </w:rPr>
        <w:t xml:space="preserve"> for transfers</w:t>
      </w:r>
      <w:r w:rsidR="009262DC">
        <w:rPr>
          <w:bCs/>
          <w:szCs w:val="24"/>
        </w:rPr>
        <w:t xml:space="preserve"> the transferee will obtain insurance according to Agency requirements.</w:t>
      </w:r>
      <w:r w:rsidR="003508A4">
        <w:rPr>
          <w:bCs/>
          <w:szCs w:val="24"/>
        </w:rPr>
        <w:t xml:space="preserve">  </w:t>
      </w:r>
    </w:p>
    <w:p w:rsidR="004425AD" w:rsidRPr="00420DF3" w:rsidP="00990CF1" w14:paraId="379DFA2B" w14:textId="77777777">
      <w:pPr>
        <w:rPr>
          <w:b/>
          <w:szCs w:val="24"/>
          <w:u w:val="single"/>
        </w:rPr>
      </w:pPr>
    </w:p>
    <w:p w:rsidR="004547D3" w:rsidRPr="008B2BEF" w:rsidP="00990CF1" w14:paraId="22B549D0" w14:textId="77777777">
      <w:pPr>
        <w:rPr>
          <w:bCs/>
          <w:szCs w:val="24"/>
        </w:rPr>
      </w:pPr>
      <w:r w:rsidRPr="00E94082">
        <w:rPr>
          <w:bCs/>
          <w:szCs w:val="24"/>
          <w:u w:val="single"/>
        </w:rPr>
        <w:t>Security Instruments (Written)</w:t>
      </w:r>
    </w:p>
    <w:p w:rsidR="004547D3" w:rsidRPr="00420DF3" w:rsidP="00990CF1" w14:paraId="1FDD7679" w14:textId="45B39C5F">
      <w:pPr>
        <w:rPr>
          <w:szCs w:val="24"/>
        </w:rPr>
      </w:pPr>
      <w:r w:rsidRPr="00420DF3">
        <w:rPr>
          <w:szCs w:val="24"/>
        </w:rPr>
        <w:t xml:space="preserve">Depending on the type of organizational structure and State statutes, it may be necessary to prepare new debt instruments to affect transfers and assumptions requested by borrowers.  Transfers may require issuance of new debt instruments if more than one type of loan is used in financing a project, if loans were obligated in different fiscal years, or other extenuating circumstances exist.  </w:t>
      </w:r>
      <w:r w:rsidRPr="00420DF3" w:rsidR="00E76671">
        <w:rPr>
          <w:szCs w:val="24"/>
        </w:rPr>
        <w:t xml:space="preserve">The precise form of the security agreement will vary by state and borrower.   </w:t>
      </w:r>
    </w:p>
    <w:p w:rsidR="004547D3" w:rsidRPr="00420DF3" w:rsidP="00990CF1" w14:paraId="0E16C57E" w14:textId="77777777">
      <w:pPr>
        <w:rPr>
          <w:b/>
          <w:szCs w:val="24"/>
          <w:u w:val="single"/>
        </w:rPr>
      </w:pPr>
    </w:p>
    <w:p w:rsidR="00936DD7" w:rsidRPr="008B2BEF" w:rsidP="00990CF1" w14:paraId="1AA33BD5" w14:textId="77777777">
      <w:pPr>
        <w:rPr>
          <w:bCs/>
          <w:szCs w:val="24"/>
        </w:rPr>
      </w:pPr>
      <w:r w:rsidRPr="00E94082">
        <w:rPr>
          <w:bCs/>
          <w:szCs w:val="24"/>
          <w:u w:val="single"/>
        </w:rPr>
        <w:t>Assumption/Disposition of Grant Agreement Terms (Written)</w:t>
      </w:r>
    </w:p>
    <w:p w:rsidR="00936DD7" w:rsidRPr="00420DF3" w:rsidP="00990CF1" w14:paraId="033B11AE" w14:textId="1BCD6EB5">
      <w:pPr>
        <w:rPr>
          <w:szCs w:val="24"/>
        </w:rPr>
      </w:pPr>
      <w:r w:rsidRPr="00420DF3">
        <w:rPr>
          <w:szCs w:val="24"/>
        </w:rPr>
        <w:t xml:space="preserve">RUS requires borrowers/transferees and </w:t>
      </w:r>
      <w:r w:rsidRPr="00420DF3" w:rsidR="00FC2717">
        <w:rPr>
          <w:szCs w:val="24"/>
        </w:rPr>
        <w:t>leases</w:t>
      </w:r>
      <w:r w:rsidRPr="00420DF3">
        <w:rPr>
          <w:szCs w:val="24"/>
        </w:rPr>
        <w:t xml:space="preserve"> to assume all rights and obligations of the grant agreement for sales, transfers, or leases of a facility.  To document the Assumption/Disposition of Grant Agreement Terms, all participating parties will agree to and execute an Agreement.  The Agreement is reviewed and approved by the Agency to qualify for completeness.  </w:t>
      </w:r>
    </w:p>
    <w:p w:rsidR="00936DD7" w:rsidRPr="00420DF3" w:rsidP="00990CF1" w14:paraId="0C21F5A3" w14:textId="77777777">
      <w:pPr>
        <w:rPr>
          <w:b/>
          <w:szCs w:val="24"/>
          <w:u w:val="single"/>
        </w:rPr>
      </w:pPr>
    </w:p>
    <w:p w:rsidR="0077019F" w:rsidRPr="00E94082" w:rsidP="00990CF1" w14:paraId="0DD93541" w14:textId="77777777">
      <w:pPr>
        <w:rPr>
          <w:bCs/>
          <w:szCs w:val="24"/>
          <w:u w:val="single"/>
        </w:rPr>
      </w:pPr>
      <w:r w:rsidRPr="00E94082">
        <w:rPr>
          <w:bCs/>
          <w:szCs w:val="24"/>
          <w:u w:val="single"/>
        </w:rPr>
        <w:t>Subordination/Parity Narrative Request</w:t>
      </w:r>
      <w:r w:rsidRPr="00E94082">
        <w:rPr>
          <w:bCs/>
          <w:szCs w:val="24"/>
          <w:u w:val="single"/>
        </w:rPr>
        <w:t xml:space="preserve"> (Written)</w:t>
      </w:r>
    </w:p>
    <w:p w:rsidR="0077019F" w:rsidRPr="00420DF3" w:rsidP="00990CF1" w14:paraId="60DCAA36" w14:textId="0C824071">
      <w:pPr>
        <w:rPr>
          <w:szCs w:val="24"/>
        </w:rPr>
      </w:pPr>
      <w:r w:rsidRPr="00420DF3">
        <w:rPr>
          <w:szCs w:val="24"/>
        </w:rPr>
        <w:t xml:space="preserve">Borrowers may find it necessary to secure funding from outside sources to finance portions of their facility.  The process may require that the Agency subordinate or lower its security position to a parity level.  In order to approve a borrower’s request to subordinate or parity debt, the Agency requires a written request from the borrower with supporting documentation as cited in </w:t>
      </w:r>
      <w:hyperlink r:id="rId13" w:anchor="p-1782.17(a)" w:history="1">
        <w:r w:rsidRPr="00420DF3">
          <w:rPr>
            <w:rStyle w:val="Hyperlink"/>
            <w:szCs w:val="24"/>
          </w:rPr>
          <w:t>7 CFR 1782.17(a)</w:t>
        </w:r>
      </w:hyperlink>
      <w:r w:rsidRPr="00420DF3">
        <w:rPr>
          <w:szCs w:val="24"/>
        </w:rPr>
        <w:t>.</w:t>
      </w:r>
      <w:r w:rsidRPr="00420DF3" w:rsidR="000E5156">
        <w:rPr>
          <w:szCs w:val="24"/>
        </w:rPr>
        <w:t xml:space="preserve">  </w:t>
      </w:r>
    </w:p>
    <w:p w:rsidR="00C85991" w:rsidRPr="00420DF3" w:rsidP="00A429F8" w14:paraId="5C167C1F" w14:textId="77777777">
      <w:pPr>
        <w:rPr>
          <w:szCs w:val="24"/>
        </w:rPr>
      </w:pPr>
    </w:p>
    <w:p w:rsidR="0077019F" w:rsidRPr="00E94082" w:rsidP="00A429F8" w14:paraId="65A49C08" w14:textId="7BEEF39C">
      <w:pPr>
        <w:rPr>
          <w:bCs/>
          <w:szCs w:val="24"/>
          <w:u w:val="single"/>
        </w:rPr>
      </w:pPr>
      <w:r w:rsidRPr="00E94082">
        <w:rPr>
          <w:bCs/>
          <w:szCs w:val="24"/>
          <w:u w:val="single"/>
        </w:rPr>
        <w:t>Statement on Availability to Obtain Credit Elsewhere (Written)</w:t>
      </w:r>
    </w:p>
    <w:p w:rsidR="00487710" w:rsidRPr="00420DF3" w:rsidP="00990CF1" w14:paraId="7702D8E3" w14:textId="064A5FF3">
      <w:pPr>
        <w:rPr>
          <w:szCs w:val="24"/>
        </w:rPr>
      </w:pPr>
      <w:r w:rsidRPr="00420DF3">
        <w:rPr>
          <w:szCs w:val="24"/>
        </w:rPr>
        <w:t xml:space="preserve">In the instance that a borrower is seeking a Parity lien, the Agency must consider whether they can refinance the debt with conventional credit at reasonable rates and terms.  The borrower must submit a statement and supplemental information </w:t>
      </w:r>
      <w:r w:rsidRPr="00420DF3">
        <w:rPr>
          <w:szCs w:val="24"/>
        </w:rPr>
        <w:t>in order to</w:t>
      </w:r>
      <w:r w:rsidRPr="00420DF3">
        <w:rPr>
          <w:szCs w:val="24"/>
        </w:rPr>
        <w:t xml:space="preserve"> justify whether they can refinance.  The Agency subsequently qualifies the submitted information.  As needed, the Agency may request additional information.  This is a separate review from the Graduation items previously referenced.  </w:t>
      </w:r>
    </w:p>
    <w:p w:rsidR="0077019F" w:rsidRPr="00420DF3" w:rsidP="00A429F8" w14:paraId="43477194" w14:textId="77777777">
      <w:pPr>
        <w:rPr>
          <w:szCs w:val="24"/>
        </w:rPr>
      </w:pPr>
    </w:p>
    <w:p w:rsidR="0077019F" w:rsidRPr="008B2BEF" w:rsidP="00990CF1" w14:paraId="26DD1103" w14:textId="77777777">
      <w:pPr>
        <w:rPr>
          <w:bCs/>
          <w:szCs w:val="24"/>
        </w:rPr>
      </w:pPr>
      <w:r w:rsidRPr="00E94082">
        <w:rPr>
          <w:bCs/>
          <w:szCs w:val="24"/>
          <w:u w:val="single"/>
        </w:rPr>
        <w:t>Management Agreements (Written)</w:t>
      </w:r>
    </w:p>
    <w:p w:rsidR="00E52DE2" w:rsidRPr="00420DF3" w:rsidP="00E52DE2" w14:paraId="40393837" w14:textId="77777777">
      <w:pPr>
        <w:rPr>
          <w:szCs w:val="24"/>
        </w:rPr>
      </w:pPr>
      <w:r w:rsidRPr="00420DF3">
        <w:rPr>
          <w:szCs w:val="24"/>
        </w:rPr>
        <w:t xml:space="preserve">When an Agency financed facility is to be leased or managed by other parties, the borrower must furnish copies of the proposed management agreement for approval by the Agency.  The review and approval </w:t>
      </w:r>
      <w:r w:rsidRPr="00420DF3">
        <w:rPr>
          <w:szCs w:val="24"/>
        </w:rPr>
        <w:t>is</w:t>
      </w:r>
      <w:r w:rsidRPr="00420DF3">
        <w:rPr>
          <w:szCs w:val="24"/>
        </w:rPr>
        <w:t xml:space="preserve"> necessary to protect the Government’s interest.  The borrower is ultimately responsible for operating, maintaining</w:t>
      </w:r>
      <w:r w:rsidRPr="00420DF3" w:rsidR="00487710">
        <w:rPr>
          <w:szCs w:val="24"/>
        </w:rPr>
        <w:t>,</w:t>
      </w:r>
      <w:r w:rsidRPr="00420DF3">
        <w:rPr>
          <w:szCs w:val="24"/>
        </w:rPr>
        <w:t xml:space="preserve"> and managing the facility even though the functions are </w:t>
      </w:r>
      <w:r w:rsidRPr="00420DF3">
        <w:rPr>
          <w:szCs w:val="24"/>
        </w:rPr>
        <w:t>performed by a third party under a management agreement.</w:t>
      </w:r>
      <w:r w:rsidRPr="00420DF3" w:rsidR="00487710">
        <w:rPr>
          <w:szCs w:val="24"/>
        </w:rPr>
        <w:t xml:space="preserve">  </w:t>
      </w:r>
      <w:r w:rsidRPr="00420DF3">
        <w:rPr>
          <w:szCs w:val="24"/>
        </w:rPr>
        <w:t xml:space="preserve">RUS Bulletin 1780-8 provides guidance for the minimum information to provide in developing management agreements.  </w:t>
      </w:r>
    </w:p>
    <w:p w:rsidR="0077019F" w:rsidP="00990CF1" w14:paraId="09E25631" w14:textId="0226576D">
      <w:pPr>
        <w:rPr>
          <w:szCs w:val="24"/>
        </w:rPr>
      </w:pPr>
    </w:p>
    <w:p w:rsidR="0060452D" w:rsidRPr="00E94082" w:rsidP="0060452D" w14:paraId="452FA2C8" w14:textId="388446AD">
      <w:pPr>
        <w:rPr>
          <w:bCs/>
          <w:szCs w:val="24"/>
          <w:u w:val="single"/>
        </w:rPr>
      </w:pPr>
      <w:r w:rsidRPr="00E94082">
        <w:rPr>
          <w:bCs/>
          <w:szCs w:val="24"/>
          <w:u w:val="single"/>
        </w:rPr>
        <w:t>Lease Contracts (Facility, Mineral, etc.)  (Written)</w:t>
      </w:r>
    </w:p>
    <w:p w:rsidR="00230405" w:rsidRPr="00420DF3" w:rsidP="00A429F8" w14:paraId="11725F33" w14:textId="367A5F4D">
      <w:pPr>
        <w:rPr>
          <w:szCs w:val="24"/>
        </w:rPr>
      </w:pPr>
      <w:r w:rsidRPr="00420DF3">
        <w:rPr>
          <w:szCs w:val="24"/>
        </w:rPr>
        <w:t xml:space="preserve">When an Agency financed facility is to be leased or managed by other parties, the borrower must furnish copies of the proposed lease contracts for approval by the Agency.  The review and approval </w:t>
      </w:r>
      <w:r w:rsidRPr="00420DF3" w:rsidR="00420DF3">
        <w:rPr>
          <w:szCs w:val="24"/>
        </w:rPr>
        <w:t>are</w:t>
      </w:r>
      <w:r w:rsidRPr="00420DF3">
        <w:rPr>
          <w:szCs w:val="24"/>
        </w:rPr>
        <w:t xml:space="preserve"> necessary to protect the Government’s interest.  The borrower is ultimately responsible for operating, maintaining, and managing the facility even though the functions are performed by a third party under a management agreement</w:t>
      </w:r>
      <w:r w:rsidRPr="00420DF3">
        <w:rPr>
          <w:szCs w:val="24"/>
        </w:rPr>
        <w:t>.</w:t>
      </w:r>
    </w:p>
    <w:p w:rsidR="0060452D" w:rsidRPr="00420DF3" w:rsidP="00990CF1" w14:paraId="576136F5" w14:textId="77777777">
      <w:pPr>
        <w:rPr>
          <w:szCs w:val="24"/>
        </w:rPr>
      </w:pPr>
    </w:p>
    <w:p w:rsidR="0077019F" w:rsidRPr="00E94082" w:rsidP="00A429F8" w14:paraId="7209B0E4" w14:textId="4C664522">
      <w:pPr>
        <w:rPr>
          <w:bCs/>
          <w:szCs w:val="24"/>
          <w:u w:val="single"/>
        </w:rPr>
      </w:pPr>
      <w:r w:rsidRPr="00E94082">
        <w:rPr>
          <w:bCs/>
          <w:szCs w:val="24"/>
          <w:u w:val="single"/>
        </w:rPr>
        <w:t>Bankruptcy Orders and Supplemental Information (Written)</w:t>
      </w:r>
    </w:p>
    <w:p w:rsidR="00487710" w:rsidRPr="00420DF3" w:rsidP="00990CF1" w14:paraId="78D41C87" w14:textId="42B9C817">
      <w:pPr>
        <w:rPr>
          <w:szCs w:val="24"/>
        </w:rPr>
      </w:pPr>
      <w:r w:rsidRPr="00420DF3">
        <w:rPr>
          <w:szCs w:val="24"/>
        </w:rPr>
        <w:t>In the event that</w:t>
      </w:r>
      <w:r w:rsidRPr="00420DF3">
        <w:rPr>
          <w:szCs w:val="24"/>
        </w:rPr>
        <w:t xml:space="preserve"> a borrower enters a situation calling for debt settlement, either partially or in whole, the borrower must submit any Bankruptcy Orders or other relevant supplemental information.  This includes all Court Orders, legal documents, or information related thereto.  The Agency then reviews the information in accordance with established regulations and procedures.  </w:t>
      </w:r>
    </w:p>
    <w:p w:rsidR="00487710" w:rsidRPr="00420DF3" w:rsidP="00A429F8" w14:paraId="7C575110" w14:textId="77777777">
      <w:pPr>
        <w:rPr>
          <w:szCs w:val="24"/>
        </w:rPr>
      </w:pPr>
    </w:p>
    <w:p w:rsidR="0077019F" w:rsidRPr="008B2BEF" w:rsidP="00990CF1" w14:paraId="3CCDD3EA" w14:textId="77777777">
      <w:pPr>
        <w:rPr>
          <w:bCs/>
          <w:szCs w:val="24"/>
        </w:rPr>
      </w:pPr>
      <w:r w:rsidRPr="00E94082">
        <w:rPr>
          <w:bCs/>
          <w:szCs w:val="24"/>
          <w:u w:val="single"/>
        </w:rPr>
        <w:t>R</w:t>
      </w:r>
      <w:r w:rsidRPr="00E94082">
        <w:rPr>
          <w:bCs/>
          <w:szCs w:val="24"/>
          <w:u w:val="single"/>
        </w:rPr>
        <w:t xml:space="preserve">epayment </w:t>
      </w:r>
      <w:r w:rsidRPr="00E94082">
        <w:rPr>
          <w:bCs/>
          <w:szCs w:val="24"/>
          <w:u w:val="single"/>
        </w:rPr>
        <w:t>A</w:t>
      </w:r>
      <w:r w:rsidRPr="00E94082">
        <w:rPr>
          <w:bCs/>
          <w:szCs w:val="24"/>
          <w:u w:val="single"/>
        </w:rPr>
        <w:t>greement</w:t>
      </w:r>
      <w:r w:rsidRPr="00E94082">
        <w:rPr>
          <w:bCs/>
          <w:szCs w:val="24"/>
          <w:u w:val="single"/>
        </w:rPr>
        <w:t xml:space="preserve"> (Written)</w:t>
      </w:r>
    </w:p>
    <w:p w:rsidR="0077019F" w:rsidRPr="00420DF3" w:rsidP="00990CF1" w14:paraId="3F4790A6" w14:textId="647644E7">
      <w:pPr>
        <w:rPr>
          <w:szCs w:val="24"/>
        </w:rPr>
      </w:pPr>
      <w:r w:rsidRPr="00420DF3">
        <w:rPr>
          <w:szCs w:val="24"/>
        </w:rPr>
        <w:t>Borrowers subject to the Treasury Offset Program are provided an opportunity to avoid being submitted by entering into a written repayment agreement.  The repayment agreement allows borrowers to avoid future Federal assistance payments offset by agreeing to a new repayment agreement.</w:t>
      </w:r>
      <w:r w:rsidRPr="00420DF3" w:rsidR="00562156">
        <w:rPr>
          <w:szCs w:val="24"/>
        </w:rPr>
        <w:t xml:space="preserve">  The Agreement is reviewed and approved by the Agency.  </w:t>
      </w:r>
    </w:p>
    <w:p w:rsidR="0077019F" w:rsidRPr="00420DF3" w:rsidP="00A429F8" w14:paraId="37850593" w14:textId="77777777">
      <w:pPr>
        <w:rPr>
          <w:szCs w:val="24"/>
        </w:rPr>
      </w:pPr>
    </w:p>
    <w:p w:rsidR="0077019F" w:rsidRPr="00E94082" w:rsidP="00990CF1" w14:paraId="0533A702" w14:textId="7B0A19F1">
      <w:pPr>
        <w:rPr>
          <w:bCs/>
          <w:szCs w:val="24"/>
          <w:u w:val="single"/>
        </w:rPr>
      </w:pPr>
      <w:r w:rsidRPr="00E94082">
        <w:rPr>
          <w:bCs/>
          <w:szCs w:val="24"/>
          <w:u w:val="single"/>
        </w:rPr>
        <w:t>Rescheduling Agreement</w:t>
      </w:r>
      <w:r w:rsidRPr="00E94082">
        <w:rPr>
          <w:bCs/>
          <w:szCs w:val="24"/>
          <w:u w:val="single"/>
        </w:rPr>
        <w:t xml:space="preserve"> (Written)</w:t>
      </w:r>
    </w:p>
    <w:p w:rsidR="0077019F" w:rsidRPr="00420DF3" w:rsidP="00990CF1" w14:paraId="299A9999" w14:textId="08299CEE">
      <w:pPr>
        <w:pStyle w:val="BodyText2"/>
        <w:rPr>
          <w:rFonts w:ascii="Times New Roman" w:hAnsi="Times New Roman"/>
          <w:sz w:val="24"/>
          <w:szCs w:val="24"/>
        </w:rPr>
      </w:pPr>
      <w:r w:rsidRPr="00420DF3">
        <w:rPr>
          <w:rFonts w:ascii="Times New Roman" w:hAnsi="Times New Roman"/>
          <w:sz w:val="24"/>
          <w:szCs w:val="24"/>
        </w:rPr>
        <w:t xml:space="preserve">At times it is advantageous for borrowers to reschedule debt instead of issuing a new debt instrument to effect re-amortization of a loan.  When the Borrower requests debt rescheduling from the Agency, a Rescheduling Agreement should be provided.  Staff Instruction 1782-1, Exhibit E may be provided as an example for drafting the agreement.  </w:t>
      </w:r>
    </w:p>
    <w:p w:rsidR="00487710" w:rsidRPr="00420DF3" w:rsidP="00A429F8" w14:paraId="2B0339F5" w14:textId="77777777">
      <w:pPr>
        <w:rPr>
          <w:szCs w:val="24"/>
        </w:rPr>
      </w:pPr>
    </w:p>
    <w:p w:rsidR="00487710" w:rsidRPr="00E94082" w:rsidP="00990CF1" w14:paraId="35D32866" w14:textId="358B3B50">
      <w:pPr>
        <w:rPr>
          <w:bCs/>
          <w:szCs w:val="24"/>
          <w:u w:val="single"/>
        </w:rPr>
      </w:pPr>
      <w:r w:rsidRPr="00E94082">
        <w:rPr>
          <w:bCs/>
          <w:szCs w:val="24"/>
          <w:u w:val="single"/>
        </w:rPr>
        <w:t>Voluntary Conveyance</w:t>
      </w:r>
      <w:r w:rsidRPr="00E94082" w:rsidR="00A3151D">
        <w:rPr>
          <w:bCs/>
          <w:szCs w:val="24"/>
          <w:u w:val="single"/>
        </w:rPr>
        <w:t xml:space="preserve"> </w:t>
      </w:r>
      <w:r w:rsidRPr="00E94082">
        <w:rPr>
          <w:bCs/>
          <w:szCs w:val="24"/>
          <w:u w:val="single"/>
        </w:rPr>
        <w:t>- Board Resolution (Written)</w:t>
      </w:r>
    </w:p>
    <w:p w:rsidR="00487710" w:rsidRPr="00420DF3" w:rsidP="00990CF1" w14:paraId="00C193F8" w14:textId="0FA6EF22">
      <w:pPr>
        <w:rPr>
          <w:color w:val="FF0000"/>
          <w:szCs w:val="24"/>
        </w:rPr>
      </w:pPr>
      <w:r w:rsidRPr="00420DF3">
        <w:rPr>
          <w:szCs w:val="24"/>
        </w:rPr>
        <w:t>I</w:t>
      </w:r>
      <w:r w:rsidRPr="00420DF3" w:rsidR="00410BCA">
        <w:rPr>
          <w:szCs w:val="24"/>
        </w:rPr>
        <w:t xml:space="preserve">f </w:t>
      </w:r>
      <w:r w:rsidRPr="00420DF3">
        <w:rPr>
          <w:szCs w:val="24"/>
        </w:rPr>
        <w:t>a</w:t>
      </w:r>
      <w:r w:rsidRPr="00420DF3" w:rsidR="00410BCA">
        <w:rPr>
          <w:szCs w:val="24"/>
        </w:rPr>
        <w:t xml:space="preserve"> borrower decides to voluntarily convey any property to the Agency, the borrower’s authorizing documents must be submitted for review.  An action of this nature will require a Board Resolution, or similar document, summarizing a vote of leadership to proceed with said action.  The Resolution, or supplemental document, </w:t>
      </w:r>
      <w:r w:rsidRPr="00420DF3">
        <w:rPr>
          <w:szCs w:val="24"/>
        </w:rPr>
        <w:t xml:space="preserve">and its supporting information </w:t>
      </w:r>
      <w:r w:rsidRPr="00420DF3" w:rsidR="00410BCA">
        <w:rPr>
          <w:szCs w:val="24"/>
        </w:rPr>
        <w:t xml:space="preserve">is vital to ensuring that the Agency </w:t>
      </w:r>
      <w:r w:rsidRPr="00420DF3" w:rsidR="00420DF3">
        <w:rPr>
          <w:szCs w:val="24"/>
        </w:rPr>
        <w:t>can</w:t>
      </w:r>
      <w:r w:rsidRPr="00420DF3" w:rsidR="00410BCA">
        <w:rPr>
          <w:szCs w:val="24"/>
        </w:rPr>
        <w:t xml:space="preserve"> adhere to established regulations and procedures.  </w:t>
      </w:r>
    </w:p>
    <w:p w:rsidR="00C85991" w:rsidRPr="00420DF3" w:rsidP="00A429F8" w14:paraId="12BF3923" w14:textId="77777777">
      <w:pPr>
        <w:pStyle w:val="Heading2"/>
        <w:rPr>
          <w:rFonts w:ascii="Times New Roman" w:hAnsi="Times New Roman"/>
          <w:sz w:val="24"/>
          <w:szCs w:val="24"/>
        </w:rPr>
      </w:pPr>
    </w:p>
    <w:p w:rsidR="00AB268F" w:rsidRPr="00420DF3" w:rsidP="00AB268F" w14:paraId="23DA16DE" w14:textId="77777777">
      <w:pPr>
        <w:suppressAutoHyphens/>
        <w:jc w:val="center"/>
        <w:rPr>
          <w:b/>
          <w:bCs/>
          <w:szCs w:val="24"/>
        </w:rPr>
      </w:pPr>
      <w:r w:rsidRPr="00420DF3">
        <w:rPr>
          <w:b/>
          <w:bCs/>
          <w:szCs w:val="24"/>
        </w:rPr>
        <w:t>REPORTING REQUIREMENTS – FORMS APPROVED WITH THIS OMB PACKAGE</w:t>
      </w:r>
    </w:p>
    <w:p w:rsidR="009B4375" w:rsidRPr="00420DF3" w:rsidP="009B4375" w14:paraId="647E6BF5" w14:textId="77777777">
      <w:pPr>
        <w:pStyle w:val="Heading2"/>
        <w:jc w:val="center"/>
        <w:rPr>
          <w:rFonts w:ascii="Times New Roman" w:hAnsi="Times New Roman"/>
          <w:b w:val="0"/>
          <w:sz w:val="24"/>
          <w:szCs w:val="24"/>
          <w:u w:val="none"/>
        </w:rPr>
      </w:pPr>
      <w:r w:rsidRPr="00420DF3">
        <w:rPr>
          <w:rFonts w:ascii="Times New Roman" w:hAnsi="Times New Roman"/>
          <w:sz w:val="24"/>
          <w:szCs w:val="24"/>
          <w:u w:val="none"/>
        </w:rPr>
        <w:t>(Items are in order of regulation appearance)</w:t>
      </w:r>
    </w:p>
    <w:p w:rsidR="00E53B5B" w:rsidRPr="00420DF3" w:rsidP="009B4375" w14:paraId="09C3E2BA" w14:textId="77777777">
      <w:pPr>
        <w:rPr>
          <w:b/>
          <w:szCs w:val="24"/>
          <w:u w:val="single"/>
        </w:rPr>
      </w:pPr>
    </w:p>
    <w:p w:rsidR="00E94082" w:rsidRPr="00E94082" w:rsidP="002A7453" w14:paraId="4C04A8DD" w14:textId="1C4221C8">
      <w:pPr>
        <w:rPr>
          <w:b/>
          <w:szCs w:val="24"/>
          <w:u w:val="single"/>
        </w:rPr>
      </w:pPr>
      <w:r w:rsidRPr="00E94082">
        <w:rPr>
          <w:b/>
          <w:szCs w:val="24"/>
          <w:u w:val="single"/>
        </w:rPr>
        <w:t>Special Servicing Actions:</w:t>
      </w:r>
    </w:p>
    <w:p w:rsidR="00E94082" w:rsidP="002A7453" w14:paraId="523B32E0" w14:textId="77777777">
      <w:pPr>
        <w:rPr>
          <w:bCs/>
          <w:szCs w:val="24"/>
          <w:u w:val="single"/>
        </w:rPr>
      </w:pPr>
    </w:p>
    <w:p w:rsidR="002A7453" w:rsidRPr="00E94082" w:rsidP="002A7453" w14:paraId="52E25AC8" w14:textId="75B8EBCE">
      <w:pPr>
        <w:rPr>
          <w:bCs/>
          <w:szCs w:val="24"/>
          <w:u w:val="single"/>
        </w:rPr>
      </w:pPr>
      <w:r w:rsidRPr="00E94082">
        <w:rPr>
          <w:bCs/>
          <w:szCs w:val="24"/>
          <w:u w:val="single"/>
        </w:rPr>
        <w:t>Re-amortization Request (Form RD 1951-33</w:t>
      </w:r>
      <w:r w:rsidRPr="00E94082" w:rsidR="00CB08CD">
        <w:rPr>
          <w:bCs/>
          <w:szCs w:val="24"/>
          <w:u w:val="single"/>
        </w:rPr>
        <w:t xml:space="preserve">; </w:t>
      </w:r>
      <w:r w:rsidRPr="00E94082">
        <w:rPr>
          <w:bCs/>
          <w:szCs w:val="24"/>
          <w:u w:val="single"/>
        </w:rPr>
        <w:t>OMB No. 0572-0137</w:t>
      </w:r>
      <w:r w:rsidRPr="00E94082" w:rsidR="00484EB6">
        <w:rPr>
          <w:bCs/>
          <w:szCs w:val="24"/>
          <w:u w:val="single"/>
        </w:rPr>
        <w:t>;</w:t>
      </w:r>
      <w:r w:rsidRPr="00E94082" w:rsidR="00117A6C">
        <w:rPr>
          <w:bCs/>
          <w:szCs w:val="24"/>
          <w:u w:val="single"/>
        </w:rPr>
        <w:t xml:space="preserve"> </w:t>
      </w:r>
      <w:r w:rsidRPr="00E94082">
        <w:rPr>
          <w:bCs/>
          <w:szCs w:val="24"/>
          <w:u w:val="single"/>
        </w:rPr>
        <w:t>0575-0066)</w:t>
      </w:r>
    </w:p>
    <w:p w:rsidR="002A7453" w:rsidRPr="00420DF3" w:rsidP="002A7453" w14:paraId="50C18791" w14:textId="77777777">
      <w:pPr>
        <w:rPr>
          <w:szCs w:val="24"/>
        </w:rPr>
      </w:pPr>
      <w:r w:rsidRPr="00420DF3">
        <w:rPr>
          <w:szCs w:val="24"/>
        </w:rPr>
        <w:t xml:space="preserve">The Re-amortization Request is used to re-amortize an existing loan and to modify the terms of the original loan agreement.  The Agency has several tools available, such as a re-amortization with interest rate reduction, which may allow for additional cash </w:t>
      </w:r>
      <w:r w:rsidRPr="00420DF3">
        <w:rPr>
          <w:szCs w:val="24"/>
        </w:rPr>
        <w:t>flow</w:t>
      </w:r>
      <w:r w:rsidRPr="00420DF3">
        <w:rPr>
          <w:szCs w:val="24"/>
        </w:rPr>
        <w:t xml:space="preserve"> so the borrower is able to </w:t>
      </w:r>
      <w:r w:rsidRPr="00420DF3">
        <w:rPr>
          <w:szCs w:val="24"/>
        </w:rPr>
        <w:t xml:space="preserve">remain current.  This form is reviewed by the Agency and implemented in accordance with the terms of the Work Agreement or other effective agreements.  </w:t>
      </w:r>
    </w:p>
    <w:p w:rsidR="002A7453" w:rsidRPr="00420DF3" w:rsidP="009B4375" w14:paraId="611B275F" w14:textId="77777777">
      <w:pPr>
        <w:rPr>
          <w:b/>
          <w:szCs w:val="24"/>
          <w:u w:val="single"/>
        </w:rPr>
      </w:pPr>
    </w:p>
    <w:p w:rsidR="006D4894" w:rsidRPr="00420DF3" w:rsidP="006D4894" w14:paraId="1BA85E20" w14:textId="5FFBE725">
      <w:pPr>
        <w:rPr>
          <w:szCs w:val="24"/>
        </w:rPr>
      </w:pPr>
      <w:r w:rsidRPr="00E94082">
        <w:rPr>
          <w:bCs/>
          <w:szCs w:val="24"/>
          <w:u w:val="single"/>
        </w:rPr>
        <w:t>Offer to Convey Security (Form RD 1955-1</w:t>
      </w:r>
      <w:r w:rsidRPr="00E94082" w:rsidR="00CB08CD">
        <w:rPr>
          <w:bCs/>
          <w:szCs w:val="24"/>
          <w:u w:val="single"/>
        </w:rPr>
        <w:t xml:space="preserve">; </w:t>
      </w:r>
      <w:r w:rsidRPr="00E94082">
        <w:rPr>
          <w:bCs/>
          <w:szCs w:val="24"/>
          <w:u w:val="single"/>
        </w:rPr>
        <w:t>OMB No. 0572-0137</w:t>
      </w:r>
      <w:r w:rsidRPr="00E94082" w:rsidR="00484EB6">
        <w:rPr>
          <w:bCs/>
          <w:szCs w:val="24"/>
          <w:u w:val="single"/>
        </w:rPr>
        <w:t>;</w:t>
      </w:r>
      <w:r w:rsidRPr="00E94082" w:rsidR="00117A6C">
        <w:rPr>
          <w:bCs/>
          <w:szCs w:val="24"/>
          <w:u w:val="single"/>
        </w:rPr>
        <w:t xml:space="preserve"> </w:t>
      </w:r>
      <w:r w:rsidRPr="00E94082">
        <w:rPr>
          <w:bCs/>
          <w:szCs w:val="24"/>
          <w:u w:val="single"/>
        </w:rPr>
        <w:t>0575-0172)</w:t>
      </w:r>
      <w:r w:rsidRPr="00E94082">
        <w:rPr>
          <w:bCs/>
          <w:szCs w:val="24"/>
        </w:rPr>
        <w:t xml:space="preserve"> </w:t>
      </w:r>
      <w:r w:rsidRPr="00E94082">
        <w:rPr>
          <w:bCs/>
          <w:szCs w:val="24"/>
          <w:u w:val="single"/>
        </w:rPr>
        <w:br/>
      </w:r>
      <w:r w:rsidRPr="00420DF3">
        <w:rPr>
          <w:szCs w:val="24"/>
        </w:rPr>
        <w:t xml:space="preserve">The Offer to Convey Security is used to formally document the conveyance real estate security property to the Agency (Government).  The borrower prepares and signs the form with the assistance of the RD servicing official.  </w:t>
      </w:r>
    </w:p>
    <w:p w:rsidR="006D4894" w:rsidRPr="00420DF3" w:rsidP="006D4894" w14:paraId="252FBA4F" w14:textId="77777777">
      <w:pPr>
        <w:rPr>
          <w:b/>
          <w:szCs w:val="24"/>
          <w:u w:val="single"/>
        </w:rPr>
      </w:pPr>
    </w:p>
    <w:p w:rsidR="00A165FB" w:rsidRPr="00E94082" w:rsidP="00A165FB" w14:paraId="6A02DACB" w14:textId="6E4827B6">
      <w:pPr>
        <w:rPr>
          <w:bCs/>
          <w:szCs w:val="24"/>
          <w:u w:val="single"/>
        </w:rPr>
      </w:pPr>
      <w:r w:rsidRPr="00E94082">
        <w:rPr>
          <w:bCs/>
          <w:szCs w:val="24"/>
          <w:u w:val="single"/>
        </w:rPr>
        <w:t>Application for Settlement of Indebtedness (Form RD 3560-57</w:t>
      </w:r>
      <w:r w:rsidRPr="00E94082" w:rsidR="00484EB6">
        <w:rPr>
          <w:bCs/>
          <w:szCs w:val="24"/>
          <w:u w:val="single"/>
        </w:rPr>
        <w:t xml:space="preserve">; </w:t>
      </w:r>
      <w:r w:rsidRPr="00E94082">
        <w:rPr>
          <w:bCs/>
          <w:szCs w:val="24"/>
          <w:u w:val="single"/>
        </w:rPr>
        <w:t>OMB No. 0572-0137</w:t>
      </w:r>
      <w:r w:rsidRPr="00E94082" w:rsidR="00484EB6">
        <w:rPr>
          <w:bCs/>
          <w:szCs w:val="24"/>
          <w:u w:val="single"/>
        </w:rPr>
        <w:t>;</w:t>
      </w:r>
      <w:r w:rsidRPr="00E94082" w:rsidR="00117A6C">
        <w:rPr>
          <w:bCs/>
          <w:szCs w:val="24"/>
          <w:u w:val="single"/>
        </w:rPr>
        <w:t xml:space="preserve"> </w:t>
      </w:r>
      <w:r w:rsidRPr="00E94082">
        <w:rPr>
          <w:bCs/>
          <w:szCs w:val="24"/>
          <w:u w:val="single"/>
        </w:rPr>
        <w:t>0575-0189)</w:t>
      </w:r>
    </w:p>
    <w:p w:rsidR="00A165FB" w:rsidRPr="00420DF3" w:rsidP="00A165FB" w14:paraId="0A909A5B" w14:textId="12309CE2">
      <w:pPr>
        <w:rPr>
          <w:szCs w:val="24"/>
        </w:rPr>
      </w:pPr>
      <w:r w:rsidRPr="00420DF3">
        <w:rPr>
          <w:szCs w:val="24"/>
        </w:rPr>
        <w:t xml:space="preserve">Prior to approving debt settlement actions, RUS </w:t>
      </w:r>
      <w:r w:rsidRPr="00420DF3" w:rsidR="00420DF3">
        <w:rPr>
          <w:szCs w:val="24"/>
        </w:rPr>
        <w:t>prepares,</w:t>
      </w:r>
      <w:r w:rsidRPr="00420DF3">
        <w:rPr>
          <w:szCs w:val="24"/>
        </w:rPr>
        <w:t xml:space="preserve"> and the borrower must sign the Application for Settlement.  This form is prepared to </w:t>
      </w:r>
      <w:r w:rsidRPr="00420DF3">
        <w:rPr>
          <w:szCs w:val="24"/>
        </w:rPr>
        <w:t>effect</w:t>
      </w:r>
      <w:r w:rsidRPr="00420DF3">
        <w:rPr>
          <w:szCs w:val="24"/>
        </w:rPr>
        <w:t xml:space="preserve"> a write-off of a borrower’s Agency debt.  </w:t>
      </w:r>
    </w:p>
    <w:p w:rsidR="00A165FB" w:rsidRPr="00420DF3" w:rsidP="006D4894" w14:paraId="1582E229" w14:textId="77777777">
      <w:pPr>
        <w:rPr>
          <w:b/>
          <w:szCs w:val="24"/>
          <w:u w:val="single"/>
        </w:rPr>
      </w:pPr>
    </w:p>
    <w:p w:rsidR="009B4375" w:rsidRPr="00E94082" w:rsidP="009B4375" w14:paraId="79A2DBB5" w14:textId="151C4C5E">
      <w:pPr>
        <w:rPr>
          <w:bCs/>
          <w:szCs w:val="24"/>
          <w:u w:val="single"/>
        </w:rPr>
      </w:pPr>
      <w:r w:rsidRPr="00E94082">
        <w:rPr>
          <w:bCs/>
          <w:szCs w:val="24"/>
          <w:u w:val="single"/>
        </w:rPr>
        <w:t>Statement of Budget, Income, &amp; Equity (Form RD 442-2</w:t>
      </w:r>
      <w:r w:rsidRPr="00E94082" w:rsidR="00484EB6">
        <w:rPr>
          <w:bCs/>
          <w:szCs w:val="24"/>
          <w:u w:val="single"/>
        </w:rPr>
        <w:t>;</w:t>
      </w:r>
      <w:r w:rsidRPr="00E94082">
        <w:rPr>
          <w:bCs/>
          <w:szCs w:val="24"/>
          <w:u w:val="single"/>
        </w:rPr>
        <w:t xml:space="preserve"> OMB No.</w:t>
      </w:r>
      <w:r w:rsidRPr="00E94082" w:rsidR="00484EB6">
        <w:rPr>
          <w:bCs/>
          <w:szCs w:val="24"/>
          <w:u w:val="single"/>
        </w:rPr>
        <w:t xml:space="preserve"> </w:t>
      </w:r>
      <w:r w:rsidRPr="00E94082">
        <w:rPr>
          <w:bCs/>
          <w:szCs w:val="24"/>
          <w:u w:val="single"/>
        </w:rPr>
        <w:t>0572-0137</w:t>
      </w:r>
      <w:r w:rsidRPr="00E94082" w:rsidR="00484EB6">
        <w:rPr>
          <w:bCs/>
          <w:szCs w:val="24"/>
          <w:u w:val="single"/>
        </w:rPr>
        <w:t>; 0575-0015, 0200</w:t>
      </w:r>
      <w:r w:rsidRPr="00E94082">
        <w:rPr>
          <w:bCs/>
          <w:szCs w:val="24"/>
          <w:u w:val="single"/>
        </w:rPr>
        <w:t xml:space="preserve">) </w:t>
      </w:r>
    </w:p>
    <w:p w:rsidR="009B4375" w:rsidRPr="00420DF3" w:rsidP="009B4375" w14:paraId="77D3A6DC" w14:textId="77777777">
      <w:pPr>
        <w:rPr>
          <w:szCs w:val="24"/>
        </w:rPr>
      </w:pPr>
      <w:r w:rsidRPr="00420DF3">
        <w:rPr>
          <w:szCs w:val="24"/>
        </w:rPr>
        <w:t xml:space="preserve">The Agency requires submission of this form </w:t>
      </w:r>
      <w:r w:rsidRPr="00420DF3">
        <w:rPr>
          <w:szCs w:val="24"/>
        </w:rPr>
        <w:t>in order to</w:t>
      </w:r>
      <w:r w:rsidRPr="00420DF3">
        <w:rPr>
          <w:szCs w:val="24"/>
        </w:rPr>
        <w:t xml:space="preserve"> perform annual financial analysis and/or a thorough graduation review to determine if the borrower has the financial capability to secure financing from commercial sources.  Form 442-2 is used by borrowers that did not have a formal audit completed.  </w:t>
      </w:r>
    </w:p>
    <w:p w:rsidR="00AB268F" w:rsidRPr="00420DF3" w:rsidP="00AB268F" w14:paraId="37105B4E" w14:textId="77777777">
      <w:pPr>
        <w:rPr>
          <w:szCs w:val="24"/>
        </w:rPr>
      </w:pPr>
    </w:p>
    <w:p w:rsidR="00E92A76" w:rsidRPr="00E94082" w:rsidP="00E92A76" w14:paraId="0D727215" w14:textId="0DBE562E">
      <w:pPr>
        <w:rPr>
          <w:bCs/>
          <w:szCs w:val="24"/>
          <w:u w:val="single"/>
        </w:rPr>
      </w:pPr>
      <w:r w:rsidRPr="00E94082">
        <w:rPr>
          <w:bCs/>
          <w:szCs w:val="24"/>
          <w:u w:val="single"/>
        </w:rPr>
        <w:t>Letter of Intent to Meet Conditions (Form RD 1942-46</w:t>
      </w:r>
      <w:r w:rsidRPr="00E94082" w:rsidR="00484EB6">
        <w:rPr>
          <w:bCs/>
          <w:szCs w:val="24"/>
          <w:u w:val="single"/>
        </w:rPr>
        <w:t>;</w:t>
      </w:r>
      <w:r w:rsidRPr="00E94082">
        <w:rPr>
          <w:bCs/>
          <w:szCs w:val="24"/>
          <w:u w:val="single"/>
        </w:rPr>
        <w:t xml:space="preserve"> OMB No. 0570-0021, 0061, 0062</w:t>
      </w:r>
      <w:r w:rsidRPr="00E94082" w:rsidR="0010212A">
        <w:rPr>
          <w:bCs/>
          <w:szCs w:val="24"/>
          <w:u w:val="single"/>
        </w:rPr>
        <w:t xml:space="preserve">; </w:t>
      </w:r>
      <w:r w:rsidRPr="00E94082">
        <w:rPr>
          <w:bCs/>
          <w:szCs w:val="24"/>
          <w:u w:val="single"/>
        </w:rPr>
        <w:t>0572-0137</w:t>
      </w:r>
      <w:r w:rsidRPr="00E94082" w:rsidR="00F95F87">
        <w:rPr>
          <w:bCs/>
          <w:szCs w:val="24"/>
          <w:u w:val="single"/>
        </w:rPr>
        <w:t>; 0575-0015</w:t>
      </w:r>
      <w:r w:rsidRPr="00E94082">
        <w:rPr>
          <w:bCs/>
          <w:szCs w:val="24"/>
          <w:u w:val="single"/>
        </w:rPr>
        <w:t>)</w:t>
      </w:r>
    </w:p>
    <w:p w:rsidR="00E92A76" w:rsidRPr="00420DF3" w:rsidP="00E92A76" w14:paraId="7A8F4832" w14:textId="446B4D35">
      <w:pPr>
        <w:rPr>
          <w:szCs w:val="24"/>
        </w:rPr>
      </w:pPr>
      <w:r w:rsidRPr="00420DF3">
        <w:rPr>
          <w:szCs w:val="24"/>
        </w:rPr>
        <w:t xml:space="preserve">Borrowers must sign the Letter of Intent prior to the Agency approving all applicable actions.  The form is necessary because it signifies the borrower’s commitment to the terms and conditions specified in the Letter of Conditions.  It also specifies </w:t>
      </w:r>
      <w:r w:rsidRPr="00420DF3">
        <w:rPr>
          <w:szCs w:val="24"/>
        </w:rPr>
        <w:t>a period of time</w:t>
      </w:r>
      <w:r w:rsidRPr="00420DF3">
        <w:rPr>
          <w:szCs w:val="24"/>
        </w:rPr>
        <w:t xml:space="preserve"> during which the borrower will comply with the items defined.  </w:t>
      </w:r>
    </w:p>
    <w:p w:rsidR="009B4375" w:rsidP="00AB268F" w14:paraId="4805823F" w14:textId="77777777">
      <w:pPr>
        <w:rPr>
          <w:szCs w:val="24"/>
        </w:rPr>
      </w:pPr>
    </w:p>
    <w:p w:rsidR="000542A8" w:rsidRPr="00E94082" w:rsidP="000542A8" w14:paraId="08DA9CFF" w14:textId="7731294E">
      <w:pPr>
        <w:rPr>
          <w:b/>
          <w:szCs w:val="24"/>
          <w:u w:val="single"/>
        </w:rPr>
      </w:pPr>
      <w:r>
        <w:rPr>
          <w:b/>
          <w:szCs w:val="24"/>
          <w:u w:val="single"/>
        </w:rPr>
        <w:t xml:space="preserve">Other OMB Packages that Use </w:t>
      </w:r>
      <w:r w:rsidR="00945C10">
        <w:rPr>
          <w:b/>
          <w:szCs w:val="24"/>
          <w:u w:val="single"/>
        </w:rPr>
        <w:t>Forms from this Package</w:t>
      </w:r>
      <w:r w:rsidRPr="00E94082">
        <w:rPr>
          <w:b/>
          <w:szCs w:val="24"/>
          <w:u w:val="single"/>
        </w:rPr>
        <w:t>:</w:t>
      </w:r>
    </w:p>
    <w:p w:rsidR="001D5E5B" w:rsidP="00AB268F" w14:paraId="4A030D82" w14:textId="77777777">
      <w:pPr>
        <w:rPr>
          <w:szCs w:val="24"/>
        </w:rPr>
      </w:pPr>
    </w:p>
    <w:p w:rsidR="001D5E5B" w:rsidP="00AB268F" w14:paraId="4E91D73D" w14:textId="165C1953">
      <w:pPr>
        <w:rPr>
          <w:szCs w:val="24"/>
        </w:rPr>
      </w:pPr>
      <w:r>
        <w:rPr>
          <w:szCs w:val="24"/>
        </w:rPr>
        <w:t xml:space="preserve">From the forms listed above, </w:t>
      </w:r>
      <w:r w:rsidR="005446A3">
        <w:rPr>
          <w:szCs w:val="24"/>
        </w:rPr>
        <w:t>Table 2.1 provides a list of the o</w:t>
      </w:r>
      <w:r w:rsidR="00201DD4">
        <w:rPr>
          <w:szCs w:val="24"/>
        </w:rPr>
        <w:t xml:space="preserve">ther OMB Packages </w:t>
      </w:r>
      <w:r w:rsidR="005446A3">
        <w:rPr>
          <w:szCs w:val="24"/>
        </w:rPr>
        <w:t xml:space="preserve">that </w:t>
      </w:r>
      <w:r w:rsidR="00201DD4">
        <w:rPr>
          <w:szCs w:val="24"/>
        </w:rPr>
        <w:t xml:space="preserve">use the </w:t>
      </w:r>
      <w:r w:rsidR="003276A4">
        <w:rPr>
          <w:szCs w:val="24"/>
        </w:rPr>
        <w:t>forms</w:t>
      </w:r>
      <w:r w:rsidR="000919A7">
        <w:rPr>
          <w:szCs w:val="24"/>
        </w:rPr>
        <w:t xml:space="preserve"> from this package</w:t>
      </w:r>
      <w:r w:rsidR="00201DD4">
        <w:rPr>
          <w:szCs w:val="24"/>
        </w:rPr>
        <w:t xml:space="preserve">: </w:t>
      </w:r>
    </w:p>
    <w:p w:rsidR="00201DD4" w:rsidP="00AB268F" w14:paraId="611A4917" w14:textId="77777777">
      <w:pPr>
        <w:rPr>
          <w:szCs w:val="24"/>
        </w:rPr>
      </w:pPr>
    </w:p>
    <w:p w:rsidR="00B63A95" w:rsidRPr="00420DF3" w:rsidP="00B63A95" w14:paraId="1830A868" w14:textId="5AC87AB7">
      <w:pPr>
        <w:jc w:val="center"/>
        <w:rPr>
          <w:szCs w:val="24"/>
        </w:rPr>
      </w:pPr>
      <w:r w:rsidRPr="00420DF3">
        <w:rPr>
          <w:b/>
          <w:bCs/>
          <w:szCs w:val="24"/>
        </w:rPr>
        <w:t>Table 2.</w:t>
      </w:r>
      <w:r>
        <w:rPr>
          <w:b/>
          <w:bCs/>
          <w:szCs w:val="24"/>
        </w:rPr>
        <w:t>1</w:t>
      </w:r>
      <w:r w:rsidRPr="00420DF3">
        <w:rPr>
          <w:b/>
          <w:bCs/>
          <w:szCs w:val="24"/>
        </w:rPr>
        <w:t xml:space="preserve"> – </w:t>
      </w:r>
      <w:r w:rsidR="000919A7">
        <w:rPr>
          <w:b/>
          <w:bCs/>
          <w:szCs w:val="24"/>
        </w:rPr>
        <w:t>Other OMB Packages that</w:t>
      </w:r>
      <w:r w:rsidR="00E014FE">
        <w:rPr>
          <w:b/>
          <w:bCs/>
          <w:szCs w:val="24"/>
        </w:rPr>
        <w:t xml:space="preserve"> Use Forms from this Package</w:t>
      </w:r>
    </w:p>
    <w:tbl>
      <w:tblPr>
        <w:tblStyle w:val="TableGrid"/>
        <w:tblW w:w="9355" w:type="dxa"/>
        <w:tblLook w:val="04A0"/>
      </w:tblPr>
      <w:tblGrid>
        <w:gridCol w:w="2337"/>
        <w:gridCol w:w="2337"/>
        <w:gridCol w:w="4681"/>
      </w:tblGrid>
      <w:tr w14:paraId="138FCE1B" w14:textId="77777777" w:rsidTr="00B83D10">
        <w:tblPrEx>
          <w:tblW w:w="9355" w:type="dxa"/>
          <w:tblLook w:val="04A0"/>
        </w:tblPrEx>
        <w:tc>
          <w:tcPr>
            <w:tcW w:w="2337" w:type="dxa"/>
            <w:shd w:val="clear" w:color="auto" w:fill="C6D9F0" w:themeFill="text2" w:themeFillTint="33"/>
            <w:vAlign w:val="center"/>
          </w:tcPr>
          <w:p w:rsidR="003276A4" w:rsidRPr="00107598" w:rsidP="00107598" w14:paraId="7154F709" w14:textId="3697A5ED">
            <w:pPr>
              <w:jc w:val="center"/>
              <w:rPr>
                <w:b/>
                <w:bCs/>
                <w:szCs w:val="24"/>
              </w:rPr>
            </w:pPr>
            <w:r w:rsidRPr="00107598">
              <w:rPr>
                <w:b/>
                <w:bCs/>
                <w:szCs w:val="24"/>
              </w:rPr>
              <w:t>Package OMB Control No.</w:t>
            </w:r>
          </w:p>
        </w:tc>
        <w:tc>
          <w:tcPr>
            <w:tcW w:w="2337" w:type="dxa"/>
            <w:shd w:val="clear" w:color="auto" w:fill="C6D9F0" w:themeFill="text2" w:themeFillTint="33"/>
            <w:vAlign w:val="center"/>
          </w:tcPr>
          <w:p w:rsidR="003276A4" w:rsidRPr="00107598" w:rsidP="00107598" w14:paraId="6395FAB2" w14:textId="017FF2E1">
            <w:pPr>
              <w:jc w:val="center"/>
              <w:rPr>
                <w:b/>
                <w:bCs/>
                <w:szCs w:val="24"/>
              </w:rPr>
            </w:pPr>
            <w:r w:rsidRPr="00107598">
              <w:rPr>
                <w:b/>
                <w:bCs/>
                <w:szCs w:val="24"/>
              </w:rPr>
              <w:t>Form No.</w:t>
            </w:r>
          </w:p>
        </w:tc>
        <w:tc>
          <w:tcPr>
            <w:tcW w:w="4681" w:type="dxa"/>
            <w:shd w:val="clear" w:color="auto" w:fill="C6D9F0" w:themeFill="text2" w:themeFillTint="33"/>
            <w:vAlign w:val="center"/>
          </w:tcPr>
          <w:p w:rsidR="003276A4" w:rsidRPr="00107598" w:rsidP="00107598" w14:paraId="0BBF6432" w14:textId="16C1C75F">
            <w:pPr>
              <w:jc w:val="center"/>
              <w:rPr>
                <w:b/>
                <w:bCs/>
                <w:szCs w:val="24"/>
              </w:rPr>
            </w:pPr>
            <w:r w:rsidRPr="00107598">
              <w:rPr>
                <w:b/>
                <w:bCs/>
                <w:szCs w:val="24"/>
              </w:rPr>
              <w:t>Form Name</w:t>
            </w:r>
          </w:p>
        </w:tc>
      </w:tr>
      <w:tr w14:paraId="03FF9EFF" w14:textId="77777777" w:rsidTr="00107598">
        <w:tblPrEx>
          <w:tblW w:w="9355" w:type="dxa"/>
          <w:tblLook w:val="04A0"/>
        </w:tblPrEx>
        <w:tc>
          <w:tcPr>
            <w:tcW w:w="2337" w:type="dxa"/>
          </w:tcPr>
          <w:p w:rsidR="003276A4" w:rsidP="00107598" w14:paraId="0EE29DC1" w14:textId="435C71F8">
            <w:pPr>
              <w:jc w:val="center"/>
              <w:rPr>
                <w:szCs w:val="24"/>
              </w:rPr>
            </w:pPr>
            <w:r>
              <w:rPr>
                <w:szCs w:val="24"/>
              </w:rPr>
              <w:t>0572-0121</w:t>
            </w:r>
          </w:p>
        </w:tc>
        <w:tc>
          <w:tcPr>
            <w:tcW w:w="2337" w:type="dxa"/>
          </w:tcPr>
          <w:p w:rsidR="003276A4" w:rsidP="00107598" w14:paraId="26CAB494" w14:textId="4B2A61C8">
            <w:pPr>
              <w:jc w:val="center"/>
              <w:rPr>
                <w:szCs w:val="24"/>
              </w:rPr>
            </w:pPr>
            <w:r>
              <w:rPr>
                <w:szCs w:val="24"/>
              </w:rPr>
              <w:t>RD 442-2</w:t>
            </w:r>
          </w:p>
        </w:tc>
        <w:tc>
          <w:tcPr>
            <w:tcW w:w="4681" w:type="dxa"/>
          </w:tcPr>
          <w:p w:rsidR="003276A4" w:rsidP="00AB268F" w14:paraId="497E65D6" w14:textId="76BB6ADA">
            <w:pPr>
              <w:rPr>
                <w:szCs w:val="24"/>
              </w:rPr>
            </w:pPr>
            <w:r>
              <w:rPr>
                <w:szCs w:val="24"/>
              </w:rPr>
              <w:t>Statement of Budget, Income, and Equity</w:t>
            </w:r>
          </w:p>
        </w:tc>
      </w:tr>
      <w:tr w14:paraId="73049F54" w14:textId="77777777" w:rsidTr="00107598">
        <w:tblPrEx>
          <w:tblW w:w="9355" w:type="dxa"/>
          <w:tblLook w:val="04A0"/>
        </w:tblPrEx>
        <w:tc>
          <w:tcPr>
            <w:tcW w:w="2337" w:type="dxa"/>
          </w:tcPr>
          <w:p w:rsidR="003276A4" w:rsidP="00107598" w14:paraId="00834E05" w14:textId="427F67ED">
            <w:pPr>
              <w:jc w:val="center"/>
              <w:rPr>
                <w:szCs w:val="24"/>
              </w:rPr>
            </w:pPr>
            <w:r>
              <w:rPr>
                <w:szCs w:val="24"/>
              </w:rPr>
              <w:t>0572-0121</w:t>
            </w:r>
          </w:p>
        </w:tc>
        <w:tc>
          <w:tcPr>
            <w:tcW w:w="2337" w:type="dxa"/>
          </w:tcPr>
          <w:p w:rsidR="003276A4" w:rsidP="00107598" w14:paraId="4854BDD4" w14:textId="6D484CA7">
            <w:pPr>
              <w:jc w:val="center"/>
              <w:rPr>
                <w:szCs w:val="24"/>
              </w:rPr>
            </w:pPr>
            <w:r>
              <w:rPr>
                <w:szCs w:val="24"/>
              </w:rPr>
              <w:t>RD 442-3</w:t>
            </w:r>
          </w:p>
        </w:tc>
        <w:tc>
          <w:tcPr>
            <w:tcW w:w="4681" w:type="dxa"/>
          </w:tcPr>
          <w:p w:rsidR="003276A4" w:rsidP="00AB268F" w14:paraId="760347B4" w14:textId="6D709E4C">
            <w:pPr>
              <w:rPr>
                <w:szCs w:val="24"/>
              </w:rPr>
            </w:pPr>
            <w:r>
              <w:rPr>
                <w:szCs w:val="24"/>
              </w:rPr>
              <w:t>Balance Sheet</w:t>
            </w:r>
          </w:p>
        </w:tc>
      </w:tr>
      <w:tr w14:paraId="577C8FA2" w14:textId="77777777" w:rsidTr="00107598">
        <w:tblPrEx>
          <w:tblW w:w="9355" w:type="dxa"/>
          <w:tblLook w:val="04A0"/>
        </w:tblPrEx>
        <w:tc>
          <w:tcPr>
            <w:tcW w:w="2337" w:type="dxa"/>
          </w:tcPr>
          <w:p w:rsidR="003276A4" w:rsidP="00107598" w14:paraId="136143B1" w14:textId="3839F6F2">
            <w:pPr>
              <w:jc w:val="center"/>
              <w:rPr>
                <w:szCs w:val="24"/>
              </w:rPr>
            </w:pPr>
            <w:r>
              <w:rPr>
                <w:szCs w:val="24"/>
              </w:rPr>
              <w:t>0572-0121</w:t>
            </w:r>
          </w:p>
        </w:tc>
        <w:tc>
          <w:tcPr>
            <w:tcW w:w="2337" w:type="dxa"/>
          </w:tcPr>
          <w:p w:rsidR="003276A4" w:rsidP="00107598" w14:paraId="156E9F9E" w14:textId="0C1D3AA4">
            <w:pPr>
              <w:jc w:val="center"/>
              <w:rPr>
                <w:szCs w:val="24"/>
              </w:rPr>
            </w:pPr>
            <w:r>
              <w:rPr>
                <w:szCs w:val="24"/>
              </w:rPr>
              <w:t>RD 1942-46</w:t>
            </w:r>
          </w:p>
        </w:tc>
        <w:tc>
          <w:tcPr>
            <w:tcW w:w="4681" w:type="dxa"/>
          </w:tcPr>
          <w:p w:rsidR="003276A4" w:rsidP="00AB268F" w14:paraId="4FEE1A5C" w14:textId="32921D9D">
            <w:pPr>
              <w:rPr>
                <w:szCs w:val="24"/>
              </w:rPr>
            </w:pPr>
            <w:r>
              <w:rPr>
                <w:szCs w:val="24"/>
              </w:rPr>
              <w:t xml:space="preserve">Letter of Intent to Meet Conditions </w:t>
            </w:r>
          </w:p>
        </w:tc>
      </w:tr>
    </w:tbl>
    <w:p w:rsidR="001D5E5B" w:rsidP="00AB268F" w14:paraId="04B810A8" w14:textId="77777777">
      <w:pPr>
        <w:rPr>
          <w:szCs w:val="24"/>
        </w:rPr>
      </w:pPr>
    </w:p>
    <w:p w:rsidR="00390D85" w:rsidP="00AB268F" w14:paraId="21FA36C3" w14:textId="40624421">
      <w:pPr>
        <w:rPr>
          <w:szCs w:val="24"/>
        </w:rPr>
      </w:pPr>
      <w:r>
        <w:rPr>
          <w:szCs w:val="24"/>
        </w:rPr>
        <w:t xml:space="preserve">The burden associated with the forms listed in </w:t>
      </w:r>
      <w:r w:rsidR="00E014FE">
        <w:rPr>
          <w:szCs w:val="24"/>
        </w:rPr>
        <w:t>Table</w:t>
      </w:r>
      <w:r w:rsidR="005446A3">
        <w:rPr>
          <w:szCs w:val="24"/>
        </w:rPr>
        <w:t xml:space="preserve"> 2.1 </w:t>
      </w:r>
      <w:r w:rsidR="0059062F">
        <w:rPr>
          <w:szCs w:val="24"/>
        </w:rPr>
        <w:t xml:space="preserve">are provided in the Burden Hours workbook. </w:t>
      </w:r>
      <w:r w:rsidR="00E014FE">
        <w:rPr>
          <w:szCs w:val="24"/>
        </w:rPr>
        <w:t xml:space="preserve"> </w:t>
      </w:r>
    </w:p>
    <w:p w:rsidR="0059062F" w:rsidRPr="0059062F" w:rsidP="0059062F" w14:paraId="45A0D668" w14:textId="77777777"/>
    <w:p w:rsidR="00C23FDB" w:rsidRPr="00420DF3" w:rsidP="00990CF1" w14:paraId="72270C83" w14:textId="3EF87295">
      <w:pPr>
        <w:pStyle w:val="Heading2"/>
        <w:jc w:val="center"/>
        <w:rPr>
          <w:rFonts w:ascii="Times New Roman" w:hAnsi="Times New Roman"/>
          <w:sz w:val="24"/>
          <w:szCs w:val="24"/>
          <w:u w:val="none"/>
        </w:rPr>
      </w:pPr>
      <w:r>
        <w:rPr>
          <w:rFonts w:ascii="Times New Roman" w:hAnsi="Times New Roman"/>
          <w:sz w:val="24"/>
          <w:szCs w:val="24"/>
          <w:u w:val="none"/>
        </w:rPr>
        <w:t>R</w:t>
      </w:r>
      <w:r w:rsidRPr="00420DF3" w:rsidR="0077019F">
        <w:rPr>
          <w:rFonts w:ascii="Times New Roman" w:hAnsi="Times New Roman"/>
          <w:sz w:val="24"/>
          <w:szCs w:val="24"/>
          <w:u w:val="none"/>
        </w:rPr>
        <w:t xml:space="preserve">EPORTING REQUIREMENTS – FORMS APPROVED UNDER </w:t>
      </w:r>
      <w:r w:rsidRPr="00420DF3" w:rsidR="00752711">
        <w:rPr>
          <w:rFonts w:ascii="Times New Roman" w:hAnsi="Times New Roman"/>
          <w:sz w:val="24"/>
          <w:szCs w:val="24"/>
          <w:u w:val="none"/>
        </w:rPr>
        <w:t xml:space="preserve">OTHER </w:t>
      </w:r>
      <w:r w:rsidRPr="00420DF3" w:rsidR="0077019F">
        <w:rPr>
          <w:rFonts w:ascii="Times New Roman" w:hAnsi="Times New Roman"/>
          <w:sz w:val="24"/>
          <w:szCs w:val="24"/>
          <w:u w:val="none"/>
        </w:rPr>
        <w:t>OMB CONTROL NUMBER</w:t>
      </w:r>
      <w:r w:rsidRPr="00420DF3" w:rsidR="00752711">
        <w:rPr>
          <w:rFonts w:ascii="Times New Roman" w:hAnsi="Times New Roman"/>
          <w:sz w:val="24"/>
          <w:szCs w:val="24"/>
          <w:u w:val="none"/>
        </w:rPr>
        <w:t>S</w:t>
      </w:r>
    </w:p>
    <w:p w:rsidR="005D3156" w:rsidRPr="00420DF3" w:rsidP="00990CF1" w14:paraId="4CFFA787" w14:textId="3557561E">
      <w:pPr>
        <w:pStyle w:val="Heading2"/>
        <w:jc w:val="center"/>
        <w:rPr>
          <w:rFonts w:ascii="Times New Roman" w:hAnsi="Times New Roman"/>
          <w:b w:val="0"/>
          <w:sz w:val="24"/>
          <w:szCs w:val="24"/>
          <w:u w:val="none"/>
        </w:rPr>
      </w:pPr>
      <w:r w:rsidRPr="00420DF3">
        <w:rPr>
          <w:rFonts w:ascii="Times New Roman" w:hAnsi="Times New Roman"/>
          <w:sz w:val="24"/>
          <w:szCs w:val="24"/>
          <w:u w:val="none"/>
        </w:rPr>
        <w:t>(Items are in order of regulation appearance)</w:t>
      </w:r>
    </w:p>
    <w:p w:rsidR="0077019F" w:rsidP="00990CF1" w14:paraId="06CAC3E5" w14:textId="77777777">
      <w:pPr>
        <w:jc w:val="center"/>
        <w:rPr>
          <w:b/>
          <w:szCs w:val="24"/>
          <w:u w:val="single"/>
        </w:rPr>
      </w:pPr>
    </w:p>
    <w:p w:rsidR="00E53B5B" w:rsidP="00E53B5B" w14:paraId="0B691C5E" w14:textId="77777777">
      <w:pPr>
        <w:rPr>
          <w:b/>
          <w:szCs w:val="24"/>
          <w:u w:val="single"/>
        </w:rPr>
      </w:pPr>
      <w:r>
        <w:rPr>
          <w:b/>
          <w:szCs w:val="24"/>
          <w:u w:val="single"/>
        </w:rPr>
        <w:t>Routine Servicing Actions:</w:t>
      </w:r>
    </w:p>
    <w:p w:rsidR="00E53B5B" w:rsidP="00E53B5B" w14:paraId="5A720728" w14:textId="77777777">
      <w:pPr>
        <w:rPr>
          <w:b/>
          <w:szCs w:val="24"/>
          <w:u w:val="single"/>
        </w:rPr>
      </w:pPr>
    </w:p>
    <w:p w:rsidR="00E53B5B" w:rsidRPr="00F63356" w:rsidP="00E53B5B" w14:paraId="63896E88" w14:textId="77777777">
      <w:pPr>
        <w:rPr>
          <w:u w:val="single"/>
        </w:rPr>
      </w:pPr>
      <w:r>
        <w:rPr>
          <w:u w:val="single"/>
        </w:rPr>
        <w:t xml:space="preserve">Operating Budget </w:t>
      </w:r>
      <w:r w:rsidRPr="0007250D">
        <w:rPr>
          <w:u w:val="single"/>
        </w:rPr>
        <w:t>(</w:t>
      </w:r>
      <w:r w:rsidRPr="00B271A0">
        <w:rPr>
          <w:szCs w:val="24"/>
          <w:u w:val="single"/>
        </w:rPr>
        <w:t>Form RD 442-7</w:t>
      </w:r>
      <w:r>
        <w:rPr>
          <w:szCs w:val="24"/>
          <w:u w:val="single"/>
        </w:rPr>
        <w:t>; OMB no. 0575-0015</w:t>
      </w:r>
      <w:r w:rsidRPr="0007250D">
        <w:rPr>
          <w:u w:val="single"/>
        </w:rPr>
        <w:t>)</w:t>
      </w:r>
    </w:p>
    <w:p w:rsidR="00E53B5B" w:rsidP="00E53B5B" w14:paraId="2A6251EA" w14:textId="77777777">
      <w:pPr>
        <w:spacing w:before="240" w:after="240"/>
        <w:rPr>
          <w:rFonts w:ascii="Segoe UI" w:eastAsia="Segoe UI" w:hAnsi="Segoe UI" w:cs="Segoe UI"/>
          <w:sz w:val="18"/>
          <w:szCs w:val="18"/>
        </w:rPr>
      </w:pPr>
      <w:r w:rsidRPr="1780DA72">
        <w:rPr>
          <w:szCs w:val="24"/>
        </w:rPr>
        <w:t xml:space="preserve">Applicants use the form to project income and expense items and a complete cash flow.  These projections are necessary in determining the source and reliability of the projected income and the adequacy of resources to repay the loan in a timely manner, operate and maintain the facility, and maintain adequate reserves.  Information can be provided on Form RD 442-7 </w:t>
      </w:r>
      <w:r w:rsidRPr="00F63356">
        <w:rPr>
          <w:szCs w:val="24"/>
        </w:rPr>
        <w:t>or similar format can be used</w:t>
      </w:r>
      <w:r>
        <w:rPr>
          <w:szCs w:val="24"/>
        </w:rPr>
        <w:t xml:space="preserve"> (covered under written burden)</w:t>
      </w:r>
      <w:r w:rsidRPr="00F63356">
        <w:rPr>
          <w:szCs w:val="24"/>
        </w:rPr>
        <w:t>.</w:t>
      </w:r>
    </w:p>
    <w:p w:rsidR="00E94082" w:rsidP="00E94082" w14:paraId="0C2E69F7" w14:textId="06EC94C6">
      <w:pPr>
        <w:rPr>
          <w:b/>
          <w:szCs w:val="24"/>
          <w:u w:val="single"/>
        </w:rPr>
      </w:pPr>
      <w:r>
        <w:rPr>
          <w:b/>
          <w:szCs w:val="24"/>
          <w:u w:val="single"/>
        </w:rPr>
        <w:t>Special Servicing Actions:</w:t>
      </w:r>
    </w:p>
    <w:p w:rsidR="00E94082" w:rsidRPr="00420DF3" w:rsidP="00E94082" w14:paraId="455314D7" w14:textId="77777777">
      <w:pPr>
        <w:rPr>
          <w:b/>
          <w:szCs w:val="24"/>
          <w:u w:val="single"/>
        </w:rPr>
      </w:pPr>
    </w:p>
    <w:p w:rsidR="004C77F0" w:rsidRPr="00E94082" w:rsidP="004C77F0" w14:paraId="0B03C0BD" w14:textId="7F414970">
      <w:pPr>
        <w:rPr>
          <w:bCs/>
          <w:szCs w:val="24"/>
          <w:u w:val="single"/>
        </w:rPr>
      </w:pPr>
      <w:r w:rsidRPr="00E94082">
        <w:rPr>
          <w:bCs/>
          <w:szCs w:val="24"/>
          <w:u w:val="single"/>
        </w:rPr>
        <w:t>Community Programs Workout Agreement (Form RD 1951-10</w:t>
      </w:r>
      <w:r w:rsidRPr="00E94082" w:rsidR="000A7A79">
        <w:rPr>
          <w:bCs/>
          <w:szCs w:val="24"/>
          <w:u w:val="single"/>
        </w:rPr>
        <w:t>;</w:t>
      </w:r>
      <w:r w:rsidRPr="00E94082">
        <w:rPr>
          <w:bCs/>
          <w:szCs w:val="24"/>
          <w:u w:val="single"/>
        </w:rPr>
        <w:t xml:space="preserve"> OMB No. 0575-0066)</w:t>
      </w:r>
    </w:p>
    <w:p w:rsidR="004C77F0" w:rsidRPr="00420DF3" w:rsidP="004C77F0" w14:paraId="2A05C9A9" w14:textId="77777777">
      <w:pPr>
        <w:rPr>
          <w:szCs w:val="24"/>
        </w:rPr>
      </w:pPr>
      <w:r w:rsidRPr="00420DF3">
        <w:rPr>
          <w:szCs w:val="24"/>
        </w:rPr>
        <w:t xml:space="preserve">Borrowers unable to bring delinquent accounts current are requested by the Agency to adopt a Workout Agreement.  The Agreement is necessary to develop a plan to eliminate the delinquent amount and provide written documentation of steps to be taken to ensure the agreement is completed as planned.  This form can be used proactively in anticipation of future financial issues to avoid default, which may lead to other advanced servicing actions.  </w:t>
      </w:r>
    </w:p>
    <w:p w:rsidR="004C77F0" w:rsidRPr="00420DF3" w:rsidP="00C23FDB" w14:paraId="3DB334EE" w14:textId="77777777">
      <w:pPr>
        <w:rPr>
          <w:b/>
          <w:szCs w:val="24"/>
          <w:u w:val="single"/>
        </w:rPr>
      </w:pPr>
    </w:p>
    <w:p w:rsidR="005D3156" w:rsidRPr="00E94082" w:rsidP="00990CF1" w14:paraId="7A05A067" w14:textId="577F09AC">
      <w:pPr>
        <w:rPr>
          <w:bCs/>
          <w:szCs w:val="24"/>
          <w:u w:val="single"/>
        </w:rPr>
      </w:pPr>
      <w:r w:rsidRPr="00E94082">
        <w:rPr>
          <w:bCs/>
          <w:szCs w:val="24"/>
          <w:u w:val="single"/>
        </w:rPr>
        <w:t>C</w:t>
      </w:r>
      <w:r w:rsidRPr="00E94082">
        <w:rPr>
          <w:bCs/>
          <w:szCs w:val="24"/>
          <w:u w:val="single"/>
        </w:rPr>
        <w:t>ompliance Review (</w:t>
      </w:r>
      <w:r w:rsidRPr="00E94082">
        <w:rPr>
          <w:bCs/>
          <w:szCs w:val="24"/>
          <w:u w:val="single"/>
        </w:rPr>
        <w:t>Form RD 400-8</w:t>
      </w:r>
      <w:r w:rsidRPr="00E94082" w:rsidR="000A7A79">
        <w:rPr>
          <w:bCs/>
          <w:szCs w:val="24"/>
          <w:u w:val="single"/>
        </w:rPr>
        <w:t>;</w:t>
      </w:r>
      <w:r w:rsidRPr="00E94082">
        <w:rPr>
          <w:bCs/>
          <w:szCs w:val="24"/>
          <w:u w:val="single"/>
        </w:rPr>
        <w:t xml:space="preserve"> OMB No. </w:t>
      </w:r>
      <w:r w:rsidRPr="00E94082" w:rsidR="00E70A11">
        <w:rPr>
          <w:bCs/>
          <w:szCs w:val="24"/>
          <w:u w:val="single"/>
        </w:rPr>
        <w:t>0570-0062</w:t>
      </w:r>
      <w:r w:rsidRPr="00E94082" w:rsidR="0012099F">
        <w:rPr>
          <w:bCs/>
          <w:szCs w:val="24"/>
          <w:u w:val="single"/>
        </w:rPr>
        <w:t>; 0575-0018, 0189</w:t>
      </w:r>
      <w:r w:rsidRPr="00E94082">
        <w:rPr>
          <w:bCs/>
          <w:szCs w:val="24"/>
          <w:u w:val="single"/>
        </w:rPr>
        <w:t>)</w:t>
      </w:r>
    </w:p>
    <w:p w:rsidR="005D3156" w:rsidRPr="00420DF3" w:rsidP="00990CF1" w14:paraId="44E782CF" w14:textId="0334A7E3">
      <w:pPr>
        <w:rPr>
          <w:b/>
          <w:szCs w:val="24"/>
          <w:u w:val="single"/>
        </w:rPr>
      </w:pPr>
      <w:r w:rsidRPr="00420DF3">
        <w:rPr>
          <w:szCs w:val="24"/>
        </w:rPr>
        <w:t xml:space="preserve">In accordance with RD Instruction 1901-E and applicable statutes, a Compliance Review must be completed for each award.  Subsequent reviews are to be completed as outlined.  The purpose of the review is to ensure that there are no inequities in the service being provided.  This also applies to the organization’s composition in addition to the system users.  Form RD 400-8 outlines the applicable questions and topics.  </w:t>
      </w:r>
    </w:p>
    <w:p w:rsidR="005D3156" w:rsidRPr="00420DF3" w:rsidP="00C23FDB" w14:paraId="00920E8D" w14:textId="77777777">
      <w:pPr>
        <w:rPr>
          <w:b/>
          <w:szCs w:val="24"/>
          <w:u w:val="single"/>
        </w:rPr>
      </w:pPr>
    </w:p>
    <w:p w:rsidR="005D3156" w:rsidRPr="00E94082" w:rsidP="00990CF1" w14:paraId="7E44F868" w14:textId="4354C7BF">
      <w:pPr>
        <w:rPr>
          <w:bCs/>
          <w:szCs w:val="24"/>
        </w:rPr>
      </w:pPr>
      <w:r w:rsidRPr="00E94082">
        <w:rPr>
          <w:bCs/>
          <w:szCs w:val="24"/>
          <w:u w:val="single"/>
        </w:rPr>
        <w:t>Authorization Agreement for Preauthorized Payments (</w:t>
      </w:r>
      <w:r w:rsidRPr="00E94082" w:rsidR="00733AA6">
        <w:rPr>
          <w:bCs/>
          <w:szCs w:val="24"/>
          <w:u w:val="single"/>
        </w:rPr>
        <w:t>Form RD 3550-28</w:t>
      </w:r>
      <w:r w:rsidRPr="00E94082" w:rsidR="000A7A79">
        <w:rPr>
          <w:bCs/>
          <w:szCs w:val="24"/>
          <w:u w:val="single"/>
        </w:rPr>
        <w:t>;</w:t>
      </w:r>
      <w:r w:rsidRPr="00E94082" w:rsidR="00733AA6">
        <w:rPr>
          <w:bCs/>
          <w:szCs w:val="24"/>
          <w:u w:val="single"/>
        </w:rPr>
        <w:t xml:space="preserve"> </w:t>
      </w:r>
      <w:r w:rsidRPr="00E94082" w:rsidR="009D3202">
        <w:rPr>
          <w:bCs/>
          <w:szCs w:val="24"/>
          <w:u w:val="single"/>
        </w:rPr>
        <w:t xml:space="preserve">OMB No. </w:t>
      </w:r>
      <w:r w:rsidRPr="00E94082">
        <w:rPr>
          <w:bCs/>
          <w:szCs w:val="24"/>
          <w:u w:val="single"/>
        </w:rPr>
        <w:t>0575-0184</w:t>
      </w:r>
      <w:r w:rsidRPr="00E94082" w:rsidR="00FE5C6D">
        <w:rPr>
          <w:bCs/>
          <w:szCs w:val="24"/>
          <w:u w:val="single"/>
        </w:rPr>
        <w:t>)</w:t>
      </w:r>
    </w:p>
    <w:p w:rsidR="00E00CC2" w:rsidRPr="00420DF3" w:rsidP="00990CF1" w14:paraId="36FAAF09" w14:textId="6DFF400C">
      <w:pPr>
        <w:rPr>
          <w:szCs w:val="24"/>
        </w:rPr>
      </w:pPr>
      <w:r w:rsidRPr="00420DF3">
        <w:rPr>
          <w:szCs w:val="24"/>
        </w:rPr>
        <w:t xml:space="preserve">Payments may be submitted manually or through pre-authorized debits (PAD).  It is the Agency’s stance that PAD be used in all instances, except where it is not technologically feasible.  This has helped reduce instances of delinquency and increase program efficiencies.  This form is required for each separate </w:t>
      </w:r>
      <w:r w:rsidRPr="00420DF3" w:rsidR="00990CF1">
        <w:rPr>
          <w:szCs w:val="24"/>
        </w:rPr>
        <w:t>loan and</w:t>
      </w:r>
      <w:r w:rsidRPr="00420DF3">
        <w:rPr>
          <w:szCs w:val="24"/>
        </w:rPr>
        <w:t xml:space="preserve"> may be cancelled at any time.  The PAD form will be completed and submitted by 566 borrowers at 30 minutes per response.</w:t>
      </w:r>
    </w:p>
    <w:p w:rsidR="00E00CC2" w:rsidRPr="00420DF3" w:rsidP="00C23FDB" w14:paraId="187D1408" w14:textId="77777777">
      <w:pPr>
        <w:rPr>
          <w:b/>
          <w:szCs w:val="24"/>
          <w:u w:val="single"/>
        </w:rPr>
      </w:pPr>
    </w:p>
    <w:p w:rsidR="00E00CC2" w:rsidRPr="00E94082" w:rsidP="00990CF1" w14:paraId="11762630" w14:textId="08066744">
      <w:pPr>
        <w:rPr>
          <w:bCs/>
          <w:szCs w:val="24"/>
          <w:u w:val="single"/>
        </w:rPr>
      </w:pPr>
      <w:r w:rsidRPr="00E94082">
        <w:rPr>
          <w:bCs/>
          <w:szCs w:val="24"/>
          <w:u w:val="single"/>
        </w:rPr>
        <w:t>Balance Sheet</w:t>
      </w:r>
      <w:r w:rsidRPr="00E94082" w:rsidR="0023121C">
        <w:rPr>
          <w:bCs/>
          <w:szCs w:val="24"/>
          <w:u w:val="single"/>
        </w:rPr>
        <w:t xml:space="preserve"> </w:t>
      </w:r>
      <w:r w:rsidRPr="00E94082">
        <w:rPr>
          <w:bCs/>
          <w:szCs w:val="24"/>
          <w:u w:val="single"/>
        </w:rPr>
        <w:t>(</w:t>
      </w:r>
      <w:r w:rsidRPr="00E94082" w:rsidR="003E0E16">
        <w:rPr>
          <w:bCs/>
          <w:szCs w:val="24"/>
          <w:u w:val="single"/>
        </w:rPr>
        <w:t>Form RD 442-3</w:t>
      </w:r>
      <w:r w:rsidRPr="00E94082" w:rsidR="000A7A79">
        <w:rPr>
          <w:bCs/>
          <w:szCs w:val="24"/>
          <w:u w:val="single"/>
        </w:rPr>
        <w:t>;</w:t>
      </w:r>
      <w:r w:rsidRPr="00E94082" w:rsidR="003E0E16">
        <w:rPr>
          <w:bCs/>
          <w:szCs w:val="24"/>
          <w:u w:val="single"/>
        </w:rPr>
        <w:t xml:space="preserve"> </w:t>
      </w:r>
      <w:r w:rsidRPr="00E94082" w:rsidR="0048736E">
        <w:rPr>
          <w:bCs/>
          <w:szCs w:val="24"/>
          <w:u w:val="single"/>
        </w:rPr>
        <w:t xml:space="preserve">OMB No. </w:t>
      </w:r>
      <w:r w:rsidRPr="00E94082">
        <w:rPr>
          <w:bCs/>
          <w:szCs w:val="24"/>
          <w:u w:val="single"/>
        </w:rPr>
        <w:t>0575-0015)</w:t>
      </w:r>
    </w:p>
    <w:p w:rsidR="00E00CC2" w:rsidRPr="00420DF3" w:rsidP="00990CF1" w14:paraId="7CA3CA83" w14:textId="11A165D7">
      <w:pPr>
        <w:rPr>
          <w:szCs w:val="24"/>
        </w:rPr>
      </w:pPr>
      <w:r w:rsidRPr="00420DF3">
        <w:rPr>
          <w:szCs w:val="24"/>
        </w:rPr>
        <w:t xml:space="preserve">A balance sheet is required </w:t>
      </w:r>
      <w:r w:rsidRPr="00420DF3">
        <w:rPr>
          <w:szCs w:val="24"/>
        </w:rPr>
        <w:t>in order for</w:t>
      </w:r>
      <w:r w:rsidRPr="00420DF3">
        <w:rPr>
          <w:szCs w:val="24"/>
        </w:rPr>
        <w:t xml:space="preserve"> the Agency to perform annual financial analysis and/or a thorough graduation review to determine if the borrower has the financial capability to secure financing from commercial sources.  Form 442-2 is used by borrowers that did not have a formal audit completed.  </w:t>
      </w:r>
    </w:p>
    <w:p w:rsidR="00E00CC2" w:rsidRPr="00420DF3" w:rsidP="00C23FDB" w14:paraId="329D03F1" w14:textId="77777777">
      <w:pPr>
        <w:rPr>
          <w:b/>
          <w:szCs w:val="24"/>
          <w:u w:val="single"/>
        </w:rPr>
      </w:pPr>
    </w:p>
    <w:p w:rsidR="0077019F" w:rsidRPr="00E94082" w:rsidP="00990CF1" w14:paraId="4CAD143C" w14:textId="08758CE4">
      <w:pPr>
        <w:rPr>
          <w:bCs/>
          <w:szCs w:val="24"/>
          <w:u w:val="single"/>
        </w:rPr>
      </w:pPr>
      <w:r w:rsidRPr="00E94082">
        <w:rPr>
          <w:bCs/>
          <w:szCs w:val="24"/>
          <w:u w:val="single"/>
        </w:rPr>
        <w:t xml:space="preserve">Application </w:t>
      </w:r>
      <w:r w:rsidRPr="00E94082" w:rsidR="0078515D">
        <w:rPr>
          <w:bCs/>
          <w:szCs w:val="24"/>
          <w:u w:val="single"/>
        </w:rPr>
        <w:t xml:space="preserve">for Partial Release, </w:t>
      </w:r>
      <w:r w:rsidRPr="00E94082">
        <w:rPr>
          <w:bCs/>
          <w:szCs w:val="24"/>
          <w:u w:val="single"/>
        </w:rPr>
        <w:t>Subordinat</w:t>
      </w:r>
      <w:r w:rsidRPr="00E94082" w:rsidR="000339B3">
        <w:rPr>
          <w:bCs/>
          <w:szCs w:val="24"/>
          <w:u w:val="single"/>
        </w:rPr>
        <w:t>ion, or Consent</w:t>
      </w:r>
      <w:r w:rsidRPr="00E94082">
        <w:rPr>
          <w:bCs/>
          <w:szCs w:val="24"/>
          <w:u w:val="single"/>
        </w:rPr>
        <w:t xml:space="preserve"> (</w:t>
      </w:r>
      <w:r w:rsidRPr="00E94082" w:rsidR="00F8460D">
        <w:rPr>
          <w:bCs/>
          <w:szCs w:val="24"/>
          <w:u w:val="single"/>
        </w:rPr>
        <w:t>Form RD 465-1</w:t>
      </w:r>
      <w:r w:rsidRPr="00E94082" w:rsidR="000A7A79">
        <w:rPr>
          <w:bCs/>
          <w:szCs w:val="24"/>
          <w:u w:val="single"/>
        </w:rPr>
        <w:t>;</w:t>
      </w:r>
      <w:r w:rsidRPr="00E94082" w:rsidR="00F8460D">
        <w:rPr>
          <w:bCs/>
          <w:szCs w:val="24"/>
          <w:u w:val="single"/>
        </w:rPr>
        <w:t xml:space="preserve"> OMB No. </w:t>
      </w:r>
      <w:r w:rsidRPr="00E94082" w:rsidR="000339B3">
        <w:rPr>
          <w:bCs/>
          <w:szCs w:val="24"/>
          <w:u w:val="single"/>
        </w:rPr>
        <w:t>0560-0236</w:t>
      </w:r>
      <w:r w:rsidRPr="00E94082">
        <w:rPr>
          <w:bCs/>
          <w:szCs w:val="24"/>
          <w:u w:val="single"/>
        </w:rPr>
        <w:t>)</w:t>
      </w:r>
    </w:p>
    <w:p w:rsidR="0077019F" w:rsidRPr="00420DF3" w:rsidP="00990CF1" w14:paraId="26EE19EA" w14:textId="54F9C0E9">
      <w:pPr>
        <w:rPr>
          <w:szCs w:val="24"/>
        </w:rPr>
      </w:pPr>
      <w:r w:rsidRPr="00420DF3">
        <w:rPr>
          <w:szCs w:val="24"/>
        </w:rPr>
        <w:t xml:space="preserve">Borrowers requesting approval to subordinate RUS debt must submit Form RD 465-1.  The form is necessary </w:t>
      </w:r>
      <w:r w:rsidRPr="00420DF3">
        <w:rPr>
          <w:szCs w:val="24"/>
        </w:rPr>
        <w:t>in order for</w:t>
      </w:r>
      <w:r w:rsidRPr="00420DF3">
        <w:rPr>
          <w:szCs w:val="24"/>
        </w:rPr>
        <w:t xml:space="preserve"> the Agency to approve subordination requests, junior liens, or partial release from the terms of real estate security instruments.  </w:t>
      </w:r>
      <w:r w:rsidRPr="00420DF3" w:rsidR="0023121C">
        <w:rPr>
          <w:szCs w:val="24"/>
        </w:rPr>
        <w:t xml:space="preserve">All information is reviewed and qualified by the Agency.  </w:t>
      </w:r>
    </w:p>
    <w:p w:rsidR="0077019F" w:rsidRPr="00420DF3" w:rsidP="00C23FDB" w14:paraId="1764F0DD" w14:textId="77777777">
      <w:pPr>
        <w:rPr>
          <w:szCs w:val="24"/>
        </w:rPr>
      </w:pPr>
    </w:p>
    <w:p w:rsidR="00791ABB" w:rsidRPr="00E94082" w:rsidP="00990CF1" w14:paraId="1679135F" w14:textId="0FCA7862">
      <w:pPr>
        <w:rPr>
          <w:bCs/>
          <w:szCs w:val="24"/>
          <w:u w:val="single"/>
        </w:rPr>
      </w:pPr>
      <w:r w:rsidRPr="00E94082">
        <w:rPr>
          <w:bCs/>
          <w:szCs w:val="24"/>
          <w:u w:val="single"/>
        </w:rPr>
        <w:t>Assurance Agreement (</w:t>
      </w:r>
      <w:r w:rsidRPr="00E94082" w:rsidR="00AB188E">
        <w:rPr>
          <w:bCs/>
          <w:szCs w:val="24"/>
          <w:u w:val="single"/>
        </w:rPr>
        <w:t>Form RD 400-4</w:t>
      </w:r>
      <w:r w:rsidRPr="00E94082" w:rsidR="003D182A">
        <w:rPr>
          <w:bCs/>
          <w:szCs w:val="24"/>
          <w:u w:val="single"/>
        </w:rPr>
        <w:t>;</w:t>
      </w:r>
      <w:r w:rsidRPr="00E94082" w:rsidR="00AB188E">
        <w:rPr>
          <w:bCs/>
          <w:szCs w:val="24"/>
          <w:u w:val="single"/>
        </w:rPr>
        <w:t xml:space="preserve"> OMB No. </w:t>
      </w:r>
      <w:r w:rsidRPr="00E94082" w:rsidR="00FE5C6D">
        <w:rPr>
          <w:bCs/>
          <w:szCs w:val="24"/>
          <w:u w:val="single"/>
        </w:rPr>
        <w:t>0575-0</w:t>
      </w:r>
      <w:r w:rsidRPr="00E94082" w:rsidR="00D47A90">
        <w:rPr>
          <w:bCs/>
          <w:szCs w:val="24"/>
          <w:u w:val="single"/>
        </w:rPr>
        <w:t>201</w:t>
      </w:r>
      <w:r w:rsidRPr="00E94082">
        <w:rPr>
          <w:bCs/>
          <w:szCs w:val="24"/>
          <w:u w:val="single"/>
        </w:rPr>
        <w:t>)</w:t>
      </w:r>
    </w:p>
    <w:p w:rsidR="00791ABB" w:rsidRPr="00420DF3" w:rsidP="00990CF1" w14:paraId="3DE8E91F" w14:textId="2FC9979C">
      <w:pPr>
        <w:rPr>
          <w:szCs w:val="24"/>
        </w:rPr>
      </w:pPr>
      <w:r w:rsidRPr="00420DF3">
        <w:rPr>
          <w:szCs w:val="24"/>
        </w:rPr>
        <w:t xml:space="preserve">The Assurance Agreement form is executed in instances that borrower purchase or exchange property.  It establishes that the property will be used for similar purposes as the loan or grant was made and that the borrower will comply with civil rights provisions contained in </w:t>
      </w:r>
      <w:hyperlink r:id="rId12" w:history="1">
        <w:r w:rsidRPr="00420DF3">
          <w:rPr>
            <w:rStyle w:val="Hyperlink"/>
            <w:szCs w:val="24"/>
          </w:rPr>
          <w:t xml:space="preserve">7 CFR </w:t>
        </w:r>
        <w:r w:rsidRPr="00420DF3" w:rsidR="00D47A90">
          <w:rPr>
            <w:rStyle w:val="Hyperlink"/>
            <w:szCs w:val="24"/>
          </w:rPr>
          <w:t xml:space="preserve">part </w:t>
        </w:r>
        <w:r w:rsidRPr="00420DF3">
          <w:rPr>
            <w:rStyle w:val="Hyperlink"/>
            <w:szCs w:val="24"/>
          </w:rPr>
          <w:t>1901</w:t>
        </w:r>
      </w:hyperlink>
      <w:r w:rsidRPr="00420DF3">
        <w:rPr>
          <w:szCs w:val="24"/>
        </w:rPr>
        <w:t xml:space="preserve">.  The impact on the borrower is limited to the time required to read and include a </w:t>
      </w:r>
      <w:r w:rsidRPr="00420DF3" w:rsidR="00C85E53">
        <w:rPr>
          <w:szCs w:val="24"/>
        </w:rPr>
        <w:t xml:space="preserve">signature on Form RD 400-4.  </w:t>
      </w:r>
    </w:p>
    <w:p w:rsidR="007F737B" w:rsidRPr="00420DF3" w:rsidP="00990CF1" w14:paraId="273758CF" w14:textId="1156BDDE">
      <w:pPr>
        <w:rPr>
          <w:szCs w:val="24"/>
        </w:rPr>
      </w:pPr>
    </w:p>
    <w:p w:rsidR="007F737B" w:rsidRPr="00E94082" w:rsidP="00990CF1" w14:paraId="75D0CA76" w14:textId="593824D0">
      <w:pPr>
        <w:rPr>
          <w:bCs/>
          <w:szCs w:val="24"/>
          <w:u w:val="single"/>
        </w:rPr>
      </w:pPr>
      <w:r w:rsidRPr="00E94082">
        <w:rPr>
          <w:bCs/>
          <w:szCs w:val="24"/>
          <w:u w:val="single"/>
        </w:rPr>
        <w:t xml:space="preserve">Applicant Certification, Federal Collection Policies for Consumer/Commercial Debts </w:t>
      </w:r>
      <w:r w:rsidRPr="00E94082" w:rsidR="00015F28">
        <w:rPr>
          <w:bCs/>
          <w:szCs w:val="24"/>
          <w:u w:val="single"/>
        </w:rPr>
        <w:t>(RD Form 1910-11</w:t>
      </w:r>
      <w:r w:rsidRPr="00E94082" w:rsidR="003D182A">
        <w:rPr>
          <w:bCs/>
          <w:szCs w:val="24"/>
          <w:u w:val="single"/>
        </w:rPr>
        <w:t>;</w:t>
      </w:r>
      <w:r w:rsidRPr="00E94082" w:rsidR="00015F28">
        <w:rPr>
          <w:bCs/>
          <w:szCs w:val="24"/>
          <w:u w:val="single"/>
        </w:rPr>
        <w:t xml:space="preserve"> OMB No. </w:t>
      </w:r>
      <w:r w:rsidRPr="00E94082" w:rsidR="00875C50">
        <w:rPr>
          <w:bCs/>
          <w:szCs w:val="24"/>
          <w:u w:val="single"/>
        </w:rPr>
        <w:t>0570-0062)</w:t>
      </w:r>
    </w:p>
    <w:p w:rsidR="007F737B" w:rsidRPr="00420DF3" w:rsidP="00990CF1" w14:paraId="65F3FAAA" w14:textId="59E935B9">
      <w:pPr>
        <w:rPr>
          <w:szCs w:val="24"/>
        </w:rPr>
      </w:pPr>
      <w:r w:rsidRPr="00420DF3">
        <w:rPr>
          <w:szCs w:val="24"/>
        </w:rPr>
        <w:t xml:space="preserve">This form is completed by all borrowers who are seeking to complete a transfer and assumption to an eligible borrower.  This form outlines the Agency’s right to verify and, subsequently, report any form of monetary or non-monetary default.  It lists various actions that may be taken by the Agency </w:t>
      </w:r>
      <w:r w:rsidRPr="00420DF3">
        <w:rPr>
          <w:szCs w:val="24"/>
        </w:rPr>
        <w:t>in an attempt to</w:t>
      </w:r>
      <w:r w:rsidRPr="00420DF3">
        <w:rPr>
          <w:szCs w:val="24"/>
        </w:rPr>
        <w:t xml:space="preserve"> remedy the issue.  </w:t>
      </w:r>
    </w:p>
    <w:p w:rsidR="00791ABB" w:rsidRPr="00420DF3" w:rsidP="00C23FDB" w14:paraId="2B441A49" w14:textId="77777777">
      <w:pPr>
        <w:rPr>
          <w:b/>
          <w:szCs w:val="24"/>
          <w:u w:val="single"/>
        </w:rPr>
      </w:pPr>
    </w:p>
    <w:p w:rsidR="00497D48" w:rsidRPr="00E94082" w:rsidP="00990CF1" w14:paraId="6EB13C0E" w14:textId="56269F42">
      <w:pPr>
        <w:pStyle w:val="BodyText"/>
        <w:spacing w:after="0"/>
        <w:rPr>
          <w:bCs/>
          <w:szCs w:val="24"/>
          <w:u w:val="single"/>
        </w:rPr>
      </w:pPr>
      <w:r w:rsidRPr="00E94082">
        <w:rPr>
          <w:bCs/>
          <w:szCs w:val="24"/>
          <w:u w:val="single"/>
        </w:rPr>
        <w:t>Application for Federal Assistance (</w:t>
      </w:r>
      <w:r w:rsidRPr="00E94082" w:rsidR="002B4E7F">
        <w:rPr>
          <w:bCs/>
          <w:szCs w:val="24"/>
          <w:u w:val="single"/>
        </w:rPr>
        <w:t>Form SF- 424</w:t>
      </w:r>
      <w:r w:rsidRPr="00E94082" w:rsidR="003D182A">
        <w:rPr>
          <w:bCs/>
          <w:szCs w:val="24"/>
          <w:u w:val="single"/>
        </w:rPr>
        <w:t>;</w:t>
      </w:r>
      <w:r w:rsidRPr="00E94082" w:rsidR="002B4E7F">
        <w:rPr>
          <w:bCs/>
          <w:szCs w:val="24"/>
          <w:u w:val="single"/>
        </w:rPr>
        <w:t xml:space="preserve"> OMB No. </w:t>
      </w:r>
      <w:r w:rsidRPr="00E94082">
        <w:rPr>
          <w:bCs/>
          <w:szCs w:val="24"/>
          <w:u w:val="single"/>
        </w:rPr>
        <w:t>4040-0004)</w:t>
      </w:r>
    </w:p>
    <w:p w:rsidR="00497D48" w:rsidRPr="00420DF3" w:rsidP="00990CF1" w14:paraId="2059E79D" w14:textId="1AD0E7FF">
      <w:pPr>
        <w:pStyle w:val="BodyText"/>
        <w:spacing w:after="0"/>
        <w:rPr>
          <w:szCs w:val="24"/>
        </w:rPr>
      </w:pPr>
      <w:r w:rsidRPr="00420DF3">
        <w:rPr>
          <w:szCs w:val="24"/>
        </w:rPr>
        <w:t xml:space="preserve">Applicants use this form as a required cover sheet for applications submitted for </w:t>
      </w:r>
      <w:r w:rsidRPr="00420DF3" w:rsidR="00E00E47">
        <w:rPr>
          <w:szCs w:val="24"/>
        </w:rPr>
        <w:t>loans and</w:t>
      </w:r>
      <w:r w:rsidRPr="00420DF3">
        <w:rPr>
          <w:szCs w:val="24"/>
        </w:rPr>
        <w:t xml:space="preserve"> grants.  The application is an official form required for all Federal grants and requests basic information about the applicant and the proposed project.  This form is submitted </w:t>
      </w:r>
      <w:r w:rsidRPr="00420DF3" w:rsidR="005C1D53">
        <w:rPr>
          <w:szCs w:val="24"/>
        </w:rPr>
        <w:t xml:space="preserve">when </w:t>
      </w:r>
      <w:r w:rsidRPr="00420DF3" w:rsidR="00F11B75">
        <w:rPr>
          <w:szCs w:val="24"/>
        </w:rPr>
        <w:t xml:space="preserve">processing certain servicing actions. </w:t>
      </w:r>
    </w:p>
    <w:p w:rsidR="00497D48" w:rsidRPr="00420DF3" w:rsidP="00990CF1" w14:paraId="341735B2" w14:textId="77777777">
      <w:pPr>
        <w:pStyle w:val="BodyText"/>
        <w:spacing w:after="0"/>
        <w:rPr>
          <w:snapToGrid w:val="0"/>
          <w:szCs w:val="24"/>
          <w:u w:val="single"/>
        </w:rPr>
      </w:pPr>
    </w:p>
    <w:p w:rsidR="00497D48" w:rsidRPr="00E94082" w:rsidP="00990CF1" w14:paraId="7973C853" w14:textId="1854E768">
      <w:pPr>
        <w:pStyle w:val="BodyText"/>
        <w:spacing w:after="0"/>
        <w:rPr>
          <w:bCs/>
          <w:snapToGrid w:val="0"/>
          <w:szCs w:val="24"/>
          <w:u w:val="single"/>
        </w:rPr>
      </w:pPr>
      <w:r w:rsidRPr="00E94082">
        <w:rPr>
          <w:bCs/>
          <w:snapToGrid w:val="0"/>
          <w:szCs w:val="24"/>
          <w:u w:val="single"/>
        </w:rPr>
        <w:t>Budget Information-</w:t>
      </w:r>
      <w:r w:rsidRPr="00E94082" w:rsidR="00FE5C6D">
        <w:rPr>
          <w:bCs/>
          <w:snapToGrid w:val="0"/>
          <w:szCs w:val="24"/>
          <w:u w:val="single"/>
        </w:rPr>
        <w:t xml:space="preserve"> Non-</w:t>
      </w:r>
      <w:r w:rsidRPr="00E94082">
        <w:rPr>
          <w:bCs/>
          <w:snapToGrid w:val="0"/>
          <w:szCs w:val="24"/>
          <w:u w:val="single"/>
        </w:rPr>
        <w:t>Construction Programs</w:t>
      </w:r>
      <w:r w:rsidRPr="00E94082" w:rsidR="00FE5C6D">
        <w:rPr>
          <w:bCs/>
          <w:snapToGrid w:val="0"/>
          <w:szCs w:val="24"/>
          <w:u w:val="single"/>
        </w:rPr>
        <w:t xml:space="preserve"> (</w:t>
      </w:r>
      <w:r w:rsidRPr="00E94082" w:rsidR="00C32737">
        <w:rPr>
          <w:bCs/>
          <w:snapToGrid w:val="0"/>
          <w:szCs w:val="24"/>
          <w:u w:val="single"/>
        </w:rPr>
        <w:t>Form SF-424-A</w:t>
      </w:r>
      <w:r w:rsidRPr="00E94082" w:rsidR="003D182A">
        <w:rPr>
          <w:bCs/>
          <w:snapToGrid w:val="0"/>
          <w:szCs w:val="24"/>
          <w:u w:val="single"/>
        </w:rPr>
        <w:t>;</w:t>
      </w:r>
      <w:r w:rsidRPr="00E94082" w:rsidR="00C32737">
        <w:rPr>
          <w:bCs/>
          <w:snapToGrid w:val="0"/>
          <w:szCs w:val="24"/>
          <w:u w:val="single"/>
        </w:rPr>
        <w:t xml:space="preserve"> OMB No. </w:t>
      </w:r>
      <w:r w:rsidRPr="00E94082" w:rsidR="00FE5C6D">
        <w:rPr>
          <w:bCs/>
          <w:snapToGrid w:val="0"/>
          <w:szCs w:val="24"/>
          <w:u w:val="single"/>
        </w:rPr>
        <w:t>4040-0006</w:t>
      </w:r>
      <w:r w:rsidRPr="00E94082">
        <w:rPr>
          <w:bCs/>
          <w:snapToGrid w:val="0"/>
          <w:szCs w:val="24"/>
          <w:u w:val="single"/>
        </w:rPr>
        <w:t>)</w:t>
      </w:r>
    </w:p>
    <w:p w:rsidR="00497D48" w:rsidRPr="00420DF3" w:rsidP="00990CF1" w14:paraId="69D9101C" w14:textId="32898B07">
      <w:pPr>
        <w:pStyle w:val="BodyText"/>
        <w:spacing w:after="0"/>
        <w:rPr>
          <w:szCs w:val="24"/>
        </w:rPr>
      </w:pPr>
      <w:r w:rsidRPr="00420DF3">
        <w:rPr>
          <w:snapToGrid w:val="0"/>
          <w:szCs w:val="24"/>
        </w:rPr>
        <w:t xml:space="preserve">Applicants project costs and expenses for the project.  </w:t>
      </w:r>
      <w:r w:rsidRPr="00420DF3" w:rsidR="00FE5C6D">
        <w:rPr>
          <w:snapToGrid w:val="0"/>
          <w:szCs w:val="24"/>
        </w:rPr>
        <w:t xml:space="preserve">As this application would be filed under advanced servicing, there will be no construction involved.  Therefore, Attachment A, Non-Construction Programs would be used, as opposed to Attachment C, Construction Programs.  </w:t>
      </w:r>
      <w:r w:rsidRPr="00420DF3">
        <w:rPr>
          <w:snapToGrid w:val="0"/>
          <w:szCs w:val="24"/>
        </w:rPr>
        <w:t xml:space="preserve">The form also provides information on matching funds.  </w:t>
      </w:r>
    </w:p>
    <w:p w:rsidR="00497D48" w:rsidRPr="00420DF3" w:rsidP="00990CF1" w14:paraId="474BFB08" w14:textId="77777777">
      <w:pPr>
        <w:pStyle w:val="BodyText"/>
        <w:spacing w:after="0"/>
        <w:rPr>
          <w:snapToGrid w:val="0"/>
          <w:szCs w:val="24"/>
          <w:u w:val="single"/>
        </w:rPr>
      </w:pPr>
    </w:p>
    <w:p w:rsidR="007A7429" w:rsidRPr="00E94082" w:rsidP="00990CF1" w14:paraId="7BE7CCE3" w14:textId="36A4F2A1">
      <w:pPr>
        <w:rPr>
          <w:bCs/>
          <w:szCs w:val="24"/>
          <w:u w:val="single"/>
        </w:rPr>
      </w:pPr>
      <w:r w:rsidRPr="00E94082">
        <w:rPr>
          <w:bCs/>
          <w:szCs w:val="24"/>
          <w:u w:val="single"/>
        </w:rPr>
        <w:t>Community Programs Assumption Agreement (</w:t>
      </w:r>
      <w:r w:rsidRPr="00E94082" w:rsidR="006A0617">
        <w:rPr>
          <w:bCs/>
          <w:szCs w:val="24"/>
          <w:u w:val="single"/>
        </w:rPr>
        <w:t>Form RD 1951-15</w:t>
      </w:r>
      <w:r w:rsidRPr="00E94082" w:rsidR="003D182A">
        <w:rPr>
          <w:bCs/>
          <w:szCs w:val="24"/>
          <w:u w:val="single"/>
        </w:rPr>
        <w:t>;</w:t>
      </w:r>
      <w:r w:rsidRPr="00E94082" w:rsidR="006A0617">
        <w:rPr>
          <w:bCs/>
          <w:szCs w:val="24"/>
          <w:u w:val="single"/>
        </w:rPr>
        <w:t xml:space="preserve"> </w:t>
      </w:r>
      <w:r w:rsidRPr="00E94082" w:rsidR="00117A6C">
        <w:rPr>
          <w:bCs/>
          <w:szCs w:val="24"/>
          <w:u w:val="single"/>
        </w:rPr>
        <w:t xml:space="preserve">OMB No. </w:t>
      </w:r>
      <w:r w:rsidRPr="00E94082">
        <w:rPr>
          <w:bCs/>
          <w:szCs w:val="24"/>
          <w:u w:val="single"/>
        </w:rPr>
        <w:t>575-0066)</w:t>
      </w:r>
    </w:p>
    <w:p w:rsidR="007A7429" w:rsidRPr="00420DF3" w:rsidP="00990CF1" w14:paraId="06AC2A7D" w14:textId="70FCDD48">
      <w:pPr>
        <w:rPr>
          <w:szCs w:val="24"/>
        </w:rPr>
      </w:pPr>
      <w:r w:rsidRPr="00420DF3">
        <w:rPr>
          <w:szCs w:val="24"/>
        </w:rPr>
        <w:t xml:space="preserve">The Assumption Agreement is used to affect the transfer of Agency loans to a different entity and the form establishes the effective date of the transfer.  Borrowers must sign the assumption agreement to finalize a transfer and assumption of Agency debt.  </w:t>
      </w:r>
    </w:p>
    <w:p w:rsidR="007A7429" w:rsidRPr="00420DF3" w:rsidP="00C23FDB" w14:paraId="15E6B7EF" w14:textId="77777777">
      <w:pPr>
        <w:rPr>
          <w:szCs w:val="24"/>
        </w:rPr>
      </w:pPr>
    </w:p>
    <w:p w:rsidR="007A7429" w:rsidRPr="00E94082" w:rsidP="00990CF1" w14:paraId="4F2AF9FB" w14:textId="44196E97">
      <w:pPr>
        <w:rPr>
          <w:bCs/>
          <w:szCs w:val="24"/>
          <w:u w:val="single"/>
        </w:rPr>
      </w:pPr>
      <w:r w:rsidRPr="00E94082">
        <w:rPr>
          <w:bCs/>
          <w:szCs w:val="24"/>
          <w:u w:val="single"/>
        </w:rPr>
        <w:t>Preliminary Title Opinion (</w:t>
      </w:r>
      <w:r w:rsidRPr="00E94082" w:rsidR="00EF49B0">
        <w:rPr>
          <w:bCs/>
          <w:szCs w:val="24"/>
          <w:u w:val="single"/>
        </w:rPr>
        <w:t>Form RD 1927-9</w:t>
      </w:r>
      <w:r w:rsidRPr="00E94082" w:rsidR="003D182A">
        <w:rPr>
          <w:bCs/>
          <w:szCs w:val="24"/>
          <w:u w:val="single"/>
        </w:rPr>
        <w:t>;</w:t>
      </w:r>
      <w:r w:rsidRPr="00E94082" w:rsidR="00EF49B0">
        <w:rPr>
          <w:bCs/>
          <w:szCs w:val="24"/>
          <w:u w:val="single"/>
        </w:rPr>
        <w:t xml:space="preserve"> OMB No. </w:t>
      </w:r>
      <w:r w:rsidRPr="00E94082">
        <w:rPr>
          <w:bCs/>
          <w:szCs w:val="24"/>
          <w:u w:val="single"/>
        </w:rPr>
        <w:t>0575-0147</w:t>
      </w:r>
      <w:r w:rsidRPr="00E94082" w:rsidR="00B37DF5">
        <w:rPr>
          <w:bCs/>
          <w:szCs w:val="24"/>
          <w:u w:val="single"/>
        </w:rPr>
        <w:t>, 0189</w:t>
      </w:r>
      <w:r w:rsidRPr="00E94082">
        <w:rPr>
          <w:bCs/>
          <w:szCs w:val="24"/>
          <w:u w:val="single"/>
        </w:rPr>
        <w:t>)</w:t>
      </w:r>
      <w:r w:rsidRPr="00E94082">
        <w:rPr>
          <w:bCs/>
          <w:szCs w:val="24"/>
        </w:rPr>
        <w:t xml:space="preserve">  </w:t>
      </w:r>
    </w:p>
    <w:p w:rsidR="007A7429" w:rsidRPr="00420DF3" w:rsidP="00990CF1" w14:paraId="3EC4E7D4" w14:textId="1EB47591">
      <w:pPr>
        <w:suppressAutoHyphens/>
        <w:rPr>
          <w:szCs w:val="24"/>
        </w:rPr>
      </w:pPr>
      <w:r w:rsidRPr="00420DF3">
        <w:rPr>
          <w:szCs w:val="24"/>
        </w:rPr>
        <w:t xml:space="preserve">Applicants' attorneys use this form to reflect title to real property owned or to be purchased.  This form is required for any transaction that deals with the sale or exchange of property.  The form is reviewed by the Agency to ensure that, among other things, there are no right-of-way or ownership issues </w:t>
      </w:r>
    </w:p>
    <w:p w:rsidR="007A7429" w:rsidRPr="00420DF3" w:rsidP="00C23FDB" w14:paraId="22FE7B19" w14:textId="77777777">
      <w:pPr>
        <w:rPr>
          <w:b/>
          <w:szCs w:val="24"/>
          <w:u w:val="single"/>
        </w:rPr>
      </w:pPr>
    </w:p>
    <w:p w:rsidR="0077019F" w:rsidRPr="00E94082" w:rsidP="00990CF1" w14:paraId="17C521B6" w14:textId="7A1DFEB6">
      <w:pPr>
        <w:rPr>
          <w:bCs/>
          <w:szCs w:val="24"/>
          <w:u w:val="single"/>
        </w:rPr>
      </w:pPr>
      <w:r w:rsidRPr="00E94082">
        <w:rPr>
          <w:bCs/>
          <w:szCs w:val="24"/>
          <w:u w:val="single"/>
        </w:rPr>
        <w:t>Operating Budget (</w:t>
      </w:r>
      <w:r w:rsidRPr="00E94082" w:rsidR="00712D4A">
        <w:rPr>
          <w:bCs/>
          <w:szCs w:val="24"/>
          <w:u w:val="single"/>
        </w:rPr>
        <w:t>Form RD 442-7</w:t>
      </w:r>
      <w:r w:rsidRPr="00E94082" w:rsidR="003D182A">
        <w:rPr>
          <w:bCs/>
          <w:szCs w:val="24"/>
          <w:u w:val="single"/>
        </w:rPr>
        <w:t>;</w:t>
      </w:r>
      <w:r w:rsidRPr="00E94082" w:rsidR="00712D4A">
        <w:rPr>
          <w:bCs/>
          <w:szCs w:val="24"/>
          <w:u w:val="single"/>
        </w:rPr>
        <w:t xml:space="preserve"> OMB No. </w:t>
      </w:r>
      <w:r w:rsidRPr="00E94082">
        <w:rPr>
          <w:bCs/>
          <w:szCs w:val="24"/>
          <w:u w:val="single"/>
        </w:rPr>
        <w:t>0575-0015)</w:t>
      </w:r>
    </w:p>
    <w:p w:rsidR="0077019F" w:rsidRPr="00420DF3" w:rsidP="00990CF1" w14:paraId="00AAFC5E" w14:textId="6819ED0B">
      <w:pPr>
        <w:rPr>
          <w:szCs w:val="24"/>
        </w:rPr>
      </w:pPr>
      <w:r w:rsidRPr="00420DF3">
        <w:rPr>
          <w:szCs w:val="24"/>
        </w:rPr>
        <w:t xml:space="preserve">Borrowers requesting parity, for projects where construction is involved, will submit </w:t>
      </w:r>
      <w:r w:rsidRPr="00420DF3" w:rsidR="007A7429">
        <w:rPr>
          <w:szCs w:val="24"/>
        </w:rPr>
        <w:t>an Operating Budget with the request</w:t>
      </w:r>
      <w:r w:rsidRPr="00420DF3">
        <w:rPr>
          <w:szCs w:val="24"/>
        </w:rPr>
        <w:t xml:space="preserve">.  </w:t>
      </w:r>
      <w:r w:rsidRPr="00420DF3" w:rsidR="007A7429">
        <w:rPr>
          <w:szCs w:val="24"/>
        </w:rPr>
        <w:t xml:space="preserve">The Agency reviews the form to ensure that there are no financial, or other barriers, which will affect the Agency’s position.  </w:t>
      </w:r>
    </w:p>
    <w:p w:rsidR="0077019F" w:rsidRPr="00420DF3" w:rsidP="0077019F" w14:paraId="4545B251" w14:textId="72B67C5D">
      <w:pPr>
        <w:rPr>
          <w:szCs w:val="24"/>
        </w:rPr>
      </w:pPr>
    </w:p>
    <w:p w:rsidR="0077019F" w:rsidRPr="00420DF3" w:rsidP="00ED3162" w14:paraId="1DD6AB03" w14:textId="77777777">
      <w:pPr>
        <w:numPr>
          <w:ilvl w:val="0"/>
          <w:numId w:val="2"/>
        </w:numPr>
        <w:tabs>
          <w:tab w:val="clear" w:pos="810"/>
        </w:tabs>
        <w:ind w:left="360" w:hanging="360"/>
        <w:rPr>
          <w:szCs w:val="24"/>
        </w:rPr>
      </w:pPr>
      <w:r w:rsidRPr="00420DF3">
        <w:rPr>
          <w:b/>
          <w:szCs w:val="24"/>
          <w:u w:val="single"/>
        </w:rPr>
        <w:t>Describe whether and to what extent, the collection of information involves the use of</w:t>
      </w:r>
    </w:p>
    <w:p w:rsidR="0077019F" w:rsidRPr="00420DF3" w:rsidP="0077019F" w14:paraId="4F6B66E8" w14:textId="77777777">
      <w:pPr>
        <w:rPr>
          <w:szCs w:val="24"/>
        </w:rPr>
      </w:pPr>
      <w:r w:rsidRPr="00420DF3">
        <w:rPr>
          <w:b/>
          <w:szCs w:val="24"/>
          <w:u w:val="single"/>
        </w:rPr>
        <w:t>automated, electronic, mechanical, or other technological collection techniques or other forms of information technology, e.g. permitting electronic submission of responses, and the basis for the decision for adopting this means of collection.</w:t>
      </w:r>
    </w:p>
    <w:p w:rsidR="0077019F" w:rsidRPr="00420DF3" w:rsidP="0077019F" w14:paraId="6657C3CC" w14:textId="77777777">
      <w:pPr>
        <w:rPr>
          <w:szCs w:val="24"/>
        </w:rPr>
      </w:pPr>
    </w:p>
    <w:p w:rsidR="0077019F" w:rsidRPr="00420DF3" w:rsidP="0077019F" w14:paraId="4FFF4A11" w14:textId="2DDE36A6">
      <w:pPr>
        <w:rPr>
          <w:szCs w:val="24"/>
        </w:rPr>
      </w:pPr>
      <w:r w:rsidRPr="00420DF3">
        <w:rPr>
          <w:szCs w:val="24"/>
        </w:rPr>
        <w:t xml:space="preserve">RUS is committed to complying with the E-Government Act, to promote the use of the Internet and other information technologies to provide increased opportunities for citizen access to Government information and services, and for other purposes. The agency encourages applicants to submit material electronically and the </w:t>
      </w:r>
      <w:r w:rsidRPr="00420DF3" w:rsidR="00F127AE">
        <w:rPr>
          <w:szCs w:val="24"/>
        </w:rPr>
        <w:t xml:space="preserve">Agency issued </w:t>
      </w:r>
      <w:r w:rsidRPr="00420DF3">
        <w:rPr>
          <w:szCs w:val="24"/>
        </w:rPr>
        <w:t xml:space="preserve">forms associated with this collection are fillable and printable on the USDA </w:t>
      </w:r>
      <w:r w:rsidRPr="00420DF3">
        <w:rPr>
          <w:szCs w:val="24"/>
        </w:rPr>
        <w:t>eForms</w:t>
      </w:r>
      <w:r w:rsidRPr="00420DF3">
        <w:rPr>
          <w:szCs w:val="24"/>
        </w:rPr>
        <w:t xml:space="preserve"> </w:t>
      </w:r>
      <w:hyperlink r:id="rId14" w:history="1">
        <w:r w:rsidRPr="00420DF3">
          <w:rPr>
            <w:rStyle w:val="Hyperlink"/>
            <w:szCs w:val="24"/>
          </w:rPr>
          <w:t>website</w:t>
        </w:r>
      </w:hyperlink>
      <w:r w:rsidRPr="00420DF3">
        <w:rPr>
          <w:szCs w:val="24"/>
        </w:rPr>
        <w:t xml:space="preserve">.  </w:t>
      </w:r>
      <w:hyperlink r:id="rId8" w:history="1">
        <w:r w:rsidRPr="00420DF3">
          <w:rPr>
            <w:rStyle w:val="Hyperlink"/>
            <w:szCs w:val="24"/>
          </w:rPr>
          <w:t xml:space="preserve">7 CFR </w:t>
        </w:r>
        <w:r w:rsidRPr="00420DF3" w:rsidR="000B2BFA">
          <w:rPr>
            <w:rStyle w:val="Hyperlink"/>
            <w:szCs w:val="24"/>
          </w:rPr>
          <w:t xml:space="preserve">part </w:t>
        </w:r>
        <w:r w:rsidRPr="00420DF3">
          <w:rPr>
            <w:rStyle w:val="Hyperlink"/>
            <w:szCs w:val="24"/>
          </w:rPr>
          <w:t>1782</w:t>
        </w:r>
      </w:hyperlink>
      <w:r w:rsidRPr="00420DF3">
        <w:rPr>
          <w:szCs w:val="24"/>
        </w:rPr>
        <w:t xml:space="preserve"> requires borrowers to submit information and does not exclude electronic transmission</w:t>
      </w:r>
      <w:r w:rsidRPr="00420DF3" w:rsidR="00F127AE">
        <w:rPr>
          <w:szCs w:val="24"/>
        </w:rPr>
        <w:t>, such as electronic mail</w:t>
      </w:r>
      <w:r w:rsidRPr="00420DF3">
        <w:rPr>
          <w:szCs w:val="24"/>
        </w:rPr>
        <w:t xml:space="preserve">. </w:t>
      </w:r>
      <w:r w:rsidRPr="00420DF3" w:rsidR="00F127AE">
        <w:rPr>
          <w:szCs w:val="24"/>
        </w:rPr>
        <w:t xml:space="preserve"> </w:t>
      </w:r>
      <w:r w:rsidRPr="00420DF3">
        <w:rPr>
          <w:szCs w:val="24"/>
        </w:rPr>
        <w:t>Borrower request and information can be accepted electronically.</w:t>
      </w:r>
    </w:p>
    <w:p w:rsidR="00F127AE" w:rsidRPr="00420DF3" w:rsidP="0077019F" w14:paraId="0FC949AB" w14:textId="77777777">
      <w:pPr>
        <w:rPr>
          <w:szCs w:val="24"/>
        </w:rPr>
      </w:pPr>
    </w:p>
    <w:p w:rsidR="00F127AE" w:rsidRPr="00420DF3" w:rsidP="0077019F" w14:paraId="381BD048" w14:textId="34B2CF46">
      <w:pPr>
        <w:rPr>
          <w:szCs w:val="24"/>
        </w:rPr>
      </w:pPr>
      <w:r w:rsidRPr="00420DF3">
        <w:rPr>
          <w:szCs w:val="24"/>
        </w:rPr>
        <w:t xml:space="preserve">There are ongoing efforts to digitize the Agency’s portfolio.  The Agency’s processing software </w:t>
      </w:r>
      <w:r w:rsidRPr="00420DF3">
        <w:rPr>
          <w:szCs w:val="24"/>
        </w:rPr>
        <w:t>is able to</w:t>
      </w:r>
      <w:r w:rsidRPr="00420DF3">
        <w:rPr>
          <w:szCs w:val="24"/>
        </w:rPr>
        <w:t xml:space="preserve"> store digital copies of the items referenced herein; however, there currently is no standardized electronic platform for the borrowers to submit the material.  </w:t>
      </w:r>
    </w:p>
    <w:p w:rsidR="0077019F" w:rsidRPr="00420DF3" w:rsidP="0077019F" w14:paraId="1E12259D" w14:textId="77777777">
      <w:pPr>
        <w:rPr>
          <w:szCs w:val="24"/>
        </w:rPr>
      </w:pPr>
      <w:r w:rsidRPr="00420DF3">
        <w:rPr>
          <w:szCs w:val="24"/>
        </w:rPr>
        <w:t xml:space="preserve">  </w:t>
      </w:r>
    </w:p>
    <w:p w:rsidR="0077019F" w:rsidRPr="00420DF3" w:rsidP="00180981" w14:paraId="73F43814" w14:textId="77777777">
      <w:pPr>
        <w:numPr>
          <w:ilvl w:val="0"/>
          <w:numId w:val="2"/>
        </w:numPr>
        <w:tabs>
          <w:tab w:val="clear" w:pos="810"/>
        </w:tabs>
        <w:ind w:left="360" w:hanging="360"/>
        <w:rPr>
          <w:szCs w:val="24"/>
        </w:rPr>
      </w:pPr>
      <w:r w:rsidRPr="00420DF3">
        <w:rPr>
          <w:b/>
          <w:szCs w:val="24"/>
          <w:u w:val="single"/>
        </w:rPr>
        <w:t>Describe efforts to identify duplication.  Show specifically why any similar information</w:t>
      </w:r>
    </w:p>
    <w:p w:rsidR="0077019F" w:rsidRPr="00420DF3" w:rsidP="0077019F" w14:paraId="7B1850A5" w14:textId="77777777">
      <w:pPr>
        <w:rPr>
          <w:szCs w:val="24"/>
        </w:rPr>
      </w:pPr>
      <w:r w:rsidRPr="00420DF3">
        <w:rPr>
          <w:b/>
          <w:szCs w:val="24"/>
          <w:u w:val="single"/>
        </w:rPr>
        <w:t>already available cannot be used or modified for use for the purposes described in Item 2 above.</w:t>
      </w:r>
    </w:p>
    <w:p w:rsidR="0077019F" w:rsidRPr="00420DF3" w:rsidP="0077019F" w14:paraId="6EDAD408" w14:textId="77777777">
      <w:pPr>
        <w:rPr>
          <w:szCs w:val="24"/>
        </w:rPr>
      </w:pPr>
    </w:p>
    <w:p w:rsidR="0077019F" w:rsidRPr="00420DF3" w:rsidP="0077019F" w14:paraId="5C052E1E" w14:textId="77777777">
      <w:pPr>
        <w:rPr>
          <w:szCs w:val="24"/>
        </w:rPr>
      </w:pPr>
      <w:r w:rsidRPr="00420DF3">
        <w:rPr>
          <w:szCs w:val="24"/>
        </w:rPr>
        <w:t xml:space="preserve">The information required to determine eligibility for various servicing options is not captured on other forms and is specific to each borrower.  Each form required is unique to that </w:t>
      </w:r>
      <w:r w:rsidRPr="00420DF3">
        <w:rPr>
          <w:szCs w:val="24"/>
        </w:rPr>
        <w:t>particular servicing</w:t>
      </w:r>
      <w:r w:rsidRPr="00420DF3">
        <w:rPr>
          <w:szCs w:val="24"/>
        </w:rPr>
        <w:t xml:space="preserve"> benefit.  To combine these forms would only serve to confuse the borrower since each </w:t>
      </w:r>
      <w:r w:rsidRPr="00420DF3" w:rsidR="008D63F8">
        <w:rPr>
          <w:szCs w:val="24"/>
        </w:rPr>
        <w:t>borrower</w:t>
      </w:r>
      <w:r w:rsidRPr="00420DF3">
        <w:rPr>
          <w:szCs w:val="24"/>
        </w:rPr>
        <w:t xml:space="preserve"> has certain responsibilities to be carried out </w:t>
      </w:r>
      <w:r w:rsidRPr="00420DF3" w:rsidR="008D63F8">
        <w:rPr>
          <w:szCs w:val="24"/>
        </w:rPr>
        <w:t>pertaining to the proposed action</w:t>
      </w:r>
      <w:r w:rsidRPr="00420DF3">
        <w:rPr>
          <w:szCs w:val="24"/>
        </w:rPr>
        <w:t xml:space="preserve">.  Therefore, no duplication exists.  The use of </w:t>
      </w:r>
      <w:r w:rsidRPr="00420DF3" w:rsidR="008D63F8">
        <w:rPr>
          <w:szCs w:val="24"/>
        </w:rPr>
        <w:t>certain Agency forms is negotiable;</w:t>
      </w:r>
      <w:r w:rsidRPr="00420DF3">
        <w:rPr>
          <w:szCs w:val="24"/>
        </w:rPr>
        <w:t xml:space="preserve"> however, </w:t>
      </w:r>
      <w:r w:rsidRPr="00420DF3" w:rsidR="008D63F8">
        <w:rPr>
          <w:szCs w:val="24"/>
        </w:rPr>
        <w:t>the borrower must</w:t>
      </w:r>
      <w:r w:rsidRPr="00420DF3">
        <w:rPr>
          <w:szCs w:val="24"/>
        </w:rPr>
        <w:t xml:space="preserve"> submit </w:t>
      </w:r>
      <w:r w:rsidRPr="00420DF3" w:rsidR="008D63F8">
        <w:rPr>
          <w:szCs w:val="24"/>
        </w:rPr>
        <w:t xml:space="preserve">all solicited </w:t>
      </w:r>
      <w:r w:rsidRPr="00420DF3">
        <w:rPr>
          <w:szCs w:val="24"/>
        </w:rPr>
        <w:t>information required</w:t>
      </w:r>
      <w:r w:rsidRPr="00420DF3" w:rsidR="008D63F8">
        <w:rPr>
          <w:szCs w:val="24"/>
        </w:rPr>
        <w:t>, including the assertion of any clauses, covenants, or other conditions</w:t>
      </w:r>
      <w:r w:rsidRPr="00420DF3">
        <w:rPr>
          <w:szCs w:val="24"/>
        </w:rPr>
        <w:t>.  For example, a current balance sheet and statement of revenue is required from the borrower to determine the borrower’s financial position.</w:t>
      </w:r>
    </w:p>
    <w:p w:rsidR="0077019F" w:rsidRPr="00420DF3" w:rsidP="0077019F" w14:paraId="4DC70E70" w14:textId="77777777">
      <w:pPr>
        <w:rPr>
          <w:szCs w:val="24"/>
        </w:rPr>
      </w:pPr>
    </w:p>
    <w:p w:rsidR="0077019F" w:rsidRPr="002E0E9A" w:rsidP="00E94082" w14:paraId="0A620487" w14:textId="65DA71C9">
      <w:pPr>
        <w:numPr>
          <w:ilvl w:val="0"/>
          <w:numId w:val="2"/>
        </w:numPr>
        <w:tabs>
          <w:tab w:val="num" w:pos="360"/>
          <w:tab w:val="clear" w:pos="810"/>
        </w:tabs>
        <w:ind w:left="0" w:firstLine="0"/>
        <w:rPr>
          <w:b/>
          <w:szCs w:val="24"/>
          <w:u w:val="single"/>
        </w:rPr>
      </w:pPr>
      <w:r w:rsidRPr="002E0E9A">
        <w:rPr>
          <w:b/>
          <w:bCs/>
          <w:u w:val="single"/>
        </w:rPr>
        <w:t>If the collection of information impacts small businesses or other small entities (item 5</w:t>
      </w:r>
      <w:r w:rsidRPr="002E0E9A" w:rsidR="003D4ABD">
        <w:rPr>
          <w:b/>
          <w:bCs/>
          <w:u w:val="single"/>
        </w:rPr>
        <w:t xml:space="preserve"> </w:t>
      </w:r>
      <w:r w:rsidRPr="002E0E9A">
        <w:rPr>
          <w:b/>
          <w:bCs/>
          <w:u w:val="single"/>
        </w:rPr>
        <w:t>of</w:t>
      </w:r>
      <w:r w:rsidRPr="002E0E9A" w:rsidR="003D4ABD">
        <w:rPr>
          <w:b/>
          <w:bCs/>
          <w:u w:val="single"/>
        </w:rPr>
        <w:t xml:space="preserve"> </w:t>
      </w:r>
      <w:r w:rsidRPr="002E0E9A">
        <w:rPr>
          <w:b/>
          <w:szCs w:val="24"/>
          <w:u w:val="single"/>
        </w:rPr>
        <w:t>OMB Form 83-1), describe any methods used to minimize burden.</w:t>
      </w:r>
    </w:p>
    <w:p w:rsidR="0077019F" w:rsidRPr="00420DF3" w:rsidP="0077019F" w14:paraId="6D545A59" w14:textId="77777777">
      <w:pPr>
        <w:rPr>
          <w:b/>
          <w:szCs w:val="24"/>
          <w:u w:val="single"/>
        </w:rPr>
      </w:pPr>
    </w:p>
    <w:p w:rsidR="0077019F" w:rsidRPr="00420DF3" w:rsidP="0077019F" w14:paraId="581B0815" w14:textId="77777777">
      <w:pPr>
        <w:rPr>
          <w:szCs w:val="24"/>
        </w:rPr>
      </w:pPr>
      <w:r w:rsidRPr="00420DF3">
        <w:rPr>
          <w:szCs w:val="24"/>
        </w:rPr>
        <w:t xml:space="preserve">The term “small entity” has the same meaning as the terms “small business,” “small organization,” and “small governmental jurisdiction” in accordance with 5 USC 601(6). The Small Business Administration (SBA) establishes a Table of Small Business Size Standards which matches to industries described in the North American Industry Classification System (NAICS).  According to the established SBA standards, 100 percent of RUS WEP programs are classified as small entities.  RUS is conscious of the needs of small entities.  All forms are available electronically and RUS does not prohibit transmission of the information electronically. The information collected is unique to each borrower and is the minimum necessary to administer the servicing program.  </w:t>
      </w:r>
    </w:p>
    <w:p w:rsidR="0077019F" w:rsidRPr="00420DF3" w:rsidP="0077019F" w14:paraId="2012024B" w14:textId="77777777">
      <w:pPr>
        <w:rPr>
          <w:b/>
          <w:szCs w:val="24"/>
        </w:rPr>
      </w:pPr>
    </w:p>
    <w:p w:rsidR="0077019F" w:rsidRPr="00420DF3" w:rsidP="0077019F" w14:paraId="7CC6F6F2" w14:textId="77777777">
      <w:pPr>
        <w:pStyle w:val="BodyText2"/>
        <w:rPr>
          <w:rFonts w:ascii="Times New Roman" w:hAnsi="Times New Roman"/>
          <w:b/>
          <w:sz w:val="24"/>
          <w:szCs w:val="24"/>
          <w:u w:val="single"/>
        </w:rPr>
      </w:pPr>
      <w:r w:rsidRPr="00420DF3">
        <w:rPr>
          <w:rFonts w:ascii="Times New Roman" w:hAnsi="Times New Roman"/>
          <w:b/>
          <w:sz w:val="24"/>
          <w:szCs w:val="24"/>
          <w:u w:val="single"/>
        </w:rPr>
        <w:t>6.  Describe the consequences to Federal program or policy activities in the collection is not</w:t>
      </w:r>
    </w:p>
    <w:p w:rsidR="0077019F" w:rsidRPr="00420DF3" w:rsidP="0077019F" w14:paraId="77FCA99B" w14:textId="77777777">
      <w:pPr>
        <w:pStyle w:val="BodyText2"/>
        <w:rPr>
          <w:rFonts w:ascii="Times New Roman" w:hAnsi="Times New Roman"/>
          <w:sz w:val="24"/>
          <w:szCs w:val="24"/>
        </w:rPr>
      </w:pPr>
      <w:r w:rsidRPr="00420DF3">
        <w:rPr>
          <w:rFonts w:ascii="Times New Roman" w:hAnsi="Times New Roman"/>
          <w:b/>
          <w:sz w:val="24"/>
          <w:szCs w:val="24"/>
          <w:u w:val="single"/>
        </w:rPr>
        <w:t>conducted or conducted less frequently, as well as any technical or legal obstacles to reducing burden.</w:t>
      </w:r>
    </w:p>
    <w:p w:rsidR="0077019F" w:rsidRPr="00420DF3" w:rsidP="0077019F" w14:paraId="33039DB7" w14:textId="77777777">
      <w:pPr>
        <w:pStyle w:val="BodyText2"/>
        <w:rPr>
          <w:rFonts w:ascii="Times New Roman" w:hAnsi="Times New Roman"/>
          <w:sz w:val="24"/>
          <w:szCs w:val="24"/>
        </w:rPr>
      </w:pPr>
    </w:p>
    <w:p w:rsidR="0077019F" w:rsidRPr="00420DF3" w:rsidP="0077019F" w14:paraId="2CC63971" w14:textId="215FC395">
      <w:pPr>
        <w:pStyle w:val="BodyText2"/>
        <w:rPr>
          <w:rFonts w:ascii="Times New Roman" w:hAnsi="Times New Roman"/>
          <w:sz w:val="24"/>
          <w:szCs w:val="24"/>
        </w:rPr>
      </w:pPr>
      <w:r w:rsidRPr="00420DF3">
        <w:rPr>
          <w:rFonts w:ascii="Times New Roman" w:hAnsi="Times New Roman"/>
          <w:sz w:val="24"/>
          <w:szCs w:val="24"/>
        </w:rPr>
        <w:t xml:space="preserve">The collection of information is obtained only when needed for purposes related to loan security.  The information is specific to each servicing incident and cannot be collected on a less frequent </w:t>
      </w:r>
      <w:r w:rsidRPr="00420DF3" w:rsidR="00F30023">
        <w:rPr>
          <w:rFonts w:ascii="Times New Roman" w:hAnsi="Times New Roman"/>
          <w:sz w:val="24"/>
          <w:szCs w:val="24"/>
        </w:rPr>
        <w:t>basis and</w:t>
      </w:r>
      <w:r w:rsidRPr="00420DF3" w:rsidR="008D63F8">
        <w:rPr>
          <w:rFonts w:ascii="Times New Roman" w:hAnsi="Times New Roman"/>
          <w:sz w:val="24"/>
          <w:szCs w:val="24"/>
        </w:rPr>
        <w:t xml:space="preserve"> meet the requirements of the program</w:t>
      </w:r>
      <w:r w:rsidRPr="00420DF3">
        <w:rPr>
          <w:rFonts w:ascii="Times New Roman" w:hAnsi="Times New Roman"/>
          <w:sz w:val="24"/>
          <w:szCs w:val="24"/>
        </w:rPr>
        <w:t>.  Failure to collect adequate information from borrowers could result in improper determinations of eligibility</w:t>
      </w:r>
      <w:r w:rsidRPr="00420DF3" w:rsidR="008D63F8">
        <w:rPr>
          <w:rFonts w:ascii="Times New Roman" w:hAnsi="Times New Roman"/>
          <w:sz w:val="24"/>
          <w:szCs w:val="24"/>
        </w:rPr>
        <w:t>, identification of</w:t>
      </w:r>
      <w:r w:rsidRPr="00420DF3">
        <w:rPr>
          <w:rFonts w:ascii="Times New Roman" w:hAnsi="Times New Roman"/>
          <w:sz w:val="24"/>
          <w:szCs w:val="24"/>
        </w:rPr>
        <w:t xml:space="preserve"> servicing</w:t>
      </w:r>
      <w:r w:rsidRPr="00420DF3" w:rsidR="008D63F8">
        <w:rPr>
          <w:rFonts w:ascii="Times New Roman" w:hAnsi="Times New Roman"/>
          <w:sz w:val="24"/>
          <w:szCs w:val="24"/>
        </w:rPr>
        <w:t xml:space="preserve"> needs and actions, and processing of selected mechanisms</w:t>
      </w:r>
      <w:r w:rsidRPr="00420DF3">
        <w:rPr>
          <w:rFonts w:ascii="Times New Roman" w:hAnsi="Times New Roman"/>
          <w:sz w:val="24"/>
          <w:szCs w:val="24"/>
        </w:rPr>
        <w:t>.</w:t>
      </w:r>
      <w:r w:rsidRPr="00420DF3" w:rsidR="008D63F8">
        <w:rPr>
          <w:rFonts w:ascii="Times New Roman" w:hAnsi="Times New Roman"/>
          <w:sz w:val="24"/>
          <w:szCs w:val="24"/>
        </w:rPr>
        <w:t xml:space="preserve">  The preceding could in turn could lead to other issues, such as unauthorized assistance.</w:t>
      </w:r>
    </w:p>
    <w:p w:rsidR="00477CDF" w:rsidRPr="00420DF3" w:rsidP="0077019F" w14:paraId="65F5962E" w14:textId="77777777">
      <w:pPr>
        <w:pStyle w:val="BodyText2"/>
        <w:rPr>
          <w:rFonts w:ascii="Times New Roman" w:hAnsi="Times New Roman"/>
          <w:sz w:val="24"/>
          <w:szCs w:val="24"/>
        </w:rPr>
      </w:pPr>
    </w:p>
    <w:p w:rsidR="0077019F" w:rsidRPr="00420DF3" w:rsidP="0077019F" w14:paraId="198F5CFF" w14:textId="77777777">
      <w:pPr>
        <w:pStyle w:val="BodyText2"/>
        <w:rPr>
          <w:rFonts w:ascii="Times New Roman" w:hAnsi="Times New Roman"/>
          <w:b/>
          <w:sz w:val="24"/>
          <w:szCs w:val="24"/>
          <w:u w:val="single"/>
        </w:rPr>
      </w:pPr>
      <w:r w:rsidRPr="00420DF3">
        <w:rPr>
          <w:rFonts w:ascii="Times New Roman" w:hAnsi="Times New Roman"/>
          <w:b/>
          <w:sz w:val="24"/>
          <w:szCs w:val="24"/>
          <w:u w:val="single"/>
        </w:rPr>
        <w:t>7.  Explain any special circumstances that would cause an information collection to be</w:t>
      </w:r>
    </w:p>
    <w:p w:rsidR="0077019F" w:rsidRPr="00420DF3" w:rsidP="0077019F" w14:paraId="2BEF66E6" w14:textId="77777777">
      <w:pPr>
        <w:pStyle w:val="BodyText2"/>
        <w:rPr>
          <w:rFonts w:ascii="Times New Roman" w:hAnsi="Times New Roman"/>
          <w:b/>
          <w:sz w:val="24"/>
          <w:szCs w:val="24"/>
          <w:u w:val="single"/>
        </w:rPr>
      </w:pPr>
      <w:r w:rsidRPr="00420DF3">
        <w:rPr>
          <w:rFonts w:ascii="Times New Roman" w:hAnsi="Times New Roman"/>
          <w:b/>
          <w:sz w:val="24"/>
          <w:szCs w:val="24"/>
          <w:u w:val="single"/>
        </w:rPr>
        <w:t>conducted in a manner:</w:t>
      </w:r>
    </w:p>
    <w:p w:rsidR="0077019F" w:rsidRPr="00420DF3" w:rsidP="0077019F" w14:paraId="1A4B4B3E" w14:textId="77777777">
      <w:pPr>
        <w:pStyle w:val="BodyText2"/>
        <w:rPr>
          <w:rFonts w:ascii="Times New Roman" w:hAnsi="Times New Roman"/>
          <w:sz w:val="24"/>
          <w:szCs w:val="24"/>
        </w:rPr>
      </w:pPr>
    </w:p>
    <w:p w:rsidR="0077019F" w:rsidRPr="00420DF3" w:rsidP="0077019F" w14:paraId="55923A27" w14:textId="77777777">
      <w:pPr>
        <w:rPr>
          <w:szCs w:val="24"/>
        </w:rPr>
      </w:pPr>
      <w:r w:rsidRPr="00420DF3">
        <w:rPr>
          <w:szCs w:val="24"/>
        </w:rPr>
        <w:t xml:space="preserve">     a. </w:t>
      </w:r>
      <w:r w:rsidRPr="00420DF3">
        <w:rPr>
          <w:szCs w:val="24"/>
          <w:u w:val="single"/>
        </w:rPr>
        <w:t>Requiring respondents to report information more than quarterly</w:t>
      </w:r>
      <w:r w:rsidRPr="00420DF3">
        <w:rPr>
          <w:szCs w:val="24"/>
        </w:rPr>
        <w:t>.</w:t>
      </w:r>
    </w:p>
    <w:p w:rsidR="0077019F" w:rsidRPr="00420DF3" w:rsidP="0077019F" w14:paraId="65CDBF96" w14:textId="77777777">
      <w:pPr>
        <w:rPr>
          <w:szCs w:val="24"/>
        </w:rPr>
      </w:pPr>
    </w:p>
    <w:p w:rsidR="0077019F" w:rsidRPr="00420DF3" w:rsidP="008D63F8" w14:paraId="213BBA08" w14:textId="77777777">
      <w:pPr>
        <w:ind w:left="720"/>
        <w:rPr>
          <w:szCs w:val="24"/>
        </w:rPr>
      </w:pPr>
      <w:r w:rsidRPr="00420DF3">
        <w:rPr>
          <w:szCs w:val="24"/>
        </w:rPr>
        <w:t>All routine servicing items are collected on an annual basis.  All information related t</w:t>
      </w:r>
      <w:r w:rsidRPr="00420DF3" w:rsidR="001D73F4">
        <w:rPr>
          <w:szCs w:val="24"/>
        </w:rPr>
        <w:t>o advanced servicing actions is</w:t>
      </w:r>
      <w:r w:rsidRPr="00420DF3">
        <w:rPr>
          <w:szCs w:val="24"/>
        </w:rPr>
        <w:t xml:space="preserve"> </w:t>
      </w:r>
      <w:r w:rsidRPr="00420DF3">
        <w:rPr>
          <w:szCs w:val="24"/>
        </w:rPr>
        <w:t>submitted based on the request for a servicing action</w:t>
      </w:r>
      <w:r w:rsidRPr="00420DF3">
        <w:rPr>
          <w:szCs w:val="24"/>
        </w:rPr>
        <w:t>, but generally not more than quarterly</w:t>
      </w:r>
      <w:r w:rsidRPr="00420DF3">
        <w:rPr>
          <w:szCs w:val="24"/>
        </w:rPr>
        <w:t>.</w:t>
      </w:r>
    </w:p>
    <w:p w:rsidR="001D73F4" w:rsidRPr="00420DF3" w:rsidP="0077019F" w14:paraId="0B5C84E6" w14:textId="77777777">
      <w:pPr>
        <w:rPr>
          <w:szCs w:val="24"/>
        </w:rPr>
      </w:pPr>
    </w:p>
    <w:p w:rsidR="0077019F" w:rsidRPr="00420DF3" w:rsidP="0077019F" w14:paraId="776323AC" w14:textId="77777777">
      <w:pPr>
        <w:rPr>
          <w:szCs w:val="24"/>
        </w:rPr>
      </w:pPr>
      <w:r w:rsidRPr="00420DF3">
        <w:rPr>
          <w:szCs w:val="24"/>
        </w:rPr>
        <w:t xml:space="preserve">     b. </w:t>
      </w:r>
      <w:r w:rsidRPr="00420DF3">
        <w:rPr>
          <w:szCs w:val="24"/>
          <w:u w:val="single"/>
        </w:rPr>
        <w:t>Requiring written responses in less than 30 days</w:t>
      </w:r>
      <w:r w:rsidRPr="00420DF3">
        <w:rPr>
          <w:szCs w:val="24"/>
        </w:rPr>
        <w:t>.</w:t>
      </w:r>
    </w:p>
    <w:p w:rsidR="0077019F" w:rsidRPr="00420DF3" w:rsidP="0077019F" w14:paraId="315C7F90" w14:textId="77777777">
      <w:pPr>
        <w:rPr>
          <w:szCs w:val="24"/>
        </w:rPr>
      </w:pPr>
    </w:p>
    <w:p w:rsidR="0077019F" w:rsidRPr="00420DF3" w:rsidP="008D63F8" w14:paraId="44967760" w14:textId="77777777">
      <w:pPr>
        <w:ind w:firstLine="720"/>
        <w:rPr>
          <w:szCs w:val="24"/>
        </w:rPr>
      </w:pPr>
      <w:r w:rsidRPr="00420DF3">
        <w:rPr>
          <w:szCs w:val="24"/>
        </w:rPr>
        <w:t>No such requirement</w:t>
      </w:r>
    </w:p>
    <w:p w:rsidR="0077019F" w:rsidRPr="00420DF3" w:rsidP="0077019F" w14:paraId="5B6E8354" w14:textId="77777777">
      <w:pPr>
        <w:rPr>
          <w:szCs w:val="24"/>
        </w:rPr>
      </w:pPr>
    </w:p>
    <w:p w:rsidR="0077019F" w:rsidRPr="00420DF3" w:rsidP="0077019F" w14:paraId="39B1051C" w14:textId="77777777">
      <w:pPr>
        <w:rPr>
          <w:szCs w:val="24"/>
        </w:rPr>
      </w:pPr>
      <w:r w:rsidRPr="00420DF3">
        <w:rPr>
          <w:szCs w:val="24"/>
        </w:rPr>
        <w:t xml:space="preserve">     c. </w:t>
      </w:r>
      <w:r w:rsidRPr="00420DF3">
        <w:rPr>
          <w:szCs w:val="24"/>
          <w:u w:val="single"/>
        </w:rPr>
        <w:t>Requiring more than an original and two copies</w:t>
      </w:r>
      <w:r w:rsidRPr="00420DF3">
        <w:rPr>
          <w:szCs w:val="24"/>
        </w:rPr>
        <w:t>.</w:t>
      </w:r>
    </w:p>
    <w:p w:rsidR="0077019F" w:rsidRPr="00420DF3" w:rsidP="0077019F" w14:paraId="571DC39C" w14:textId="77777777">
      <w:pPr>
        <w:rPr>
          <w:szCs w:val="24"/>
        </w:rPr>
      </w:pPr>
    </w:p>
    <w:p w:rsidR="0077019F" w:rsidRPr="00420DF3" w:rsidP="008D63F8" w14:paraId="2BE6199B" w14:textId="77777777">
      <w:pPr>
        <w:ind w:firstLine="720"/>
        <w:rPr>
          <w:szCs w:val="24"/>
        </w:rPr>
      </w:pPr>
      <w:r w:rsidRPr="00420DF3">
        <w:rPr>
          <w:szCs w:val="24"/>
        </w:rPr>
        <w:t>The Agency does not request more than an original and two copies of any document.</w:t>
      </w:r>
    </w:p>
    <w:p w:rsidR="0077019F" w:rsidRPr="00420DF3" w:rsidP="0077019F" w14:paraId="3571124C" w14:textId="77777777">
      <w:pPr>
        <w:rPr>
          <w:szCs w:val="24"/>
        </w:rPr>
      </w:pPr>
    </w:p>
    <w:p w:rsidR="0077019F" w:rsidRPr="00420DF3" w:rsidP="0077019F" w14:paraId="4DD7AFEC" w14:textId="77777777">
      <w:pPr>
        <w:rPr>
          <w:szCs w:val="24"/>
        </w:rPr>
      </w:pPr>
      <w:r w:rsidRPr="00420DF3">
        <w:rPr>
          <w:szCs w:val="24"/>
        </w:rPr>
        <w:t xml:space="preserve">     d. </w:t>
      </w:r>
      <w:r w:rsidRPr="00420DF3">
        <w:rPr>
          <w:szCs w:val="24"/>
          <w:u w:val="single"/>
        </w:rPr>
        <w:t>Requiring respondents to retain records for more than 3 years</w:t>
      </w:r>
      <w:r w:rsidRPr="00420DF3">
        <w:rPr>
          <w:szCs w:val="24"/>
        </w:rPr>
        <w:t>.</w:t>
      </w:r>
    </w:p>
    <w:p w:rsidR="0077019F" w:rsidRPr="00420DF3" w:rsidP="0077019F" w14:paraId="6684C10E" w14:textId="77777777">
      <w:pPr>
        <w:rPr>
          <w:szCs w:val="24"/>
        </w:rPr>
      </w:pPr>
    </w:p>
    <w:p w:rsidR="0077019F" w:rsidRPr="00420DF3" w:rsidP="00FE43B0" w14:paraId="0DEF2B80" w14:textId="77777777">
      <w:pPr>
        <w:ind w:left="720"/>
        <w:rPr>
          <w:szCs w:val="24"/>
        </w:rPr>
      </w:pPr>
      <w:r w:rsidRPr="00420DF3">
        <w:rPr>
          <w:szCs w:val="24"/>
        </w:rPr>
        <w:t>Unless otherwise noted by statute, t</w:t>
      </w:r>
      <w:r w:rsidRPr="00420DF3">
        <w:rPr>
          <w:szCs w:val="24"/>
        </w:rPr>
        <w:t>he Agency does not require applicants to retain records for more than 3 years</w:t>
      </w:r>
      <w:r w:rsidRPr="00420DF3">
        <w:rPr>
          <w:szCs w:val="24"/>
        </w:rPr>
        <w:t xml:space="preserve"> beyond the designated action’s effective date</w:t>
      </w:r>
      <w:r w:rsidRPr="00420DF3">
        <w:rPr>
          <w:szCs w:val="24"/>
        </w:rPr>
        <w:t>.</w:t>
      </w:r>
    </w:p>
    <w:p w:rsidR="0077019F" w:rsidRPr="00420DF3" w:rsidP="0077019F" w14:paraId="2B64992E" w14:textId="77777777">
      <w:pPr>
        <w:rPr>
          <w:szCs w:val="24"/>
        </w:rPr>
      </w:pPr>
    </w:p>
    <w:p w:rsidR="0077019F" w:rsidRPr="00420DF3" w:rsidP="008D63F8" w14:paraId="4D553EB8" w14:textId="77777777">
      <w:pPr>
        <w:ind w:left="540" w:hanging="270"/>
        <w:rPr>
          <w:szCs w:val="24"/>
        </w:rPr>
      </w:pPr>
      <w:r w:rsidRPr="00420DF3">
        <w:rPr>
          <w:szCs w:val="24"/>
        </w:rPr>
        <w:t xml:space="preserve">e. </w:t>
      </w:r>
      <w:r w:rsidRPr="00420DF3">
        <w:rPr>
          <w:szCs w:val="24"/>
          <w:u w:val="single"/>
        </w:rPr>
        <w:t>That is not designed to produce valid and reliable results that can be generalized to the universe of study</w:t>
      </w:r>
      <w:r w:rsidRPr="00420DF3">
        <w:rPr>
          <w:szCs w:val="24"/>
        </w:rPr>
        <w:t>.</w:t>
      </w:r>
    </w:p>
    <w:p w:rsidR="0077019F" w:rsidRPr="00420DF3" w:rsidP="0077019F" w14:paraId="5A53FDD9" w14:textId="77777777">
      <w:pPr>
        <w:rPr>
          <w:szCs w:val="24"/>
        </w:rPr>
      </w:pPr>
    </w:p>
    <w:p w:rsidR="0077019F" w:rsidRPr="00420DF3" w:rsidP="008D63F8" w14:paraId="633E41FA" w14:textId="77777777">
      <w:pPr>
        <w:ind w:firstLine="720"/>
        <w:rPr>
          <w:szCs w:val="24"/>
        </w:rPr>
      </w:pPr>
      <w:r w:rsidRPr="00420DF3">
        <w:rPr>
          <w:szCs w:val="24"/>
        </w:rPr>
        <w:t>This collection does not involve statistical information.</w:t>
      </w:r>
    </w:p>
    <w:p w:rsidR="0077019F" w:rsidRPr="00420DF3" w:rsidP="0077019F" w14:paraId="6675ECFC" w14:textId="77777777">
      <w:pPr>
        <w:rPr>
          <w:szCs w:val="24"/>
        </w:rPr>
      </w:pPr>
    </w:p>
    <w:p w:rsidR="0077019F" w:rsidRPr="00420DF3" w:rsidP="0077019F" w14:paraId="55115F3B" w14:textId="77777777">
      <w:pPr>
        <w:rPr>
          <w:szCs w:val="24"/>
        </w:rPr>
      </w:pPr>
      <w:r w:rsidRPr="00420DF3">
        <w:rPr>
          <w:szCs w:val="24"/>
        </w:rPr>
        <w:t xml:space="preserve">     f. </w:t>
      </w:r>
      <w:r w:rsidRPr="00420DF3">
        <w:rPr>
          <w:szCs w:val="24"/>
          <w:u w:val="single"/>
        </w:rPr>
        <w:t>Requiring use of statistical sampling which has not been reviewed and approved by OMB</w:t>
      </w:r>
      <w:r w:rsidRPr="00420DF3">
        <w:rPr>
          <w:szCs w:val="24"/>
        </w:rPr>
        <w:t>.</w:t>
      </w:r>
    </w:p>
    <w:p w:rsidR="0077019F" w:rsidRPr="00420DF3" w:rsidP="0077019F" w14:paraId="167F328D" w14:textId="77777777">
      <w:pPr>
        <w:rPr>
          <w:szCs w:val="24"/>
        </w:rPr>
      </w:pPr>
    </w:p>
    <w:p w:rsidR="0077019F" w:rsidRPr="00420DF3" w:rsidP="008D63F8" w14:paraId="28C31614" w14:textId="77777777">
      <w:pPr>
        <w:ind w:firstLine="720"/>
        <w:rPr>
          <w:szCs w:val="24"/>
        </w:rPr>
      </w:pPr>
      <w:r w:rsidRPr="00420DF3">
        <w:rPr>
          <w:szCs w:val="24"/>
        </w:rPr>
        <w:t>This collection does not involve statistical sampling.</w:t>
      </w:r>
    </w:p>
    <w:p w:rsidR="0077019F" w:rsidRPr="00420DF3" w:rsidP="0077019F" w14:paraId="5F32C259" w14:textId="77777777">
      <w:pPr>
        <w:rPr>
          <w:szCs w:val="24"/>
        </w:rPr>
      </w:pPr>
    </w:p>
    <w:p w:rsidR="0077019F" w:rsidRPr="00420DF3" w:rsidP="0077019F" w14:paraId="3956BC4E" w14:textId="77777777">
      <w:pPr>
        <w:rPr>
          <w:szCs w:val="24"/>
        </w:rPr>
      </w:pPr>
      <w:r w:rsidRPr="00420DF3">
        <w:rPr>
          <w:szCs w:val="24"/>
        </w:rPr>
        <w:t xml:space="preserve">     g. </w:t>
      </w:r>
      <w:r w:rsidRPr="00420DF3">
        <w:rPr>
          <w:szCs w:val="24"/>
          <w:u w:val="single"/>
        </w:rPr>
        <w:t>Requiring a pledge of confidentiality</w:t>
      </w:r>
      <w:r w:rsidRPr="00420DF3">
        <w:rPr>
          <w:szCs w:val="24"/>
        </w:rPr>
        <w:t>.</w:t>
      </w:r>
    </w:p>
    <w:p w:rsidR="0077019F" w:rsidRPr="00420DF3" w:rsidP="0077019F" w14:paraId="4F82CC5C" w14:textId="77777777">
      <w:pPr>
        <w:rPr>
          <w:szCs w:val="24"/>
        </w:rPr>
      </w:pPr>
    </w:p>
    <w:p w:rsidR="0077019F" w:rsidRPr="00420DF3" w:rsidP="008D63F8" w14:paraId="67E6BEF6" w14:textId="77777777">
      <w:pPr>
        <w:ind w:firstLine="720"/>
        <w:rPr>
          <w:szCs w:val="24"/>
        </w:rPr>
      </w:pPr>
      <w:r w:rsidRPr="00420DF3">
        <w:rPr>
          <w:szCs w:val="24"/>
        </w:rPr>
        <w:t>This collection does not require a pledge of confidentiality.</w:t>
      </w:r>
    </w:p>
    <w:p w:rsidR="0077019F" w:rsidRPr="00420DF3" w:rsidP="0077019F" w14:paraId="1A38BF88" w14:textId="77777777">
      <w:pPr>
        <w:rPr>
          <w:szCs w:val="24"/>
        </w:rPr>
      </w:pPr>
    </w:p>
    <w:p w:rsidR="0077019F" w:rsidRPr="00420DF3" w:rsidP="0077019F" w14:paraId="0E1887EC" w14:textId="77777777">
      <w:pPr>
        <w:rPr>
          <w:szCs w:val="24"/>
        </w:rPr>
      </w:pPr>
      <w:r w:rsidRPr="00420DF3">
        <w:rPr>
          <w:szCs w:val="24"/>
        </w:rPr>
        <w:t xml:space="preserve">     h. </w:t>
      </w:r>
      <w:r w:rsidRPr="00420DF3">
        <w:rPr>
          <w:szCs w:val="24"/>
          <w:u w:val="single"/>
        </w:rPr>
        <w:t>Requiring submission of proprietary trade secrets</w:t>
      </w:r>
      <w:r w:rsidRPr="00420DF3">
        <w:rPr>
          <w:szCs w:val="24"/>
        </w:rPr>
        <w:t>.</w:t>
      </w:r>
    </w:p>
    <w:p w:rsidR="0077019F" w:rsidRPr="00420DF3" w:rsidP="0077019F" w14:paraId="5E230F19" w14:textId="77777777">
      <w:pPr>
        <w:rPr>
          <w:szCs w:val="24"/>
        </w:rPr>
      </w:pPr>
    </w:p>
    <w:p w:rsidR="0077019F" w:rsidRPr="00420DF3" w:rsidP="00FE43B0" w14:paraId="02070BED" w14:textId="77777777">
      <w:pPr>
        <w:ind w:firstLine="720"/>
        <w:rPr>
          <w:szCs w:val="24"/>
        </w:rPr>
      </w:pPr>
      <w:r w:rsidRPr="00420DF3">
        <w:rPr>
          <w:szCs w:val="24"/>
        </w:rPr>
        <w:t>This collection does not require submission of proprietary trade secrets.</w:t>
      </w:r>
    </w:p>
    <w:p w:rsidR="001D73F4" w:rsidRPr="00420DF3" w:rsidP="0077019F" w14:paraId="223E252D" w14:textId="77777777">
      <w:pPr>
        <w:pStyle w:val="BodyText2"/>
        <w:rPr>
          <w:rFonts w:ascii="Times New Roman" w:hAnsi="Times New Roman"/>
          <w:b/>
          <w:sz w:val="24"/>
          <w:szCs w:val="24"/>
          <w:u w:val="single"/>
        </w:rPr>
      </w:pPr>
    </w:p>
    <w:p w:rsidR="0077019F" w:rsidRPr="00420DF3" w:rsidP="0077019F" w14:paraId="34D376AB" w14:textId="01945AC0">
      <w:pPr>
        <w:pStyle w:val="BodyText2"/>
        <w:rPr>
          <w:rFonts w:ascii="Times New Roman" w:hAnsi="Times New Roman"/>
          <w:b/>
          <w:sz w:val="24"/>
          <w:szCs w:val="24"/>
          <w:u w:val="single"/>
        </w:rPr>
      </w:pPr>
      <w:r w:rsidRPr="00420DF3">
        <w:rPr>
          <w:rFonts w:ascii="Times New Roman" w:hAnsi="Times New Roman"/>
          <w:b/>
          <w:sz w:val="24"/>
          <w:szCs w:val="24"/>
          <w:u w:val="single"/>
        </w:rPr>
        <w:t>8.  If applicable, identify the date and page number of publication in the Federal Register of</w:t>
      </w:r>
      <w:r w:rsidRPr="00420DF3" w:rsidR="00BC361C">
        <w:rPr>
          <w:rFonts w:ascii="Times New Roman" w:hAnsi="Times New Roman"/>
          <w:b/>
          <w:sz w:val="24"/>
          <w:szCs w:val="24"/>
          <w:u w:val="single"/>
        </w:rPr>
        <w:t xml:space="preserve"> </w:t>
      </w:r>
      <w:r w:rsidRPr="00420DF3">
        <w:rPr>
          <w:rFonts w:ascii="Times New Roman" w:hAnsi="Times New Roman"/>
          <w:b/>
          <w:sz w:val="24"/>
          <w:szCs w:val="24"/>
          <w:u w:val="single"/>
        </w:rPr>
        <w:t>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77019F" w:rsidRPr="00420DF3" w:rsidP="0077019F" w14:paraId="2F7C4AED" w14:textId="77777777">
      <w:pPr>
        <w:pStyle w:val="BodyText2"/>
        <w:rPr>
          <w:rFonts w:ascii="Times New Roman" w:hAnsi="Times New Roman"/>
          <w:b/>
          <w:sz w:val="24"/>
          <w:szCs w:val="24"/>
          <w:u w:val="single"/>
        </w:rPr>
      </w:pPr>
    </w:p>
    <w:p w:rsidR="00A3593B" w:rsidRPr="00420DF3" w:rsidP="00A3593B" w14:paraId="77F2B79D" w14:textId="268E6231">
      <w:pPr>
        <w:rPr>
          <w:szCs w:val="24"/>
        </w:rPr>
      </w:pPr>
      <w:r w:rsidRPr="00420DF3">
        <w:rPr>
          <w:szCs w:val="24"/>
        </w:rPr>
        <w:t xml:space="preserve">RUS published a notice </w:t>
      </w:r>
      <w:r w:rsidRPr="00A81A79">
        <w:rPr>
          <w:szCs w:val="24"/>
        </w:rPr>
        <w:t xml:space="preserve">requesting comment on the extension of the previously approved information collection for the programs </w:t>
      </w:r>
      <w:r w:rsidRPr="0039592E">
        <w:rPr>
          <w:szCs w:val="24"/>
        </w:rPr>
        <w:t>(see</w:t>
      </w:r>
      <w:r w:rsidRPr="0039592E" w:rsidR="001A2B4B">
        <w:rPr>
          <w:szCs w:val="24"/>
        </w:rPr>
        <w:t xml:space="preserve"> </w:t>
      </w:r>
      <w:hyperlink r:id="rId15" w:history="1">
        <w:r w:rsidRPr="008B70CF" w:rsidR="001A2B4B">
          <w:rPr>
            <w:rStyle w:val="Hyperlink"/>
            <w:szCs w:val="24"/>
          </w:rPr>
          <w:t>89</w:t>
        </w:r>
        <w:r w:rsidRPr="008B70CF">
          <w:rPr>
            <w:rStyle w:val="Hyperlink"/>
            <w:szCs w:val="24"/>
          </w:rPr>
          <w:t xml:space="preserve"> FR</w:t>
        </w:r>
        <w:r w:rsidRPr="008B70CF" w:rsidR="001A2B4B">
          <w:rPr>
            <w:rStyle w:val="Hyperlink"/>
            <w:szCs w:val="24"/>
          </w:rPr>
          <w:t xml:space="preserve"> </w:t>
        </w:r>
        <w:r w:rsidRPr="008B70CF" w:rsidR="00EA2896">
          <w:rPr>
            <w:rStyle w:val="Hyperlink"/>
            <w:szCs w:val="24"/>
          </w:rPr>
          <w:t>68387</w:t>
        </w:r>
      </w:hyperlink>
      <w:r w:rsidRPr="0039592E">
        <w:rPr>
          <w:szCs w:val="24"/>
        </w:rPr>
        <w:t xml:space="preserve">, </w:t>
      </w:r>
      <w:r w:rsidRPr="0039592E" w:rsidR="00E22B02">
        <w:rPr>
          <w:szCs w:val="24"/>
        </w:rPr>
        <w:t>August 26, 2024</w:t>
      </w:r>
      <w:r w:rsidRPr="0039592E">
        <w:rPr>
          <w:szCs w:val="24"/>
        </w:rPr>
        <w:t>)</w:t>
      </w:r>
      <w:r w:rsidRPr="00A81A79">
        <w:rPr>
          <w:szCs w:val="24"/>
        </w:rPr>
        <w:t>.  The 60</w:t>
      </w:r>
      <w:r w:rsidRPr="00A81A79" w:rsidR="0049078F">
        <w:rPr>
          <w:szCs w:val="24"/>
        </w:rPr>
        <w:t>-</w:t>
      </w:r>
      <w:r w:rsidRPr="00A81A79">
        <w:rPr>
          <w:szCs w:val="24"/>
        </w:rPr>
        <w:t>day comment period closed on</w:t>
      </w:r>
      <w:r w:rsidRPr="00A81A79" w:rsidR="00E22B02">
        <w:rPr>
          <w:szCs w:val="24"/>
        </w:rPr>
        <w:t xml:space="preserve"> October 25, 2024</w:t>
      </w:r>
      <w:r w:rsidRPr="0039592E">
        <w:rPr>
          <w:szCs w:val="24"/>
        </w:rPr>
        <w:t xml:space="preserve">.  </w:t>
      </w:r>
      <w:r w:rsidRPr="0039592E" w:rsidR="00E22B02">
        <w:rPr>
          <w:szCs w:val="24"/>
        </w:rPr>
        <w:t>One public comment was received</w:t>
      </w:r>
      <w:r w:rsidRPr="0039592E" w:rsidR="00A81A79">
        <w:rPr>
          <w:szCs w:val="24"/>
        </w:rPr>
        <w:t>, but it did not pertain to the Information Collection package. No other comments were received.</w:t>
      </w:r>
    </w:p>
    <w:p w:rsidR="00A3593B" w:rsidRPr="00420DF3" w:rsidP="00A3593B" w14:paraId="357AFCB2" w14:textId="77777777">
      <w:pPr>
        <w:rPr>
          <w:szCs w:val="24"/>
        </w:rPr>
      </w:pPr>
    </w:p>
    <w:p w:rsidR="00A3593B" w:rsidRPr="00420DF3" w:rsidP="00A3593B" w14:paraId="4A3CF97A" w14:textId="016C5C45">
      <w:pPr>
        <w:rPr>
          <w:szCs w:val="24"/>
        </w:rPr>
      </w:pPr>
      <w:r w:rsidRPr="00420DF3">
        <w:rPr>
          <w:szCs w:val="24"/>
        </w:rPr>
        <w:t>In addition</w:t>
      </w:r>
      <w:r w:rsidR="005A10AB">
        <w:rPr>
          <w:szCs w:val="24"/>
        </w:rPr>
        <w:t>,</w:t>
      </w:r>
      <w:r w:rsidRPr="00420DF3">
        <w:rPr>
          <w:szCs w:val="24"/>
        </w:rPr>
        <w:t xml:space="preserve"> the Agency contacted the following individuals at organizations that have participated in the program in the past to obtain their feedback on the amount of time needed to prepare a proposal and performance reports.  </w:t>
      </w:r>
    </w:p>
    <w:p w:rsidR="00A3593B" w:rsidRPr="00420DF3" w:rsidP="00A3593B" w14:paraId="203B9BBB" w14:textId="77777777">
      <w:pPr>
        <w:rPr>
          <w:szCs w:val="24"/>
        </w:rPr>
      </w:pPr>
    </w:p>
    <w:p w:rsidR="008F000E" w:rsidRPr="00420DF3" w14:paraId="57E05374" w14:textId="77777777">
      <w:pPr>
        <w:rPr>
          <w:szCs w:val="24"/>
        </w:rPr>
      </w:pPr>
      <w:r w:rsidRPr="00420DF3">
        <w:rPr>
          <w:szCs w:val="24"/>
        </w:rPr>
        <w:t>Clark Shores Water Corporation</w:t>
      </w:r>
    </w:p>
    <w:p w:rsidR="00894FD9" w:rsidRPr="00420DF3" w:rsidP="00990CF1" w14:paraId="0EC10B2C" w14:textId="13DC7429">
      <w:pPr>
        <w:rPr>
          <w:szCs w:val="24"/>
        </w:rPr>
      </w:pPr>
      <w:r w:rsidRPr="00420DF3">
        <w:rPr>
          <w:szCs w:val="24"/>
        </w:rPr>
        <w:t>W</w:t>
      </w:r>
      <w:r w:rsidRPr="00420DF3" w:rsidR="005E2A47">
        <w:rPr>
          <w:szCs w:val="24"/>
        </w:rPr>
        <w:t>WLG</w:t>
      </w:r>
    </w:p>
    <w:p w:rsidR="0013155F" w:rsidRPr="00420DF3" w:rsidP="00415C5A" w14:paraId="3E5625DF" w14:textId="1E7D5ED1">
      <w:pPr>
        <w:pStyle w:val="NormalWeb"/>
        <w:numPr>
          <w:ilvl w:val="0"/>
          <w:numId w:val="28"/>
        </w:numPr>
        <w:spacing w:before="0" w:beforeAutospacing="0" w:after="0" w:afterAutospacing="0"/>
        <w:rPr>
          <w:color w:val="000000"/>
        </w:rPr>
      </w:pPr>
      <w:r w:rsidRPr="00420DF3">
        <w:rPr>
          <w:color w:val="000000"/>
        </w:rPr>
        <w:t>PO Box 1122, Lakeville MA</w:t>
      </w:r>
    </w:p>
    <w:p w:rsidR="0013155F" w:rsidRPr="00420DF3" w:rsidP="0013155F" w14:paraId="09F7A18C" w14:textId="318EE261">
      <w:pPr>
        <w:pStyle w:val="NormalWeb"/>
        <w:numPr>
          <w:ilvl w:val="0"/>
          <w:numId w:val="28"/>
        </w:numPr>
        <w:spacing w:before="0" w:beforeAutospacing="0" w:after="0" w:afterAutospacing="0"/>
        <w:rPr>
          <w:color w:val="000000"/>
        </w:rPr>
      </w:pPr>
      <w:r w:rsidRPr="00420DF3">
        <w:rPr>
          <w:color w:val="000000"/>
        </w:rPr>
        <w:t>President, 781-689-5509</w:t>
      </w:r>
    </w:p>
    <w:p w:rsidR="007D5A8E" w:rsidRPr="00420DF3" w:rsidP="0013155F" w14:paraId="77FCE2B1" w14:textId="71152DE5">
      <w:pPr>
        <w:pStyle w:val="NormalWeb"/>
        <w:numPr>
          <w:ilvl w:val="0"/>
          <w:numId w:val="28"/>
        </w:numPr>
        <w:spacing w:before="0" w:beforeAutospacing="0" w:after="0" w:afterAutospacing="0"/>
        <w:rPr>
          <w:color w:val="000000"/>
        </w:rPr>
      </w:pPr>
      <w:hyperlink r:id="rId16" w:history="1">
        <w:r w:rsidRPr="00420DF3">
          <w:rPr>
            <w:rStyle w:val="Hyperlink"/>
          </w:rPr>
          <w:t>clarkshoreswatercorporation@gmail.com</w:t>
        </w:r>
      </w:hyperlink>
      <w:r w:rsidRPr="00420DF3">
        <w:t xml:space="preserve"> </w:t>
      </w:r>
    </w:p>
    <w:p w:rsidR="0013155F" w:rsidRPr="00420DF3" w:rsidP="0013155F" w14:paraId="7BFD40E9" w14:textId="79E38AA7">
      <w:pPr>
        <w:pStyle w:val="NormalWeb"/>
        <w:numPr>
          <w:ilvl w:val="0"/>
          <w:numId w:val="28"/>
        </w:numPr>
        <w:spacing w:before="0" w:beforeAutospacing="0" w:after="0" w:afterAutospacing="0"/>
        <w:rPr>
          <w:color w:val="000000"/>
        </w:rPr>
      </w:pPr>
      <w:r w:rsidRPr="00420DF3">
        <w:rPr>
          <w:color w:val="000000"/>
        </w:rPr>
        <w:t>Amount of servicing and reporting required was reasonable based on the amount of funds and use.  USDA staff and website very helpful in finding requirements, forms, and instructions.  Record keeping was a bit confusing on keeping records for the life of the loan and reserve account requirements.</w:t>
      </w:r>
    </w:p>
    <w:p w:rsidR="005E2A47" w:rsidRPr="00420DF3" w:rsidP="00990CF1" w14:paraId="6903B98A" w14:textId="77777777">
      <w:pPr>
        <w:pStyle w:val="NormalWeb"/>
        <w:spacing w:before="0" w:beforeAutospacing="0" w:after="0" w:afterAutospacing="0"/>
        <w:ind w:left="720"/>
        <w:rPr>
          <w:color w:val="000000"/>
        </w:rPr>
      </w:pPr>
    </w:p>
    <w:p w:rsidR="00527993" w:rsidRPr="00420DF3" w:rsidP="00990CF1" w14:paraId="4A203CB1" w14:textId="77777777">
      <w:pPr>
        <w:pStyle w:val="NormalWeb"/>
        <w:spacing w:before="0" w:beforeAutospacing="0" w:after="0" w:afterAutospacing="0"/>
        <w:rPr>
          <w:color w:val="000000"/>
        </w:rPr>
      </w:pPr>
      <w:r w:rsidRPr="00420DF3">
        <w:rPr>
          <w:color w:val="000000"/>
        </w:rPr>
        <w:t>Maricopa Mountain Domestic Water Improvement District</w:t>
      </w:r>
    </w:p>
    <w:p w:rsidR="005E2A47" w:rsidRPr="00420DF3" w:rsidP="00990CF1" w14:paraId="7AA2BD8D" w14:textId="7ABFF42F">
      <w:pPr>
        <w:pStyle w:val="NormalWeb"/>
        <w:spacing w:before="0" w:beforeAutospacing="0" w:after="0" w:afterAutospacing="0"/>
        <w:rPr>
          <w:color w:val="000000"/>
        </w:rPr>
      </w:pPr>
      <w:r w:rsidRPr="00420DF3">
        <w:rPr>
          <w:color w:val="000000"/>
        </w:rPr>
        <w:t>Colonias</w:t>
      </w:r>
    </w:p>
    <w:p w:rsidR="00EC5DFA" w:rsidRPr="00420DF3" w:rsidP="00EC5DFA" w14:paraId="4851F14B" w14:textId="77777777">
      <w:pPr>
        <w:pStyle w:val="NormalWeb"/>
        <w:numPr>
          <w:ilvl w:val="0"/>
          <w:numId w:val="25"/>
        </w:numPr>
        <w:spacing w:before="0" w:beforeAutospacing="0" w:after="0" w:afterAutospacing="0"/>
        <w:rPr>
          <w:color w:val="000000"/>
        </w:rPr>
      </w:pPr>
      <w:r w:rsidRPr="00420DF3">
        <w:rPr>
          <w:color w:val="000000"/>
        </w:rPr>
        <w:t>727 North Amarillo Valley Road, Maricopa, AZ</w:t>
      </w:r>
    </w:p>
    <w:p w:rsidR="00EC5DFA" w:rsidRPr="00420DF3" w:rsidP="00EC5DFA" w14:paraId="0AA2B552" w14:textId="1EFEE290">
      <w:pPr>
        <w:pStyle w:val="NormalWeb"/>
        <w:numPr>
          <w:ilvl w:val="0"/>
          <w:numId w:val="25"/>
        </w:numPr>
        <w:spacing w:before="0" w:beforeAutospacing="0" w:after="0" w:afterAutospacing="0"/>
        <w:rPr>
          <w:color w:val="000000"/>
        </w:rPr>
      </w:pPr>
      <w:r w:rsidRPr="00420DF3">
        <w:rPr>
          <w:color w:val="000000"/>
        </w:rPr>
        <w:t>Office Manager, 520-424-9646</w:t>
      </w:r>
    </w:p>
    <w:p w:rsidR="00EC5DFA" w:rsidRPr="00420DF3" w:rsidP="00EC5DFA" w14:paraId="1F12D3EC" w14:textId="53B9EFD9">
      <w:pPr>
        <w:pStyle w:val="NormalWeb"/>
        <w:numPr>
          <w:ilvl w:val="0"/>
          <w:numId w:val="25"/>
        </w:numPr>
        <w:spacing w:before="0" w:beforeAutospacing="0" w:after="0" w:afterAutospacing="0"/>
        <w:rPr>
          <w:color w:val="000000"/>
        </w:rPr>
      </w:pPr>
      <w:r w:rsidRPr="00420DF3">
        <w:rPr>
          <w:color w:val="000000"/>
        </w:rPr>
        <w:t>Felt servicing forms, instructions, and reporting requirements were easy to find and follow.  Servicing requirements were laid out in the grant agreement and Letter of Conditions.</w:t>
      </w:r>
    </w:p>
    <w:p w:rsidR="00A3593B" w:rsidRPr="00420DF3" w:rsidP="000B25F9" w14:paraId="1BFDED63" w14:textId="77777777">
      <w:pPr>
        <w:rPr>
          <w:szCs w:val="24"/>
          <w:highlight w:val="yellow"/>
        </w:rPr>
      </w:pPr>
    </w:p>
    <w:p w:rsidR="0018380B" w:rsidRPr="00420DF3" w:rsidP="00990CF1" w14:paraId="53A064E8" w14:textId="77777777">
      <w:pPr>
        <w:pStyle w:val="NormalWeb"/>
        <w:spacing w:before="0" w:beforeAutospacing="0" w:after="0" w:afterAutospacing="0"/>
        <w:rPr>
          <w:color w:val="000000"/>
        </w:rPr>
      </w:pPr>
      <w:r w:rsidRPr="00420DF3">
        <w:rPr>
          <w:color w:val="000000"/>
        </w:rPr>
        <w:t>Turtle Mountain Public Utilities Commission</w:t>
      </w:r>
    </w:p>
    <w:p w:rsidR="00EF67B3" w:rsidRPr="00420DF3" w:rsidP="00990CF1" w14:paraId="3C650A00" w14:textId="68A7D39D">
      <w:pPr>
        <w:pStyle w:val="NormalWeb"/>
        <w:spacing w:before="0" w:beforeAutospacing="0" w:after="0" w:afterAutospacing="0"/>
        <w:rPr>
          <w:color w:val="000000"/>
        </w:rPr>
      </w:pPr>
      <w:r w:rsidRPr="00420DF3">
        <w:rPr>
          <w:color w:val="000000"/>
        </w:rPr>
        <w:t xml:space="preserve">Tribal </w:t>
      </w:r>
    </w:p>
    <w:p w:rsidR="000E3AB6" w:rsidRPr="00420DF3" w:rsidP="000B25F9" w14:paraId="630E6DC6" w14:textId="3F36B0FF">
      <w:pPr>
        <w:pStyle w:val="NormalWeb"/>
        <w:numPr>
          <w:ilvl w:val="0"/>
          <w:numId w:val="26"/>
        </w:numPr>
        <w:spacing w:before="0" w:beforeAutospacing="0" w:after="0" w:afterAutospacing="0"/>
        <w:rPr>
          <w:color w:val="000000"/>
        </w:rPr>
      </w:pPr>
      <w:r w:rsidRPr="00420DF3">
        <w:rPr>
          <w:color w:val="000000"/>
        </w:rPr>
        <w:t xml:space="preserve">PO Box </w:t>
      </w:r>
      <w:r w:rsidRPr="00420DF3" w:rsidR="00B658C9">
        <w:rPr>
          <w:color w:val="000000"/>
        </w:rPr>
        <w:t>490</w:t>
      </w:r>
      <w:r w:rsidRPr="00420DF3">
        <w:rPr>
          <w:color w:val="000000"/>
        </w:rPr>
        <w:t>, Belcourt, North Dakota</w:t>
      </w:r>
    </w:p>
    <w:p w:rsidR="000E3AB6" w:rsidRPr="00420DF3" w:rsidP="000B25F9" w14:paraId="3B96370C" w14:textId="3030F649">
      <w:pPr>
        <w:pStyle w:val="NormalWeb"/>
        <w:numPr>
          <w:ilvl w:val="0"/>
          <w:numId w:val="26"/>
        </w:numPr>
        <w:spacing w:before="0" w:beforeAutospacing="0" w:after="0" w:afterAutospacing="0"/>
        <w:rPr>
          <w:color w:val="000000"/>
        </w:rPr>
      </w:pPr>
      <w:r w:rsidRPr="00420DF3">
        <w:rPr>
          <w:color w:val="000000"/>
        </w:rPr>
        <w:t>President, 701-</w:t>
      </w:r>
      <w:r w:rsidRPr="00420DF3" w:rsidR="00997A01">
        <w:rPr>
          <w:color w:val="000000"/>
        </w:rPr>
        <w:t>477-6159</w:t>
      </w:r>
    </w:p>
    <w:p w:rsidR="000E3AB6" w:rsidRPr="00420DF3" w:rsidP="000E3AB6" w14:paraId="0CCA9357" w14:textId="273E74E6">
      <w:pPr>
        <w:pStyle w:val="NormalWeb"/>
        <w:numPr>
          <w:ilvl w:val="0"/>
          <w:numId w:val="26"/>
        </w:numPr>
        <w:spacing w:before="0" w:beforeAutospacing="0" w:after="0" w:afterAutospacing="0"/>
        <w:rPr>
          <w:color w:val="000000"/>
        </w:rPr>
      </w:pPr>
      <w:r w:rsidRPr="00420DF3">
        <w:rPr>
          <w:color w:val="000000"/>
        </w:rPr>
        <w:t>Reporting was reasonable, but would have liked more information in the application, seems to be different thresholds and criteria for different applications, USDA staff always helpful and give clear directions, website is helpful as well.</w:t>
      </w:r>
    </w:p>
    <w:p w:rsidR="00836D3C" w:rsidRPr="00420DF3" w:rsidP="0077019F" w14:paraId="407F9545" w14:textId="77777777">
      <w:pPr>
        <w:rPr>
          <w:rStyle w:val="postal-code"/>
          <w:szCs w:val="24"/>
        </w:rPr>
      </w:pPr>
    </w:p>
    <w:p w:rsidR="0077019F" w:rsidRPr="00420DF3" w:rsidP="0077019F" w14:paraId="798E3BCC" w14:textId="77777777">
      <w:pPr>
        <w:pStyle w:val="BodyText2"/>
        <w:rPr>
          <w:rFonts w:ascii="Times New Roman" w:hAnsi="Times New Roman"/>
          <w:sz w:val="24"/>
          <w:szCs w:val="24"/>
        </w:rPr>
      </w:pPr>
      <w:r w:rsidRPr="00420DF3">
        <w:rPr>
          <w:rFonts w:ascii="Times New Roman" w:hAnsi="Times New Roman"/>
          <w:b/>
          <w:sz w:val="24"/>
          <w:szCs w:val="24"/>
          <w:u w:val="single"/>
        </w:rPr>
        <w:t>9.  Explain any decision to provide any payment or gift to respondents, other than</w:t>
      </w:r>
    </w:p>
    <w:p w:rsidR="0077019F" w:rsidRPr="00420DF3" w:rsidP="0077019F" w14:paraId="6099091A" w14:textId="757404EE">
      <w:pPr>
        <w:pStyle w:val="BodyText2"/>
        <w:rPr>
          <w:rFonts w:ascii="Times New Roman" w:hAnsi="Times New Roman"/>
          <w:sz w:val="24"/>
          <w:szCs w:val="24"/>
        </w:rPr>
      </w:pPr>
      <w:r w:rsidRPr="00420DF3">
        <w:rPr>
          <w:rFonts w:ascii="Times New Roman" w:hAnsi="Times New Roman"/>
          <w:b/>
          <w:sz w:val="24"/>
          <w:szCs w:val="24"/>
          <w:u w:val="single"/>
        </w:rPr>
        <w:t>re</w:t>
      </w:r>
      <w:r w:rsidRPr="00420DF3" w:rsidR="005A3DAB">
        <w:rPr>
          <w:rFonts w:ascii="Times New Roman" w:hAnsi="Times New Roman"/>
          <w:b/>
          <w:sz w:val="24"/>
          <w:szCs w:val="24"/>
          <w:u w:val="single"/>
        </w:rPr>
        <w:t xml:space="preserve">muneration </w:t>
      </w:r>
      <w:r w:rsidRPr="00420DF3">
        <w:rPr>
          <w:rFonts w:ascii="Times New Roman" w:hAnsi="Times New Roman"/>
          <w:b/>
          <w:sz w:val="24"/>
          <w:szCs w:val="24"/>
          <w:u w:val="single"/>
        </w:rPr>
        <w:t>of contractors or grantees.</w:t>
      </w:r>
    </w:p>
    <w:p w:rsidR="0077019F" w:rsidRPr="00420DF3" w:rsidP="0077019F" w14:paraId="69FF1E5B" w14:textId="77777777">
      <w:pPr>
        <w:pStyle w:val="BodyText2"/>
        <w:rPr>
          <w:rFonts w:ascii="Times New Roman" w:hAnsi="Times New Roman"/>
          <w:sz w:val="24"/>
          <w:szCs w:val="24"/>
        </w:rPr>
      </w:pPr>
    </w:p>
    <w:p w:rsidR="0077019F" w:rsidRPr="00420DF3" w:rsidP="001D73F4" w14:paraId="7B3C892F" w14:textId="77777777">
      <w:pPr>
        <w:pStyle w:val="BodyText2"/>
        <w:rPr>
          <w:rFonts w:ascii="Times New Roman" w:hAnsi="Times New Roman"/>
          <w:sz w:val="24"/>
          <w:szCs w:val="24"/>
        </w:rPr>
      </w:pPr>
      <w:r w:rsidRPr="00420DF3">
        <w:rPr>
          <w:rFonts w:ascii="Times New Roman" w:hAnsi="Times New Roman"/>
          <w:sz w:val="24"/>
          <w:szCs w:val="24"/>
        </w:rPr>
        <w:t>There is no payment or gift to respondents.</w:t>
      </w:r>
    </w:p>
    <w:p w:rsidR="0077019F" w:rsidRPr="00420DF3" w:rsidP="0077019F" w14:paraId="5C67C124" w14:textId="77777777">
      <w:pPr>
        <w:pStyle w:val="BodyText2"/>
        <w:rPr>
          <w:rFonts w:ascii="Times New Roman" w:hAnsi="Times New Roman"/>
          <w:sz w:val="24"/>
          <w:szCs w:val="24"/>
        </w:rPr>
      </w:pPr>
    </w:p>
    <w:p w:rsidR="0077019F" w:rsidRPr="00420DF3" w:rsidP="0077019F" w14:paraId="4C87D194" w14:textId="77777777">
      <w:pPr>
        <w:pStyle w:val="BodyText2"/>
        <w:rPr>
          <w:rFonts w:ascii="Times New Roman" w:hAnsi="Times New Roman"/>
          <w:b/>
          <w:sz w:val="24"/>
          <w:szCs w:val="24"/>
          <w:u w:val="single"/>
        </w:rPr>
      </w:pPr>
      <w:r w:rsidRPr="00420DF3">
        <w:rPr>
          <w:rFonts w:ascii="Times New Roman" w:hAnsi="Times New Roman"/>
          <w:b/>
          <w:sz w:val="24"/>
          <w:szCs w:val="24"/>
          <w:u w:val="single"/>
        </w:rPr>
        <w:t>10.  Describe any assurance of confidentiality provided to respondents and the basis for the</w:t>
      </w:r>
    </w:p>
    <w:p w:rsidR="0077019F" w:rsidRPr="00420DF3" w:rsidP="0077019F" w14:paraId="117FE5EC" w14:textId="77777777">
      <w:pPr>
        <w:pStyle w:val="BodyText2"/>
        <w:rPr>
          <w:rFonts w:ascii="Times New Roman" w:hAnsi="Times New Roman"/>
          <w:b/>
          <w:sz w:val="24"/>
          <w:szCs w:val="24"/>
          <w:u w:val="single"/>
        </w:rPr>
      </w:pPr>
      <w:r w:rsidRPr="00420DF3">
        <w:rPr>
          <w:rFonts w:ascii="Times New Roman" w:hAnsi="Times New Roman"/>
          <w:b/>
          <w:sz w:val="24"/>
          <w:szCs w:val="24"/>
          <w:u w:val="single"/>
        </w:rPr>
        <w:t>assurance in statute, regulation, or Agency policy.</w:t>
      </w:r>
    </w:p>
    <w:p w:rsidR="0077019F" w:rsidRPr="00420DF3" w:rsidP="0077019F" w14:paraId="72A44953" w14:textId="77777777">
      <w:pPr>
        <w:pStyle w:val="BodyText2"/>
        <w:rPr>
          <w:rFonts w:ascii="Times New Roman" w:hAnsi="Times New Roman"/>
          <w:b/>
          <w:sz w:val="24"/>
          <w:szCs w:val="24"/>
          <w:u w:val="single"/>
        </w:rPr>
      </w:pPr>
    </w:p>
    <w:p w:rsidR="00C73863" w:rsidP="0020638F" w14:paraId="588DA642" w14:textId="77777777">
      <w:pPr>
        <w:rPr>
          <w:szCs w:val="24"/>
        </w:rPr>
      </w:pPr>
      <w:r w:rsidRPr="00420DF3">
        <w:rPr>
          <w:szCs w:val="24"/>
        </w:rPr>
        <w:t xml:space="preserve">No assurance of confidentiality has been provided to the respondents.  </w:t>
      </w:r>
    </w:p>
    <w:p w:rsidR="00C73863" w:rsidRPr="008B775A" w:rsidP="0020638F" w14:paraId="67A87D87" w14:textId="77777777">
      <w:pPr>
        <w:rPr>
          <w:szCs w:val="24"/>
        </w:rPr>
      </w:pPr>
    </w:p>
    <w:p w:rsidR="008B775A" w:rsidRPr="008B775A" w:rsidP="008B775A" w14:paraId="62A4973B" w14:textId="05B9E7BB">
      <w:pPr>
        <w:rPr>
          <w:szCs w:val="24"/>
        </w:rPr>
      </w:pPr>
      <w:r w:rsidRPr="0039592E">
        <w:rPr>
          <w:szCs w:val="24"/>
        </w:rPr>
        <w:t>The Agency published a Privacy Act of 1974; System of Records in the Federal Register on September 6, 2024 (</w:t>
      </w:r>
      <w:hyperlink r:id="rId17" w:history="1">
        <w:r w:rsidRPr="0039592E">
          <w:rPr>
            <w:rStyle w:val="Hyperlink"/>
          </w:rPr>
          <w:t>89 FR 72820</w:t>
        </w:r>
      </w:hyperlink>
      <w:r w:rsidRPr="0039592E">
        <w:rPr>
          <w:szCs w:val="24"/>
        </w:rPr>
        <w:t>).</w:t>
      </w:r>
      <w:r w:rsidRPr="008B775A">
        <w:rPr>
          <w:szCs w:val="24"/>
        </w:rPr>
        <w:t> </w:t>
      </w:r>
    </w:p>
    <w:p w:rsidR="0077019F" w:rsidRPr="00420DF3" w:rsidP="001D73F4" w14:paraId="239DF701" w14:textId="01DFFDE0">
      <w:pPr>
        <w:rPr>
          <w:szCs w:val="24"/>
        </w:rPr>
      </w:pPr>
      <w:r w:rsidRPr="008B775A">
        <w:rPr>
          <w:szCs w:val="24"/>
        </w:rPr>
        <w:t> </w:t>
      </w:r>
    </w:p>
    <w:p w:rsidR="0077019F" w:rsidRPr="00420DF3" w:rsidP="0077019F" w14:paraId="24C86CBB" w14:textId="77777777">
      <w:pPr>
        <w:pStyle w:val="BodyText2"/>
        <w:rPr>
          <w:rFonts w:ascii="Times New Roman" w:hAnsi="Times New Roman"/>
          <w:b/>
          <w:sz w:val="24"/>
          <w:szCs w:val="24"/>
          <w:u w:val="single"/>
        </w:rPr>
      </w:pPr>
      <w:r w:rsidRPr="00420DF3">
        <w:rPr>
          <w:rFonts w:ascii="Times New Roman" w:hAnsi="Times New Roman"/>
          <w:b/>
          <w:sz w:val="24"/>
          <w:szCs w:val="24"/>
          <w:u w:val="single"/>
        </w:rPr>
        <w:t>11.  Provide additional justification for any question of a sensitive nature, such as sexual</w:t>
      </w:r>
    </w:p>
    <w:p w:rsidR="0077019F" w:rsidRPr="00420DF3" w:rsidP="0077019F" w14:paraId="38000D50" w14:textId="77777777">
      <w:pPr>
        <w:pStyle w:val="BodyText2"/>
        <w:rPr>
          <w:rFonts w:ascii="Times New Roman" w:hAnsi="Times New Roman"/>
          <w:sz w:val="24"/>
          <w:szCs w:val="24"/>
        </w:rPr>
      </w:pPr>
      <w:r w:rsidRPr="00420DF3">
        <w:rPr>
          <w:rFonts w:ascii="Times New Roman" w:hAnsi="Times New Roman"/>
          <w:b/>
          <w:sz w:val="24"/>
          <w:szCs w:val="24"/>
          <w:u w:val="single"/>
        </w:rPr>
        <w:t>behavior or attitude, religious beliefs, and other matters that are commonly considered private.</w:t>
      </w:r>
    </w:p>
    <w:p w:rsidR="0077019F" w:rsidRPr="00420DF3" w:rsidP="0077019F" w14:paraId="750B858F" w14:textId="77777777">
      <w:pPr>
        <w:pStyle w:val="BodyText2"/>
        <w:rPr>
          <w:rFonts w:ascii="Times New Roman" w:hAnsi="Times New Roman"/>
          <w:sz w:val="24"/>
          <w:szCs w:val="24"/>
        </w:rPr>
      </w:pPr>
    </w:p>
    <w:p w:rsidR="0077019F" w:rsidRPr="00420DF3" w:rsidP="001D73F4" w14:paraId="560FB470" w14:textId="77777777">
      <w:pPr>
        <w:pStyle w:val="BodyText2"/>
        <w:rPr>
          <w:rFonts w:ascii="Times New Roman" w:hAnsi="Times New Roman"/>
          <w:sz w:val="24"/>
          <w:szCs w:val="24"/>
        </w:rPr>
      </w:pPr>
      <w:r w:rsidRPr="00420DF3">
        <w:rPr>
          <w:rFonts w:ascii="Times New Roman" w:hAnsi="Times New Roman"/>
          <w:sz w:val="24"/>
          <w:szCs w:val="24"/>
        </w:rPr>
        <w:t>Financial information is being requested to determine the eligibility for various servicing benefits.  There are no questions of a sensitive nature</w:t>
      </w:r>
      <w:r w:rsidRPr="00420DF3" w:rsidR="00836D3C">
        <w:rPr>
          <w:rFonts w:ascii="Times New Roman" w:hAnsi="Times New Roman"/>
          <w:sz w:val="24"/>
          <w:szCs w:val="24"/>
        </w:rPr>
        <w:t>, as outlined in this question</w:t>
      </w:r>
      <w:r w:rsidRPr="00420DF3">
        <w:rPr>
          <w:rFonts w:ascii="Times New Roman" w:hAnsi="Times New Roman"/>
          <w:sz w:val="24"/>
          <w:szCs w:val="24"/>
        </w:rPr>
        <w:t>.</w:t>
      </w:r>
    </w:p>
    <w:p w:rsidR="00836D3C" w:rsidRPr="00420DF3" w:rsidP="0077019F" w14:paraId="50154721" w14:textId="77777777">
      <w:pPr>
        <w:pStyle w:val="BodyText2"/>
        <w:rPr>
          <w:rFonts w:ascii="Times New Roman" w:hAnsi="Times New Roman"/>
          <w:sz w:val="24"/>
          <w:szCs w:val="24"/>
        </w:rPr>
      </w:pPr>
    </w:p>
    <w:p w:rsidR="0077019F" w:rsidRPr="00420DF3" w:rsidP="0077019F" w14:paraId="5B56A25D" w14:textId="77777777">
      <w:pPr>
        <w:pStyle w:val="BodyText2"/>
        <w:rPr>
          <w:rFonts w:ascii="Times New Roman" w:hAnsi="Times New Roman"/>
          <w:sz w:val="24"/>
          <w:szCs w:val="24"/>
        </w:rPr>
      </w:pPr>
      <w:r w:rsidRPr="00420DF3">
        <w:rPr>
          <w:rFonts w:ascii="Times New Roman" w:hAnsi="Times New Roman"/>
          <w:b/>
          <w:sz w:val="24"/>
          <w:szCs w:val="24"/>
          <w:u w:val="single"/>
        </w:rPr>
        <w:t>12.  Provide estimates of the hour burden of the collection of information.</w:t>
      </w:r>
    </w:p>
    <w:p w:rsidR="0077019F" w:rsidRPr="00420DF3" w:rsidP="0077019F" w14:paraId="259FC0C6" w14:textId="77777777">
      <w:pPr>
        <w:pStyle w:val="BodyText2"/>
        <w:rPr>
          <w:rFonts w:ascii="Times New Roman" w:hAnsi="Times New Roman"/>
          <w:sz w:val="24"/>
          <w:szCs w:val="24"/>
          <w:highlight w:val="green"/>
        </w:rPr>
      </w:pPr>
    </w:p>
    <w:p w:rsidR="004922D5" w:rsidRPr="00420DF3" w:rsidP="004922D5" w14:paraId="5217B398" w14:textId="63AC2685">
      <w:pPr>
        <w:rPr>
          <w:szCs w:val="24"/>
        </w:rPr>
      </w:pPr>
      <w:r w:rsidRPr="00420DF3">
        <w:rPr>
          <w:szCs w:val="24"/>
        </w:rPr>
        <w:t>Table 12.1, Total Cost of Burden, shown below summarizes the estimated average annual burden associated with the programs covered within this package</w:t>
      </w:r>
      <w:r w:rsidR="00183DB5">
        <w:rPr>
          <w:szCs w:val="24"/>
        </w:rPr>
        <w:t xml:space="preserve"> plus the </w:t>
      </w:r>
      <w:r w:rsidR="00990756">
        <w:rPr>
          <w:szCs w:val="24"/>
        </w:rPr>
        <w:t xml:space="preserve">estimated average annual burden associated with the programs </w:t>
      </w:r>
      <w:r w:rsidR="00B5192D">
        <w:rPr>
          <w:szCs w:val="24"/>
        </w:rPr>
        <w:t>that use the Forms cleared in this package</w:t>
      </w:r>
      <w:r w:rsidRPr="00420DF3">
        <w:rPr>
          <w:szCs w:val="24"/>
        </w:rPr>
        <w:t xml:space="preserve">.  The attached Burden Hours workbook provides an Information Collection Burden Hours worksheet </w:t>
      </w:r>
      <w:r w:rsidRPr="00420DF3" w:rsidR="009331D1">
        <w:rPr>
          <w:szCs w:val="24"/>
        </w:rPr>
        <w:t xml:space="preserve">that </w:t>
      </w:r>
      <w:r w:rsidRPr="00420DF3">
        <w:rPr>
          <w:szCs w:val="24"/>
        </w:rPr>
        <w:t xml:space="preserve">details the estimates.  </w:t>
      </w:r>
    </w:p>
    <w:p w:rsidR="004922D5" w:rsidRPr="00420DF3" w:rsidP="004922D5" w14:paraId="41FF553E" w14:textId="77777777">
      <w:pPr>
        <w:jc w:val="center"/>
        <w:rPr>
          <w:szCs w:val="24"/>
        </w:rPr>
      </w:pPr>
      <w:r w:rsidRPr="00420DF3">
        <w:rPr>
          <w:b/>
          <w:bCs/>
          <w:szCs w:val="24"/>
        </w:rPr>
        <w:t>Table 12.1 - Total Cost of Burden</w:t>
      </w:r>
      <w:r w:rsidRPr="00420DF3">
        <w:rPr>
          <w:szCs w:val="24"/>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2070"/>
        <w:gridCol w:w="2152"/>
        <w:gridCol w:w="2078"/>
      </w:tblGrid>
      <w:tr w14:paraId="4421A041" w14:textId="289C635F" w:rsidTr="00107598">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06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1C4619" w:rsidRPr="00420DF3" w:rsidP="001C4619" w14:paraId="6FD0CA4E" w14:textId="77777777">
            <w:pPr>
              <w:suppressAutoHyphens/>
              <w:jc w:val="center"/>
              <w:rPr>
                <w:b/>
                <w:bCs/>
                <w:szCs w:val="24"/>
              </w:rPr>
            </w:pPr>
            <w:r w:rsidRPr="00420DF3">
              <w:rPr>
                <w:b/>
                <w:bCs/>
                <w:szCs w:val="24"/>
              </w:rPr>
              <w:t>Burden Item</w:t>
            </w:r>
          </w:p>
        </w:tc>
        <w:tc>
          <w:tcPr>
            <w:tcW w:w="207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1C4619" w:rsidRPr="00420DF3" w:rsidP="00301CF6" w14:paraId="5F871C62" w14:textId="2D9ACEAF">
            <w:pPr>
              <w:suppressAutoHyphens/>
              <w:jc w:val="center"/>
              <w:rPr>
                <w:b/>
                <w:bCs/>
                <w:szCs w:val="24"/>
              </w:rPr>
            </w:pPr>
            <w:r>
              <w:rPr>
                <w:b/>
                <w:bCs/>
                <w:szCs w:val="24"/>
              </w:rPr>
              <w:t>0572-0137 Burden</w:t>
            </w:r>
          </w:p>
        </w:tc>
        <w:tc>
          <w:tcPr>
            <w:tcW w:w="2152"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961A49" w:rsidRPr="00420DF3" w:rsidP="00301CF6" w14:paraId="4660B0B0" w14:textId="54713760">
            <w:pPr>
              <w:suppressAutoHyphens/>
              <w:jc w:val="center"/>
              <w:rPr>
                <w:b/>
                <w:bCs/>
                <w:szCs w:val="24"/>
              </w:rPr>
            </w:pPr>
            <w:r>
              <w:rPr>
                <w:b/>
                <w:bCs/>
                <w:szCs w:val="24"/>
              </w:rPr>
              <w:t>0572-0121 Use of Forms Burden</w:t>
            </w:r>
          </w:p>
        </w:tc>
        <w:tc>
          <w:tcPr>
            <w:tcW w:w="2078"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1C4619" w:rsidRPr="00420DF3" w:rsidP="001C4619" w14:paraId="720A8EBF" w14:textId="18BD14DC">
            <w:pPr>
              <w:suppressAutoHyphens/>
              <w:jc w:val="center"/>
              <w:rPr>
                <w:b/>
                <w:bCs/>
                <w:szCs w:val="24"/>
              </w:rPr>
            </w:pPr>
            <w:r>
              <w:rPr>
                <w:b/>
                <w:bCs/>
                <w:szCs w:val="24"/>
              </w:rPr>
              <w:t xml:space="preserve">Total </w:t>
            </w:r>
            <w:r w:rsidRPr="00420DF3">
              <w:rPr>
                <w:b/>
                <w:bCs/>
                <w:szCs w:val="24"/>
              </w:rPr>
              <w:t>Estimated Yearly Average Burden</w:t>
            </w:r>
          </w:p>
        </w:tc>
      </w:tr>
      <w:tr w14:paraId="111EB072" w14:textId="24897047" w:rsidTr="00107598">
        <w:tblPrEx>
          <w:tblW w:w="9360" w:type="dxa"/>
          <w:tblInd w:w="-5" w:type="dxa"/>
          <w:tblLook w:val="01E0"/>
        </w:tblPrEx>
        <w:trPr>
          <w:trHeight w:val="70"/>
        </w:trPr>
        <w:tc>
          <w:tcPr>
            <w:tcW w:w="3060" w:type="dxa"/>
            <w:tcBorders>
              <w:top w:val="single" w:sz="4" w:space="0" w:color="auto"/>
              <w:left w:val="single" w:sz="4" w:space="0" w:color="auto"/>
              <w:bottom w:val="single" w:sz="4" w:space="0" w:color="auto"/>
              <w:right w:val="single" w:sz="4" w:space="0" w:color="auto"/>
            </w:tcBorders>
            <w:hideMark/>
          </w:tcPr>
          <w:p w:rsidR="001C4619" w:rsidRPr="00420DF3" w:rsidP="001C4619" w14:paraId="590DC2C4" w14:textId="77777777">
            <w:pPr>
              <w:suppressAutoHyphens/>
              <w:rPr>
                <w:szCs w:val="24"/>
              </w:rPr>
            </w:pPr>
            <w:r w:rsidRPr="00420DF3">
              <w:rPr>
                <w:szCs w:val="24"/>
              </w:rPr>
              <w:t>Number of Respondents</w:t>
            </w:r>
          </w:p>
        </w:tc>
        <w:tc>
          <w:tcPr>
            <w:tcW w:w="2070" w:type="dxa"/>
            <w:tcBorders>
              <w:top w:val="single" w:sz="4" w:space="0" w:color="auto"/>
              <w:left w:val="single" w:sz="4" w:space="0" w:color="auto"/>
              <w:bottom w:val="single" w:sz="4" w:space="0" w:color="auto"/>
              <w:right w:val="single" w:sz="4" w:space="0" w:color="auto"/>
            </w:tcBorders>
          </w:tcPr>
          <w:p w:rsidR="001C4619" w:rsidRPr="00420DF3" w:rsidP="001C4619" w14:paraId="15EF4ACB" w14:textId="54E21300">
            <w:pPr>
              <w:suppressAutoHyphens/>
              <w:jc w:val="right"/>
              <w:rPr>
                <w:szCs w:val="24"/>
              </w:rPr>
            </w:pPr>
            <w:r>
              <w:rPr>
                <w:szCs w:val="24"/>
              </w:rPr>
              <w:t>4,064</w:t>
            </w:r>
          </w:p>
        </w:tc>
        <w:tc>
          <w:tcPr>
            <w:tcW w:w="2152" w:type="dxa"/>
            <w:tcBorders>
              <w:top w:val="single" w:sz="4" w:space="0" w:color="auto"/>
              <w:left w:val="single" w:sz="4" w:space="0" w:color="auto"/>
              <w:bottom w:val="single" w:sz="4" w:space="0" w:color="auto"/>
              <w:right w:val="single" w:sz="4" w:space="0" w:color="auto"/>
            </w:tcBorders>
          </w:tcPr>
          <w:p w:rsidR="001C4619" w:rsidRPr="00420DF3" w:rsidP="001C4619" w14:paraId="6FFD558E" w14:textId="176C6BB2">
            <w:pPr>
              <w:suppressAutoHyphens/>
              <w:jc w:val="right"/>
              <w:rPr>
                <w:szCs w:val="24"/>
              </w:rPr>
            </w:pPr>
            <w:r>
              <w:rPr>
                <w:szCs w:val="24"/>
              </w:rPr>
              <w:t>374</w:t>
            </w:r>
          </w:p>
        </w:tc>
        <w:tc>
          <w:tcPr>
            <w:tcW w:w="2078" w:type="dxa"/>
            <w:tcBorders>
              <w:top w:val="single" w:sz="4" w:space="0" w:color="auto"/>
              <w:left w:val="single" w:sz="4" w:space="0" w:color="auto"/>
              <w:bottom w:val="single" w:sz="4" w:space="0" w:color="auto"/>
              <w:right w:val="single" w:sz="4" w:space="0" w:color="auto"/>
            </w:tcBorders>
          </w:tcPr>
          <w:p w:rsidR="001C4619" w:rsidRPr="00420DF3" w:rsidP="001C4619" w14:paraId="560DBE7D" w14:textId="7BAA78E8">
            <w:pPr>
              <w:suppressAutoHyphens/>
              <w:jc w:val="right"/>
              <w:rPr>
                <w:szCs w:val="24"/>
              </w:rPr>
            </w:pPr>
            <w:r>
              <w:rPr>
                <w:szCs w:val="24"/>
              </w:rPr>
              <w:t>4,438</w:t>
            </w:r>
          </w:p>
        </w:tc>
      </w:tr>
      <w:tr w14:paraId="34948FDA" w14:textId="62879F78" w:rsidTr="00107598">
        <w:tblPrEx>
          <w:tblW w:w="9360" w:type="dxa"/>
          <w:tblInd w:w="-5" w:type="dxa"/>
          <w:tblLook w:val="01E0"/>
        </w:tblPrEx>
        <w:trPr>
          <w:trHeight w:val="70"/>
        </w:trPr>
        <w:tc>
          <w:tcPr>
            <w:tcW w:w="3060" w:type="dxa"/>
            <w:tcBorders>
              <w:top w:val="single" w:sz="4" w:space="0" w:color="auto"/>
              <w:left w:val="single" w:sz="4" w:space="0" w:color="auto"/>
              <w:bottom w:val="single" w:sz="4" w:space="0" w:color="auto"/>
              <w:right w:val="single" w:sz="4" w:space="0" w:color="auto"/>
            </w:tcBorders>
            <w:hideMark/>
          </w:tcPr>
          <w:p w:rsidR="001C4619" w:rsidRPr="00420DF3" w:rsidP="001C4619" w14:paraId="5BB989E5" w14:textId="77777777">
            <w:pPr>
              <w:suppressAutoHyphens/>
              <w:rPr>
                <w:szCs w:val="24"/>
              </w:rPr>
            </w:pPr>
            <w:r w:rsidRPr="00420DF3">
              <w:rPr>
                <w:szCs w:val="24"/>
              </w:rPr>
              <w:t>Annual responses:</w:t>
            </w:r>
          </w:p>
        </w:tc>
        <w:tc>
          <w:tcPr>
            <w:tcW w:w="2070" w:type="dxa"/>
            <w:tcBorders>
              <w:top w:val="single" w:sz="4" w:space="0" w:color="auto"/>
              <w:left w:val="single" w:sz="4" w:space="0" w:color="auto"/>
              <w:bottom w:val="single" w:sz="4" w:space="0" w:color="auto"/>
              <w:right w:val="single" w:sz="4" w:space="0" w:color="auto"/>
            </w:tcBorders>
          </w:tcPr>
          <w:p w:rsidR="001C4619" w:rsidP="001C4619" w14:paraId="2A282624" w14:textId="0DCEFC4F">
            <w:pPr>
              <w:suppressAutoHyphens/>
              <w:jc w:val="right"/>
              <w:rPr>
                <w:szCs w:val="24"/>
              </w:rPr>
            </w:pPr>
            <w:r>
              <w:rPr>
                <w:szCs w:val="24"/>
              </w:rPr>
              <w:t>1</w:t>
            </w:r>
            <w:r w:rsidR="00B43E7F">
              <w:rPr>
                <w:szCs w:val="24"/>
              </w:rPr>
              <w:t>1</w:t>
            </w:r>
            <w:r>
              <w:rPr>
                <w:szCs w:val="24"/>
              </w:rPr>
              <w:t>,</w:t>
            </w:r>
            <w:r w:rsidR="00B43E7F">
              <w:rPr>
                <w:szCs w:val="24"/>
              </w:rPr>
              <w:t>949</w:t>
            </w:r>
          </w:p>
        </w:tc>
        <w:tc>
          <w:tcPr>
            <w:tcW w:w="2152" w:type="dxa"/>
            <w:tcBorders>
              <w:top w:val="single" w:sz="4" w:space="0" w:color="auto"/>
              <w:left w:val="single" w:sz="4" w:space="0" w:color="auto"/>
              <w:bottom w:val="single" w:sz="4" w:space="0" w:color="auto"/>
              <w:right w:val="single" w:sz="4" w:space="0" w:color="auto"/>
            </w:tcBorders>
          </w:tcPr>
          <w:p w:rsidR="001C4619" w:rsidP="001C4619" w14:paraId="5BE2E503" w14:textId="5812FBFE">
            <w:pPr>
              <w:suppressAutoHyphens/>
              <w:jc w:val="right"/>
              <w:rPr>
                <w:szCs w:val="24"/>
              </w:rPr>
            </w:pPr>
            <w:r>
              <w:rPr>
                <w:szCs w:val="24"/>
              </w:rPr>
              <w:t>1,122</w:t>
            </w:r>
          </w:p>
        </w:tc>
        <w:tc>
          <w:tcPr>
            <w:tcW w:w="2078" w:type="dxa"/>
            <w:tcBorders>
              <w:top w:val="single" w:sz="4" w:space="0" w:color="auto"/>
              <w:left w:val="single" w:sz="4" w:space="0" w:color="auto"/>
              <w:bottom w:val="single" w:sz="4" w:space="0" w:color="auto"/>
              <w:right w:val="single" w:sz="4" w:space="0" w:color="auto"/>
            </w:tcBorders>
          </w:tcPr>
          <w:p w:rsidR="001C4619" w:rsidP="001C4619" w14:paraId="0B53721A" w14:textId="619405FD">
            <w:pPr>
              <w:suppressAutoHyphens/>
              <w:jc w:val="right"/>
              <w:rPr>
                <w:szCs w:val="24"/>
              </w:rPr>
            </w:pPr>
            <w:r>
              <w:rPr>
                <w:szCs w:val="24"/>
              </w:rPr>
              <w:t>13</w:t>
            </w:r>
            <w:r w:rsidR="00A13DAD">
              <w:rPr>
                <w:szCs w:val="24"/>
              </w:rPr>
              <w:t>,</w:t>
            </w:r>
            <w:r>
              <w:rPr>
                <w:szCs w:val="24"/>
              </w:rPr>
              <w:t>071</w:t>
            </w:r>
          </w:p>
        </w:tc>
      </w:tr>
      <w:tr w14:paraId="71823DCD" w14:textId="5A526C25" w:rsidTr="00107598">
        <w:tblPrEx>
          <w:tblW w:w="9360" w:type="dxa"/>
          <w:tblInd w:w="-5" w:type="dxa"/>
          <w:tblLook w:val="01E0"/>
        </w:tblPrEx>
        <w:tc>
          <w:tcPr>
            <w:tcW w:w="3060" w:type="dxa"/>
            <w:tcBorders>
              <w:top w:val="single" w:sz="4" w:space="0" w:color="auto"/>
              <w:left w:val="single" w:sz="4" w:space="0" w:color="auto"/>
              <w:bottom w:val="single" w:sz="4" w:space="0" w:color="auto"/>
              <w:right w:val="single" w:sz="4" w:space="0" w:color="auto"/>
            </w:tcBorders>
            <w:hideMark/>
          </w:tcPr>
          <w:p w:rsidR="001C4619" w:rsidRPr="00420DF3" w:rsidP="001C4619" w14:paraId="425F6441" w14:textId="77777777">
            <w:pPr>
              <w:suppressAutoHyphens/>
              <w:rPr>
                <w:szCs w:val="24"/>
              </w:rPr>
            </w:pPr>
            <w:r w:rsidRPr="00420DF3">
              <w:rPr>
                <w:szCs w:val="24"/>
              </w:rPr>
              <w:t>Total hours:</w:t>
            </w:r>
          </w:p>
        </w:tc>
        <w:tc>
          <w:tcPr>
            <w:tcW w:w="2070" w:type="dxa"/>
            <w:tcBorders>
              <w:top w:val="single" w:sz="4" w:space="0" w:color="auto"/>
              <w:left w:val="single" w:sz="4" w:space="0" w:color="auto"/>
              <w:bottom w:val="single" w:sz="4" w:space="0" w:color="auto"/>
              <w:right w:val="single" w:sz="4" w:space="0" w:color="auto"/>
            </w:tcBorders>
          </w:tcPr>
          <w:p w:rsidR="001C4619" w:rsidRPr="00420DF3" w:rsidP="001C4619" w14:paraId="4C108CD6" w14:textId="13E0F8B1">
            <w:pPr>
              <w:suppressAutoHyphens/>
              <w:jc w:val="right"/>
              <w:rPr>
                <w:szCs w:val="24"/>
              </w:rPr>
            </w:pPr>
            <w:r>
              <w:rPr>
                <w:szCs w:val="24"/>
              </w:rPr>
              <w:t>26</w:t>
            </w:r>
            <w:r w:rsidR="005432B2">
              <w:rPr>
                <w:szCs w:val="24"/>
              </w:rPr>
              <w:t>,</w:t>
            </w:r>
            <w:r>
              <w:rPr>
                <w:szCs w:val="24"/>
              </w:rPr>
              <w:t>45</w:t>
            </w:r>
            <w:r w:rsidR="00AA238C">
              <w:rPr>
                <w:szCs w:val="24"/>
              </w:rPr>
              <w:t>7</w:t>
            </w:r>
          </w:p>
        </w:tc>
        <w:tc>
          <w:tcPr>
            <w:tcW w:w="2152" w:type="dxa"/>
            <w:tcBorders>
              <w:top w:val="single" w:sz="4" w:space="0" w:color="auto"/>
              <w:left w:val="single" w:sz="4" w:space="0" w:color="auto"/>
              <w:bottom w:val="single" w:sz="4" w:space="0" w:color="auto"/>
              <w:right w:val="single" w:sz="4" w:space="0" w:color="auto"/>
            </w:tcBorders>
          </w:tcPr>
          <w:p w:rsidR="001C4619" w:rsidRPr="00420DF3" w:rsidP="001C4619" w14:paraId="3CC7510C" w14:textId="0E6D6835">
            <w:pPr>
              <w:suppressAutoHyphens/>
              <w:jc w:val="right"/>
              <w:rPr>
                <w:szCs w:val="24"/>
              </w:rPr>
            </w:pPr>
            <w:r>
              <w:rPr>
                <w:szCs w:val="24"/>
              </w:rPr>
              <w:t>1,683</w:t>
            </w:r>
          </w:p>
        </w:tc>
        <w:tc>
          <w:tcPr>
            <w:tcW w:w="2078" w:type="dxa"/>
            <w:tcBorders>
              <w:top w:val="single" w:sz="4" w:space="0" w:color="auto"/>
              <w:left w:val="single" w:sz="4" w:space="0" w:color="auto"/>
              <w:bottom w:val="single" w:sz="4" w:space="0" w:color="auto"/>
              <w:right w:val="single" w:sz="4" w:space="0" w:color="auto"/>
            </w:tcBorders>
          </w:tcPr>
          <w:p w:rsidR="001C4619" w:rsidRPr="00420DF3" w:rsidP="001C4619" w14:paraId="7B57090C" w14:textId="639CDFA4">
            <w:pPr>
              <w:suppressAutoHyphens/>
              <w:jc w:val="right"/>
              <w:rPr>
                <w:szCs w:val="24"/>
              </w:rPr>
            </w:pPr>
            <w:r>
              <w:rPr>
                <w:szCs w:val="24"/>
              </w:rPr>
              <w:t>28</w:t>
            </w:r>
            <w:r w:rsidRPr="00420DF3">
              <w:rPr>
                <w:szCs w:val="24"/>
              </w:rPr>
              <w:t>,</w:t>
            </w:r>
            <w:r>
              <w:rPr>
                <w:szCs w:val="24"/>
              </w:rPr>
              <w:t>140</w:t>
            </w:r>
          </w:p>
        </w:tc>
      </w:tr>
      <w:tr w14:paraId="218DB20A" w14:textId="69CA8820" w:rsidTr="00107598">
        <w:tblPrEx>
          <w:tblW w:w="9360" w:type="dxa"/>
          <w:tblInd w:w="-5" w:type="dxa"/>
          <w:tblLook w:val="01E0"/>
        </w:tblPrEx>
        <w:tc>
          <w:tcPr>
            <w:tcW w:w="3060" w:type="dxa"/>
            <w:tcBorders>
              <w:top w:val="single" w:sz="4" w:space="0" w:color="auto"/>
              <w:left w:val="single" w:sz="4" w:space="0" w:color="auto"/>
              <w:bottom w:val="single" w:sz="4" w:space="0" w:color="auto"/>
              <w:right w:val="single" w:sz="4" w:space="0" w:color="auto"/>
            </w:tcBorders>
            <w:hideMark/>
          </w:tcPr>
          <w:p w:rsidR="001C4619" w:rsidRPr="00420DF3" w:rsidP="001C4619" w14:paraId="2C89E63F" w14:textId="77777777">
            <w:pPr>
              <w:suppressAutoHyphens/>
              <w:rPr>
                <w:szCs w:val="24"/>
              </w:rPr>
            </w:pPr>
            <w:r w:rsidRPr="00420DF3">
              <w:rPr>
                <w:szCs w:val="24"/>
              </w:rPr>
              <w:t>Cost per hour:</w:t>
            </w:r>
          </w:p>
        </w:tc>
        <w:tc>
          <w:tcPr>
            <w:tcW w:w="2070" w:type="dxa"/>
            <w:tcBorders>
              <w:top w:val="single" w:sz="4" w:space="0" w:color="auto"/>
              <w:left w:val="single" w:sz="4" w:space="0" w:color="auto"/>
              <w:bottom w:val="single" w:sz="4" w:space="0" w:color="auto"/>
              <w:right w:val="single" w:sz="4" w:space="0" w:color="auto"/>
            </w:tcBorders>
          </w:tcPr>
          <w:p w:rsidR="001C4619" w:rsidRPr="00420DF3" w:rsidP="001C4619" w14:paraId="4207A2F3" w14:textId="7F152664">
            <w:pPr>
              <w:suppressAutoHyphens/>
              <w:jc w:val="right"/>
              <w:rPr>
                <w:szCs w:val="24"/>
              </w:rPr>
            </w:pPr>
            <w:r>
              <w:rPr>
                <w:szCs w:val="24"/>
              </w:rPr>
              <w:t>$82.68</w:t>
            </w:r>
          </w:p>
        </w:tc>
        <w:tc>
          <w:tcPr>
            <w:tcW w:w="2152" w:type="dxa"/>
            <w:tcBorders>
              <w:top w:val="single" w:sz="4" w:space="0" w:color="auto"/>
              <w:left w:val="single" w:sz="4" w:space="0" w:color="auto"/>
              <w:bottom w:val="single" w:sz="4" w:space="0" w:color="auto"/>
              <w:right w:val="single" w:sz="4" w:space="0" w:color="auto"/>
            </w:tcBorders>
          </w:tcPr>
          <w:p w:rsidR="001C4619" w:rsidRPr="00420DF3" w:rsidP="001C4619" w14:paraId="4E9F4701" w14:textId="0AE82783">
            <w:pPr>
              <w:suppressAutoHyphens/>
              <w:jc w:val="right"/>
              <w:rPr>
                <w:szCs w:val="24"/>
              </w:rPr>
            </w:pPr>
            <w:r>
              <w:rPr>
                <w:szCs w:val="24"/>
              </w:rPr>
              <w:t>$75</w:t>
            </w:r>
          </w:p>
        </w:tc>
        <w:tc>
          <w:tcPr>
            <w:tcW w:w="2078" w:type="dxa"/>
            <w:tcBorders>
              <w:top w:val="single" w:sz="4" w:space="0" w:color="auto"/>
              <w:left w:val="single" w:sz="4" w:space="0" w:color="auto"/>
              <w:bottom w:val="single" w:sz="4" w:space="0" w:color="auto"/>
              <w:right w:val="single" w:sz="4" w:space="0" w:color="auto"/>
            </w:tcBorders>
          </w:tcPr>
          <w:p w:rsidR="001C4619" w:rsidRPr="00420DF3" w:rsidP="001C4619" w14:paraId="49E0023F" w14:textId="08D430D7">
            <w:pPr>
              <w:suppressAutoHyphens/>
              <w:jc w:val="right"/>
              <w:rPr>
                <w:szCs w:val="24"/>
              </w:rPr>
            </w:pPr>
          </w:p>
        </w:tc>
      </w:tr>
      <w:tr w14:paraId="6BB0DF75" w14:textId="702C9DDA" w:rsidTr="00107598">
        <w:tblPrEx>
          <w:tblW w:w="9360" w:type="dxa"/>
          <w:tblInd w:w="-5" w:type="dxa"/>
          <w:tblLook w:val="01E0"/>
        </w:tblPrEx>
        <w:tc>
          <w:tcPr>
            <w:tcW w:w="3060" w:type="dxa"/>
            <w:tcBorders>
              <w:top w:val="single" w:sz="4" w:space="0" w:color="auto"/>
              <w:left w:val="single" w:sz="4" w:space="0" w:color="auto"/>
              <w:bottom w:val="single" w:sz="4" w:space="0" w:color="auto"/>
              <w:right w:val="single" w:sz="4" w:space="0" w:color="auto"/>
            </w:tcBorders>
            <w:hideMark/>
          </w:tcPr>
          <w:p w:rsidR="001C4619" w:rsidRPr="00420DF3" w:rsidP="001C4619" w14:paraId="53F3E859" w14:textId="77777777">
            <w:pPr>
              <w:suppressAutoHyphens/>
              <w:rPr>
                <w:szCs w:val="24"/>
              </w:rPr>
            </w:pPr>
            <w:r w:rsidRPr="00420DF3">
              <w:rPr>
                <w:szCs w:val="24"/>
              </w:rPr>
              <w:t>Total annual cost:</w:t>
            </w:r>
          </w:p>
        </w:tc>
        <w:tc>
          <w:tcPr>
            <w:tcW w:w="2070" w:type="dxa"/>
            <w:tcBorders>
              <w:top w:val="single" w:sz="4" w:space="0" w:color="auto"/>
              <w:left w:val="single" w:sz="4" w:space="0" w:color="auto"/>
              <w:bottom w:val="single" w:sz="4" w:space="0" w:color="auto"/>
              <w:right w:val="single" w:sz="4" w:space="0" w:color="auto"/>
            </w:tcBorders>
          </w:tcPr>
          <w:p w:rsidR="001C4619" w:rsidRPr="00420DF3" w:rsidP="001C4619" w14:paraId="18245256" w14:textId="21C152C0">
            <w:pPr>
              <w:suppressAutoHyphens/>
              <w:jc w:val="right"/>
              <w:rPr>
                <w:szCs w:val="24"/>
              </w:rPr>
            </w:pPr>
            <w:r>
              <w:rPr>
                <w:szCs w:val="24"/>
              </w:rPr>
              <w:t>$2,</w:t>
            </w:r>
            <w:r w:rsidR="003036FB">
              <w:rPr>
                <w:szCs w:val="24"/>
              </w:rPr>
              <w:t>187</w:t>
            </w:r>
            <w:r>
              <w:rPr>
                <w:szCs w:val="24"/>
              </w:rPr>
              <w:t>,</w:t>
            </w:r>
            <w:r w:rsidR="0040073E">
              <w:rPr>
                <w:szCs w:val="24"/>
              </w:rPr>
              <w:t>4</w:t>
            </w:r>
            <w:r w:rsidR="00013EFE">
              <w:rPr>
                <w:szCs w:val="24"/>
              </w:rPr>
              <w:t>65</w:t>
            </w:r>
          </w:p>
        </w:tc>
        <w:tc>
          <w:tcPr>
            <w:tcW w:w="2152" w:type="dxa"/>
            <w:tcBorders>
              <w:top w:val="single" w:sz="4" w:space="0" w:color="auto"/>
              <w:left w:val="single" w:sz="4" w:space="0" w:color="auto"/>
              <w:bottom w:val="single" w:sz="4" w:space="0" w:color="auto"/>
              <w:right w:val="single" w:sz="4" w:space="0" w:color="auto"/>
            </w:tcBorders>
          </w:tcPr>
          <w:p w:rsidR="001C4619" w:rsidRPr="00420DF3" w:rsidP="001C4619" w14:paraId="12FD3F6F" w14:textId="1E882F5F">
            <w:pPr>
              <w:suppressAutoHyphens/>
              <w:jc w:val="right"/>
              <w:rPr>
                <w:szCs w:val="24"/>
              </w:rPr>
            </w:pPr>
            <w:r>
              <w:rPr>
                <w:szCs w:val="24"/>
              </w:rPr>
              <w:t>$126,225</w:t>
            </w:r>
          </w:p>
        </w:tc>
        <w:tc>
          <w:tcPr>
            <w:tcW w:w="2078" w:type="dxa"/>
            <w:tcBorders>
              <w:top w:val="single" w:sz="4" w:space="0" w:color="auto"/>
              <w:left w:val="single" w:sz="4" w:space="0" w:color="auto"/>
              <w:bottom w:val="single" w:sz="4" w:space="0" w:color="auto"/>
              <w:right w:val="single" w:sz="4" w:space="0" w:color="auto"/>
            </w:tcBorders>
          </w:tcPr>
          <w:p w:rsidR="001C4619" w:rsidRPr="00420DF3" w:rsidP="001C4619" w14:paraId="0B5D8FC5" w14:textId="49C347EA">
            <w:pPr>
              <w:suppressAutoHyphens/>
              <w:jc w:val="right"/>
              <w:rPr>
                <w:szCs w:val="24"/>
              </w:rPr>
            </w:pPr>
            <w:r w:rsidRPr="00420DF3">
              <w:rPr>
                <w:szCs w:val="24"/>
              </w:rPr>
              <w:t>$2,</w:t>
            </w:r>
            <w:r w:rsidR="00B33C79">
              <w:rPr>
                <w:szCs w:val="24"/>
              </w:rPr>
              <w:t>313</w:t>
            </w:r>
            <w:r w:rsidRPr="00420DF3">
              <w:rPr>
                <w:szCs w:val="24"/>
              </w:rPr>
              <w:t>,</w:t>
            </w:r>
            <w:r w:rsidR="00324E1C">
              <w:rPr>
                <w:szCs w:val="24"/>
              </w:rPr>
              <w:t>690</w:t>
            </w:r>
          </w:p>
        </w:tc>
      </w:tr>
    </w:tbl>
    <w:p w:rsidR="00E56200" w:rsidRPr="00420DF3" w:rsidP="004922D5" w14:paraId="56FEE88A" w14:textId="77777777">
      <w:pPr>
        <w:rPr>
          <w:szCs w:val="24"/>
          <w:highlight w:val="green"/>
        </w:rPr>
      </w:pPr>
    </w:p>
    <w:p w:rsidR="004922D5" w:rsidRPr="00420DF3" w:rsidP="004922D5" w14:paraId="5CCE2426" w14:textId="11810B42">
      <w:pPr>
        <w:rPr>
          <w:szCs w:val="24"/>
        </w:rPr>
      </w:pPr>
      <w:r w:rsidRPr="00420DF3">
        <w:rPr>
          <w:szCs w:val="24"/>
        </w:rPr>
        <w:t>The attached Burden Hours workbook provides an Estimated Professional Wage Rate worksheet that shows the detailed calculation for the weighted wage rate of $</w:t>
      </w:r>
      <w:r w:rsidRPr="00420DF3" w:rsidR="001B2566">
        <w:rPr>
          <w:szCs w:val="24"/>
        </w:rPr>
        <w:t>82.68</w:t>
      </w:r>
      <w:r w:rsidRPr="00420DF3">
        <w:rPr>
          <w:szCs w:val="24"/>
        </w:rPr>
        <w:t xml:space="preserve"> cost per hour above</w:t>
      </w:r>
      <w:r w:rsidR="007D527C">
        <w:rPr>
          <w:szCs w:val="24"/>
        </w:rPr>
        <w:t xml:space="preserve"> for the 0572-0137 burden</w:t>
      </w:r>
      <w:r w:rsidRPr="00420DF3">
        <w:rPr>
          <w:szCs w:val="24"/>
        </w:rPr>
        <w:t>.</w:t>
      </w:r>
      <w:r w:rsidR="003A6917">
        <w:rPr>
          <w:szCs w:val="24"/>
        </w:rPr>
        <w:t xml:space="preserve"> </w:t>
      </w:r>
      <w:r w:rsidRPr="00420DF3">
        <w:rPr>
          <w:szCs w:val="24"/>
        </w:rPr>
        <w:t>The U.S. Department of Labor, Bureau of Labor Statistics, Occupational Employment and Wage Statistics, May 2023 Occupation Profiles (</w:t>
      </w:r>
      <w:hyperlink r:id="rId18" w:history="1">
        <w:r w:rsidRPr="00420DF3">
          <w:rPr>
            <w:rStyle w:val="Hyperlink"/>
            <w:szCs w:val="24"/>
          </w:rPr>
          <w:t>List of SOC Occupations (bls.gov)</w:t>
        </w:r>
      </w:hyperlink>
      <w:r w:rsidRPr="00420DF3">
        <w:rPr>
          <w:szCs w:val="24"/>
        </w:rPr>
        <w:t xml:space="preserve">) was used to obtain the Mean Hourly Wage for each position identified.  Table 12.2 provides the four (4) positions identified for this calculation along with each Occupation Codes and Mean Hourly Wage. The benefits for each position was calculated by using the total benefits percentage of 29.7% for private industry workers from the U.S. Department of Labor, Bureau of Labor Statistics, Economic News Release, Employer Costs for Employee Compensation – </w:t>
      </w:r>
      <w:r w:rsidR="00BE308C">
        <w:rPr>
          <w:szCs w:val="24"/>
        </w:rPr>
        <w:t>June</w:t>
      </w:r>
      <w:r w:rsidRPr="00420DF3">
        <w:rPr>
          <w:szCs w:val="24"/>
        </w:rPr>
        <w:t xml:space="preserve"> </w:t>
      </w:r>
      <w:r w:rsidRPr="00420DF3">
        <w:rPr>
          <w:szCs w:val="24"/>
        </w:rPr>
        <w:t>2024 (</w:t>
      </w:r>
      <w:hyperlink r:id="rId19" w:history="1">
        <w:r w:rsidRPr="00420DF3">
          <w:rPr>
            <w:rStyle w:val="Hyperlink"/>
            <w:szCs w:val="24"/>
          </w:rPr>
          <w:t>Employer Costs for Employee Compensation - 2024 Q01 Results (bls.gov)</w:t>
        </w:r>
      </w:hyperlink>
      <w:r w:rsidRPr="00420DF3">
        <w:rPr>
          <w:szCs w:val="24"/>
        </w:rPr>
        <w:t xml:space="preserve">). </w:t>
      </w:r>
      <w:r w:rsidR="003A6917">
        <w:rPr>
          <w:szCs w:val="24"/>
        </w:rPr>
        <w:t>This similar process was used to calculate the</w:t>
      </w:r>
      <w:r w:rsidR="00786199">
        <w:rPr>
          <w:szCs w:val="24"/>
        </w:rPr>
        <w:t xml:space="preserve"> weighted wage rate of $75 cost per hour above for the 0572-0121 </w:t>
      </w:r>
      <w:r w:rsidR="000A493B">
        <w:rPr>
          <w:szCs w:val="24"/>
        </w:rPr>
        <w:t xml:space="preserve">Use of Forms burden, which was done in the </w:t>
      </w:r>
      <w:r w:rsidR="00B137F7">
        <w:rPr>
          <w:szCs w:val="24"/>
        </w:rPr>
        <w:t>recent renewal package for 0572-0121.</w:t>
      </w:r>
    </w:p>
    <w:p w:rsidR="004922D5" w:rsidRPr="00420DF3" w:rsidP="004922D5" w14:paraId="6B4DBB71" w14:textId="77777777">
      <w:pPr>
        <w:rPr>
          <w:szCs w:val="24"/>
        </w:rPr>
      </w:pPr>
    </w:p>
    <w:p w:rsidR="004922D5" w:rsidRPr="00420DF3" w:rsidP="004922D5" w14:paraId="201CBEA3" w14:textId="4A6FB4B4">
      <w:pPr>
        <w:jc w:val="center"/>
        <w:rPr>
          <w:szCs w:val="24"/>
        </w:rPr>
      </w:pPr>
      <w:r w:rsidRPr="00420DF3">
        <w:rPr>
          <w:b/>
          <w:bCs/>
          <w:szCs w:val="24"/>
        </w:rPr>
        <w:t>Table 12.2 – Mean Hourly Rates per Position</w:t>
      </w:r>
      <w:r w:rsidR="00AD2149">
        <w:rPr>
          <w:b/>
          <w:bCs/>
          <w:szCs w:val="24"/>
        </w:rPr>
        <w:t xml:space="preserve"> (0572-0137)</w:t>
      </w:r>
    </w:p>
    <w:tbl>
      <w:tblPr>
        <w:tblW w:w="9270" w:type="dxa"/>
        <w:jc w:val="center"/>
        <w:tblLook w:val="04A0"/>
      </w:tblPr>
      <w:tblGrid>
        <w:gridCol w:w="4605"/>
        <w:gridCol w:w="2685"/>
        <w:gridCol w:w="1980"/>
      </w:tblGrid>
      <w:tr w14:paraId="73B4848A" w14:textId="77777777" w:rsidTr="00990CF1">
        <w:tblPrEx>
          <w:tblW w:w="9270" w:type="dxa"/>
          <w:jc w:val="center"/>
          <w:tblLook w:val="04A0"/>
        </w:tblPrEx>
        <w:trPr>
          <w:trHeight w:val="683"/>
          <w:jc w:val="center"/>
        </w:trPr>
        <w:tc>
          <w:tcPr>
            <w:tcW w:w="46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6F754A" w:rsidRPr="00420DF3" w:rsidP="00173FD1" w14:paraId="636823E4" w14:textId="77777777">
            <w:pPr>
              <w:jc w:val="center"/>
              <w:rPr>
                <w:b/>
                <w:bCs/>
                <w:szCs w:val="24"/>
              </w:rPr>
            </w:pPr>
            <w:r w:rsidRPr="00420DF3">
              <w:rPr>
                <w:b/>
                <w:bCs/>
                <w:szCs w:val="24"/>
              </w:rPr>
              <w:t>Profession</w:t>
            </w:r>
          </w:p>
        </w:tc>
        <w:tc>
          <w:tcPr>
            <w:tcW w:w="268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6F754A" w:rsidRPr="00420DF3" w:rsidP="00173FD1" w14:paraId="2D35BED1" w14:textId="77777777">
            <w:pPr>
              <w:jc w:val="center"/>
              <w:rPr>
                <w:b/>
                <w:bCs/>
                <w:szCs w:val="24"/>
              </w:rPr>
            </w:pPr>
            <w:r w:rsidRPr="00420DF3">
              <w:rPr>
                <w:b/>
                <w:bCs/>
                <w:szCs w:val="24"/>
              </w:rPr>
              <w:t>Bureau of Labor Occupation Code</w:t>
            </w:r>
          </w:p>
        </w:tc>
        <w:tc>
          <w:tcPr>
            <w:tcW w:w="198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6F754A" w:rsidRPr="00420DF3" w:rsidP="00173FD1" w14:paraId="01E61B5E" w14:textId="77777777">
            <w:pPr>
              <w:jc w:val="center"/>
              <w:rPr>
                <w:b/>
                <w:bCs/>
                <w:szCs w:val="24"/>
              </w:rPr>
            </w:pPr>
            <w:r w:rsidRPr="00420DF3">
              <w:rPr>
                <w:b/>
                <w:bCs/>
                <w:szCs w:val="24"/>
              </w:rPr>
              <w:t>Mean Wage</w:t>
            </w:r>
          </w:p>
        </w:tc>
      </w:tr>
      <w:tr w14:paraId="608618A0" w14:textId="77777777" w:rsidTr="00173FD1">
        <w:tblPrEx>
          <w:tblW w:w="9270" w:type="dxa"/>
          <w:jc w:val="center"/>
          <w:tblLook w:val="04A0"/>
        </w:tblPrEx>
        <w:trPr>
          <w:trHeight w:val="215"/>
          <w:jc w:val="center"/>
        </w:trPr>
        <w:tc>
          <w:tcPr>
            <w:tcW w:w="4605" w:type="dxa"/>
            <w:tcBorders>
              <w:top w:val="nil"/>
              <w:left w:val="single" w:sz="4" w:space="0" w:color="auto"/>
              <w:bottom w:val="single" w:sz="4" w:space="0" w:color="auto"/>
              <w:right w:val="single" w:sz="4" w:space="0" w:color="auto"/>
            </w:tcBorders>
            <w:shd w:val="clear" w:color="auto" w:fill="auto"/>
            <w:vAlign w:val="center"/>
            <w:hideMark/>
          </w:tcPr>
          <w:p w:rsidR="006F754A" w:rsidRPr="00420DF3" w:rsidP="00173FD1" w14:paraId="6F4DA675" w14:textId="77777777">
            <w:pPr>
              <w:rPr>
                <w:szCs w:val="24"/>
              </w:rPr>
            </w:pPr>
            <w:r w:rsidRPr="00420DF3">
              <w:rPr>
                <w:szCs w:val="24"/>
              </w:rPr>
              <w:t>General and Operations Manager</w:t>
            </w:r>
          </w:p>
        </w:tc>
        <w:tc>
          <w:tcPr>
            <w:tcW w:w="2685" w:type="dxa"/>
            <w:tcBorders>
              <w:top w:val="nil"/>
              <w:left w:val="nil"/>
              <w:bottom w:val="single" w:sz="4" w:space="0" w:color="auto"/>
              <w:right w:val="single" w:sz="4" w:space="0" w:color="auto"/>
            </w:tcBorders>
            <w:shd w:val="clear" w:color="auto" w:fill="auto"/>
            <w:vAlign w:val="center"/>
            <w:hideMark/>
          </w:tcPr>
          <w:p w:rsidR="006F754A" w:rsidRPr="00420DF3" w:rsidP="00173FD1" w14:paraId="10F7BEE2" w14:textId="77777777">
            <w:pPr>
              <w:jc w:val="center"/>
              <w:rPr>
                <w:szCs w:val="24"/>
              </w:rPr>
            </w:pPr>
            <w:r w:rsidRPr="00420DF3">
              <w:rPr>
                <w:szCs w:val="24"/>
              </w:rPr>
              <w:t>11-1021</w:t>
            </w:r>
          </w:p>
        </w:tc>
        <w:tc>
          <w:tcPr>
            <w:tcW w:w="1980" w:type="dxa"/>
            <w:tcBorders>
              <w:top w:val="nil"/>
              <w:left w:val="nil"/>
              <w:bottom w:val="single" w:sz="4" w:space="0" w:color="auto"/>
              <w:right w:val="single" w:sz="4" w:space="0" w:color="auto"/>
            </w:tcBorders>
            <w:shd w:val="clear" w:color="auto" w:fill="auto"/>
            <w:noWrap/>
            <w:vAlign w:val="center"/>
            <w:hideMark/>
          </w:tcPr>
          <w:p w:rsidR="006F754A" w:rsidRPr="00420DF3" w:rsidP="00173FD1" w14:paraId="0B6298A1" w14:textId="77777777">
            <w:pPr>
              <w:jc w:val="center"/>
              <w:rPr>
                <w:szCs w:val="24"/>
              </w:rPr>
            </w:pPr>
            <w:r w:rsidRPr="00420DF3">
              <w:rPr>
                <w:szCs w:val="24"/>
              </w:rPr>
              <w:t>$62.18</w:t>
            </w:r>
          </w:p>
        </w:tc>
      </w:tr>
      <w:tr w14:paraId="5F22A1B5" w14:textId="77777777" w:rsidTr="00173FD1">
        <w:tblPrEx>
          <w:tblW w:w="9270" w:type="dxa"/>
          <w:jc w:val="center"/>
          <w:tblLook w:val="04A0"/>
        </w:tblPrEx>
        <w:trPr>
          <w:trHeight w:val="70"/>
          <w:jc w:val="center"/>
        </w:trPr>
        <w:tc>
          <w:tcPr>
            <w:tcW w:w="4605" w:type="dxa"/>
            <w:tcBorders>
              <w:top w:val="nil"/>
              <w:left w:val="single" w:sz="4" w:space="0" w:color="auto"/>
              <w:bottom w:val="single" w:sz="4" w:space="0" w:color="auto"/>
              <w:right w:val="single" w:sz="4" w:space="0" w:color="auto"/>
            </w:tcBorders>
            <w:shd w:val="clear" w:color="auto" w:fill="auto"/>
            <w:vAlign w:val="center"/>
            <w:hideMark/>
          </w:tcPr>
          <w:p w:rsidR="006F754A" w:rsidRPr="00420DF3" w:rsidP="00173FD1" w14:paraId="136B9E8D" w14:textId="77777777">
            <w:pPr>
              <w:rPr>
                <w:szCs w:val="24"/>
              </w:rPr>
            </w:pPr>
            <w:r w:rsidRPr="00420DF3">
              <w:rPr>
                <w:szCs w:val="24"/>
              </w:rPr>
              <w:t>Civil Engineers</w:t>
            </w:r>
          </w:p>
        </w:tc>
        <w:tc>
          <w:tcPr>
            <w:tcW w:w="2685" w:type="dxa"/>
            <w:tcBorders>
              <w:top w:val="nil"/>
              <w:left w:val="nil"/>
              <w:bottom w:val="single" w:sz="4" w:space="0" w:color="auto"/>
              <w:right w:val="single" w:sz="4" w:space="0" w:color="auto"/>
            </w:tcBorders>
            <w:shd w:val="clear" w:color="auto" w:fill="auto"/>
            <w:vAlign w:val="center"/>
            <w:hideMark/>
          </w:tcPr>
          <w:p w:rsidR="006F754A" w:rsidRPr="00420DF3" w:rsidP="00173FD1" w14:paraId="22AE3455" w14:textId="77777777">
            <w:pPr>
              <w:jc w:val="center"/>
              <w:rPr>
                <w:szCs w:val="24"/>
              </w:rPr>
            </w:pPr>
            <w:r w:rsidRPr="00420DF3">
              <w:rPr>
                <w:szCs w:val="24"/>
              </w:rPr>
              <w:t>17-2051</w:t>
            </w:r>
          </w:p>
        </w:tc>
        <w:tc>
          <w:tcPr>
            <w:tcW w:w="1980" w:type="dxa"/>
            <w:tcBorders>
              <w:top w:val="nil"/>
              <w:left w:val="nil"/>
              <w:bottom w:val="single" w:sz="4" w:space="0" w:color="auto"/>
              <w:right w:val="single" w:sz="4" w:space="0" w:color="auto"/>
            </w:tcBorders>
            <w:shd w:val="clear" w:color="auto" w:fill="auto"/>
            <w:noWrap/>
            <w:vAlign w:val="center"/>
            <w:hideMark/>
          </w:tcPr>
          <w:p w:rsidR="006F754A" w:rsidRPr="00420DF3" w:rsidP="00173FD1" w14:paraId="101A61B2" w14:textId="77777777">
            <w:pPr>
              <w:jc w:val="center"/>
              <w:rPr>
                <w:szCs w:val="24"/>
              </w:rPr>
            </w:pPr>
            <w:r w:rsidRPr="00420DF3">
              <w:rPr>
                <w:szCs w:val="24"/>
              </w:rPr>
              <w:t>$48.64</w:t>
            </w:r>
          </w:p>
        </w:tc>
      </w:tr>
      <w:tr w14:paraId="63A36698" w14:textId="77777777" w:rsidTr="00173FD1">
        <w:tblPrEx>
          <w:tblW w:w="9270" w:type="dxa"/>
          <w:jc w:val="center"/>
          <w:tblLook w:val="04A0"/>
        </w:tblPrEx>
        <w:trPr>
          <w:trHeight w:val="70"/>
          <w:jc w:val="center"/>
        </w:trPr>
        <w:tc>
          <w:tcPr>
            <w:tcW w:w="4605" w:type="dxa"/>
            <w:tcBorders>
              <w:top w:val="nil"/>
              <w:left w:val="single" w:sz="4" w:space="0" w:color="auto"/>
              <w:bottom w:val="single" w:sz="4" w:space="0" w:color="auto"/>
              <w:right w:val="single" w:sz="4" w:space="0" w:color="auto"/>
            </w:tcBorders>
            <w:shd w:val="clear" w:color="auto" w:fill="auto"/>
            <w:vAlign w:val="center"/>
            <w:hideMark/>
          </w:tcPr>
          <w:p w:rsidR="006F754A" w:rsidRPr="00420DF3" w:rsidP="00173FD1" w14:paraId="4EA297DC" w14:textId="77777777">
            <w:pPr>
              <w:rPr>
                <w:szCs w:val="24"/>
              </w:rPr>
            </w:pPr>
            <w:r w:rsidRPr="00420DF3">
              <w:rPr>
                <w:szCs w:val="24"/>
              </w:rPr>
              <w:t>Lawyers</w:t>
            </w:r>
          </w:p>
        </w:tc>
        <w:tc>
          <w:tcPr>
            <w:tcW w:w="2685" w:type="dxa"/>
            <w:tcBorders>
              <w:top w:val="nil"/>
              <w:left w:val="nil"/>
              <w:bottom w:val="single" w:sz="4" w:space="0" w:color="auto"/>
              <w:right w:val="single" w:sz="4" w:space="0" w:color="auto"/>
            </w:tcBorders>
            <w:shd w:val="clear" w:color="auto" w:fill="auto"/>
            <w:vAlign w:val="center"/>
            <w:hideMark/>
          </w:tcPr>
          <w:p w:rsidR="006F754A" w:rsidRPr="00420DF3" w:rsidP="00173FD1" w14:paraId="4EA8BD78" w14:textId="77777777">
            <w:pPr>
              <w:jc w:val="center"/>
              <w:rPr>
                <w:szCs w:val="24"/>
              </w:rPr>
            </w:pPr>
            <w:r w:rsidRPr="00420DF3">
              <w:rPr>
                <w:szCs w:val="24"/>
              </w:rPr>
              <w:t>23-1011</w:t>
            </w:r>
          </w:p>
        </w:tc>
        <w:tc>
          <w:tcPr>
            <w:tcW w:w="1980" w:type="dxa"/>
            <w:tcBorders>
              <w:top w:val="nil"/>
              <w:left w:val="nil"/>
              <w:bottom w:val="single" w:sz="4" w:space="0" w:color="auto"/>
              <w:right w:val="single" w:sz="4" w:space="0" w:color="auto"/>
            </w:tcBorders>
            <w:shd w:val="clear" w:color="auto" w:fill="auto"/>
            <w:noWrap/>
            <w:vAlign w:val="center"/>
            <w:hideMark/>
          </w:tcPr>
          <w:p w:rsidR="006F754A" w:rsidRPr="00420DF3" w:rsidP="00173FD1" w14:paraId="3A7989AC" w14:textId="77777777">
            <w:pPr>
              <w:jc w:val="center"/>
              <w:rPr>
                <w:szCs w:val="24"/>
              </w:rPr>
            </w:pPr>
            <w:r w:rsidRPr="00420DF3">
              <w:rPr>
                <w:szCs w:val="24"/>
              </w:rPr>
              <w:t>$84.84</w:t>
            </w:r>
          </w:p>
        </w:tc>
      </w:tr>
      <w:tr w14:paraId="430CB9BC" w14:textId="77777777" w:rsidTr="00173FD1">
        <w:tblPrEx>
          <w:tblW w:w="9270" w:type="dxa"/>
          <w:jc w:val="center"/>
          <w:tblLook w:val="04A0"/>
        </w:tblPrEx>
        <w:trPr>
          <w:trHeight w:val="70"/>
          <w:jc w:val="center"/>
        </w:trPr>
        <w:tc>
          <w:tcPr>
            <w:tcW w:w="4605" w:type="dxa"/>
            <w:tcBorders>
              <w:top w:val="nil"/>
              <w:left w:val="single" w:sz="4" w:space="0" w:color="auto"/>
              <w:bottom w:val="single" w:sz="4" w:space="0" w:color="auto"/>
              <w:right w:val="single" w:sz="4" w:space="0" w:color="auto"/>
            </w:tcBorders>
            <w:shd w:val="clear" w:color="auto" w:fill="auto"/>
            <w:vAlign w:val="center"/>
            <w:hideMark/>
          </w:tcPr>
          <w:p w:rsidR="006F754A" w:rsidRPr="00420DF3" w:rsidP="00173FD1" w14:paraId="0EA3D0A1" w14:textId="77777777">
            <w:pPr>
              <w:rPr>
                <w:szCs w:val="24"/>
              </w:rPr>
            </w:pPr>
            <w:r w:rsidRPr="00420DF3">
              <w:rPr>
                <w:szCs w:val="24"/>
              </w:rPr>
              <w:t>Court, Municipal, and License Clerks</w:t>
            </w:r>
          </w:p>
        </w:tc>
        <w:tc>
          <w:tcPr>
            <w:tcW w:w="2685" w:type="dxa"/>
            <w:tcBorders>
              <w:top w:val="nil"/>
              <w:left w:val="nil"/>
              <w:bottom w:val="single" w:sz="4" w:space="0" w:color="auto"/>
              <w:right w:val="single" w:sz="4" w:space="0" w:color="auto"/>
            </w:tcBorders>
            <w:shd w:val="clear" w:color="auto" w:fill="auto"/>
            <w:vAlign w:val="center"/>
            <w:hideMark/>
          </w:tcPr>
          <w:p w:rsidR="006F754A" w:rsidRPr="00420DF3" w:rsidP="00173FD1" w14:paraId="3D876A2F" w14:textId="77777777">
            <w:pPr>
              <w:jc w:val="center"/>
              <w:rPr>
                <w:szCs w:val="24"/>
              </w:rPr>
            </w:pPr>
            <w:r w:rsidRPr="00420DF3">
              <w:rPr>
                <w:szCs w:val="24"/>
              </w:rPr>
              <w:t>43-4031</w:t>
            </w:r>
          </w:p>
        </w:tc>
        <w:tc>
          <w:tcPr>
            <w:tcW w:w="1980" w:type="dxa"/>
            <w:tcBorders>
              <w:top w:val="nil"/>
              <w:left w:val="nil"/>
              <w:bottom w:val="single" w:sz="4" w:space="0" w:color="auto"/>
              <w:right w:val="single" w:sz="4" w:space="0" w:color="auto"/>
            </w:tcBorders>
            <w:shd w:val="clear" w:color="auto" w:fill="auto"/>
            <w:noWrap/>
            <w:vAlign w:val="center"/>
            <w:hideMark/>
          </w:tcPr>
          <w:p w:rsidR="006F754A" w:rsidRPr="00420DF3" w:rsidP="00173FD1" w14:paraId="0F0161AC" w14:textId="77777777">
            <w:pPr>
              <w:jc w:val="center"/>
              <w:rPr>
                <w:szCs w:val="24"/>
              </w:rPr>
            </w:pPr>
            <w:r w:rsidRPr="00420DF3">
              <w:rPr>
                <w:szCs w:val="24"/>
              </w:rPr>
              <w:t>$23.44</w:t>
            </w:r>
          </w:p>
        </w:tc>
      </w:tr>
    </w:tbl>
    <w:p w:rsidR="004922D5" w:rsidP="0077019F" w14:paraId="59F128F8" w14:textId="77777777">
      <w:pPr>
        <w:pStyle w:val="BodyText2"/>
        <w:rPr>
          <w:rFonts w:ascii="Times New Roman" w:hAnsi="Times New Roman"/>
          <w:sz w:val="24"/>
          <w:szCs w:val="24"/>
          <w:highlight w:val="green"/>
        </w:rPr>
      </w:pPr>
    </w:p>
    <w:p w:rsidR="0077019F" w:rsidRPr="00420DF3" w:rsidP="0077019F" w14:paraId="15904042" w14:textId="77777777">
      <w:pPr>
        <w:pStyle w:val="BodyText2"/>
        <w:rPr>
          <w:rFonts w:ascii="Times New Roman" w:hAnsi="Times New Roman"/>
          <w:b/>
          <w:sz w:val="24"/>
          <w:szCs w:val="24"/>
          <w:u w:val="single"/>
        </w:rPr>
      </w:pPr>
      <w:r w:rsidRPr="00420DF3">
        <w:rPr>
          <w:rFonts w:ascii="Times New Roman" w:hAnsi="Times New Roman"/>
          <w:b/>
          <w:sz w:val="24"/>
          <w:szCs w:val="24"/>
          <w:u w:val="single"/>
        </w:rPr>
        <w:t>13.  Provide an estimate of the total annual cost burden to respondents or record</w:t>
      </w:r>
      <w:r w:rsidRPr="00420DF3" w:rsidR="00836D3C">
        <w:rPr>
          <w:rFonts w:ascii="Times New Roman" w:hAnsi="Times New Roman"/>
          <w:b/>
          <w:sz w:val="24"/>
          <w:szCs w:val="24"/>
          <w:u w:val="single"/>
        </w:rPr>
        <w:t>-</w:t>
      </w:r>
      <w:r w:rsidRPr="00420DF3">
        <w:rPr>
          <w:rFonts w:ascii="Times New Roman" w:hAnsi="Times New Roman"/>
          <w:b/>
          <w:sz w:val="24"/>
          <w:szCs w:val="24"/>
          <w:u w:val="single"/>
        </w:rPr>
        <w:t>keepers resulting from the collection of information.</w:t>
      </w:r>
    </w:p>
    <w:p w:rsidR="0077019F" w:rsidRPr="00420DF3" w:rsidP="0077019F" w14:paraId="59FDD401" w14:textId="77777777">
      <w:pPr>
        <w:pStyle w:val="BodyText2"/>
        <w:rPr>
          <w:rFonts w:ascii="Times New Roman" w:hAnsi="Times New Roman"/>
          <w:b/>
          <w:sz w:val="24"/>
          <w:szCs w:val="24"/>
          <w:u w:val="single"/>
        </w:rPr>
      </w:pPr>
    </w:p>
    <w:p w:rsidR="003B7B62" w:rsidRPr="00420DF3" w:rsidP="003B7B62" w14:paraId="5BD1B332" w14:textId="50C63BF2">
      <w:pPr>
        <w:autoSpaceDE w:val="0"/>
        <w:autoSpaceDN w:val="0"/>
        <w:adjustRightInd w:val="0"/>
        <w:rPr>
          <w:bCs/>
          <w:szCs w:val="24"/>
        </w:rPr>
      </w:pPr>
      <w:r w:rsidRPr="00420DF3">
        <w:rPr>
          <w:bCs/>
          <w:szCs w:val="24"/>
        </w:rPr>
        <w:t xml:space="preserve">There are no capital/start up or operation/maintenance costs associated with this </w:t>
      </w:r>
      <w:r w:rsidRPr="00420DF3" w:rsidR="00277453">
        <w:rPr>
          <w:bCs/>
          <w:szCs w:val="24"/>
        </w:rPr>
        <w:t xml:space="preserve">entire </w:t>
      </w:r>
      <w:r w:rsidRPr="00420DF3">
        <w:rPr>
          <w:bCs/>
          <w:szCs w:val="24"/>
        </w:rPr>
        <w:t>collection</w:t>
      </w:r>
      <w:r w:rsidRPr="00420DF3" w:rsidR="00277453">
        <w:rPr>
          <w:bCs/>
          <w:szCs w:val="24"/>
        </w:rPr>
        <w:t xml:space="preserve"> package</w:t>
      </w:r>
      <w:r w:rsidRPr="00420DF3">
        <w:rPr>
          <w:bCs/>
          <w:szCs w:val="24"/>
        </w:rPr>
        <w:t>.</w:t>
      </w:r>
    </w:p>
    <w:p w:rsidR="003B7B62" w:rsidRPr="00420DF3" w:rsidP="003B7B62" w14:paraId="16D45C9C" w14:textId="77777777">
      <w:pPr>
        <w:autoSpaceDE w:val="0"/>
        <w:autoSpaceDN w:val="0"/>
        <w:adjustRightInd w:val="0"/>
        <w:rPr>
          <w:bCs/>
          <w:szCs w:val="24"/>
        </w:rPr>
      </w:pPr>
    </w:p>
    <w:p w:rsidR="00461DE7" w:rsidRPr="00420DF3" w:rsidP="003B7B62" w14:paraId="2A7F88D7" w14:textId="5F382EE5">
      <w:pPr>
        <w:rPr>
          <w:bCs/>
          <w:szCs w:val="24"/>
        </w:rPr>
      </w:pPr>
      <w:r w:rsidRPr="00420DF3">
        <w:rPr>
          <w:bCs/>
          <w:szCs w:val="24"/>
        </w:rPr>
        <w:t xml:space="preserve">The </w:t>
      </w:r>
      <w:r w:rsidRPr="00420DF3" w:rsidR="009925BC">
        <w:rPr>
          <w:bCs/>
          <w:szCs w:val="24"/>
        </w:rPr>
        <w:t xml:space="preserve">programs currently do not have an official </w:t>
      </w:r>
      <w:r w:rsidRPr="00420DF3" w:rsidR="00FF0200">
        <w:rPr>
          <w:bCs/>
          <w:szCs w:val="24"/>
        </w:rPr>
        <w:t xml:space="preserve">written policy for electronic signatures, but a policy is currently being worked on.  Until a policy is officially issued, </w:t>
      </w:r>
      <w:r w:rsidRPr="00420DF3" w:rsidR="00696612">
        <w:rPr>
          <w:bCs/>
          <w:szCs w:val="24"/>
        </w:rPr>
        <w:t xml:space="preserve">it is anticipated that wet signatures will be </w:t>
      </w:r>
      <w:r w:rsidRPr="00420DF3" w:rsidR="003B7B62">
        <w:rPr>
          <w:bCs/>
          <w:szCs w:val="24"/>
        </w:rPr>
        <w:t>required</w:t>
      </w:r>
      <w:r w:rsidRPr="00420DF3" w:rsidR="00A86ED1">
        <w:rPr>
          <w:bCs/>
          <w:szCs w:val="24"/>
        </w:rPr>
        <w:t xml:space="preserve"> by the borrower </w:t>
      </w:r>
      <w:r w:rsidRPr="00420DF3" w:rsidR="00696612">
        <w:rPr>
          <w:bCs/>
          <w:szCs w:val="24"/>
        </w:rPr>
        <w:t xml:space="preserve">for a portion </w:t>
      </w:r>
      <w:r w:rsidRPr="00420DF3" w:rsidR="000C740F">
        <w:rPr>
          <w:bCs/>
          <w:szCs w:val="24"/>
        </w:rPr>
        <w:t xml:space="preserve">of the </w:t>
      </w:r>
      <w:r w:rsidRPr="00420DF3" w:rsidR="0063045D">
        <w:rPr>
          <w:bCs/>
          <w:szCs w:val="24"/>
        </w:rPr>
        <w:t xml:space="preserve">documents </w:t>
      </w:r>
      <w:r w:rsidRPr="00420DF3" w:rsidR="00A31A70">
        <w:rPr>
          <w:bCs/>
          <w:szCs w:val="24"/>
        </w:rPr>
        <w:t>listed in Table 13.1 below.  Table 13.1 also includes t</w:t>
      </w:r>
      <w:r w:rsidRPr="00420DF3" w:rsidR="003B1292">
        <w:rPr>
          <w:bCs/>
          <w:szCs w:val="24"/>
        </w:rPr>
        <w:t xml:space="preserve">he </w:t>
      </w:r>
      <w:r w:rsidRPr="00420DF3" w:rsidR="00157AF3">
        <w:rPr>
          <w:bCs/>
          <w:szCs w:val="24"/>
        </w:rPr>
        <w:t>assumed percentage of responses to be mailed and the estimated total number of documents to be mailed</w:t>
      </w:r>
      <w:r w:rsidRPr="00420DF3" w:rsidR="00A86ED1">
        <w:rPr>
          <w:bCs/>
          <w:szCs w:val="24"/>
        </w:rPr>
        <w:t xml:space="preserve"> to the Agency by the borrower</w:t>
      </w:r>
      <w:r w:rsidRPr="00420DF3" w:rsidR="00157AF3">
        <w:rPr>
          <w:bCs/>
          <w:szCs w:val="24"/>
        </w:rPr>
        <w:t xml:space="preserve">.  </w:t>
      </w:r>
    </w:p>
    <w:p w:rsidR="00DF4EB7" w:rsidRPr="00420DF3" w14:paraId="0F770962" w14:textId="77777777">
      <w:pPr>
        <w:jc w:val="center"/>
        <w:rPr>
          <w:b/>
          <w:bCs/>
          <w:szCs w:val="24"/>
        </w:rPr>
      </w:pPr>
    </w:p>
    <w:p w:rsidR="00CD4629" w:rsidRPr="00420DF3" w:rsidP="00990CF1" w14:paraId="6BD1A103" w14:textId="018CBE8E">
      <w:pPr>
        <w:jc w:val="center"/>
        <w:rPr>
          <w:bCs/>
          <w:szCs w:val="24"/>
        </w:rPr>
      </w:pPr>
      <w:r w:rsidRPr="00420DF3">
        <w:rPr>
          <w:b/>
          <w:bCs/>
          <w:szCs w:val="24"/>
        </w:rPr>
        <w:t xml:space="preserve">Table 13.1 – </w:t>
      </w:r>
      <w:r w:rsidRPr="00420DF3" w:rsidR="006D3FF3">
        <w:rPr>
          <w:b/>
          <w:bCs/>
          <w:szCs w:val="24"/>
        </w:rPr>
        <w:t>Total Documents to be Mailed</w:t>
      </w:r>
      <w:r w:rsidRPr="00420DF3" w:rsidR="00A86ED1">
        <w:rPr>
          <w:b/>
          <w:bCs/>
          <w:szCs w:val="24"/>
        </w:rPr>
        <w:t xml:space="preserve"> </w:t>
      </w:r>
      <w:r w:rsidRPr="00420DF3" w:rsidR="00145706">
        <w:rPr>
          <w:b/>
          <w:bCs/>
          <w:szCs w:val="24"/>
        </w:rPr>
        <w:t>to the Agency by the Borrower</w:t>
      </w:r>
      <w:r w:rsidRPr="00420DF3" w:rsidR="00827AA2">
        <w:rPr>
          <w:b/>
          <w:bCs/>
          <w:szCs w:val="24"/>
        </w:rPr>
        <w:t xml:space="preserve"> for Special Servicing Actions</w:t>
      </w:r>
    </w:p>
    <w:tbl>
      <w:tblPr>
        <w:tblStyle w:val="TableGrid"/>
        <w:tblW w:w="0" w:type="auto"/>
        <w:jc w:val="center"/>
        <w:tblLook w:val="04A0"/>
      </w:tblPr>
      <w:tblGrid>
        <w:gridCol w:w="4744"/>
        <w:gridCol w:w="1281"/>
        <w:gridCol w:w="1620"/>
        <w:gridCol w:w="1705"/>
      </w:tblGrid>
      <w:tr w14:paraId="6706E326" w14:textId="77777777" w:rsidTr="00990CF1">
        <w:tblPrEx>
          <w:tblW w:w="0" w:type="auto"/>
          <w:jc w:val="center"/>
          <w:tblLook w:val="04A0"/>
        </w:tblPrEx>
        <w:trPr>
          <w:trHeight w:val="530"/>
          <w:jc w:val="center"/>
        </w:trPr>
        <w:tc>
          <w:tcPr>
            <w:tcW w:w="4744" w:type="dxa"/>
            <w:shd w:val="clear" w:color="auto" w:fill="B8CCE4" w:themeFill="accent1" w:themeFillTint="66"/>
          </w:tcPr>
          <w:p w:rsidR="00461DE7" w:rsidRPr="00420DF3" w:rsidP="00990CF1" w14:paraId="01FF0BF3" w14:textId="655F9FEF">
            <w:pPr>
              <w:jc w:val="center"/>
              <w:rPr>
                <w:b/>
                <w:szCs w:val="24"/>
              </w:rPr>
            </w:pPr>
            <w:r w:rsidRPr="00420DF3">
              <w:rPr>
                <w:b/>
                <w:szCs w:val="24"/>
              </w:rPr>
              <w:t>Document</w:t>
            </w:r>
          </w:p>
        </w:tc>
        <w:tc>
          <w:tcPr>
            <w:tcW w:w="1281" w:type="dxa"/>
            <w:shd w:val="clear" w:color="auto" w:fill="B8CCE4" w:themeFill="accent1" w:themeFillTint="66"/>
          </w:tcPr>
          <w:p w:rsidR="00461DE7" w:rsidRPr="00420DF3" w:rsidP="00990CF1" w14:paraId="307A199B" w14:textId="54ABD32A">
            <w:pPr>
              <w:jc w:val="center"/>
              <w:rPr>
                <w:b/>
                <w:szCs w:val="24"/>
              </w:rPr>
            </w:pPr>
            <w:r w:rsidRPr="00420DF3">
              <w:rPr>
                <w:b/>
                <w:szCs w:val="24"/>
              </w:rPr>
              <w:t>Total Responses</w:t>
            </w:r>
          </w:p>
        </w:tc>
        <w:tc>
          <w:tcPr>
            <w:tcW w:w="1620" w:type="dxa"/>
            <w:shd w:val="clear" w:color="auto" w:fill="B8CCE4" w:themeFill="accent1" w:themeFillTint="66"/>
          </w:tcPr>
          <w:p w:rsidR="00461DE7" w:rsidRPr="00420DF3" w:rsidP="00990CF1" w14:paraId="57352F38" w14:textId="55BC1112">
            <w:pPr>
              <w:jc w:val="center"/>
              <w:rPr>
                <w:b/>
                <w:szCs w:val="24"/>
              </w:rPr>
            </w:pPr>
            <w:r w:rsidRPr="00420DF3">
              <w:rPr>
                <w:b/>
                <w:szCs w:val="24"/>
              </w:rPr>
              <w:t xml:space="preserve">Assumed % </w:t>
            </w:r>
            <w:r w:rsidRPr="00420DF3" w:rsidR="00271134">
              <w:rPr>
                <w:b/>
                <w:szCs w:val="24"/>
              </w:rPr>
              <w:t xml:space="preserve">of Responses </w:t>
            </w:r>
            <w:r w:rsidRPr="00420DF3">
              <w:rPr>
                <w:b/>
                <w:szCs w:val="24"/>
              </w:rPr>
              <w:t>to be Mailed</w:t>
            </w:r>
          </w:p>
        </w:tc>
        <w:tc>
          <w:tcPr>
            <w:tcW w:w="1705" w:type="dxa"/>
            <w:shd w:val="clear" w:color="auto" w:fill="B8CCE4" w:themeFill="accent1" w:themeFillTint="66"/>
          </w:tcPr>
          <w:p w:rsidR="00461DE7" w:rsidRPr="00420DF3" w:rsidP="00990CF1" w14:paraId="2E615501" w14:textId="033421D5">
            <w:pPr>
              <w:jc w:val="center"/>
              <w:rPr>
                <w:b/>
                <w:szCs w:val="24"/>
              </w:rPr>
            </w:pPr>
            <w:r w:rsidRPr="00420DF3">
              <w:rPr>
                <w:b/>
                <w:szCs w:val="24"/>
              </w:rPr>
              <w:t>Total Documents to be Mailed</w:t>
            </w:r>
          </w:p>
        </w:tc>
      </w:tr>
      <w:tr w14:paraId="6BD76DB6" w14:textId="77777777" w:rsidTr="00990CF1">
        <w:tblPrEx>
          <w:tblW w:w="0" w:type="auto"/>
          <w:jc w:val="center"/>
          <w:tblLook w:val="04A0"/>
        </w:tblPrEx>
        <w:trPr>
          <w:jc w:val="center"/>
        </w:trPr>
        <w:tc>
          <w:tcPr>
            <w:tcW w:w="4744" w:type="dxa"/>
          </w:tcPr>
          <w:p w:rsidR="00461DE7" w:rsidRPr="00420DF3" w:rsidP="00271134" w14:paraId="0E451634" w14:textId="06EC3DEC">
            <w:pPr>
              <w:rPr>
                <w:bCs/>
                <w:szCs w:val="24"/>
              </w:rPr>
            </w:pPr>
            <w:r w:rsidRPr="00420DF3">
              <w:rPr>
                <w:bCs/>
                <w:szCs w:val="24"/>
              </w:rPr>
              <w:t>Conveyance Instrument – Purchase Agreement, etc.</w:t>
            </w:r>
          </w:p>
        </w:tc>
        <w:tc>
          <w:tcPr>
            <w:tcW w:w="1281" w:type="dxa"/>
          </w:tcPr>
          <w:p w:rsidR="00461DE7" w:rsidRPr="00420DF3" w:rsidP="00990CF1" w14:paraId="0B7183DD" w14:textId="2ADAD6AC">
            <w:pPr>
              <w:jc w:val="center"/>
              <w:rPr>
                <w:bCs/>
                <w:szCs w:val="24"/>
              </w:rPr>
            </w:pPr>
            <w:r w:rsidRPr="00420DF3">
              <w:rPr>
                <w:bCs/>
                <w:szCs w:val="24"/>
              </w:rPr>
              <w:t>14</w:t>
            </w:r>
          </w:p>
        </w:tc>
        <w:tc>
          <w:tcPr>
            <w:tcW w:w="1620" w:type="dxa"/>
          </w:tcPr>
          <w:p w:rsidR="00461DE7" w:rsidRPr="00420DF3" w:rsidP="00990CF1" w14:paraId="1CDC66E4" w14:textId="5802E2F6">
            <w:pPr>
              <w:jc w:val="center"/>
              <w:rPr>
                <w:bCs/>
                <w:szCs w:val="24"/>
              </w:rPr>
            </w:pPr>
            <w:r w:rsidRPr="00420DF3">
              <w:rPr>
                <w:bCs/>
                <w:szCs w:val="24"/>
              </w:rPr>
              <w:t>5%</w:t>
            </w:r>
          </w:p>
        </w:tc>
        <w:tc>
          <w:tcPr>
            <w:tcW w:w="1705" w:type="dxa"/>
          </w:tcPr>
          <w:p w:rsidR="00461DE7" w:rsidRPr="00420DF3" w:rsidP="00990CF1" w14:paraId="4E63F5BF" w14:textId="7A08A44C">
            <w:pPr>
              <w:jc w:val="center"/>
              <w:rPr>
                <w:bCs/>
                <w:szCs w:val="24"/>
              </w:rPr>
            </w:pPr>
            <w:r w:rsidRPr="00420DF3">
              <w:rPr>
                <w:bCs/>
                <w:szCs w:val="24"/>
              </w:rPr>
              <w:t>1</w:t>
            </w:r>
          </w:p>
        </w:tc>
      </w:tr>
      <w:tr w14:paraId="07A31F46" w14:textId="77777777" w:rsidTr="00990CF1">
        <w:tblPrEx>
          <w:tblW w:w="0" w:type="auto"/>
          <w:jc w:val="center"/>
          <w:tblLook w:val="04A0"/>
        </w:tblPrEx>
        <w:trPr>
          <w:jc w:val="center"/>
        </w:trPr>
        <w:tc>
          <w:tcPr>
            <w:tcW w:w="4744" w:type="dxa"/>
          </w:tcPr>
          <w:p w:rsidR="00461DE7" w:rsidRPr="00420DF3" w:rsidP="00271134" w14:paraId="4298CA57" w14:textId="27DA362A">
            <w:pPr>
              <w:rPr>
                <w:bCs/>
                <w:szCs w:val="24"/>
              </w:rPr>
            </w:pPr>
            <w:r w:rsidRPr="00420DF3">
              <w:rPr>
                <w:bCs/>
                <w:szCs w:val="24"/>
              </w:rPr>
              <w:t>Rights and Obligations Assumption Agreement</w:t>
            </w:r>
          </w:p>
        </w:tc>
        <w:tc>
          <w:tcPr>
            <w:tcW w:w="1281" w:type="dxa"/>
          </w:tcPr>
          <w:p w:rsidR="00461DE7" w:rsidRPr="00420DF3" w:rsidP="00990CF1" w14:paraId="7A9742BE" w14:textId="782913FA">
            <w:pPr>
              <w:jc w:val="center"/>
              <w:rPr>
                <w:bCs/>
                <w:szCs w:val="24"/>
              </w:rPr>
            </w:pPr>
            <w:r w:rsidRPr="00420DF3">
              <w:rPr>
                <w:bCs/>
                <w:szCs w:val="24"/>
              </w:rPr>
              <w:t>14</w:t>
            </w:r>
          </w:p>
        </w:tc>
        <w:tc>
          <w:tcPr>
            <w:tcW w:w="1620" w:type="dxa"/>
          </w:tcPr>
          <w:p w:rsidR="00461DE7" w:rsidRPr="00420DF3" w:rsidP="00990CF1" w14:paraId="17E87CBF" w14:textId="61594882">
            <w:pPr>
              <w:jc w:val="center"/>
              <w:rPr>
                <w:bCs/>
                <w:szCs w:val="24"/>
              </w:rPr>
            </w:pPr>
            <w:r w:rsidRPr="00420DF3">
              <w:rPr>
                <w:bCs/>
                <w:szCs w:val="24"/>
              </w:rPr>
              <w:t>5%</w:t>
            </w:r>
          </w:p>
        </w:tc>
        <w:tc>
          <w:tcPr>
            <w:tcW w:w="1705" w:type="dxa"/>
          </w:tcPr>
          <w:p w:rsidR="00461DE7" w:rsidRPr="00420DF3" w:rsidP="00990CF1" w14:paraId="4D065978" w14:textId="1AEE689B">
            <w:pPr>
              <w:jc w:val="center"/>
              <w:rPr>
                <w:bCs/>
                <w:szCs w:val="24"/>
              </w:rPr>
            </w:pPr>
            <w:r w:rsidRPr="00420DF3">
              <w:rPr>
                <w:bCs/>
                <w:szCs w:val="24"/>
              </w:rPr>
              <w:t>1</w:t>
            </w:r>
          </w:p>
        </w:tc>
      </w:tr>
      <w:tr w14:paraId="2583B094" w14:textId="77777777" w:rsidTr="00990CF1">
        <w:tblPrEx>
          <w:tblW w:w="0" w:type="auto"/>
          <w:jc w:val="center"/>
          <w:tblLook w:val="04A0"/>
        </w:tblPrEx>
        <w:trPr>
          <w:jc w:val="center"/>
        </w:trPr>
        <w:tc>
          <w:tcPr>
            <w:tcW w:w="4744" w:type="dxa"/>
          </w:tcPr>
          <w:p w:rsidR="00461DE7" w:rsidRPr="00420DF3" w:rsidP="00271134" w14:paraId="17F36945" w14:textId="3521C791">
            <w:pPr>
              <w:rPr>
                <w:bCs/>
                <w:szCs w:val="24"/>
              </w:rPr>
            </w:pPr>
            <w:r w:rsidRPr="00420DF3">
              <w:rPr>
                <w:bCs/>
                <w:szCs w:val="24"/>
              </w:rPr>
              <w:t>Security Instruments</w:t>
            </w:r>
          </w:p>
        </w:tc>
        <w:tc>
          <w:tcPr>
            <w:tcW w:w="1281" w:type="dxa"/>
          </w:tcPr>
          <w:p w:rsidR="00461DE7" w:rsidRPr="00420DF3" w:rsidP="00990CF1" w14:paraId="701A2F51" w14:textId="418061AA">
            <w:pPr>
              <w:jc w:val="center"/>
              <w:rPr>
                <w:bCs/>
                <w:szCs w:val="24"/>
              </w:rPr>
            </w:pPr>
            <w:r w:rsidRPr="00420DF3">
              <w:rPr>
                <w:bCs/>
                <w:szCs w:val="24"/>
              </w:rPr>
              <w:t>108</w:t>
            </w:r>
          </w:p>
        </w:tc>
        <w:tc>
          <w:tcPr>
            <w:tcW w:w="1620" w:type="dxa"/>
          </w:tcPr>
          <w:p w:rsidR="00461DE7" w:rsidRPr="00420DF3" w:rsidP="00990CF1" w14:paraId="3796198F" w14:textId="4A55F350">
            <w:pPr>
              <w:jc w:val="center"/>
              <w:rPr>
                <w:bCs/>
                <w:szCs w:val="24"/>
              </w:rPr>
            </w:pPr>
            <w:r w:rsidRPr="00420DF3">
              <w:rPr>
                <w:bCs/>
                <w:szCs w:val="24"/>
              </w:rPr>
              <w:t>20%</w:t>
            </w:r>
          </w:p>
        </w:tc>
        <w:tc>
          <w:tcPr>
            <w:tcW w:w="1705" w:type="dxa"/>
          </w:tcPr>
          <w:p w:rsidR="00461DE7" w:rsidRPr="00420DF3" w:rsidP="00990CF1" w14:paraId="145F426B" w14:textId="731DB271">
            <w:pPr>
              <w:jc w:val="center"/>
              <w:rPr>
                <w:bCs/>
                <w:szCs w:val="24"/>
              </w:rPr>
            </w:pPr>
            <w:r w:rsidRPr="00420DF3">
              <w:rPr>
                <w:bCs/>
                <w:szCs w:val="24"/>
              </w:rPr>
              <w:t>22</w:t>
            </w:r>
          </w:p>
        </w:tc>
      </w:tr>
      <w:tr w14:paraId="14F101C2" w14:textId="77777777" w:rsidTr="00990CF1">
        <w:tblPrEx>
          <w:tblW w:w="0" w:type="auto"/>
          <w:jc w:val="center"/>
          <w:tblLook w:val="04A0"/>
        </w:tblPrEx>
        <w:trPr>
          <w:jc w:val="center"/>
        </w:trPr>
        <w:tc>
          <w:tcPr>
            <w:tcW w:w="4744" w:type="dxa"/>
          </w:tcPr>
          <w:p w:rsidR="00461DE7" w:rsidRPr="00420DF3" w:rsidP="00271134" w14:paraId="4819EFF6" w14:textId="02E71D36">
            <w:pPr>
              <w:rPr>
                <w:bCs/>
                <w:szCs w:val="24"/>
              </w:rPr>
            </w:pPr>
            <w:r w:rsidRPr="00420DF3">
              <w:rPr>
                <w:bCs/>
                <w:szCs w:val="24"/>
              </w:rPr>
              <w:t>Assumption/Disposition of Grant Agreement Terms</w:t>
            </w:r>
          </w:p>
        </w:tc>
        <w:tc>
          <w:tcPr>
            <w:tcW w:w="1281" w:type="dxa"/>
          </w:tcPr>
          <w:p w:rsidR="00461DE7" w:rsidRPr="00420DF3" w:rsidP="00990CF1" w14:paraId="2617942C" w14:textId="67E48039">
            <w:pPr>
              <w:jc w:val="center"/>
              <w:rPr>
                <w:bCs/>
                <w:szCs w:val="24"/>
              </w:rPr>
            </w:pPr>
            <w:r w:rsidRPr="00420DF3">
              <w:rPr>
                <w:bCs/>
                <w:szCs w:val="24"/>
              </w:rPr>
              <w:t>14</w:t>
            </w:r>
          </w:p>
        </w:tc>
        <w:tc>
          <w:tcPr>
            <w:tcW w:w="1620" w:type="dxa"/>
          </w:tcPr>
          <w:p w:rsidR="00461DE7" w:rsidRPr="00420DF3" w:rsidP="00990CF1" w14:paraId="719C33B9" w14:textId="2CD2C920">
            <w:pPr>
              <w:jc w:val="center"/>
              <w:rPr>
                <w:bCs/>
                <w:szCs w:val="24"/>
              </w:rPr>
            </w:pPr>
            <w:r w:rsidRPr="00420DF3">
              <w:rPr>
                <w:bCs/>
                <w:szCs w:val="24"/>
              </w:rPr>
              <w:t>5%</w:t>
            </w:r>
          </w:p>
        </w:tc>
        <w:tc>
          <w:tcPr>
            <w:tcW w:w="1705" w:type="dxa"/>
          </w:tcPr>
          <w:p w:rsidR="00461DE7" w:rsidRPr="00420DF3" w:rsidP="00990CF1" w14:paraId="107934F3" w14:textId="0364F403">
            <w:pPr>
              <w:jc w:val="center"/>
              <w:rPr>
                <w:bCs/>
                <w:szCs w:val="24"/>
              </w:rPr>
            </w:pPr>
            <w:r w:rsidRPr="00420DF3">
              <w:rPr>
                <w:bCs/>
                <w:szCs w:val="24"/>
              </w:rPr>
              <w:t>1</w:t>
            </w:r>
          </w:p>
        </w:tc>
      </w:tr>
      <w:tr w14:paraId="5E38BA92" w14:textId="77777777" w:rsidTr="00990CF1">
        <w:tblPrEx>
          <w:tblW w:w="0" w:type="auto"/>
          <w:jc w:val="center"/>
          <w:tblLook w:val="04A0"/>
        </w:tblPrEx>
        <w:trPr>
          <w:jc w:val="center"/>
        </w:trPr>
        <w:tc>
          <w:tcPr>
            <w:tcW w:w="7645" w:type="dxa"/>
            <w:gridSpan w:val="3"/>
          </w:tcPr>
          <w:p w:rsidR="00CD4629" w:rsidRPr="00420DF3" w:rsidP="00990CF1" w14:paraId="06540C73" w14:textId="76440811">
            <w:pPr>
              <w:jc w:val="right"/>
              <w:rPr>
                <w:b/>
                <w:szCs w:val="24"/>
              </w:rPr>
            </w:pPr>
            <w:r w:rsidRPr="00420DF3">
              <w:rPr>
                <w:b/>
                <w:szCs w:val="24"/>
              </w:rPr>
              <w:t>Total</w:t>
            </w:r>
          </w:p>
        </w:tc>
        <w:tc>
          <w:tcPr>
            <w:tcW w:w="1705" w:type="dxa"/>
          </w:tcPr>
          <w:p w:rsidR="00CD4629" w:rsidRPr="00420DF3" w:rsidP="00990CF1" w14:paraId="616E4422" w14:textId="0CD5B843">
            <w:pPr>
              <w:jc w:val="center"/>
              <w:rPr>
                <w:b/>
                <w:szCs w:val="24"/>
              </w:rPr>
            </w:pPr>
            <w:r w:rsidRPr="00420DF3">
              <w:rPr>
                <w:b/>
                <w:szCs w:val="24"/>
              </w:rPr>
              <w:t>25</w:t>
            </w:r>
          </w:p>
        </w:tc>
      </w:tr>
    </w:tbl>
    <w:p w:rsidR="00DA5532" w:rsidRPr="00420DF3" w:rsidP="003B7B62" w14:paraId="21DF6580" w14:textId="67BF21C6">
      <w:pPr>
        <w:rPr>
          <w:bCs/>
          <w:szCs w:val="24"/>
        </w:rPr>
      </w:pPr>
      <w:r w:rsidRPr="00420DF3">
        <w:rPr>
          <w:bCs/>
          <w:szCs w:val="24"/>
        </w:rPr>
        <w:t xml:space="preserve"> </w:t>
      </w:r>
    </w:p>
    <w:p w:rsidR="003B7B62" w:rsidRPr="00420DF3" w:rsidP="005624EB" w14:paraId="6BF17F2C" w14:textId="25FD9342">
      <w:pPr>
        <w:rPr>
          <w:bCs/>
          <w:szCs w:val="24"/>
        </w:rPr>
      </w:pPr>
      <w:r w:rsidRPr="00420DF3">
        <w:rPr>
          <w:bCs/>
          <w:szCs w:val="24"/>
        </w:rPr>
        <w:t>The Agency</w:t>
      </w:r>
      <w:r w:rsidRPr="00420DF3" w:rsidR="005923C5">
        <w:rPr>
          <w:bCs/>
          <w:szCs w:val="24"/>
        </w:rPr>
        <w:t xml:space="preserve"> </w:t>
      </w:r>
      <w:r w:rsidRPr="00420DF3" w:rsidR="00066AC0">
        <w:rPr>
          <w:bCs/>
          <w:szCs w:val="24"/>
        </w:rPr>
        <w:t>estimates</w:t>
      </w:r>
      <w:r w:rsidRPr="00420DF3" w:rsidR="005923C5">
        <w:rPr>
          <w:bCs/>
          <w:szCs w:val="24"/>
        </w:rPr>
        <w:t xml:space="preserve"> a total of</w:t>
      </w:r>
      <w:r w:rsidRPr="00420DF3" w:rsidR="00827AA2">
        <w:rPr>
          <w:bCs/>
          <w:szCs w:val="24"/>
        </w:rPr>
        <w:t xml:space="preserve"> zero and</w:t>
      </w:r>
      <w:r w:rsidRPr="00420DF3" w:rsidR="005923C5">
        <w:rPr>
          <w:bCs/>
          <w:szCs w:val="24"/>
        </w:rPr>
        <w:t xml:space="preserve"> </w:t>
      </w:r>
      <w:r w:rsidRPr="00420DF3">
        <w:rPr>
          <w:bCs/>
          <w:szCs w:val="24"/>
        </w:rPr>
        <w:t>25</w:t>
      </w:r>
      <w:r w:rsidRPr="00420DF3" w:rsidR="00066AC0">
        <w:rPr>
          <w:bCs/>
          <w:szCs w:val="24"/>
        </w:rPr>
        <w:t xml:space="preserve"> </w:t>
      </w:r>
      <w:r w:rsidRPr="00420DF3" w:rsidR="00B03A21">
        <w:rPr>
          <w:bCs/>
          <w:szCs w:val="24"/>
        </w:rPr>
        <w:t>documents to be mailed</w:t>
      </w:r>
      <w:r w:rsidRPr="00420DF3" w:rsidR="00145706">
        <w:rPr>
          <w:bCs/>
          <w:szCs w:val="24"/>
        </w:rPr>
        <w:t xml:space="preserve"> to the Agency by the borrower</w:t>
      </w:r>
      <w:r w:rsidRPr="00420DF3" w:rsidR="00EF14CC">
        <w:rPr>
          <w:bCs/>
          <w:szCs w:val="24"/>
        </w:rPr>
        <w:t xml:space="preserve"> for </w:t>
      </w:r>
      <w:r w:rsidRPr="00420DF3" w:rsidR="00BD3AE9">
        <w:rPr>
          <w:bCs/>
          <w:szCs w:val="24"/>
        </w:rPr>
        <w:t xml:space="preserve">routine and </w:t>
      </w:r>
      <w:r w:rsidRPr="00420DF3" w:rsidR="00EF14CC">
        <w:rPr>
          <w:bCs/>
          <w:szCs w:val="24"/>
        </w:rPr>
        <w:t>special</w:t>
      </w:r>
      <w:r w:rsidRPr="00420DF3" w:rsidR="00BD3AE9">
        <w:rPr>
          <w:bCs/>
          <w:szCs w:val="24"/>
        </w:rPr>
        <w:t xml:space="preserve"> servicing actions.</w:t>
      </w:r>
      <w:r w:rsidRPr="00420DF3">
        <w:rPr>
          <w:bCs/>
          <w:szCs w:val="24"/>
        </w:rPr>
        <w:t xml:space="preserve"> </w:t>
      </w:r>
      <w:r w:rsidRPr="00420DF3" w:rsidR="00BD3AE9">
        <w:rPr>
          <w:bCs/>
          <w:szCs w:val="24"/>
        </w:rPr>
        <w:t xml:space="preserve"> </w:t>
      </w:r>
      <w:r w:rsidRPr="00420DF3">
        <w:rPr>
          <w:bCs/>
          <w:szCs w:val="24"/>
        </w:rPr>
        <w:t xml:space="preserve">The United States Postal Service charges $9.95 to ship a legal, flat rate envelope.  Using this as a basis, the total estimated burden for returning </w:t>
      </w:r>
      <w:r w:rsidRPr="00420DF3" w:rsidR="00A86ED1">
        <w:rPr>
          <w:bCs/>
          <w:szCs w:val="24"/>
        </w:rPr>
        <w:t xml:space="preserve">the </w:t>
      </w:r>
      <w:r w:rsidRPr="00420DF3">
        <w:rPr>
          <w:bCs/>
          <w:szCs w:val="24"/>
        </w:rPr>
        <w:t xml:space="preserve">documents is $9.95 per </w:t>
      </w:r>
      <w:r w:rsidRPr="00420DF3" w:rsidR="005923C5">
        <w:rPr>
          <w:bCs/>
          <w:szCs w:val="24"/>
        </w:rPr>
        <w:t>document</w:t>
      </w:r>
      <w:r w:rsidRPr="00420DF3">
        <w:rPr>
          <w:bCs/>
          <w:szCs w:val="24"/>
        </w:rPr>
        <w:t xml:space="preserve"> or $</w:t>
      </w:r>
      <w:r w:rsidRPr="00420DF3" w:rsidR="00B03A21">
        <w:rPr>
          <w:bCs/>
          <w:szCs w:val="24"/>
        </w:rPr>
        <w:t>248.75</w:t>
      </w:r>
      <w:r w:rsidRPr="00420DF3" w:rsidR="005923C5">
        <w:rPr>
          <w:bCs/>
          <w:szCs w:val="24"/>
        </w:rPr>
        <w:t>.</w:t>
      </w:r>
    </w:p>
    <w:p w:rsidR="00BB52A3" w:rsidRPr="00420DF3" w:rsidP="0077019F" w14:paraId="0D924A7A" w14:textId="77777777">
      <w:pPr>
        <w:pStyle w:val="BodyText2"/>
        <w:rPr>
          <w:rFonts w:ascii="Times New Roman" w:hAnsi="Times New Roman"/>
          <w:b/>
          <w:color w:val="FF0000"/>
          <w:sz w:val="24"/>
          <w:szCs w:val="24"/>
          <w:u w:val="single"/>
        </w:rPr>
      </w:pPr>
    </w:p>
    <w:p w:rsidR="0077019F" w:rsidRPr="00420DF3" w:rsidP="0077019F" w14:paraId="403FDDF2" w14:textId="77777777">
      <w:pPr>
        <w:pStyle w:val="BodyText2"/>
        <w:rPr>
          <w:rFonts w:ascii="Times New Roman" w:hAnsi="Times New Roman"/>
          <w:sz w:val="24"/>
          <w:szCs w:val="24"/>
        </w:rPr>
      </w:pPr>
      <w:r w:rsidRPr="00420DF3">
        <w:rPr>
          <w:rFonts w:ascii="Times New Roman" w:hAnsi="Times New Roman"/>
          <w:b/>
          <w:sz w:val="24"/>
          <w:szCs w:val="24"/>
          <w:u w:val="single"/>
        </w:rPr>
        <w:t>14.  Provide estimates of annualized cost to the Federal Government.</w:t>
      </w:r>
    </w:p>
    <w:p w:rsidR="0077019F" w:rsidRPr="00420DF3" w:rsidP="0077019F" w14:paraId="6D326C85" w14:textId="77777777">
      <w:pPr>
        <w:pStyle w:val="BodyText2"/>
        <w:rPr>
          <w:rFonts w:ascii="Times New Roman" w:hAnsi="Times New Roman"/>
          <w:sz w:val="24"/>
          <w:szCs w:val="24"/>
          <w:highlight w:val="green"/>
        </w:rPr>
      </w:pPr>
    </w:p>
    <w:p w:rsidR="00BB2E45" w:rsidRPr="00420DF3" w:rsidP="0077019F" w14:paraId="64B383DC" w14:textId="38646740">
      <w:pPr>
        <w:pStyle w:val="BodyText2"/>
        <w:rPr>
          <w:rFonts w:ascii="Times New Roman" w:hAnsi="Times New Roman"/>
          <w:sz w:val="24"/>
          <w:szCs w:val="24"/>
        </w:rPr>
      </w:pPr>
      <w:r w:rsidRPr="00420DF3">
        <w:rPr>
          <w:rFonts w:ascii="Times New Roman" w:hAnsi="Times New Roman"/>
          <w:sz w:val="24"/>
          <w:szCs w:val="24"/>
        </w:rPr>
        <w:t>The estimated Annualized Cost to the Federal Government is $</w:t>
      </w:r>
      <w:r w:rsidR="008C4FBD">
        <w:rPr>
          <w:rFonts w:ascii="Times New Roman" w:hAnsi="Times New Roman"/>
          <w:sz w:val="24"/>
          <w:szCs w:val="24"/>
        </w:rPr>
        <w:t>4</w:t>
      </w:r>
      <w:r w:rsidRPr="00420DF3" w:rsidR="00BD3AE9">
        <w:rPr>
          <w:rFonts w:ascii="Times New Roman" w:hAnsi="Times New Roman"/>
          <w:sz w:val="24"/>
          <w:szCs w:val="24"/>
        </w:rPr>
        <w:t>,</w:t>
      </w:r>
      <w:r w:rsidR="008C4FBD">
        <w:rPr>
          <w:rFonts w:ascii="Times New Roman" w:hAnsi="Times New Roman"/>
          <w:sz w:val="24"/>
          <w:szCs w:val="24"/>
        </w:rPr>
        <w:t>834</w:t>
      </w:r>
      <w:r w:rsidRPr="00420DF3" w:rsidR="00E859F2">
        <w:rPr>
          <w:rFonts w:ascii="Times New Roman" w:hAnsi="Times New Roman"/>
          <w:sz w:val="24"/>
          <w:szCs w:val="24"/>
        </w:rPr>
        <w:t>,</w:t>
      </w:r>
      <w:r w:rsidR="008C4FBD">
        <w:rPr>
          <w:rFonts w:ascii="Times New Roman" w:hAnsi="Times New Roman"/>
          <w:sz w:val="24"/>
          <w:szCs w:val="24"/>
        </w:rPr>
        <w:t>769</w:t>
      </w:r>
      <w:r w:rsidRPr="00420DF3" w:rsidR="00862A45">
        <w:rPr>
          <w:rFonts w:ascii="Times New Roman" w:hAnsi="Times New Roman"/>
          <w:sz w:val="24"/>
          <w:szCs w:val="24"/>
        </w:rPr>
        <w:t xml:space="preserve">, which is summarized in table 14.1 below.  </w:t>
      </w:r>
      <w:r w:rsidRPr="00420DF3" w:rsidR="0032620F">
        <w:rPr>
          <w:rFonts w:ascii="Times New Roman" w:hAnsi="Times New Roman"/>
          <w:sz w:val="24"/>
          <w:szCs w:val="24"/>
        </w:rPr>
        <w:t xml:space="preserve">The </w:t>
      </w:r>
      <w:r w:rsidRPr="00420DF3" w:rsidR="00D66992">
        <w:rPr>
          <w:rFonts w:ascii="Times New Roman" w:hAnsi="Times New Roman"/>
          <w:sz w:val="24"/>
          <w:szCs w:val="24"/>
        </w:rPr>
        <w:t xml:space="preserve">attached Burden Hours workbook provides an Annualized Cost to the Federal Government worksheet that details the following:  </w:t>
      </w:r>
    </w:p>
    <w:p w:rsidR="00D00B6D" w:rsidRPr="00420DF3" w:rsidP="00A0437B" w14:paraId="4C0A0D54" w14:textId="783CC190">
      <w:pPr>
        <w:pStyle w:val="ListParagraph"/>
        <w:numPr>
          <w:ilvl w:val="0"/>
          <w:numId w:val="29"/>
        </w:numPr>
        <w:contextualSpacing/>
        <w:rPr>
          <w:sz w:val="24"/>
          <w:szCs w:val="24"/>
        </w:rPr>
      </w:pPr>
      <w:r w:rsidRPr="00420DF3">
        <w:rPr>
          <w:sz w:val="24"/>
          <w:szCs w:val="24"/>
        </w:rPr>
        <w:t xml:space="preserve">Three (3) Review Types </w:t>
      </w:r>
    </w:p>
    <w:p w:rsidR="00A0437B" w:rsidRPr="00420DF3" w:rsidP="00A0437B" w14:paraId="0455FA06" w14:textId="74B12CA1">
      <w:pPr>
        <w:pStyle w:val="ListParagraph"/>
        <w:numPr>
          <w:ilvl w:val="0"/>
          <w:numId w:val="29"/>
        </w:numPr>
        <w:contextualSpacing/>
        <w:rPr>
          <w:sz w:val="24"/>
          <w:szCs w:val="24"/>
        </w:rPr>
      </w:pPr>
      <w:r w:rsidRPr="00420DF3">
        <w:rPr>
          <w:sz w:val="24"/>
          <w:szCs w:val="24"/>
        </w:rPr>
        <w:t>Staff Positions for each Review Step.</w:t>
      </w:r>
    </w:p>
    <w:p w:rsidR="00A0437B" w:rsidRPr="00420DF3" w:rsidP="00A0437B" w14:paraId="7165734C" w14:textId="77777777">
      <w:pPr>
        <w:pStyle w:val="ListParagraph"/>
        <w:numPr>
          <w:ilvl w:val="0"/>
          <w:numId w:val="29"/>
        </w:numPr>
        <w:contextualSpacing/>
        <w:rPr>
          <w:sz w:val="24"/>
          <w:szCs w:val="24"/>
        </w:rPr>
      </w:pPr>
      <w:r w:rsidRPr="00420DF3">
        <w:rPr>
          <w:sz w:val="24"/>
          <w:szCs w:val="24"/>
        </w:rPr>
        <w:t>Calculated Wages Rates for each Staff Position.</w:t>
      </w:r>
    </w:p>
    <w:p w:rsidR="00A0437B" w:rsidRPr="00420DF3" w:rsidP="00A0437B" w14:paraId="5C051083" w14:textId="77777777">
      <w:pPr>
        <w:pStyle w:val="ListParagraph"/>
        <w:numPr>
          <w:ilvl w:val="0"/>
          <w:numId w:val="29"/>
        </w:numPr>
        <w:contextualSpacing/>
        <w:rPr>
          <w:sz w:val="24"/>
          <w:szCs w:val="24"/>
        </w:rPr>
      </w:pPr>
      <w:r w:rsidRPr="00420DF3">
        <w:rPr>
          <w:sz w:val="24"/>
          <w:szCs w:val="24"/>
        </w:rPr>
        <w:t>Number of hours required for each Staff Position.</w:t>
      </w:r>
    </w:p>
    <w:p w:rsidR="00A0437B" w:rsidRPr="00420DF3" w:rsidP="00A0437B" w14:paraId="49574CA1" w14:textId="350BD6BB">
      <w:pPr>
        <w:pStyle w:val="ListParagraph"/>
        <w:widowControl w:val="0"/>
        <w:numPr>
          <w:ilvl w:val="0"/>
          <w:numId w:val="29"/>
        </w:numPr>
        <w:autoSpaceDE w:val="0"/>
        <w:autoSpaceDN w:val="0"/>
        <w:rPr>
          <w:b/>
          <w:bCs/>
          <w:sz w:val="24"/>
          <w:szCs w:val="24"/>
        </w:rPr>
      </w:pPr>
      <w:r w:rsidRPr="00420DF3">
        <w:rPr>
          <w:sz w:val="24"/>
          <w:szCs w:val="24"/>
        </w:rPr>
        <w:t>Total Cost for each Staff Position</w:t>
      </w:r>
      <w:r w:rsidRPr="00420DF3" w:rsidR="00BB180E">
        <w:rPr>
          <w:sz w:val="24"/>
          <w:szCs w:val="24"/>
        </w:rPr>
        <w:t>, Review Type</w:t>
      </w:r>
      <w:r w:rsidRPr="00420DF3">
        <w:rPr>
          <w:sz w:val="24"/>
          <w:szCs w:val="24"/>
        </w:rPr>
        <w:t xml:space="preserve"> and to the Federal Government.</w:t>
      </w:r>
    </w:p>
    <w:p w:rsidR="00CE6FC2" w:rsidRPr="00420DF3" w:rsidP="00CE6FC2" w14:paraId="1C335725" w14:textId="77777777">
      <w:pPr>
        <w:jc w:val="center"/>
        <w:rPr>
          <w:b/>
          <w:bCs/>
          <w:szCs w:val="24"/>
        </w:rPr>
      </w:pPr>
    </w:p>
    <w:p w:rsidR="00CE6FC2" w:rsidRPr="00420DF3" w:rsidP="00CE6FC2" w14:paraId="78A2D75E" w14:textId="77777777">
      <w:pPr>
        <w:jc w:val="center"/>
        <w:rPr>
          <w:b/>
          <w:bCs/>
          <w:szCs w:val="24"/>
        </w:rPr>
      </w:pPr>
      <w:r w:rsidRPr="00420DF3">
        <w:rPr>
          <w:b/>
          <w:bCs/>
          <w:szCs w:val="24"/>
        </w:rPr>
        <w:t xml:space="preserve">Table 14.1:  Total Cost to the Federal Government </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800"/>
        <w:gridCol w:w="1710"/>
        <w:gridCol w:w="1710"/>
      </w:tblGrid>
      <w:tr w14:paraId="2FB09418" w14:textId="77777777" w:rsidTr="00107598">
        <w:tblPrEx>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jc w:val="center"/>
        </w:trPr>
        <w:tc>
          <w:tcPr>
            <w:tcW w:w="3775" w:type="dxa"/>
            <w:shd w:val="clear" w:color="auto" w:fill="C6D9F0" w:themeFill="text2" w:themeFillTint="33"/>
          </w:tcPr>
          <w:p w:rsidR="00CE6FC2" w:rsidRPr="00420DF3" w:rsidP="00BB22EE" w14:paraId="1A2D2271" w14:textId="77777777">
            <w:pPr>
              <w:jc w:val="center"/>
              <w:rPr>
                <w:b/>
                <w:bCs/>
                <w:szCs w:val="24"/>
              </w:rPr>
            </w:pPr>
            <w:r w:rsidRPr="00420DF3">
              <w:rPr>
                <w:b/>
                <w:bCs/>
                <w:szCs w:val="24"/>
              </w:rPr>
              <w:t xml:space="preserve">Review </w:t>
            </w:r>
          </w:p>
          <w:p w:rsidR="00CE6FC2" w:rsidRPr="00420DF3" w:rsidP="00BB22EE" w14:paraId="508F151A" w14:textId="64CA2C9F">
            <w:pPr>
              <w:jc w:val="center"/>
              <w:rPr>
                <w:b/>
                <w:bCs/>
                <w:szCs w:val="24"/>
              </w:rPr>
            </w:pPr>
            <w:r w:rsidRPr="00420DF3">
              <w:rPr>
                <w:b/>
                <w:bCs/>
                <w:szCs w:val="24"/>
              </w:rPr>
              <w:t>Type</w:t>
            </w:r>
          </w:p>
        </w:tc>
        <w:tc>
          <w:tcPr>
            <w:tcW w:w="1800" w:type="dxa"/>
            <w:shd w:val="clear" w:color="auto" w:fill="C6D9F0" w:themeFill="text2" w:themeFillTint="33"/>
          </w:tcPr>
          <w:p w:rsidR="00CE6FC2" w:rsidRPr="00420DF3" w:rsidP="00BB22EE" w14:paraId="1C296E4C" w14:textId="77777777">
            <w:pPr>
              <w:jc w:val="center"/>
              <w:rPr>
                <w:b/>
                <w:bCs/>
                <w:szCs w:val="24"/>
              </w:rPr>
            </w:pPr>
            <w:r w:rsidRPr="00420DF3">
              <w:rPr>
                <w:b/>
                <w:bCs/>
                <w:szCs w:val="24"/>
              </w:rPr>
              <w:t xml:space="preserve">Cost </w:t>
            </w:r>
          </w:p>
          <w:p w:rsidR="00CE6FC2" w:rsidRPr="00420DF3" w:rsidP="00BB22EE" w14:paraId="7C792A01" w14:textId="77777777">
            <w:pPr>
              <w:jc w:val="center"/>
              <w:rPr>
                <w:b/>
                <w:bCs/>
                <w:szCs w:val="24"/>
              </w:rPr>
            </w:pPr>
            <w:r w:rsidRPr="00420DF3">
              <w:rPr>
                <w:b/>
                <w:bCs/>
                <w:szCs w:val="24"/>
              </w:rPr>
              <w:t>of Each</w:t>
            </w:r>
          </w:p>
        </w:tc>
        <w:tc>
          <w:tcPr>
            <w:tcW w:w="1710" w:type="dxa"/>
            <w:shd w:val="clear" w:color="auto" w:fill="C6D9F0" w:themeFill="text2" w:themeFillTint="33"/>
          </w:tcPr>
          <w:p w:rsidR="00CE6FC2" w:rsidRPr="00420DF3" w:rsidP="00BB22EE" w14:paraId="4F4D64BE" w14:textId="77777777">
            <w:pPr>
              <w:jc w:val="center"/>
              <w:rPr>
                <w:b/>
                <w:bCs/>
                <w:szCs w:val="24"/>
              </w:rPr>
            </w:pPr>
            <w:r w:rsidRPr="00420DF3">
              <w:rPr>
                <w:b/>
                <w:bCs/>
                <w:szCs w:val="24"/>
              </w:rPr>
              <w:t>Number of Responses</w:t>
            </w:r>
          </w:p>
        </w:tc>
        <w:tc>
          <w:tcPr>
            <w:tcW w:w="1710" w:type="dxa"/>
            <w:shd w:val="clear" w:color="auto" w:fill="C6D9F0" w:themeFill="text2" w:themeFillTint="33"/>
          </w:tcPr>
          <w:p w:rsidR="00CE6FC2" w:rsidRPr="00420DF3" w:rsidP="00BB22EE" w14:paraId="671EBAF1" w14:textId="77777777">
            <w:pPr>
              <w:jc w:val="center"/>
              <w:rPr>
                <w:b/>
                <w:bCs/>
                <w:szCs w:val="24"/>
              </w:rPr>
            </w:pPr>
            <w:r w:rsidRPr="00420DF3">
              <w:rPr>
                <w:b/>
                <w:bCs/>
                <w:szCs w:val="24"/>
              </w:rPr>
              <w:t xml:space="preserve">Total </w:t>
            </w:r>
          </w:p>
          <w:p w:rsidR="00CE6FC2" w:rsidRPr="00420DF3" w:rsidP="00BB22EE" w14:paraId="20F69B4D" w14:textId="77777777">
            <w:pPr>
              <w:jc w:val="center"/>
              <w:rPr>
                <w:b/>
                <w:bCs/>
                <w:szCs w:val="24"/>
              </w:rPr>
            </w:pPr>
            <w:r w:rsidRPr="00420DF3">
              <w:rPr>
                <w:b/>
                <w:bCs/>
                <w:szCs w:val="24"/>
              </w:rPr>
              <w:t>Cost</w:t>
            </w:r>
          </w:p>
        </w:tc>
      </w:tr>
      <w:tr w14:paraId="2CDB17EE" w14:textId="77777777" w:rsidTr="1780DA72">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CE6FC2" w:rsidRPr="00420DF3" w:rsidP="00BB22EE" w14:paraId="242E1C43" w14:textId="7F309A57">
            <w:pPr>
              <w:rPr>
                <w:szCs w:val="24"/>
              </w:rPr>
            </w:pPr>
            <w:r w:rsidRPr="00420DF3">
              <w:rPr>
                <w:szCs w:val="24"/>
              </w:rPr>
              <w:t xml:space="preserve">Routine </w:t>
            </w:r>
            <w:r w:rsidRPr="00420DF3" w:rsidR="009F6C6F">
              <w:rPr>
                <w:szCs w:val="24"/>
              </w:rPr>
              <w:t xml:space="preserve">Servicing Actions Review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E6FC2" w:rsidRPr="00420DF3" w:rsidP="00BB22EE" w14:paraId="17FEEB04" w14:textId="07478B3F">
            <w:pPr>
              <w:jc w:val="right"/>
              <w:rPr>
                <w:szCs w:val="24"/>
              </w:rPr>
            </w:pPr>
            <w:r w:rsidRPr="00420DF3">
              <w:rPr>
                <w:szCs w:val="24"/>
              </w:rPr>
              <w:t>$</w:t>
            </w:r>
            <w:r w:rsidR="00030DF5">
              <w:rPr>
                <w:szCs w:val="24"/>
              </w:rPr>
              <w:t>52</w:t>
            </w:r>
            <w:r w:rsidR="000363BC">
              <w:rPr>
                <w:szCs w:val="24"/>
              </w:rPr>
              <w:t>8.89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E6FC2" w:rsidRPr="00420DF3" w:rsidP="00BB22EE" w14:paraId="298AC688" w14:textId="27897911">
            <w:pPr>
              <w:jc w:val="center"/>
              <w:rPr>
                <w:szCs w:val="24"/>
              </w:rPr>
            </w:pPr>
            <w:r w:rsidRPr="00420DF3">
              <w:rPr>
                <w:szCs w:val="24"/>
              </w:rPr>
              <w:t>3,929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E6FC2" w:rsidRPr="00420DF3" w:rsidP="00BB22EE" w14:paraId="4BEF0D39" w14:textId="3363961D">
            <w:pPr>
              <w:jc w:val="right"/>
              <w:rPr>
                <w:szCs w:val="24"/>
              </w:rPr>
            </w:pPr>
            <w:r w:rsidRPr="00420DF3">
              <w:rPr>
                <w:szCs w:val="24"/>
              </w:rPr>
              <w:t>$</w:t>
            </w:r>
            <w:r w:rsidR="00CD6734">
              <w:rPr>
                <w:szCs w:val="24"/>
              </w:rPr>
              <w:t>2</w:t>
            </w:r>
            <w:r w:rsidRPr="00420DF3" w:rsidR="00FA5DE6">
              <w:rPr>
                <w:szCs w:val="24"/>
              </w:rPr>
              <w:t>,</w:t>
            </w:r>
            <w:r w:rsidR="00CD6734">
              <w:rPr>
                <w:szCs w:val="24"/>
              </w:rPr>
              <w:t>078</w:t>
            </w:r>
            <w:r w:rsidRPr="00420DF3">
              <w:rPr>
                <w:szCs w:val="24"/>
              </w:rPr>
              <w:t>,</w:t>
            </w:r>
            <w:r w:rsidR="00DF6B1A">
              <w:rPr>
                <w:szCs w:val="24"/>
              </w:rPr>
              <w:t>009</w:t>
            </w:r>
          </w:p>
        </w:tc>
      </w:tr>
      <w:tr w14:paraId="15A8596A" w14:textId="77777777" w:rsidTr="1780DA72">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CE6FC2" w:rsidRPr="00420DF3" w:rsidP="00BB22EE" w14:paraId="6C31BF3A" w14:textId="309A0A8E">
            <w:pPr>
              <w:rPr>
                <w:szCs w:val="24"/>
              </w:rPr>
            </w:pPr>
            <w:r w:rsidRPr="00420DF3">
              <w:rPr>
                <w:szCs w:val="24"/>
              </w:rPr>
              <w:t>Special Servicing Actions Review</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E6FC2" w:rsidRPr="00420DF3" w:rsidP="00BB22EE" w14:paraId="4B8215FF" w14:textId="0E82B386">
            <w:pPr>
              <w:jc w:val="right"/>
              <w:rPr>
                <w:szCs w:val="24"/>
              </w:rPr>
            </w:pPr>
            <w:r w:rsidRPr="00420DF3">
              <w:rPr>
                <w:szCs w:val="24"/>
              </w:rPr>
              <w:t>$</w:t>
            </w:r>
            <w:r w:rsidR="00515E42">
              <w:rPr>
                <w:szCs w:val="24"/>
              </w:rPr>
              <w:t>17,422</w:t>
            </w:r>
            <w:r w:rsidR="0019175B">
              <w:rPr>
                <w:szCs w:val="24"/>
              </w:rPr>
              <w:t>.48</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E6FC2" w:rsidRPr="00420DF3" w:rsidP="00BB22EE" w14:paraId="5892B047" w14:textId="43B3C7FA">
            <w:pPr>
              <w:jc w:val="center"/>
              <w:rPr>
                <w:szCs w:val="24"/>
              </w:rPr>
            </w:pPr>
            <w:r w:rsidRPr="00420DF3">
              <w:rPr>
                <w:szCs w:val="24"/>
              </w:rPr>
              <w:t>135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E6FC2" w:rsidRPr="00420DF3" w:rsidP="00BB22EE" w14:paraId="0E816911" w14:textId="222AD5FE">
            <w:pPr>
              <w:jc w:val="right"/>
              <w:rPr>
                <w:szCs w:val="24"/>
              </w:rPr>
            </w:pPr>
            <w:r w:rsidRPr="00420DF3">
              <w:rPr>
                <w:szCs w:val="24"/>
              </w:rPr>
              <w:t>$</w:t>
            </w:r>
            <w:r w:rsidRPr="00420DF3" w:rsidR="00937586">
              <w:rPr>
                <w:szCs w:val="24"/>
              </w:rPr>
              <w:t>2,</w:t>
            </w:r>
            <w:r w:rsidR="00CD6734">
              <w:rPr>
                <w:szCs w:val="24"/>
              </w:rPr>
              <w:t>352</w:t>
            </w:r>
            <w:r w:rsidRPr="00420DF3" w:rsidR="00937586">
              <w:rPr>
                <w:szCs w:val="24"/>
              </w:rPr>
              <w:t>,</w:t>
            </w:r>
            <w:r w:rsidR="00CD6734">
              <w:rPr>
                <w:szCs w:val="24"/>
              </w:rPr>
              <w:t>035</w:t>
            </w:r>
          </w:p>
        </w:tc>
      </w:tr>
      <w:tr w14:paraId="6708FD88" w14:textId="77777777" w:rsidTr="1780DA72">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CE6FC2" w:rsidRPr="00420DF3" w:rsidP="00BB22EE" w14:paraId="767AFFBC" w14:textId="77777777">
            <w:pPr>
              <w:rPr>
                <w:szCs w:val="24"/>
              </w:rPr>
            </w:pPr>
            <w:r w:rsidRPr="00420DF3">
              <w:rPr>
                <w:szCs w:val="24"/>
              </w:rPr>
              <w:t>Graduation Reviews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E6FC2" w:rsidRPr="00420DF3" w:rsidP="00BB22EE" w14:paraId="67B1D365" w14:textId="60604292">
            <w:pPr>
              <w:jc w:val="right"/>
              <w:rPr>
                <w:szCs w:val="24"/>
              </w:rPr>
            </w:pPr>
            <w:r w:rsidRPr="00420DF3">
              <w:rPr>
                <w:szCs w:val="24"/>
              </w:rPr>
              <w:t>$</w:t>
            </w:r>
            <w:r w:rsidR="00515E42">
              <w:rPr>
                <w:szCs w:val="24"/>
              </w:rPr>
              <w:t>132</w:t>
            </w:r>
            <w:r w:rsidR="000D011D">
              <w:rPr>
                <w:szCs w:val="24"/>
              </w:rPr>
              <w:t>.22</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E6FC2" w:rsidRPr="00420DF3" w:rsidP="00BB22EE" w14:paraId="2C07AC86" w14:textId="2154ECB1">
            <w:pPr>
              <w:jc w:val="center"/>
              <w:rPr>
                <w:szCs w:val="24"/>
              </w:rPr>
            </w:pPr>
            <w:r w:rsidRPr="00420DF3">
              <w:rPr>
                <w:szCs w:val="24"/>
              </w:rPr>
              <w:t>3,061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E6FC2" w:rsidRPr="00420DF3" w:rsidP="00BB22EE" w14:paraId="3D725A8F" w14:textId="3FA8A40D">
            <w:pPr>
              <w:jc w:val="right"/>
              <w:rPr>
                <w:szCs w:val="24"/>
              </w:rPr>
            </w:pPr>
            <w:r w:rsidRPr="00420DF3">
              <w:rPr>
                <w:szCs w:val="24"/>
              </w:rPr>
              <w:t>$</w:t>
            </w:r>
            <w:r w:rsidR="00CD6734">
              <w:rPr>
                <w:szCs w:val="24"/>
              </w:rPr>
              <w:t>404</w:t>
            </w:r>
            <w:r w:rsidRPr="00420DF3">
              <w:rPr>
                <w:szCs w:val="24"/>
              </w:rPr>
              <w:t>,</w:t>
            </w:r>
            <w:r w:rsidR="00CD6734">
              <w:rPr>
                <w:szCs w:val="24"/>
              </w:rPr>
              <w:t>7</w:t>
            </w:r>
            <w:r w:rsidR="000D011D">
              <w:rPr>
                <w:szCs w:val="24"/>
              </w:rPr>
              <w:t>25</w:t>
            </w:r>
          </w:p>
        </w:tc>
      </w:tr>
      <w:tr w14:paraId="0266BEDF" w14:textId="77777777" w:rsidTr="1780DA72">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CE6FC2" w:rsidRPr="00420DF3" w:rsidP="00BB22EE" w14:paraId="4EA714B2" w14:textId="77777777">
            <w:pPr>
              <w:rPr>
                <w:b/>
                <w:bCs/>
                <w:szCs w:val="24"/>
              </w:rPr>
            </w:pPr>
            <w:r w:rsidRPr="00420DF3">
              <w:rPr>
                <w:b/>
                <w:bCs/>
                <w:szCs w:val="24"/>
              </w:rPr>
              <w:t>Total Cost to Federal Government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E6FC2" w:rsidRPr="00420DF3" w:rsidP="00BB22EE" w14:paraId="7AD1C721" w14:textId="3F8948A0">
            <w:pPr>
              <w:jc w:val="right"/>
              <w:rPr>
                <w:b/>
                <w:bCs/>
                <w:szCs w:val="24"/>
              </w:rPr>
            </w:pPr>
            <w:r w:rsidRPr="00420DF3">
              <w:rPr>
                <w:b/>
                <w:bCs/>
                <w:szCs w:val="24"/>
              </w:rPr>
              <w:t>$</w:t>
            </w:r>
            <w:r w:rsidR="003924C8">
              <w:rPr>
                <w:b/>
                <w:bCs/>
                <w:szCs w:val="24"/>
              </w:rPr>
              <w:t>18</w:t>
            </w:r>
            <w:r w:rsidRPr="00420DF3">
              <w:rPr>
                <w:b/>
                <w:bCs/>
                <w:szCs w:val="24"/>
              </w:rPr>
              <w:t>,</w:t>
            </w:r>
            <w:r w:rsidR="003924C8">
              <w:rPr>
                <w:b/>
                <w:bCs/>
                <w:szCs w:val="24"/>
              </w:rPr>
              <w:t>083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E6FC2" w:rsidRPr="00420DF3" w:rsidP="00BB22EE" w14:paraId="5CD12E5A" w14:textId="77777777">
            <w:pPr>
              <w:jc w:val="center"/>
              <w:rPr>
                <w:b/>
                <w:bCs/>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CE6FC2" w:rsidRPr="00420DF3" w:rsidP="00BB22EE" w14:paraId="5FEC2C27" w14:textId="026726BF">
            <w:pPr>
              <w:jc w:val="right"/>
              <w:rPr>
                <w:b/>
                <w:bCs/>
                <w:szCs w:val="24"/>
              </w:rPr>
            </w:pPr>
            <w:r w:rsidRPr="00420DF3">
              <w:rPr>
                <w:b/>
                <w:bCs/>
                <w:szCs w:val="24"/>
              </w:rPr>
              <w:t>$</w:t>
            </w:r>
            <w:r w:rsidR="00141ED8">
              <w:rPr>
                <w:b/>
                <w:bCs/>
                <w:szCs w:val="24"/>
              </w:rPr>
              <w:t>4</w:t>
            </w:r>
            <w:r w:rsidRPr="00420DF3" w:rsidR="002503DF">
              <w:rPr>
                <w:b/>
                <w:bCs/>
                <w:szCs w:val="24"/>
              </w:rPr>
              <w:t>,</w:t>
            </w:r>
            <w:r w:rsidR="00141ED8">
              <w:rPr>
                <w:b/>
                <w:bCs/>
                <w:szCs w:val="24"/>
              </w:rPr>
              <w:t>834</w:t>
            </w:r>
            <w:r w:rsidRPr="00420DF3" w:rsidR="002503DF">
              <w:rPr>
                <w:b/>
                <w:bCs/>
                <w:szCs w:val="24"/>
              </w:rPr>
              <w:t>,</w:t>
            </w:r>
            <w:r w:rsidR="009D34CB">
              <w:rPr>
                <w:b/>
                <w:bCs/>
                <w:szCs w:val="24"/>
              </w:rPr>
              <w:t>769</w:t>
            </w:r>
          </w:p>
        </w:tc>
      </w:tr>
    </w:tbl>
    <w:p w:rsidR="00CE6FC2" w:rsidRPr="00420DF3" w:rsidP="0077019F" w14:paraId="0D3E6624" w14:textId="77777777">
      <w:pPr>
        <w:pStyle w:val="BodyText2"/>
        <w:rPr>
          <w:rFonts w:ascii="Times New Roman" w:hAnsi="Times New Roman"/>
          <w:sz w:val="24"/>
          <w:szCs w:val="24"/>
          <w:highlight w:val="green"/>
        </w:rPr>
      </w:pPr>
    </w:p>
    <w:p w:rsidR="00CE6FC2" w:rsidRPr="00420DF3" w:rsidP="0077019F" w14:paraId="2D76806F" w14:textId="5B396C91">
      <w:pPr>
        <w:pStyle w:val="BodyText2"/>
        <w:rPr>
          <w:rFonts w:ascii="Times New Roman" w:hAnsi="Times New Roman"/>
          <w:sz w:val="24"/>
          <w:szCs w:val="24"/>
        </w:rPr>
      </w:pPr>
      <w:r w:rsidRPr="00420DF3">
        <w:rPr>
          <w:rFonts w:ascii="Times New Roman" w:hAnsi="Times New Roman"/>
          <w:i/>
          <w:iCs/>
          <w:sz w:val="24"/>
          <w:szCs w:val="24"/>
        </w:rPr>
        <w:t>Review Types.</w:t>
      </w:r>
      <w:r w:rsidRPr="00420DF3">
        <w:rPr>
          <w:rFonts w:ascii="Times New Roman" w:hAnsi="Times New Roman"/>
          <w:sz w:val="24"/>
          <w:szCs w:val="24"/>
        </w:rPr>
        <w:t xml:space="preserve">  Brief explanation of the three (3) review types </w:t>
      </w:r>
      <w:r w:rsidRPr="00420DF3" w:rsidR="00F730F1">
        <w:rPr>
          <w:rFonts w:ascii="Times New Roman" w:hAnsi="Times New Roman"/>
          <w:sz w:val="24"/>
          <w:szCs w:val="24"/>
        </w:rPr>
        <w:t>below.</w:t>
      </w:r>
    </w:p>
    <w:p w:rsidR="00CE6FC2" w:rsidRPr="00420DF3" w:rsidP="00F730F1" w14:paraId="7AA4DC4D" w14:textId="06C242F4">
      <w:pPr>
        <w:pStyle w:val="BodyText2"/>
        <w:numPr>
          <w:ilvl w:val="0"/>
          <w:numId w:val="34"/>
        </w:numPr>
        <w:rPr>
          <w:rFonts w:ascii="Times New Roman" w:hAnsi="Times New Roman"/>
          <w:sz w:val="24"/>
          <w:szCs w:val="24"/>
        </w:rPr>
      </w:pPr>
      <w:r w:rsidRPr="00420DF3">
        <w:rPr>
          <w:rFonts w:ascii="Times New Roman" w:hAnsi="Times New Roman"/>
          <w:sz w:val="24"/>
          <w:szCs w:val="24"/>
        </w:rPr>
        <w:t>Routine Servicing Actions Reviews</w:t>
      </w:r>
      <w:r w:rsidRPr="00420DF3" w:rsidR="0055310B">
        <w:rPr>
          <w:rFonts w:ascii="Times New Roman" w:hAnsi="Times New Roman"/>
          <w:sz w:val="24"/>
          <w:szCs w:val="24"/>
        </w:rPr>
        <w:t xml:space="preserve"> </w:t>
      </w:r>
      <w:r w:rsidRPr="00420DF3" w:rsidR="002474A1">
        <w:rPr>
          <w:rFonts w:ascii="Times New Roman" w:hAnsi="Times New Roman"/>
          <w:sz w:val="24"/>
          <w:szCs w:val="24"/>
        </w:rPr>
        <w:t>–</w:t>
      </w:r>
      <w:r w:rsidRPr="00420DF3" w:rsidR="0055310B">
        <w:rPr>
          <w:rFonts w:ascii="Times New Roman" w:hAnsi="Times New Roman"/>
          <w:sz w:val="24"/>
          <w:szCs w:val="24"/>
        </w:rPr>
        <w:t xml:space="preserve"> </w:t>
      </w:r>
      <w:r w:rsidRPr="00420DF3" w:rsidR="002474A1">
        <w:rPr>
          <w:rFonts w:ascii="Times New Roman" w:hAnsi="Times New Roman"/>
          <w:sz w:val="24"/>
          <w:szCs w:val="24"/>
        </w:rPr>
        <w:t>Agency yea</w:t>
      </w:r>
      <w:r w:rsidRPr="00420DF3" w:rsidR="00CA6586">
        <w:rPr>
          <w:rFonts w:ascii="Times New Roman" w:hAnsi="Times New Roman"/>
          <w:sz w:val="24"/>
          <w:szCs w:val="24"/>
        </w:rPr>
        <w:t>rly review of audits and year-end financial reports, insurance, and budget for the life of the loan.</w:t>
      </w:r>
      <w:r w:rsidRPr="00420DF3" w:rsidR="00CF7FD1">
        <w:rPr>
          <w:rFonts w:ascii="Times New Roman" w:hAnsi="Times New Roman"/>
          <w:sz w:val="24"/>
          <w:szCs w:val="24"/>
        </w:rPr>
        <w:t xml:space="preserve">  </w:t>
      </w:r>
      <w:r w:rsidRPr="00420DF3" w:rsidR="00CA6586">
        <w:rPr>
          <w:rFonts w:ascii="Times New Roman" w:hAnsi="Times New Roman"/>
          <w:sz w:val="24"/>
          <w:szCs w:val="24"/>
        </w:rPr>
        <w:t xml:space="preserve">  </w:t>
      </w:r>
    </w:p>
    <w:p w:rsidR="00F730F1" w:rsidRPr="00420DF3" w:rsidP="00F730F1" w14:paraId="12472504" w14:textId="2E0D8A80">
      <w:pPr>
        <w:pStyle w:val="BodyText2"/>
        <w:numPr>
          <w:ilvl w:val="0"/>
          <w:numId w:val="34"/>
        </w:numPr>
        <w:rPr>
          <w:rFonts w:ascii="Times New Roman" w:hAnsi="Times New Roman"/>
          <w:sz w:val="24"/>
          <w:szCs w:val="24"/>
        </w:rPr>
      </w:pPr>
      <w:r w:rsidRPr="00420DF3">
        <w:rPr>
          <w:rFonts w:ascii="Times New Roman" w:hAnsi="Times New Roman"/>
          <w:sz w:val="24"/>
          <w:szCs w:val="24"/>
        </w:rPr>
        <w:t>Special Servicing Actions Reviews</w:t>
      </w:r>
      <w:r w:rsidRPr="00420DF3" w:rsidR="00CC2BF4">
        <w:rPr>
          <w:rFonts w:ascii="Times New Roman" w:hAnsi="Times New Roman"/>
          <w:sz w:val="24"/>
          <w:szCs w:val="24"/>
        </w:rPr>
        <w:t xml:space="preserve"> – Agency review for </w:t>
      </w:r>
      <w:r w:rsidRPr="00420DF3" w:rsidR="00CF7FD1">
        <w:rPr>
          <w:rFonts w:ascii="Times New Roman" w:hAnsi="Times New Roman"/>
          <w:sz w:val="24"/>
          <w:szCs w:val="24"/>
        </w:rPr>
        <w:t>items listed within 12 BH Collection Tab in the attached Burden Hours workbook.</w:t>
      </w:r>
      <w:r w:rsidRPr="00420DF3" w:rsidR="005563A1">
        <w:rPr>
          <w:rFonts w:ascii="Times New Roman" w:hAnsi="Times New Roman"/>
          <w:sz w:val="24"/>
          <w:szCs w:val="24"/>
        </w:rPr>
        <w:t xml:space="preserve">  </w:t>
      </w:r>
      <w:r w:rsidRPr="00420DF3" w:rsidR="00CF7FD1">
        <w:rPr>
          <w:rFonts w:ascii="Times New Roman" w:hAnsi="Times New Roman"/>
          <w:sz w:val="24"/>
          <w:szCs w:val="24"/>
        </w:rPr>
        <w:t xml:space="preserve">  </w:t>
      </w:r>
    </w:p>
    <w:p w:rsidR="00CC2BF4" w:rsidRPr="00420DF3" w:rsidP="00990CF1" w14:paraId="387DE301" w14:textId="223CD8DE">
      <w:pPr>
        <w:pStyle w:val="BodyText2"/>
        <w:numPr>
          <w:ilvl w:val="0"/>
          <w:numId w:val="34"/>
        </w:numPr>
        <w:rPr>
          <w:rFonts w:ascii="Times New Roman" w:hAnsi="Times New Roman"/>
          <w:sz w:val="24"/>
          <w:szCs w:val="24"/>
        </w:rPr>
      </w:pPr>
      <w:r w:rsidRPr="00420DF3">
        <w:rPr>
          <w:rFonts w:ascii="Times New Roman" w:hAnsi="Times New Roman"/>
          <w:sz w:val="24"/>
          <w:szCs w:val="24"/>
        </w:rPr>
        <w:t>Graduation Review</w:t>
      </w:r>
      <w:r w:rsidRPr="00420DF3" w:rsidR="0067663F">
        <w:rPr>
          <w:rFonts w:ascii="Times New Roman" w:hAnsi="Times New Roman"/>
          <w:sz w:val="24"/>
          <w:szCs w:val="24"/>
        </w:rPr>
        <w:t xml:space="preserve">s </w:t>
      </w:r>
      <w:r w:rsidRPr="00420DF3" w:rsidR="00EE5E7A">
        <w:rPr>
          <w:rFonts w:ascii="Times New Roman" w:hAnsi="Times New Roman"/>
          <w:sz w:val="24"/>
          <w:szCs w:val="24"/>
        </w:rPr>
        <w:t>–</w:t>
      </w:r>
      <w:r w:rsidRPr="00420DF3" w:rsidR="0067663F">
        <w:rPr>
          <w:rFonts w:ascii="Times New Roman" w:hAnsi="Times New Roman"/>
          <w:sz w:val="24"/>
          <w:szCs w:val="24"/>
        </w:rPr>
        <w:t xml:space="preserve"> </w:t>
      </w:r>
      <w:r w:rsidRPr="00420DF3">
        <w:rPr>
          <w:rFonts w:ascii="Times New Roman" w:hAnsi="Times New Roman"/>
          <w:sz w:val="24"/>
          <w:szCs w:val="24"/>
        </w:rPr>
        <w:t xml:space="preserve">Graduation is payment in full </w:t>
      </w:r>
      <w:r w:rsidRPr="00420DF3">
        <w:rPr>
          <w:rFonts w:ascii="Times New Roman" w:hAnsi="Times New Roman"/>
          <w:sz w:val="24"/>
          <w:szCs w:val="24"/>
        </w:rPr>
        <w:t>with</w:t>
      </w:r>
      <w:r w:rsidRPr="00420DF3">
        <w:rPr>
          <w:rFonts w:ascii="Times New Roman" w:hAnsi="Times New Roman"/>
          <w:sz w:val="24"/>
          <w:szCs w:val="24"/>
        </w:rPr>
        <w:t xml:space="preserve"> funds from other lenders/sources of one or more USDA insured loan(s) before maturity. Graduation reviews are for loans over 5 years old and based on the year that the entity’s first loan was ever closed and depending on if it occurred in an even or odd year.  The field office loan specialist will review borrowers who have been indebted for at least 5 years by generating a Graduation Report each year to see which graduation reviews need to be completed.  The first review for a borrower will be conducted in the 6</w:t>
      </w:r>
      <w:r w:rsidRPr="00420DF3">
        <w:rPr>
          <w:rFonts w:ascii="Times New Roman" w:hAnsi="Times New Roman"/>
          <w:i/>
          <w:iCs/>
          <w:sz w:val="24"/>
          <w:szCs w:val="24"/>
        </w:rPr>
        <w:t>th</w:t>
      </w:r>
      <w:r w:rsidRPr="00420DF3">
        <w:rPr>
          <w:rFonts w:ascii="Times New Roman" w:hAnsi="Times New Roman"/>
          <w:sz w:val="24"/>
          <w:szCs w:val="24"/>
        </w:rPr>
        <w:t xml:space="preserve"> year of the newest loan to the year of loan closing.  </w:t>
      </w:r>
    </w:p>
    <w:p w:rsidR="00CC2BF4" w:rsidRPr="00420DF3" w:rsidP="0077019F" w14:paraId="17B5FB7E" w14:textId="77777777">
      <w:pPr>
        <w:pStyle w:val="BodyText2"/>
        <w:rPr>
          <w:rFonts w:ascii="Times New Roman" w:hAnsi="Times New Roman"/>
          <w:sz w:val="24"/>
          <w:szCs w:val="24"/>
        </w:rPr>
      </w:pPr>
    </w:p>
    <w:p w:rsidR="00E81E3B" w:rsidRPr="00420DF3" w:rsidP="00E81E3B" w14:paraId="3BBC759F" w14:textId="7FD7AAE9">
      <w:pPr>
        <w:rPr>
          <w:szCs w:val="24"/>
        </w:rPr>
      </w:pPr>
      <w:r w:rsidRPr="00420DF3">
        <w:rPr>
          <w:i/>
          <w:iCs/>
          <w:szCs w:val="24"/>
        </w:rPr>
        <w:t>Staff positions, GS Salary, and Total Salary Rate Calculated.</w:t>
      </w:r>
      <w:r w:rsidRPr="00420DF3">
        <w:rPr>
          <w:szCs w:val="24"/>
        </w:rPr>
        <w:t xml:space="preserve">  </w:t>
      </w:r>
      <w:r w:rsidRPr="00420DF3">
        <w:rPr>
          <w:szCs w:val="24"/>
        </w:rPr>
        <w:t>Table 14.</w:t>
      </w:r>
      <w:r w:rsidRPr="00420DF3">
        <w:rPr>
          <w:szCs w:val="24"/>
        </w:rPr>
        <w:t>2</w:t>
      </w:r>
      <w:r w:rsidRPr="00420DF3">
        <w:rPr>
          <w:szCs w:val="24"/>
        </w:rPr>
        <w:t xml:space="preserve"> below provides the staff positions </w:t>
      </w:r>
      <w:r w:rsidRPr="00420DF3" w:rsidR="00C86DEB">
        <w:rPr>
          <w:szCs w:val="24"/>
        </w:rPr>
        <w:t xml:space="preserve">used for the Review Types </w:t>
      </w:r>
      <w:r w:rsidRPr="00420DF3">
        <w:rPr>
          <w:szCs w:val="24"/>
        </w:rPr>
        <w:t>along with each Staff Positions General Schedule (GS) Grade, Step and Salary.  The GS Salary was obtained by using Tables 2024-</w:t>
      </w:r>
      <w:r w:rsidR="00DE5FD7">
        <w:rPr>
          <w:szCs w:val="24"/>
        </w:rPr>
        <w:t>SL</w:t>
      </w:r>
      <w:r w:rsidRPr="00420DF3">
        <w:rPr>
          <w:szCs w:val="24"/>
        </w:rPr>
        <w:t xml:space="preserve"> (</w:t>
      </w:r>
      <w:hyperlink r:id="rId20" w:history="1">
        <w:r w:rsidRPr="00C63C41" w:rsidR="00C63C41">
          <w:rPr>
            <w:rStyle w:val="Hyperlink"/>
            <w:szCs w:val="24"/>
          </w:rPr>
          <w:t>Pay &amp; Leave : Salaries &amp; Wages - OPM.gov</w:t>
        </w:r>
      </w:hyperlink>
      <w:r w:rsidRPr="00420DF3">
        <w:rPr>
          <w:szCs w:val="24"/>
        </w:rPr>
        <w:t xml:space="preserve">) from the U.S. Office of Personnel Management (OPM), Policy, Pay &amp; Leave, Salaries &amp; Wages.  </w:t>
      </w:r>
    </w:p>
    <w:p w:rsidR="00E81E3B" w:rsidRPr="00420DF3" w:rsidP="00E81E3B" w14:paraId="47F9351F" w14:textId="77777777">
      <w:pPr>
        <w:rPr>
          <w:szCs w:val="24"/>
        </w:rPr>
      </w:pPr>
    </w:p>
    <w:p w:rsidR="00E81E3B" w:rsidRPr="00420DF3" w:rsidP="00E81E3B" w14:paraId="3E77B05E" w14:textId="2ED92D2B">
      <w:pPr>
        <w:jc w:val="center"/>
        <w:rPr>
          <w:szCs w:val="24"/>
        </w:rPr>
      </w:pPr>
      <w:r w:rsidRPr="00420DF3">
        <w:rPr>
          <w:b/>
          <w:bCs/>
          <w:szCs w:val="24"/>
        </w:rPr>
        <w:t>Table 14.</w:t>
      </w:r>
      <w:r w:rsidRPr="00420DF3" w:rsidR="002918FC">
        <w:rPr>
          <w:b/>
          <w:bCs/>
          <w:szCs w:val="24"/>
        </w:rPr>
        <w:t>2</w:t>
      </w:r>
      <w:r w:rsidRPr="00420DF3">
        <w:rPr>
          <w:b/>
          <w:bCs/>
          <w:szCs w:val="24"/>
        </w:rPr>
        <w:t xml:space="preserve">:  Staff Positions and GS Salary </w:t>
      </w:r>
    </w:p>
    <w:tbl>
      <w:tblPr>
        <w:tblW w:w="8905" w:type="dxa"/>
        <w:jc w:val="center"/>
        <w:tblLook w:val="04A0"/>
      </w:tblPr>
      <w:tblGrid>
        <w:gridCol w:w="4699"/>
        <w:gridCol w:w="1236"/>
        <w:gridCol w:w="1260"/>
        <w:gridCol w:w="1710"/>
      </w:tblGrid>
      <w:tr w14:paraId="30A8DF52" w14:textId="77777777" w:rsidTr="00990CF1">
        <w:tblPrEx>
          <w:tblW w:w="8905" w:type="dxa"/>
          <w:jc w:val="center"/>
          <w:tblLook w:val="04A0"/>
        </w:tblPrEx>
        <w:trPr>
          <w:trHeight w:val="1055"/>
          <w:jc w:val="center"/>
        </w:trPr>
        <w:tc>
          <w:tcPr>
            <w:tcW w:w="469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506CA" w:rsidRPr="00420DF3" w:rsidP="002506CA" w14:paraId="32CEFD6F" w14:textId="77777777">
            <w:pPr>
              <w:jc w:val="center"/>
              <w:rPr>
                <w:b/>
                <w:bCs/>
                <w:szCs w:val="24"/>
              </w:rPr>
            </w:pPr>
            <w:r w:rsidRPr="00420DF3">
              <w:rPr>
                <w:b/>
                <w:bCs/>
                <w:szCs w:val="24"/>
              </w:rPr>
              <w:t xml:space="preserve">Staff </w:t>
            </w:r>
            <w:r w:rsidRPr="00420DF3">
              <w:rPr>
                <w:b/>
                <w:bCs/>
                <w:szCs w:val="24"/>
              </w:rPr>
              <w:br/>
              <w:t>Position</w:t>
            </w:r>
          </w:p>
        </w:tc>
        <w:tc>
          <w:tcPr>
            <w:tcW w:w="123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2506CA" w:rsidRPr="00420DF3" w:rsidP="002506CA" w14:paraId="49DD5CFF" w14:textId="77777777">
            <w:pPr>
              <w:jc w:val="center"/>
              <w:rPr>
                <w:b/>
                <w:bCs/>
                <w:szCs w:val="24"/>
              </w:rPr>
            </w:pPr>
            <w:r w:rsidRPr="00420DF3">
              <w:rPr>
                <w:b/>
                <w:bCs/>
                <w:szCs w:val="24"/>
              </w:rPr>
              <w:t>GS Grade</w:t>
            </w:r>
          </w:p>
        </w:tc>
        <w:tc>
          <w:tcPr>
            <w:tcW w:w="12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2506CA" w:rsidRPr="00420DF3" w:rsidP="002506CA" w14:paraId="4C457C07" w14:textId="77777777">
            <w:pPr>
              <w:jc w:val="center"/>
              <w:rPr>
                <w:b/>
                <w:bCs/>
                <w:szCs w:val="24"/>
              </w:rPr>
            </w:pPr>
            <w:r w:rsidRPr="00420DF3">
              <w:rPr>
                <w:b/>
                <w:bCs/>
                <w:szCs w:val="24"/>
              </w:rPr>
              <w:t>GS Step</w:t>
            </w:r>
          </w:p>
        </w:tc>
        <w:tc>
          <w:tcPr>
            <w:tcW w:w="171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2506CA" w:rsidRPr="00420DF3" w:rsidP="002506CA" w14:paraId="20B3E6C5" w14:textId="77777777">
            <w:pPr>
              <w:jc w:val="center"/>
              <w:rPr>
                <w:b/>
                <w:bCs/>
                <w:szCs w:val="24"/>
              </w:rPr>
            </w:pPr>
            <w:r w:rsidRPr="00420DF3">
              <w:rPr>
                <w:b/>
                <w:bCs/>
                <w:szCs w:val="24"/>
              </w:rPr>
              <w:t xml:space="preserve">GS </w:t>
            </w:r>
            <w:r w:rsidRPr="00420DF3">
              <w:rPr>
                <w:b/>
                <w:bCs/>
                <w:szCs w:val="24"/>
              </w:rPr>
              <w:br/>
              <w:t>Salary</w:t>
            </w:r>
          </w:p>
        </w:tc>
      </w:tr>
      <w:tr w14:paraId="11AEFBE1" w14:textId="77777777" w:rsidTr="00990CF1">
        <w:tblPrEx>
          <w:tblW w:w="8905" w:type="dxa"/>
          <w:jc w:val="center"/>
          <w:tblLook w:val="04A0"/>
        </w:tblPrEx>
        <w:trPr>
          <w:trHeight w:val="253"/>
          <w:jc w:val="center"/>
        </w:trPr>
        <w:tc>
          <w:tcPr>
            <w:tcW w:w="4699" w:type="dxa"/>
            <w:tcBorders>
              <w:top w:val="nil"/>
              <w:left w:val="single" w:sz="4" w:space="0" w:color="auto"/>
              <w:bottom w:val="single" w:sz="4" w:space="0" w:color="auto"/>
              <w:right w:val="single" w:sz="4" w:space="0" w:color="auto"/>
            </w:tcBorders>
            <w:shd w:val="clear" w:color="auto" w:fill="auto"/>
            <w:vAlign w:val="center"/>
            <w:hideMark/>
          </w:tcPr>
          <w:p w:rsidR="002506CA" w:rsidRPr="00420DF3" w:rsidP="002506CA" w14:paraId="598C18C4" w14:textId="77777777">
            <w:pPr>
              <w:rPr>
                <w:szCs w:val="24"/>
              </w:rPr>
            </w:pPr>
            <w:r w:rsidRPr="00420DF3">
              <w:rPr>
                <w:szCs w:val="24"/>
              </w:rPr>
              <w:t>Loan Specialist - Field Office</w:t>
            </w:r>
          </w:p>
        </w:tc>
        <w:tc>
          <w:tcPr>
            <w:tcW w:w="1236"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6E9EF815" w14:textId="77777777">
            <w:pPr>
              <w:jc w:val="center"/>
              <w:rPr>
                <w:szCs w:val="24"/>
              </w:rPr>
            </w:pPr>
            <w:r w:rsidRPr="00420DF3">
              <w:rPr>
                <w:szCs w:val="24"/>
              </w:rPr>
              <w:t>12</w:t>
            </w:r>
          </w:p>
        </w:tc>
        <w:tc>
          <w:tcPr>
            <w:tcW w:w="1260"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63A03882" w14:textId="77777777">
            <w:pPr>
              <w:jc w:val="center"/>
              <w:rPr>
                <w:szCs w:val="24"/>
              </w:rPr>
            </w:pPr>
            <w:r w:rsidRPr="00420DF3">
              <w:rPr>
                <w:szCs w:val="24"/>
              </w:rPr>
              <w:t>5</w:t>
            </w:r>
          </w:p>
        </w:tc>
        <w:tc>
          <w:tcPr>
            <w:tcW w:w="1710"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14A4CF3C" w14:textId="09723833">
            <w:pPr>
              <w:jc w:val="center"/>
              <w:rPr>
                <w:szCs w:val="24"/>
              </w:rPr>
            </w:pPr>
            <w:r w:rsidRPr="00420DF3">
              <w:rPr>
                <w:szCs w:val="24"/>
              </w:rPr>
              <w:t>$</w:t>
            </w:r>
            <w:r w:rsidR="00C63C41">
              <w:rPr>
                <w:szCs w:val="24"/>
              </w:rPr>
              <w:t>100</w:t>
            </w:r>
            <w:r w:rsidRPr="00420DF3">
              <w:rPr>
                <w:szCs w:val="24"/>
              </w:rPr>
              <w:t>,</w:t>
            </w:r>
            <w:r w:rsidR="00C63C41">
              <w:rPr>
                <w:szCs w:val="24"/>
              </w:rPr>
              <w:t>926</w:t>
            </w:r>
          </w:p>
        </w:tc>
      </w:tr>
      <w:tr w14:paraId="3108D18D" w14:textId="77777777" w:rsidTr="00990CF1">
        <w:tblPrEx>
          <w:tblW w:w="8905" w:type="dxa"/>
          <w:jc w:val="center"/>
          <w:tblLook w:val="04A0"/>
        </w:tblPrEx>
        <w:trPr>
          <w:trHeight w:val="253"/>
          <w:jc w:val="center"/>
        </w:trPr>
        <w:tc>
          <w:tcPr>
            <w:tcW w:w="4699" w:type="dxa"/>
            <w:tcBorders>
              <w:top w:val="nil"/>
              <w:left w:val="single" w:sz="4" w:space="0" w:color="auto"/>
              <w:bottom w:val="single" w:sz="4" w:space="0" w:color="auto"/>
              <w:right w:val="single" w:sz="4" w:space="0" w:color="auto"/>
            </w:tcBorders>
            <w:shd w:val="clear" w:color="auto" w:fill="auto"/>
            <w:vAlign w:val="center"/>
            <w:hideMark/>
          </w:tcPr>
          <w:p w:rsidR="002506CA" w:rsidRPr="00420DF3" w:rsidP="002506CA" w14:paraId="01019A5E" w14:textId="77777777">
            <w:pPr>
              <w:rPr>
                <w:szCs w:val="24"/>
              </w:rPr>
            </w:pPr>
            <w:r w:rsidRPr="00420DF3">
              <w:rPr>
                <w:szCs w:val="24"/>
              </w:rPr>
              <w:t>Program Director - State Office</w:t>
            </w:r>
          </w:p>
        </w:tc>
        <w:tc>
          <w:tcPr>
            <w:tcW w:w="1236"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358BC165" w14:textId="77777777">
            <w:pPr>
              <w:jc w:val="center"/>
              <w:rPr>
                <w:szCs w:val="24"/>
              </w:rPr>
            </w:pPr>
            <w:r w:rsidRPr="00420DF3">
              <w:rPr>
                <w:szCs w:val="24"/>
              </w:rPr>
              <w:t>13</w:t>
            </w:r>
          </w:p>
        </w:tc>
        <w:tc>
          <w:tcPr>
            <w:tcW w:w="1260"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4D8710D7" w14:textId="77777777">
            <w:pPr>
              <w:jc w:val="center"/>
              <w:rPr>
                <w:szCs w:val="24"/>
              </w:rPr>
            </w:pPr>
            <w:r w:rsidRPr="00420DF3">
              <w:rPr>
                <w:szCs w:val="24"/>
              </w:rPr>
              <w:t>5</w:t>
            </w:r>
          </w:p>
        </w:tc>
        <w:tc>
          <w:tcPr>
            <w:tcW w:w="1710"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519DE28B" w14:textId="7DFF7717">
            <w:pPr>
              <w:jc w:val="center"/>
              <w:rPr>
                <w:szCs w:val="24"/>
              </w:rPr>
            </w:pPr>
            <w:r w:rsidRPr="00420DF3">
              <w:rPr>
                <w:szCs w:val="24"/>
              </w:rPr>
              <w:t>$</w:t>
            </w:r>
            <w:r w:rsidR="00F860ED">
              <w:rPr>
                <w:szCs w:val="24"/>
              </w:rPr>
              <w:t>120</w:t>
            </w:r>
            <w:r w:rsidRPr="00420DF3">
              <w:rPr>
                <w:szCs w:val="24"/>
              </w:rPr>
              <w:t>,</w:t>
            </w:r>
            <w:r w:rsidR="00F860ED">
              <w:rPr>
                <w:szCs w:val="24"/>
              </w:rPr>
              <w:t>018</w:t>
            </w:r>
          </w:p>
        </w:tc>
      </w:tr>
      <w:tr w14:paraId="7F3599FB" w14:textId="77777777" w:rsidTr="00990CF1">
        <w:tblPrEx>
          <w:tblW w:w="8905" w:type="dxa"/>
          <w:jc w:val="center"/>
          <w:tblLook w:val="04A0"/>
        </w:tblPrEx>
        <w:trPr>
          <w:trHeight w:val="253"/>
          <w:jc w:val="center"/>
        </w:trPr>
        <w:tc>
          <w:tcPr>
            <w:tcW w:w="4699" w:type="dxa"/>
            <w:tcBorders>
              <w:top w:val="nil"/>
              <w:left w:val="single" w:sz="4" w:space="0" w:color="auto"/>
              <w:bottom w:val="single" w:sz="4" w:space="0" w:color="auto"/>
              <w:right w:val="single" w:sz="4" w:space="0" w:color="auto"/>
            </w:tcBorders>
            <w:shd w:val="clear" w:color="auto" w:fill="auto"/>
            <w:vAlign w:val="center"/>
            <w:hideMark/>
          </w:tcPr>
          <w:p w:rsidR="002506CA" w:rsidRPr="00420DF3" w:rsidP="002506CA" w14:paraId="3A5BED02" w14:textId="77777777">
            <w:pPr>
              <w:rPr>
                <w:szCs w:val="24"/>
              </w:rPr>
            </w:pPr>
            <w:r w:rsidRPr="00420DF3">
              <w:rPr>
                <w:szCs w:val="24"/>
              </w:rPr>
              <w:t>Loan Specialist - State Office</w:t>
            </w:r>
          </w:p>
        </w:tc>
        <w:tc>
          <w:tcPr>
            <w:tcW w:w="1236"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73A036F2" w14:textId="77777777">
            <w:pPr>
              <w:jc w:val="center"/>
              <w:rPr>
                <w:szCs w:val="24"/>
              </w:rPr>
            </w:pPr>
            <w:r w:rsidRPr="00420DF3">
              <w:rPr>
                <w:szCs w:val="24"/>
              </w:rPr>
              <w:t>12</w:t>
            </w:r>
          </w:p>
        </w:tc>
        <w:tc>
          <w:tcPr>
            <w:tcW w:w="1260"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6468DE38" w14:textId="77777777">
            <w:pPr>
              <w:jc w:val="center"/>
              <w:rPr>
                <w:szCs w:val="24"/>
              </w:rPr>
            </w:pPr>
            <w:r w:rsidRPr="00420DF3">
              <w:rPr>
                <w:szCs w:val="24"/>
              </w:rPr>
              <w:t>5</w:t>
            </w:r>
          </w:p>
        </w:tc>
        <w:tc>
          <w:tcPr>
            <w:tcW w:w="1710"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2621F15F" w14:textId="31FE5E21">
            <w:pPr>
              <w:jc w:val="center"/>
              <w:rPr>
                <w:szCs w:val="24"/>
              </w:rPr>
            </w:pPr>
            <w:r w:rsidRPr="00420DF3">
              <w:rPr>
                <w:szCs w:val="24"/>
              </w:rPr>
              <w:t>$</w:t>
            </w:r>
            <w:r w:rsidRPr="00420DF3" w:rsidR="00F860ED">
              <w:rPr>
                <w:szCs w:val="24"/>
              </w:rPr>
              <w:t>1</w:t>
            </w:r>
            <w:r w:rsidR="00F860ED">
              <w:rPr>
                <w:szCs w:val="24"/>
              </w:rPr>
              <w:t>00</w:t>
            </w:r>
            <w:r w:rsidRPr="00420DF3">
              <w:rPr>
                <w:szCs w:val="24"/>
              </w:rPr>
              <w:t>,</w:t>
            </w:r>
            <w:r w:rsidR="00F860ED">
              <w:rPr>
                <w:szCs w:val="24"/>
              </w:rPr>
              <w:t>926</w:t>
            </w:r>
          </w:p>
        </w:tc>
      </w:tr>
      <w:tr w14:paraId="1083EC4D" w14:textId="77777777" w:rsidTr="00990CF1">
        <w:tblPrEx>
          <w:tblW w:w="8905" w:type="dxa"/>
          <w:jc w:val="center"/>
          <w:tblLook w:val="04A0"/>
        </w:tblPrEx>
        <w:trPr>
          <w:trHeight w:val="253"/>
          <w:jc w:val="center"/>
        </w:trPr>
        <w:tc>
          <w:tcPr>
            <w:tcW w:w="4699" w:type="dxa"/>
            <w:tcBorders>
              <w:top w:val="nil"/>
              <w:left w:val="single" w:sz="4" w:space="0" w:color="auto"/>
              <w:bottom w:val="single" w:sz="4" w:space="0" w:color="auto"/>
              <w:right w:val="single" w:sz="4" w:space="0" w:color="auto"/>
            </w:tcBorders>
            <w:shd w:val="clear" w:color="auto" w:fill="auto"/>
            <w:vAlign w:val="center"/>
            <w:hideMark/>
          </w:tcPr>
          <w:p w:rsidR="002506CA" w:rsidRPr="00420DF3" w:rsidP="002506CA" w14:paraId="46613588" w14:textId="77777777">
            <w:pPr>
              <w:rPr>
                <w:szCs w:val="24"/>
              </w:rPr>
            </w:pPr>
            <w:r w:rsidRPr="00420DF3">
              <w:rPr>
                <w:szCs w:val="24"/>
              </w:rPr>
              <w:t>State Engineer - State Office</w:t>
            </w:r>
          </w:p>
        </w:tc>
        <w:tc>
          <w:tcPr>
            <w:tcW w:w="1236"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1A4F8C48" w14:textId="77777777">
            <w:pPr>
              <w:jc w:val="center"/>
              <w:rPr>
                <w:szCs w:val="24"/>
              </w:rPr>
            </w:pPr>
            <w:r w:rsidRPr="00420DF3">
              <w:rPr>
                <w:szCs w:val="24"/>
              </w:rPr>
              <w:t>12</w:t>
            </w:r>
          </w:p>
        </w:tc>
        <w:tc>
          <w:tcPr>
            <w:tcW w:w="1260"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78C572E1" w14:textId="77777777">
            <w:pPr>
              <w:jc w:val="center"/>
              <w:rPr>
                <w:szCs w:val="24"/>
              </w:rPr>
            </w:pPr>
            <w:r w:rsidRPr="00420DF3">
              <w:rPr>
                <w:szCs w:val="24"/>
              </w:rPr>
              <w:t>5</w:t>
            </w:r>
          </w:p>
        </w:tc>
        <w:tc>
          <w:tcPr>
            <w:tcW w:w="1710"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49D521F1" w14:textId="410E98C5">
            <w:pPr>
              <w:jc w:val="center"/>
              <w:rPr>
                <w:szCs w:val="24"/>
              </w:rPr>
            </w:pPr>
            <w:r w:rsidRPr="00420DF3">
              <w:rPr>
                <w:szCs w:val="24"/>
              </w:rPr>
              <w:t>$</w:t>
            </w:r>
            <w:r w:rsidRPr="00420DF3" w:rsidR="00F860ED">
              <w:rPr>
                <w:szCs w:val="24"/>
              </w:rPr>
              <w:t>1</w:t>
            </w:r>
            <w:r w:rsidR="00F860ED">
              <w:rPr>
                <w:szCs w:val="24"/>
              </w:rPr>
              <w:t>00</w:t>
            </w:r>
            <w:r w:rsidRPr="00420DF3">
              <w:rPr>
                <w:szCs w:val="24"/>
              </w:rPr>
              <w:t>,</w:t>
            </w:r>
            <w:r w:rsidR="00F860ED">
              <w:rPr>
                <w:szCs w:val="24"/>
              </w:rPr>
              <w:t>926</w:t>
            </w:r>
          </w:p>
        </w:tc>
      </w:tr>
      <w:tr w14:paraId="03D26BC4" w14:textId="77777777" w:rsidTr="00990CF1">
        <w:tblPrEx>
          <w:tblW w:w="8905" w:type="dxa"/>
          <w:jc w:val="center"/>
          <w:tblLook w:val="04A0"/>
        </w:tblPrEx>
        <w:trPr>
          <w:trHeight w:val="64"/>
          <w:jc w:val="center"/>
        </w:trPr>
        <w:tc>
          <w:tcPr>
            <w:tcW w:w="4699" w:type="dxa"/>
            <w:tcBorders>
              <w:top w:val="nil"/>
              <w:left w:val="single" w:sz="4" w:space="0" w:color="auto"/>
              <w:bottom w:val="single" w:sz="4" w:space="0" w:color="auto"/>
              <w:right w:val="single" w:sz="4" w:space="0" w:color="auto"/>
            </w:tcBorders>
            <w:shd w:val="clear" w:color="auto" w:fill="auto"/>
            <w:vAlign w:val="center"/>
            <w:hideMark/>
          </w:tcPr>
          <w:p w:rsidR="002506CA" w:rsidRPr="00420DF3" w:rsidP="002506CA" w14:paraId="300CFFF8" w14:textId="77777777">
            <w:pPr>
              <w:rPr>
                <w:szCs w:val="24"/>
              </w:rPr>
            </w:pPr>
            <w:r w:rsidRPr="00420DF3">
              <w:rPr>
                <w:szCs w:val="24"/>
              </w:rPr>
              <w:t>State Environmental Coordinator - State Office</w:t>
            </w:r>
          </w:p>
        </w:tc>
        <w:tc>
          <w:tcPr>
            <w:tcW w:w="1236"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7DC49732" w14:textId="77777777">
            <w:pPr>
              <w:jc w:val="center"/>
              <w:rPr>
                <w:szCs w:val="24"/>
              </w:rPr>
            </w:pPr>
            <w:r w:rsidRPr="00420DF3">
              <w:rPr>
                <w:szCs w:val="24"/>
              </w:rPr>
              <w:t>12</w:t>
            </w:r>
          </w:p>
        </w:tc>
        <w:tc>
          <w:tcPr>
            <w:tcW w:w="1260"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79E94BA7" w14:textId="77777777">
            <w:pPr>
              <w:jc w:val="center"/>
              <w:rPr>
                <w:szCs w:val="24"/>
              </w:rPr>
            </w:pPr>
            <w:r w:rsidRPr="00420DF3">
              <w:rPr>
                <w:szCs w:val="24"/>
              </w:rPr>
              <w:t>5</w:t>
            </w:r>
          </w:p>
        </w:tc>
        <w:tc>
          <w:tcPr>
            <w:tcW w:w="1710"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0608347E" w14:textId="036583B2">
            <w:pPr>
              <w:jc w:val="center"/>
              <w:rPr>
                <w:szCs w:val="24"/>
              </w:rPr>
            </w:pPr>
            <w:r w:rsidRPr="00420DF3">
              <w:rPr>
                <w:szCs w:val="24"/>
              </w:rPr>
              <w:t>$</w:t>
            </w:r>
            <w:r w:rsidRPr="00420DF3" w:rsidR="00F860ED">
              <w:rPr>
                <w:szCs w:val="24"/>
              </w:rPr>
              <w:t>1</w:t>
            </w:r>
            <w:r w:rsidR="00F860ED">
              <w:rPr>
                <w:szCs w:val="24"/>
              </w:rPr>
              <w:t>00</w:t>
            </w:r>
            <w:r w:rsidRPr="00420DF3">
              <w:rPr>
                <w:szCs w:val="24"/>
              </w:rPr>
              <w:t>,</w:t>
            </w:r>
            <w:r w:rsidR="00F860ED">
              <w:rPr>
                <w:szCs w:val="24"/>
              </w:rPr>
              <w:t>926</w:t>
            </w:r>
          </w:p>
        </w:tc>
      </w:tr>
      <w:tr w14:paraId="39DA2A2C" w14:textId="77777777" w:rsidTr="00990CF1">
        <w:tblPrEx>
          <w:tblW w:w="8905" w:type="dxa"/>
          <w:jc w:val="center"/>
          <w:tblLook w:val="04A0"/>
        </w:tblPrEx>
        <w:trPr>
          <w:trHeight w:val="253"/>
          <w:jc w:val="center"/>
        </w:trPr>
        <w:tc>
          <w:tcPr>
            <w:tcW w:w="4699" w:type="dxa"/>
            <w:tcBorders>
              <w:top w:val="nil"/>
              <w:left w:val="single" w:sz="4" w:space="0" w:color="auto"/>
              <w:bottom w:val="single" w:sz="4" w:space="0" w:color="auto"/>
              <w:right w:val="single" w:sz="4" w:space="0" w:color="auto"/>
            </w:tcBorders>
            <w:shd w:val="clear" w:color="auto" w:fill="auto"/>
            <w:vAlign w:val="center"/>
            <w:hideMark/>
          </w:tcPr>
          <w:p w:rsidR="002506CA" w:rsidRPr="00420DF3" w:rsidP="002506CA" w14:paraId="3A7CF533" w14:textId="77777777">
            <w:pPr>
              <w:rPr>
                <w:szCs w:val="24"/>
              </w:rPr>
            </w:pPr>
            <w:r w:rsidRPr="00420DF3">
              <w:rPr>
                <w:szCs w:val="24"/>
              </w:rPr>
              <w:t>Loan Specialist - National Office</w:t>
            </w:r>
          </w:p>
        </w:tc>
        <w:tc>
          <w:tcPr>
            <w:tcW w:w="1236"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66D78BCD" w14:textId="77777777">
            <w:pPr>
              <w:jc w:val="center"/>
              <w:rPr>
                <w:szCs w:val="24"/>
              </w:rPr>
            </w:pPr>
            <w:r w:rsidRPr="00420DF3">
              <w:rPr>
                <w:szCs w:val="24"/>
              </w:rPr>
              <w:t>13</w:t>
            </w:r>
          </w:p>
        </w:tc>
        <w:tc>
          <w:tcPr>
            <w:tcW w:w="1260"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761B3559" w14:textId="77777777">
            <w:pPr>
              <w:jc w:val="center"/>
              <w:rPr>
                <w:szCs w:val="24"/>
              </w:rPr>
            </w:pPr>
            <w:r w:rsidRPr="00420DF3">
              <w:rPr>
                <w:szCs w:val="24"/>
              </w:rPr>
              <w:t>5</w:t>
            </w:r>
          </w:p>
        </w:tc>
        <w:tc>
          <w:tcPr>
            <w:tcW w:w="1710"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0CDA9D88" w14:textId="27B7EC86">
            <w:pPr>
              <w:jc w:val="center"/>
              <w:rPr>
                <w:szCs w:val="24"/>
              </w:rPr>
            </w:pPr>
            <w:r w:rsidRPr="00420DF3">
              <w:rPr>
                <w:szCs w:val="24"/>
              </w:rPr>
              <w:t>$</w:t>
            </w:r>
            <w:r w:rsidRPr="00420DF3" w:rsidR="0011176F">
              <w:rPr>
                <w:szCs w:val="24"/>
              </w:rPr>
              <w:t>1</w:t>
            </w:r>
            <w:r w:rsidR="0011176F">
              <w:rPr>
                <w:szCs w:val="24"/>
              </w:rPr>
              <w:t>20</w:t>
            </w:r>
            <w:r w:rsidRPr="00420DF3">
              <w:rPr>
                <w:szCs w:val="24"/>
              </w:rPr>
              <w:t>,</w:t>
            </w:r>
            <w:r w:rsidR="0011176F">
              <w:rPr>
                <w:szCs w:val="24"/>
              </w:rPr>
              <w:t>018</w:t>
            </w:r>
          </w:p>
        </w:tc>
      </w:tr>
      <w:tr w14:paraId="2F13B00A" w14:textId="77777777" w:rsidTr="00990CF1">
        <w:tblPrEx>
          <w:tblW w:w="8905" w:type="dxa"/>
          <w:jc w:val="center"/>
          <w:tblLook w:val="04A0"/>
        </w:tblPrEx>
        <w:trPr>
          <w:trHeight w:val="64"/>
          <w:jc w:val="center"/>
        </w:trPr>
        <w:tc>
          <w:tcPr>
            <w:tcW w:w="4699" w:type="dxa"/>
            <w:tcBorders>
              <w:top w:val="nil"/>
              <w:left w:val="single" w:sz="4" w:space="0" w:color="auto"/>
              <w:bottom w:val="single" w:sz="4" w:space="0" w:color="auto"/>
              <w:right w:val="single" w:sz="4" w:space="0" w:color="auto"/>
            </w:tcBorders>
            <w:shd w:val="clear" w:color="auto" w:fill="auto"/>
            <w:vAlign w:val="center"/>
            <w:hideMark/>
          </w:tcPr>
          <w:p w:rsidR="002506CA" w:rsidRPr="00420DF3" w:rsidP="002506CA" w14:paraId="0190A391" w14:textId="77777777">
            <w:pPr>
              <w:rPr>
                <w:szCs w:val="24"/>
              </w:rPr>
            </w:pPr>
            <w:r w:rsidRPr="00420DF3">
              <w:rPr>
                <w:szCs w:val="24"/>
              </w:rPr>
              <w:t>Branch Chief - National Office</w:t>
            </w:r>
          </w:p>
        </w:tc>
        <w:tc>
          <w:tcPr>
            <w:tcW w:w="1236"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24DFB364" w14:textId="77777777">
            <w:pPr>
              <w:jc w:val="center"/>
              <w:rPr>
                <w:szCs w:val="24"/>
              </w:rPr>
            </w:pPr>
            <w:r w:rsidRPr="00420DF3">
              <w:rPr>
                <w:szCs w:val="24"/>
              </w:rPr>
              <w:t>14</w:t>
            </w:r>
          </w:p>
        </w:tc>
        <w:tc>
          <w:tcPr>
            <w:tcW w:w="1260"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34F1C245" w14:textId="77777777">
            <w:pPr>
              <w:jc w:val="center"/>
              <w:rPr>
                <w:szCs w:val="24"/>
              </w:rPr>
            </w:pPr>
            <w:r w:rsidRPr="00420DF3">
              <w:rPr>
                <w:szCs w:val="24"/>
              </w:rPr>
              <w:t>5</w:t>
            </w:r>
          </w:p>
        </w:tc>
        <w:tc>
          <w:tcPr>
            <w:tcW w:w="1710"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39B6A639" w14:textId="619A5554">
            <w:pPr>
              <w:jc w:val="center"/>
              <w:rPr>
                <w:szCs w:val="24"/>
              </w:rPr>
            </w:pPr>
            <w:r w:rsidRPr="00420DF3">
              <w:rPr>
                <w:szCs w:val="24"/>
              </w:rPr>
              <w:t>$</w:t>
            </w:r>
            <w:r w:rsidRPr="00420DF3" w:rsidR="00774A64">
              <w:rPr>
                <w:szCs w:val="24"/>
              </w:rPr>
              <w:t>1</w:t>
            </w:r>
            <w:r w:rsidR="00774A64">
              <w:rPr>
                <w:szCs w:val="24"/>
              </w:rPr>
              <w:t>41</w:t>
            </w:r>
            <w:r w:rsidRPr="00420DF3">
              <w:rPr>
                <w:szCs w:val="24"/>
              </w:rPr>
              <w:t>,</w:t>
            </w:r>
            <w:r w:rsidR="00774A64">
              <w:rPr>
                <w:szCs w:val="24"/>
              </w:rPr>
              <w:t>824</w:t>
            </w:r>
          </w:p>
        </w:tc>
      </w:tr>
      <w:tr w14:paraId="542CE3A3" w14:textId="77777777" w:rsidTr="00990CF1">
        <w:tblPrEx>
          <w:tblW w:w="8905" w:type="dxa"/>
          <w:jc w:val="center"/>
          <w:tblLook w:val="04A0"/>
        </w:tblPrEx>
        <w:trPr>
          <w:trHeight w:val="64"/>
          <w:jc w:val="center"/>
        </w:trPr>
        <w:tc>
          <w:tcPr>
            <w:tcW w:w="4699" w:type="dxa"/>
            <w:tcBorders>
              <w:top w:val="nil"/>
              <w:left w:val="single" w:sz="4" w:space="0" w:color="auto"/>
              <w:bottom w:val="single" w:sz="4" w:space="0" w:color="auto"/>
              <w:right w:val="single" w:sz="4" w:space="0" w:color="auto"/>
            </w:tcBorders>
            <w:shd w:val="clear" w:color="auto" w:fill="auto"/>
            <w:vAlign w:val="center"/>
            <w:hideMark/>
          </w:tcPr>
          <w:p w:rsidR="002506CA" w:rsidRPr="00420DF3" w:rsidP="002506CA" w14:paraId="21552AD4" w14:textId="77777777">
            <w:pPr>
              <w:rPr>
                <w:szCs w:val="24"/>
              </w:rPr>
            </w:pPr>
            <w:r w:rsidRPr="00420DF3">
              <w:rPr>
                <w:szCs w:val="24"/>
              </w:rPr>
              <w:t>Water Programs Director - National Office</w:t>
            </w:r>
          </w:p>
        </w:tc>
        <w:tc>
          <w:tcPr>
            <w:tcW w:w="1236"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5B58CD86" w14:textId="77777777">
            <w:pPr>
              <w:jc w:val="center"/>
              <w:rPr>
                <w:szCs w:val="24"/>
              </w:rPr>
            </w:pPr>
            <w:r w:rsidRPr="00420DF3">
              <w:rPr>
                <w:szCs w:val="24"/>
              </w:rPr>
              <w:t>15</w:t>
            </w:r>
          </w:p>
        </w:tc>
        <w:tc>
          <w:tcPr>
            <w:tcW w:w="1260"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78D16498" w14:textId="77777777">
            <w:pPr>
              <w:jc w:val="center"/>
              <w:rPr>
                <w:szCs w:val="24"/>
              </w:rPr>
            </w:pPr>
            <w:r w:rsidRPr="00420DF3">
              <w:rPr>
                <w:szCs w:val="24"/>
              </w:rPr>
              <w:t>5</w:t>
            </w:r>
          </w:p>
        </w:tc>
        <w:tc>
          <w:tcPr>
            <w:tcW w:w="1710" w:type="dxa"/>
            <w:tcBorders>
              <w:top w:val="nil"/>
              <w:left w:val="nil"/>
              <w:bottom w:val="single" w:sz="4" w:space="0" w:color="auto"/>
              <w:right w:val="single" w:sz="4" w:space="0" w:color="auto"/>
            </w:tcBorders>
            <w:shd w:val="clear" w:color="auto" w:fill="auto"/>
            <w:noWrap/>
            <w:vAlign w:val="center"/>
            <w:hideMark/>
          </w:tcPr>
          <w:p w:rsidR="002506CA" w:rsidRPr="00420DF3" w:rsidP="002506CA" w14:paraId="140D1009" w14:textId="3B8C17B3">
            <w:pPr>
              <w:jc w:val="center"/>
              <w:rPr>
                <w:szCs w:val="24"/>
              </w:rPr>
            </w:pPr>
            <w:r w:rsidRPr="00420DF3">
              <w:rPr>
                <w:szCs w:val="24"/>
              </w:rPr>
              <w:t>$</w:t>
            </w:r>
            <w:r w:rsidRPr="00420DF3" w:rsidR="00774A64">
              <w:rPr>
                <w:szCs w:val="24"/>
              </w:rPr>
              <w:t>1</w:t>
            </w:r>
            <w:r w:rsidR="00774A64">
              <w:rPr>
                <w:szCs w:val="24"/>
              </w:rPr>
              <w:t>66</w:t>
            </w:r>
            <w:r w:rsidRPr="00420DF3">
              <w:rPr>
                <w:szCs w:val="24"/>
              </w:rPr>
              <w:t>,</w:t>
            </w:r>
            <w:r w:rsidR="00774A64">
              <w:rPr>
                <w:szCs w:val="24"/>
              </w:rPr>
              <w:t>818</w:t>
            </w:r>
          </w:p>
        </w:tc>
      </w:tr>
    </w:tbl>
    <w:p w:rsidR="00456A96" w:rsidRPr="00420DF3" w:rsidP="00E81E3B" w14:paraId="0EEF918E" w14:textId="337C9EE6">
      <w:pPr>
        <w:rPr>
          <w:szCs w:val="24"/>
        </w:rPr>
      </w:pPr>
    </w:p>
    <w:p w:rsidR="00E81E3B" w:rsidRPr="00420DF3" w:rsidP="00E81E3B" w14:paraId="031C3C58" w14:textId="159F0EAA">
      <w:pPr>
        <w:rPr>
          <w:b/>
          <w:bCs/>
          <w:szCs w:val="24"/>
        </w:rPr>
      </w:pPr>
      <w:r w:rsidRPr="00420DF3">
        <w:rPr>
          <w:szCs w:val="24"/>
        </w:rPr>
        <w:t>The Agency calculated the Hourly Rate by dividing the GS Salary by 52 weeks a year and then dividing that result by 40 hours per week.  The benefits for each position was calculated by using the civilian position full fringe benefit cost factor of 36.25% from the Office of Management and Budget (OMB) Memorandum for the Heads of Executive Departments and Agencies (M-08-13) dated March 11, 2008 (</w:t>
      </w:r>
      <w:hyperlink r:id="rId21" w:history="1">
        <w:r w:rsidRPr="00420DF3">
          <w:rPr>
            <w:rStyle w:val="Hyperlink"/>
            <w:szCs w:val="24"/>
          </w:rPr>
          <w:t>Memorandum for the Heads of Executive Departments and Agencies (whitehouse.gov)</w:t>
        </w:r>
      </w:hyperlink>
      <w:r w:rsidRPr="00420DF3">
        <w:rPr>
          <w:szCs w:val="24"/>
        </w:rPr>
        <w:t xml:space="preserve">).  </w:t>
      </w:r>
    </w:p>
    <w:p w:rsidR="00E81E3B" w:rsidP="0077019F" w14:paraId="26AA9876" w14:textId="77777777">
      <w:pPr>
        <w:pStyle w:val="BodyText2"/>
        <w:rPr>
          <w:rFonts w:ascii="Times New Roman" w:hAnsi="Times New Roman"/>
          <w:sz w:val="24"/>
          <w:szCs w:val="24"/>
          <w:highlight w:val="green"/>
        </w:rPr>
      </w:pPr>
    </w:p>
    <w:p w:rsidR="0077019F" w:rsidRPr="00420DF3" w:rsidP="0077019F" w14:paraId="6E7CD8D2" w14:textId="5CDC598F">
      <w:pPr>
        <w:pStyle w:val="BodyText2"/>
        <w:rPr>
          <w:rFonts w:ascii="Times New Roman" w:hAnsi="Times New Roman"/>
          <w:sz w:val="24"/>
          <w:szCs w:val="24"/>
        </w:rPr>
      </w:pPr>
      <w:r w:rsidRPr="00420DF3">
        <w:rPr>
          <w:rFonts w:ascii="Times New Roman" w:hAnsi="Times New Roman"/>
          <w:b/>
          <w:sz w:val="24"/>
          <w:szCs w:val="24"/>
          <w:u w:val="single"/>
        </w:rPr>
        <w:t>15.  Explain the reasons for any program changes or adjustments reported in items 13 or 14 of</w:t>
      </w:r>
      <w:r w:rsidRPr="00420DF3" w:rsidR="007C3B59">
        <w:rPr>
          <w:rFonts w:ascii="Times New Roman" w:hAnsi="Times New Roman"/>
          <w:b/>
          <w:sz w:val="24"/>
          <w:szCs w:val="24"/>
          <w:u w:val="single"/>
        </w:rPr>
        <w:t xml:space="preserve"> </w:t>
      </w:r>
      <w:r w:rsidRPr="00420DF3">
        <w:rPr>
          <w:rFonts w:ascii="Times New Roman" w:hAnsi="Times New Roman"/>
          <w:b/>
          <w:sz w:val="24"/>
          <w:szCs w:val="24"/>
          <w:u w:val="single"/>
        </w:rPr>
        <w:t>the OMB Form 83-1.</w:t>
      </w:r>
    </w:p>
    <w:p w:rsidR="0077019F" w:rsidRPr="00420DF3" w:rsidP="0077019F" w14:paraId="4696EC25" w14:textId="77777777">
      <w:pPr>
        <w:pStyle w:val="BodyText2"/>
        <w:rPr>
          <w:rFonts w:ascii="Times New Roman" w:hAnsi="Times New Roman"/>
          <w:sz w:val="24"/>
          <w:szCs w:val="24"/>
          <w:highlight w:val="green"/>
        </w:rPr>
      </w:pPr>
    </w:p>
    <w:p w:rsidR="00AA7C3E" w:rsidRPr="00420DF3" w:rsidP="005653E4" w14:paraId="49A4A3E9" w14:textId="3439D851">
      <w:pPr>
        <w:rPr>
          <w:szCs w:val="24"/>
        </w:rPr>
      </w:pPr>
      <w:r w:rsidRPr="00420DF3">
        <w:rPr>
          <w:szCs w:val="24"/>
        </w:rPr>
        <w:t xml:space="preserve">This </w:t>
      </w:r>
      <w:r w:rsidRPr="00420DF3" w:rsidR="00832DAD">
        <w:rPr>
          <w:szCs w:val="24"/>
        </w:rPr>
        <w:t xml:space="preserve">is </w:t>
      </w:r>
      <w:r w:rsidRPr="00420DF3">
        <w:rPr>
          <w:szCs w:val="24"/>
        </w:rPr>
        <w:t xml:space="preserve">a revision of a currently approved collection.  </w:t>
      </w:r>
      <w:r w:rsidRPr="00420DF3" w:rsidR="00A014E5">
        <w:rPr>
          <w:szCs w:val="24"/>
        </w:rPr>
        <w:t xml:space="preserve">The total number of respondents </w:t>
      </w:r>
      <w:r w:rsidRPr="00420DF3" w:rsidR="00C47A44">
        <w:rPr>
          <w:szCs w:val="24"/>
        </w:rPr>
        <w:t xml:space="preserve">increased by </w:t>
      </w:r>
      <w:r w:rsidR="00551B0A">
        <w:rPr>
          <w:szCs w:val="24"/>
        </w:rPr>
        <w:t>4,</w:t>
      </w:r>
      <w:r w:rsidR="00CE6A08">
        <w:rPr>
          <w:szCs w:val="24"/>
        </w:rPr>
        <w:t xml:space="preserve">410 </w:t>
      </w:r>
      <w:r w:rsidRPr="00420DF3" w:rsidR="00C47A44">
        <w:rPr>
          <w:szCs w:val="24"/>
        </w:rPr>
        <w:t xml:space="preserve">from </w:t>
      </w:r>
      <w:r w:rsidR="00551B0A">
        <w:rPr>
          <w:szCs w:val="24"/>
        </w:rPr>
        <w:t>28</w:t>
      </w:r>
      <w:r w:rsidR="00DE6858">
        <w:rPr>
          <w:szCs w:val="24"/>
        </w:rPr>
        <w:t xml:space="preserve"> </w:t>
      </w:r>
      <w:r w:rsidRPr="00420DF3" w:rsidR="00C47A44">
        <w:rPr>
          <w:szCs w:val="24"/>
        </w:rPr>
        <w:t xml:space="preserve">in the previous collection to </w:t>
      </w:r>
      <w:r w:rsidRPr="00420DF3" w:rsidR="00B471CA">
        <w:rPr>
          <w:szCs w:val="24"/>
        </w:rPr>
        <w:t>4,</w:t>
      </w:r>
      <w:r w:rsidR="00B60F32">
        <w:rPr>
          <w:szCs w:val="24"/>
        </w:rPr>
        <w:t>438</w:t>
      </w:r>
      <w:r w:rsidRPr="00420DF3" w:rsidR="00B60F32">
        <w:rPr>
          <w:szCs w:val="24"/>
        </w:rPr>
        <w:t xml:space="preserve"> </w:t>
      </w:r>
      <w:r w:rsidRPr="00420DF3" w:rsidR="00C47A44">
        <w:rPr>
          <w:szCs w:val="24"/>
        </w:rPr>
        <w:t xml:space="preserve">for this collection.  </w:t>
      </w:r>
      <w:r w:rsidRPr="00420DF3">
        <w:rPr>
          <w:szCs w:val="24"/>
        </w:rPr>
        <w:t xml:space="preserve">The total burden hours for this collection are </w:t>
      </w:r>
      <w:r w:rsidR="00CE6A08">
        <w:rPr>
          <w:szCs w:val="24"/>
        </w:rPr>
        <w:t>28</w:t>
      </w:r>
      <w:r w:rsidRPr="00420DF3" w:rsidR="008315CB">
        <w:rPr>
          <w:szCs w:val="24"/>
        </w:rPr>
        <w:t>,</w:t>
      </w:r>
      <w:r w:rsidR="006F1322">
        <w:rPr>
          <w:szCs w:val="24"/>
        </w:rPr>
        <w:t>140</w:t>
      </w:r>
      <w:r w:rsidRPr="00420DF3">
        <w:rPr>
          <w:szCs w:val="24"/>
        </w:rPr>
        <w:t>, a</w:t>
      </w:r>
      <w:r w:rsidRPr="00420DF3" w:rsidR="00C438A3">
        <w:rPr>
          <w:szCs w:val="24"/>
        </w:rPr>
        <w:t>n</w:t>
      </w:r>
      <w:r w:rsidRPr="00420DF3">
        <w:rPr>
          <w:szCs w:val="24"/>
        </w:rPr>
        <w:t xml:space="preserve"> </w:t>
      </w:r>
      <w:r w:rsidRPr="00420DF3" w:rsidR="00C438A3">
        <w:rPr>
          <w:szCs w:val="24"/>
        </w:rPr>
        <w:t>increase o</w:t>
      </w:r>
      <w:r w:rsidRPr="00420DF3">
        <w:rPr>
          <w:szCs w:val="24"/>
        </w:rPr>
        <w:t xml:space="preserve">f </w:t>
      </w:r>
      <w:r w:rsidRPr="00420DF3" w:rsidR="006F1322">
        <w:rPr>
          <w:szCs w:val="24"/>
        </w:rPr>
        <w:t>2</w:t>
      </w:r>
      <w:r w:rsidR="006F1322">
        <w:rPr>
          <w:szCs w:val="24"/>
        </w:rPr>
        <w:t>7</w:t>
      </w:r>
      <w:r w:rsidRPr="00420DF3" w:rsidR="00863204">
        <w:rPr>
          <w:szCs w:val="24"/>
        </w:rPr>
        <w:t>,</w:t>
      </w:r>
      <w:r w:rsidR="006F1322">
        <w:rPr>
          <w:szCs w:val="24"/>
        </w:rPr>
        <w:t>41</w:t>
      </w:r>
      <w:r w:rsidR="00FC3834">
        <w:rPr>
          <w:szCs w:val="24"/>
        </w:rPr>
        <w:t>4</w:t>
      </w:r>
      <w:r w:rsidRPr="00420DF3" w:rsidR="006F1322">
        <w:rPr>
          <w:szCs w:val="24"/>
        </w:rPr>
        <w:t xml:space="preserve"> </w:t>
      </w:r>
      <w:r w:rsidRPr="00420DF3">
        <w:rPr>
          <w:szCs w:val="24"/>
        </w:rPr>
        <w:t xml:space="preserve">from the previous information collection package estimate (which was </w:t>
      </w:r>
      <w:r w:rsidRPr="00420DF3" w:rsidR="00A562CC">
        <w:rPr>
          <w:szCs w:val="24"/>
        </w:rPr>
        <w:t>72</w:t>
      </w:r>
      <w:r w:rsidR="00FC3834">
        <w:rPr>
          <w:szCs w:val="24"/>
        </w:rPr>
        <w:t>6</w:t>
      </w:r>
      <w:r w:rsidRPr="00420DF3">
        <w:rPr>
          <w:szCs w:val="24"/>
        </w:rPr>
        <w:t xml:space="preserve"> burden hours).  The total burden cost increased by $</w:t>
      </w:r>
      <w:r w:rsidRPr="00420DF3" w:rsidR="003D4962">
        <w:rPr>
          <w:szCs w:val="24"/>
        </w:rPr>
        <w:t>2,</w:t>
      </w:r>
      <w:r w:rsidR="00E35C64">
        <w:rPr>
          <w:szCs w:val="24"/>
        </w:rPr>
        <w:t>280</w:t>
      </w:r>
      <w:r w:rsidRPr="00420DF3" w:rsidR="003D4962">
        <w:rPr>
          <w:szCs w:val="24"/>
        </w:rPr>
        <w:t>,</w:t>
      </w:r>
      <w:r w:rsidR="00E35C64">
        <w:rPr>
          <w:szCs w:val="24"/>
        </w:rPr>
        <w:t>571</w:t>
      </w:r>
      <w:r w:rsidRPr="00420DF3" w:rsidR="00E35C64">
        <w:rPr>
          <w:szCs w:val="24"/>
        </w:rPr>
        <w:t xml:space="preserve"> </w:t>
      </w:r>
      <w:r w:rsidRPr="00420DF3">
        <w:rPr>
          <w:szCs w:val="24"/>
        </w:rPr>
        <w:t>from $</w:t>
      </w:r>
      <w:r w:rsidRPr="00420DF3" w:rsidR="00C31FA7">
        <w:rPr>
          <w:szCs w:val="24"/>
        </w:rPr>
        <w:t>33,119</w:t>
      </w:r>
      <w:r w:rsidRPr="00420DF3">
        <w:rPr>
          <w:szCs w:val="24"/>
        </w:rPr>
        <w:t xml:space="preserve"> in the previous collection to $</w:t>
      </w:r>
      <w:r w:rsidRPr="00420DF3" w:rsidR="003D4962">
        <w:rPr>
          <w:szCs w:val="24"/>
        </w:rPr>
        <w:t>2,</w:t>
      </w:r>
      <w:r w:rsidR="006F1322">
        <w:rPr>
          <w:szCs w:val="24"/>
        </w:rPr>
        <w:t>313</w:t>
      </w:r>
      <w:r w:rsidRPr="00420DF3" w:rsidR="00964956">
        <w:rPr>
          <w:szCs w:val="24"/>
        </w:rPr>
        <w:t>,</w:t>
      </w:r>
      <w:r w:rsidR="006F1322">
        <w:rPr>
          <w:szCs w:val="24"/>
        </w:rPr>
        <w:t>690</w:t>
      </w:r>
      <w:r w:rsidRPr="00420DF3" w:rsidR="006F1322">
        <w:rPr>
          <w:szCs w:val="24"/>
        </w:rPr>
        <w:t xml:space="preserve"> </w:t>
      </w:r>
      <w:r w:rsidRPr="00420DF3">
        <w:rPr>
          <w:szCs w:val="24"/>
        </w:rPr>
        <w:t xml:space="preserve">for this collection.  The increase in burden cost for this collection is due </w:t>
      </w:r>
      <w:r w:rsidRPr="00420DF3">
        <w:rPr>
          <w:szCs w:val="24"/>
        </w:rPr>
        <w:t xml:space="preserve">to the following: </w:t>
      </w:r>
    </w:p>
    <w:p w:rsidR="0040654B" w:rsidRPr="00420DF3" w:rsidP="0040654B" w14:paraId="6818D316" w14:textId="39B62356">
      <w:pPr>
        <w:pStyle w:val="ListParagraph"/>
        <w:numPr>
          <w:ilvl w:val="0"/>
          <w:numId w:val="32"/>
        </w:numPr>
        <w:rPr>
          <w:sz w:val="24"/>
          <w:szCs w:val="24"/>
        </w:rPr>
      </w:pPr>
      <w:r w:rsidRPr="00420DF3">
        <w:rPr>
          <w:sz w:val="24"/>
          <w:szCs w:val="24"/>
        </w:rPr>
        <w:t>The previous collection packages only counted burden for special servicing action</w:t>
      </w:r>
      <w:r w:rsidRPr="00420DF3" w:rsidR="00C23CA4">
        <w:rPr>
          <w:sz w:val="24"/>
          <w:szCs w:val="24"/>
        </w:rPr>
        <w:t>s</w:t>
      </w:r>
      <w:r w:rsidRPr="00420DF3">
        <w:rPr>
          <w:sz w:val="24"/>
          <w:szCs w:val="24"/>
        </w:rPr>
        <w:t xml:space="preserve"> for new respondents being added and did not include those </w:t>
      </w:r>
      <w:r w:rsidRPr="00420DF3" w:rsidR="00735DA4">
        <w:rPr>
          <w:sz w:val="24"/>
          <w:szCs w:val="24"/>
        </w:rPr>
        <w:t xml:space="preserve">that are already being serviced.  </w:t>
      </w:r>
      <w:r w:rsidRPr="00420DF3" w:rsidR="00AA7C3E">
        <w:rPr>
          <w:sz w:val="24"/>
          <w:szCs w:val="24"/>
        </w:rPr>
        <w:t>The total number of respondents were updated to include those that are already being serviced</w:t>
      </w:r>
      <w:r w:rsidRPr="00420DF3" w:rsidR="0073408A">
        <w:rPr>
          <w:sz w:val="24"/>
          <w:szCs w:val="24"/>
        </w:rPr>
        <w:t xml:space="preserve"> yearly</w:t>
      </w:r>
      <w:r w:rsidRPr="00420DF3" w:rsidR="00697575">
        <w:rPr>
          <w:sz w:val="24"/>
          <w:szCs w:val="24"/>
        </w:rPr>
        <w:t>.</w:t>
      </w:r>
      <w:r w:rsidRPr="00420DF3">
        <w:rPr>
          <w:sz w:val="24"/>
          <w:szCs w:val="24"/>
        </w:rPr>
        <w:t xml:space="preserve">  In addition, adjustments to previous burden items (special servicing actions) to better represent what occurs with the programs.</w:t>
      </w:r>
    </w:p>
    <w:p w:rsidR="00135940" w:rsidP="0073408A" w14:paraId="69CF94B8" w14:textId="77777777">
      <w:pPr>
        <w:pStyle w:val="ListParagraph"/>
        <w:numPr>
          <w:ilvl w:val="0"/>
          <w:numId w:val="32"/>
        </w:numPr>
        <w:rPr>
          <w:sz w:val="24"/>
          <w:szCs w:val="24"/>
        </w:rPr>
      </w:pPr>
      <w:r w:rsidRPr="00420DF3">
        <w:rPr>
          <w:sz w:val="24"/>
          <w:szCs w:val="24"/>
        </w:rPr>
        <w:t>R</w:t>
      </w:r>
      <w:r w:rsidRPr="00420DF3" w:rsidR="004D32C7">
        <w:rPr>
          <w:sz w:val="24"/>
          <w:szCs w:val="24"/>
        </w:rPr>
        <w:t>outine servicing actions were not accounted for</w:t>
      </w:r>
      <w:r w:rsidRPr="00420DF3">
        <w:rPr>
          <w:sz w:val="24"/>
          <w:szCs w:val="24"/>
        </w:rPr>
        <w:t xml:space="preserve"> in the previous collection packages</w:t>
      </w:r>
      <w:r w:rsidRPr="00420DF3" w:rsidR="007D7507">
        <w:rPr>
          <w:sz w:val="24"/>
          <w:szCs w:val="24"/>
        </w:rPr>
        <w:t xml:space="preserve">.  The total number of respondents were updated along with </w:t>
      </w:r>
      <w:r w:rsidRPr="00420DF3" w:rsidR="007F3BB0">
        <w:rPr>
          <w:sz w:val="24"/>
          <w:szCs w:val="24"/>
        </w:rPr>
        <w:t xml:space="preserve">burden items </w:t>
      </w:r>
      <w:r w:rsidRPr="00420DF3" w:rsidR="006302CA">
        <w:rPr>
          <w:sz w:val="24"/>
          <w:szCs w:val="24"/>
        </w:rPr>
        <w:t xml:space="preserve">to include </w:t>
      </w:r>
      <w:r w:rsidRPr="00420DF3" w:rsidR="007F3BB0">
        <w:rPr>
          <w:sz w:val="24"/>
          <w:szCs w:val="24"/>
        </w:rPr>
        <w:t>routine servicing actions.</w:t>
      </w:r>
    </w:p>
    <w:p w:rsidR="004D32C7" w:rsidRPr="00420DF3" w:rsidP="0073408A" w14:paraId="247F8786" w14:textId="6115E1CB">
      <w:pPr>
        <w:pStyle w:val="ListParagraph"/>
        <w:numPr>
          <w:ilvl w:val="0"/>
          <w:numId w:val="32"/>
        </w:numPr>
        <w:rPr>
          <w:sz w:val="24"/>
          <w:szCs w:val="24"/>
        </w:rPr>
      </w:pPr>
      <w:r>
        <w:rPr>
          <w:sz w:val="24"/>
          <w:szCs w:val="24"/>
        </w:rPr>
        <w:t xml:space="preserve">The burden associated with Other OMB Packages that use the forms from this package </w:t>
      </w:r>
      <w:r w:rsidR="00B748DF">
        <w:rPr>
          <w:sz w:val="24"/>
          <w:szCs w:val="24"/>
        </w:rPr>
        <w:t>was added.</w:t>
      </w:r>
      <w:r w:rsidRPr="00420DF3" w:rsidR="007F3BB0">
        <w:rPr>
          <w:sz w:val="24"/>
          <w:szCs w:val="24"/>
        </w:rPr>
        <w:t xml:space="preserve"> </w:t>
      </w:r>
    </w:p>
    <w:p w:rsidR="005653E4" w:rsidRPr="00DE12C8" w:rsidP="00990CF1" w14:paraId="285AB210" w14:textId="00527A87">
      <w:pPr>
        <w:pStyle w:val="ListParagraph"/>
        <w:numPr>
          <w:ilvl w:val="0"/>
          <w:numId w:val="32"/>
        </w:numPr>
        <w:rPr>
          <w:sz w:val="24"/>
          <w:szCs w:val="24"/>
        </w:rPr>
      </w:pPr>
      <w:r w:rsidRPr="00420DF3">
        <w:rPr>
          <w:sz w:val="24"/>
          <w:szCs w:val="24"/>
        </w:rPr>
        <w:t>Th</w:t>
      </w:r>
      <w:r w:rsidRPr="00420DF3">
        <w:rPr>
          <w:sz w:val="24"/>
          <w:szCs w:val="24"/>
        </w:rPr>
        <w:t>e professional wage rate</w:t>
      </w:r>
      <w:r w:rsidRPr="00420DF3">
        <w:rPr>
          <w:sz w:val="24"/>
          <w:szCs w:val="24"/>
        </w:rPr>
        <w:t xml:space="preserve"> was updated</w:t>
      </w:r>
      <w:r w:rsidRPr="00420DF3">
        <w:rPr>
          <w:sz w:val="24"/>
          <w:szCs w:val="24"/>
        </w:rPr>
        <w:t xml:space="preserve"> to use the most current data.   </w:t>
      </w:r>
    </w:p>
    <w:p w:rsidR="004D0442" w:rsidRPr="00420DF3" w:rsidP="008121B3" w14:paraId="19F54805" w14:textId="77777777">
      <w:pPr>
        <w:pStyle w:val="BodyText2"/>
        <w:rPr>
          <w:rFonts w:ascii="Times New Roman" w:hAnsi="Times New Roman"/>
          <w:sz w:val="24"/>
          <w:szCs w:val="24"/>
          <w:highlight w:val="green"/>
        </w:rPr>
      </w:pPr>
    </w:p>
    <w:p w:rsidR="00B037CF" w:rsidRPr="00420DF3" w:rsidP="00B037CF" w14:paraId="6A056E1C" w14:textId="6B0DA37C">
      <w:pPr>
        <w:rPr>
          <w:bCs/>
          <w:szCs w:val="24"/>
        </w:rPr>
      </w:pPr>
      <w:r w:rsidRPr="00420DF3">
        <w:rPr>
          <w:bCs/>
          <w:szCs w:val="24"/>
        </w:rPr>
        <w:t xml:space="preserve">The previous </w:t>
      </w:r>
      <w:r w:rsidRPr="00420DF3" w:rsidR="009A2EE1">
        <w:rPr>
          <w:bCs/>
          <w:szCs w:val="24"/>
        </w:rPr>
        <w:t xml:space="preserve">collection packages did not account for documents being mailed </w:t>
      </w:r>
      <w:r w:rsidRPr="00420DF3" w:rsidR="00145706">
        <w:rPr>
          <w:bCs/>
          <w:szCs w:val="24"/>
        </w:rPr>
        <w:t xml:space="preserve">to the Agency </w:t>
      </w:r>
      <w:r w:rsidRPr="00420DF3" w:rsidR="009A2EE1">
        <w:rPr>
          <w:bCs/>
          <w:szCs w:val="24"/>
        </w:rPr>
        <w:t xml:space="preserve">by the borrower.  </w:t>
      </w:r>
      <w:r w:rsidRPr="00420DF3" w:rsidR="0025616D">
        <w:rPr>
          <w:bCs/>
          <w:szCs w:val="24"/>
        </w:rPr>
        <w:t xml:space="preserve">This collection package updated to </w:t>
      </w:r>
      <w:r w:rsidRPr="00420DF3" w:rsidR="00245D55">
        <w:rPr>
          <w:bCs/>
          <w:szCs w:val="24"/>
        </w:rPr>
        <w:t xml:space="preserve">include </w:t>
      </w:r>
      <w:r w:rsidRPr="00420DF3" w:rsidR="0025616D">
        <w:rPr>
          <w:bCs/>
          <w:szCs w:val="24"/>
        </w:rPr>
        <w:t xml:space="preserve">the estimated cost for packages being mailed by the borrower, which </w:t>
      </w:r>
      <w:r w:rsidRPr="00420DF3" w:rsidR="00111FE6">
        <w:rPr>
          <w:bCs/>
          <w:szCs w:val="24"/>
        </w:rPr>
        <w:t>is covered in Item 13 above.</w:t>
      </w:r>
      <w:r w:rsidRPr="00420DF3" w:rsidR="00245D55">
        <w:rPr>
          <w:bCs/>
          <w:szCs w:val="24"/>
        </w:rPr>
        <w:t xml:space="preserve">  This updated resulted in an increase in burden.  </w:t>
      </w:r>
    </w:p>
    <w:p w:rsidR="0025183D" w:rsidRPr="00420DF3" w:rsidP="008121B3" w14:paraId="02A19AB4" w14:textId="77777777">
      <w:pPr>
        <w:pStyle w:val="BodyText2"/>
        <w:rPr>
          <w:rFonts w:ascii="Times New Roman" w:hAnsi="Times New Roman"/>
          <w:sz w:val="24"/>
          <w:szCs w:val="24"/>
          <w:highlight w:val="green"/>
        </w:rPr>
      </w:pPr>
    </w:p>
    <w:p w:rsidR="00CF0E65" w:rsidRPr="00420DF3" w:rsidP="008121B3" w14:paraId="4F240088" w14:textId="7ED613CA">
      <w:pPr>
        <w:pStyle w:val="BodyText2"/>
        <w:rPr>
          <w:rFonts w:ascii="Times New Roman" w:hAnsi="Times New Roman"/>
          <w:sz w:val="24"/>
          <w:szCs w:val="24"/>
        </w:rPr>
      </w:pPr>
      <w:r w:rsidRPr="00420DF3">
        <w:rPr>
          <w:rFonts w:ascii="Times New Roman" w:hAnsi="Times New Roman"/>
          <w:sz w:val="24"/>
          <w:szCs w:val="24"/>
        </w:rPr>
        <w:t xml:space="preserve">The estimated Annualized Cost to the Federal Government </w:t>
      </w:r>
      <w:r w:rsidRPr="00420DF3" w:rsidR="00662156">
        <w:rPr>
          <w:rFonts w:ascii="Times New Roman" w:hAnsi="Times New Roman"/>
          <w:sz w:val="24"/>
          <w:szCs w:val="24"/>
        </w:rPr>
        <w:t xml:space="preserve">increased by </w:t>
      </w:r>
      <w:r w:rsidRPr="00420DF3" w:rsidR="0045301B">
        <w:rPr>
          <w:rFonts w:ascii="Times New Roman" w:hAnsi="Times New Roman"/>
          <w:sz w:val="24"/>
          <w:szCs w:val="24"/>
        </w:rPr>
        <w:t>$</w:t>
      </w:r>
      <w:r w:rsidR="00BB3FF5">
        <w:rPr>
          <w:rFonts w:ascii="Times New Roman" w:hAnsi="Times New Roman"/>
          <w:sz w:val="24"/>
          <w:szCs w:val="24"/>
        </w:rPr>
        <w:t>4</w:t>
      </w:r>
      <w:r w:rsidRPr="00420DF3" w:rsidR="0045301B">
        <w:rPr>
          <w:rFonts w:ascii="Times New Roman" w:hAnsi="Times New Roman"/>
          <w:sz w:val="24"/>
          <w:szCs w:val="24"/>
        </w:rPr>
        <w:t>,</w:t>
      </w:r>
      <w:r w:rsidR="00BB3FF5">
        <w:rPr>
          <w:rFonts w:ascii="Times New Roman" w:hAnsi="Times New Roman"/>
          <w:sz w:val="24"/>
          <w:szCs w:val="24"/>
        </w:rPr>
        <w:t>756</w:t>
      </w:r>
      <w:r w:rsidRPr="00420DF3" w:rsidR="0045301B">
        <w:rPr>
          <w:rFonts w:ascii="Times New Roman" w:hAnsi="Times New Roman"/>
          <w:sz w:val="24"/>
          <w:szCs w:val="24"/>
        </w:rPr>
        <w:t>,</w:t>
      </w:r>
      <w:r w:rsidR="00BB3FF5">
        <w:rPr>
          <w:rFonts w:ascii="Times New Roman" w:hAnsi="Times New Roman"/>
          <w:sz w:val="24"/>
          <w:szCs w:val="24"/>
        </w:rPr>
        <w:t>384</w:t>
      </w:r>
      <w:r w:rsidRPr="00420DF3" w:rsidR="00BB3FF5">
        <w:rPr>
          <w:rFonts w:ascii="Times New Roman" w:hAnsi="Times New Roman"/>
          <w:sz w:val="24"/>
          <w:szCs w:val="24"/>
        </w:rPr>
        <w:t xml:space="preserve"> </w:t>
      </w:r>
      <w:r w:rsidRPr="00420DF3" w:rsidR="00530DA5">
        <w:rPr>
          <w:rFonts w:ascii="Times New Roman" w:hAnsi="Times New Roman"/>
          <w:sz w:val="24"/>
          <w:szCs w:val="24"/>
        </w:rPr>
        <w:t xml:space="preserve">from $78,385 in the previous collection to </w:t>
      </w:r>
      <w:r w:rsidRPr="00420DF3">
        <w:rPr>
          <w:rFonts w:ascii="Times New Roman" w:hAnsi="Times New Roman"/>
          <w:sz w:val="24"/>
          <w:szCs w:val="24"/>
        </w:rPr>
        <w:t>$</w:t>
      </w:r>
      <w:r w:rsidR="00B34D5E">
        <w:rPr>
          <w:rFonts w:ascii="Times New Roman" w:hAnsi="Times New Roman"/>
          <w:sz w:val="24"/>
          <w:szCs w:val="24"/>
        </w:rPr>
        <w:t>4</w:t>
      </w:r>
      <w:r w:rsidRPr="00420DF3">
        <w:rPr>
          <w:rFonts w:ascii="Times New Roman" w:hAnsi="Times New Roman"/>
          <w:sz w:val="24"/>
          <w:szCs w:val="24"/>
        </w:rPr>
        <w:t>,</w:t>
      </w:r>
      <w:r w:rsidR="00B34D5E">
        <w:rPr>
          <w:rFonts w:ascii="Times New Roman" w:hAnsi="Times New Roman"/>
          <w:sz w:val="24"/>
          <w:szCs w:val="24"/>
        </w:rPr>
        <w:t>834</w:t>
      </w:r>
      <w:r w:rsidRPr="00420DF3">
        <w:rPr>
          <w:rFonts w:ascii="Times New Roman" w:hAnsi="Times New Roman"/>
          <w:sz w:val="24"/>
          <w:szCs w:val="24"/>
        </w:rPr>
        <w:t>,</w:t>
      </w:r>
      <w:r w:rsidR="00BB3FF5">
        <w:rPr>
          <w:rFonts w:ascii="Times New Roman" w:hAnsi="Times New Roman"/>
          <w:sz w:val="24"/>
          <w:szCs w:val="24"/>
        </w:rPr>
        <w:t>769</w:t>
      </w:r>
      <w:r w:rsidRPr="00420DF3" w:rsidR="00BB3FF5">
        <w:rPr>
          <w:rFonts w:ascii="Times New Roman" w:hAnsi="Times New Roman"/>
          <w:sz w:val="24"/>
          <w:szCs w:val="24"/>
        </w:rPr>
        <w:t xml:space="preserve"> </w:t>
      </w:r>
      <w:r w:rsidRPr="00420DF3" w:rsidR="00F410F0">
        <w:rPr>
          <w:rFonts w:ascii="Times New Roman" w:hAnsi="Times New Roman"/>
          <w:sz w:val="24"/>
          <w:szCs w:val="24"/>
        </w:rPr>
        <w:t>for this collection</w:t>
      </w:r>
      <w:r w:rsidRPr="00420DF3">
        <w:rPr>
          <w:rFonts w:ascii="Times New Roman" w:hAnsi="Times New Roman"/>
          <w:sz w:val="24"/>
          <w:szCs w:val="24"/>
        </w:rPr>
        <w:t>.</w:t>
      </w:r>
      <w:r w:rsidRPr="00420DF3" w:rsidR="00F410F0">
        <w:rPr>
          <w:rFonts w:ascii="Times New Roman" w:hAnsi="Times New Roman"/>
          <w:sz w:val="24"/>
          <w:szCs w:val="24"/>
        </w:rPr>
        <w:t xml:space="preserve">  </w:t>
      </w:r>
      <w:r w:rsidRPr="00420DF3" w:rsidR="00EE67E5">
        <w:rPr>
          <w:rFonts w:ascii="Times New Roman" w:hAnsi="Times New Roman"/>
          <w:sz w:val="24"/>
          <w:szCs w:val="24"/>
        </w:rPr>
        <w:t xml:space="preserve">The increase for the estimated Annualized Cost to the Federal Government </w:t>
      </w:r>
      <w:r w:rsidRPr="00420DF3">
        <w:rPr>
          <w:rFonts w:ascii="Times New Roman" w:hAnsi="Times New Roman"/>
          <w:sz w:val="24"/>
          <w:szCs w:val="24"/>
        </w:rPr>
        <w:t>is due to the following:</w:t>
      </w:r>
    </w:p>
    <w:p w:rsidR="005345A6" w:rsidRPr="00420DF3" w:rsidP="00FD492A" w14:paraId="07670251" w14:textId="221095DF">
      <w:pPr>
        <w:pStyle w:val="ListParagraph"/>
        <w:numPr>
          <w:ilvl w:val="0"/>
          <w:numId w:val="32"/>
        </w:numPr>
        <w:rPr>
          <w:sz w:val="24"/>
          <w:szCs w:val="24"/>
        </w:rPr>
      </w:pPr>
      <w:r w:rsidRPr="00420DF3">
        <w:rPr>
          <w:sz w:val="24"/>
          <w:szCs w:val="24"/>
        </w:rPr>
        <w:t xml:space="preserve">The total number of </w:t>
      </w:r>
      <w:r w:rsidRPr="00420DF3" w:rsidR="00E75803">
        <w:rPr>
          <w:sz w:val="24"/>
          <w:szCs w:val="24"/>
        </w:rPr>
        <w:t>response</w:t>
      </w:r>
      <w:r w:rsidRPr="00420DF3" w:rsidR="00933A31">
        <w:rPr>
          <w:sz w:val="24"/>
          <w:szCs w:val="24"/>
        </w:rPr>
        <w:t>s</w:t>
      </w:r>
      <w:r w:rsidRPr="00420DF3" w:rsidR="00E75803">
        <w:rPr>
          <w:sz w:val="24"/>
          <w:szCs w:val="24"/>
        </w:rPr>
        <w:t xml:space="preserve"> </w:t>
      </w:r>
      <w:r w:rsidRPr="00420DF3" w:rsidR="00FD492A">
        <w:rPr>
          <w:sz w:val="24"/>
          <w:szCs w:val="24"/>
        </w:rPr>
        <w:t xml:space="preserve">for routine and special </w:t>
      </w:r>
      <w:r w:rsidRPr="00420DF3" w:rsidR="00B87C67">
        <w:rPr>
          <w:sz w:val="24"/>
          <w:szCs w:val="24"/>
        </w:rPr>
        <w:t>servicing</w:t>
      </w:r>
      <w:r w:rsidRPr="00420DF3" w:rsidR="00FD492A">
        <w:rPr>
          <w:sz w:val="24"/>
          <w:szCs w:val="24"/>
        </w:rPr>
        <w:t xml:space="preserve"> actions increased from 304 and 28 to 3,929 and 135.  The previous collection packages only counted </w:t>
      </w:r>
      <w:r w:rsidRPr="00420DF3" w:rsidR="00E75803">
        <w:rPr>
          <w:sz w:val="24"/>
          <w:szCs w:val="24"/>
        </w:rPr>
        <w:t xml:space="preserve">for </w:t>
      </w:r>
      <w:r w:rsidRPr="00420DF3" w:rsidR="00E91283">
        <w:rPr>
          <w:sz w:val="24"/>
          <w:szCs w:val="24"/>
        </w:rPr>
        <w:t xml:space="preserve">new responses being added and did not include those that are already being serviced.  </w:t>
      </w:r>
      <w:r w:rsidRPr="00420DF3" w:rsidR="007847A4">
        <w:rPr>
          <w:sz w:val="24"/>
          <w:szCs w:val="24"/>
        </w:rPr>
        <w:t xml:space="preserve">The </w:t>
      </w:r>
      <w:r w:rsidRPr="00420DF3" w:rsidR="007847A4">
        <w:rPr>
          <w:sz w:val="24"/>
          <w:szCs w:val="24"/>
        </w:rPr>
        <w:t xml:space="preserve">total number of responses were updated to include those that are already being serviced yearly.  </w:t>
      </w:r>
    </w:p>
    <w:p w:rsidR="00AF10B2" w:rsidRPr="00420DF3" w:rsidP="006B2665" w14:paraId="714ACC46" w14:textId="3C9FBD1D">
      <w:pPr>
        <w:pStyle w:val="ListParagraph"/>
        <w:numPr>
          <w:ilvl w:val="0"/>
          <w:numId w:val="32"/>
        </w:numPr>
        <w:rPr>
          <w:sz w:val="24"/>
          <w:szCs w:val="24"/>
        </w:rPr>
      </w:pPr>
      <w:r w:rsidRPr="00420DF3">
        <w:rPr>
          <w:sz w:val="24"/>
          <w:szCs w:val="24"/>
        </w:rPr>
        <w:t xml:space="preserve">The </w:t>
      </w:r>
      <w:r w:rsidRPr="00420DF3" w:rsidR="007012BA">
        <w:rPr>
          <w:sz w:val="24"/>
          <w:szCs w:val="24"/>
        </w:rPr>
        <w:t xml:space="preserve">previous collection package included </w:t>
      </w:r>
      <w:r w:rsidRPr="00420DF3" w:rsidR="00B213EA">
        <w:rPr>
          <w:sz w:val="24"/>
          <w:szCs w:val="24"/>
        </w:rPr>
        <w:t xml:space="preserve">Loan </w:t>
      </w:r>
      <w:r w:rsidRPr="00420DF3" w:rsidR="0051067D">
        <w:rPr>
          <w:sz w:val="24"/>
          <w:szCs w:val="24"/>
        </w:rPr>
        <w:t>Specialist</w:t>
      </w:r>
      <w:r w:rsidRPr="00420DF3" w:rsidR="00B213EA">
        <w:rPr>
          <w:sz w:val="24"/>
          <w:szCs w:val="24"/>
        </w:rPr>
        <w:t xml:space="preserve"> – Field Office</w:t>
      </w:r>
      <w:r w:rsidRPr="00420DF3" w:rsidR="0051067D">
        <w:rPr>
          <w:sz w:val="24"/>
          <w:szCs w:val="24"/>
        </w:rPr>
        <w:t xml:space="preserve"> and </w:t>
      </w:r>
      <w:r w:rsidRPr="00420DF3" w:rsidR="00B213EA">
        <w:rPr>
          <w:sz w:val="24"/>
          <w:szCs w:val="24"/>
        </w:rPr>
        <w:t>Loan Specialist – National Office as the staff position</w:t>
      </w:r>
      <w:r w:rsidRPr="00420DF3" w:rsidR="005079F2">
        <w:rPr>
          <w:sz w:val="24"/>
          <w:szCs w:val="24"/>
        </w:rPr>
        <w:t xml:space="preserve">s.  </w:t>
      </w:r>
      <w:r w:rsidRPr="00420DF3" w:rsidR="00017C08">
        <w:rPr>
          <w:sz w:val="24"/>
          <w:szCs w:val="24"/>
        </w:rPr>
        <w:t>The staff positions have been updated</w:t>
      </w:r>
      <w:r w:rsidRPr="00420DF3" w:rsidR="00933A31">
        <w:rPr>
          <w:sz w:val="24"/>
          <w:szCs w:val="24"/>
        </w:rPr>
        <w:t xml:space="preserve"> to better r</w:t>
      </w:r>
      <w:r w:rsidRPr="00420DF3" w:rsidR="00FD296B">
        <w:rPr>
          <w:sz w:val="24"/>
          <w:szCs w:val="24"/>
        </w:rPr>
        <w:t>epresent</w:t>
      </w:r>
      <w:r w:rsidRPr="00420DF3" w:rsidR="00C51575">
        <w:rPr>
          <w:sz w:val="24"/>
          <w:szCs w:val="24"/>
        </w:rPr>
        <w:t xml:space="preserve"> what occurs with the programs. </w:t>
      </w:r>
      <w:r w:rsidRPr="00420DF3" w:rsidR="00FD296B">
        <w:rPr>
          <w:sz w:val="24"/>
          <w:szCs w:val="24"/>
        </w:rPr>
        <w:t xml:space="preserve"> </w:t>
      </w:r>
      <w:r w:rsidRPr="00420DF3" w:rsidR="00017C08">
        <w:rPr>
          <w:sz w:val="24"/>
          <w:szCs w:val="24"/>
        </w:rPr>
        <w:t xml:space="preserve"> </w:t>
      </w:r>
    </w:p>
    <w:p w:rsidR="001F119C" w:rsidRPr="00420DF3" w:rsidP="006B2665" w14:paraId="2BCE1826" w14:textId="09515589">
      <w:pPr>
        <w:pStyle w:val="ListParagraph"/>
        <w:numPr>
          <w:ilvl w:val="0"/>
          <w:numId w:val="32"/>
        </w:numPr>
        <w:rPr>
          <w:sz w:val="24"/>
          <w:szCs w:val="24"/>
        </w:rPr>
      </w:pPr>
      <w:r w:rsidRPr="00420DF3">
        <w:rPr>
          <w:sz w:val="24"/>
          <w:szCs w:val="24"/>
        </w:rPr>
        <w:t>Graduation Reviews were added, which has not been previously captured in previous collection packages</w:t>
      </w:r>
      <w:r w:rsidRPr="00420DF3" w:rsidR="00BC361C">
        <w:rPr>
          <w:sz w:val="24"/>
          <w:szCs w:val="24"/>
        </w:rPr>
        <w:t>.</w:t>
      </w:r>
    </w:p>
    <w:p w:rsidR="00DC18E7" w:rsidRPr="00420DF3" w:rsidP="006B2665" w14:paraId="324D75D4" w14:textId="2AF0B0DC">
      <w:pPr>
        <w:pStyle w:val="ListParagraph"/>
        <w:numPr>
          <w:ilvl w:val="0"/>
          <w:numId w:val="32"/>
        </w:numPr>
        <w:rPr>
          <w:sz w:val="24"/>
          <w:szCs w:val="24"/>
        </w:rPr>
      </w:pPr>
      <w:r w:rsidRPr="00420DF3">
        <w:rPr>
          <w:sz w:val="24"/>
          <w:szCs w:val="24"/>
        </w:rPr>
        <w:t>The GS Salary for each staff position was updated</w:t>
      </w:r>
      <w:r w:rsidRPr="00420DF3" w:rsidR="00557515">
        <w:rPr>
          <w:sz w:val="24"/>
          <w:szCs w:val="24"/>
        </w:rPr>
        <w:t xml:space="preserve"> using the current OPM GS pay table</w:t>
      </w:r>
      <w:r w:rsidRPr="00420DF3" w:rsidR="00BC361C">
        <w:rPr>
          <w:sz w:val="24"/>
          <w:szCs w:val="24"/>
        </w:rPr>
        <w:t>s.</w:t>
      </w:r>
    </w:p>
    <w:p w:rsidR="006B2665" w:rsidRPr="00420DF3" w:rsidP="006B2665" w14:paraId="092ED609" w14:textId="40F42478">
      <w:pPr>
        <w:pStyle w:val="ListParagraph"/>
        <w:numPr>
          <w:ilvl w:val="0"/>
          <w:numId w:val="32"/>
        </w:numPr>
        <w:rPr>
          <w:sz w:val="24"/>
          <w:szCs w:val="24"/>
        </w:rPr>
      </w:pPr>
      <w:r w:rsidRPr="00420DF3">
        <w:rPr>
          <w:sz w:val="24"/>
          <w:szCs w:val="24"/>
        </w:rPr>
        <w:t xml:space="preserve">Hours required for each staff position was updated.  </w:t>
      </w:r>
      <w:r w:rsidRPr="00420DF3" w:rsidR="005345A6">
        <w:rPr>
          <w:sz w:val="24"/>
          <w:szCs w:val="24"/>
        </w:rPr>
        <w:t xml:space="preserve">  </w:t>
      </w:r>
    </w:p>
    <w:p w:rsidR="00DB76F4" w:rsidRPr="00420DF3" w:rsidP="0077019F" w14:paraId="73255E3D" w14:textId="77777777">
      <w:pPr>
        <w:pStyle w:val="BodyText2"/>
        <w:rPr>
          <w:rFonts w:ascii="Times New Roman" w:hAnsi="Times New Roman"/>
          <w:sz w:val="24"/>
          <w:szCs w:val="24"/>
        </w:rPr>
      </w:pPr>
    </w:p>
    <w:p w:rsidR="0077019F" w:rsidRPr="00420DF3" w:rsidP="0077019F" w14:paraId="7B9D3022" w14:textId="77777777">
      <w:pPr>
        <w:pStyle w:val="BodyText2"/>
        <w:rPr>
          <w:rFonts w:ascii="Times New Roman" w:hAnsi="Times New Roman"/>
          <w:sz w:val="24"/>
          <w:szCs w:val="24"/>
        </w:rPr>
      </w:pPr>
      <w:r w:rsidRPr="00420DF3">
        <w:rPr>
          <w:rFonts w:ascii="Times New Roman" w:hAnsi="Times New Roman"/>
          <w:b/>
          <w:sz w:val="24"/>
          <w:szCs w:val="24"/>
          <w:u w:val="single"/>
        </w:rPr>
        <w:t>16.  For collection of information whose results will be published, outline plans for tabulation</w:t>
      </w:r>
    </w:p>
    <w:p w:rsidR="0077019F" w:rsidRPr="00420DF3" w:rsidP="0077019F" w14:paraId="584C90CB" w14:textId="77777777">
      <w:pPr>
        <w:pStyle w:val="BodyText2"/>
        <w:rPr>
          <w:rFonts w:ascii="Times New Roman" w:hAnsi="Times New Roman"/>
          <w:sz w:val="24"/>
          <w:szCs w:val="24"/>
        </w:rPr>
      </w:pPr>
      <w:r w:rsidRPr="00420DF3">
        <w:rPr>
          <w:rFonts w:ascii="Times New Roman" w:hAnsi="Times New Roman"/>
          <w:b/>
          <w:sz w:val="24"/>
          <w:szCs w:val="24"/>
          <w:u w:val="single"/>
        </w:rPr>
        <w:t>and publication.</w:t>
      </w:r>
    </w:p>
    <w:p w:rsidR="0077019F" w:rsidRPr="00420DF3" w:rsidP="0077019F" w14:paraId="0C5BB31C" w14:textId="77777777">
      <w:pPr>
        <w:pStyle w:val="BodyText2"/>
        <w:rPr>
          <w:rFonts w:ascii="Times New Roman" w:hAnsi="Times New Roman"/>
          <w:sz w:val="24"/>
          <w:szCs w:val="24"/>
        </w:rPr>
      </w:pPr>
    </w:p>
    <w:p w:rsidR="0077019F" w:rsidRPr="00420DF3" w:rsidP="001D73F4" w14:paraId="34F2FA36" w14:textId="77777777">
      <w:pPr>
        <w:pStyle w:val="BodyText2"/>
        <w:rPr>
          <w:rFonts w:ascii="Times New Roman" w:hAnsi="Times New Roman"/>
          <w:sz w:val="24"/>
          <w:szCs w:val="24"/>
        </w:rPr>
      </w:pPr>
      <w:r w:rsidRPr="00420DF3">
        <w:rPr>
          <w:rFonts w:ascii="Times New Roman" w:hAnsi="Times New Roman"/>
          <w:sz w:val="24"/>
          <w:szCs w:val="24"/>
        </w:rPr>
        <w:t>There are no plans for publication of information collected.</w:t>
      </w:r>
    </w:p>
    <w:p w:rsidR="0077019F" w:rsidRPr="00420DF3" w:rsidP="0077019F" w14:paraId="6875B691" w14:textId="77777777">
      <w:pPr>
        <w:pStyle w:val="BodyText2"/>
        <w:rPr>
          <w:rFonts w:ascii="Times New Roman" w:hAnsi="Times New Roman"/>
          <w:sz w:val="24"/>
          <w:szCs w:val="24"/>
        </w:rPr>
      </w:pPr>
    </w:p>
    <w:p w:rsidR="0077019F" w:rsidRPr="00420DF3" w:rsidP="0077019F" w14:paraId="3F569203" w14:textId="36E20873">
      <w:pPr>
        <w:pStyle w:val="BodyText2"/>
        <w:rPr>
          <w:rFonts w:ascii="Times New Roman" w:hAnsi="Times New Roman"/>
          <w:sz w:val="24"/>
          <w:szCs w:val="24"/>
        </w:rPr>
      </w:pPr>
      <w:r w:rsidRPr="00DE12C8">
        <w:rPr>
          <w:rFonts w:ascii="Times New Roman" w:hAnsi="Times New Roman"/>
          <w:b/>
          <w:sz w:val="24"/>
          <w:szCs w:val="24"/>
          <w:u w:val="single"/>
        </w:rPr>
        <w:t>17.  If seeking approval to not display the expiration date for OMB approval of the information</w:t>
      </w:r>
      <w:r w:rsidRPr="00420DF3" w:rsidR="00EB3281">
        <w:rPr>
          <w:rFonts w:ascii="Times New Roman" w:hAnsi="Times New Roman"/>
          <w:b/>
          <w:sz w:val="24"/>
          <w:szCs w:val="24"/>
          <w:u w:val="single"/>
        </w:rPr>
        <w:t xml:space="preserve"> </w:t>
      </w:r>
      <w:r w:rsidRPr="00420DF3">
        <w:rPr>
          <w:rFonts w:ascii="Times New Roman" w:hAnsi="Times New Roman"/>
          <w:b/>
          <w:sz w:val="24"/>
          <w:szCs w:val="24"/>
          <w:u w:val="single"/>
        </w:rPr>
        <w:t>collection, explain the reasons that display would be inappropriate.</w:t>
      </w:r>
    </w:p>
    <w:p w:rsidR="0077019F" w:rsidRPr="00420DF3" w:rsidP="0077019F" w14:paraId="772C40BF" w14:textId="77777777">
      <w:pPr>
        <w:pStyle w:val="BodyText2"/>
        <w:rPr>
          <w:rFonts w:ascii="Times New Roman" w:hAnsi="Times New Roman"/>
          <w:sz w:val="24"/>
          <w:szCs w:val="24"/>
          <w:u w:val="single"/>
        </w:rPr>
      </w:pPr>
    </w:p>
    <w:p w:rsidR="00EA683F" w:rsidRPr="00420DF3" w:rsidP="001D73F4" w14:paraId="01DB798E" w14:textId="6F5FF115">
      <w:pPr>
        <w:pStyle w:val="BodyText2"/>
        <w:rPr>
          <w:rFonts w:ascii="Times New Roman" w:hAnsi="Times New Roman"/>
          <w:sz w:val="24"/>
          <w:szCs w:val="24"/>
        </w:rPr>
      </w:pPr>
      <w:r w:rsidRPr="00EA683F">
        <w:rPr>
          <w:rFonts w:ascii="Times New Roman" w:hAnsi="Times New Roman"/>
          <w:sz w:val="24"/>
          <w:szCs w:val="24"/>
        </w:rPr>
        <w:t>These forms are used in other Rural Development information collections; therefore, it is not practical to include an OMB expiration date because of the different expiration dates for each collection.  R</w:t>
      </w:r>
      <w:r>
        <w:rPr>
          <w:rFonts w:ascii="Times New Roman" w:hAnsi="Times New Roman"/>
          <w:sz w:val="24"/>
          <w:szCs w:val="24"/>
        </w:rPr>
        <w:t>US</w:t>
      </w:r>
      <w:r w:rsidRPr="00EA683F">
        <w:rPr>
          <w:rFonts w:ascii="Times New Roman" w:hAnsi="Times New Roman"/>
          <w:sz w:val="24"/>
          <w:szCs w:val="24"/>
        </w:rPr>
        <w:t xml:space="preserve"> is seeking approval to not display the OMB expiration date on these forms. </w:t>
      </w:r>
    </w:p>
    <w:p w:rsidR="00836D3C" w:rsidRPr="00420DF3" w:rsidP="0077019F" w14:paraId="4BE7E20C" w14:textId="77777777">
      <w:pPr>
        <w:pStyle w:val="BodyText2"/>
        <w:rPr>
          <w:rFonts w:ascii="Times New Roman" w:hAnsi="Times New Roman"/>
          <w:sz w:val="24"/>
          <w:szCs w:val="24"/>
        </w:rPr>
      </w:pPr>
    </w:p>
    <w:p w:rsidR="0077019F" w:rsidRPr="00420DF3" w:rsidP="001D73F4" w14:paraId="19D7B76F" w14:textId="77777777">
      <w:pPr>
        <w:pStyle w:val="BodyText2"/>
        <w:rPr>
          <w:rFonts w:ascii="Times New Roman" w:hAnsi="Times New Roman"/>
          <w:sz w:val="24"/>
          <w:szCs w:val="24"/>
        </w:rPr>
      </w:pPr>
      <w:r w:rsidRPr="00420DF3">
        <w:rPr>
          <w:rFonts w:ascii="Times New Roman" w:hAnsi="Times New Roman"/>
          <w:b/>
          <w:sz w:val="24"/>
          <w:szCs w:val="24"/>
          <w:u w:val="single"/>
        </w:rPr>
        <w:t>18.  Explain each exception to the certification statement identified in item 19 on OMB 83-1.</w:t>
      </w:r>
    </w:p>
    <w:p w:rsidR="0077019F" w:rsidRPr="00420DF3" w:rsidP="0077019F" w14:paraId="03A4E556" w14:textId="77777777">
      <w:pPr>
        <w:pStyle w:val="BodyText2"/>
        <w:rPr>
          <w:rFonts w:ascii="Times New Roman" w:hAnsi="Times New Roman"/>
          <w:sz w:val="24"/>
          <w:szCs w:val="24"/>
        </w:rPr>
      </w:pPr>
    </w:p>
    <w:p w:rsidR="0077019F" w:rsidRPr="00420DF3" w:rsidP="001D73F4" w14:paraId="67FEB6B5" w14:textId="77777777">
      <w:pPr>
        <w:pStyle w:val="BodyText2"/>
        <w:rPr>
          <w:rFonts w:ascii="Times New Roman" w:hAnsi="Times New Roman"/>
          <w:sz w:val="24"/>
          <w:szCs w:val="24"/>
        </w:rPr>
      </w:pPr>
      <w:r w:rsidRPr="00420DF3">
        <w:rPr>
          <w:rFonts w:ascii="Times New Roman" w:hAnsi="Times New Roman"/>
          <w:sz w:val="24"/>
          <w:szCs w:val="24"/>
        </w:rPr>
        <w:t>There are no exceptions requested to the certification statement involved with this collection request.</w:t>
      </w:r>
    </w:p>
    <w:p w:rsidR="0077019F" w:rsidRPr="00420DF3" w:rsidP="0077019F" w14:paraId="31B42CE0" w14:textId="77777777">
      <w:pPr>
        <w:pStyle w:val="BodyText2"/>
        <w:rPr>
          <w:rFonts w:ascii="Times New Roman" w:hAnsi="Times New Roman"/>
          <w:sz w:val="24"/>
          <w:szCs w:val="24"/>
        </w:rPr>
      </w:pPr>
    </w:p>
    <w:p w:rsidR="0077019F" w:rsidRPr="00420DF3" w:rsidP="001D73F4" w14:paraId="682A4F29" w14:textId="77777777">
      <w:pPr>
        <w:pStyle w:val="BodyText2"/>
        <w:numPr>
          <w:ilvl w:val="0"/>
          <w:numId w:val="1"/>
        </w:numPr>
        <w:tabs>
          <w:tab w:val="clear" w:pos="720"/>
        </w:tabs>
        <w:ind w:left="360" w:hanging="360"/>
        <w:rPr>
          <w:rFonts w:ascii="Times New Roman" w:hAnsi="Times New Roman"/>
          <w:b/>
          <w:sz w:val="24"/>
          <w:szCs w:val="24"/>
          <w:u w:val="single"/>
        </w:rPr>
      </w:pPr>
      <w:r w:rsidRPr="00420DF3">
        <w:rPr>
          <w:rFonts w:ascii="Times New Roman" w:hAnsi="Times New Roman"/>
          <w:b/>
          <w:sz w:val="24"/>
          <w:szCs w:val="24"/>
          <w:u w:val="single"/>
        </w:rPr>
        <w:t>Collection of Information Employing Statistical Methods.</w:t>
      </w:r>
    </w:p>
    <w:p w:rsidR="0077019F" w:rsidRPr="00420DF3" w:rsidP="0077019F" w14:paraId="3A2BC42B" w14:textId="77777777">
      <w:pPr>
        <w:pStyle w:val="BodyText2"/>
        <w:rPr>
          <w:rFonts w:ascii="Times New Roman" w:hAnsi="Times New Roman"/>
          <w:b/>
          <w:sz w:val="24"/>
          <w:szCs w:val="24"/>
          <w:u w:val="single"/>
        </w:rPr>
      </w:pPr>
    </w:p>
    <w:p w:rsidR="0077019F" w:rsidRPr="00420DF3" w:rsidP="001D73F4" w14:paraId="3C116B28" w14:textId="77777777">
      <w:pPr>
        <w:pStyle w:val="BodyText2"/>
        <w:rPr>
          <w:rFonts w:ascii="Times New Roman" w:hAnsi="Times New Roman"/>
          <w:sz w:val="24"/>
          <w:szCs w:val="24"/>
        </w:rPr>
      </w:pPr>
      <w:r w:rsidRPr="00420DF3">
        <w:rPr>
          <w:rFonts w:ascii="Times New Roman" w:hAnsi="Times New Roman"/>
          <w:sz w:val="24"/>
          <w:szCs w:val="24"/>
        </w:rPr>
        <w:t>This collection does not involve a survey.  Thus, this collection does not employ statistical methods.</w:t>
      </w:r>
    </w:p>
    <w:p w:rsidR="0077019F" w:rsidRPr="00E06457" w14:paraId="0348A697" w14:textId="77777777">
      <w:pPr>
        <w:rPr>
          <w:szCs w:val="24"/>
        </w:rPr>
      </w:pPr>
    </w:p>
    <w:sectPr w:rsidSect="00107598">
      <w:footerReference w:type="even" r:id="rId22"/>
      <w:footerReference w:type="default" r:id="rId23"/>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5234" w:rsidP="00FE5C6D" w14:paraId="3E64CAF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75234" w:rsidP="00FE5C6D" w14:paraId="3BCC2BD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5234" w14:paraId="4F8471C4" w14:textId="77777777">
    <w:pPr>
      <w:pStyle w:val="Footer"/>
      <w:jc w:val="center"/>
    </w:pPr>
    <w:r>
      <w:fldChar w:fldCharType="begin"/>
    </w:r>
    <w:r>
      <w:instrText xml:space="preserve"> PAGE   \* MERGEFORMAT </w:instrText>
    </w:r>
    <w:r>
      <w:fldChar w:fldCharType="separate"/>
    </w:r>
    <w:r>
      <w:rPr>
        <w:noProof/>
      </w:rPr>
      <w:t>14</w:t>
    </w:r>
    <w:r>
      <w:rPr>
        <w:noProof/>
      </w:rPr>
      <w:fldChar w:fldCharType="end"/>
    </w:r>
  </w:p>
  <w:p w:rsidR="00475234" w:rsidP="00FE5C6D" w14:paraId="270D58C7"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046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1C29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9204520"/>
    <w:multiLevelType w:val="hybridMultilevel"/>
    <w:tmpl w:val="060AE74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9345BB"/>
    <w:multiLevelType w:val="singleLevel"/>
    <w:tmpl w:val="15025CF4"/>
    <w:lvl w:ilvl="0">
      <w:start w:val="1"/>
      <w:numFmt w:val="decimal"/>
      <w:lvlText w:val="%1."/>
      <w:lvlJc w:val="left"/>
      <w:pPr>
        <w:tabs>
          <w:tab w:val="num" w:pos="810"/>
        </w:tabs>
        <w:ind w:left="810" w:hanging="720"/>
      </w:pPr>
      <w:rPr>
        <w:rFonts w:hint="default"/>
        <w:b/>
        <w:u w:val="none"/>
      </w:rPr>
    </w:lvl>
  </w:abstractNum>
  <w:abstractNum w:abstractNumId="4">
    <w:nsid w:val="0E447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876299F"/>
    <w:multiLevelType w:val="hybridMultilevel"/>
    <w:tmpl w:val="01602246"/>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6">
    <w:nsid w:val="194E7781"/>
    <w:multiLevelType w:val="hybridMultilevel"/>
    <w:tmpl w:val="E2B6E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E23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E5B34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00557C"/>
    <w:multiLevelType w:val="hybridMultilevel"/>
    <w:tmpl w:val="5D586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7F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3DB4F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4EC35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5DB029F"/>
    <w:multiLevelType w:val="singleLevel"/>
    <w:tmpl w:val="98A211C4"/>
    <w:lvl w:ilvl="0">
      <w:start w:val="1"/>
      <w:numFmt w:val="lowerLetter"/>
      <w:lvlText w:val="(%1)"/>
      <w:lvlJc w:val="left"/>
      <w:pPr>
        <w:tabs>
          <w:tab w:val="num" w:pos="1080"/>
        </w:tabs>
        <w:ind w:left="1080" w:hanging="360"/>
      </w:pPr>
      <w:rPr>
        <w:rFonts w:hint="default"/>
      </w:rPr>
    </w:lvl>
  </w:abstractNum>
  <w:abstractNum w:abstractNumId="14">
    <w:nsid w:val="2875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0683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2C55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CFF319A"/>
    <w:multiLevelType w:val="hybridMultilevel"/>
    <w:tmpl w:val="F13AE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00B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5D53527"/>
    <w:multiLevelType w:val="hybridMultilevel"/>
    <w:tmpl w:val="BDEA4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E645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0423F4A"/>
    <w:multiLevelType w:val="singleLevel"/>
    <w:tmpl w:val="C52C9D1C"/>
    <w:lvl w:ilvl="0">
      <w:start w:val="1"/>
      <w:numFmt w:val="upperLetter"/>
      <w:lvlText w:val="%1."/>
      <w:lvlJc w:val="left"/>
      <w:pPr>
        <w:tabs>
          <w:tab w:val="num" w:pos="720"/>
        </w:tabs>
        <w:ind w:left="720" w:hanging="720"/>
      </w:pPr>
      <w:rPr>
        <w:rFonts w:hint="default"/>
        <w:b/>
        <w:bCs/>
        <w:u w:val="none"/>
      </w:rPr>
    </w:lvl>
  </w:abstractNum>
  <w:abstractNum w:abstractNumId="22">
    <w:nsid w:val="5AF955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C660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FD36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2744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180036F"/>
    <w:multiLevelType w:val="hybridMultilevel"/>
    <w:tmpl w:val="C450A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3042B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31A093F"/>
    <w:multiLevelType w:val="hybridMultilevel"/>
    <w:tmpl w:val="BE5084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972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6061A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7135E55"/>
    <w:multiLevelType w:val="hybridMultilevel"/>
    <w:tmpl w:val="50066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9F782A"/>
    <w:multiLevelType w:val="hybridMultilevel"/>
    <w:tmpl w:val="66D45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6E6E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866981">
    <w:abstractNumId w:val="21"/>
  </w:num>
  <w:num w:numId="2" w16cid:durableId="1763599295">
    <w:abstractNumId w:val="3"/>
  </w:num>
  <w:num w:numId="3" w16cid:durableId="1337150882">
    <w:abstractNumId w:val="11"/>
  </w:num>
  <w:num w:numId="4" w16cid:durableId="788201778">
    <w:abstractNumId w:val="7"/>
  </w:num>
  <w:num w:numId="5" w16cid:durableId="294062355">
    <w:abstractNumId w:val="1"/>
  </w:num>
  <w:num w:numId="6" w16cid:durableId="1729648747">
    <w:abstractNumId w:val="18"/>
  </w:num>
  <w:num w:numId="7" w16cid:durableId="879589655">
    <w:abstractNumId w:val="24"/>
  </w:num>
  <w:num w:numId="8" w16cid:durableId="1811970071">
    <w:abstractNumId w:val="27"/>
  </w:num>
  <w:num w:numId="9" w16cid:durableId="386993059">
    <w:abstractNumId w:val="0"/>
  </w:num>
  <w:num w:numId="10" w16cid:durableId="344333071">
    <w:abstractNumId w:val="14"/>
  </w:num>
  <w:num w:numId="11" w16cid:durableId="381904315">
    <w:abstractNumId w:val="10"/>
  </w:num>
  <w:num w:numId="12" w16cid:durableId="280839316">
    <w:abstractNumId w:val="22"/>
  </w:num>
  <w:num w:numId="13" w16cid:durableId="1598368767">
    <w:abstractNumId w:val="16"/>
  </w:num>
  <w:num w:numId="14" w16cid:durableId="1420371481">
    <w:abstractNumId w:val="8"/>
  </w:num>
  <w:num w:numId="15" w16cid:durableId="2049255308">
    <w:abstractNumId w:val="29"/>
  </w:num>
  <w:num w:numId="16" w16cid:durableId="472724382">
    <w:abstractNumId w:val="23"/>
  </w:num>
  <w:num w:numId="17" w16cid:durableId="549848019">
    <w:abstractNumId w:val="15"/>
  </w:num>
  <w:num w:numId="18" w16cid:durableId="1327318848">
    <w:abstractNumId w:val="12"/>
  </w:num>
  <w:num w:numId="19" w16cid:durableId="1898128052">
    <w:abstractNumId w:val="25"/>
  </w:num>
  <w:num w:numId="20" w16cid:durableId="344021706">
    <w:abstractNumId w:val="4"/>
  </w:num>
  <w:num w:numId="21" w16cid:durableId="1870484583">
    <w:abstractNumId w:val="33"/>
  </w:num>
  <w:num w:numId="22" w16cid:durableId="1903904406">
    <w:abstractNumId w:val="30"/>
  </w:num>
  <w:num w:numId="23" w16cid:durableId="328944756">
    <w:abstractNumId w:val="13"/>
  </w:num>
  <w:num w:numId="24" w16cid:durableId="521209276">
    <w:abstractNumId w:val="20"/>
  </w:num>
  <w:num w:numId="25" w16cid:durableId="686710069">
    <w:abstractNumId w:val="26"/>
  </w:num>
  <w:num w:numId="26" w16cid:durableId="365256529">
    <w:abstractNumId w:val="2"/>
  </w:num>
  <w:num w:numId="27" w16cid:durableId="1028946108">
    <w:abstractNumId w:val="31"/>
  </w:num>
  <w:num w:numId="28" w16cid:durableId="936138591">
    <w:abstractNumId w:val="9"/>
  </w:num>
  <w:num w:numId="29" w16cid:durableId="1019159164">
    <w:abstractNumId w:val="32"/>
  </w:num>
  <w:num w:numId="30" w16cid:durableId="115176770">
    <w:abstractNumId w:val="19"/>
  </w:num>
  <w:num w:numId="31" w16cid:durableId="864289614">
    <w:abstractNumId w:val="28"/>
  </w:num>
  <w:num w:numId="32" w16cid:durableId="1351033011">
    <w:abstractNumId w:val="17"/>
  </w:num>
  <w:num w:numId="33" w16cid:durableId="1759935940">
    <w:abstractNumId w:val="5"/>
  </w:num>
  <w:num w:numId="34" w16cid:durableId="1596597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9F"/>
    <w:rsid w:val="00002383"/>
    <w:rsid w:val="00003128"/>
    <w:rsid w:val="0000450B"/>
    <w:rsid w:val="00013EFE"/>
    <w:rsid w:val="00015F28"/>
    <w:rsid w:val="00017C08"/>
    <w:rsid w:val="00017FBF"/>
    <w:rsid w:val="00017FF0"/>
    <w:rsid w:val="00030DF5"/>
    <w:rsid w:val="000339B3"/>
    <w:rsid w:val="00034B60"/>
    <w:rsid w:val="000363BC"/>
    <w:rsid w:val="00036E4C"/>
    <w:rsid w:val="0004106F"/>
    <w:rsid w:val="00041EB9"/>
    <w:rsid w:val="000479F9"/>
    <w:rsid w:val="000542A8"/>
    <w:rsid w:val="000551AE"/>
    <w:rsid w:val="00062B4A"/>
    <w:rsid w:val="00066AC0"/>
    <w:rsid w:val="00071FE0"/>
    <w:rsid w:val="0007250D"/>
    <w:rsid w:val="00075887"/>
    <w:rsid w:val="000802D6"/>
    <w:rsid w:val="000919A7"/>
    <w:rsid w:val="000929C5"/>
    <w:rsid w:val="00093DF3"/>
    <w:rsid w:val="00093F9C"/>
    <w:rsid w:val="0009434E"/>
    <w:rsid w:val="000A41E6"/>
    <w:rsid w:val="000A493B"/>
    <w:rsid w:val="000A7A79"/>
    <w:rsid w:val="000B0FFE"/>
    <w:rsid w:val="000B25F9"/>
    <w:rsid w:val="000B2BFA"/>
    <w:rsid w:val="000B2CA8"/>
    <w:rsid w:val="000B7418"/>
    <w:rsid w:val="000C1117"/>
    <w:rsid w:val="000C1AF7"/>
    <w:rsid w:val="000C740F"/>
    <w:rsid w:val="000D011D"/>
    <w:rsid w:val="000D18B1"/>
    <w:rsid w:val="000D7660"/>
    <w:rsid w:val="000D7E07"/>
    <w:rsid w:val="000E10B4"/>
    <w:rsid w:val="000E13C7"/>
    <w:rsid w:val="000E3AAB"/>
    <w:rsid w:val="000E3AB6"/>
    <w:rsid w:val="000E4F03"/>
    <w:rsid w:val="000E5156"/>
    <w:rsid w:val="000E63E5"/>
    <w:rsid w:val="000F337C"/>
    <w:rsid w:val="0010212A"/>
    <w:rsid w:val="00107598"/>
    <w:rsid w:val="0011176F"/>
    <w:rsid w:val="00111FE6"/>
    <w:rsid w:val="001142D5"/>
    <w:rsid w:val="00117A6C"/>
    <w:rsid w:val="0012099F"/>
    <w:rsid w:val="0012193D"/>
    <w:rsid w:val="0012793D"/>
    <w:rsid w:val="00130A84"/>
    <w:rsid w:val="0013155F"/>
    <w:rsid w:val="0013413F"/>
    <w:rsid w:val="00135940"/>
    <w:rsid w:val="00141068"/>
    <w:rsid w:val="001413D9"/>
    <w:rsid w:val="001419BC"/>
    <w:rsid w:val="00141ED8"/>
    <w:rsid w:val="00143224"/>
    <w:rsid w:val="00145706"/>
    <w:rsid w:val="00150612"/>
    <w:rsid w:val="00150846"/>
    <w:rsid w:val="00150CE9"/>
    <w:rsid w:val="00154F10"/>
    <w:rsid w:val="00155179"/>
    <w:rsid w:val="00157105"/>
    <w:rsid w:val="00157375"/>
    <w:rsid w:val="00157AF3"/>
    <w:rsid w:val="001619A8"/>
    <w:rsid w:val="00163057"/>
    <w:rsid w:val="001728E3"/>
    <w:rsid w:val="00173FD1"/>
    <w:rsid w:val="00176BB9"/>
    <w:rsid w:val="00180981"/>
    <w:rsid w:val="0018380B"/>
    <w:rsid w:val="00183DB5"/>
    <w:rsid w:val="00183E2D"/>
    <w:rsid w:val="001843EE"/>
    <w:rsid w:val="00184BE3"/>
    <w:rsid w:val="0019175B"/>
    <w:rsid w:val="00192025"/>
    <w:rsid w:val="001945B6"/>
    <w:rsid w:val="00196075"/>
    <w:rsid w:val="001A1A71"/>
    <w:rsid w:val="001A2B4B"/>
    <w:rsid w:val="001A3292"/>
    <w:rsid w:val="001A4084"/>
    <w:rsid w:val="001A45BC"/>
    <w:rsid w:val="001A471E"/>
    <w:rsid w:val="001B13B6"/>
    <w:rsid w:val="001B2566"/>
    <w:rsid w:val="001B76F5"/>
    <w:rsid w:val="001C23BE"/>
    <w:rsid w:val="001C30CB"/>
    <w:rsid w:val="001C4619"/>
    <w:rsid w:val="001C474B"/>
    <w:rsid w:val="001C4FA8"/>
    <w:rsid w:val="001C551B"/>
    <w:rsid w:val="001D16A6"/>
    <w:rsid w:val="001D360A"/>
    <w:rsid w:val="001D5E5B"/>
    <w:rsid w:val="001D73F4"/>
    <w:rsid w:val="001D7F4B"/>
    <w:rsid w:val="001E0FCD"/>
    <w:rsid w:val="001E14B5"/>
    <w:rsid w:val="001E46B1"/>
    <w:rsid w:val="001F0BB0"/>
    <w:rsid w:val="001F119C"/>
    <w:rsid w:val="001F608D"/>
    <w:rsid w:val="00201DD4"/>
    <w:rsid w:val="002050D2"/>
    <w:rsid w:val="00205516"/>
    <w:rsid w:val="0020638F"/>
    <w:rsid w:val="002232B9"/>
    <w:rsid w:val="00230405"/>
    <w:rsid w:val="0023121C"/>
    <w:rsid w:val="0023197D"/>
    <w:rsid w:val="0023608F"/>
    <w:rsid w:val="00236403"/>
    <w:rsid w:val="002430F2"/>
    <w:rsid w:val="00245D55"/>
    <w:rsid w:val="00246940"/>
    <w:rsid w:val="002474A1"/>
    <w:rsid w:val="002503DF"/>
    <w:rsid w:val="002506CA"/>
    <w:rsid w:val="00250DCB"/>
    <w:rsid w:val="002515F1"/>
    <w:rsid w:val="0025183D"/>
    <w:rsid w:val="00251E41"/>
    <w:rsid w:val="00252F1C"/>
    <w:rsid w:val="002548C6"/>
    <w:rsid w:val="0025616D"/>
    <w:rsid w:val="00271134"/>
    <w:rsid w:val="00273BAA"/>
    <w:rsid w:val="00276738"/>
    <w:rsid w:val="00277453"/>
    <w:rsid w:val="0028746D"/>
    <w:rsid w:val="0028755E"/>
    <w:rsid w:val="0029047A"/>
    <w:rsid w:val="002918FC"/>
    <w:rsid w:val="0029664D"/>
    <w:rsid w:val="002A171B"/>
    <w:rsid w:val="002A26E0"/>
    <w:rsid w:val="002A3788"/>
    <w:rsid w:val="002A4756"/>
    <w:rsid w:val="002A7453"/>
    <w:rsid w:val="002B0B3A"/>
    <w:rsid w:val="002B2C3F"/>
    <w:rsid w:val="002B4E7F"/>
    <w:rsid w:val="002B6933"/>
    <w:rsid w:val="002B7C68"/>
    <w:rsid w:val="002C5293"/>
    <w:rsid w:val="002C5DC2"/>
    <w:rsid w:val="002C6293"/>
    <w:rsid w:val="002C6D08"/>
    <w:rsid w:val="002C6EAC"/>
    <w:rsid w:val="002D142A"/>
    <w:rsid w:val="002D1CDC"/>
    <w:rsid w:val="002D7DDE"/>
    <w:rsid w:val="002E0E9A"/>
    <w:rsid w:val="002E336C"/>
    <w:rsid w:val="002E5963"/>
    <w:rsid w:val="002E6441"/>
    <w:rsid w:val="002F2C15"/>
    <w:rsid w:val="002F370C"/>
    <w:rsid w:val="002F7915"/>
    <w:rsid w:val="00301CF6"/>
    <w:rsid w:val="003036FB"/>
    <w:rsid w:val="00305587"/>
    <w:rsid w:val="0031070C"/>
    <w:rsid w:val="0031073D"/>
    <w:rsid w:val="003209A9"/>
    <w:rsid w:val="003212A2"/>
    <w:rsid w:val="00322865"/>
    <w:rsid w:val="003231C9"/>
    <w:rsid w:val="00324E1C"/>
    <w:rsid w:val="0032620F"/>
    <w:rsid w:val="00326822"/>
    <w:rsid w:val="003276A4"/>
    <w:rsid w:val="003345C5"/>
    <w:rsid w:val="0033599D"/>
    <w:rsid w:val="003373C3"/>
    <w:rsid w:val="00337D8A"/>
    <w:rsid w:val="00347C63"/>
    <w:rsid w:val="003508A4"/>
    <w:rsid w:val="003512C7"/>
    <w:rsid w:val="00351D58"/>
    <w:rsid w:val="00355DF1"/>
    <w:rsid w:val="00362376"/>
    <w:rsid w:val="0036287B"/>
    <w:rsid w:val="00362CDE"/>
    <w:rsid w:val="0037177D"/>
    <w:rsid w:val="00372206"/>
    <w:rsid w:val="0037455E"/>
    <w:rsid w:val="00377896"/>
    <w:rsid w:val="00382260"/>
    <w:rsid w:val="003859D4"/>
    <w:rsid w:val="00390D85"/>
    <w:rsid w:val="003911AB"/>
    <w:rsid w:val="00391ABE"/>
    <w:rsid w:val="00392029"/>
    <w:rsid w:val="003921AD"/>
    <w:rsid w:val="00392344"/>
    <w:rsid w:val="003924C8"/>
    <w:rsid w:val="0039592E"/>
    <w:rsid w:val="003A0604"/>
    <w:rsid w:val="003A6917"/>
    <w:rsid w:val="003B1292"/>
    <w:rsid w:val="003B17A1"/>
    <w:rsid w:val="003B523E"/>
    <w:rsid w:val="003B7B62"/>
    <w:rsid w:val="003C4C58"/>
    <w:rsid w:val="003C549B"/>
    <w:rsid w:val="003D0577"/>
    <w:rsid w:val="003D182A"/>
    <w:rsid w:val="003D4962"/>
    <w:rsid w:val="003D4ABD"/>
    <w:rsid w:val="003D66C2"/>
    <w:rsid w:val="003E0E16"/>
    <w:rsid w:val="003E2B88"/>
    <w:rsid w:val="003E55E7"/>
    <w:rsid w:val="003F1542"/>
    <w:rsid w:val="003F42C9"/>
    <w:rsid w:val="003F73B3"/>
    <w:rsid w:val="004001E5"/>
    <w:rsid w:val="0040073E"/>
    <w:rsid w:val="00400C9A"/>
    <w:rsid w:val="00403964"/>
    <w:rsid w:val="0040654B"/>
    <w:rsid w:val="00407721"/>
    <w:rsid w:val="00410BCA"/>
    <w:rsid w:val="004111D2"/>
    <w:rsid w:val="00415C5A"/>
    <w:rsid w:val="00420DF3"/>
    <w:rsid w:val="00422BDE"/>
    <w:rsid w:val="00425CA4"/>
    <w:rsid w:val="0042670C"/>
    <w:rsid w:val="00427CED"/>
    <w:rsid w:val="00431CFB"/>
    <w:rsid w:val="00432A7A"/>
    <w:rsid w:val="00432D13"/>
    <w:rsid w:val="004346B1"/>
    <w:rsid w:val="004366DF"/>
    <w:rsid w:val="00437047"/>
    <w:rsid w:val="004413EE"/>
    <w:rsid w:val="004425AD"/>
    <w:rsid w:val="00444D82"/>
    <w:rsid w:val="0045301B"/>
    <w:rsid w:val="004547D3"/>
    <w:rsid w:val="00456653"/>
    <w:rsid w:val="00456A96"/>
    <w:rsid w:val="00461DE7"/>
    <w:rsid w:val="00471BD6"/>
    <w:rsid w:val="00475234"/>
    <w:rsid w:val="004770D9"/>
    <w:rsid w:val="004779BD"/>
    <w:rsid w:val="00477CDF"/>
    <w:rsid w:val="00480485"/>
    <w:rsid w:val="00480ED7"/>
    <w:rsid w:val="0048334D"/>
    <w:rsid w:val="00484EB6"/>
    <w:rsid w:val="0048736E"/>
    <w:rsid w:val="00487710"/>
    <w:rsid w:val="0049078F"/>
    <w:rsid w:val="004922D5"/>
    <w:rsid w:val="00495856"/>
    <w:rsid w:val="00497D48"/>
    <w:rsid w:val="004A1DD4"/>
    <w:rsid w:val="004A3966"/>
    <w:rsid w:val="004B21F9"/>
    <w:rsid w:val="004B738B"/>
    <w:rsid w:val="004C6F48"/>
    <w:rsid w:val="004C7381"/>
    <w:rsid w:val="004C77F0"/>
    <w:rsid w:val="004D0442"/>
    <w:rsid w:val="004D08A0"/>
    <w:rsid w:val="004D32B1"/>
    <w:rsid w:val="004D32C7"/>
    <w:rsid w:val="004D3E18"/>
    <w:rsid w:val="004D5C65"/>
    <w:rsid w:val="004D711D"/>
    <w:rsid w:val="004E5709"/>
    <w:rsid w:val="004F48DE"/>
    <w:rsid w:val="004F7AD6"/>
    <w:rsid w:val="00504787"/>
    <w:rsid w:val="00506F81"/>
    <w:rsid w:val="005079F2"/>
    <w:rsid w:val="0051067D"/>
    <w:rsid w:val="00513F68"/>
    <w:rsid w:val="00515E42"/>
    <w:rsid w:val="00527993"/>
    <w:rsid w:val="00527D92"/>
    <w:rsid w:val="005306A3"/>
    <w:rsid w:val="005307BD"/>
    <w:rsid w:val="00530DA5"/>
    <w:rsid w:val="00532C23"/>
    <w:rsid w:val="005345A6"/>
    <w:rsid w:val="00534C13"/>
    <w:rsid w:val="00541A7E"/>
    <w:rsid w:val="005428EB"/>
    <w:rsid w:val="005432B2"/>
    <w:rsid w:val="005446A3"/>
    <w:rsid w:val="00551B0A"/>
    <w:rsid w:val="0055310B"/>
    <w:rsid w:val="005537DE"/>
    <w:rsid w:val="005545DD"/>
    <w:rsid w:val="005563A1"/>
    <w:rsid w:val="00557515"/>
    <w:rsid w:val="005611C9"/>
    <w:rsid w:val="00562156"/>
    <w:rsid w:val="005624EB"/>
    <w:rsid w:val="00564BAB"/>
    <w:rsid w:val="005653E4"/>
    <w:rsid w:val="005665D4"/>
    <w:rsid w:val="005677BA"/>
    <w:rsid w:val="00585630"/>
    <w:rsid w:val="0059062F"/>
    <w:rsid w:val="005923C5"/>
    <w:rsid w:val="00594CF2"/>
    <w:rsid w:val="005A10AB"/>
    <w:rsid w:val="005A1999"/>
    <w:rsid w:val="005A3DAB"/>
    <w:rsid w:val="005A3DB6"/>
    <w:rsid w:val="005A5553"/>
    <w:rsid w:val="005A749F"/>
    <w:rsid w:val="005B0D70"/>
    <w:rsid w:val="005C1D53"/>
    <w:rsid w:val="005C294E"/>
    <w:rsid w:val="005C3361"/>
    <w:rsid w:val="005C3486"/>
    <w:rsid w:val="005C3A9B"/>
    <w:rsid w:val="005D3156"/>
    <w:rsid w:val="005D6763"/>
    <w:rsid w:val="005E2A47"/>
    <w:rsid w:val="005E5D21"/>
    <w:rsid w:val="005F114B"/>
    <w:rsid w:val="005F1B15"/>
    <w:rsid w:val="005F2F4B"/>
    <w:rsid w:val="00600529"/>
    <w:rsid w:val="00601BF4"/>
    <w:rsid w:val="00602AF8"/>
    <w:rsid w:val="0060452D"/>
    <w:rsid w:val="00604AAA"/>
    <w:rsid w:val="00605C74"/>
    <w:rsid w:val="0060689A"/>
    <w:rsid w:val="00610FDF"/>
    <w:rsid w:val="00613471"/>
    <w:rsid w:val="00617CEB"/>
    <w:rsid w:val="0062592D"/>
    <w:rsid w:val="00627269"/>
    <w:rsid w:val="00630048"/>
    <w:rsid w:val="006302CA"/>
    <w:rsid w:val="0063045D"/>
    <w:rsid w:val="00632865"/>
    <w:rsid w:val="00633287"/>
    <w:rsid w:val="006334B8"/>
    <w:rsid w:val="00634E34"/>
    <w:rsid w:val="0063644F"/>
    <w:rsid w:val="00636EF4"/>
    <w:rsid w:val="006372E3"/>
    <w:rsid w:val="00647AA2"/>
    <w:rsid w:val="00654D36"/>
    <w:rsid w:val="00655715"/>
    <w:rsid w:val="00662156"/>
    <w:rsid w:val="00663138"/>
    <w:rsid w:val="00665FB0"/>
    <w:rsid w:val="006668EC"/>
    <w:rsid w:val="006677CD"/>
    <w:rsid w:val="006702A8"/>
    <w:rsid w:val="00674836"/>
    <w:rsid w:val="0067663F"/>
    <w:rsid w:val="00683707"/>
    <w:rsid w:val="00683FA3"/>
    <w:rsid w:val="00690940"/>
    <w:rsid w:val="00694780"/>
    <w:rsid w:val="00695CA1"/>
    <w:rsid w:val="00696612"/>
    <w:rsid w:val="00697575"/>
    <w:rsid w:val="006A0617"/>
    <w:rsid w:val="006B2665"/>
    <w:rsid w:val="006B2904"/>
    <w:rsid w:val="006B5DE6"/>
    <w:rsid w:val="006C55C5"/>
    <w:rsid w:val="006C5AAF"/>
    <w:rsid w:val="006C73AE"/>
    <w:rsid w:val="006C7F61"/>
    <w:rsid w:val="006D1C30"/>
    <w:rsid w:val="006D3FF3"/>
    <w:rsid w:val="006D4894"/>
    <w:rsid w:val="006D50F9"/>
    <w:rsid w:val="006D5614"/>
    <w:rsid w:val="006D6A37"/>
    <w:rsid w:val="006E225B"/>
    <w:rsid w:val="006E7EBF"/>
    <w:rsid w:val="006F1322"/>
    <w:rsid w:val="006F659A"/>
    <w:rsid w:val="006F754A"/>
    <w:rsid w:val="007012BA"/>
    <w:rsid w:val="007018B3"/>
    <w:rsid w:val="00703B6F"/>
    <w:rsid w:val="00706C21"/>
    <w:rsid w:val="00710300"/>
    <w:rsid w:val="00712D4A"/>
    <w:rsid w:val="00713B24"/>
    <w:rsid w:val="007141F3"/>
    <w:rsid w:val="00716600"/>
    <w:rsid w:val="007170D6"/>
    <w:rsid w:val="00717462"/>
    <w:rsid w:val="00717816"/>
    <w:rsid w:val="00721246"/>
    <w:rsid w:val="007260F1"/>
    <w:rsid w:val="00730347"/>
    <w:rsid w:val="00733AA6"/>
    <w:rsid w:val="0073408A"/>
    <w:rsid w:val="007345F0"/>
    <w:rsid w:val="00735DA4"/>
    <w:rsid w:val="0073664F"/>
    <w:rsid w:val="0074173A"/>
    <w:rsid w:val="00742C9F"/>
    <w:rsid w:val="00750B3C"/>
    <w:rsid w:val="00752711"/>
    <w:rsid w:val="00760175"/>
    <w:rsid w:val="007609B6"/>
    <w:rsid w:val="007615DC"/>
    <w:rsid w:val="00764479"/>
    <w:rsid w:val="00764B04"/>
    <w:rsid w:val="0077019F"/>
    <w:rsid w:val="00774A64"/>
    <w:rsid w:val="007753A4"/>
    <w:rsid w:val="007847A4"/>
    <w:rsid w:val="007848D2"/>
    <w:rsid w:val="0078515D"/>
    <w:rsid w:val="00786199"/>
    <w:rsid w:val="00791ABB"/>
    <w:rsid w:val="00792436"/>
    <w:rsid w:val="007927FC"/>
    <w:rsid w:val="00793F89"/>
    <w:rsid w:val="007A3323"/>
    <w:rsid w:val="007A7429"/>
    <w:rsid w:val="007B45C6"/>
    <w:rsid w:val="007C3B59"/>
    <w:rsid w:val="007C5176"/>
    <w:rsid w:val="007C552E"/>
    <w:rsid w:val="007D0A4D"/>
    <w:rsid w:val="007D0A67"/>
    <w:rsid w:val="007D160B"/>
    <w:rsid w:val="007D527C"/>
    <w:rsid w:val="007D5A8E"/>
    <w:rsid w:val="007D72C5"/>
    <w:rsid w:val="007D7507"/>
    <w:rsid w:val="007E271E"/>
    <w:rsid w:val="007E28A0"/>
    <w:rsid w:val="007E2B3E"/>
    <w:rsid w:val="007E48CA"/>
    <w:rsid w:val="007F3BB0"/>
    <w:rsid w:val="007F44AC"/>
    <w:rsid w:val="007F468D"/>
    <w:rsid w:val="007F510B"/>
    <w:rsid w:val="007F676F"/>
    <w:rsid w:val="007F737B"/>
    <w:rsid w:val="00806FA4"/>
    <w:rsid w:val="00807D26"/>
    <w:rsid w:val="00811A72"/>
    <w:rsid w:val="008121B3"/>
    <w:rsid w:val="00812EF4"/>
    <w:rsid w:val="008220E5"/>
    <w:rsid w:val="00822B61"/>
    <w:rsid w:val="008253B4"/>
    <w:rsid w:val="00827738"/>
    <w:rsid w:val="00827AA2"/>
    <w:rsid w:val="00830A97"/>
    <w:rsid w:val="008315CB"/>
    <w:rsid w:val="00832DAD"/>
    <w:rsid w:val="008348D9"/>
    <w:rsid w:val="00836D3C"/>
    <w:rsid w:val="00846C00"/>
    <w:rsid w:val="00851D7F"/>
    <w:rsid w:val="00852D74"/>
    <w:rsid w:val="00856C9A"/>
    <w:rsid w:val="0085773E"/>
    <w:rsid w:val="00857F82"/>
    <w:rsid w:val="0086102E"/>
    <w:rsid w:val="00861510"/>
    <w:rsid w:val="00861E7F"/>
    <w:rsid w:val="00862A45"/>
    <w:rsid w:val="00863204"/>
    <w:rsid w:val="00867C70"/>
    <w:rsid w:val="00875C50"/>
    <w:rsid w:val="00882DAD"/>
    <w:rsid w:val="00884AAA"/>
    <w:rsid w:val="00887C85"/>
    <w:rsid w:val="008907A3"/>
    <w:rsid w:val="008914F4"/>
    <w:rsid w:val="00893D52"/>
    <w:rsid w:val="0089409B"/>
    <w:rsid w:val="00894FD9"/>
    <w:rsid w:val="008954FD"/>
    <w:rsid w:val="008A5DAA"/>
    <w:rsid w:val="008B2BEF"/>
    <w:rsid w:val="008B47FC"/>
    <w:rsid w:val="008B62CA"/>
    <w:rsid w:val="008B6789"/>
    <w:rsid w:val="008B68D4"/>
    <w:rsid w:val="008B70CF"/>
    <w:rsid w:val="008B75A6"/>
    <w:rsid w:val="008B775A"/>
    <w:rsid w:val="008B7F3D"/>
    <w:rsid w:val="008C1E25"/>
    <w:rsid w:val="008C2669"/>
    <w:rsid w:val="008C4FBD"/>
    <w:rsid w:val="008C605B"/>
    <w:rsid w:val="008D29FD"/>
    <w:rsid w:val="008D44B2"/>
    <w:rsid w:val="008D63F8"/>
    <w:rsid w:val="008D7169"/>
    <w:rsid w:val="008D75AF"/>
    <w:rsid w:val="008E12A5"/>
    <w:rsid w:val="008E571E"/>
    <w:rsid w:val="008F000E"/>
    <w:rsid w:val="008F01B4"/>
    <w:rsid w:val="008F08C9"/>
    <w:rsid w:val="008F348E"/>
    <w:rsid w:val="008F4AA0"/>
    <w:rsid w:val="008F58BD"/>
    <w:rsid w:val="0090281F"/>
    <w:rsid w:val="00902D44"/>
    <w:rsid w:val="009034F6"/>
    <w:rsid w:val="00903D8F"/>
    <w:rsid w:val="0090545C"/>
    <w:rsid w:val="00914786"/>
    <w:rsid w:val="00914B33"/>
    <w:rsid w:val="009243D1"/>
    <w:rsid w:val="009262DC"/>
    <w:rsid w:val="009300DF"/>
    <w:rsid w:val="00930C9F"/>
    <w:rsid w:val="009331D1"/>
    <w:rsid w:val="00933A31"/>
    <w:rsid w:val="0093679C"/>
    <w:rsid w:val="00936DD7"/>
    <w:rsid w:val="00937586"/>
    <w:rsid w:val="00943799"/>
    <w:rsid w:val="009455A5"/>
    <w:rsid w:val="00945C10"/>
    <w:rsid w:val="00951D5C"/>
    <w:rsid w:val="00952CB2"/>
    <w:rsid w:val="00957E76"/>
    <w:rsid w:val="00961A49"/>
    <w:rsid w:val="009642D0"/>
    <w:rsid w:val="009644E1"/>
    <w:rsid w:val="00964956"/>
    <w:rsid w:val="00974BDF"/>
    <w:rsid w:val="009816CB"/>
    <w:rsid w:val="00981AF6"/>
    <w:rsid w:val="00987C1E"/>
    <w:rsid w:val="00990756"/>
    <w:rsid w:val="00990CF1"/>
    <w:rsid w:val="009925BC"/>
    <w:rsid w:val="009947D5"/>
    <w:rsid w:val="009977E3"/>
    <w:rsid w:val="00997A01"/>
    <w:rsid w:val="009A2EE1"/>
    <w:rsid w:val="009A511A"/>
    <w:rsid w:val="009B4375"/>
    <w:rsid w:val="009B6BF1"/>
    <w:rsid w:val="009C245E"/>
    <w:rsid w:val="009C3FF9"/>
    <w:rsid w:val="009C689B"/>
    <w:rsid w:val="009D0CB0"/>
    <w:rsid w:val="009D3202"/>
    <w:rsid w:val="009D34CB"/>
    <w:rsid w:val="009D3AE5"/>
    <w:rsid w:val="009D4EB6"/>
    <w:rsid w:val="009D65EE"/>
    <w:rsid w:val="009E3A5E"/>
    <w:rsid w:val="009F32C2"/>
    <w:rsid w:val="009F6548"/>
    <w:rsid w:val="009F6A4F"/>
    <w:rsid w:val="009F6C6F"/>
    <w:rsid w:val="00A014E5"/>
    <w:rsid w:val="00A032B9"/>
    <w:rsid w:val="00A0437B"/>
    <w:rsid w:val="00A11517"/>
    <w:rsid w:val="00A11FA6"/>
    <w:rsid w:val="00A13DAD"/>
    <w:rsid w:val="00A16108"/>
    <w:rsid w:val="00A165FB"/>
    <w:rsid w:val="00A174C0"/>
    <w:rsid w:val="00A17F1C"/>
    <w:rsid w:val="00A23BDE"/>
    <w:rsid w:val="00A276F1"/>
    <w:rsid w:val="00A30410"/>
    <w:rsid w:val="00A3151D"/>
    <w:rsid w:val="00A318EB"/>
    <w:rsid w:val="00A31A70"/>
    <w:rsid w:val="00A3593B"/>
    <w:rsid w:val="00A371EE"/>
    <w:rsid w:val="00A3744D"/>
    <w:rsid w:val="00A429F8"/>
    <w:rsid w:val="00A44857"/>
    <w:rsid w:val="00A45A49"/>
    <w:rsid w:val="00A5288E"/>
    <w:rsid w:val="00A52962"/>
    <w:rsid w:val="00A53977"/>
    <w:rsid w:val="00A562BC"/>
    <w:rsid w:val="00A562CC"/>
    <w:rsid w:val="00A62E00"/>
    <w:rsid w:val="00A70B01"/>
    <w:rsid w:val="00A714F8"/>
    <w:rsid w:val="00A74731"/>
    <w:rsid w:val="00A80100"/>
    <w:rsid w:val="00A81A79"/>
    <w:rsid w:val="00A830FA"/>
    <w:rsid w:val="00A86CB4"/>
    <w:rsid w:val="00A86ED1"/>
    <w:rsid w:val="00A876F4"/>
    <w:rsid w:val="00A921B9"/>
    <w:rsid w:val="00A97BB2"/>
    <w:rsid w:val="00AA238C"/>
    <w:rsid w:val="00AA3792"/>
    <w:rsid w:val="00AA4634"/>
    <w:rsid w:val="00AA70F6"/>
    <w:rsid w:val="00AA7C3E"/>
    <w:rsid w:val="00AB188E"/>
    <w:rsid w:val="00AB266C"/>
    <w:rsid w:val="00AB268F"/>
    <w:rsid w:val="00AC449F"/>
    <w:rsid w:val="00AC4AA4"/>
    <w:rsid w:val="00AD2149"/>
    <w:rsid w:val="00AD552D"/>
    <w:rsid w:val="00AF10B2"/>
    <w:rsid w:val="00AF274C"/>
    <w:rsid w:val="00AF7149"/>
    <w:rsid w:val="00AF7DB6"/>
    <w:rsid w:val="00B00203"/>
    <w:rsid w:val="00B037CF"/>
    <w:rsid w:val="00B03A21"/>
    <w:rsid w:val="00B12150"/>
    <w:rsid w:val="00B137F7"/>
    <w:rsid w:val="00B153AB"/>
    <w:rsid w:val="00B163B9"/>
    <w:rsid w:val="00B1715C"/>
    <w:rsid w:val="00B17714"/>
    <w:rsid w:val="00B213EA"/>
    <w:rsid w:val="00B271A0"/>
    <w:rsid w:val="00B32100"/>
    <w:rsid w:val="00B33C79"/>
    <w:rsid w:val="00B34D5E"/>
    <w:rsid w:val="00B37DF5"/>
    <w:rsid w:val="00B4141D"/>
    <w:rsid w:val="00B43E7F"/>
    <w:rsid w:val="00B45E8F"/>
    <w:rsid w:val="00B471CA"/>
    <w:rsid w:val="00B504B8"/>
    <w:rsid w:val="00B504E2"/>
    <w:rsid w:val="00B515B3"/>
    <w:rsid w:val="00B5192D"/>
    <w:rsid w:val="00B60F32"/>
    <w:rsid w:val="00B617C7"/>
    <w:rsid w:val="00B63A95"/>
    <w:rsid w:val="00B64029"/>
    <w:rsid w:val="00B658C9"/>
    <w:rsid w:val="00B71B45"/>
    <w:rsid w:val="00B748DF"/>
    <w:rsid w:val="00B75101"/>
    <w:rsid w:val="00B77E1F"/>
    <w:rsid w:val="00B81182"/>
    <w:rsid w:val="00B83D10"/>
    <w:rsid w:val="00B83E0C"/>
    <w:rsid w:val="00B85D2F"/>
    <w:rsid w:val="00B87C67"/>
    <w:rsid w:val="00B87CBD"/>
    <w:rsid w:val="00BA0511"/>
    <w:rsid w:val="00BA6DB4"/>
    <w:rsid w:val="00BB15A2"/>
    <w:rsid w:val="00BB180E"/>
    <w:rsid w:val="00BB1E5C"/>
    <w:rsid w:val="00BB22EE"/>
    <w:rsid w:val="00BB2DDC"/>
    <w:rsid w:val="00BB2E45"/>
    <w:rsid w:val="00BB3FF5"/>
    <w:rsid w:val="00BB52A3"/>
    <w:rsid w:val="00BB70E1"/>
    <w:rsid w:val="00BC0AA3"/>
    <w:rsid w:val="00BC361C"/>
    <w:rsid w:val="00BD06C1"/>
    <w:rsid w:val="00BD3AE9"/>
    <w:rsid w:val="00BD7983"/>
    <w:rsid w:val="00BE308C"/>
    <w:rsid w:val="00BE58E5"/>
    <w:rsid w:val="00BF06F9"/>
    <w:rsid w:val="00BF252A"/>
    <w:rsid w:val="00C04519"/>
    <w:rsid w:val="00C10533"/>
    <w:rsid w:val="00C15643"/>
    <w:rsid w:val="00C22249"/>
    <w:rsid w:val="00C23CA4"/>
    <w:rsid w:val="00C23FDB"/>
    <w:rsid w:val="00C267BC"/>
    <w:rsid w:val="00C27CDB"/>
    <w:rsid w:val="00C30C72"/>
    <w:rsid w:val="00C31FA7"/>
    <w:rsid w:val="00C32737"/>
    <w:rsid w:val="00C34626"/>
    <w:rsid w:val="00C353C9"/>
    <w:rsid w:val="00C361A7"/>
    <w:rsid w:val="00C42A92"/>
    <w:rsid w:val="00C4301D"/>
    <w:rsid w:val="00C438A3"/>
    <w:rsid w:val="00C47A44"/>
    <w:rsid w:val="00C47FA0"/>
    <w:rsid w:val="00C51575"/>
    <w:rsid w:val="00C608A0"/>
    <w:rsid w:val="00C62739"/>
    <w:rsid w:val="00C63956"/>
    <w:rsid w:val="00C63C41"/>
    <w:rsid w:val="00C72B49"/>
    <w:rsid w:val="00C73863"/>
    <w:rsid w:val="00C741A8"/>
    <w:rsid w:val="00C74894"/>
    <w:rsid w:val="00C8186E"/>
    <w:rsid w:val="00C818DA"/>
    <w:rsid w:val="00C81E10"/>
    <w:rsid w:val="00C833E5"/>
    <w:rsid w:val="00C85991"/>
    <w:rsid w:val="00C85E53"/>
    <w:rsid w:val="00C86DEB"/>
    <w:rsid w:val="00C957AE"/>
    <w:rsid w:val="00CA370A"/>
    <w:rsid w:val="00CA3902"/>
    <w:rsid w:val="00CA6586"/>
    <w:rsid w:val="00CB08CD"/>
    <w:rsid w:val="00CB0B15"/>
    <w:rsid w:val="00CB25A2"/>
    <w:rsid w:val="00CB3202"/>
    <w:rsid w:val="00CB3D79"/>
    <w:rsid w:val="00CB5D61"/>
    <w:rsid w:val="00CB5ED8"/>
    <w:rsid w:val="00CC2BF4"/>
    <w:rsid w:val="00CD3E4F"/>
    <w:rsid w:val="00CD4629"/>
    <w:rsid w:val="00CD501B"/>
    <w:rsid w:val="00CD6734"/>
    <w:rsid w:val="00CD7958"/>
    <w:rsid w:val="00CE0750"/>
    <w:rsid w:val="00CE5A78"/>
    <w:rsid w:val="00CE5C20"/>
    <w:rsid w:val="00CE5C72"/>
    <w:rsid w:val="00CE6A08"/>
    <w:rsid w:val="00CE6DB9"/>
    <w:rsid w:val="00CE6FC2"/>
    <w:rsid w:val="00CE712B"/>
    <w:rsid w:val="00CE7E05"/>
    <w:rsid w:val="00CF0E65"/>
    <w:rsid w:val="00CF7FD1"/>
    <w:rsid w:val="00D00A23"/>
    <w:rsid w:val="00D00B6D"/>
    <w:rsid w:val="00D01E4B"/>
    <w:rsid w:val="00D04993"/>
    <w:rsid w:val="00D0501A"/>
    <w:rsid w:val="00D06C1D"/>
    <w:rsid w:val="00D13C76"/>
    <w:rsid w:val="00D155B5"/>
    <w:rsid w:val="00D15D63"/>
    <w:rsid w:val="00D1757C"/>
    <w:rsid w:val="00D17597"/>
    <w:rsid w:val="00D179BF"/>
    <w:rsid w:val="00D20671"/>
    <w:rsid w:val="00D27BF3"/>
    <w:rsid w:val="00D40134"/>
    <w:rsid w:val="00D46E12"/>
    <w:rsid w:val="00D47A90"/>
    <w:rsid w:val="00D50ABE"/>
    <w:rsid w:val="00D52180"/>
    <w:rsid w:val="00D60AF4"/>
    <w:rsid w:val="00D6391E"/>
    <w:rsid w:val="00D66992"/>
    <w:rsid w:val="00D70DB0"/>
    <w:rsid w:val="00D75557"/>
    <w:rsid w:val="00D755B2"/>
    <w:rsid w:val="00D7737C"/>
    <w:rsid w:val="00D807CB"/>
    <w:rsid w:val="00D80B71"/>
    <w:rsid w:val="00D81954"/>
    <w:rsid w:val="00D835CD"/>
    <w:rsid w:val="00D92674"/>
    <w:rsid w:val="00D9420E"/>
    <w:rsid w:val="00D95371"/>
    <w:rsid w:val="00D9728F"/>
    <w:rsid w:val="00DA2423"/>
    <w:rsid w:val="00DA2B99"/>
    <w:rsid w:val="00DA2C37"/>
    <w:rsid w:val="00DA5532"/>
    <w:rsid w:val="00DA5DED"/>
    <w:rsid w:val="00DA61A0"/>
    <w:rsid w:val="00DA6353"/>
    <w:rsid w:val="00DA6E90"/>
    <w:rsid w:val="00DB3822"/>
    <w:rsid w:val="00DB6435"/>
    <w:rsid w:val="00DB6A2E"/>
    <w:rsid w:val="00DB74FE"/>
    <w:rsid w:val="00DB76F4"/>
    <w:rsid w:val="00DC18E7"/>
    <w:rsid w:val="00DC1A0F"/>
    <w:rsid w:val="00DC60CE"/>
    <w:rsid w:val="00DC7A1F"/>
    <w:rsid w:val="00DD0B70"/>
    <w:rsid w:val="00DE03D6"/>
    <w:rsid w:val="00DE12C8"/>
    <w:rsid w:val="00DE5FD7"/>
    <w:rsid w:val="00DE6858"/>
    <w:rsid w:val="00DE73BB"/>
    <w:rsid w:val="00DF1B6A"/>
    <w:rsid w:val="00DF1E88"/>
    <w:rsid w:val="00DF27DE"/>
    <w:rsid w:val="00DF4EB7"/>
    <w:rsid w:val="00DF50EE"/>
    <w:rsid w:val="00DF65C9"/>
    <w:rsid w:val="00DF6B1A"/>
    <w:rsid w:val="00DF72F3"/>
    <w:rsid w:val="00E00CC2"/>
    <w:rsid w:val="00E00E47"/>
    <w:rsid w:val="00E014FE"/>
    <w:rsid w:val="00E03368"/>
    <w:rsid w:val="00E04475"/>
    <w:rsid w:val="00E06457"/>
    <w:rsid w:val="00E06E31"/>
    <w:rsid w:val="00E11193"/>
    <w:rsid w:val="00E11AB7"/>
    <w:rsid w:val="00E122D2"/>
    <w:rsid w:val="00E12B35"/>
    <w:rsid w:val="00E15B2F"/>
    <w:rsid w:val="00E2149D"/>
    <w:rsid w:val="00E22B02"/>
    <w:rsid w:val="00E35C64"/>
    <w:rsid w:val="00E445B2"/>
    <w:rsid w:val="00E52DE2"/>
    <w:rsid w:val="00E536F8"/>
    <w:rsid w:val="00E53998"/>
    <w:rsid w:val="00E53B5B"/>
    <w:rsid w:val="00E55D17"/>
    <w:rsid w:val="00E56200"/>
    <w:rsid w:val="00E60186"/>
    <w:rsid w:val="00E641C4"/>
    <w:rsid w:val="00E66400"/>
    <w:rsid w:val="00E67B5D"/>
    <w:rsid w:val="00E70A11"/>
    <w:rsid w:val="00E726CE"/>
    <w:rsid w:val="00E730E4"/>
    <w:rsid w:val="00E73380"/>
    <w:rsid w:val="00E7446F"/>
    <w:rsid w:val="00E74AD5"/>
    <w:rsid w:val="00E75258"/>
    <w:rsid w:val="00E75803"/>
    <w:rsid w:val="00E76671"/>
    <w:rsid w:val="00E80940"/>
    <w:rsid w:val="00E80AF9"/>
    <w:rsid w:val="00E80D08"/>
    <w:rsid w:val="00E81E3B"/>
    <w:rsid w:val="00E824ED"/>
    <w:rsid w:val="00E859F2"/>
    <w:rsid w:val="00E85CAB"/>
    <w:rsid w:val="00E9120E"/>
    <w:rsid w:val="00E91283"/>
    <w:rsid w:val="00E923E1"/>
    <w:rsid w:val="00E92A76"/>
    <w:rsid w:val="00E94082"/>
    <w:rsid w:val="00E96E96"/>
    <w:rsid w:val="00EA2896"/>
    <w:rsid w:val="00EA43C3"/>
    <w:rsid w:val="00EA4658"/>
    <w:rsid w:val="00EA683F"/>
    <w:rsid w:val="00EB2A52"/>
    <w:rsid w:val="00EB2CAB"/>
    <w:rsid w:val="00EB3281"/>
    <w:rsid w:val="00EB3A63"/>
    <w:rsid w:val="00EB4356"/>
    <w:rsid w:val="00EB4888"/>
    <w:rsid w:val="00EB5B5D"/>
    <w:rsid w:val="00EB5F11"/>
    <w:rsid w:val="00EB7F70"/>
    <w:rsid w:val="00EC0B2D"/>
    <w:rsid w:val="00EC55AF"/>
    <w:rsid w:val="00EC5DFA"/>
    <w:rsid w:val="00ED09B0"/>
    <w:rsid w:val="00ED3162"/>
    <w:rsid w:val="00ED3BED"/>
    <w:rsid w:val="00ED4AF3"/>
    <w:rsid w:val="00ED4FDF"/>
    <w:rsid w:val="00EE0D55"/>
    <w:rsid w:val="00EE5E7A"/>
    <w:rsid w:val="00EE67E5"/>
    <w:rsid w:val="00EE6889"/>
    <w:rsid w:val="00EF14CC"/>
    <w:rsid w:val="00EF15C8"/>
    <w:rsid w:val="00EF47AA"/>
    <w:rsid w:val="00EF49B0"/>
    <w:rsid w:val="00EF67B3"/>
    <w:rsid w:val="00EF76EA"/>
    <w:rsid w:val="00F023F3"/>
    <w:rsid w:val="00F028CD"/>
    <w:rsid w:val="00F04BC6"/>
    <w:rsid w:val="00F11B75"/>
    <w:rsid w:val="00F127AE"/>
    <w:rsid w:val="00F206C8"/>
    <w:rsid w:val="00F23D2D"/>
    <w:rsid w:val="00F27875"/>
    <w:rsid w:val="00F30023"/>
    <w:rsid w:val="00F32D75"/>
    <w:rsid w:val="00F331EF"/>
    <w:rsid w:val="00F34EE0"/>
    <w:rsid w:val="00F40CF7"/>
    <w:rsid w:val="00F410F0"/>
    <w:rsid w:val="00F41850"/>
    <w:rsid w:val="00F432CD"/>
    <w:rsid w:val="00F4338E"/>
    <w:rsid w:val="00F449BF"/>
    <w:rsid w:val="00F467EF"/>
    <w:rsid w:val="00F548E8"/>
    <w:rsid w:val="00F5529B"/>
    <w:rsid w:val="00F60CAE"/>
    <w:rsid w:val="00F63356"/>
    <w:rsid w:val="00F67FFE"/>
    <w:rsid w:val="00F7059B"/>
    <w:rsid w:val="00F70AC9"/>
    <w:rsid w:val="00F71743"/>
    <w:rsid w:val="00F728F0"/>
    <w:rsid w:val="00F730F1"/>
    <w:rsid w:val="00F751D2"/>
    <w:rsid w:val="00F75F85"/>
    <w:rsid w:val="00F77027"/>
    <w:rsid w:val="00F8460D"/>
    <w:rsid w:val="00F85036"/>
    <w:rsid w:val="00F860ED"/>
    <w:rsid w:val="00F87BA5"/>
    <w:rsid w:val="00F91C37"/>
    <w:rsid w:val="00F91E8C"/>
    <w:rsid w:val="00F9490C"/>
    <w:rsid w:val="00F95F87"/>
    <w:rsid w:val="00FA1CE4"/>
    <w:rsid w:val="00FA5DE6"/>
    <w:rsid w:val="00FA629C"/>
    <w:rsid w:val="00FB03DC"/>
    <w:rsid w:val="00FB0756"/>
    <w:rsid w:val="00FB367D"/>
    <w:rsid w:val="00FB7C57"/>
    <w:rsid w:val="00FC01BF"/>
    <w:rsid w:val="00FC2717"/>
    <w:rsid w:val="00FC3834"/>
    <w:rsid w:val="00FC410F"/>
    <w:rsid w:val="00FC46E5"/>
    <w:rsid w:val="00FD10C7"/>
    <w:rsid w:val="00FD2311"/>
    <w:rsid w:val="00FD296B"/>
    <w:rsid w:val="00FD367D"/>
    <w:rsid w:val="00FD480E"/>
    <w:rsid w:val="00FD492A"/>
    <w:rsid w:val="00FD60CB"/>
    <w:rsid w:val="00FD7004"/>
    <w:rsid w:val="00FE3301"/>
    <w:rsid w:val="00FE3B62"/>
    <w:rsid w:val="00FE43B0"/>
    <w:rsid w:val="00FE5C6D"/>
    <w:rsid w:val="00FE7D33"/>
    <w:rsid w:val="00FF0200"/>
    <w:rsid w:val="0A4ED258"/>
    <w:rsid w:val="0CF40B46"/>
    <w:rsid w:val="1780DA72"/>
    <w:rsid w:val="2C3B9730"/>
    <w:rsid w:val="30EDF5BF"/>
    <w:rsid w:val="42D06460"/>
    <w:rsid w:val="48D58AB6"/>
    <w:rsid w:val="4C56DC65"/>
    <w:rsid w:val="6288B4B2"/>
    <w:rsid w:val="6B04E396"/>
    <w:rsid w:val="7357DC66"/>
    <w:rsid w:val="749EC557"/>
    <w:rsid w:val="772F31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23A62"/>
  <w15:docId w15:val="{9E2EBD24-C5E9-449F-8898-A13E7BA3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1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019F"/>
    <w:pPr>
      <w:keepNext/>
      <w:outlineLvl w:val="0"/>
    </w:pPr>
    <w:rPr>
      <w:b/>
      <w:u w:val="single"/>
    </w:rPr>
  </w:style>
  <w:style w:type="paragraph" w:styleId="Heading2">
    <w:name w:val="heading 2"/>
    <w:basedOn w:val="Normal"/>
    <w:next w:val="Normal"/>
    <w:link w:val="Heading2Char"/>
    <w:qFormat/>
    <w:rsid w:val="0077019F"/>
    <w:pPr>
      <w:keepNext/>
      <w:outlineLvl w:val="1"/>
    </w:pPr>
    <w:rPr>
      <w:rFonts w:ascii="Roman 10cpi" w:hAnsi="Roman 10cp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19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019F"/>
    <w:rPr>
      <w:rFonts w:ascii="Roman 10cpi" w:eastAsia="Times New Roman" w:hAnsi="Roman 10cpi" w:cs="Times New Roman"/>
      <w:b/>
      <w:szCs w:val="20"/>
      <w:u w:val="single"/>
    </w:rPr>
  </w:style>
  <w:style w:type="paragraph" w:styleId="Title">
    <w:name w:val="Title"/>
    <w:basedOn w:val="Normal"/>
    <w:link w:val="TitleChar"/>
    <w:qFormat/>
    <w:rsid w:val="0077019F"/>
    <w:pPr>
      <w:jc w:val="center"/>
    </w:pPr>
    <w:rPr>
      <w:b/>
      <w:sz w:val="20"/>
      <w:u w:val="single"/>
    </w:rPr>
  </w:style>
  <w:style w:type="character" w:customStyle="1" w:styleId="TitleChar">
    <w:name w:val="Title Char"/>
    <w:basedOn w:val="DefaultParagraphFont"/>
    <w:link w:val="Title"/>
    <w:rsid w:val="0077019F"/>
    <w:rPr>
      <w:rFonts w:ascii="Times New Roman" w:eastAsia="Times New Roman" w:hAnsi="Times New Roman" w:cs="Times New Roman"/>
      <w:b/>
      <w:sz w:val="20"/>
      <w:szCs w:val="20"/>
      <w:u w:val="single"/>
    </w:rPr>
  </w:style>
  <w:style w:type="paragraph" w:styleId="BodyText2">
    <w:name w:val="Body Text 2"/>
    <w:basedOn w:val="Normal"/>
    <w:link w:val="BodyText2Char"/>
    <w:rsid w:val="0077019F"/>
    <w:rPr>
      <w:rFonts w:ascii="Roman 10cpi" w:hAnsi="Roman 10cpi"/>
      <w:sz w:val="22"/>
    </w:rPr>
  </w:style>
  <w:style w:type="character" w:customStyle="1" w:styleId="BodyText2Char">
    <w:name w:val="Body Text 2 Char"/>
    <w:basedOn w:val="DefaultParagraphFont"/>
    <w:link w:val="BodyText2"/>
    <w:rsid w:val="0077019F"/>
    <w:rPr>
      <w:rFonts w:ascii="Roman 10cpi" w:eastAsia="Times New Roman" w:hAnsi="Roman 10cpi" w:cs="Times New Roman"/>
      <w:szCs w:val="20"/>
    </w:rPr>
  </w:style>
  <w:style w:type="character" w:styleId="Hyperlink">
    <w:name w:val="Hyperlink"/>
    <w:basedOn w:val="DefaultParagraphFont"/>
    <w:rsid w:val="0077019F"/>
    <w:rPr>
      <w:color w:val="0000FF"/>
      <w:u w:val="single"/>
    </w:rPr>
  </w:style>
  <w:style w:type="paragraph" w:styleId="Footer">
    <w:name w:val="footer"/>
    <w:basedOn w:val="Normal"/>
    <w:link w:val="FooterChar"/>
    <w:uiPriority w:val="99"/>
    <w:rsid w:val="0077019F"/>
    <w:pPr>
      <w:tabs>
        <w:tab w:val="center" w:pos="4320"/>
        <w:tab w:val="right" w:pos="8640"/>
      </w:tabs>
    </w:pPr>
  </w:style>
  <w:style w:type="character" w:customStyle="1" w:styleId="FooterChar">
    <w:name w:val="Footer Char"/>
    <w:basedOn w:val="DefaultParagraphFont"/>
    <w:link w:val="Footer"/>
    <w:uiPriority w:val="99"/>
    <w:rsid w:val="0077019F"/>
    <w:rPr>
      <w:rFonts w:ascii="Times New Roman" w:eastAsia="Times New Roman" w:hAnsi="Times New Roman" w:cs="Times New Roman"/>
      <w:sz w:val="24"/>
      <w:szCs w:val="20"/>
    </w:rPr>
  </w:style>
  <w:style w:type="character" w:styleId="PageNumber">
    <w:name w:val="page number"/>
    <w:basedOn w:val="DefaultParagraphFont"/>
    <w:rsid w:val="0077019F"/>
  </w:style>
  <w:style w:type="character" w:customStyle="1" w:styleId="postal-code">
    <w:name w:val="postal-code"/>
    <w:basedOn w:val="DefaultParagraphFont"/>
    <w:rsid w:val="0077019F"/>
  </w:style>
  <w:style w:type="paragraph" w:styleId="FootnoteText">
    <w:name w:val="footnote text"/>
    <w:basedOn w:val="Normal"/>
    <w:link w:val="FootnoteTextChar"/>
    <w:rsid w:val="0077019F"/>
    <w:rPr>
      <w:sz w:val="20"/>
    </w:rPr>
  </w:style>
  <w:style w:type="character" w:customStyle="1" w:styleId="FootnoteTextChar">
    <w:name w:val="Footnote Text Char"/>
    <w:basedOn w:val="DefaultParagraphFont"/>
    <w:link w:val="FootnoteText"/>
    <w:rsid w:val="0077019F"/>
    <w:rPr>
      <w:rFonts w:ascii="Times New Roman" w:eastAsia="Times New Roman" w:hAnsi="Times New Roman" w:cs="Times New Roman"/>
      <w:sz w:val="20"/>
      <w:szCs w:val="20"/>
    </w:rPr>
  </w:style>
  <w:style w:type="character" w:styleId="FootnoteReference">
    <w:name w:val="footnote reference"/>
    <w:basedOn w:val="DefaultParagraphFont"/>
    <w:rsid w:val="0077019F"/>
    <w:rPr>
      <w:vertAlign w:val="superscript"/>
    </w:rPr>
  </w:style>
  <w:style w:type="paragraph" w:styleId="BodyText">
    <w:name w:val="Body Text"/>
    <w:basedOn w:val="Normal"/>
    <w:link w:val="BodyTextChar"/>
    <w:uiPriority w:val="99"/>
    <w:semiHidden/>
    <w:unhideWhenUsed/>
    <w:rsid w:val="00497D48"/>
    <w:pPr>
      <w:spacing w:after="120"/>
    </w:pPr>
  </w:style>
  <w:style w:type="character" w:customStyle="1" w:styleId="BodyTextChar">
    <w:name w:val="Body Text Char"/>
    <w:basedOn w:val="DefaultParagraphFont"/>
    <w:link w:val="BodyText"/>
    <w:uiPriority w:val="99"/>
    <w:semiHidden/>
    <w:rsid w:val="00497D4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E6889"/>
    <w:rPr>
      <w:color w:val="800080" w:themeColor="followedHyperlink"/>
      <w:u w:val="single"/>
    </w:rPr>
  </w:style>
  <w:style w:type="paragraph" w:styleId="Header">
    <w:name w:val="header"/>
    <w:basedOn w:val="Normal"/>
    <w:link w:val="HeaderChar"/>
    <w:rsid w:val="0042670C"/>
    <w:pPr>
      <w:tabs>
        <w:tab w:val="center" w:pos="4320"/>
        <w:tab w:val="right" w:pos="8640"/>
      </w:tabs>
    </w:pPr>
  </w:style>
  <w:style w:type="character" w:customStyle="1" w:styleId="HeaderChar">
    <w:name w:val="Header Char"/>
    <w:basedOn w:val="DefaultParagraphFont"/>
    <w:link w:val="Header"/>
    <w:rsid w:val="004267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05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74"/>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34626"/>
    <w:rPr>
      <w:color w:val="605E5C"/>
      <w:shd w:val="clear" w:color="auto" w:fill="E1DFDD"/>
    </w:rPr>
  </w:style>
  <w:style w:type="character" w:styleId="CommentReference">
    <w:name w:val="annotation reference"/>
    <w:basedOn w:val="DefaultParagraphFont"/>
    <w:uiPriority w:val="99"/>
    <w:semiHidden/>
    <w:unhideWhenUsed/>
    <w:rsid w:val="00143224"/>
    <w:rPr>
      <w:sz w:val="16"/>
      <w:szCs w:val="16"/>
    </w:rPr>
  </w:style>
  <w:style w:type="paragraph" w:styleId="CommentText">
    <w:name w:val="annotation text"/>
    <w:basedOn w:val="Normal"/>
    <w:link w:val="CommentTextChar"/>
    <w:uiPriority w:val="99"/>
    <w:unhideWhenUsed/>
    <w:rsid w:val="00143224"/>
    <w:rPr>
      <w:sz w:val="20"/>
    </w:rPr>
  </w:style>
  <w:style w:type="character" w:customStyle="1" w:styleId="CommentTextChar">
    <w:name w:val="Comment Text Char"/>
    <w:basedOn w:val="DefaultParagraphFont"/>
    <w:link w:val="CommentText"/>
    <w:uiPriority w:val="99"/>
    <w:rsid w:val="001432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3224"/>
    <w:rPr>
      <w:b/>
      <w:bCs/>
    </w:rPr>
  </w:style>
  <w:style w:type="character" w:customStyle="1" w:styleId="CommentSubjectChar">
    <w:name w:val="Comment Subject Char"/>
    <w:basedOn w:val="CommentTextChar"/>
    <w:link w:val="CommentSubject"/>
    <w:uiPriority w:val="99"/>
    <w:semiHidden/>
    <w:rsid w:val="00143224"/>
    <w:rPr>
      <w:rFonts w:ascii="Times New Roman" w:eastAsia="Times New Roman" w:hAnsi="Times New Roman" w:cs="Times New Roman"/>
      <w:b/>
      <w:bCs/>
      <w:sz w:val="20"/>
      <w:szCs w:val="20"/>
    </w:rPr>
  </w:style>
  <w:style w:type="paragraph" w:styleId="Revision">
    <w:name w:val="Revision"/>
    <w:hidden/>
    <w:uiPriority w:val="99"/>
    <w:semiHidden/>
    <w:rsid w:val="00D27BF3"/>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99"/>
    <w:qFormat/>
    <w:rsid w:val="00A3593B"/>
    <w:pPr>
      <w:ind w:left="720"/>
    </w:pPr>
    <w:rPr>
      <w:sz w:val="20"/>
    </w:rPr>
  </w:style>
  <w:style w:type="paragraph" w:styleId="NormalWeb">
    <w:name w:val="Normal (Web)"/>
    <w:basedOn w:val="Normal"/>
    <w:uiPriority w:val="99"/>
    <w:semiHidden/>
    <w:unhideWhenUsed/>
    <w:rsid w:val="008F000E"/>
    <w:pPr>
      <w:spacing w:before="100" w:beforeAutospacing="1" w:after="100" w:afterAutospacing="1"/>
    </w:pPr>
    <w:rPr>
      <w:szCs w:val="24"/>
    </w:rPr>
  </w:style>
  <w:style w:type="table" w:styleId="TableGrid">
    <w:name w:val="Table Grid"/>
    <w:basedOn w:val="TableNormal"/>
    <w:uiPriority w:val="59"/>
    <w:rsid w:val="00461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subtitle-B/chapter-IV/part-400" TargetMode="External" /><Relationship Id="rId11" Type="http://schemas.openxmlformats.org/officeDocument/2006/relationships/hyperlink" Target="https://www.ecfr.gov/current/title-7/section-1782.11" TargetMode="External" /><Relationship Id="rId12" Type="http://schemas.openxmlformats.org/officeDocument/2006/relationships/hyperlink" Target="https://www.ecfr.gov/current/title-7/subtitle-B/chapter-XVIII/subchapter-H/part-1901" TargetMode="External" /><Relationship Id="rId13" Type="http://schemas.openxmlformats.org/officeDocument/2006/relationships/hyperlink" Target="https://www.ecfr.gov/current/title-7/part-1782" TargetMode="External" /><Relationship Id="rId14" Type="http://schemas.openxmlformats.org/officeDocument/2006/relationships/hyperlink" Target="https://formsadmin.sc.egov.usda.gov/eFormsAdmin/welcomeAction.do?Home" TargetMode="External" /><Relationship Id="rId15" Type="http://schemas.openxmlformats.org/officeDocument/2006/relationships/hyperlink" Target="https://www.federalregister.gov/documents/2024/08/26/2024-19052/notice-of-revision-of-a-currently-approved-information-collection" TargetMode="External" /><Relationship Id="rId16" Type="http://schemas.openxmlformats.org/officeDocument/2006/relationships/hyperlink" Target="mailto:clarkshoreswatercorporation@gmail.com" TargetMode="External" /><Relationship Id="rId17" Type="http://schemas.openxmlformats.org/officeDocument/2006/relationships/hyperlink" Target="https://www.federalregister.gov/documents/2024/09/06/2024-20068/privacy-act-of-1974-system-of-records" TargetMode="External" /><Relationship Id="rId18" Type="http://schemas.openxmlformats.org/officeDocument/2006/relationships/hyperlink" Target="https://www.bls.gov/oes/current/oes_stru.htm" TargetMode="External" /><Relationship Id="rId19" Type="http://schemas.openxmlformats.org/officeDocument/2006/relationships/hyperlink" Target="https://www.bls.gov/news.release/ecec.toc.htm" TargetMode="External" /><Relationship Id="rId2" Type="http://schemas.openxmlformats.org/officeDocument/2006/relationships/webSettings" Target="webSettings.xml" /><Relationship Id="rId20" Type="http://schemas.openxmlformats.org/officeDocument/2006/relationships/hyperlink" Target="https://www.opm.gov/policy-data-oversight/pay-leave/salaries-wages/salary-tables/24Tables/html/SL.aspx" TargetMode="External" /><Relationship Id="rId21" Type="http://schemas.openxmlformats.org/officeDocument/2006/relationships/hyperlink" Target="https://www.whitehouse.gov/wp-content/uploads/legacy_drupal_files/omb/memoranda/2008/m08-13.pdf" TargetMode="Externa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7/subtitle-B/chapter-XVII/part-1782" TargetMode="External" /><Relationship Id="rId9" Type="http://schemas.openxmlformats.org/officeDocument/2006/relationships/hyperlink" Target="https://www.ecfr.gov/current/title-2/subtitle-A/chapter-II/part-2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52E8231-24CB-439B-8ABB-2974F137A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24845-806C-4DF3-ADBC-16DFDD70747C}">
  <ds:schemaRefs>
    <ds:schemaRef ds:uri="http://schemas.openxmlformats.org/officeDocument/2006/bibliography"/>
  </ds:schemaRefs>
</ds:datastoreItem>
</file>

<file path=customXml/itemProps3.xml><?xml version="1.0" encoding="utf-8"?>
<ds:datastoreItem xmlns:ds="http://schemas.openxmlformats.org/officeDocument/2006/customXml" ds:itemID="{AC3770F6-7AB2-4853-B666-E4376252207B}">
  <ds:schemaRefs>
    <ds:schemaRef ds:uri="http://schemas.microsoft.com/sharepoint/v3/contenttype/forms"/>
  </ds:schemaRefs>
</ds:datastoreItem>
</file>

<file path=customXml/itemProps4.xml><?xml version="1.0" encoding="utf-8"?>
<ds:datastoreItem xmlns:ds="http://schemas.openxmlformats.org/officeDocument/2006/customXml" ds:itemID="{CA012A62-B853-451F-AE09-975DE01F4A44}">
  <ds:schemaRefs>
    <ds:schemaRef ds:uri="http://schemas.microsoft.com/office/2006/metadata/properties"/>
    <ds:schemaRef ds:uri="http://schemas.microsoft.com/office/infopath/2007/PartnerControls"/>
    <ds:schemaRef ds:uri="73fb875a-8af9-4255-b008-0995492d31cd"/>
    <ds:schemaRef ds:uri="e408ad9c-d5d2-4046-b889-a2ff69b3bbb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16</Pages>
  <Words>6397</Words>
  <Characters>36465</Characters>
  <Application>Microsoft Office Word</Application>
  <DocSecurity>0</DocSecurity>
  <Lines>303</Lines>
  <Paragraphs>85</Paragraphs>
  <ScaleCrop>false</ScaleCrop>
  <Company>USDA</Company>
  <LinksUpToDate>false</LinksUpToDate>
  <CharactersWithSpaces>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Servicing of Water Programs Loans and Grants</dc:title>
  <dc:creator>Hunt, Rebecca - RD, Washington, DC</dc:creator>
  <cp:lastModifiedBy>Mathis, Katherine - RD, SC</cp:lastModifiedBy>
  <cp:revision>748</cp:revision>
  <cp:lastPrinted>2018-03-01T14:29:00Z</cp:lastPrinted>
  <dcterms:created xsi:type="dcterms:W3CDTF">2022-01-14T15:48:00Z</dcterms:created>
  <dcterms:modified xsi:type="dcterms:W3CDTF">2024-11-22T18:37:00Z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