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3305" w:rsidRPr="00740053" w:rsidP="00D26242" w14:paraId="6BEB1602" w14:textId="163FA788">
      <w:pPr>
        <w:suppressAutoHyphens/>
        <w:rPr>
          <w:rFonts w:ascii="Times New Roman" w:hAnsi="Times New Roman"/>
          <w:b/>
          <w:sz w:val="22"/>
          <w:szCs w:val="22"/>
        </w:rPr>
      </w:pPr>
      <w:r w:rsidRPr="00740053">
        <w:rPr>
          <w:rFonts w:ascii="Times New Roman" w:hAnsi="Times New Roman"/>
          <w:b/>
          <w:sz w:val="22"/>
          <w:szCs w:val="22"/>
        </w:rPr>
        <w:t>Creation of Interstitial 12.5 Kilohertz Channels</w:t>
      </w:r>
      <w:r w:rsidRPr="00DA0C18" w:rsidR="0053535F">
        <w:rPr>
          <w:rFonts w:ascii="Times New Roman" w:hAnsi="Times New Roman"/>
          <w:b/>
          <w:sz w:val="22"/>
          <w:szCs w:val="22"/>
        </w:rPr>
        <w:t xml:space="preserve"> </w:t>
      </w:r>
      <w:r w:rsidRPr="00DA0C18" w:rsidR="0014159F">
        <w:rPr>
          <w:rFonts w:ascii="Times New Roman" w:hAnsi="Times New Roman"/>
          <w:b/>
          <w:sz w:val="22"/>
          <w:szCs w:val="22"/>
        </w:rPr>
        <w:t xml:space="preserve"> </w:t>
      </w:r>
      <w:r w:rsidRPr="00DA0C18" w:rsidR="0014159F">
        <w:rPr>
          <w:rFonts w:ascii="Times New Roman" w:hAnsi="Times New Roman"/>
          <w:b/>
          <w:sz w:val="22"/>
          <w:szCs w:val="22"/>
        </w:rPr>
        <w:tab/>
      </w:r>
      <w:r w:rsidRPr="00DA0C18" w:rsidR="0014159F">
        <w:rPr>
          <w:rFonts w:ascii="Times New Roman" w:hAnsi="Times New Roman"/>
          <w:b/>
          <w:sz w:val="22"/>
          <w:szCs w:val="22"/>
        </w:rPr>
        <w:tab/>
      </w:r>
      <w:r w:rsidRPr="00DA0C18" w:rsidR="0014159F">
        <w:rPr>
          <w:rFonts w:ascii="Times New Roman" w:hAnsi="Times New Roman"/>
          <w:b/>
          <w:sz w:val="22"/>
          <w:szCs w:val="22"/>
        </w:rPr>
        <w:tab/>
        <w:t xml:space="preserve">     </w:t>
      </w:r>
      <w:r w:rsidRPr="00DA0C18" w:rsidR="00B41189">
        <w:rPr>
          <w:rFonts w:ascii="Times New Roman" w:hAnsi="Times New Roman"/>
          <w:b/>
          <w:sz w:val="22"/>
          <w:szCs w:val="22"/>
        </w:rPr>
        <w:t xml:space="preserve">    </w:t>
      </w:r>
      <w:r w:rsidRPr="00DA0C18" w:rsidR="00B41189">
        <w:rPr>
          <w:rFonts w:ascii="Times New Roman" w:hAnsi="Times New Roman"/>
          <w:b/>
          <w:sz w:val="22"/>
          <w:szCs w:val="22"/>
        </w:rPr>
        <w:tab/>
      </w:r>
      <w:r w:rsidRPr="00DA0C18" w:rsidR="003236BE">
        <w:rPr>
          <w:rFonts w:ascii="Times New Roman" w:hAnsi="Times New Roman"/>
          <w:b/>
          <w:sz w:val="22"/>
          <w:szCs w:val="22"/>
        </w:rPr>
        <w:tab/>
      </w:r>
      <w:r w:rsidR="00E03CD3">
        <w:rPr>
          <w:rFonts w:ascii="Times New Roman" w:hAnsi="Times New Roman"/>
          <w:b/>
          <w:sz w:val="22"/>
          <w:szCs w:val="22"/>
        </w:rPr>
        <w:t xml:space="preserve">        </w:t>
      </w:r>
      <w:r w:rsidRPr="00740053" w:rsidR="00B41189">
        <w:rPr>
          <w:rFonts w:ascii="Times New Roman" w:hAnsi="Times New Roman"/>
          <w:b/>
          <w:sz w:val="22"/>
          <w:szCs w:val="22"/>
        </w:rPr>
        <w:t>3060</w:t>
      </w:r>
      <w:r w:rsidRPr="00382E25">
        <w:rPr>
          <w:rFonts w:ascii="Times New Roman" w:hAnsi="Times New Roman"/>
          <w:b/>
          <w:sz w:val="22"/>
          <w:szCs w:val="22"/>
        </w:rPr>
        <w:t>-</w:t>
      </w:r>
      <w:r w:rsidRPr="005E1264" w:rsidR="005E1264">
        <w:rPr>
          <w:rFonts w:ascii="Times New Roman" w:hAnsi="Times New Roman"/>
          <w:b/>
          <w:sz w:val="22"/>
          <w:szCs w:val="22"/>
        </w:rPr>
        <w:t>1261</w:t>
      </w:r>
      <w:r>
        <w:rPr>
          <w:rFonts w:ascii="Times New Roman" w:hAnsi="Times New Roman"/>
          <w:b/>
          <w:sz w:val="22"/>
          <w:szCs w:val="22"/>
        </w:rPr>
        <w:fldChar w:fldCharType="begin"/>
      </w:r>
      <w:r w:rsidRPr="00740053">
        <w:rPr>
          <w:rFonts w:ascii="Times New Roman" w:hAnsi="Times New Roman"/>
          <w:b/>
          <w:sz w:val="22"/>
          <w:szCs w:val="22"/>
        </w:rPr>
        <w:instrText xml:space="preserve">PRIVATE </w:instrText>
      </w:r>
      <w:r>
        <w:rPr>
          <w:rFonts w:ascii="Times New Roman" w:hAnsi="Times New Roman"/>
          <w:b/>
          <w:sz w:val="22"/>
          <w:szCs w:val="22"/>
        </w:rPr>
        <w:fldChar w:fldCharType="end"/>
      </w:r>
    </w:p>
    <w:p w:rsidR="00EF3305" w:rsidRPr="00740053" w:rsidP="0053535F" w14:paraId="34B84DC7" w14:textId="356AB823">
      <w:pPr>
        <w:tabs>
          <w:tab w:val="left" w:pos="7830"/>
        </w:tabs>
        <w:suppressAutoHyphens/>
        <w:rPr>
          <w:rFonts w:ascii="Times New Roman" w:hAnsi="Times New Roman"/>
          <w:b/>
          <w:sz w:val="22"/>
          <w:szCs w:val="22"/>
        </w:rPr>
      </w:pPr>
      <w:r w:rsidRPr="00740053">
        <w:rPr>
          <w:rFonts w:ascii="Times New Roman" w:hAnsi="Times New Roman"/>
          <w:b/>
          <w:sz w:val="22"/>
          <w:szCs w:val="22"/>
        </w:rPr>
        <w:t>in the 800 MHz Band Between 809-817/854-862 MHz</w:t>
      </w:r>
      <w:r w:rsidRPr="00DA0C18" w:rsidR="00B41189">
        <w:rPr>
          <w:rFonts w:ascii="Times New Roman" w:hAnsi="Times New Roman"/>
          <w:b/>
          <w:sz w:val="22"/>
          <w:szCs w:val="22"/>
        </w:rPr>
        <w:tab/>
      </w:r>
      <w:r w:rsidR="00A84135">
        <w:rPr>
          <w:rFonts w:ascii="Times New Roman" w:hAnsi="Times New Roman"/>
          <w:b/>
          <w:sz w:val="22"/>
          <w:szCs w:val="22"/>
        </w:rPr>
        <w:t>November</w:t>
      </w:r>
      <w:r w:rsidR="00382E25">
        <w:rPr>
          <w:rFonts w:ascii="Times New Roman" w:hAnsi="Times New Roman"/>
          <w:b/>
          <w:sz w:val="22"/>
          <w:szCs w:val="22"/>
        </w:rPr>
        <w:t xml:space="preserve"> </w:t>
      </w:r>
      <w:r w:rsidRPr="00740053" w:rsidR="002125AF">
        <w:rPr>
          <w:rFonts w:ascii="Times New Roman" w:hAnsi="Times New Roman"/>
          <w:b/>
          <w:sz w:val="22"/>
          <w:szCs w:val="22"/>
        </w:rPr>
        <w:t>20</w:t>
      </w:r>
      <w:r w:rsidR="005E1264">
        <w:rPr>
          <w:rFonts w:ascii="Times New Roman" w:hAnsi="Times New Roman"/>
          <w:b/>
          <w:sz w:val="22"/>
          <w:szCs w:val="22"/>
        </w:rPr>
        <w:t>2</w:t>
      </w:r>
      <w:r w:rsidR="00BA3893">
        <w:rPr>
          <w:rFonts w:ascii="Times New Roman" w:hAnsi="Times New Roman"/>
          <w:b/>
          <w:sz w:val="22"/>
          <w:szCs w:val="22"/>
        </w:rPr>
        <w:t>4</w:t>
      </w:r>
    </w:p>
    <w:p w:rsidR="0053535F" w:rsidRPr="00740053" w:rsidP="00D26242" w14:paraId="1D8C994C" w14:textId="77777777">
      <w:pPr>
        <w:suppressAutoHyphens/>
        <w:rPr>
          <w:rFonts w:ascii="Times New Roman" w:hAnsi="Times New Roman"/>
          <w:sz w:val="22"/>
          <w:szCs w:val="22"/>
        </w:rPr>
      </w:pPr>
    </w:p>
    <w:p w:rsidR="00EF3305" w:rsidRPr="00740053" w:rsidP="00275AF4" w14:paraId="35E1AF75" w14:textId="77777777">
      <w:pPr>
        <w:widowControl/>
        <w:suppressAutoHyphens/>
        <w:jc w:val="center"/>
        <w:rPr>
          <w:rFonts w:ascii="Times New Roman" w:hAnsi="Times New Roman"/>
          <w:b/>
          <w:sz w:val="22"/>
          <w:szCs w:val="22"/>
        </w:rPr>
      </w:pPr>
      <w:r w:rsidRPr="00740053">
        <w:rPr>
          <w:rFonts w:ascii="Times New Roman" w:hAnsi="Times New Roman"/>
          <w:b/>
          <w:sz w:val="22"/>
          <w:szCs w:val="22"/>
        </w:rPr>
        <w:t>SUPPORTING STATEMENT</w:t>
      </w:r>
    </w:p>
    <w:p w:rsidR="004D65A2" w:rsidRPr="00740053" w:rsidP="00275AF4" w14:paraId="2E14F3D9" w14:textId="77777777">
      <w:pPr>
        <w:widowControl/>
        <w:suppressAutoHyphens/>
        <w:rPr>
          <w:rFonts w:ascii="Times New Roman" w:hAnsi="Times New Roman"/>
          <w:sz w:val="22"/>
          <w:szCs w:val="22"/>
        </w:rPr>
      </w:pPr>
    </w:p>
    <w:p w:rsidR="00EF3305" w:rsidRPr="00740053" w:rsidP="00275AF4" w14:paraId="74DB8539" w14:textId="77777777">
      <w:pPr>
        <w:widowControl/>
        <w:suppressAutoHyphens/>
        <w:rPr>
          <w:rFonts w:ascii="Times New Roman" w:hAnsi="Times New Roman"/>
          <w:b/>
          <w:sz w:val="22"/>
          <w:szCs w:val="22"/>
        </w:rPr>
      </w:pPr>
      <w:r w:rsidRPr="00740053">
        <w:rPr>
          <w:rFonts w:ascii="Times New Roman" w:hAnsi="Times New Roman"/>
          <w:b/>
          <w:sz w:val="22"/>
          <w:szCs w:val="22"/>
        </w:rPr>
        <w:t xml:space="preserve">A.  </w:t>
      </w:r>
      <w:r w:rsidRPr="00740053">
        <w:rPr>
          <w:rFonts w:ascii="Times New Roman" w:hAnsi="Times New Roman"/>
          <w:b/>
          <w:sz w:val="22"/>
          <w:szCs w:val="22"/>
          <w:u w:val="single"/>
        </w:rPr>
        <w:t>Justification</w:t>
      </w:r>
      <w:r w:rsidRPr="00740053" w:rsidR="00CD318D">
        <w:rPr>
          <w:rFonts w:ascii="Times New Roman" w:hAnsi="Times New Roman"/>
          <w:b/>
          <w:sz w:val="22"/>
          <w:szCs w:val="22"/>
        </w:rPr>
        <w:t>:</w:t>
      </w:r>
    </w:p>
    <w:p w:rsidR="00EF3305" w:rsidRPr="00740053" w:rsidP="00275AF4" w14:paraId="2492E128" w14:textId="77777777">
      <w:pPr>
        <w:widowControl/>
        <w:suppressAutoHyphens/>
        <w:rPr>
          <w:rFonts w:ascii="Times New Roman" w:hAnsi="Times New Roman"/>
          <w:sz w:val="22"/>
          <w:szCs w:val="22"/>
        </w:rPr>
      </w:pPr>
    </w:p>
    <w:p w:rsidR="00E50D9A" w:rsidRPr="00740053" w:rsidP="00275AF4" w14:paraId="31D48257" w14:textId="77777777">
      <w:pPr>
        <w:widowControl/>
        <w:numPr>
          <w:ilvl w:val="0"/>
          <w:numId w:val="2"/>
        </w:numPr>
        <w:suppressAutoHyphens/>
        <w:ind w:left="0" w:firstLine="360"/>
        <w:rPr>
          <w:rFonts w:ascii="Times New Roman" w:hAnsi="Times New Roman"/>
          <w:sz w:val="22"/>
          <w:szCs w:val="22"/>
        </w:rPr>
      </w:pPr>
      <w:r w:rsidRPr="00740053">
        <w:rPr>
          <w:rFonts w:ascii="Times New Roman" w:hAnsi="Times New Roman"/>
          <w:b/>
          <w:bCs/>
          <w:sz w:val="22"/>
          <w:szCs w:val="22"/>
        </w:rPr>
        <w:t xml:space="preserve">Explain in detail the circumstances that make the collection of information necessary. </w:t>
      </w:r>
      <w:r w:rsidRPr="00740053" w:rsidR="00EF7A20">
        <w:rPr>
          <w:rFonts w:ascii="Times New Roman" w:hAnsi="Times New Roman"/>
          <w:b/>
          <w:bCs/>
          <w:sz w:val="22"/>
          <w:szCs w:val="22"/>
        </w:rPr>
        <w:t xml:space="preserve"> </w:t>
      </w:r>
      <w:r w:rsidRPr="00740053">
        <w:rPr>
          <w:rFonts w:ascii="Times New Roman" w:hAnsi="Times New Roman"/>
          <w:b/>
          <w:bCs/>
          <w:sz w:val="22"/>
          <w:szCs w:val="22"/>
        </w:rPr>
        <w:t>Identify any legal or administrative requirements that necessitate the collection. Provide a copy of the appropriate section of each statue and regulation mandating or authorizing the information collection.</w:t>
      </w:r>
    </w:p>
    <w:p w:rsidR="00E575FF" w:rsidRPr="00740053" w:rsidP="00275AF4" w14:paraId="40991008" w14:textId="77777777">
      <w:pPr>
        <w:widowControl/>
        <w:suppressAutoHyphens/>
        <w:ind w:left="360"/>
        <w:rPr>
          <w:rFonts w:ascii="Times New Roman" w:hAnsi="Times New Roman"/>
          <w:sz w:val="22"/>
          <w:szCs w:val="22"/>
        </w:rPr>
      </w:pPr>
    </w:p>
    <w:p w:rsidR="00E51A4D" w:rsidRPr="00740053" w:rsidP="0050676E" w14:paraId="4B08E73C" w14:textId="78B7AFAF">
      <w:pPr>
        <w:widowControl/>
        <w:suppressAutoHyphens/>
        <w:ind w:firstLine="360"/>
        <w:rPr>
          <w:rFonts w:ascii="Times New Roman" w:hAnsi="Times New Roman"/>
          <w:sz w:val="22"/>
          <w:szCs w:val="22"/>
        </w:rPr>
      </w:pPr>
      <w:r w:rsidRPr="00740053">
        <w:rPr>
          <w:rFonts w:ascii="Times New Roman" w:hAnsi="Times New Roman"/>
          <w:sz w:val="22"/>
          <w:szCs w:val="22"/>
        </w:rPr>
        <w:t xml:space="preserve">On </w:t>
      </w:r>
      <w:r w:rsidRPr="00740053" w:rsidR="00BF7649">
        <w:rPr>
          <w:rFonts w:ascii="Times New Roman" w:hAnsi="Times New Roman"/>
          <w:sz w:val="22"/>
          <w:szCs w:val="22"/>
        </w:rPr>
        <w:t>October 2</w:t>
      </w:r>
      <w:r w:rsidRPr="00740053" w:rsidR="001D59D5">
        <w:rPr>
          <w:rFonts w:ascii="Times New Roman" w:hAnsi="Times New Roman"/>
          <w:sz w:val="22"/>
          <w:szCs w:val="22"/>
        </w:rPr>
        <w:t>2</w:t>
      </w:r>
      <w:r w:rsidRPr="00740053" w:rsidR="00BF7649">
        <w:rPr>
          <w:rFonts w:ascii="Times New Roman" w:hAnsi="Times New Roman"/>
          <w:sz w:val="22"/>
          <w:szCs w:val="22"/>
        </w:rPr>
        <w:t>, 2018</w:t>
      </w:r>
      <w:r w:rsidRPr="00740053">
        <w:rPr>
          <w:rFonts w:ascii="Times New Roman" w:hAnsi="Times New Roman"/>
          <w:sz w:val="22"/>
          <w:szCs w:val="22"/>
        </w:rPr>
        <w:t xml:space="preserve">, the </w:t>
      </w:r>
      <w:r w:rsidRPr="00740053" w:rsidR="00634CF8">
        <w:rPr>
          <w:rFonts w:ascii="Times New Roman" w:hAnsi="Times New Roman"/>
          <w:sz w:val="22"/>
          <w:szCs w:val="22"/>
        </w:rPr>
        <w:t>Commission</w:t>
      </w:r>
      <w:r w:rsidRPr="00740053" w:rsidR="00C56261">
        <w:rPr>
          <w:rFonts w:ascii="Times New Roman" w:hAnsi="Times New Roman"/>
          <w:sz w:val="22"/>
          <w:szCs w:val="22"/>
        </w:rPr>
        <w:t xml:space="preserve"> released a</w:t>
      </w:r>
      <w:r w:rsidRPr="00740053" w:rsidR="00634CF8">
        <w:rPr>
          <w:rFonts w:ascii="Times New Roman" w:hAnsi="Times New Roman"/>
          <w:sz w:val="22"/>
          <w:szCs w:val="22"/>
        </w:rPr>
        <w:t xml:space="preserve"> Report and </w:t>
      </w:r>
      <w:r w:rsidRPr="00740053" w:rsidR="00C56261">
        <w:rPr>
          <w:rFonts w:ascii="Times New Roman" w:hAnsi="Times New Roman"/>
          <w:sz w:val="22"/>
          <w:szCs w:val="22"/>
        </w:rPr>
        <w:t xml:space="preserve">Order </w:t>
      </w:r>
      <w:r w:rsidRPr="00740053">
        <w:rPr>
          <w:rFonts w:ascii="Times New Roman" w:hAnsi="Times New Roman"/>
          <w:sz w:val="22"/>
          <w:szCs w:val="22"/>
        </w:rPr>
        <w:t xml:space="preserve">which </w:t>
      </w:r>
      <w:r w:rsidRPr="00740053" w:rsidR="001D59D5">
        <w:rPr>
          <w:rFonts w:ascii="Times New Roman" w:hAnsi="Times New Roman"/>
          <w:sz w:val="22"/>
          <w:szCs w:val="22"/>
        </w:rPr>
        <w:t>add</w:t>
      </w:r>
      <w:r w:rsidR="0016438C">
        <w:rPr>
          <w:rFonts w:ascii="Times New Roman" w:hAnsi="Times New Roman"/>
          <w:sz w:val="22"/>
          <w:szCs w:val="22"/>
        </w:rPr>
        <w:t>ed</w:t>
      </w:r>
      <w:r w:rsidRPr="00740053" w:rsidR="001D59D5">
        <w:rPr>
          <w:rFonts w:ascii="Times New Roman" w:hAnsi="Times New Roman"/>
          <w:sz w:val="22"/>
          <w:szCs w:val="22"/>
        </w:rPr>
        <w:t xml:space="preserve"> new </w:t>
      </w:r>
      <w:r w:rsidRPr="00740053">
        <w:rPr>
          <w:rFonts w:ascii="Times New Roman" w:hAnsi="Times New Roman"/>
          <w:sz w:val="22"/>
          <w:szCs w:val="22"/>
        </w:rPr>
        <w:t>s</w:t>
      </w:r>
      <w:r w:rsidRPr="00740053" w:rsidR="00C56261">
        <w:rPr>
          <w:rFonts w:ascii="Times New Roman" w:hAnsi="Times New Roman"/>
          <w:sz w:val="22"/>
          <w:szCs w:val="22"/>
        </w:rPr>
        <w:t>ection</w:t>
      </w:r>
      <w:r w:rsidRPr="00740053" w:rsidR="00D85DDA">
        <w:rPr>
          <w:rFonts w:ascii="Times New Roman" w:hAnsi="Times New Roman"/>
          <w:sz w:val="22"/>
          <w:szCs w:val="22"/>
        </w:rPr>
        <w:t xml:space="preserve"> </w:t>
      </w:r>
      <w:r w:rsidRPr="00740053">
        <w:rPr>
          <w:rFonts w:ascii="Times New Roman" w:hAnsi="Times New Roman"/>
          <w:sz w:val="22"/>
          <w:szCs w:val="22"/>
        </w:rPr>
        <w:t>90.621(d)(4) to</w:t>
      </w:r>
      <w:r w:rsidRPr="00740053" w:rsidR="0042497D">
        <w:rPr>
          <w:rFonts w:ascii="Times New Roman" w:hAnsi="Times New Roman"/>
          <w:sz w:val="22"/>
          <w:szCs w:val="22"/>
        </w:rPr>
        <w:t xml:space="preserve"> the Commission’s rules</w:t>
      </w:r>
      <w:r w:rsidRPr="00740053" w:rsidR="001D59D5">
        <w:rPr>
          <w:rFonts w:ascii="Times New Roman" w:hAnsi="Times New Roman"/>
          <w:sz w:val="22"/>
          <w:szCs w:val="22"/>
        </w:rPr>
        <w:t xml:space="preserve"> </w:t>
      </w:r>
      <w:r w:rsidRPr="00740053" w:rsidR="00C202C9">
        <w:rPr>
          <w:rFonts w:ascii="Times New Roman" w:hAnsi="Times New Roman"/>
          <w:sz w:val="22"/>
          <w:szCs w:val="22"/>
        </w:rPr>
        <w:t xml:space="preserve">requiring </w:t>
      </w:r>
      <w:r w:rsidRPr="00740053" w:rsidR="001D59D5">
        <w:rPr>
          <w:rFonts w:ascii="Times New Roman" w:hAnsi="Times New Roman"/>
          <w:sz w:val="22"/>
          <w:szCs w:val="22"/>
        </w:rPr>
        <w:t xml:space="preserve">applicants </w:t>
      </w:r>
      <w:r w:rsidRPr="00740053" w:rsidR="00084430">
        <w:rPr>
          <w:rFonts w:ascii="Times New Roman" w:hAnsi="Times New Roman"/>
          <w:sz w:val="22"/>
          <w:szCs w:val="22"/>
        </w:rPr>
        <w:t xml:space="preserve">to submit letters of concurrence </w:t>
      </w:r>
      <w:r w:rsidRPr="00740053" w:rsidR="00223A4F">
        <w:rPr>
          <w:rFonts w:ascii="Times New Roman" w:hAnsi="Times New Roman"/>
          <w:sz w:val="22"/>
          <w:szCs w:val="22"/>
        </w:rPr>
        <w:t xml:space="preserve">with their application if </w:t>
      </w:r>
      <w:r w:rsidRPr="00740053" w:rsidR="00A62123">
        <w:rPr>
          <w:rFonts w:ascii="Times New Roman" w:hAnsi="Times New Roman"/>
          <w:sz w:val="22"/>
          <w:szCs w:val="22"/>
        </w:rPr>
        <w:t xml:space="preserve">the applicant </w:t>
      </w:r>
      <w:r w:rsidRPr="00740053" w:rsidR="00084430">
        <w:rPr>
          <w:rFonts w:ascii="Times New Roman" w:hAnsi="Times New Roman"/>
          <w:sz w:val="22"/>
          <w:szCs w:val="22"/>
        </w:rPr>
        <w:t xml:space="preserve">would cause or receive contour overlap in the </w:t>
      </w:r>
      <w:r w:rsidRPr="00740053" w:rsidR="00B004D1">
        <w:rPr>
          <w:rFonts w:ascii="Times New Roman" w:hAnsi="Times New Roman"/>
          <w:sz w:val="22"/>
          <w:szCs w:val="22"/>
        </w:rPr>
        <w:t>809-817 MHz / 854-862 MHz segment of the 800 MHz band (800 MHz Mid-Band)</w:t>
      </w:r>
      <w:r w:rsidRPr="00740053" w:rsidR="00084430">
        <w:rPr>
          <w:rFonts w:ascii="Times New Roman" w:hAnsi="Times New Roman"/>
          <w:sz w:val="22"/>
          <w:szCs w:val="22"/>
        </w:rPr>
        <w:t xml:space="preserve">.  </w:t>
      </w:r>
      <w:r w:rsidRPr="00740053" w:rsidR="00542C82">
        <w:rPr>
          <w:rFonts w:ascii="Times New Roman" w:hAnsi="Times New Roman"/>
          <w:sz w:val="22"/>
          <w:szCs w:val="22"/>
        </w:rPr>
        <w:t xml:space="preserve">The requirement for </w:t>
      </w:r>
      <w:r w:rsidRPr="00740053" w:rsidR="00223A4F">
        <w:rPr>
          <w:rFonts w:ascii="Times New Roman" w:hAnsi="Times New Roman"/>
          <w:sz w:val="22"/>
          <w:szCs w:val="22"/>
        </w:rPr>
        <w:t xml:space="preserve">an </w:t>
      </w:r>
      <w:r w:rsidRPr="00740053" w:rsidR="001D59D5">
        <w:rPr>
          <w:rFonts w:ascii="Times New Roman" w:hAnsi="Times New Roman"/>
          <w:sz w:val="22"/>
          <w:szCs w:val="22"/>
        </w:rPr>
        <w:t>applicant</w:t>
      </w:r>
      <w:r w:rsidRPr="00740053" w:rsidR="00223A4F">
        <w:rPr>
          <w:rFonts w:ascii="Times New Roman" w:hAnsi="Times New Roman"/>
          <w:sz w:val="22"/>
          <w:szCs w:val="22"/>
        </w:rPr>
        <w:t xml:space="preserve"> </w:t>
      </w:r>
      <w:r w:rsidRPr="00740053" w:rsidR="001D59D5">
        <w:rPr>
          <w:rFonts w:ascii="Times New Roman" w:hAnsi="Times New Roman"/>
          <w:sz w:val="22"/>
          <w:szCs w:val="22"/>
        </w:rPr>
        <w:t xml:space="preserve">to submit a letter of concurrence </w:t>
      </w:r>
      <w:r w:rsidRPr="00740053" w:rsidR="00A62123">
        <w:rPr>
          <w:rFonts w:ascii="Times New Roman" w:hAnsi="Times New Roman"/>
          <w:sz w:val="22"/>
          <w:szCs w:val="22"/>
        </w:rPr>
        <w:t xml:space="preserve">if the applicant </w:t>
      </w:r>
      <w:r w:rsidRPr="00740053" w:rsidR="00223A4F">
        <w:rPr>
          <w:rFonts w:ascii="Times New Roman" w:hAnsi="Times New Roman"/>
          <w:sz w:val="22"/>
          <w:szCs w:val="22"/>
        </w:rPr>
        <w:t xml:space="preserve">causes or receives contour overlap </w:t>
      </w:r>
      <w:r w:rsidRPr="00740053" w:rsidR="00084430">
        <w:rPr>
          <w:rFonts w:ascii="Times New Roman" w:hAnsi="Times New Roman"/>
          <w:sz w:val="22"/>
          <w:szCs w:val="22"/>
        </w:rPr>
        <w:t xml:space="preserve">is a </w:t>
      </w:r>
      <w:r w:rsidRPr="00740053" w:rsidR="00542C82">
        <w:rPr>
          <w:rFonts w:ascii="Times New Roman" w:hAnsi="Times New Roman"/>
          <w:sz w:val="22"/>
          <w:szCs w:val="22"/>
        </w:rPr>
        <w:t xml:space="preserve">new information collection.  </w:t>
      </w:r>
    </w:p>
    <w:p w:rsidR="00E51A4D" w:rsidRPr="00740053" w:rsidP="0050676E" w14:paraId="2F9BCAF4" w14:textId="77777777">
      <w:pPr>
        <w:widowControl/>
        <w:suppressAutoHyphens/>
        <w:ind w:firstLine="360"/>
        <w:rPr>
          <w:rFonts w:ascii="Times New Roman" w:hAnsi="Times New Roman"/>
          <w:sz w:val="22"/>
          <w:szCs w:val="22"/>
        </w:rPr>
      </w:pPr>
    </w:p>
    <w:p w:rsidR="00786D21" w:rsidRPr="00740053" w:rsidP="0050676E" w14:paraId="06C5CA89"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800 MHz Mid-Band is used for private land mobile radio (PLMR) services.  PLMR services provide for the private, internal communications needs of public safety organizations, state and local government entities, large and small businesses, transportation providers, the medical community, and other diverse users of two-way radio systems.  Prior to release of the Report and Order, </w:t>
      </w:r>
      <w:r w:rsidRPr="00740053" w:rsidR="00E0142F">
        <w:rPr>
          <w:rFonts w:ascii="Times New Roman" w:hAnsi="Times New Roman"/>
          <w:sz w:val="22"/>
          <w:szCs w:val="22"/>
        </w:rPr>
        <w:t xml:space="preserve">PLMR </w:t>
      </w:r>
      <w:r w:rsidRPr="00740053">
        <w:rPr>
          <w:rFonts w:ascii="Times New Roman" w:hAnsi="Times New Roman"/>
          <w:sz w:val="22"/>
          <w:szCs w:val="22"/>
        </w:rPr>
        <w:t xml:space="preserve">licensees in the 800 MHz Mid-Band operated on 25 kilohertz bandwidth channels with 25 kilohertz separation between channels centers.  In order to promote more efficient use of the 800 MHz Mid-Band, </w:t>
      </w:r>
      <w:r w:rsidRPr="00740053" w:rsidR="00E0142F">
        <w:rPr>
          <w:rFonts w:ascii="Times New Roman" w:hAnsi="Times New Roman"/>
          <w:sz w:val="22"/>
          <w:szCs w:val="22"/>
        </w:rPr>
        <w:t xml:space="preserve">however, </w:t>
      </w:r>
      <w:r w:rsidRPr="00740053">
        <w:rPr>
          <w:rFonts w:ascii="Times New Roman" w:hAnsi="Times New Roman"/>
          <w:sz w:val="22"/>
          <w:szCs w:val="22"/>
        </w:rPr>
        <w:t>the Commission in its Report and Order introduced interstitial 12.5 kilohertz bandwidth channels between the existing 25 kilohertz channels.</w:t>
      </w:r>
      <w:r w:rsidRPr="00740053" w:rsidR="00E0142F">
        <w:rPr>
          <w:rFonts w:ascii="Times New Roman" w:hAnsi="Times New Roman"/>
          <w:sz w:val="22"/>
          <w:szCs w:val="22"/>
        </w:rPr>
        <w:t xml:space="preserve">  </w:t>
      </w:r>
    </w:p>
    <w:p w:rsidR="00096C21" w:rsidRPr="00740053" w:rsidP="0050676E" w14:paraId="6CF79FB7" w14:textId="77777777">
      <w:pPr>
        <w:widowControl/>
        <w:suppressAutoHyphens/>
        <w:ind w:firstLine="360"/>
        <w:rPr>
          <w:rFonts w:ascii="Times New Roman" w:hAnsi="Times New Roman"/>
          <w:sz w:val="22"/>
          <w:szCs w:val="22"/>
        </w:rPr>
      </w:pPr>
    </w:p>
    <w:p w:rsidR="007059EF" w:rsidRPr="00740053" w:rsidP="0050676E" w14:paraId="72B7274A"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concluded that new interstitial channels will benefit licensees in the 800 MHz Mid-Band </w:t>
      </w:r>
      <w:r w:rsidRPr="00740053" w:rsidR="001D2BA3">
        <w:rPr>
          <w:rFonts w:ascii="Times New Roman" w:hAnsi="Times New Roman"/>
          <w:sz w:val="22"/>
          <w:szCs w:val="22"/>
        </w:rPr>
        <w:t xml:space="preserve">only </w:t>
      </w:r>
      <w:r w:rsidRPr="00740053">
        <w:rPr>
          <w:rFonts w:ascii="Times New Roman" w:hAnsi="Times New Roman"/>
          <w:sz w:val="22"/>
          <w:szCs w:val="22"/>
        </w:rPr>
        <w:t xml:space="preserve">if appropriate interference safeguards are adopted.  It concluded that contour overlap analysis was the best method for assessing the potential for interference in the 800 MHz Mid-Band once 12.5 kHz bandwidth interstitial channels are introduced.  </w:t>
      </w:r>
      <w:r w:rsidRPr="00740053" w:rsidR="0063195E">
        <w:rPr>
          <w:rFonts w:ascii="Times New Roman" w:hAnsi="Times New Roman"/>
          <w:sz w:val="22"/>
          <w:szCs w:val="22"/>
        </w:rPr>
        <w:t xml:space="preserve">The purpose of the contour overlap </w:t>
      </w:r>
      <w:r w:rsidRPr="00740053" w:rsidR="00A62123">
        <w:rPr>
          <w:rFonts w:ascii="Times New Roman" w:hAnsi="Times New Roman"/>
          <w:sz w:val="22"/>
          <w:szCs w:val="22"/>
        </w:rPr>
        <w:t xml:space="preserve">analysis </w:t>
      </w:r>
      <w:r w:rsidRPr="00740053" w:rsidR="0063195E">
        <w:rPr>
          <w:rFonts w:ascii="Times New Roman" w:hAnsi="Times New Roman"/>
          <w:sz w:val="22"/>
          <w:szCs w:val="22"/>
        </w:rPr>
        <w:t xml:space="preserve">is to ensure </w:t>
      </w:r>
      <w:r w:rsidRPr="00740053" w:rsidR="00166841">
        <w:rPr>
          <w:rFonts w:ascii="Times New Roman" w:hAnsi="Times New Roman"/>
          <w:sz w:val="22"/>
          <w:szCs w:val="22"/>
        </w:rPr>
        <w:t xml:space="preserve">an applicant causes no interference to or receives no interference from previously licensed incumbents once the applicant begins operating in the 800 MHz Mid-Band.  </w:t>
      </w:r>
    </w:p>
    <w:p w:rsidR="007059EF" w:rsidRPr="00740053" w:rsidP="0050676E" w14:paraId="776B2CCD" w14:textId="77777777">
      <w:pPr>
        <w:widowControl/>
        <w:suppressAutoHyphens/>
        <w:ind w:firstLine="360"/>
        <w:rPr>
          <w:rFonts w:ascii="Times New Roman" w:hAnsi="Times New Roman"/>
          <w:sz w:val="22"/>
          <w:szCs w:val="22"/>
        </w:rPr>
      </w:pPr>
    </w:p>
    <w:p w:rsidR="007622F3" w:rsidRPr="00740053" w:rsidP="003F396E" w14:paraId="65A2BC77"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In particular, applicants are required to pass a forward and </w:t>
      </w:r>
      <w:r w:rsidRPr="00740053" w:rsidR="003F396E">
        <w:rPr>
          <w:rFonts w:ascii="Times New Roman" w:hAnsi="Times New Roman"/>
          <w:sz w:val="22"/>
          <w:szCs w:val="22"/>
        </w:rPr>
        <w:t xml:space="preserve">reciprocal </w:t>
      </w:r>
      <w:r w:rsidRPr="00740053">
        <w:rPr>
          <w:rFonts w:ascii="Times New Roman" w:hAnsi="Times New Roman"/>
          <w:sz w:val="22"/>
          <w:szCs w:val="22"/>
        </w:rPr>
        <w:t xml:space="preserve">contour analysis when seeking to license </w:t>
      </w:r>
      <w:r w:rsidRPr="00740053" w:rsidR="00E4699D">
        <w:rPr>
          <w:rFonts w:ascii="Times New Roman" w:hAnsi="Times New Roman"/>
          <w:sz w:val="22"/>
          <w:szCs w:val="22"/>
        </w:rPr>
        <w:t xml:space="preserve">a </w:t>
      </w:r>
      <w:r w:rsidRPr="00740053">
        <w:rPr>
          <w:rFonts w:ascii="Times New Roman" w:hAnsi="Times New Roman"/>
          <w:sz w:val="22"/>
          <w:szCs w:val="22"/>
        </w:rPr>
        <w:t xml:space="preserve">channel in the 800 MHz Mid-Band once 12.5 kHz bandwidth channels become available for licensing.  </w:t>
      </w:r>
      <w:r w:rsidRPr="00740053" w:rsidR="003F396E">
        <w:rPr>
          <w:rFonts w:ascii="Times New Roman" w:hAnsi="Times New Roman"/>
          <w:sz w:val="22"/>
          <w:szCs w:val="22"/>
        </w:rPr>
        <w:t xml:space="preserve">Under the forward analysis, </w:t>
      </w:r>
      <w:r w:rsidRPr="00740053" w:rsidR="00AF75CF">
        <w:rPr>
          <w:rFonts w:ascii="Times New Roman" w:hAnsi="Times New Roman"/>
          <w:sz w:val="22"/>
          <w:szCs w:val="22"/>
        </w:rPr>
        <w:t xml:space="preserve">the Commission will grant </w:t>
      </w:r>
      <w:r w:rsidRPr="00740053" w:rsidR="003F396E">
        <w:rPr>
          <w:rFonts w:ascii="Times New Roman" w:hAnsi="Times New Roman"/>
          <w:sz w:val="22"/>
          <w:szCs w:val="22"/>
        </w:rPr>
        <w:t xml:space="preserve">an application only if the applicant’s proposed interference contour creates no overlap to the 40 </w:t>
      </w:r>
      <w:r w:rsidRPr="00740053" w:rsidR="003F396E">
        <w:rPr>
          <w:rFonts w:ascii="Times New Roman" w:hAnsi="Times New Roman"/>
          <w:sz w:val="22"/>
          <w:szCs w:val="22"/>
        </w:rPr>
        <w:t>dBu</w:t>
      </w:r>
      <w:r w:rsidRPr="00740053" w:rsidR="003F396E">
        <w:rPr>
          <w:rFonts w:ascii="Times New Roman" w:hAnsi="Times New Roman"/>
          <w:sz w:val="22"/>
          <w:szCs w:val="22"/>
        </w:rPr>
        <w:t xml:space="preserve"> F(50,50) contour of an incumbent operating a fixed station on an upper or lower-adjacent channel.  Under the reciprocal analysis, </w:t>
      </w:r>
      <w:r w:rsidRPr="00740053" w:rsidR="00AF75CF">
        <w:rPr>
          <w:rFonts w:ascii="Times New Roman" w:hAnsi="Times New Roman"/>
          <w:sz w:val="22"/>
          <w:szCs w:val="22"/>
        </w:rPr>
        <w:t xml:space="preserve">the Commission will grant </w:t>
      </w:r>
      <w:r w:rsidRPr="00740053" w:rsidR="003F396E">
        <w:rPr>
          <w:rFonts w:ascii="Times New Roman" w:hAnsi="Times New Roman"/>
          <w:sz w:val="22"/>
          <w:szCs w:val="22"/>
        </w:rPr>
        <w:t xml:space="preserve">an application only if the applicant’s 40 </w:t>
      </w:r>
      <w:r w:rsidRPr="00740053" w:rsidR="003F396E">
        <w:rPr>
          <w:rFonts w:ascii="Times New Roman" w:hAnsi="Times New Roman"/>
          <w:sz w:val="22"/>
          <w:szCs w:val="22"/>
        </w:rPr>
        <w:t>dBu</w:t>
      </w:r>
      <w:r w:rsidRPr="00740053" w:rsidR="003F396E">
        <w:rPr>
          <w:rFonts w:ascii="Times New Roman" w:hAnsi="Times New Roman"/>
          <w:sz w:val="22"/>
          <w:szCs w:val="22"/>
        </w:rPr>
        <w:t xml:space="preserve"> F(50,50) contour receives no overlap from the interference contour of an incumbent operating a fixed station on an upper- or lower-adjacent channel.</w:t>
      </w:r>
    </w:p>
    <w:p w:rsidR="00AF75CF" w:rsidRPr="00740053" w:rsidP="003F396E" w14:paraId="2F251525" w14:textId="77777777">
      <w:pPr>
        <w:widowControl/>
        <w:suppressAutoHyphens/>
        <w:ind w:firstLine="360"/>
        <w:rPr>
          <w:rFonts w:ascii="Times New Roman" w:hAnsi="Times New Roman"/>
          <w:sz w:val="22"/>
          <w:szCs w:val="22"/>
        </w:rPr>
      </w:pPr>
    </w:p>
    <w:p w:rsidR="00AF75CF" w:rsidRPr="00740053" w:rsidP="00A62123" w14:paraId="3CA90635"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Nonetheless, per Section 90.621(d)(4), applicants may submit applications which </w:t>
      </w:r>
      <w:r w:rsidRPr="00740053" w:rsidR="00E4699D">
        <w:rPr>
          <w:rFonts w:ascii="Times New Roman" w:hAnsi="Times New Roman"/>
          <w:sz w:val="22"/>
          <w:szCs w:val="22"/>
        </w:rPr>
        <w:t xml:space="preserve">do </w:t>
      </w:r>
      <w:r w:rsidRPr="00740053">
        <w:rPr>
          <w:rFonts w:ascii="Times New Roman" w:hAnsi="Times New Roman"/>
          <w:sz w:val="22"/>
          <w:szCs w:val="22"/>
        </w:rPr>
        <w:t xml:space="preserve">cause contour overlap under the forward analysis if the applicant includes with its application a letter of concurrence from each incumbent that receives contour overlap.  In its letter of concurrence, the incumbent operator must </w:t>
      </w:r>
      <w:bookmarkStart w:id="0" w:name="_Hlk529886629"/>
      <w:r w:rsidRPr="00740053">
        <w:rPr>
          <w:rFonts w:ascii="Times New Roman" w:hAnsi="Times New Roman"/>
          <w:sz w:val="22"/>
          <w:szCs w:val="22"/>
        </w:rPr>
        <w:t>agree to accept any interference that occurs as a result of the contour overlap.</w:t>
      </w:r>
      <w:bookmarkEnd w:id="0"/>
      <w:r w:rsidRPr="00740053">
        <w:rPr>
          <w:rFonts w:ascii="Times New Roman" w:hAnsi="Times New Roman"/>
          <w:sz w:val="22"/>
          <w:szCs w:val="22"/>
        </w:rPr>
        <w:t xml:space="preserve">  </w:t>
      </w:r>
      <w:r w:rsidRPr="00740053" w:rsidR="00A62123">
        <w:rPr>
          <w:rFonts w:ascii="Times New Roman" w:hAnsi="Times New Roman"/>
          <w:sz w:val="22"/>
          <w:szCs w:val="22"/>
        </w:rPr>
        <w:t xml:space="preserve">Furthermore, applicants may also file </w:t>
      </w:r>
      <w:r w:rsidRPr="00740053" w:rsidR="00E4699D">
        <w:rPr>
          <w:rFonts w:ascii="Times New Roman" w:hAnsi="Times New Roman"/>
          <w:sz w:val="22"/>
          <w:szCs w:val="22"/>
        </w:rPr>
        <w:t xml:space="preserve">an </w:t>
      </w:r>
      <w:r w:rsidRPr="00740053" w:rsidR="00A62123">
        <w:rPr>
          <w:rFonts w:ascii="Times New Roman" w:hAnsi="Times New Roman"/>
          <w:sz w:val="22"/>
          <w:szCs w:val="22"/>
        </w:rPr>
        <w:t xml:space="preserve">application which </w:t>
      </w:r>
      <w:r w:rsidRPr="00740053" w:rsidR="00E4699D">
        <w:rPr>
          <w:rFonts w:ascii="Times New Roman" w:hAnsi="Times New Roman"/>
          <w:sz w:val="22"/>
          <w:szCs w:val="22"/>
        </w:rPr>
        <w:t xml:space="preserve">does </w:t>
      </w:r>
      <w:r w:rsidRPr="00740053" w:rsidR="00A62123">
        <w:rPr>
          <w:rFonts w:ascii="Times New Roman" w:hAnsi="Times New Roman"/>
          <w:sz w:val="22"/>
          <w:szCs w:val="22"/>
        </w:rPr>
        <w:t xml:space="preserve">receive contour overlap under the reciprocal analysis if the applicant includes a letter of concurrence from each incumbent that causes contour overlap.  In this case, the incumbent operator </w:t>
      </w:r>
      <w:bookmarkStart w:id="1" w:name="_Hlk529886771"/>
      <w:r w:rsidRPr="00740053" w:rsidR="00A62123">
        <w:rPr>
          <w:rFonts w:ascii="Times New Roman" w:hAnsi="Times New Roman"/>
          <w:sz w:val="22"/>
          <w:szCs w:val="22"/>
        </w:rPr>
        <w:t>must state in its letter of concurrence that it does not object to the applicant receiving contour overlap from the incumbent’s facility</w:t>
      </w:r>
      <w:bookmarkEnd w:id="1"/>
      <w:r w:rsidRPr="00740053" w:rsidR="00A62123">
        <w:rPr>
          <w:rFonts w:ascii="Times New Roman" w:hAnsi="Times New Roman"/>
          <w:sz w:val="22"/>
          <w:szCs w:val="22"/>
        </w:rPr>
        <w:t>.</w:t>
      </w:r>
      <w:r w:rsidRPr="00740053">
        <w:rPr>
          <w:rFonts w:ascii="Times New Roman" w:hAnsi="Times New Roman"/>
          <w:sz w:val="22"/>
          <w:szCs w:val="22"/>
        </w:rPr>
        <w:t xml:space="preserve">  </w:t>
      </w:r>
    </w:p>
    <w:p w:rsidR="003F396E" w:rsidRPr="00740053" w:rsidP="003F396E" w14:paraId="3B5FE9F5" w14:textId="77777777">
      <w:pPr>
        <w:widowControl/>
        <w:suppressAutoHyphens/>
        <w:ind w:firstLine="360"/>
        <w:rPr>
          <w:rFonts w:ascii="Times New Roman" w:hAnsi="Times New Roman"/>
          <w:sz w:val="22"/>
          <w:szCs w:val="22"/>
        </w:rPr>
      </w:pPr>
    </w:p>
    <w:p w:rsidR="006F2853" w:rsidRPr="00740053" w:rsidP="00E7588C" w14:paraId="699F3983"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As noted above, the requirement in Section 90.621(d)(4) for an applicant to include a letter of concurrence with its application </w:t>
      </w:r>
      <w:r w:rsidRPr="00740053" w:rsidR="00FA5265">
        <w:rPr>
          <w:rFonts w:ascii="Times New Roman" w:hAnsi="Times New Roman"/>
          <w:sz w:val="22"/>
          <w:szCs w:val="22"/>
        </w:rPr>
        <w:t xml:space="preserve">if the applicant causes </w:t>
      </w:r>
      <w:r w:rsidRPr="00740053" w:rsidR="0058701F">
        <w:rPr>
          <w:rFonts w:ascii="Times New Roman" w:hAnsi="Times New Roman"/>
          <w:sz w:val="22"/>
          <w:szCs w:val="22"/>
        </w:rPr>
        <w:t>contour overlap under the forward analysis or receives contour overlap under the reciprocal analysis</w:t>
      </w:r>
      <w:r w:rsidRPr="00740053" w:rsidR="00FA5265">
        <w:rPr>
          <w:rFonts w:ascii="Times New Roman" w:hAnsi="Times New Roman"/>
          <w:sz w:val="22"/>
          <w:szCs w:val="22"/>
        </w:rPr>
        <w:t xml:space="preserve"> </w:t>
      </w:r>
      <w:r w:rsidRPr="00740053">
        <w:rPr>
          <w:rFonts w:ascii="Times New Roman" w:hAnsi="Times New Roman"/>
          <w:sz w:val="22"/>
          <w:szCs w:val="22"/>
        </w:rPr>
        <w:t xml:space="preserve">is a new information collection.  </w:t>
      </w:r>
    </w:p>
    <w:p w:rsidR="006F2853" w:rsidRPr="00740053" w:rsidP="00E7588C" w14:paraId="1C6E4ACE" w14:textId="77777777">
      <w:pPr>
        <w:widowControl/>
        <w:suppressAutoHyphens/>
        <w:ind w:firstLine="360"/>
        <w:rPr>
          <w:rFonts w:ascii="Times New Roman" w:hAnsi="Times New Roman"/>
          <w:sz w:val="22"/>
          <w:szCs w:val="22"/>
        </w:rPr>
      </w:pPr>
    </w:p>
    <w:p w:rsidR="00F66E7E" w:rsidRPr="00740053" w:rsidP="00E7588C" w14:paraId="4E38901C" w14:textId="77777777">
      <w:pPr>
        <w:widowControl/>
        <w:suppressAutoHyphens/>
        <w:ind w:firstLine="360"/>
        <w:rPr>
          <w:rFonts w:ascii="Times New Roman" w:hAnsi="Times New Roman"/>
          <w:sz w:val="22"/>
          <w:szCs w:val="22"/>
        </w:rPr>
      </w:pPr>
      <w:r w:rsidRPr="00740053">
        <w:rPr>
          <w:rFonts w:ascii="Times New Roman" w:hAnsi="Times New Roman"/>
          <w:sz w:val="22"/>
          <w:szCs w:val="22"/>
        </w:rPr>
        <w:t>Th</w:t>
      </w:r>
      <w:r w:rsidRPr="00740053" w:rsidR="00CF2339">
        <w:rPr>
          <w:rFonts w:ascii="Times New Roman" w:hAnsi="Times New Roman"/>
          <w:sz w:val="22"/>
          <w:szCs w:val="22"/>
        </w:rPr>
        <w:t xml:space="preserve">is </w:t>
      </w:r>
      <w:r w:rsidRPr="00740053">
        <w:rPr>
          <w:rFonts w:ascii="Times New Roman" w:hAnsi="Times New Roman"/>
          <w:sz w:val="22"/>
          <w:szCs w:val="22"/>
        </w:rPr>
        <w:t xml:space="preserve">information collection </w:t>
      </w:r>
      <w:r w:rsidRPr="00740053" w:rsidR="009B42DE">
        <w:rPr>
          <w:rFonts w:ascii="Times New Roman" w:hAnsi="Times New Roman"/>
          <w:sz w:val="22"/>
          <w:szCs w:val="22"/>
        </w:rPr>
        <w:t>requirement</w:t>
      </w:r>
      <w:r w:rsidRPr="00740053" w:rsidR="007F141C">
        <w:rPr>
          <w:rFonts w:ascii="Times New Roman" w:hAnsi="Times New Roman"/>
          <w:sz w:val="22"/>
          <w:szCs w:val="22"/>
        </w:rPr>
        <w:t xml:space="preserve"> </w:t>
      </w:r>
      <w:r w:rsidRPr="00740053">
        <w:rPr>
          <w:rFonts w:ascii="Times New Roman" w:hAnsi="Times New Roman"/>
          <w:sz w:val="22"/>
          <w:szCs w:val="22"/>
        </w:rPr>
        <w:t xml:space="preserve">does not affect individuals or households; thus; there is no impact under the Privacy Act. </w:t>
      </w:r>
    </w:p>
    <w:p w:rsidR="00F66E7E" w:rsidRPr="00740053" w:rsidP="00F66E7E" w14:paraId="6AFD62C1" w14:textId="77777777">
      <w:pPr>
        <w:widowControl/>
        <w:suppressAutoHyphens/>
        <w:rPr>
          <w:rFonts w:ascii="Times New Roman" w:hAnsi="Times New Roman"/>
          <w:sz w:val="22"/>
          <w:szCs w:val="22"/>
        </w:rPr>
      </w:pPr>
    </w:p>
    <w:p w:rsidR="00E50D9A" w:rsidP="00F60088" w14:paraId="15C26520" w14:textId="137D848B">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is now </w:t>
      </w:r>
      <w:r w:rsidR="0016438C">
        <w:rPr>
          <w:rFonts w:ascii="Times New Roman" w:hAnsi="Times New Roman"/>
          <w:sz w:val="22"/>
          <w:szCs w:val="22"/>
        </w:rPr>
        <w:t xml:space="preserve">extending </w:t>
      </w:r>
      <w:r w:rsidRPr="00740053">
        <w:rPr>
          <w:rFonts w:ascii="Times New Roman" w:hAnsi="Times New Roman"/>
          <w:sz w:val="22"/>
          <w:szCs w:val="22"/>
        </w:rPr>
        <w:t>this information collection to the Office of Management and Budget (OMB) to obtain the full three-year clearance.</w:t>
      </w:r>
    </w:p>
    <w:p w:rsidR="004D7581" w:rsidP="00F60088" w14:paraId="5DAE3C63" w14:textId="77777777">
      <w:pPr>
        <w:widowControl/>
        <w:suppressAutoHyphens/>
        <w:ind w:firstLine="360"/>
        <w:rPr>
          <w:rFonts w:ascii="Times New Roman" w:hAnsi="Times New Roman"/>
          <w:sz w:val="22"/>
          <w:szCs w:val="22"/>
        </w:rPr>
      </w:pPr>
    </w:p>
    <w:p w:rsidR="004D7581" w:rsidRPr="00740053" w:rsidP="00F60088" w14:paraId="004F91E9" w14:textId="77777777">
      <w:pPr>
        <w:widowControl/>
        <w:suppressAutoHyphens/>
        <w:ind w:firstLine="360"/>
        <w:rPr>
          <w:rFonts w:ascii="Times New Roman" w:hAnsi="Times New Roman"/>
          <w:sz w:val="22"/>
          <w:szCs w:val="22"/>
        </w:rPr>
      </w:pPr>
      <w:r w:rsidRPr="004D7581">
        <w:rPr>
          <w:rFonts w:ascii="Times New Roman" w:hAnsi="Times New Roman"/>
          <w:sz w:val="22"/>
          <w:szCs w:val="22"/>
        </w:rPr>
        <w:t>Statutory authority for this information collection is contained in</w:t>
      </w:r>
      <w:r>
        <w:rPr>
          <w:rFonts w:ascii="Times New Roman" w:hAnsi="Times New Roman"/>
          <w:sz w:val="22"/>
          <w:szCs w:val="22"/>
        </w:rPr>
        <w:t xml:space="preserve"> </w:t>
      </w:r>
      <w:r w:rsidRPr="00602059" w:rsidR="00602059">
        <w:rPr>
          <w:rFonts w:ascii="Times New Roman" w:hAnsi="Times New Roman"/>
          <w:sz w:val="22"/>
          <w:szCs w:val="22"/>
        </w:rPr>
        <w:t>47 U.S.C. §§ 151, 154, 301, 303, and 332 of the Communications Act of 1934 as amended.</w:t>
      </w:r>
    </w:p>
    <w:p w:rsidR="0079711D" w:rsidRPr="00740053" w:rsidP="00275AF4" w14:paraId="079D595C" w14:textId="77777777">
      <w:pPr>
        <w:widowControl/>
        <w:suppressAutoHyphens/>
        <w:rPr>
          <w:rFonts w:ascii="Times New Roman" w:hAnsi="Times New Roman"/>
          <w:sz w:val="22"/>
          <w:szCs w:val="22"/>
        </w:rPr>
      </w:pPr>
    </w:p>
    <w:p w:rsidR="007946A9" w:rsidRPr="00740053" w:rsidP="00275AF4" w14:paraId="3A79DD5D" w14:textId="77777777">
      <w:pPr>
        <w:widowControl/>
        <w:numPr>
          <w:ilvl w:val="0"/>
          <w:numId w:val="2"/>
        </w:numPr>
        <w:suppressAutoHyphens/>
        <w:ind w:left="0" w:firstLine="360"/>
        <w:rPr>
          <w:rFonts w:ascii="Times New Roman" w:hAnsi="Times New Roman"/>
          <w:sz w:val="22"/>
          <w:szCs w:val="22"/>
        </w:rPr>
      </w:pPr>
      <w:r w:rsidRPr="00740053">
        <w:rPr>
          <w:rFonts w:ascii="Times New Roman" w:hAnsi="Times New Roman"/>
          <w:b/>
          <w:bCs/>
          <w:sz w:val="22"/>
          <w:szCs w:val="22"/>
        </w:rPr>
        <w:t>Indicate how, by whom and for what purpose the information is to be used. Except for a new collection, indicate the actual use the agency has made of the information received from the current collection.</w:t>
      </w:r>
    </w:p>
    <w:p w:rsidR="00743218" w:rsidRPr="00740053" w:rsidP="00275AF4" w14:paraId="702E10D0" w14:textId="77777777">
      <w:pPr>
        <w:widowControl/>
        <w:suppressAutoHyphens/>
        <w:rPr>
          <w:rFonts w:ascii="Times New Roman" w:hAnsi="Times New Roman"/>
          <w:sz w:val="22"/>
          <w:szCs w:val="22"/>
        </w:rPr>
      </w:pPr>
    </w:p>
    <w:p w:rsidR="00AA2618" w:rsidRPr="00740053" w:rsidP="00AA2618" w14:paraId="3247FCE4" w14:textId="77777777">
      <w:pPr>
        <w:ind w:firstLine="720"/>
        <w:rPr>
          <w:rFonts w:ascii="Times New Roman" w:hAnsi="Times New Roman"/>
          <w:sz w:val="22"/>
          <w:szCs w:val="22"/>
        </w:rPr>
      </w:pPr>
      <w:r w:rsidRPr="00740053">
        <w:rPr>
          <w:rFonts w:ascii="Times New Roman" w:hAnsi="Times New Roman"/>
          <w:sz w:val="22"/>
          <w:szCs w:val="22"/>
        </w:rPr>
        <w:t>Commission s</w:t>
      </w:r>
      <w:r w:rsidRPr="00740053">
        <w:rPr>
          <w:rFonts w:ascii="Times New Roman" w:hAnsi="Times New Roman"/>
          <w:sz w:val="22"/>
          <w:szCs w:val="22"/>
        </w:rPr>
        <w:t xml:space="preserve">taff </w:t>
      </w:r>
      <w:r w:rsidRPr="00740053" w:rsidR="0058701F">
        <w:rPr>
          <w:rFonts w:ascii="Times New Roman" w:hAnsi="Times New Roman"/>
          <w:sz w:val="22"/>
          <w:szCs w:val="22"/>
        </w:rPr>
        <w:t>will use letters of concurrence to determine if an application which causes contour overlap under the forward analysis or receives contour overlap under the reciprocal analysis should be granted.</w:t>
      </w:r>
      <w:r w:rsidRPr="00740053">
        <w:rPr>
          <w:rFonts w:ascii="Times New Roman" w:hAnsi="Times New Roman"/>
          <w:sz w:val="22"/>
          <w:szCs w:val="22"/>
        </w:rPr>
        <w:t xml:space="preserve">  </w:t>
      </w:r>
    </w:p>
    <w:p w:rsidR="00DB25B6" w:rsidRPr="00740053" w:rsidP="005B25E0" w14:paraId="0EBD7E17" w14:textId="77777777">
      <w:pPr>
        <w:ind w:firstLine="720"/>
        <w:rPr>
          <w:rFonts w:ascii="Times New Roman" w:hAnsi="Times New Roman"/>
          <w:sz w:val="22"/>
          <w:szCs w:val="22"/>
        </w:rPr>
      </w:pPr>
    </w:p>
    <w:p w:rsidR="00AA2618" w:rsidRPr="00740053" w:rsidP="0058701F" w14:paraId="169AE1DE" w14:textId="16102409">
      <w:pPr>
        <w:ind w:firstLine="720"/>
        <w:rPr>
          <w:rFonts w:ascii="Times New Roman" w:hAnsi="Times New Roman"/>
          <w:sz w:val="22"/>
          <w:szCs w:val="22"/>
        </w:rPr>
      </w:pPr>
      <w:bookmarkStart w:id="2" w:name="_Hlk529887828"/>
      <w:r w:rsidRPr="00740053">
        <w:rPr>
          <w:rFonts w:ascii="Times New Roman" w:hAnsi="Times New Roman"/>
          <w:sz w:val="22"/>
          <w:szCs w:val="22"/>
        </w:rPr>
        <w:t xml:space="preserve">The purpose of requiring </w:t>
      </w:r>
      <w:r w:rsidRPr="00740053" w:rsidR="0058701F">
        <w:rPr>
          <w:rFonts w:ascii="Times New Roman" w:hAnsi="Times New Roman"/>
          <w:sz w:val="22"/>
          <w:szCs w:val="22"/>
        </w:rPr>
        <w:t xml:space="preserve">applicants to obtain letters of concurrence is to ensure incumbents in the 800 MHz Mid-Band are aware of the contour overlap before an application is granted.  </w:t>
      </w:r>
      <w:r w:rsidRPr="00740053" w:rsidR="003236BE">
        <w:rPr>
          <w:rFonts w:ascii="Times New Roman" w:hAnsi="Times New Roman"/>
          <w:sz w:val="22"/>
          <w:szCs w:val="22"/>
        </w:rPr>
        <w:t xml:space="preserve">If </w:t>
      </w:r>
      <w:r w:rsidRPr="00740053" w:rsidR="00E4699D">
        <w:rPr>
          <w:rFonts w:ascii="Times New Roman" w:hAnsi="Times New Roman"/>
          <w:sz w:val="22"/>
          <w:szCs w:val="22"/>
        </w:rPr>
        <w:t>concurrence letter</w:t>
      </w:r>
      <w:r w:rsidRPr="00740053" w:rsidR="003236BE">
        <w:rPr>
          <w:rFonts w:ascii="Times New Roman" w:hAnsi="Times New Roman"/>
          <w:sz w:val="22"/>
          <w:szCs w:val="22"/>
        </w:rPr>
        <w:t>s</w:t>
      </w:r>
      <w:r w:rsidRPr="00740053" w:rsidR="00E4699D">
        <w:rPr>
          <w:rFonts w:ascii="Times New Roman" w:hAnsi="Times New Roman"/>
          <w:sz w:val="22"/>
          <w:szCs w:val="22"/>
        </w:rPr>
        <w:t xml:space="preserve"> </w:t>
      </w:r>
      <w:r w:rsidRPr="00740053" w:rsidR="003236BE">
        <w:rPr>
          <w:rFonts w:ascii="Times New Roman" w:hAnsi="Times New Roman"/>
          <w:sz w:val="22"/>
          <w:szCs w:val="22"/>
        </w:rPr>
        <w:t xml:space="preserve">were </w:t>
      </w:r>
      <w:r w:rsidRPr="00740053" w:rsidR="00E4699D">
        <w:rPr>
          <w:rFonts w:ascii="Times New Roman" w:hAnsi="Times New Roman"/>
          <w:sz w:val="22"/>
          <w:szCs w:val="22"/>
        </w:rPr>
        <w:t>not required, incumbent</w:t>
      </w:r>
      <w:r w:rsidR="003C1066">
        <w:rPr>
          <w:rFonts w:ascii="Times New Roman" w:hAnsi="Times New Roman"/>
          <w:sz w:val="22"/>
          <w:szCs w:val="22"/>
        </w:rPr>
        <w:t>s</w:t>
      </w:r>
      <w:r w:rsidRPr="00740053" w:rsidR="00E4699D">
        <w:rPr>
          <w:rFonts w:ascii="Times New Roman" w:hAnsi="Times New Roman"/>
          <w:sz w:val="22"/>
          <w:szCs w:val="22"/>
        </w:rPr>
        <w:t xml:space="preserve"> could receive </w:t>
      </w:r>
      <w:r w:rsidRPr="00740053" w:rsidR="003236BE">
        <w:rPr>
          <w:rFonts w:ascii="Times New Roman" w:hAnsi="Times New Roman"/>
          <w:sz w:val="22"/>
          <w:szCs w:val="22"/>
        </w:rPr>
        <w:t xml:space="preserve">interference from </w:t>
      </w:r>
      <w:r w:rsidRPr="00740053" w:rsidR="00E4699D">
        <w:rPr>
          <w:rFonts w:ascii="Times New Roman" w:hAnsi="Times New Roman"/>
          <w:sz w:val="22"/>
          <w:szCs w:val="22"/>
        </w:rPr>
        <w:t xml:space="preserve">or cause interference </w:t>
      </w:r>
      <w:r w:rsidRPr="00740053" w:rsidR="003236BE">
        <w:rPr>
          <w:rFonts w:ascii="Times New Roman" w:hAnsi="Times New Roman"/>
          <w:sz w:val="22"/>
          <w:szCs w:val="22"/>
        </w:rPr>
        <w:t xml:space="preserve">to applicants </w:t>
      </w:r>
      <w:r w:rsidRPr="00740053" w:rsidR="00E4699D">
        <w:rPr>
          <w:rFonts w:ascii="Times New Roman" w:hAnsi="Times New Roman"/>
          <w:sz w:val="22"/>
          <w:szCs w:val="22"/>
        </w:rPr>
        <w:t xml:space="preserve">without </w:t>
      </w:r>
      <w:r w:rsidRPr="00740053" w:rsidR="003236BE">
        <w:rPr>
          <w:rFonts w:ascii="Times New Roman" w:hAnsi="Times New Roman"/>
          <w:sz w:val="22"/>
          <w:szCs w:val="22"/>
        </w:rPr>
        <w:t xml:space="preserve">the incumbent’s </w:t>
      </w:r>
      <w:r w:rsidRPr="00740053" w:rsidR="00E4699D">
        <w:rPr>
          <w:rFonts w:ascii="Times New Roman" w:hAnsi="Times New Roman"/>
          <w:sz w:val="22"/>
          <w:szCs w:val="22"/>
        </w:rPr>
        <w:t xml:space="preserve">knowledge and to the detriment of </w:t>
      </w:r>
      <w:r w:rsidRPr="00740053" w:rsidR="004A604F">
        <w:rPr>
          <w:rFonts w:ascii="Times New Roman" w:hAnsi="Times New Roman"/>
          <w:sz w:val="22"/>
          <w:szCs w:val="22"/>
        </w:rPr>
        <w:t xml:space="preserve">their, and other, users, many of whom are public safety </w:t>
      </w:r>
      <w:r w:rsidRPr="00740053" w:rsidR="00E4699D">
        <w:rPr>
          <w:rFonts w:ascii="Times New Roman" w:hAnsi="Times New Roman"/>
          <w:sz w:val="22"/>
          <w:szCs w:val="22"/>
        </w:rPr>
        <w:t>first responders</w:t>
      </w:r>
      <w:r w:rsidRPr="00740053" w:rsidR="004A604F">
        <w:rPr>
          <w:rFonts w:ascii="Times New Roman" w:hAnsi="Times New Roman"/>
          <w:sz w:val="22"/>
          <w:szCs w:val="22"/>
        </w:rPr>
        <w:t>.</w:t>
      </w:r>
    </w:p>
    <w:bookmarkEnd w:id="2"/>
    <w:p w:rsidR="006F62AF" w:rsidRPr="00740053" w:rsidP="005B25E0" w14:paraId="4ED7CD40" w14:textId="77777777">
      <w:pPr>
        <w:ind w:firstLine="720"/>
        <w:rPr>
          <w:rFonts w:ascii="Times New Roman" w:hAnsi="Times New Roman"/>
          <w:sz w:val="22"/>
          <w:szCs w:val="22"/>
        </w:rPr>
      </w:pPr>
      <w:r w:rsidRPr="00740053">
        <w:rPr>
          <w:rFonts w:ascii="Times New Roman" w:hAnsi="Times New Roman"/>
          <w:sz w:val="22"/>
          <w:szCs w:val="22"/>
        </w:rPr>
        <w:t xml:space="preserve">  </w:t>
      </w:r>
    </w:p>
    <w:p w:rsidR="00A962C8" w:rsidRPr="00740053" w:rsidP="00275AF4" w14:paraId="47E9F4A7"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whether, and to what extent, the collection of information involves the use of automated, electronic, mechanical or other technological techniques or other forms of information technology, e.g., permitting electronic submissions of responses, and the basis for the decision for adopting this means of collection.</w:t>
      </w:r>
    </w:p>
    <w:p w:rsidR="00E50D9A" w:rsidRPr="00740053" w:rsidP="00275AF4" w14:paraId="755B93CA" w14:textId="77777777">
      <w:pPr>
        <w:widowControl/>
        <w:suppressAutoHyphens/>
        <w:rPr>
          <w:rFonts w:ascii="Times New Roman" w:hAnsi="Times New Roman"/>
          <w:sz w:val="22"/>
          <w:szCs w:val="22"/>
        </w:rPr>
      </w:pPr>
    </w:p>
    <w:p w:rsidR="007628B8" w:rsidRPr="00740053" w:rsidP="006F791E" w14:paraId="5541A684"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Applicants are permitted to submit their letters of concurrence electronically through the Commission’s Universal Licensing System (ULS) along with FCC Form 601 when they file an application for license.  </w:t>
      </w:r>
      <w:r w:rsidRPr="00740053" w:rsidR="00E65D99">
        <w:rPr>
          <w:rFonts w:ascii="Times New Roman" w:hAnsi="Times New Roman"/>
          <w:sz w:val="22"/>
          <w:szCs w:val="22"/>
        </w:rPr>
        <w:t xml:space="preserve">    </w:t>
      </w:r>
    </w:p>
    <w:p w:rsidR="00E66974" w:rsidRPr="00740053" w:rsidP="00275AF4" w14:paraId="529DF2CA" w14:textId="77777777">
      <w:pPr>
        <w:widowControl/>
        <w:suppressAutoHyphens/>
        <w:rPr>
          <w:rFonts w:ascii="Times New Roman" w:hAnsi="Times New Roman"/>
          <w:sz w:val="22"/>
          <w:szCs w:val="22"/>
        </w:rPr>
      </w:pPr>
    </w:p>
    <w:p w:rsidR="00743218" w:rsidRPr="00740053" w:rsidP="00275AF4" w14:paraId="10780B40"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efforts to identify duplication.</w:t>
      </w:r>
    </w:p>
    <w:p w:rsidR="00E66974" w:rsidRPr="00740053" w:rsidP="00275AF4" w14:paraId="68543DE3" w14:textId="77777777">
      <w:pPr>
        <w:widowControl/>
        <w:suppressAutoHyphens/>
        <w:ind w:left="360"/>
        <w:rPr>
          <w:rFonts w:ascii="Times New Roman" w:hAnsi="Times New Roman"/>
          <w:sz w:val="22"/>
          <w:szCs w:val="22"/>
        </w:rPr>
      </w:pPr>
    </w:p>
    <w:p w:rsidR="00EF3305" w:rsidRPr="00563248" w:rsidP="00563248" w14:paraId="02D70AAE" w14:textId="36FD0069">
      <w:pPr>
        <w:rPr>
          <w:spacing w:val="-2"/>
          <w:szCs w:val="24"/>
        </w:rPr>
      </w:pPr>
      <w:r w:rsidRPr="00740053">
        <w:rPr>
          <w:rFonts w:ascii="Times New Roman" w:hAnsi="Times New Roman"/>
          <w:sz w:val="22"/>
          <w:szCs w:val="22"/>
        </w:rPr>
        <w:t xml:space="preserve">No other federal agency </w:t>
      </w:r>
      <w:r w:rsidRPr="00740053" w:rsidR="00E66974">
        <w:rPr>
          <w:rFonts w:ascii="Times New Roman" w:hAnsi="Times New Roman"/>
          <w:sz w:val="22"/>
          <w:szCs w:val="22"/>
        </w:rPr>
        <w:t>requires or collects the documents described here.</w:t>
      </w:r>
      <w:r w:rsidRPr="00D6662D" w:rsidR="00E66974">
        <w:rPr>
          <w:rFonts w:ascii="Times New Roman" w:hAnsi="Times New Roman"/>
          <w:sz w:val="22"/>
          <w:szCs w:val="22"/>
        </w:rPr>
        <w:t xml:space="preserve">  </w:t>
      </w:r>
      <w:r w:rsidRPr="00563248" w:rsidR="00D6662D">
        <w:rPr>
          <w:rFonts w:ascii="Times New Roman" w:hAnsi="Times New Roman"/>
          <w:spacing w:val="-2"/>
          <w:sz w:val="22"/>
          <w:szCs w:val="22"/>
        </w:rPr>
        <w:t xml:space="preserve">This agency does not impose a similar information collection on the respondents.  There are no similar data available.  </w:t>
      </w:r>
    </w:p>
    <w:p w:rsidR="00743218" w:rsidRPr="00740053" w:rsidP="00275AF4" w14:paraId="0EC16731" w14:textId="77777777">
      <w:pPr>
        <w:widowControl/>
        <w:suppressAutoHyphens/>
        <w:rPr>
          <w:rFonts w:ascii="Times New Roman" w:hAnsi="Times New Roman"/>
          <w:sz w:val="22"/>
          <w:szCs w:val="22"/>
        </w:rPr>
      </w:pPr>
    </w:p>
    <w:p w:rsidR="00E57FDB" w:rsidRPr="00740053" w:rsidP="00275AF4" w14:paraId="2CA07C33"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If the collection of information will have significant economic impacts on small businesses, organizations or other small entities, describe any methods used to minimize the burden on these entities.</w:t>
      </w:r>
    </w:p>
    <w:p w:rsidR="00E57FDB" w:rsidRPr="00740053" w:rsidP="00275AF4" w14:paraId="23C98041" w14:textId="77777777">
      <w:pPr>
        <w:widowControl/>
        <w:suppressAutoHyphens/>
        <w:rPr>
          <w:rFonts w:ascii="Times New Roman" w:hAnsi="Times New Roman"/>
          <w:sz w:val="22"/>
          <w:szCs w:val="22"/>
        </w:rPr>
      </w:pPr>
    </w:p>
    <w:p w:rsidR="00C07F97" w:rsidRPr="00740053" w:rsidP="006F791E" w14:paraId="0449FB49"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In conformance with the Paperwork Reduction Act of 1995, </w:t>
      </w:r>
      <w:r w:rsidRPr="00740053" w:rsidR="0086772A">
        <w:rPr>
          <w:rFonts w:ascii="Times New Roman" w:hAnsi="Times New Roman"/>
          <w:sz w:val="22"/>
          <w:szCs w:val="22"/>
        </w:rPr>
        <w:t xml:space="preserve">the Commission </w:t>
      </w:r>
      <w:r w:rsidRPr="00740053">
        <w:rPr>
          <w:rFonts w:ascii="Times New Roman" w:hAnsi="Times New Roman"/>
          <w:sz w:val="22"/>
          <w:szCs w:val="22"/>
        </w:rPr>
        <w:t xml:space="preserve">makes an effort to minimize the burden of information collection on all its licensees regardless of size.  To that </w:t>
      </w:r>
      <w:r w:rsidRPr="00740053" w:rsidR="001E7826">
        <w:rPr>
          <w:rFonts w:ascii="Times New Roman" w:hAnsi="Times New Roman"/>
          <w:sz w:val="22"/>
          <w:szCs w:val="22"/>
        </w:rPr>
        <w:t xml:space="preserve">end, the </w:t>
      </w:r>
      <w:r w:rsidRPr="00740053" w:rsidR="00D17DFF">
        <w:rPr>
          <w:rFonts w:ascii="Times New Roman" w:hAnsi="Times New Roman"/>
          <w:sz w:val="22"/>
          <w:szCs w:val="22"/>
        </w:rPr>
        <w:t>requirement for applicants to submit letters of concurrence under</w:t>
      </w:r>
      <w:r w:rsidRPr="00740053" w:rsidR="00F07884">
        <w:rPr>
          <w:rFonts w:ascii="Times New Roman" w:hAnsi="Times New Roman"/>
          <w:sz w:val="22"/>
          <w:szCs w:val="22"/>
        </w:rPr>
        <w:t xml:space="preserve"> Section 90.621(d)(4) </w:t>
      </w:r>
      <w:r w:rsidRPr="00740053">
        <w:rPr>
          <w:rFonts w:ascii="Times New Roman" w:hAnsi="Times New Roman"/>
          <w:sz w:val="22"/>
          <w:szCs w:val="22"/>
        </w:rPr>
        <w:t>appl</w:t>
      </w:r>
      <w:r w:rsidRPr="00740053" w:rsidR="0086772A">
        <w:rPr>
          <w:rFonts w:ascii="Times New Roman" w:hAnsi="Times New Roman"/>
          <w:sz w:val="22"/>
          <w:szCs w:val="22"/>
        </w:rPr>
        <w:t xml:space="preserve">ies </w:t>
      </w:r>
      <w:r w:rsidRPr="00740053">
        <w:rPr>
          <w:rFonts w:ascii="Times New Roman" w:hAnsi="Times New Roman"/>
          <w:sz w:val="22"/>
          <w:szCs w:val="22"/>
        </w:rPr>
        <w:t xml:space="preserve">to the absolute minimum number of </w:t>
      </w:r>
      <w:r w:rsidRPr="00740053" w:rsidR="00F07884">
        <w:rPr>
          <w:rFonts w:ascii="Times New Roman" w:hAnsi="Times New Roman"/>
          <w:sz w:val="22"/>
          <w:szCs w:val="22"/>
        </w:rPr>
        <w:t>applica</w:t>
      </w:r>
      <w:r w:rsidRPr="00740053" w:rsidR="000F6304">
        <w:rPr>
          <w:rFonts w:ascii="Times New Roman" w:hAnsi="Times New Roman"/>
          <w:sz w:val="22"/>
          <w:szCs w:val="22"/>
        </w:rPr>
        <w:t xml:space="preserve">nts </w:t>
      </w:r>
      <w:r w:rsidRPr="00740053">
        <w:rPr>
          <w:rFonts w:ascii="Times New Roman" w:hAnsi="Times New Roman"/>
          <w:sz w:val="22"/>
          <w:szCs w:val="22"/>
        </w:rPr>
        <w:t xml:space="preserve">necessary.  </w:t>
      </w:r>
    </w:p>
    <w:p w:rsidR="00C07F97" w:rsidRPr="00740053" w:rsidP="00275AF4" w14:paraId="2539BF71" w14:textId="77777777">
      <w:pPr>
        <w:widowControl/>
        <w:suppressAutoHyphens/>
        <w:rPr>
          <w:rFonts w:ascii="Times New Roman" w:hAnsi="Times New Roman"/>
          <w:sz w:val="22"/>
          <w:szCs w:val="22"/>
        </w:rPr>
      </w:pPr>
    </w:p>
    <w:p w:rsidR="00D17DFF" w:rsidRPr="00740053" w:rsidP="00D17DFF" w14:paraId="33721410"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No applicant is required to file an application which causes contour overlap under the forward analysis or receives contour overlap under the reciprocal analysis.  Only an applicant who chooses to file such an application is required to include letters of concurrence with its application.     </w:t>
      </w:r>
    </w:p>
    <w:p w:rsidR="00F60088" w:rsidRPr="00740053" w:rsidP="00275AF4" w14:paraId="3A7884A0" w14:textId="77777777">
      <w:pPr>
        <w:widowControl/>
        <w:suppressAutoHyphens/>
        <w:rPr>
          <w:rFonts w:ascii="Times New Roman" w:hAnsi="Times New Roman"/>
          <w:sz w:val="22"/>
          <w:szCs w:val="22"/>
        </w:rPr>
      </w:pPr>
    </w:p>
    <w:p w:rsidR="00AE1FB0" w:rsidRPr="00740053" w:rsidP="00275AF4" w14:paraId="3C84CDA9"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the consequences to Federal program or policy activities if the collection is not conducted or is conducted less frequently, as well as any technical or legal obstacles to reducing the burden.</w:t>
      </w:r>
    </w:p>
    <w:p w:rsidR="00AE1FB0" w:rsidRPr="00740053" w:rsidP="00275AF4" w14:paraId="4DD29693" w14:textId="77777777">
      <w:pPr>
        <w:widowControl/>
        <w:suppressAutoHyphens/>
        <w:rPr>
          <w:rFonts w:ascii="Times New Roman" w:hAnsi="Times New Roman"/>
          <w:sz w:val="22"/>
          <w:szCs w:val="22"/>
        </w:rPr>
      </w:pPr>
    </w:p>
    <w:p w:rsidR="009C6842" w:rsidRPr="00740053" w:rsidP="006F791E" w14:paraId="22E75880"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A consequence of </w:t>
      </w:r>
      <w:r w:rsidRPr="00740053" w:rsidR="005A75EE">
        <w:rPr>
          <w:rFonts w:ascii="Times New Roman" w:hAnsi="Times New Roman"/>
          <w:sz w:val="22"/>
          <w:szCs w:val="22"/>
        </w:rPr>
        <w:t xml:space="preserve">allowing an applicant to </w:t>
      </w:r>
      <w:r w:rsidRPr="00740053" w:rsidR="00406D98">
        <w:rPr>
          <w:rFonts w:ascii="Times New Roman" w:hAnsi="Times New Roman"/>
          <w:sz w:val="22"/>
          <w:szCs w:val="22"/>
        </w:rPr>
        <w:t xml:space="preserve">file an application which </w:t>
      </w:r>
      <w:r w:rsidRPr="00740053" w:rsidR="005A75EE">
        <w:rPr>
          <w:rFonts w:ascii="Times New Roman" w:hAnsi="Times New Roman"/>
          <w:sz w:val="22"/>
          <w:szCs w:val="22"/>
        </w:rPr>
        <w:t xml:space="preserve">causes </w:t>
      </w:r>
      <w:r w:rsidRPr="00740053">
        <w:rPr>
          <w:rFonts w:ascii="Times New Roman" w:hAnsi="Times New Roman"/>
          <w:sz w:val="22"/>
          <w:szCs w:val="22"/>
        </w:rPr>
        <w:t xml:space="preserve">or receives </w:t>
      </w:r>
      <w:r w:rsidRPr="00740053" w:rsidR="005A75EE">
        <w:rPr>
          <w:rFonts w:ascii="Times New Roman" w:hAnsi="Times New Roman"/>
          <w:sz w:val="22"/>
          <w:szCs w:val="22"/>
        </w:rPr>
        <w:t xml:space="preserve">contour overlap </w:t>
      </w:r>
      <w:r w:rsidRPr="00740053" w:rsidR="00406D98">
        <w:rPr>
          <w:rFonts w:ascii="Times New Roman" w:hAnsi="Times New Roman"/>
          <w:sz w:val="22"/>
          <w:szCs w:val="22"/>
        </w:rPr>
        <w:t xml:space="preserve">without </w:t>
      </w:r>
      <w:r w:rsidRPr="00740053">
        <w:rPr>
          <w:rFonts w:ascii="Times New Roman" w:hAnsi="Times New Roman"/>
          <w:sz w:val="22"/>
          <w:szCs w:val="22"/>
        </w:rPr>
        <w:t xml:space="preserve">requiring the applicant to </w:t>
      </w:r>
      <w:r w:rsidRPr="00740053" w:rsidR="00406D98">
        <w:rPr>
          <w:rFonts w:ascii="Times New Roman" w:hAnsi="Times New Roman"/>
          <w:sz w:val="22"/>
          <w:szCs w:val="22"/>
        </w:rPr>
        <w:t>includ</w:t>
      </w:r>
      <w:r w:rsidRPr="00740053">
        <w:rPr>
          <w:rFonts w:ascii="Times New Roman" w:hAnsi="Times New Roman"/>
          <w:sz w:val="22"/>
          <w:szCs w:val="22"/>
        </w:rPr>
        <w:t xml:space="preserve">e </w:t>
      </w:r>
      <w:r w:rsidRPr="00740053" w:rsidR="00406D98">
        <w:rPr>
          <w:rFonts w:ascii="Times New Roman" w:hAnsi="Times New Roman"/>
          <w:sz w:val="22"/>
          <w:szCs w:val="22"/>
        </w:rPr>
        <w:t xml:space="preserve">letters of concurrence </w:t>
      </w:r>
      <w:r w:rsidRPr="00740053" w:rsidR="005A75EE">
        <w:rPr>
          <w:rFonts w:ascii="Times New Roman" w:hAnsi="Times New Roman"/>
          <w:sz w:val="22"/>
          <w:szCs w:val="22"/>
        </w:rPr>
        <w:t xml:space="preserve">is that </w:t>
      </w:r>
      <w:r w:rsidRPr="00740053" w:rsidR="00E4699D">
        <w:rPr>
          <w:rFonts w:ascii="Times New Roman" w:hAnsi="Times New Roman"/>
          <w:sz w:val="22"/>
          <w:szCs w:val="22"/>
        </w:rPr>
        <w:t>incumbent licensees would have no means of determining whether a new applicant would cause interference to</w:t>
      </w:r>
      <w:r w:rsidRPr="00740053" w:rsidR="004A604F">
        <w:rPr>
          <w:rFonts w:ascii="Times New Roman" w:hAnsi="Times New Roman"/>
          <w:sz w:val="22"/>
          <w:szCs w:val="22"/>
        </w:rPr>
        <w:t>, or receive interference from,</w:t>
      </w:r>
      <w:r w:rsidRPr="00740053" w:rsidR="00E4699D">
        <w:rPr>
          <w:rFonts w:ascii="Times New Roman" w:hAnsi="Times New Roman"/>
          <w:sz w:val="22"/>
          <w:szCs w:val="22"/>
        </w:rPr>
        <w:t xml:space="preserve"> their communications.</w:t>
      </w:r>
      <w:r w:rsidRPr="00740053" w:rsidR="004A604F">
        <w:rPr>
          <w:rFonts w:ascii="Times New Roman" w:hAnsi="Times New Roman"/>
          <w:sz w:val="22"/>
          <w:szCs w:val="22"/>
        </w:rPr>
        <w:t xml:space="preserve"> Causing such interference is inconsistent with the Commission’s programs and policies. </w:t>
      </w:r>
      <w:r w:rsidRPr="00740053">
        <w:rPr>
          <w:rFonts w:ascii="Times New Roman" w:hAnsi="Times New Roman"/>
          <w:sz w:val="22"/>
          <w:szCs w:val="22"/>
        </w:rPr>
        <w:t xml:space="preserve">  </w:t>
      </w:r>
    </w:p>
    <w:p w:rsidR="009C6842" w:rsidRPr="00740053" w:rsidP="006F791E" w14:paraId="203AEAD6" w14:textId="77777777">
      <w:pPr>
        <w:widowControl/>
        <w:suppressAutoHyphens/>
        <w:ind w:firstLine="360"/>
        <w:rPr>
          <w:rFonts w:ascii="Times New Roman" w:hAnsi="Times New Roman"/>
          <w:sz w:val="22"/>
          <w:szCs w:val="22"/>
        </w:rPr>
      </w:pPr>
    </w:p>
    <w:p w:rsidR="005A75EE" w:rsidRPr="00740053" w:rsidP="009C6842" w14:paraId="0F4FE066"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Therefore the requirement in Section 90.621(d)(4) for an applicant to include letters of concurrence with its application ensures that incumbent licensees are aware of the contour overlap and the potential for interference before Commission staff grants an application which causes contour overlap under the forward analysis or receives contour overlap under the reciprocal analysis.  </w:t>
      </w:r>
    </w:p>
    <w:p w:rsidR="00C83A71" w:rsidRPr="00740053" w:rsidP="00275AF4" w14:paraId="06605591" w14:textId="77777777">
      <w:pPr>
        <w:widowControl/>
        <w:suppressAutoHyphens/>
        <w:rPr>
          <w:rFonts w:ascii="Times New Roman" w:hAnsi="Times New Roman"/>
          <w:sz w:val="22"/>
          <w:szCs w:val="22"/>
        </w:rPr>
      </w:pPr>
    </w:p>
    <w:p w:rsidR="00743218" w:rsidRPr="00740053" w:rsidP="00602288" w14:paraId="38BF4B1B" w14:textId="41B1D55F">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Explain any special circumstances that would cause an information collected in a manner inconsistent with OMB’s guidelines which are stated in 5 CFR § 1320.5(d)(2).</w:t>
      </w:r>
      <w:r w:rsidRPr="00740053" w:rsidR="004917C9">
        <w:rPr>
          <w:rFonts w:ascii="Times New Roman" w:hAnsi="Times New Roman"/>
          <w:b/>
          <w:sz w:val="22"/>
          <w:szCs w:val="22"/>
        </w:rPr>
        <w:t xml:space="preserve">     </w:t>
      </w:r>
      <w:r w:rsidRPr="00740053" w:rsidR="004F1B4C">
        <w:rPr>
          <w:rFonts w:ascii="Times New Roman" w:hAnsi="Times New Roman"/>
          <w:b/>
          <w:sz w:val="22"/>
          <w:szCs w:val="22"/>
        </w:rPr>
        <w:t xml:space="preserve"> </w:t>
      </w:r>
    </w:p>
    <w:p w:rsidR="00EF3305" w:rsidRPr="00740053" w:rsidP="00494B05" w14:paraId="1DB123D3" w14:textId="77777777">
      <w:pPr>
        <w:widowControl/>
        <w:suppressAutoHyphens/>
        <w:rPr>
          <w:rFonts w:ascii="Times New Roman" w:hAnsi="Times New Roman"/>
          <w:sz w:val="22"/>
          <w:szCs w:val="22"/>
        </w:rPr>
      </w:pPr>
    </w:p>
    <w:p w:rsidR="00494B05" w:rsidRPr="00740053" w:rsidP="006F791E" w14:paraId="2FB82767" w14:textId="23E34D0B">
      <w:pPr>
        <w:widowControl/>
        <w:suppressAutoHyphens/>
        <w:ind w:firstLine="360"/>
        <w:rPr>
          <w:rFonts w:ascii="Times New Roman" w:hAnsi="Times New Roman"/>
          <w:sz w:val="22"/>
          <w:szCs w:val="22"/>
        </w:rPr>
      </w:pPr>
      <w:r w:rsidRPr="00740053">
        <w:rPr>
          <w:rFonts w:ascii="Times New Roman" w:hAnsi="Times New Roman"/>
          <w:sz w:val="22"/>
          <w:szCs w:val="22"/>
        </w:rPr>
        <w:t>The information collection</w:t>
      </w:r>
      <w:r w:rsidRPr="00740053">
        <w:rPr>
          <w:rFonts w:ascii="Times New Roman" w:hAnsi="Times New Roman"/>
          <w:sz w:val="22"/>
          <w:szCs w:val="22"/>
        </w:rPr>
        <w:t xml:space="preserve"> </w:t>
      </w:r>
      <w:r w:rsidRPr="00740053" w:rsidR="006C7BE6">
        <w:rPr>
          <w:rFonts w:ascii="Times New Roman" w:hAnsi="Times New Roman"/>
          <w:sz w:val="22"/>
          <w:szCs w:val="22"/>
        </w:rPr>
        <w:t>required by Section 90.621(d)(4)</w:t>
      </w:r>
      <w:r w:rsidRPr="00740053">
        <w:rPr>
          <w:rFonts w:ascii="Times New Roman" w:hAnsi="Times New Roman"/>
          <w:sz w:val="22"/>
          <w:szCs w:val="22"/>
        </w:rPr>
        <w:t xml:space="preserve"> is </w:t>
      </w:r>
      <w:r w:rsidRPr="00740053">
        <w:rPr>
          <w:rFonts w:ascii="Times New Roman" w:hAnsi="Times New Roman"/>
          <w:sz w:val="22"/>
          <w:szCs w:val="22"/>
        </w:rPr>
        <w:t>consistent with the guidelines in 5 CFR § 1320.5(d)(2).</w:t>
      </w:r>
      <w:r w:rsidR="00D6662D">
        <w:rPr>
          <w:rFonts w:ascii="Times New Roman" w:hAnsi="Times New Roman"/>
          <w:sz w:val="22"/>
          <w:szCs w:val="22"/>
        </w:rPr>
        <w:t xml:space="preserve">  </w:t>
      </w:r>
      <w:r w:rsidRPr="00D6662D" w:rsidR="00D6662D">
        <w:rPr>
          <w:rFonts w:ascii="Times New Roman" w:hAnsi="Times New Roman"/>
          <w:sz w:val="22"/>
          <w:szCs w:val="22"/>
        </w:rPr>
        <w:t>The Commission cannot identify any special circumstances that would cause the information collection to be inconsistent with OMB’s guidelines.</w:t>
      </w:r>
    </w:p>
    <w:p w:rsidR="00494B05" w:rsidRPr="00740053" w:rsidP="00494B05" w14:paraId="46CC546A" w14:textId="77777777">
      <w:pPr>
        <w:widowControl/>
        <w:suppressAutoHyphens/>
        <w:rPr>
          <w:rFonts w:ascii="Times New Roman" w:hAnsi="Times New Roman"/>
          <w:sz w:val="22"/>
          <w:szCs w:val="22"/>
        </w:rPr>
      </w:pPr>
    </w:p>
    <w:p w:rsidR="00494B05" w:rsidRPr="00740053" w:rsidP="00213FC5" w14:paraId="27CF309D" w14:textId="658F32FB">
      <w:pPr>
        <w:widowControl/>
        <w:numPr>
          <w:ilvl w:val="0"/>
          <w:numId w:val="2"/>
        </w:numPr>
        <w:suppressAutoHyphens/>
        <w:ind w:left="0" w:firstLine="360"/>
        <w:rPr>
          <w:rFonts w:ascii="Times New Roman" w:hAnsi="Times New Roman"/>
          <w:b/>
          <w:sz w:val="22"/>
          <w:szCs w:val="22"/>
        </w:rPr>
      </w:pPr>
      <w:r w:rsidRPr="003B7D11">
        <w:rPr>
          <w:rFonts w:ascii="Times New Roman" w:hAnsi="Times New Roman"/>
          <w:b/>
          <w:sz w:val="22"/>
          <w:szCs w:val="22"/>
        </w:rPr>
        <w:t>If applicable, provide a copy and identify the date and page number of publication in the Federal Register of the agency’s notice, required by 5 CFR § 1320.8(d),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40053" w:rsidR="00213FC5">
        <w:rPr>
          <w:rFonts w:ascii="Times New Roman" w:hAnsi="Times New Roman"/>
          <w:b/>
          <w:sz w:val="22"/>
          <w:szCs w:val="22"/>
        </w:rPr>
        <w:t>.</w:t>
      </w:r>
    </w:p>
    <w:p w:rsidR="00213FC5" w:rsidRPr="00740053" w:rsidP="00213FC5" w14:paraId="5288C329" w14:textId="77777777">
      <w:pPr>
        <w:widowControl/>
        <w:suppressAutoHyphens/>
        <w:rPr>
          <w:rFonts w:ascii="Times New Roman" w:hAnsi="Times New Roman"/>
          <w:sz w:val="22"/>
          <w:szCs w:val="22"/>
        </w:rPr>
      </w:pPr>
    </w:p>
    <w:p w:rsidR="003B7D11" w:rsidRPr="003B7D11" w:rsidP="00563248" w14:paraId="01E93E5D" w14:textId="599D38A5">
      <w:pPr>
        <w:widowControl/>
        <w:suppressAutoHyphens/>
        <w:ind w:firstLine="360"/>
        <w:rPr>
          <w:rFonts w:ascii="Times New Roman" w:hAnsi="Times New Roman"/>
          <w:sz w:val="22"/>
          <w:szCs w:val="22"/>
        </w:rPr>
      </w:pPr>
      <w:r w:rsidRPr="003B7D11">
        <w:rPr>
          <w:rFonts w:ascii="Times New Roman" w:hAnsi="Times New Roman"/>
          <w:sz w:val="22"/>
          <w:szCs w:val="22"/>
        </w:rPr>
        <w:t xml:space="preserve">The Commission published a notice in the Federal Register on </w:t>
      </w:r>
      <w:r w:rsidR="00A84135">
        <w:rPr>
          <w:rFonts w:ascii="Times New Roman" w:hAnsi="Times New Roman"/>
          <w:sz w:val="22"/>
          <w:szCs w:val="22"/>
        </w:rPr>
        <w:t>September 12</w:t>
      </w:r>
      <w:r w:rsidRPr="003B7D11">
        <w:rPr>
          <w:rFonts w:ascii="Times New Roman" w:hAnsi="Times New Roman"/>
          <w:sz w:val="22"/>
          <w:szCs w:val="22"/>
        </w:rPr>
        <w:t>, 2024 (</w:t>
      </w:r>
      <w:r w:rsidR="00A84135">
        <w:rPr>
          <w:rFonts w:ascii="Times New Roman" w:hAnsi="Times New Roman"/>
          <w:sz w:val="22"/>
          <w:szCs w:val="22"/>
        </w:rPr>
        <w:t>89</w:t>
      </w:r>
      <w:r w:rsidRPr="003B7D11">
        <w:rPr>
          <w:rFonts w:ascii="Times New Roman" w:hAnsi="Times New Roman"/>
          <w:sz w:val="22"/>
          <w:szCs w:val="22"/>
        </w:rPr>
        <w:t xml:space="preserve"> FR </w:t>
      </w:r>
      <w:r w:rsidR="00A84135">
        <w:rPr>
          <w:rFonts w:ascii="Times New Roman" w:hAnsi="Times New Roman"/>
          <w:sz w:val="22"/>
          <w:szCs w:val="22"/>
        </w:rPr>
        <w:t>74272</w:t>
      </w:r>
      <w:r w:rsidRPr="003B7D11">
        <w:rPr>
          <w:rFonts w:ascii="Times New Roman" w:hAnsi="Times New Roman"/>
          <w:sz w:val="22"/>
          <w:szCs w:val="22"/>
        </w:rPr>
        <w:t xml:space="preserve">) informing the public that the Commission will request an extension of this information collection by OMB and that the public may submit comments on the collection to the FCC.  No comments were received in response to the 60-day notice. </w:t>
      </w:r>
    </w:p>
    <w:p w:rsidR="00743218" w:rsidRPr="00740053" w:rsidP="00275AF4" w14:paraId="08403AC3" w14:textId="77777777">
      <w:pPr>
        <w:widowControl/>
        <w:suppressAutoHyphens/>
        <w:rPr>
          <w:rFonts w:ascii="Times New Roman" w:hAnsi="Times New Roman"/>
          <w:sz w:val="22"/>
          <w:szCs w:val="22"/>
        </w:rPr>
      </w:pPr>
    </w:p>
    <w:p w:rsidR="00213FC5" w:rsidRPr="00740053" w:rsidP="00213FC5" w14:paraId="231AFADF" w14:textId="77777777">
      <w:pPr>
        <w:widowControl/>
        <w:numPr>
          <w:ilvl w:val="0"/>
          <w:numId w:val="2"/>
        </w:numPr>
        <w:suppressAutoHyphens/>
        <w:ind w:left="0" w:firstLine="360"/>
        <w:rPr>
          <w:rFonts w:ascii="Times New Roman" w:hAnsi="Times New Roman"/>
          <w:sz w:val="22"/>
          <w:szCs w:val="22"/>
        </w:rPr>
      </w:pPr>
      <w:r w:rsidRPr="00740053">
        <w:rPr>
          <w:rFonts w:ascii="Times New Roman" w:hAnsi="Times New Roman"/>
          <w:b/>
          <w:sz w:val="22"/>
          <w:szCs w:val="22"/>
        </w:rPr>
        <w:t>Explain any decision to provide any payment or gift to respondents, other than the remuneration of contractors or grantees.</w:t>
      </w:r>
    </w:p>
    <w:p w:rsidR="00213FC5" w:rsidRPr="00740053" w:rsidP="00213FC5" w14:paraId="5D17010C" w14:textId="77777777">
      <w:pPr>
        <w:widowControl/>
        <w:suppressAutoHyphens/>
        <w:ind w:left="360"/>
        <w:rPr>
          <w:rFonts w:ascii="Times New Roman" w:hAnsi="Times New Roman"/>
          <w:sz w:val="22"/>
          <w:szCs w:val="22"/>
        </w:rPr>
      </w:pPr>
    </w:p>
    <w:p w:rsidR="00EF3305" w:rsidRPr="00740053" w:rsidP="006F791E" w14:paraId="56900080" w14:textId="77777777">
      <w:pPr>
        <w:widowControl/>
        <w:suppressAutoHyphens/>
        <w:ind w:firstLine="360"/>
        <w:rPr>
          <w:rFonts w:ascii="Times New Roman" w:hAnsi="Times New Roman"/>
          <w:sz w:val="22"/>
          <w:szCs w:val="22"/>
        </w:rPr>
      </w:pPr>
      <w:r w:rsidRPr="00740053">
        <w:rPr>
          <w:rFonts w:ascii="Times New Roman" w:hAnsi="Times New Roman"/>
          <w:sz w:val="22"/>
          <w:szCs w:val="22"/>
        </w:rPr>
        <w:t>Applicants submitting applications per</w:t>
      </w:r>
      <w:r w:rsidRPr="00740053" w:rsidR="00567427">
        <w:rPr>
          <w:rFonts w:ascii="Times New Roman" w:hAnsi="Times New Roman"/>
          <w:sz w:val="22"/>
          <w:szCs w:val="22"/>
        </w:rPr>
        <w:t xml:space="preserve"> Section 90.621(d)(4) </w:t>
      </w:r>
      <w:r w:rsidRPr="00740053">
        <w:rPr>
          <w:rFonts w:ascii="Times New Roman" w:hAnsi="Times New Roman"/>
          <w:sz w:val="22"/>
          <w:szCs w:val="22"/>
        </w:rPr>
        <w:t xml:space="preserve">receive </w:t>
      </w:r>
      <w:r w:rsidRPr="00740053">
        <w:rPr>
          <w:rFonts w:ascii="Times New Roman" w:hAnsi="Times New Roman"/>
          <w:sz w:val="22"/>
          <w:szCs w:val="22"/>
        </w:rPr>
        <w:t xml:space="preserve">no </w:t>
      </w:r>
      <w:r w:rsidRPr="00740053" w:rsidR="00A828E0">
        <w:rPr>
          <w:rFonts w:ascii="Times New Roman" w:hAnsi="Times New Roman"/>
          <w:sz w:val="22"/>
          <w:szCs w:val="22"/>
        </w:rPr>
        <w:t xml:space="preserve">gifts or </w:t>
      </w:r>
      <w:r w:rsidRPr="00740053">
        <w:rPr>
          <w:rFonts w:ascii="Times New Roman" w:hAnsi="Times New Roman"/>
          <w:sz w:val="22"/>
          <w:szCs w:val="22"/>
        </w:rPr>
        <w:t>payments.</w:t>
      </w:r>
    </w:p>
    <w:p w:rsidR="0079711D" w:rsidRPr="00740053" w:rsidP="00213FC5" w14:paraId="6D7011DA" w14:textId="77777777">
      <w:pPr>
        <w:widowControl/>
        <w:suppressAutoHyphens/>
        <w:rPr>
          <w:rFonts w:ascii="Times New Roman" w:hAnsi="Times New Roman"/>
          <w:sz w:val="22"/>
          <w:szCs w:val="22"/>
        </w:rPr>
      </w:pPr>
    </w:p>
    <w:p w:rsidR="00213FC5" w:rsidRPr="00740053" w:rsidP="004E1775" w14:paraId="7F69D2D9"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Describe any assurance of confidentiality provided to respondents and the basis for the assurance in statute, regulation, or agency policy.</w:t>
      </w:r>
    </w:p>
    <w:p w:rsidR="004E1775" w:rsidRPr="00740053" w:rsidP="004E1775" w14:paraId="19CADC60" w14:textId="77777777">
      <w:pPr>
        <w:widowControl/>
        <w:suppressAutoHyphens/>
        <w:rPr>
          <w:rFonts w:ascii="Times New Roman" w:hAnsi="Times New Roman"/>
          <w:sz w:val="22"/>
          <w:szCs w:val="22"/>
        </w:rPr>
      </w:pPr>
    </w:p>
    <w:p w:rsidR="00731AEE" w:rsidRPr="00740053" w:rsidP="006F791E" w14:paraId="16750700"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Commission does not require applicants to include </w:t>
      </w:r>
      <w:r w:rsidRPr="00740053" w:rsidR="00B5492A">
        <w:rPr>
          <w:rFonts w:ascii="Times New Roman" w:hAnsi="Times New Roman"/>
          <w:sz w:val="22"/>
          <w:szCs w:val="22"/>
        </w:rPr>
        <w:t xml:space="preserve">confidential information </w:t>
      </w:r>
      <w:r w:rsidRPr="00740053">
        <w:rPr>
          <w:rFonts w:ascii="Times New Roman" w:hAnsi="Times New Roman"/>
          <w:sz w:val="22"/>
          <w:szCs w:val="22"/>
        </w:rPr>
        <w:t xml:space="preserve">when filing </w:t>
      </w:r>
      <w:r w:rsidRPr="00740053" w:rsidR="004A604F">
        <w:rPr>
          <w:rFonts w:ascii="Times New Roman" w:hAnsi="Times New Roman"/>
          <w:sz w:val="22"/>
          <w:szCs w:val="22"/>
        </w:rPr>
        <w:t xml:space="preserve">an </w:t>
      </w:r>
      <w:r w:rsidRPr="00740053">
        <w:rPr>
          <w:rFonts w:ascii="Times New Roman" w:hAnsi="Times New Roman"/>
          <w:sz w:val="22"/>
          <w:szCs w:val="22"/>
        </w:rPr>
        <w:t>application per Section 90.621(d)(4)</w:t>
      </w:r>
      <w:r w:rsidRPr="00740053" w:rsidR="00B5492A">
        <w:rPr>
          <w:rFonts w:ascii="Times New Roman" w:hAnsi="Times New Roman"/>
          <w:sz w:val="22"/>
          <w:szCs w:val="22"/>
        </w:rPr>
        <w:t xml:space="preserve">.  </w:t>
      </w:r>
    </w:p>
    <w:p w:rsidR="00731AEE" w:rsidRPr="00740053" w:rsidP="004E1775" w14:paraId="229A405A" w14:textId="77777777">
      <w:pPr>
        <w:widowControl/>
        <w:suppressAutoHyphens/>
        <w:rPr>
          <w:rFonts w:ascii="Times New Roman" w:hAnsi="Times New Roman"/>
          <w:sz w:val="22"/>
          <w:szCs w:val="22"/>
        </w:rPr>
      </w:pPr>
    </w:p>
    <w:p w:rsidR="00EF3305" w:rsidRPr="00740053" w:rsidP="006F791E" w14:paraId="12A37CC3"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Pursuant to § 208(b) of the E-Government Act of 2002, 44 U.S.C.A. § 3501, in conformance with the Privacy Act of 1974, 5 U.S.C. </w:t>
      </w:r>
      <w:r w:rsidRPr="00740053" w:rsidR="0099600A">
        <w:rPr>
          <w:rFonts w:ascii="Times New Roman" w:hAnsi="Times New Roman"/>
          <w:sz w:val="22"/>
          <w:szCs w:val="22"/>
        </w:rPr>
        <w:t xml:space="preserve">§ </w:t>
      </w:r>
      <w:r w:rsidRPr="00740053">
        <w:rPr>
          <w:rFonts w:ascii="Times New Roman" w:hAnsi="Times New Roman"/>
          <w:sz w:val="22"/>
          <w:szCs w:val="22"/>
        </w:rPr>
        <w:t xml:space="preserve">552(a), </w:t>
      </w:r>
      <w:r w:rsidRPr="00740053" w:rsidR="00115C17">
        <w:rPr>
          <w:rFonts w:ascii="Times New Roman" w:hAnsi="Times New Roman"/>
          <w:sz w:val="22"/>
          <w:szCs w:val="22"/>
        </w:rPr>
        <w:t xml:space="preserve">the Commission </w:t>
      </w:r>
      <w:r w:rsidRPr="00740053">
        <w:rPr>
          <w:rFonts w:ascii="Times New Roman" w:hAnsi="Times New Roman"/>
          <w:sz w:val="22"/>
          <w:szCs w:val="22"/>
        </w:rPr>
        <w:t xml:space="preserve">instructs </w:t>
      </w:r>
      <w:r w:rsidRPr="00740053" w:rsidR="00AE30E8">
        <w:rPr>
          <w:rFonts w:ascii="Times New Roman" w:hAnsi="Times New Roman"/>
          <w:sz w:val="22"/>
          <w:szCs w:val="22"/>
        </w:rPr>
        <w:t>applicants</w:t>
      </w:r>
      <w:r w:rsidRPr="00740053">
        <w:rPr>
          <w:rFonts w:ascii="Times New Roman" w:hAnsi="Times New Roman"/>
          <w:sz w:val="22"/>
          <w:szCs w:val="22"/>
        </w:rPr>
        <w:t xml:space="preserve"> to use the FCC’s ULS, ASR, Commission Registrations System (CORES) and related systems and subsystems to submit information.</w:t>
      </w:r>
      <w:r>
        <w:rPr>
          <w:rStyle w:val="FootnoteReference"/>
          <w:rFonts w:ascii="Times New Roman" w:hAnsi="Times New Roman"/>
          <w:sz w:val="22"/>
          <w:szCs w:val="22"/>
        </w:rPr>
        <w:footnoteReference w:id="2"/>
      </w:r>
      <w:r w:rsidRPr="00740053">
        <w:rPr>
          <w:rFonts w:ascii="Times New Roman" w:hAnsi="Times New Roman"/>
          <w:sz w:val="22"/>
          <w:szCs w:val="22"/>
        </w:rPr>
        <w:t xml:space="preserve">  CORES is used to receive an FCC Registration Number (FRN) and password, after which one must register all current call sign and </w:t>
      </w:r>
      <w:r w:rsidRPr="00DA0C18">
        <w:rPr>
          <w:rFonts w:ascii="Times New Roman" w:hAnsi="Times New Roman"/>
          <w:sz w:val="22"/>
          <w:szCs w:val="22"/>
        </w:rPr>
        <w:t xml:space="preserve">Antenna Structure Registration (ASR) numbers associated with a FRN within the </w:t>
      </w:r>
      <w:r w:rsidRPr="00740053" w:rsidR="00115C17">
        <w:rPr>
          <w:rFonts w:ascii="Times New Roman" w:hAnsi="Times New Roman"/>
          <w:sz w:val="22"/>
          <w:szCs w:val="22"/>
        </w:rPr>
        <w:t xml:space="preserve">Commission’s </w:t>
      </w:r>
      <w:r w:rsidRPr="00740053">
        <w:rPr>
          <w:rFonts w:ascii="Times New Roman" w:hAnsi="Times New Roman"/>
          <w:sz w:val="22"/>
          <w:szCs w:val="22"/>
        </w:rPr>
        <w:t xml:space="preserve">system of records (ULS database).  Although ULS stores all information pertaining to the individual license via the FRN, confidential information is accessible only by persons or entities that hold the password for each account, and the Bureau’s Licensing Division staff.  </w:t>
      </w:r>
      <w:r w:rsidRPr="00740053" w:rsidR="004A604F">
        <w:rPr>
          <w:rFonts w:ascii="Times New Roman" w:hAnsi="Times New Roman"/>
          <w:sz w:val="22"/>
          <w:szCs w:val="22"/>
        </w:rPr>
        <w:t xml:space="preserve">By requesting an </w:t>
      </w:r>
      <w:r w:rsidRPr="00740053">
        <w:rPr>
          <w:rFonts w:ascii="Times New Roman" w:hAnsi="Times New Roman"/>
          <w:sz w:val="22"/>
          <w:szCs w:val="22"/>
        </w:rPr>
        <w:t xml:space="preserve">FRN, the individual </w:t>
      </w:r>
      <w:r w:rsidRPr="00740053" w:rsidR="009B6341">
        <w:rPr>
          <w:rFonts w:ascii="Times New Roman" w:hAnsi="Times New Roman"/>
          <w:sz w:val="22"/>
          <w:szCs w:val="22"/>
        </w:rPr>
        <w:t>applicant/</w:t>
      </w:r>
      <w:r w:rsidRPr="00740053" w:rsidR="00D74AE7">
        <w:rPr>
          <w:rFonts w:ascii="Times New Roman" w:hAnsi="Times New Roman"/>
          <w:sz w:val="22"/>
          <w:szCs w:val="22"/>
        </w:rPr>
        <w:t>licensee</w:t>
      </w:r>
      <w:r w:rsidRPr="00740053">
        <w:rPr>
          <w:rFonts w:ascii="Times New Roman" w:hAnsi="Times New Roman"/>
          <w:sz w:val="22"/>
          <w:szCs w:val="22"/>
        </w:rPr>
        <w:t xml:space="preserve"> consent</w:t>
      </w:r>
      <w:r w:rsidRPr="00740053" w:rsidR="004A604F">
        <w:rPr>
          <w:rFonts w:ascii="Times New Roman" w:hAnsi="Times New Roman"/>
          <w:sz w:val="22"/>
          <w:szCs w:val="22"/>
        </w:rPr>
        <w:t>s</w:t>
      </w:r>
      <w:r w:rsidRPr="00740053">
        <w:rPr>
          <w:rFonts w:ascii="Times New Roman" w:hAnsi="Times New Roman"/>
          <w:sz w:val="22"/>
          <w:szCs w:val="22"/>
        </w:rPr>
        <w:t xml:space="preserve"> to make publicly available, via the ULS database, all information that is not confidential in nature.</w:t>
      </w:r>
      <w:r w:rsidRPr="00740053" w:rsidR="00977686">
        <w:rPr>
          <w:rFonts w:ascii="Times New Roman" w:hAnsi="Times New Roman"/>
          <w:sz w:val="22"/>
          <w:szCs w:val="22"/>
        </w:rPr>
        <w:t xml:space="preserve">  </w:t>
      </w:r>
    </w:p>
    <w:p w:rsidR="00743218" w:rsidRPr="00740053" w:rsidP="00275AF4" w14:paraId="24F603EE" w14:textId="77777777">
      <w:pPr>
        <w:widowControl/>
        <w:suppressAutoHyphens/>
        <w:rPr>
          <w:rFonts w:ascii="Times New Roman" w:hAnsi="Times New Roman"/>
          <w:sz w:val="22"/>
          <w:szCs w:val="22"/>
        </w:rPr>
      </w:pPr>
    </w:p>
    <w:p w:rsidR="003D790A" w:rsidRPr="00740053" w:rsidP="003D790A" w14:paraId="0D01990E"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Provide additional justification for any questions of a sensitive nature.</w:t>
      </w:r>
    </w:p>
    <w:p w:rsidR="003D790A" w:rsidRPr="00740053" w:rsidP="00275AF4" w14:paraId="11596E87" w14:textId="77777777">
      <w:pPr>
        <w:widowControl/>
        <w:suppressAutoHyphens/>
        <w:rPr>
          <w:rFonts w:ascii="Times New Roman" w:hAnsi="Times New Roman"/>
          <w:sz w:val="22"/>
          <w:szCs w:val="22"/>
        </w:rPr>
      </w:pPr>
    </w:p>
    <w:p w:rsidR="00731AEE" w:rsidRPr="00740053" w:rsidP="006F791E" w14:paraId="2EF1EC9D" w14:textId="77777777">
      <w:pPr>
        <w:widowControl/>
        <w:suppressAutoHyphens/>
        <w:ind w:firstLine="360"/>
        <w:rPr>
          <w:rFonts w:ascii="Times New Roman" w:hAnsi="Times New Roman"/>
          <w:sz w:val="22"/>
          <w:szCs w:val="22"/>
        </w:rPr>
      </w:pPr>
      <w:r w:rsidRPr="00740053">
        <w:rPr>
          <w:rFonts w:ascii="Times New Roman" w:hAnsi="Times New Roman"/>
          <w:sz w:val="22"/>
          <w:szCs w:val="22"/>
        </w:rPr>
        <w:t>The Commission does not require applicants to include sensitive information when filing applications per</w:t>
      </w:r>
      <w:r w:rsidRPr="00740053" w:rsidR="00115C17">
        <w:rPr>
          <w:rFonts w:ascii="Times New Roman" w:hAnsi="Times New Roman"/>
          <w:sz w:val="22"/>
          <w:szCs w:val="22"/>
        </w:rPr>
        <w:t xml:space="preserve"> </w:t>
      </w:r>
      <w:r w:rsidRPr="00740053" w:rsidR="00E70DA6">
        <w:rPr>
          <w:rFonts w:ascii="Times New Roman" w:hAnsi="Times New Roman"/>
          <w:sz w:val="22"/>
          <w:szCs w:val="22"/>
        </w:rPr>
        <w:t xml:space="preserve">Section </w:t>
      </w:r>
      <w:r w:rsidRPr="00740053" w:rsidR="00D45EFA">
        <w:rPr>
          <w:rFonts w:ascii="Times New Roman" w:hAnsi="Times New Roman"/>
          <w:sz w:val="22"/>
          <w:szCs w:val="22"/>
        </w:rPr>
        <w:t>90.621(d)(4)</w:t>
      </w:r>
      <w:r w:rsidRPr="00740053">
        <w:rPr>
          <w:rFonts w:ascii="Times New Roman" w:hAnsi="Times New Roman"/>
          <w:sz w:val="22"/>
          <w:szCs w:val="22"/>
        </w:rPr>
        <w:t>.</w:t>
      </w:r>
      <w:r w:rsidRPr="00740053" w:rsidR="00086563">
        <w:rPr>
          <w:rFonts w:ascii="Times New Roman" w:hAnsi="Times New Roman"/>
          <w:sz w:val="22"/>
          <w:szCs w:val="22"/>
        </w:rPr>
        <w:t xml:space="preserve">  </w:t>
      </w:r>
      <w:r w:rsidRPr="00740053" w:rsidR="00587D10">
        <w:rPr>
          <w:rFonts w:ascii="Times New Roman" w:hAnsi="Times New Roman"/>
          <w:sz w:val="22"/>
          <w:szCs w:val="22"/>
        </w:rPr>
        <w:t xml:space="preserve">  </w:t>
      </w:r>
    </w:p>
    <w:p w:rsidR="00731AEE" w:rsidRPr="00740053" w:rsidP="003D790A" w14:paraId="120F0606" w14:textId="77777777">
      <w:pPr>
        <w:widowControl/>
        <w:suppressAutoHyphens/>
        <w:rPr>
          <w:rFonts w:ascii="Times New Roman" w:hAnsi="Times New Roman"/>
          <w:sz w:val="22"/>
          <w:szCs w:val="22"/>
        </w:rPr>
      </w:pPr>
    </w:p>
    <w:p w:rsidR="00EF3305" w:rsidRPr="00740053" w:rsidP="006F791E" w14:paraId="6566D67D" w14:textId="77777777">
      <w:pPr>
        <w:widowControl/>
        <w:suppressAutoHyphens/>
        <w:ind w:firstLine="360"/>
        <w:rPr>
          <w:rFonts w:ascii="Times New Roman" w:hAnsi="Times New Roman"/>
          <w:sz w:val="22"/>
          <w:szCs w:val="22"/>
          <w:shd w:val="clear" w:color="auto" w:fill="00FFFF"/>
        </w:rPr>
      </w:pPr>
      <w:r w:rsidRPr="00740053">
        <w:rPr>
          <w:rFonts w:ascii="Times New Roman" w:hAnsi="Times New Roman"/>
          <w:sz w:val="22"/>
          <w:szCs w:val="22"/>
        </w:rPr>
        <w:t>Nonetheless, in</w:t>
      </w:r>
      <w:r w:rsidRPr="00740053" w:rsidR="00E31678">
        <w:rPr>
          <w:rFonts w:ascii="Times New Roman" w:hAnsi="Times New Roman"/>
          <w:sz w:val="22"/>
          <w:szCs w:val="22"/>
        </w:rPr>
        <w:t xml:space="preserve"> instances where </w:t>
      </w:r>
      <w:r w:rsidRPr="00740053">
        <w:rPr>
          <w:rFonts w:ascii="Times New Roman" w:hAnsi="Times New Roman"/>
          <w:sz w:val="22"/>
          <w:szCs w:val="22"/>
        </w:rPr>
        <w:t xml:space="preserve">licensees </w:t>
      </w:r>
      <w:r w:rsidRPr="00740053" w:rsidR="00E31678">
        <w:rPr>
          <w:rFonts w:ascii="Times New Roman" w:hAnsi="Times New Roman"/>
          <w:sz w:val="22"/>
          <w:szCs w:val="22"/>
        </w:rPr>
        <w:t xml:space="preserve">provide personally identifiable information (PII), the </w:t>
      </w:r>
      <w:r w:rsidRPr="00740053" w:rsidR="001B6E81">
        <w:rPr>
          <w:rFonts w:ascii="Times New Roman" w:hAnsi="Times New Roman"/>
          <w:sz w:val="22"/>
          <w:szCs w:val="22"/>
        </w:rPr>
        <w:t>Commission</w:t>
      </w:r>
      <w:r w:rsidRPr="00740053" w:rsidR="00E31678">
        <w:rPr>
          <w:rFonts w:ascii="Times New Roman" w:hAnsi="Times New Roman"/>
          <w:sz w:val="22"/>
          <w:szCs w:val="22"/>
        </w:rPr>
        <w:t xml:space="preserve"> has a System of Records Notice (SORN), FCC/WTB-1, </w:t>
      </w:r>
      <w:r w:rsidRPr="00740053" w:rsidR="00966847">
        <w:rPr>
          <w:rFonts w:ascii="Times New Roman" w:hAnsi="Times New Roman"/>
          <w:sz w:val="22"/>
          <w:szCs w:val="22"/>
        </w:rPr>
        <w:t>and “</w:t>
      </w:r>
      <w:r w:rsidRPr="00740053" w:rsidR="00E31678">
        <w:rPr>
          <w:rFonts w:ascii="Times New Roman" w:hAnsi="Times New Roman"/>
          <w:sz w:val="22"/>
          <w:szCs w:val="22"/>
        </w:rPr>
        <w:t>Wire</w:t>
      </w:r>
      <w:r w:rsidRPr="00740053" w:rsidR="00606837">
        <w:rPr>
          <w:rFonts w:ascii="Times New Roman" w:hAnsi="Times New Roman"/>
          <w:sz w:val="22"/>
          <w:szCs w:val="22"/>
        </w:rPr>
        <w:t>less Services Licensing Records</w:t>
      </w:r>
      <w:r w:rsidRPr="00740053" w:rsidR="00E31678">
        <w:rPr>
          <w:rFonts w:ascii="Times New Roman" w:hAnsi="Times New Roman"/>
          <w:sz w:val="22"/>
          <w:szCs w:val="22"/>
        </w:rPr>
        <w:t>,</w:t>
      </w:r>
      <w:r w:rsidRPr="00740053" w:rsidR="00606837">
        <w:rPr>
          <w:rFonts w:ascii="Times New Roman" w:hAnsi="Times New Roman"/>
          <w:sz w:val="22"/>
          <w:szCs w:val="22"/>
        </w:rPr>
        <w:t>”</w:t>
      </w:r>
      <w:r w:rsidRPr="00740053" w:rsidR="00E31678">
        <w:rPr>
          <w:rFonts w:ascii="Times New Roman" w:hAnsi="Times New Roman"/>
          <w:sz w:val="22"/>
          <w:szCs w:val="22"/>
        </w:rPr>
        <w:t xml:space="preserve"> to cover the collection, use storage, and destruction of PII.   A full explanation of the safeguards may be found in the Privacy Impact Assessment that the FCC completed on June 2, 2007 and that may be viewed at:  </w:t>
      </w:r>
      <w:hyperlink r:id="rId7" w:history="1">
        <w:r w:rsidRPr="00740053" w:rsidR="00CC6752">
          <w:rPr>
            <w:rStyle w:val="Hyperlink"/>
            <w:rFonts w:ascii="Times New Roman" w:hAnsi="Times New Roman"/>
            <w:sz w:val="22"/>
            <w:szCs w:val="22"/>
          </w:rPr>
          <w:t>http://www.fcc.gov/omd/privacyact/Privacy_Impact_Assessment.html</w:t>
        </w:r>
      </w:hyperlink>
      <w:r w:rsidRPr="00740053" w:rsidR="00CC6752">
        <w:rPr>
          <w:rFonts w:ascii="Times New Roman" w:hAnsi="Times New Roman"/>
          <w:sz w:val="22"/>
          <w:szCs w:val="22"/>
        </w:rPr>
        <w:t>.</w:t>
      </w:r>
    </w:p>
    <w:p w:rsidR="00743218" w:rsidRPr="00DA0C18" w:rsidP="00275AF4" w14:paraId="353F7019" w14:textId="77777777">
      <w:pPr>
        <w:widowControl/>
        <w:suppressAutoHyphens/>
        <w:rPr>
          <w:rFonts w:ascii="Times New Roman" w:hAnsi="Times New Roman"/>
          <w:sz w:val="22"/>
          <w:szCs w:val="22"/>
        </w:rPr>
      </w:pPr>
    </w:p>
    <w:p w:rsidR="00A101E1" w:rsidRPr="00740053" w:rsidP="00A101E1" w14:paraId="5DBC3E21" w14:textId="0450F141">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Provide estimates of the burden hours for the collection of information.</w:t>
      </w:r>
      <w:r w:rsidRPr="003B7D11" w:rsidR="003B7D11">
        <w:rPr>
          <w:rFonts w:ascii="Times New Roman" w:hAnsi="Times New Roman"/>
          <w:b/>
          <w:sz w:val="22"/>
          <w:szCs w:val="22"/>
        </w:rPr>
        <w:t xml:space="preserve">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rsidR="00A101E1" w:rsidRPr="00740053" w:rsidP="00A101E1" w14:paraId="19A86A08" w14:textId="77777777">
      <w:pPr>
        <w:widowControl/>
        <w:suppressAutoHyphens/>
        <w:rPr>
          <w:rFonts w:ascii="Times New Roman" w:hAnsi="Times New Roman"/>
          <w:sz w:val="22"/>
          <w:szCs w:val="22"/>
        </w:rPr>
      </w:pPr>
    </w:p>
    <w:p w:rsidR="00790F5A" w:rsidRPr="00740053" w:rsidP="006F791E" w14:paraId="6CF879EA"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Below we estimate </w:t>
      </w:r>
      <w:r w:rsidRPr="00740053" w:rsidR="00000C4B">
        <w:rPr>
          <w:rFonts w:ascii="Times New Roman" w:hAnsi="Times New Roman"/>
          <w:sz w:val="22"/>
          <w:szCs w:val="22"/>
        </w:rPr>
        <w:t xml:space="preserve">the </w:t>
      </w:r>
      <w:r w:rsidRPr="00740053" w:rsidR="00C16EE1">
        <w:rPr>
          <w:rFonts w:ascii="Times New Roman" w:hAnsi="Times New Roman"/>
          <w:sz w:val="22"/>
          <w:szCs w:val="22"/>
        </w:rPr>
        <w:t xml:space="preserve">annual </w:t>
      </w:r>
      <w:r w:rsidRPr="00740053">
        <w:rPr>
          <w:rFonts w:ascii="Times New Roman" w:hAnsi="Times New Roman"/>
          <w:sz w:val="22"/>
          <w:szCs w:val="22"/>
        </w:rPr>
        <w:t xml:space="preserve">burden hours for </w:t>
      </w:r>
      <w:r w:rsidRPr="00740053" w:rsidR="000D3E7F">
        <w:rPr>
          <w:rFonts w:ascii="Times New Roman" w:hAnsi="Times New Roman"/>
          <w:sz w:val="22"/>
          <w:szCs w:val="22"/>
        </w:rPr>
        <w:t xml:space="preserve">applicants and incumbents to draft and sign the letters of </w:t>
      </w:r>
      <w:r w:rsidRPr="00740053" w:rsidR="00C16EE1">
        <w:rPr>
          <w:rFonts w:ascii="Times New Roman" w:hAnsi="Times New Roman"/>
          <w:sz w:val="22"/>
          <w:szCs w:val="22"/>
        </w:rPr>
        <w:t>c</w:t>
      </w:r>
      <w:r w:rsidRPr="00740053" w:rsidR="000D3E7F">
        <w:rPr>
          <w:rFonts w:ascii="Times New Roman" w:hAnsi="Times New Roman"/>
          <w:sz w:val="22"/>
          <w:szCs w:val="22"/>
        </w:rPr>
        <w:t xml:space="preserve">oncurrence </w:t>
      </w:r>
      <w:r w:rsidRPr="00740053">
        <w:rPr>
          <w:rFonts w:ascii="Times New Roman" w:hAnsi="Times New Roman"/>
          <w:sz w:val="22"/>
          <w:szCs w:val="22"/>
        </w:rPr>
        <w:t>required by Section 90.621(d)(4).</w:t>
      </w:r>
      <w:r w:rsidRPr="00740053" w:rsidR="008B0EF9">
        <w:rPr>
          <w:rFonts w:ascii="Times New Roman" w:hAnsi="Times New Roman"/>
          <w:sz w:val="22"/>
          <w:szCs w:val="22"/>
        </w:rPr>
        <w:t xml:space="preserve">  </w:t>
      </w:r>
      <w:r w:rsidRPr="00740053" w:rsidR="000D3E7F">
        <w:rPr>
          <w:rFonts w:ascii="Times New Roman" w:hAnsi="Times New Roman"/>
          <w:sz w:val="22"/>
          <w:szCs w:val="22"/>
        </w:rPr>
        <w:t>As an initial matter, w</w:t>
      </w:r>
      <w:r w:rsidRPr="00740053" w:rsidR="008B0EF9">
        <w:rPr>
          <w:rFonts w:ascii="Times New Roman" w:hAnsi="Times New Roman"/>
          <w:sz w:val="22"/>
          <w:szCs w:val="22"/>
        </w:rPr>
        <w:t xml:space="preserve">e estimate it will take </w:t>
      </w:r>
      <w:r w:rsidRPr="00740053" w:rsidR="000D3E7F">
        <w:rPr>
          <w:rFonts w:ascii="Times New Roman" w:hAnsi="Times New Roman"/>
          <w:sz w:val="22"/>
          <w:szCs w:val="22"/>
        </w:rPr>
        <w:t xml:space="preserve">each applicant one hour to </w:t>
      </w:r>
      <w:r w:rsidRPr="00740053" w:rsidR="004A2AF1">
        <w:rPr>
          <w:rFonts w:ascii="Times New Roman" w:hAnsi="Times New Roman"/>
          <w:sz w:val="22"/>
          <w:szCs w:val="22"/>
        </w:rPr>
        <w:t xml:space="preserve">prepare </w:t>
      </w:r>
      <w:r w:rsidRPr="00740053" w:rsidR="00C16EE1">
        <w:rPr>
          <w:rFonts w:ascii="Times New Roman" w:hAnsi="Times New Roman"/>
          <w:sz w:val="22"/>
          <w:szCs w:val="22"/>
        </w:rPr>
        <w:t xml:space="preserve">a </w:t>
      </w:r>
      <w:r w:rsidRPr="00740053" w:rsidR="000D3E7F">
        <w:rPr>
          <w:rFonts w:ascii="Times New Roman" w:hAnsi="Times New Roman"/>
          <w:sz w:val="22"/>
          <w:szCs w:val="22"/>
        </w:rPr>
        <w:t xml:space="preserve">letter of concurrence and each incumbent one hour to </w:t>
      </w:r>
      <w:bookmarkStart w:id="3" w:name="_Hlk529876199"/>
      <w:r w:rsidRPr="00740053" w:rsidR="00541E2B">
        <w:rPr>
          <w:rFonts w:ascii="Times New Roman" w:hAnsi="Times New Roman"/>
          <w:sz w:val="22"/>
          <w:szCs w:val="22"/>
        </w:rPr>
        <w:t xml:space="preserve">review, </w:t>
      </w:r>
      <w:r w:rsidRPr="00740053" w:rsidR="000D3E7F">
        <w:rPr>
          <w:rFonts w:ascii="Times New Roman" w:hAnsi="Times New Roman"/>
          <w:sz w:val="22"/>
          <w:szCs w:val="22"/>
        </w:rPr>
        <w:t>approve and sign</w:t>
      </w:r>
      <w:bookmarkEnd w:id="3"/>
      <w:r w:rsidRPr="00740053" w:rsidR="000D3E7F">
        <w:rPr>
          <w:rFonts w:ascii="Times New Roman" w:hAnsi="Times New Roman"/>
          <w:sz w:val="22"/>
          <w:szCs w:val="22"/>
        </w:rPr>
        <w:t xml:space="preserve"> </w:t>
      </w:r>
      <w:r w:rsidRPr="00740053" w:rsidR="00C7599A">
        <w:rPr>
          <w:rFonts w:ascii="Times New Roman" w:hAnsi="Times New Roman"/>
          <w:sz w:val="22"/>
          <w:szCs w:val="22"/>
        </w:rPr>
        <w:t xml:space="preserve">a </w:t>
      </w:r>
      <w:r w:rsidRPr="00740053" w:rsidR="000D3E7F">
        <w:rPr>
          <w:rFonts w:ascii="Times New Roman" w:hAnsi="Times New Roman"/>
          <w:sz w:val="22"/>
          <w:szCs w:val="22"/>
        </w:rPr>
        <w:t xml:space="preserve">letter of concurrence.  </w:t>
      </w:r>
      <w:r w:rsidRPr="00740053" w:rsidR="00C16EE1">
        <w:rPr>
          <w:rFonts w:ascii="Times New Roman" w:hAnsi="Times New Roman"/>
          <w:sz w:val="22"/>
          <w:szCs w:val="22"/>
        </w:rPr>
        <w:t>We can estimate the annual burden if we assume one-third of all 800 MHz Mid-Band applications require a single letter of concurrence.</w:t>
      </w:r>
      <w:r w:rsidRPr="00740053" w:rsidR="000D3E7F">
        <w:rPr>
          <w:rFonts w:ascii="Times New Roman" w:hAnsi="Times New Roman"/>
          <w:sz w:val="22"/>
          <w:szCs w:val="22"/>
        </w:rPr>
        <w:t xml:space="preserve"> </w:t>
      </w:r>
    </w:p>
    <w:p w:rsidR="00790F5A" w:rsidRPr="00740053" w:rsidP="006F791E" w14:paraId="1369EB04" w14:textId="77777777">
      <w:pPr>
        <w:widowControl/>
        <w:suppressAutoHyphens/>
        <w:ind w:firstLine="360"/>
        <w:rPr>
          <w:rFonts w:ascii="Times New Roman" w:hAnsi="Times New Roman"/>
          <w:sz w:val="22"/>
          <w:szCs w:val="22"/>
        </w:rPr>
      </w:pPr>
    </w:p>
    <w:p w:rsidR="00CF3983" w:rsidRPr="00740053" w:rsidP="006F791E" w14:paraId="6169A63C" w14:textId="140C1348">
      <w:pPr>
        <w:widowControl/>
        <w:suppressAutoHyphens/>
        <w:ind w:firstLine="360"/>
        <w:rPr>
          <w:rFonts w:ascii="Times New Roman" w:hAnsi="Times New Roman"/>
          <w:sz w:val="22"/>
          <w:szCs w:val="22"/>
        </w:rPr>
      </w:pPr>
      <w:r w:rsidRPr="00E03CD3">
        <w:rPr>
          <w:rFonts w:ascii="Times New Roman" w:hAnsi="Times New Roman"/>
          <w:sz w:val="22"/>
          <w:szCs w:val="22"/>
        </w:rPr>
        <w:t xml:space="preserve">According to the FCC’s Universal Licensing System (ULS), </w:t>
      </w:r>
      <w:r w:rsidRPr="00E03CD3" w:rsidR="00F814D2">
        <w:rPr>
          <w:rFonts w:ascii="Times New Roman" w:hAnsi="Times New Roman"/>
          <w:sz w:val="22"/>
          <w:szCs w:val="22"/>
        </w:rPr>
        <w:t xml:space="preserve">the Commission granted </w:t>
      </w:r>
      <w:r w:rsidR="00F70BDC">
        <w:rPr>
          <w:rFonts w:ascii="Times New Roman" w:hAnsi="Times New Roman"/>
          <w:sz w:val="22"/>
          <w:szCs w:val="22"/>
        </w:rPr>
        <w:t>53</w:t>
      </w:r>
      <w:r w:rsidR="00165797">
        <w:rPr>
          <w:rFonts w:ascii="Times New Roman" w:hAnsi="Times New Roman"/>
          <w:sz w:val="22"/>
          <w:szCs w:val="22"/>
        </w:rPr>
        <w:t>2</w:t>
      </w:r>
      <w:r w:rsidRPr="00E03CD3" w:rsidR="00F814D2">
        <w:rPr>
          <w:rFonts w:ascii="Times New Roman" w:hAnsi="Times New Roman"/>
          <w:sz w:val="22"/>
          <w:szCs w:val="22"/>
        </w:rPr>
        <w:t xml:space="preserve"> </w:t>
      </w:r>
      <w:r w:rsidRPr="00E03CD3" w:rsidR="000B2D6B">
        <w:rPr>
          <w:rFonts w:ascii="Times New Roman" w:hAnsi="Times New Roman"/>
          <w:sz w:val="22"/>
          <w:szCs w:val="22"/>
        </w:rPr>
        <w:t xml:space="preserve">PLMR </w:t>
      </w:r>
      <w:r w:rsidRPr="00E03CD3" w:rsidR="00F814D2">
        <w:rPr>
          <w:rFonts w:ascii="Times New Roman" w:hAnsi="Times New Roman"/>
          <w:sz w:val="22"/>
          <w:szCs w:val="22"/>
        </w:rPr>
        <w:t xml:space="preserve">applications </w:t>
      </w:r>
      <w:r w:rsidRPr="00E03CD3" w:rsidR="00236294">
        <w:rPr>
          <w:rFonts w:ascii="Times New Roman" w:hAnsi="Times New Roman"/>
          <w:sz w:val="22"/>
          <w:szCs w:val="22"/>
        </w:rPr>
        <w:t>seeking new or modified facilities in the 800 MHz band between January 1, 20</w:t>
      </w:r>
      <w:r w:rsidRPr="00E03CD3" w:rsidR="002408FD">
        <w:rPr>
          <w:rFonts w:ascii="Times New Roman" w:hAnsi="Times New Roman"/>
          <w:sz w:val="22"/>
          <w:szCs w:val="22"/>
        </w:rPr>
        <w:t>2</w:t>
      </w:r>
      <w:r w:rsidR="00F70BDC">
        <w:rPr>
          <w:rFonts w:ascii="Times New Roman" w:hAnsi="Times New Roman"/>
          <w:sz w:val="22"/>
          <w:szCs w:val="22"/>
        </w:rPr>
        <w:t>4</w:t>
      </w:r>
      <w:r w:rsidRPr="00E03CD3" w:rsidR="00236294">
        <w:rPr>
          <w:rFonts w:ascii="Times New Roman" w:hAnsi="Times New Roman"/>
          <w:sz w:val="22"/>
          <w:szCs w:val="22"/>
        </w:rPr>
        <w:t xml:space="preserve"> and </w:t>
      </w:r>
      <w:r w:rsidR="00BD49E8">
        <w:rPr>
          <w:rFonts w:ascii="Times New Roman" w:hAnsi="Times New Roman"/>
          <w:sz w:val="22"/>
          <w:szCs w:val="22"/>
        </w:rPr>
        <w:t>July 3</w:t>
      </w:r>
      <w:r w:rsidRPr="00E03CD3" w:rsidR="00F814D2">
        <w:rPr>
          <w:rFonts w:ascii="Times New Roman" w:hAnsi="Times New Roman"/>
          <w:sz w:val="22"/>
          <w:szCs w:val="22"/>
        </w:rPr>
        <w:t xml:space="preserve">1, </w:t>
      </w:r>
      <w:r w:rsidRPr="00E03CD3" w:rsidR="00236294">
        <w:rPr>
          <w:rFonts w:ascii="Times New Roman" w:hAnsi="Times New Roman"/>
          <w:sz w:val="22"/>
          <w:szCs w:val="22"/>
        </w:rPr>
        <w:t>20</w:t>
      </w:r>
      <w:r w:rsidRPr="00E03CD3" w:rsidR="002408FD">
        <w:rPr>
          <w:rFonts w:ascii="Times New Roman" w:hAnsi="Times New Roman"/>
          <w:sz w:val="22"/>
          <w:szCs w:val="22"/>
        </w:rPr>
        <w:t>2</w:t>
      </w:r>
      <w:r w:rsidR="00F70BDC">
        <w:rPr>
          <w:rFonts w:ascii="Times New Roman" w:hAnsi="Times New Roman"/>
          <w:sz w:val="22"/>
          <w:szCs w:val="22"/>
        </w:rPr>
        <w:t>4</w:t>
      </w:r>
      <w:r w:rsidRPr="00E03CD3" w:rsidR="00236294">
        <w:rPr>
          <w:rFonts w:ascii="Times New Roman" w:hAnsi="Times New Roman"/>
          <w:sz w:val="22"/>
          <w:szCs w:val="22"/>
        </w:rPr>
        <w:t xml:space="preserve">.  Assuming the rate of applications remains constant for the entire year, the Commission can expect to </w:t>
      </w:r>
      <w:r w:rsidRPr="00E03CD3" w:rsidR="00F814D2">
        <w:rPr>
          <w:rFonts w:ascii="Times New Roman" w:hAnsi="Times New Roman"/>
          <w:sz w:val="22"/>
          <w:szCs w:val="22"/>
        </w:rPr>
        <w:t xml:space="preserve">grant </w:t>
      </w:r>
      <w:r w:rsidRPr="00E03CD3" w:rsidR="00236294">
        <w:rPr>
          <w:rFonts w:ascii="Times New Roman" w:hAnsi="Times New Roman"/>
          <w:sz w:val="22"/>
          <w:szCs w:val="22"/>
        </w:rPr>
        <w:t xml:space="preserve">approximately </w:t>
      </w:r>
      <w:r w:rsidR="00EB38A9">
        <w:rPr>
          <w:rFonts w:ascii="Times New Roman" w:hAnsi="Times New Roman"/>
          <w:sz w:val="22"/>
          <w:szCs w:val="22"/>
        </w:rPr>
        <w:t>91</w:t>
      </w:r>
      <w:r w:rsidR="00165797">
        <w:rPr>
          <w:rFonts w:ascii="Times New Roman" w:hAnsi="Times New Roman"/>
          <w:sz w:val="22"/>
          <w:szCs w:val="22"/>
        </w:rPr>
        <w:t>2</w:t>
      </w:r>
      <w:r w:rsidRPr="00E03CD3" w:rsidR="000B2D6B">
        <w:rPr>
          <w:rFonts w:ascii="Times New Roman" w:hAnsi="Times New Roman"/>
          <w:sz w:val="22"/>
          <w:szCs w:val="22"/>
        </w:rPr>
        <w:t xml:space="preserve"> PLMR applications in 20</w:t>
      </w:r>
      <w:r w:rsidRPr="00E03CD3" w:rsidR="002408FD">
        <w:rPr>
          <w:rFonts w:ascii="Times New Roman" w:hAnsi="Times New Roman"/>
          <w:sz w:val="22"/>
          <w:szCs w:val="22"/>
        </w:rPr>
        <w:t>2</w:t>
      </w:r>
      <w:r w:rsidR="00DF18F1">
        <w:rPr>
          <w:rFonts w:ascii="Times New Roman" w:hAnsi="Times New Roman"/>
          <w:sz w:val="22"/>
          <w:szCs w:val="22"/>
        </w:rPr>
        <w:t>4</w:t>
      </w:r>
      <w:r w:rsidRPr="00E03CD3" w:rsidR="000B2D6B">
        <w:rPr>
          <w:rFonts w:ascii="Times New Roman" w:hAnsi="Times New Roman"/>
          <w:sz w:val="22"/>
          <w:szCs w:val="22"/>
        </w:rPr>
        <w:t xml:space="preserve"> for new or modified facilities in the 800 MHz band.</w:t>
      </w:r>
      <w:r w:rsidRPr="00740053" w:rsidR="000B2D6B">
        <w:rPr>
          <w:rFonts w:ascii="Times New Roman" w:hAnsi="Times New Roman"/>
          <w:sz w:val="22"/>
          <w:szCs w:val="22"/>
        </w:rPr>
        <w:t xml:space="preserve">  </w:t>
      </w:r>
    </w:p>
    <w:p w:rsidR="00CF3983" w:rsidRPr="00740053" w:rsidP="006F791E" w14:paraId="2D1B24F7" w14:textId="77777777">
      <w:pPr>
        <w:widowControl/>
        <w:suppressAutoHyphens/>
        <w:ind w:firstLine="360"/>
        <w:rPr>
          <w:rFonts w:ascii="Times New Roman" w:hAnsi="Times New Roman"/>
          <w:sz w:val="22"/>
          <w:szCs w:val="22"/>
        </w:rPr>
      </w:pPr>
    </w:p>
    <w:p w:rsidR="00236294" w:rsidRPr="00740053" w:rsidP="006F791E" w14:paraId="0565D10E" w14:textId="52F328E6">
      <w:pPr>
        <w:widowControl/>
        <w:suppressAutoHyphens/>
        <w:ind w:firstLine="360"/>
        <w:rPr>
          <w:rFonts w:ascii="Times New Roman" w:hAnsi="Times New Roman"/>
          <w:sz w:val="22"/>
          <w:szCs w:val="22"/>
        </w:rPr>
      </w:pPr>
      <w:r w:rsidRPr="00740053">
        <w:rPr>
          <w:rFonts w:ascii="Times New Roman" w:hAnsi="Times New Roman"/>
          <w:sz w:val="22"/>
          <w:szCs w:val="22"/>
        </w:rPr>
        <w:t xml:space="preserve">The 800 MHz Mid-Band encompasses approximately seventy-three percent of the spectrum available in the 800 MHz band for site-based licensing.  Assuming an even distribution of applications throughout the band, the Commission can expect to </w:t>
      </w:r>
      <w:r w:rsidRPr="00740053" w:rsidR="00F814D2">
        <w:rPr>
          <w:rFonts w:ascii="Times New Roman" w:hAnsi="Times New Roman"/>
          <w:sz w:val="22"/>
          <w:szCs w:val="22"/>
        </w:rPr>
        <w:t xml:space="preserve">grant </w:t>
      </w:r>
      <w:r w:rsidRPr="00740053">
        <w:rPr>
          <w:rFonts w:ascii="Times New Roman" w:hAnsi="Times New Roman"/>
          <w:sz w:val="22"/>
          <w:szCs w:val="22"/>
        </w:rPr>
        <w:t xml:space="preserve">approximately </w:t>
      </w:r>
      <w:r w:rsidR="004746A8">
        <w:rPr>
          <w:rFonts w:ascii="Times New Roman" w:hAnsi="Times New Roman"/>
          <w:sz w:val="22"/>
          <w:szCs w:val="22"/>
        </w:rPr>
        <w:t>68</w:t>
      </w:r>
      <w:r w:rsidR="00C40487">
        <w:rPr>
          <w:rFonts w:ascii="Times New Roman" w:hAnsi="Times New Roman"/>
          <w:sz w:val="22"/>
          <w:szCs w:val="22"/>
        </w:rPr>
        <w:t>4</w:t>
      </w:r>
      <w:r w:rsidRPr="00E03CD3">
        <w:rPr>
          <w:rFonts w:ascii="Times New Roman" w:hAnsi="Times New Roman"/>
          <w:sz w:val="22"/>
          <w:szCs w:val="22"/>
        </w:rPr>
        <w:t xml:space="preserve"> PLMR applications in 20</w:t>
      </w:r>
      <w:r w:rsidRPr="00E03CD3" w:rsidR="00FB3381">
        <w:rPr>
          <w:rFonts w:ascii="Times New Roman" w:hAnsi="Times New Roman"/>
          <w:sz w:val="22"/>
          <w:szCs w:val="22"/>
        </w:rPr>
        <w:t>2</w:t>
      </w:r>
      <w:r w:rsidR="00C40487">
        <w:rPr>
          <w:rFonts w:ascii="Times New Roman" w:hAnsi="Times New Roman"/>
          <w:sz w:val="22"/>
          <w:szCs w:val="22"/>
        </w:rPr>
        <w:t>4</w:t>
      </w:r>
      <w:r w:rsidRPr="00E03CD3">
        <w:rPr>
          <w:rFonts w:ascii="Times New Roman" w:hAnsi="Times New Roman"/>
          <w:sz w:val="22"/>
          <w:szCs w:val="22"/>
        </w:rPr>
        <w:t xml:space="preserve"> for 800 MHz Mid-Band spectrum.</w:t>
      </w:r>
      <w:r w:rsidRPr="00740053">
        <w:rPr>
          <w:rFonts w:ascii="Times New Roman" w:hAnsi="Times New Roman"/>
          <w:sz w:val="22"/>
          <w:szCs w:val="22"/>
        </w:rPr>
        <w:t xml:space="preserve">   </w:t>
      </w:r>
    </w:p>
    <w:p w:rsidR="00CF3983" w:rsidRPr="00740053" w:rsidP="006F791E" w14:paraId="2E11B7D7" w14:textId="77777777">
      <w:pPr>
        <w:widowControl/>
        <w:suppressAutoHyphens/>
        <w:ind w:firstLine="360"/>
        <w:rPr>
          <w:rFonts w:ascii="Times New Roman" w:hAnsi="Times New Roman"/>
          <w:sz w:val="22"/>
          <w:szCs w:val="22"/>
        </w:rPr>
      </w:pPr>
    </w:p>
    <w:p w:rsidR="00C7599A" w:rsidRPr="00740053" w:rsidP="006F791E" w14:paraId="78C67DF5" w14:textId="77777777">
      <w:pPr>
        <w:widowControl/>
        <w:suppressAutoHyphens/>
        <w:ind w:firstLine="360"/>
        <w:rPr>
          <w:rFonts w:ascii="Times New Roman" w:hAnsi="Times New Roman"/>
          <w:sz w:val="22"/>
          <w:szCs w:val="22"/>
        </w:rPr>
      </w:pPr>
      <w:r w:rsidRPr="00740053">
        <w:rPr>
          <w:rFonts w:ascii="Times New Roman" w:hAnsi="Times New Roman"/>
          <w:sz w:val="22"/>
          <w:szCs w:val="22"/>
        </w:rPr>
        <w:t>As noted above, i</w:t>
      </w:r>
      <w:r w:rsidRPr="00740053" w:rsidR="00790F5A">
        <w:rPr>
          <w:rFonts w:ascii="Times New Roman" w:hAnsi="Times New Roman"/>
          <w:sz w:val="22"/>
          <w:szCs w:val="22"/>
        </w:rPr>
        <w:t xml:space="preserve">f we assume </w:t>
      </w:r>
      <w:r w:rsidRPr="00740053">
        <w:rPr>
          <w:rFonts w:ascii="Times New Roman" w:hAnsi="Times New Roman"/>
          <w:sz w:val="22"/>
          <w:szCs w:val="22"/>
        </w:rPr>
        <w:t xml:space="preserve">one-third of all </w:t>
      </w:r>
      <w:r w:rsidRPr="00740053" w:rsidR="00CF3983">
        <w:rPr>
          <w:rFonts w:ascii="Times New Roman" w:hAnsi="Times New Roman"/>
          <w:sz w:val="22"/>
          <w:szCs w:val="22"/>
        </w:rPr>
        <w:t xml:space="preserve">800 MHz Mid-Band </w:t>
      </w:r>
      <w:r w:rsidRPr="00740053" w:rsidR="000718E2">
        <w:rPr>
          <w:rFonts w:ascii="Times New Roman" w:hAnsi="Times New Roman"/>
          <w:sz w:val="22"/>
          <w:szCs w:val="22"/>
        </w:rPr>
        <w:t xml:space="preserve">applications </w:t>
      </w:r>
      <w:r w:rsidRPr="00740053">
        <w:rPr>
          <w:rFonts w:ascii="Times New Roman" w:hAnsi="Times New Roman"/>
          <w:sz w:val="22"/>
          <w:szCs w:val="22"/>
        </w:rPr>
        <w:t xml:space="preserve">require one letter of concurrence, </w:t>
      </w:r>
      <w:r w:rsidRPr="00740053">
        <w:rPr>
          <w:rFonts w:ascii="Times New Roman" w:hAnsi="Times New Roman"/>
          <w:sz w:val="22"/>
          <w:szCs w:val="22"/>
        </w:rPr>
        <w:t xml:space="preserve">we estimate the number of </w:t>
      </w:r>
      <w:r w:rsidRPr="00740053" w:rsidR="00DF0790">
        <w:rPr>
          <w:rFonts w:ascii="Times New Roman" w:hAnsi="Times New Roman"/>
          <w:sz w:val="22"/>
          <w:szCs w:val="22"/>
        </w:rPr>
        <w:t xml:space="preserve">letters of concurrence filed </w:t>
      </w:r>
      <w:r w:rsidRPr="00740053" w:rsidR="00493D0C">
        <w:rPr>
          <w:rFonts w:ascii="Times New Roman" w:hAnsi="Times New Roman"/>
          <w:sz w:val="22"/>
          <w:szCs w:val="22"/>
        </w:rPr>
        <w:t xml:space="preserve">in a </w:t>
      </w:r>
      <w:r w:rsidRPr="00740053" w:rsidR="00DF0790">
        <w:rPr>
          <w:rFonts w:ascii="Times New Roman" w:hAnsi="Times New Roman"/>
          <w:sz w:val="22"/>
          <w:szCs w:val="22"/>
        </w:rPr>
        <w:t xml:space="preserve">year </w:t>
      </w:r>
      <w:r w:rsidRPr="00740053" w:rsidR="00493D0C">
        <w:rPr>
          <w:rFonts w:ascii="Times New Roman" w:hAnsi="Times New Roman"/>
          <w:sz w:val="22"/>
          <w:szCs w:val="22"/>
        </w:rPr>
        <w:t xml:space="preserve">per </w:t>
      </w:r>
      <w:r w:rsidRPr="00740053">
        <w:rPr>
          <w:rFonts w:ascii="Times New Roman" w:hAnsi="Times New Roman"/>
          <w:sz w:val="22"/>
          <w:szCs w:val="22"/>
        </w:rPr>
        <w:t>Section 90.621(d)(4)</w:t>
      </w:r>
      <w:r w:rsidRPr="00740053">
        <w:rPr>
          <w:rFonts w:ascii="Times New Roman" w:hAnsi="Times New Roman"/>
          <w:sz w:val="22"/>
          <w:szCs w:val="22"/>
        </w:rPr>
        <w:t xml:space="preserve"> to be: </w:t>
      </w:r>
      <w:r w:rsidRPr="00740053">
        <w:rPr>
          <w:rFonts w:ascii="Times New Roman" w:hAnsi="Times New Roman"/>
          <w:sz w:val="22"/>
          <w:szCs w:val="22"/>
        </w:rPr>
        <w:t xml:space="preserve">  </w:t>
      </w:r>
    </w:p>
    <w:p w:rsidR="00C7599A" w:rsidRPr="00740053" w:rsidP="006F791E" w14:paraId="71DB0B73" w14:textId="77777777">
      <w:pPr>
        <w:widowControl/>
        <w:suppressAutoHyphens/>
        <w:ind w:firstLine="360"/>
        <w:rPr>
          <w:rFonts w:ascii="Times New Roman" w:hAnsi="Times New Roman"/>
          <w:sz w:val="22"/>
          <w:szCs w:val="22"/>
        </w:rPr>
      </w:pPr>
    </w:p>
    <w:p w:rsidR="00C7599A" w:rsidRPr="00740053" w:rsidP="00F814D2" w14:paraId="7B5326E5" w14:textId="7D0BE355">
      <w:pPr>
        <w:widowControl/>
        <w:suppressAutoHyphens/>
        <w:ind w:left="1080" w:hanging="360"/>
        <w:rPr>
          <w:rFonts w:ascii="Times New Roman" w:hAnsi="Times New Roman"/>
          <w:b/>
          <w:sz w:val="22"/>
          <w:szCs w:val="22"/>
        </w:rPr>
      </w:pPr>
      <w:r>
        <w:rPr>
          <w:rFonts w:ascii="Times New Roman" w:hAnsi="Times New Roman"/>
          <w:b/>
          <w:sz w:val="22"/>
          <w:szCs w:val="22"/>
        </w:rPr>
        <w:t>684</w:t>
      </w:r>
      <w:r w:rsidRPr="00740053">
        <w:rPr>
          <w:rFonts w:ascii="Times New Roman" w:hAnsi="Times New Roman"/>
          <w:b/>
          <w:sz w:val="22"/>
          <w:szCs w:val="22"/>
        </w:rPr>
        <w:t xml:space="preserve"> </w:t>
      </w:r>
      <w:r w:rsidRPr="00740053" w:rsidR="00F814D2">
        <w:rPr>
          <w:rFonts w:ascii="Times New Roman" w:hAnsi="Times New Roman"/>
          <w:b/>
          <w:sz w:val="22"/>
          <w:szCs w:val="22"/>
        </w:rPr>
        <w:t xml:space="preserve">800 MHz Mid-Band Applications x 1/3 (Needing a Letter of Concurrence) = </w:t>
      </w:r>
      <w:r w:rsidRPr="00D23651" w:rsidR="00D23651">
        <w:rPr>
          <w:rFonts w:ascii="Times New Roman" w:hAnsi="Times New Roman"/>
          <w:b/>
          <w:sz w:val="22"/>
          <w:szCs w:val="22"/>
        </w:rPr>
        <w:t>228</w:t>
      </w:r>
      <w:r w:rsidRPr="00740053" w:rsidR="00F814D2">
        <w:rPr>
          <w:rFonts w:ascii="Times New Roman" w:hAnsi="Times New Roman"/>
          <w:b/>
          <w:sz w:val="22"/>
          <w:szCs w:val="22"/>
        </w:rPr>
        <w:t xml:space="preserve"> </w:t>
      </w:r>
      <w:r w:rsidRPr="00740053" w:rsidR="00493D0C">
        <w:rPr>
          <w:rFonts w:ascii="Times New Roman" w:hAnsi="Times New Roman"/>
          <w:b/>
          <w:sz w:val="22"/>
          <w:szCs w:val="22"/>
        </w:rPr>
        <w:t xml:space="preserve">Applications Requiring One Letter </w:t>
      </w:r>
      <w:r w:rsidRPr="00740053" w:rsidR="00F814D2">
        <w:rPr>
          <w:rFonts w:ascii="Times New Roman" w:hAnsi="Times New Roman"/>
          <w:b/>
          <w:sz w:val="22"/>
          <w:szCs w:val="22"/>
        </w:rPr>
        <w:t>of Concurrence Per Year</w:t>
      </w:r>
    </w:p>
    <w:p w:rsidR="00C7599A" w:rsidRPr="00740053" w:rsidP="006F791E" w14:paraId="40082397"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 </w:t>
      </w:r>
    </w:p>
    <w:p w:rsidR="00AF4138" w:rsidRPr="00740053" w:rsidP="006F791E" w14:paraId="134A3033" w14:textId="77777777">
      <w:pPr>
        <w:widowControl/>
        <w:suppressAutoHyphens/>
        <w:ind w:firstLine="360"/>
        <w:rPr>
          <w:rFonts w:ascii="Times New Roman" w:hAnsi="Times New Roman"/>
          <w:sz w:val="22"/>
          <w:szCs w:val="22"/>
        </w:rPr>
      </w:pPr>
      <w:r w:rsidRPr="00740053">
        <w:rPr>
          <w:rFonts w:ascii="Times New Roman" w:hAnsi="Times New Roman"/>
          <w:sz w:val="22"/>
          <w:szCs w:val="22"/>
        </w:rPr>
        <w:t>We now estimate the annual burden on applicants</w:t>
      </w:r>
      <w:r w:rsidRPr="00740053" w:rsidR="000656DF">
        <w:rPr>
          <w:rFonts w:ascii="Times New Roman" w:hAnsi="Times New Roman"/>
          <w:sz w:val="22"/>
          <w:szCs w:val="22"/>
        </w:rPr>
        <w:t xml:space="preserve">.  </w:t>
      </w:r>
    </w:p>
    <w:p w:rsidR="00737AF2" w:rsidRPr="00740053" w:rsidP="00DF0790" w14:paraId="2027CDED" w14:textId="77777777">
      <w:pPr>
        <w:widowControl/>
        <w:suppressAutoHyphens/>
        <w:rPr>
          <w:rFonts w:ascii="Times New Roman" w:hAnsi="Times New Roman"/>
          <w:sz w:val="22"/>
          <w:szCs w:val="22"/>
        </w:rPr>
      </w:pPr>
      <w:r w:rsidRPr="00740053">
        <w:rPr>
          <w:rFonts w:ascii="Times New Roman" w:hAnsi="Times New Roman"/>
          <w:sz w:val="22"/>
          <w:szCs w:val="22"/>
        </w:rPr>
        <w:t xml:space="preserve"> </w:t>
      </w:r>
    </w:p>
    <w:p w:rsidR="00F34836" w:rsidRPr="00740053" w:rsidP="000656DF" w14:paraId="3213B5D2" w14:textId="16D421D8">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Number of Respondents</w:t>
      </w:r>
      <w:r w:rsidRPr="00740053">
        <w:rPr>
          <w:rFonts w:ascii="Times New Roman" w:hAnsi="Times New Roman"/>
          <w:b/>
          <w:sz w:val="22"/>
          <w:szCs w:val="22"/>
        </w:rPr>
        <w:t xml:space="preserve">:  </w:t>
      </w:r>
      <w:r w:rsidR="008206E8">
        <w:rPr>
          <w:rFonts w:ascii="Times New Roman" w:hAnsi="Times New Roman"/>
          <w:b/>
          <w:sz w:val="22"/>
          <w:szCs w:val="22"/>
        </w:rPr>
        <w:t>228</w:t>
      </w:r>
      <w:r w:rsidRPr="00740053">
        <w:rPr>
          <w:rFonts w:ascii="Times New Roman" w:hAnsi="Times New Roman"/>
          <w:b/>
          <w:sz w:val="22"/>
          <w:szCs w:val="22"/>
        </w:rPr>
        <w:t xml:space="preserve"> (applicants)</w:t>
      </w:r>
      <w:r w:rsidRPr="00740053" w:rsidR="006F2853">
        <w:rPr>
          <w:rFonts w:ascii="Times New Roman" w:hAnsi="Times New Roman"/>
          <w:b/>
          <w:sz w:val="22"/>
          <w:szCs w:val="22"/>
        </w:rPr>
        <w:t>.</w:t>
      </w:r>
    </w:p>
    <w:p w:rsidR="00A828E0" w:rsidRPr="00740053" w:rsidP="000656DF" w14:paraId="39330006" w14:textId="64925E7E">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 xml:space="preserve">Total </w:t>
      </w:r>
      <w:r w:rsidRPr="00740053" w:rsidR="00DF0790">
        <w:rPr>
          <w:rFonts w:ascii="Times New Roman" w:hAnsi="Times New Roman"/>
          <w:b/>
          <w:sz w:val="22"/>
          <w:szCs w:val="22"/>
          <w:u w:val="single"/>
        </w:rPr>
        <w:t xml:space="preserve">Number of Annual </w:t>
      </w:r>
      <w:r w:rsidRPr="00740053">
        <w:rPr>
          <w:rFonts w:ascii="Times New Roman" w:hAnsi="Times New Roman"/>
          <w:b/>
          <w:sz w:val="22"/>
          <w:szCs w:val="22"/>
          <w:u w:val="single"/>
        </w:rPr>
        <w:t>Responses</w:t>
      </w:r>
      <w:r w:rsidRPr="00740053">
        <w:rPr>
          <w:rFonts w:ascii="Times New Roman" w:hAnsi="Times New Roman"/>
          <w:b/>
          <w:sz w:val="22"/>
          <w:szCs w:val="22"/>
        </w:rPr>
        <w:t xml:space="preserve">:  </w:t>
      </w:r>
      <w:r w:rsidRPr="00740053" w:rsidR="00493D0C">
        <w:rPr>
          <w:rFonts w:ascii="Times New Roman" w:hAnsi="Times New Roman"/>
          <w:b/>
          <w:sz w:val="22"/>
          <w:szCs w:val="22"/>
        </w:rPr>
        <w:t xml:space="preserve">1 letter x </w:t>
      </w:r>
      <w:r w:rsidR="008206E8">
        <w:rPr>
          <w:rFonts w:ascii="Times New Roman" w:hAnsi="Times New Roman"/>
          <w:b/>
          <w:sz w:val="22"/>
          <w:szCs w:val="22"/>
        </w:rPr>
        <w:t>228</w:t>
      </w:r>
      <w:r w:rsidRPr="00740053" w:rsidR="00DF0790">
        <w:rPr>
          <w:rFonts w:ascii="Times New Roman" w:hAnsi="Times New Roman"/>
          <w:b/>
          <w:sz w:val="22"/>
          <w:szCs w:val="22"/>
        </w:rPr>
        <w:t xml:space="preserve"> </w:t>
      </w:r>
      <w:r w:rsidRPr="00740053" w:rsidR="00493D0C">
        <w:rPr>
          <w:rFonts w:ascii="Times New Roman" w:hAnsi="Times New Roman"/>
          <w:b/>
          <w:sz w:val="22"/>
          <w:szCs w:val="22"/>
        </w:rPr>
        <w:t xml:space="preserve">applicants = </w:t>
      </w:r>
      <w:r w:rsidR="008206E8">
        <w:rPr>
          <w:rFonts w:ascii="Times New Roman" w:hAnsi="Times New Roman"/>
          <w:b/>
          <w:sz w:val="22"/>
          <w:szCs w:val="22"/>
        </w:rPr>
        <w:t>228</w:t>
      </w:r>
      <w:r w:rsidRPr="00740053" w:rsidR="00493D0C">
        <w:rPr>
          <w:rFonts w:ascii="Times New Roman" w:hAnsi="Times New Roman"/>
          <w:b/>
          <w:sz w:val="22"/>
          <w:szCs w:val="22"/>
        </w:rPr>
        <w:t xml:space="preserve"> </w:t>
      </w:r>
      <w:r w:rsidRPr="00740053" w:rsidR="00DF0790">
        <w:rPr>
          <w:rFonts w:ascii="Times New Roman" w:hAnsi="Times New Roman"/>
          <w:b/>
          <w:sz w:val="22"/>
          <w:szCs w:val="22"/>
        </w:rPr>
        <w:t xml:space="preserve">(letters of </w:t>
      </w:r>
      <w:r w:rsidRPr="00740053" w:rsidR="000656DF">
        <w:rPr>
          <w:rFonts w:ascii="Times New Roman" w:hAnsi="Times New Roman"/>
          <w:b/>
          <w:sz w:val="22"/>
          <w:szCs w:val="22"/>
        </w:rPr>
        <w:t>concurrence</w:t>
      </w:r>
      <w:r w:rsidRPr="00740053" w:rsidR="00DF0790">
        <w:rPr>
          <w:rFonts w:ascii="Times New Roman" w:hAnsi="Times New Roman"/>
          <w:b/>
          <w:sz w:val="22"/>
          <w:szCs w:val="22"/>
        </w:rPr>
        <w:t>)</w:t>
      </w:r>
    </w:p>
    <w:p w:rsidR="000656DF" w:rsidRPr="00740053" w:rsidP="000656DF" w14:paraId="7494ABA3" w14:textId="77777777">
      <w:pPr>
        <w:widowControl/>
        <w:suppressAutoHyphens/>
        <w:spacing w:after="120"/>
        <w:ind w:firstLine="720"/>
        <w:rPr>
          <w:rFonts w:ascii="Times New Roman" w:hAnsi="Times New Roman"/>
          <w:b/>
          <w:sz w:val="22"/>
          <w:szCs w:val="22"/>
        </w:rPr>
      </w:pPr>
      <w:r w:rsidRPr="00740053">
        <w:rPr>
          <w:rFonts w:ascii="Times New Roman" w:hAnsi="Times New Roman"/>
          <w:b/>
          <w:sz w:val="22"/>
          <w:szCs w:val="22"/>
          <w:u w:val="single"/>
        </w:rPr>
        <w:t>Frequency of Response</w:t>
      </w:r>
      <w:r w:rsidRPr="00740053">
        <w:rPr>
          <w:rFonts w:ascii="Times New Roman" w:hAnsi="Times New Roman"/>
          <w:b/>
          <w:sz w:val="22"/>
          <w:szCs w:val="22"/>
        </w:rPr>
        <w:t>: One</w:t>
      </w:r>
      <w:r w:rsidRPr="00740053" w:rsidR="00541E2B">
        <w:rPr>
          <w:rFonts w:ascii="Times New Roman" w:hAnsi="Times New Roman"/>
          <w:b/>
          <w:sz w:val="22"/>
          <w:szCs w:val="22"/>
        </w:rPr>
        <w:t>-time</w:t>
      </w:r>
      <w:r w:rsidRPr="00740053">
        <w:rPr>
          <w:rFonts w:ascii="Times New Roman" w:hAnsi="Times New Roman"/>
          <w:b/>
          <w:sz w:val="22"/>
          <w:szCs w:val="22"/>
        </w:rPr>
        <w:t xml:space="preserve"> letter per application</w:t>
      </w:r>
      <w:r w:rsidRPr="00740053" w:rsidR="006F2853">
        <w:rPr>
          <w:rFonts w:ascii="Times New Roman" w:hAnsi="Times New Roman"/>
          <w:b/>
          <w:sz w:val="22"/>
          <w:szCs w:val="22"/>
        </w:rPr>
        <w:t>.</w:t>
      </w:r>
    </w:p>
    <w:p w:rsidR="000656DF" w:rsidRPr="00740053" w:rsidP="00493D0C" w14:paraId="068974AB" w14:textId="2C59F7F5">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Total Annual Burden Hours</w:t>
      </w:r>
      <w:r w:rsidRPr="00740053">
        <w:rPr>
          <w:rFonts w:ascii="Times New Roman" w:hAnsi="Times New Roman"/>
          <w:b/>
          <w:sz w:val="22"/>
          <w:szCs w:val="22"/>
        </w:rPr>
        <w:t>:</w:t>
      </w:r>
      <w:r w:rsidRPr="00740053" w:rsidR="00245FD8">
        <w:rPr>
          <w:rFonts w:ascii="Times New Roman" w:hAnsi="Times New Roman"/>
          <w:b/>
          <w:sz w:val="22"/>
          <w:szCs w:val="22"/>
        </w:rPr>
        <w:t xml:space="preserve"> </w:t>
      </w:r>
      <w:r w:rsidR="008206E8">
        <w:rPr>
          <w:rFonts w:ascii="Times New Roman" w:hAnsi="Times New Roman"/>
          <w:b/>
          <w:sz w:val="22"/>
          <w:szCs w:val="22"/>
        </w:rPr>
        <w:t>228</w:t>
      </w:r>
      <w:r w:rsidRPr="00740053">
        <w:rPr>
          <w:rFonts w:ascii="Times New Roman" w:hAnsi="Times New Roman"/>
          <w:b/>
          <w:sz w:val="22"/>
          <w:szCs w:val="22"/>
        </w:rPr>
        <w:t xml:space="preserve"> letters </w:t>
      </w:r>
      <w:r w:rsidRPr="00740053" w:rsidR="00493D0C">
        <w:rPr>
          <w:rFonts w:ascii="Times New Roman" w:hAnsi="Times New Roman"/>
          <w:b/>
          <w:sz w:val="22"/>
          <w:szCs w:val="22"/>
        </w:rPr>
        <w:t xml:space="preserve">of concurrence </w:t>
      </w:r>
      <w:r w:rsidRPr="00740053">
        <w:rPr>
          <w:rFonts w:ascii="Times New Roman" w:hAnsi="Times New Roman"/>
          <w:b/>
          <w:sz w:val="22"/>
          <w:szCs w:val="22"/>
        </w:rPr>
        <w:t xml:space="preserve">x 1 hour = </w:t>
      </w:r>
      <w:r w:rsidR="008206E8">
        <w:rPr>
          <w:rFonts w:ascii="Times New Roman" w:hAnsi="Times New Roman"/>
          <w:b/>
          <w:sz w:val="22"/>
          <w:szCs w:val="22"/>
        </w:rPr>
        <w:t>228</w:t>
      </w:r>
      <w:r w:rsidRPr="00740053" w:rsidR="00F34836">
        <w:rPr>
          <w:rFonts w:ascii="Times New Roman" w:hAnsi="Times New Roman"/>
          <w:b/>
          <w:sz w:val="22"/>
          <w:szCs w:val="22"/>
        </w:rPr>
        <w:t xml:space="preserve"> </w:t>
      </w:r>
      <w:r w:rsidRPr="00740053" w:rsidR="00245FD8">
        <w:rPr>
          <w:rFonts w:ascii="Times New Roman" w:hAnsi="Times New Roman"/>
          <w:b/>
          <w:sz w:val="22"/>
          <w:szCs w:val="22"/>
        </w:rPr>
        <w:t>hours</w:t>
      </w:r>
      <w:r w:rsidRPr="00740053">
        <w:rPr>
          <w:rFonts w:ascii="Times New Roman" w:hAnsi="Times New Roman"/>
          <w:b/>
          <w:sz w:val="22"/>
          <w:szCs w:val="22"/>
        </w:rPr>
        <w:t xml:space="preserve"> (for applicants</w:t>
      </w:r>
      <w:r w:rsidRPr="00740053" w:rsidR="00493D0C">
        <w:rPr>
          <w:rFonts w:ascii="Times New Roman" w:hAnsi="Times New Roman"/>
          <w:b/>
          <w:sz w:val="22"/>
          <w:szCs w:val="22"/>
        </w:rPr>
        <w:t xml:space="preserve"> to prepare letters of concurrence</w:t>
      </w:r>
      <w:r w:rsidRPr="00740053">
        <w:rPr>
          <w:rFonts w:ascii="Times New Roman" w:hAnsi="Times New Roman"/>
          <w:b/>
          <w:sz w:val="22"/>
          <w:szCs w:val="22"/>
        </w:rPr>
        <w:t>)</w:t>
      </w:r>
      <w:r w:rsidRPr="00740053" w:rsidR="006F2853">
        <w:rPr>
          <w:rFonts w:ascii="Times New Roman" w:hAnsi="Times New Roman"/>
          <w:b/>
          <w:sz w:val="22"/>
          <w:szCs w:val="22"/>
        </w:rPr>
        <w:t>.</w:t>
      </w:r>
    </w:p>
    <w:p w:rsidR="00F34836" w:rsidRPr="00740053" w:rsidP="00A101E1" w14:paraId="624D7FB0" w14:textId="77777777">
      <w:pPr>
        <w:widowControl/>
        <w:suppressAutoHyphens/>
        <w:rPr>
          <w:rFonts w:ascii="Times New Roman" w:hAnsi="Times New Roman"/>
          <w:b/>
          <w:sz w:val="22"/>
          <w:szCs w:val="22"/>
          <w:highlight w:val="yellow"/>
        </w:rPr>
      </w:pPr>
    </w:p>
    <w:p w:rsidR="000656DF" w:rsidRPr="00740053" w:rsidP="000656DF" w14:paraId="52286C49"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We now estimate the annual burden on incumbents.  </w:t>
      </w:r>
    </w:p>
    <w:p w:rsidR="000656DF" w:rsidRPr="00740053" w:rsidP="00A101E1" w14:paraId="73CF1531" w14:textId="77777777">
      <w:pPr>
        <w:widowControl/>
        <w:suppressAutoHyphens/>
        <w:rPr>
          <w:rFonts w:ascii="Times New Roman" w:hAnsi="Times New Roman"/>
          <w:b/>
          <w:sz w:val="22"/>
          <w:szCs w:val="22"/>
          <w:highlight w:val="yellow"/>
        </w:rPr>
      </w:pPr>
      <w:r w:rsidRPr="00740053">
        <w:rPr>
          <w:rFonts w:ascii="Times New Roman" w:hAnsi="Times New Roman"/>
          <w:sz w:val="22"/>
          <w:szCs w:val="22"/>
        </w:rPr>
        <w:t xml:space="preserve"> </w:t>
      </w:r>
    </w:p>
    <w:p w:rsidR="000656DF" w:rsidRPr="00740053" w:rsidP="000656DF" w14:paraId="6A6CEF7C" w14:textId="6FD69087">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Number of Respondents</w:t>
      </w:r>
      <w:r w:rsidRPr="00740053">
        <w:rPr>
          <w:rFonts w:ascii="Times New Roman" w:hAnsi="Times New Roman"/>
          <w:b/>
          <w:sz w:val="22"/>
          <w:szCs w:val="22"/>
        </w:rPr>
        <w:t xml:space="preserve">:  </w:t>
      </w:r>
      <w:r w:rsidR="008206E8">
        <w:rPr>
          <w:rFonts w:ascii="Times New Roman" w:hAnsi="Times New Roman"/>
          <w:b/>
          <w:sz w:val="22"/>
          <w:szCs w:val="22"/>
        </w:rPr>
        <w:t>228</w:t>
      </w:r>
      <w:r w:rsidRPr="00740053">
        <w:rPr>
          <w:rFonts w:ascii="Times New Roman" w:hAnsi="Times New Roman"/>
          <w:b/>
          <w:sz w:val="22"/>
          <w:szCs w:val="22"/>
        </w:rPr>
        <w:t xml:space="preserve"> (incumbents)</w:t>
      </w:r>
      <w:r w:rsidRPr="00740053" w:rsidR="006F2853">
        <w:rPr>
          <w:rFonts w:ascii="Times New Roman" w:hAnsi="Times New Roman"/>
          <w:b/>
          <w:sz w:val="22"/>
          <w:szCs w:val="22"/>
        </w:rPr>
        <w:t>.</w:t>
      </w:r>
    </w:p>
    <w:p w:rsidR="000656DF" w:rsidRPr="00740053" w:rsidP="000656DF" w14:paraId="702C5D75" w14:textId="0F77680A">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Total Number of Annual Responses</w:t>
      </w:r>
      <w:r w:rsidRPr="00740053">
        <w:rPr>
          <w:rFonts w:ascii="Times New Roman" w:hAnsi="Times New Roman"/>
          <w:b/>
          <w:sz w:val="22"/>
          <w:szCs w:val="22"/>
        </w:rPr>
        <w:t xml:space="preserve">:  </w:t>
      </w:r>
      <w:r w:rsidRPr="00740053" w:rsidR="00493D0C">
        <w:rPr>
          <w:rFonts w:ascii="Times New Roman" w:hAnsi="Times New Roman"/>
          <w:b/>
          <w:sz w:val="22"/>
          <w:szCs w:val="22"/>
        </w:rPr>
        <w:t xml:space="preserve">1 letter x </w:t>
      </w:r>
      <w:r w:rsidR="008206E8">
        <w:rPr>
          <w:rFonts w:ascii="Times New Roman" w:hAnsi="Times New Roman"/>
          <w:b/>
          <w:sz w:val="22"/>
          <w:szCs w:val="22"/>
        </w:rPr>
        <w:t>228</w:t>
      </w:r>
      <w:r w:rsidRPr="00740053" w:rsidR="00493D0C">
        <w:rPr>
          <w:rFonts w:ascii="Times New Roman" w:hAnsi="Times New Roman"/>
          <w:b/>
          <w:sz w:val="22"/>
          <w:szCs w:val="22"/>
        </w:rPr>
        <w:t xml:space="preserve"> incumbents = </w:t>
      </w:r>
      <w:r w:rsidR="008206E8">
        <w:rPr>
          <w:rFonts w:ascii="Times New Roman" w:hAnsi="Times New Roman"/>
          <w:b/>
          <w:sz w:val="22"/>
          <w:szCs w:val="22"/>
        </w:rPr>
        <w:t>228</w:t>
      </w:r>
      <w:r w:rsidRPr="00740053" w:rsidR="00493D0C">
        <w:rPr>
          <w:rFonts w:ascii="Times New Roman" w:hAnsi="Times New Roman"/>
          <w:b/>
          <w:sz w:val="22"/>
          <w:szCs w:val="22"/>
        </w:rPr>
        <w:t xml:space="preserve"> (letters of concurrence)</w:t>
      </w:r>
      <w:r w:rsidRPr="00740053" w:rsidR="006F2853">
        <w:rPr>
          <w:rFonts w:ascii="Times New Roman" w:hAnsi="Times New Roman"/>
          <w:b/>
          <w:sz w:val="22"/>
          <w:szCs w:val="22"/>
        </w:rPr>
        <w:t>.</w:t>
      </w:r>
    </w:p>
    <w:p w:rsidR="000656DF" w:rsidRPr="00740053" w:rsidP="000656DF" w14:paraId="710A438B" w14:textId="77777777">
      <w:pPr>
        <w:widowControl/>
        <w:suppressAutoHyphens/>
        <w:spacing w:after="120"/>
        <w:ind w:firstLine="720"/>
        <w:rPr>
          <w:rFonts w:ascii="Times New Roman" w:hAnsi="Times New Roman"/>
          <w:b/>
          <w:sz w:val="22"/>
          <w:szCs w:val="22"/>
        </w:rPr>
      </w:pPr>
      <w:r w:rsidRPr="00740053">
        <w:rPr>
          <w:rFonts w:ascii="Times New Roman" w:hAnsi="Times New Roman"/>
          <w:b/>
          <w:sz w:val="22"/>
          <w:szCs w:val="22"/>
          <w:u w:val="single"/>
        </w:rPr>
        <w:t>Frequency of Response</w:t>
      </w:r>
      <w:r w:rsidRPr="00740053">
        <w:rPr>
          <w:rFonts w:ascii="Times New Roman" w:hAnsi="Times New Roman"/>
          <w:b/>
          <w:sz w:val="22"/>
          <w:szCs w:val="22"/>
        </w:rPr>
        <w:t>: One</w:t>
      </w:r>
      <w:r w:rsidRPr="00740053" w:rsidR="00541E2B">
        <w:rPr>
          <w:rFonts w:ascii="Times New Roman" w:hAnsi="Times New Roman"/>
          <w:b/>
          <w:sz w:val="22"/>
          <w:szCs w:val="22"/>
        </w:rPr>
        <w:t>-time</w:t>
      </w:r>
      <w:r w:rsidRPr="00740053">
        <w:rPr>
          <w:rFonts w:ascii="Times New Roman" w:hAnsi="Times New Roman"/>
          <w:b/>
          <w:sz w:val="22"/>
          <w:szCs w:val="22"/>
        </w:rPr>
        <w:t xml:space="preserve"> letter per application</w:t>
      </w:r>
      <w:r w:rsidRPr="00740053" w:rsidR="006F2853">
        <w:rPr>
          <w:rFonts w:ascii="Times New Roman" w:hAnsi="Times New Roman"/>
          <w:b/>
          <w:sz w:val="22"/>
          <w:szCs w:val="22"/>
        </w:rPr>
        <w:t>.</w:t>
      </w:r>
    </w:p>
    <w:p w:rsidR="000656DF" w:rsidRPr="00740053" w:rsidP="00493D0C" w14:paraId="31CE1705" w14:textId="7071F8F8">
      <w:pPr>
        <w:widowControl/>
        <w:suppressAutoHyphens/>
        <w:spacing w:after="120"/>
        <w:ind w:left="2160" w:hanging="1440"/>
        <w:rPr>
          <w:rFonts w:ascii="Times New Roman" w:hAnsi="Times New Roman"/>
          <w:b/>
          <w:sz w:val="22"/>
          <w:szCs w:val="22"/>
        </w:rPr>
      </w:pPr>
      <w:r w:rsidRPr="00740053">
        <w:rPr>
          <w:rFonts w:ascii="Times New Roman" w:hAnsi="Times New Roman"/>
          <w:b/>
          <w:sz w:val="22"/>
          <w:szCs w:val="22"/>
          <w:u w:val="single"/>
        </w:rPr>
        <w:t>Total Annual Burden Hours</w:t>
      </w:r>
      <w:r w:rsidRPr="00740053">
        <w:rPr>
          <w:rFonts w:ascii="Times New Roman" w:hAnsi="Times New Roman"/>
          <w:b/>
          <w:sz w:val="22"/>
          <w:szCs w:val="22"/>
        </w:rPr>
        <w:t xml:space="preserve">: </w:t>
      </w:r>
      <w:r w:rsidR="008206E8">
        <w:rPr>
          <w:rFonts w:ascii="Times New Roman" w:hAnsi="Times New Roman"/>
          <w:b/>
          <w:sz w:val="22"/>
          <w:szCs w:val="22"/>
        </w:rPr>
        <w:t>228</w:t>
      </w:r>
      <w:r w:rsidRPr="00740053">
        <w:rPr>
          <w:rFonts w:ascii="Times New Roman" w:hAnsi="Times New Roman"/>
          <w:b/>
          <w:sz w:val="22"/>
          <w:szCs w:val="22"/>
        </w:rPr>
        <w:t xml:space="preserve"> letters </w:t>
      </w:r>
      <w:r w:rsidRPr="00740053" w:rsidR="00493D0C">
        <w:rPr>
          <w:rFonts w:ascii="Times New Roman" w:hAnsi="Times New Roman"/>
          <w:b/>
          <w:sz w:val="22"/>
          <w:szCs w:val="22"/>
        </w:rPr>
        <w:t xml:space="preserve">of concurrence </w:t>
      </w:r>
      <w:r w:rsidRPr="00740053">
        <w:rPr>
          <w:rFonts w:ascii="Times New Roman" w:hAnsi="Times New Roman"/>
          <w:b/>
          <w:sz w:val="22"/>
          <w:szCs w:val="22"/>
        </w:rPr>
        <w:t xml:space="preserve">x 1 hour = </w:t>
      </w:r>
      <w:r w:rsidR="008206E8">
        <w:rPr>
          <w:rFonts w:ascii="Times New Roman" w:hAnsi="Times New Roman"/>
          <w:b/>
          <w:sz w:val="22"/>
          <w:szCs w:val="22"/>
        </w:rPr>
        <w:t>228</w:t>
      </w:r>
      <w:r w:rsidRPr="00740053">
        <w:rPr>
          <w:rFonts w:ascii="Times New Roman" w:hAnsi="Times New Roman"/>
          <w:b/>
          <w:sz w:val="22"/>
          <w:szCs w:val="22"/>
        </w:rPr>
        <w:t xml:space="preserve"> hours (for incumbents</w:t>
      </w:r>
      <w:r w:rsidRPr="00740053" w:rsidR="00493D0C">
        <w:rPr>
          <w:rFonts w:ascii="Times New Roman" w:hAnsi="Times New Roman"/>
          <w:b/>
          <w:sz w:val="22"/>
          <w:szCs w:val="22"/>
        </w:rPr>
        <w:t xml:space="preserve"> to review, approve and sign letters of concurrence</w:t>
      </w:r>
      <w:r w:rsidRPr="00740053">
        <w:rPr>
          <w:rFonts w:ascii="Times New Roman" w:hAnsi="Times New Roman"/>
          <w:b/>
          <w:sz w:val="22"/>
          <w:szCs w:val="22"/>
        </w:rPr>
        <w:t>)</w:t>
      </w:r>
      <w:r w:rsidRPr="00740053" w:rsidR="00133FD1">
        <w:rPr>
          <w:rFonts w:ascii="Times New Roman" w:hAnsi="Times New Roman"/>
          <w:b/>
          <w:sz w:val="22"/>
          <w:szCs w:val="22"/>
        </w:rPr>
        <w:t>.</w:t>
      </w:r>
    </w:p>
    <w:p w:rsidR="00D00EFA" w:rsidRPr="00740053" w:rsidP="00D00EFA" w14:paraId="5C9DB977" w14:textId="77777777">
      <w:pPr>
        <w:widowControl/>
        <w:suppressAutoHyphens/>
        <w:rPr>
          <w:rFonts w:ascii="Times New Roman" w:hAnsi="Times New Roman"/>
          <w:sz w:val="22"/>
          <w:szCs w:val="22"/>
        </w:rPr>
      </w:pPr>
    </w:p>
    <w:p w:rsidR="00541E2B" w:rsidRPr="00740053" w:rsidP="00541E2B" w14:paraId="29E0E006"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For this estimate, we assume an hourly rate of $40/hour for an applicant’s in-house staff to </w:t>
      </w:r>
      <w:r w:rsidRPr="00740053" w:rsidR="002550E7">
        <w:rPr>
          <w:rFonts w:ascii="Times New Roman" w:hAnsi="Times New Roman"/>
          <w:sz w:val="22"/>
          <w:szCs w:val="22"/>
        </w:rPr>
        <w:t>prepare letters of concurrence per Section 90.621(d)(4)</w:t>
      </w:r>
      <w:r w:rsidRPr="00740053">
        <w:rPr>
          <w:rFonts w:ascii="Times New Roman" w:hAnsi="Times New Roman"/>
          <w:sz w:val="22"/>
          <w:szCs w:val="22"/>
        </w:rPr>
        <w:t xml:space="preserve">.  </w:t>
      </w:r>
    </w:p>
    <w:p w:rsidR="00541E2B" w:rsidRPr="00740053" w:rsidP="006F791E" w14:paraId="32FF1F32" w14:textId="77777777">
      <w:pPr>
        <w:widowControl/>
        <w:suppressAutoHyphens/>
        <w:ind w:firstLine="360"/>
        <w:rPr>
          <w:rFonts w:ascii="Times New Roman" w:hAnsi="Times New Roman"/>
          <w:sz w:val="22"/>
          <w:szCs w:val="22"/>
        </w:rPr>
      </w:pPr>
    </w:p>
    <w:p w:rsidR="00541E2B" w:rsidRPr="00740053" w:rsidP="006C1B13" w14:paraId="005C92EA" w14:textId="0D7BFCA4">
      <w:pPr>
        <w:widowControl/>
        <w:suppressAutoHyphens/>
        <w:ind w:firstLine="720"/>
        <w:rPr>
          <w:rFonts w:ascii="Times New Roman" w:hAnsi="Times New Roman"/>
          <w:b/>
          <w:sz w:val="22"/>
          <w:szCs w:val="22"/>
        </w:rPr>
      </w:pPr>
      <w:r w:rsidRPr="00740053">
        <w:rPr>
          <w:rFonts w:ascii="Times New Roman" w:hAnsi="Times New Roman"/>
          <w:b/>
          <w:sz w:val="22"/>
          <w:szCs w:val="22"/>
          <w:u w:val="single"/>
        </w:rPr>
        <w:t>Annual In-house Cost</w:t>
      </w:r>
      <w:r w:rsidRPr="00740053">
        <w:rPr>
          <w:rFonts w:ascii="Times New Roman" w:hAnsi="Times New Roman"/>
          <w:b/>
          <w:sz w:val="22"/>
          <w:szCs w:val="22"/>
        </w:rPr>
        <w:t xml:space="preserve">:  </w:t>
      </w:r>
      <w:r w:rsidR="000063E1">
        <w:rPr>
          <w:rFonts w:ascii="Times New Roman" w:hAnsi="Times New Roman"/>
          <w:b/>
          <w:sz w:val="22"/>
          <w:szCs w:val="22"/>
        </w:rPr>
        <w:t>228</w:t>
      </w:r>
      <w:r w:rsidRPr="00740053">
        <w:rPr>
          <w:rFonts w:ascii="Times New Roman" w:hAnsi="Times New Roman"/>
          <w:b/>
          <w:sz w:val="22"/>
          <w:szCs w:val="22"/>
        </w:rPr>
        <w:t xml:space="preserve"> hours x $40/hour = $</w:t>
      </w:r>
      <w:r w:rsidRPr="00B53836" w:rsidR="00B53836">
        <w:rPr>
          <w:rFonts w:ascii="Times New Roman" w:hAnsi="Times New Roman"/>
          <w:b/>
          <w:sz w:val="22"/>
          <w:szCs w:val="22"/>
        </w:rPr>
        <w:t>9,120</w:t>
      </w:r>
      <w:r w:rsidRPr="00B53836" w:rsidR="00B53836">
        <w:rPr>
          <w:rFonts w:ascii="Times New Roman" w:hAnsi="Times New Roman"/>
          <w:b/>
          <w:sz w:val="22"/>
          <w:szCs w:val="22"/>
        </w:rPr>
        <w:t xml:space="preserve"> </w:t>
      </w:r>
      <w:r w:rsidRPr="00740053">
        <w:rPr>
          <w:rFonts w:ascii="Times New Roman" w:hAnsi="Times New Roman"/>
          <w:b/>
          <w:sz w:val="22"/>
          <w:szCs w:val="22"/>
        </w:rPr>
        <w:t>(for applicants)</w:t>
      </w:r>
    </w:p>
    <w:p w:rsidR="00541E2B" w:rsidRPr="00740053" w:rsidP="006C1B13" w14:paraId="7A7CD500" w14:textId="77777777">
      <w:pPr>
        <w:widowControl/>
        <w:suppressAutoHyphens/>
        <w:ind w:firstLine="360"/>
        <w:rPr>
          <w:rFonts w:ascii="Times New Roman" w:hAnsi="Times New Roman"/>
          <w:sz w:val="22"/>
          <w:szCs w:val="22"/>
        </w:rPr>
      </w:pPr>
    </w:p>
    <w:p w:rsidR="00541E2B" w:rsidRPr="00740053" w:rsidP="006F791E" w14:paraId="22045179" w14:textId="77777777">
      <w:pPr>
        <w:widowControl/>
        <w:suppressAutoHyphens/>
        <w:ind w:firstLine="360"/>
        <w:rPr>
          <w:rFonts w:ascii="Times New Roman" w:hAnsi="Times New Roman"/>
          <w:sz w:val="22"/>
          <w:szCs w:val="22"/>
        </w:rPr>
      </w:pPr>
      <w:r w:rsidRPr="00740053">
        <w:rPr>
          <w:rFonts w:ascii="Times New Roman" w:hAnsi="Times New Roman"/>
          <w:sz w:val="22"/>
          <w:szCs w:val="22"/>
        </w:rPr>
        <w:t xml:space="preserve">For this estimate, we assume an hourly rate of $40/hour for an incumbent’s in-house staff to </w:t>
      </w:r>
      <w:r w:rsidRPr="00740053" w:rsidR="002550E7">
        <w:rPr>
          <w:rFonts w:ascii="Times New Roman" w:hAnsi="Times New Roman"/>
          <w:sz w:val="22"/>
          <w:szCs w:val="22"/>
        </w:rPr>
        <w:t>review, approve and sign a letter of concurrence per Section 90.621(d)(4)</w:t>
      </w:r>
      <w:r w:rsidRPr="00740053">
        <w:rPr>
          <w:rFonts w:ascii="Times New Roman" w:hAnsi="Times New Roman"/>
          <w:sz w:val="22"/>
          <w:szCs w:val="22"/>
        </w:rPr>
        <w:t xml:space="preserve">.  </w:t>
      </w:r>
    </w:p>
    <w:p w:rsidR="00541E2B" w:rsidRPr="00740053" w:rsidP="006F791E" w14:paraId="1AB6432F" w14:textId="77777777">
      <w:pPr>
        <w:widowControl/>
        <w:suppressAutoHyphens/>
        <w:ind w:firstLine="360"/>
        <w:rPr>
          <w:rFonts w:ascii="Times New Roman" w:hAnsi="Times New Roman"/>
          <w:sz w:val="22"/>
          <w:szCs w:val="22"/>
        </w:rPr>
      </w:pPr>
    </w:p>
    <w:p w:rsidR="00541E2B" w:rsidRPr="00740053" w:rsidP="00541E2B" w14:paraId="5D3C2CB4" w14:textId="2B9DFE51">
      <w:pPr>
        <w:widowControl/>
        <w:suppressAutoHyphens/>
        <w:ind w:firstLine="720"/>
        <w:rPr>
          <w:rFonts w:ascii="Times New Roman" w:hAnsi="Times New Roman"/>
          <w:sz w:val="22"/>
          <w:szCs w:val="22"/>
        </w:rPr>
      </w:pPr>
      <w:r w:rsidRPr="00740053">
        <w:rPr>
          <w:rFonts w:ascii="Times New Roman" w:hAnsi="Times New Roman"/>
          <w:b/>
          <w:sz w:val="22"/>
          <w:szCs w:val="22"/>
          <w:u w:val="single"/>
        </w:rPr>
        <w:t>Annual In-house Cost</w:t>
      </w:r>
      <w:r w:rsidRPr="00740053">
        <w:rPr>
          <w:rFonts w:ascii="Times New Roman" w:hAnsi="Times New Roman"/>
          <w:b/>
          <w:sz w:val="22"/>
          <w:szCs w:val="22"/>
        </w:rPr>
        <w:t xml:space="preserve">:  </w:t>
      </w:r>
      <w:r w:rsidR="00B53836">
        <w:rPr>
          <w:rFonts w:ascii="Times New Roman" w:hAnsi="Times New Roman"/>
          <w:b/>
          <w:sz w:val="22"/>
          <w:szCs w:val="22"/>
        </w:rPr>
        <w:t>228</w:t>
      </w:r>
      <w:r w:rsidRPr="00740053">
        <w:rPr>
          <w:rFonts w:ascii="Times New Roman" w:hAnsi="Times New Roman"/>
          <w:b/>
          <w:sz w:val="22"/>
          <w:szCs w:val="22"/>
        </w:rPr>
        <w:t xml:space="preserve"> hours x $40/hour = $</w:t>
      </w:r>
      <w:r w:rsidRPr="00B53836" w:rsidR="00B53836">
        <w:rPr>
          <w:rFonts w:ascii="Times New Roman" w:hAnsi="Times New Roman"/>
          <w:b/>
          <w:sz w:val="22"/>
          <w:szCs w:val="22"/>
        </w:rPr>
        <w:t>9,120</w:t>
      </w:r>
      <w:r w:rsidRPr="00B53836" w:rsidR="00B53836">
        <w:rPr>
          <w:rFonts w:ascii="Times New Roman" w:hAnsi="Times New Roman"/>
          <w:b/>
          <w:sz w:val="22"/>
          <w:szCs w:val="22"/>
        </w:rPr>
        <w:t xml:space="preserve"> </w:t>
      </w:r>
      <w:r w:rsidRPr="00740053">
        <w:rPr>
          <w:rFonts w:ascii="Times New Roman" w:hAnsi="Times New Roman"/>
          <w:b/>
          <w:sz w:val="22"/>
          <w:szCs w:val="22"/>
        </w:rPr>
        <w:t>(for incumbents)</w:t>
      </w:r>
    </w:p>
    <w:p w:rsidR="00EE4E24" w:rsidRPr="00740053" w:rsidP="006F791E" w14:paraId="688BCBEE" w14:textId="77777777">
      <w:pPr>
        <w:widowControl/>
        <w:suppressAutoHyphens/>
        <w:ind w:firstLine="360"/>
        <w:rPr>
          <w:rFonts w:ascii="Times New Roman" w:hAnsi="Times New Roman"/>
          <w:sz w:val="22"/>
          <w:szCs w:val="22"/>
        </w:rPr>
      </w:pPr>
    </w:p>
    <w:p w:rsidR="00133FD1" w:rsidRPr="00740053" w:rsidP="00382E25" w14:paraId="561B61CB" w14:textId="28FD39E6">
      <w:pPr>
        <w:widowControl/>
        <w:suppressAutoHyphens/>
        <w:ind w:left="3690" w:hanging="3330"/>
        <w:rPr>
          <w:rFonts w:ascii="Times New Roman" w:hAnsi="Times New Roman"/>
          <w:b/>
          <w:sz w:val="22"/>
          <w:szCs w:val="22"/>
        </w:rPr>
      </w:pPr>
      <w:r w:rsidRPr="009C7218">
        <w:rPr>
          <w:rFonts w:ascii="Times New Roman" w:hAnsi="Times New Roman"/>
          <w:b/>
          <w:sz w:val="22"/>
          <w:szCs w:val="22"/>
        </w:rPr>
        <w:t xml:space="preserve">Total Respondents and Responses: </w:t>
      </w:r>
      <w:r w:rsidRPr="009C7218" w:rsidR="00E44C83">
        <w:rPr>
          <w:rFonts w:ascii="Times New Roman" w:hAnsi="Times New Roman"/>
          <w:b/>
          <w:sz w:val="22"/>
          <w:szCs w:val="22"/>
        </w:rPr>
        <w:t>456</w:t>
      </w:r>
      <w:r w:rsidRPr="009C7218">
        <w:rPr>
          <w:rFonts w:ascii="Times New Roman" w:hAnsi="Times New Roman"/>
          <w:b/>
          <w:sz w:val="22"/>
          <w:szCs w:val="22"/>
        </w:rPr>
        <w:t xml:space="preserve"> respondents </w:t>
      </w:r>
      <w:r w:rsidRPr="009C7218" w:rsidR="003236BE">
        <w:rPr>
          <w:rFonts w:ascii="Times New Roman" w:hAnsi="Times New Roman"/>
          <w:b/>
          <w:sz w:val="22"/>
          <w:szCs w:val="22"/>
        </w:rPr>
        <w:t xml:space="preserve">(applicants and incumbents) </w:t>
      </w:r>
      <w:r w:rsidRPr="009C7218">
        <w:rPr>
          <w:rFonts w:ascii="Times New Roman" w:hAnsi="Times New Roman"/>
          <w:b/>
          <w:sz w:val="22"/>
          <w:szCs w:val="22"/>
        </w:rPr>
        <w:t xml:space="preserve">and </w:t>
      </w:r>
      <w:r w:rsidRPr="00563248" w:rsidR="00905D65">
        <w:rPr>
          <w:rFonts w:ascii="Times New Roman" w:hAnsi="Times New Roman"/>
          <w:b/>
          <w:sz w:val="22"/>
          <w:szCs w:val="22"/>
        </w:rPr>
        <w:t>228</w:t>
      </w:r>
      <w:r w:rsidRPr="009C7218" w:rsidR="003236BE">
        <w:rPr>
          <w:rFonts w:ascii="Times New Roman" w:hAnsi="Times New Roman"/>
          <w:b/>
          <w:sz w:val="22"/>
          <w:szCs w:val="22"/>
        </w:rPr>
        <w:t xml:space="preserve"> </w:t>
      </w:r>
      <w:r w:rsidRPr="009C7218">
        <w:rPr>
          <w:rFonts w:ascii="Times New Roman" w:hAnsi="Times New Roman"/>
          <w:b/>
          <w:sz w:val="22"/>
          <w:szCs w:val="22"/>
        </w:rPr>
        <w:t>responses</w:t>
      </w:r>
      <w:r w:rsidRPr="009C7218" w:rsidR="003236BE">
        <w:rPr>
          <w:rFonts w:ascii="Times New Roman" w:hAnsi="Times New Roman"/>
          <w:b/>
          <w:sz w:val="22"/>
          <w:szCs w:val="22"/>
        </w:rPr>
        <w:t xml:space="preserve"> (</w:t>
      </w:r>
      <w:r w:rsidRPr="009C7218" w:rsidR="00E14ABD">
        <w:rPr>
          <w:rFonts w:ascii="Times New Roman" w:hAnsi="Times New Roman"/>
          <w:b/>
          <w:sz w:val="22"/>
          <w:szCs w:val="22"/>
        </w:rPr>
        <w:t>applicants and incumbents</w:t>
      </w:r>
      <w:r w:rsidRPr="00563248" w:rsidR="00905D65">
        <w:rPr>
          <w:rFonts w:ascii="Times New Roman" w:hAnsi="Times New Roman"/>
          <w:b/>
          <w:sz w:val="22"/>
          <w:szCs w:val="22"/>
        </w:rPr>
        <w:t xml:space="preserve"> submit a joint letter</w:t>
      </w:r>
      <w:r w:rsidRPr="009C7218" w:rsidR="003236BE">
        <w:rPr>
          <w:rFonts w:ascii="Times New Roman" w:hAnsi="Times New Roman"/>
          <w:b/>
          <w:sz w:val="22"/>
          <w:szCs w:val="22"/>
        </w:rPr>
        <w:t>).</w:t>
      </w:r>
      <w:r w:rsidRPr="00740053">
        <w:rPr>
          <w:rFonts w:ascii="Times New Roman" w:hAnsi="Times New Roman"/>
          <w:b/>
          <w:sz w:val="22"/>
          <w:szCs w:val="22"/>
        </w:rPr>
        <w:t xml:space="preserve"> </w:t>
      </w:r>
    </w:p>
    <w:p w:rsidR="00133FD1" w:rsidRPr="00740053" w:rsidP="006F791E" w14:paraId="73839E02" w14:textId="29B20871">
      <w:pPr>
        <w:widowControl/>
        <w:suppressAutoHyphens/>
        <w:ind w:firstLine="360"/>
        <w:rPr>
          <w:rFonts w:ascii="Times New Roman" w:hAnsi="Times New Roman"/>
          <w:b/>
          <w:sz w:val="22"/>
          <w:szCs w:val="22"/>
        </w:rPr>
      </w:pPr>
      <w:r w:rsidRPr="00740053">
        <w:rPr>
          <w:rFonts w:ascii="Times New Roman" w:hAnsi="Times New Roman"/>
          <w:b/>
          <w:sz w:val="22"/>
          <w:szCs w:val="22"/>
        </w:rPr>
        <w:t xml:space="preserve">Total Annual Burden Hours: </w:t>
      </w:r>
      <w:r w:rsidR="00392799">
        <w:rPr>
          <w:rFonts w:ascii="Times New Roman" w:hAnsi="Times New Roman"/>
          <w:b/>
          <w:sz w:val="22"/>
          <w:szCs w:val="22"/>
        </w:rPr>
        <w:t>456</w:t>
      </w:r>
      <w:r w:rsidRPr="00740053">
        <w:rPr>
          <w:rFonts w:ascii="Times New Roman" w:hAnsi="Times New Roman"/>
          <w:b/>
          <w:sz w:val="22"/>
          <w:szCs w:val="22"/>
        </w:rPr>
        <w:t xml:space="preserve"> hours</w:t>
      </w:r>
      <w:r w:rsidRPr="00740053" w:rsidR="003236BE">
        <w:rPr>
          <w:rFonts w:ascii="Times New Roman" w:hAnsi="Times New Roman"/>
          <w:b/>
          <w:sz w:val="22"/>
          <w:szCs w:val="22"/>
        </w:rPr>
        <w:t xml:space="preserve"> (applicants and incumbents)</w:t>
      </w:r>
    </w:p>
    <w:p w:rsidR="00133FD1" w:rsidRPr="00740053" w:rsidP="006F791E" w14:paraId="1B5196D5" w14:textId="06E81F4F">
      <w:pPr>
        <w:widowControl/>
        <w:suppressAutoHyphens/>
        <w:ind w:firstLine="360"/>
        <w:rPr>
          <w:rFonts w:ascii="Times New Roman" w:hAnsi="Times New Roman"/>
          <w:b/>
          <w:sz w:val="22"/>
          <w:szCs w:val="22"/>
        </w:rPr>
      </w:pPr>
      <w:r w:rsidRPr="00740053">
        <w:rPr>
          <w:rFonts w:ascii="Times New Roman" w:hAnsi="Times New Roman"/>
          <w:b/>
          <w:sz w:val="22"/>
          <w:szCs w:val="22"/>
        </w:rPr>
        <w:t>Total  Annual “In-house” Cost to Respondents: $</w:t>
      </w:r>
      <w:r w:rsidRPr="00AF18BA" w:rsidR="00AF18BA">
        <w:rPr>
          <w:rFonts w:ascii="Times New Roman" w:hAnsi="Times New Roman"/>
          <w:b/>
          <w:sz w:val="22"/>
          <w:szCs w:val="22"/>
        </w:rPr>
        <w:t>18,240</w:t>
      </w:r>
      <w:r w:rsidRPr="00AF18BA" w:rsidR="00AF18BA">
        <w:rPr>
          <w:rFonts w:ascii="Times New Roman" w:hAnsi="Times New Roman"/>
          <w:b/>
          <w:sz w:val="22"/>
          <w:szCs w:val="22"/>
        </w:rPr>
        <w:t xml:space="preserve"> </w:t>
      </w:r>
      <w:r w:rsidRPr="00740053" w:rsidR="003236BE">
        <w:rPr>
          <w:rFonts w:ascii="Times New Roman" w:hAnsi="Times New Roman"/>
          <w:b/>
          <w:sz w:val="22"/>
          <w:szCs w:val="22"/>
        </w:rPr>
        <w:t>(applicants and incumbents)</w:t>
      </w:r>
    </w:p>
    <w:p w:rsidR="00133FD1" w:rsidRPr="00740053" w:rsidP="006F791E" w14:paraId="241436A2" w14:textId="77777777">
      <w:pPr>
        <w:widowControl/>
        <w:suppressAutoHyphens/>
        <w:ind w:firstLine="360"/>
        <w:rPr>
          <w:rFonts w:ascii="Times New Roman" w:hAnsi="Times New Roman"/>
          <w:b/>
          <w:sz w:val="22"/>
          <w:szCs w:val="22"/>
        </w:rPr>
      </w:pPr>
      <w:r w:rsidRPr="00740053">
        <w:rPr>
          <w:rFonts w:ascii="Times New Roman" w:hAnsi="Times New Roman"/>
          <w:b/>
          <w:sz w:val="22"/>
          <w:szCs w:val="22"/>
        </w:rPr>
        <w:t xml:space="preserve"> </w:t>
      </w:r>
    </w:p>
    <w:p w:rsidR="00133FD1" w:rsidRPr="00740053" w:rsidP="005D6CB3" w14:paraId="3680A2BE" w14:textId="77777777">
      <w:pPr>
        <w:widowControl/>
        <w:numPr>
          <w:ilvl w:val="0"/>
          <w:numId w:val="2"/>
        </w:numPr>
        <w:suppressAutoHyphens/>
        <w:ind w:left="0" w:firstLine="360"/>
        <w:rPr>
          <w:rFonts w:ascii="Times New Roman" w:hAnsi="Times New Roman"/>
          <w:b/>
          <w:sz w:val="22"/>
          <w:szCs w:val="22"/>
        </w:rPr>
      </w:pPr>
      <w:r w:rsidRPr="00382E25">
        <w:rPr>
          <w:rFonts w:ascii="Times New Roman" w:hAnsi="Times New Roman"/>
          <w:b/>
          <w:sz w:val="22"/>
          <w:szCs w:val="22"/>
        </w:rPr>
        <w:t>Provide an estimate of the total annual cost burden to respondents or record keepers resulting from the collection of information. Do not include the cost of any burden hours shown in items 12 and 14.</w:t>
      </w:r>
    </w:p>
    <w:p w:rsidR="009A7F46" w:rsidRPr="00382E25" w:rsidP="003236BE" w14:paraId="7FF02E35" w14:textId="77777777">
      <w:pPr>
        <w:widowControl/>
        <w:suppressAutoHyphens/>
        <w:ind w:left="360"/>
        <w:rPr>
          <w:rFonts w:ascii="Times New Roman" w:hAnsi="Times New Roman"/>
          <w:b/>
          <w:sz w:val="22"/>
          <w:szCs w:val="22"/>
        </w:rPr>
      </w:pPr>
    </w:p>
    <w:p w:rsidR="009A7F46" w:rsidP="00382E25" w14:paraId="3C29A9A1" w14:textId="77777777">
      <w:pPr>
        <w:widowControl/>
        <w:suppressAutoHyphens/>
        <w:ind w:firstLine="360"/>
        <w:rPr>
          <w:rFonts w:ascii="Times New Roman" w:hAnsi="Times New Roman"/>
          <w:sz w:val="22"/>
          <w:szCs w:val="22"/>
        </w:rPr>
      </w:pPr>
      <w:r w:rsidRPr="00DA0C18">
        <w:rPr>
          <w:rFonts w:ascii="Times New Roman" w:hAnsi="Times New Roman"/>
          <w:sz w:val="22"/>
          <w:szCs w:val="22"/>
        </w:rPr>
        <w:t>There</w:t>
      </w:r>
      <w:r>
        <w:rPr>
          <w:rFonts w:ascii="Times New Roman" w:hAnsi="Times New Roman"/>
          <w:sz w:val="22"/>
          <w:szCs w:val="22"/>
        </w:rPr>
        <w:t xml:space="preserve"> are no outside costs because both applicants and incumbents will use in-house staff to fulfill the requirement</w:t>
      </w:r>
    </w:p>
    <w:p w:rsidR="00DA0C18" w:rsidRPr="00382E25" w:rsidP="003236BE" w14:paraId="255D616D" w14:textId="77777777">
      <w:pPr>
        <w:widowControl/>
        <w:suppressAutoHyphens/>
        <w:ind w:left="360"/>
        <w:rPr>
          <w:rFonts w:ascii="Times New Roman" w:hAnsi="Times New Roman"/>
          <w:sz w:val="22"/>
          <w:szCs w:val="22"/>
        </w:rPr>
      </w:pPr>
    </w:p>
    <w:p w:rsidR="009A7F46" w:rsidRPr="00382E25" w:rsidP="003236BE" w14:paraId="0A6F6792" w14:textId="77777777">
      <w:pPr>
        <w:widowControl/>
        <w:suppressAutoHyphens/>
        <w:ind w:left="360"/>
        <w:rPr>
          <w:rFonts w:ascii="Times New Roman" w:hAnsi="Times New Roman"/>
          <w:b/>
          <w:sz w:val="22"/>
          <w:szCs w:val="22"/>
        </w:rPr>
      </w:pPr>
      <w:r w:rsidRPr="00382E25">
        <w:rPr>
          <w:rFonts w:ascii="Times New Roman" w:hAnsi="Times New Roman"/>
          <w:b/>
          <w:sz w:val="22"/>
          <w:szCs w:val="22"/>
        </w:rPr>
        <w:t>Total annual capital/start-up costs: None.</w:t>
      </w:r>
    </w:p>
    <w:p w:rsidR="009A7F46" w:rsidRPr="00382E25" w:rsidP="003236BE" w14:paraId="6EE4FEC3" w14:textId="77777777">
      <w:pPr>
        <w:widowControl/>
        <w:suppressAutoHyphens/>
        <w:ind w:left="360"/>
        <w:rPr>
          <w:rFonts w:ascii="Times New Roman" w:hAnsi="Times New Roman"/>
          <w:b/>
          <w:sz w:val="22"/>
          <w:szCs w:val="22"/>
        </w:rPr>
      </w:pPr>
      <w:r w:rsidRPr="00382E25">
        <w:rPr>
          <w:rFonts w:ascii="Times New Roman" w:hAnsi="Times New Roman"/>
          <w:b/>
          <w:sz w:val="22"/>
          <w:szCs w:val="22"/>
        </w:rPr>
        <w:t>Total annualized costs (O&amp;M): None.</w:t>
      </w:r>
    </w:p>
    <w:p w:rsidR="009A7F46" w:rsidRPr="00740053" w:rsidP="003236BE" w14:paraId="620E7DEB" w14:textId="77777777">
      <w:pPr>
        <w:widowControl/>
        <w:suppressAutoHyphens/>
        <w:ind w:left="360"/>
        <w:rPr>
          <w:rFonts w:ascii="Times New Roman" w:hAnsi="Times New Roman"/>
          <w:b/>
          <w:sz w:val="22"/>
          <w:szCs w:val="22"/>
        </w:rPr>
      </w:pPr>
      <w:r w:rsidRPr="00382E25">
        <w:rPr>
          <w:rFonts w:ascii="Times New Roman" w:hAnsi="Times New Roman"/>
          <w:b/>
          <w:sz w:val="22"/>
          <w:szCs w:val="22"/>
        </w:rPr>
        <w:t xml:space="preserve">Total annualized cost requested: None.  </w:t>
      </w:r>
    </w:p>
    <w:p w:rsidR="00133FD1" w:rsidRPr="00382E25" w:rsidP="003236BE" w14:paraId="61017C9B" w14:textId="77777777">
      <w:pPr>
        <w:widowControl/>
        <w:suppressAutoHyphens/>
        <w:ind w:left="360"/>
        <w:rPr>
          <w:rFonts w:ascii="Times New Roman" w:hAnsi="Times New Roman"/>
          <w:b/>
          <w:sz w:val="22"/>
          <w:szCs w:val="22"/>
        </w:rPr>
      </w:pPr>
    </w:p>
    <w:p w:rsidR="00EF3305" w:rsidRPr="00DA0C18" w:rsidP="005D6CB3" w14:paraId="1C4E9BC7" w14:textId="10FFB840">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Provide estimates of annualized costs to the Federal government.</w:t>
      </w:r>
      <w:r w:rsidRPr="003B7D11" w:rsidR="003B7D11">
        <w:rPr>
          <w:rFonts w:ascii="Times New Roman" w:hAnsi="Times New Roman"/>
          <w:b/>
          <w:sz w:val="22"/>
          <w:szCs w:val="22"/>
        </w:rPr>
        <w:t xml:space="preserve">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5D6CB3" w:rsidRPr="00740053" w:rsidP="005D6CB3" w14:paraId="0EBAD526" w14:textId="77777777">
      <w:pPr>
        <w:widowControl/>
        <w:suppressAutoHyphens/>
        <w:rPr>
          <w:rFonts w:ascii="Times New Roman" w:hAnsi="Times New Roman"/>
          <w:sz w:val="22"/>
          <w:szCs w:val="22"/>
        </w:rPr>
      </w:pPr>
    </w:p>
    <w:p w:rsidR="00EF3305" w:rsidRPr="00740053" w:rsidP="006F791E" w14:paraId="308FBA98" w14:textId="3663DBDD">
      <w:pPr>
        <w:widowControl/>
        <w:suppressAutoHyphens/>
        <w:ind w:firstLine="360"/>
        <w:rPr>
          <w:rFonts w:ascii="Times New Roman" w:hAnsi="Times New Roman"/>
          <w:sz w:val="22"/>
          <w:szCs w:val="22"/>
        </w:rPr>
      </w:pPr>
      <w:r w:rsidRPr="00740053">
        <w:rPr>
          <w:rFonts w:ascii="Times New Roman" w:hAnsi="Times New Roman"/>
          <w:sz w:val="22"/>
          <w:szCs w:val="22"/>
        </w:rPr>
        <w:t xml:space="preserve">Commission staff will review applications which cause contour overlap under the forward analysis or receive contour overlap under the reciprocal </w:t>
      </w:r>
      <w:r w:rsidRPr="00740053" w:rsidR="004A604F">
        <w:rPr>
          <w:rFonts w:ascii="Times New Roman" w:hAnsi="Times New Roman"/>
          <w:sz w:val="22"/>
          <w:szCs w:val="22"/>
        </w:rPr>
        <w:t xml:space="preserve">analysis </w:t>
      </w:r>
      <w:r w:rsidRPr="00740053">
        <w:rPr>
          <w:rFonts w:ascii="Times New Roman" w:hAnsi="Times New Roman"/>
          <w:sz w:val="22"/>
          <w:szCs w:val="22"/>
        </w:rPr>
        <w:t xml:space="preserve">to determine if the applicant included the proper letters of concurrence.  </w:t>
      </w:r>
      <w:r w:rsidRPr="00740053" w:rsidR="002775F5">
        <w:rPr>
          <w:rFonts w:ascii="Times New Roman" w:hAnsi="Times New Roman"/>
          <w:sz w:val="22"/>
          <w:szCs w:val="22"/>
        </w:rPr>
        <w:t xml:space="preserve">We estimate it will take staff </w:t>
      </w:r>
      <w:r w:rsidRPr="00740053">
        <w:rPr>
          <w:rFonts w:ascii="Times New Roman" w:hAnsi="Times New Roman"/>
          <w:sz w:val="22"/>
          <w:szCs w:val="22"/>
        </w:rPr>
        <w:t>0</w:t>
      </w:r>
      <w:r w:rsidRPr="00740053" w:rsidR="002775F5">
        <w:rPr>
          <w:rFonts w:ascii="Times New Roman" w:hAnsi="Times New Roman"/>
          <w:sz w:val="22"/>
          <w:szCs w:val="22"/>
        </w:rPr>
        <w:t>.</w:t>
      </w:r>
      <w:r w:rsidRPr="00740053">
        <w:rPr>
          <w:rFonts w:ascii="Times New Roman" w:hAnsi="Times New Roman"/>
          <w:sz w:val="22"/>
          <w:szCs w:val="22"/>
        </w:rPr>
        <w:t>5</w:t>
      </w:r>
      <w:r w:rsidRPr="00740053" w:rsidR="002775F5">
        <w:rPr>
          <w:rFonts w:ascii="Times New Roman" w:hAnsi="Times New Roman"/>
          <w:sz w:val="22"/>
          <w:szCs w:val="22"/>
        </w:rPr>
        <w:t xml:space="preserve"> hour</w:t>
      </w:r>
      <w:r w:rsidRPr="00740053">
        <w:rPr>
          <w:rFonts w:ascii="Times New Roman" w:hAnsi="Times New Roman"/>
          <w:sz w:val="22"/>
          <w:szCs w:val="22"/>
        </w:rPr>
        <w:t>s</w:t>
      </w:r>
      <w:r w:rsidRPr="00740053" w:rsidR="002775F5">
        <w:rPr>
          <w:rFonts w:ascii="Times New Roman" w:hAnsi="Times New Roman"/>
          <w:sz w:val="22"/>
          <w:szCs w:val="22"/>
        </w:rPr>
        <w:t xml:space="preserve"> to review </w:t>
      </w:r>
      <w:r w:rsidRPr="00740053">
        <w:rPr>
          <w:rFonts w:ascii="Times New Roman" w:hAnsi="Times New Roman"/>
          <w:sz w:val="22"/>
          <w:szCs w:val="22"/>
        </w:rPr>
        <w:t xml:space="preserve">letters of concurrence attached to an application.  </w:t>
      </w:r>
      <w:r w:rsidRPr="00740053" w:rsidR="002775F5">
        <w:rPr>
          <w:rFonts w:ascii="Times New Roman" w:hAnsi="Times New Roman"/>
          <w:sz w:val="22"/>
          <w:szCs w:val="22"/>
        </w:rPr>
        <w:t xml:space="preserve">Assuming staff </w:t>
      </w:r>
      <w:r w:rsidRPr="00740053">
        <w:rPr>
          <w:rFonts w:ascii="Times New Roman" w:hAnsi="Times New Roman"/>
          <w:sz w:val="22"/>
          <w:szCs w:val="22"/>
        </w:rPr>
        <w:t xml:space="preserve">receives </w:t>
      </w:r>
      <w:r w:rsidR="00E14ABD">
        <w:rPr>
          <w:rFonts w:ascii="Times New Roman" w:hAnsi="Times New Roman"/>
          <w:sz w:val="22"/>
          <w:szCs w:val="22"/>
        </w:rPr>
        <w:t>228</w:t>
      </w:r>
      <w:r w:rsidRPr="00740053" w:rsidR="00E14ABD">
        <w:rPr>
          <w:rFonts w:ascii="Times New Roman" w:hAnsi="Times New Roman"/>
          <w:sz w:val="22"/>
          <w:szCs w:val="22"/>
        </w:rPr>
        <w:t xml:space="preserve"> </w:t>
      </w:r>
      <w:r w:rsidRPr="00740053">
        <w:rPr>
          <w:rFonts w:ascii="Times New Roman" w:hAnsi="Times New Roman"/>
          <w:sz w:val="22"/>
          <w:szCs w:val="22"/>
        </w:rPr>
        <w:t xml:space="preserve">applications annually which include one letter of concurrence per Section 90.621(d)(4), </w:t>
      </w:r>
      <w:r w:rsidRPr="00740053" w:rsidR="00142302">
        <w:rPr>
          <w:rFonts w:ascii="Times New Roman" w:hAnsi="Times New Roman"/>
          <w:sz w:val="22"/>
          <w:szCs w:val="22"/>
        </w:rPr>
        <w:t>we</w:t>
      </w:r>
      <w:r w:rsidRPr="00740053">
        <w:rPr>
          <w:rFonts w:ascii="Times New Roman" w:hAnsi="Times New Roman"/>
          <w:sz w:val="22"/>
          <w:szCs w:val="22"/>
        </w:rPr>
        <w:t xml:space="preserve"> </w:t>
      </w:r>
      <w:r w:rsidRPr="00740053" w:rsidR="00142302">
        <w:rPr>
          <w:rFonts w:ascii="Times New Roman" w:hAnsi="Times New Roman"/>
          <w:sz w:val="22"/>
          <w:szCs w:val="22"/>
        </w:rPr>
        <w:t>e</w:t>
      </w:r>
      <w:r w:rsidRPr="00740053">
        <w:rPr>
          <w:rFonts w:ascii="Times New Roman" w:hAnsi="Times New Roman"/>
          <w:sz w:val="22"/>
          <w:szCs w:val="22"/>
        </w:rPr>
        <w:t xml:space="preserve">stimate </w:t>
      </w:r>
      <w:r w:rsidRPr="00740053" w:rsidR="00142302">
        <w:rPr>
          <w:rFonts w:ascii="Times New Roman" w:hAnsi="Times New Roman"/>
          <w:sz w:val="22"/>
          <w:szCs w:val="22"/>
        </w:rPr>
        <w:t xml:space="preserve">the </w:t>
      </w:r>
      <w:r w:rsidRPr="00740053" w:rsidR="00CE673F">
        <w:rPr>
          <w:rFonts w:ascii="Times New Roman" w:hAnsi="Times New Roman"/>
          <w:sz w:val="22"/>
          <w:szCs w:val="22"/>
        </w:rPr>
        <w:t xml:space="preserve">annual </w:t>
      </w:r>
      <w:r w:rsidRPr="00740053">
        <w:rPr>
          <w:rFonts w:ascii="Times New Roman" w:hAnsi="Times New Roman"/>
          <w:sz w:val="22"/>
          <w:szCs w:val="22"/>
        </w:rPr>
        <w:t>cost to</w:t>
      </w:r>
      <w:r w:rsidRPr="00740053" w:rsidR="00CE673F">
        <w:rPr>
          <w:rFonts w:ascii="Times New Roman" w:hAnsi="Times New Roman"/>
          <w:sz w:val="22"/>
          <w:szCs w:val="22"/>
        </w:rPr>
        <w:t xml:space="preserve"> the </w:t>
      </w:r>
      <w:r w:rsidRPr="00740053" w:rsidR="00AB306C">
        <w:rPr>
          <w:rFonts w:ascii="Times New Roman" w:hAnsi="Times New Roman"/>
          <w:sz w:val="22"/>
          <w:szCs w:val="22"/>
        </w:rPr>
        <w:t>f</w:t>
      </w:r>
      <w:r w:rsidRPr="00740053">
        <w:rPr>
          <w:rFonts w:ascii="Times New Roman" w:hAnsi="Times New Roman"/>
          <w:sz w:val="22"/>
          <w:szCs w:val="22"/>
        </w:rPr>
        <w:t xml:space="preserve">ederal </w:t>
      </w:r>
      <w:r w:rsidRPr="00740053" w:rsidR="00AB306C">
        <w:rPr>
          <w:rFonts w:ascii="Times New Roman" w:hAnsi="Times New Roman"/>
          <w:sz w:val="22"/>
          <w:szCs w:val="22"/>
        </w:rPr>
        <w:t>g</w:t>
      </w:r>
      <w:r w:rsidRPr="00740053">
        <w:rPr>
          <w:rFonts w:ascii="Times New Roman" w:hAnsi="Times New Roman"/>
          <w:sz w:val="22"/>
          <w:szCs w:val="22"/>
        </w:rPr>
        <w:t>overnment</w:t>
      </w:r>
      <w:bookmarkStart w:id="4" w:name="_Hlk526413254"/>
      <w:r w:rsidRPr="00740053" w:rsidR="00CE673F">
        <w:rPr>
          <w:rFonts w:ascii="Times New Roman" w:hAnsi="Times New Roman"/>
          <w:sz w:val="22"/>
          <w:szCs w:val="22"/>
        </w:rPr>
        <w:t xml:space="preserve"> </w:t>
      </w:r>
      <w:bookmarkEnd w:id="4"/>
      <w:r w:rsidRPr="00740053" w:rsidR="00142302">
        <w:rPr>
          <w:rFonts w:ascii="Times New Roman" w:hAnsi="Times New Roman"/>
          <w:sz w:val="22"/>
          <w:szCs w:val="22"/>
        </w:rPr>
        <w:t>to be</w:t>
      </w:r>
      <w:r w:rsidRPr="00740053">
        <w:rPr>
          <w:rFonts w:ascii="Times New Roman" w:hAnsi="Times New Roman"/>
          <w:sz w:val="22"/>
          <w:szCs w:val="22"/>
        </w:rPr>
        <w:t xml:space="preserve">: </w:t>
      </w:r>
    </w:p>
    <w:p w:rsidR="00782C23" w:rsidRPr="00740053" w:rsidP="00275AF4" w14:paraId="14F61E02" w14:textId="77777777">
      <w:pPr>
        <w:widowControl/>
        <w:suppressAutoHyphens/>
        <w:rPr>
          <w:rFonts w:ascii="Times New Roman" w:hAnsi="Times New Roman"/>
          <w:sz w:val="22"/>
          <w:szCs w:val="22"/>
        </w:rPr>
      </w:pPr>
    </w:p>
    <w:p w:rsidR="00EB77E8" w:rsidRPr="00740053" w:rsidP="006C1B13" w14:paraId="40E9DC76" w14:textId="44474F0A">
      <w:pPr>
        <w:widowControl/>
        <w:suppressAutoHyphens/>
        <w:ind w:left="2160" w:hanging="1440"/>
        <w:rPr>
          <w:rFonts w:ascii="Times New Roman" w:hAnsi="Times New Roman"/>
          <w:b/>
          <w:sz w:val="22"/>
          <w:szCs w:val="22"/>
        </w:rPr>
      </w:pPr>
      <w:r w:rsidRPr="009C7218">
        <w:rPr>
          <w:rFonts w:ascii="Times New Roman" w:hAnsi="Times New Roman"/>
          <w:b/>
          <w:sz w:val="22"/>
          <w:szCs w:val="22"/>
        </w:rPr>
        <w:t>$</w:t>
      </w:r>
      <w:r w:rsidRPr="009C7218" w:rsidR="00F017E0">
        <w:rPr>
          <w:rFonts w:ascii="Times New Roman" w:hAnsi="Times New Roman"/>
          <w:b/>
          <w:sz w:val="22"/>
          <w:szCs w:val="22"/>
        </w:rPr>
        <w:t xml:space="preserve">44.94 </w:t>
      </w:r>
      <w:r w:rsidRPr="009C7218" w:rsidR="00A828E0">
        <w:rPr>
          <w:rFonts w:ascii="Times New Roman" w:hAnsi="Times New Roman"/>
          <w:b/>
          <w:sz w:val="22"/>
          <w:szCs w:val="22"/>
        </w:rPr>
        <w:t xml:space="preserve">salary </w:t>
      </w:r>
      <w:r w:rsidRPr="009C7218" w:rsidR="00782C23">
        <w:rPr>
          <w:rFonts w:ascii="Times New Roman" w:hAnsi="Times New Roman"/>
          <w:b/>
          <w:sz w:val="22"/>
          <w:szCs w:val="22"/>
        </w:rPr>
        <w:t>per hour</w:t>
      </w:r>
      <w:r w:rsidRPr="009C7218" w:rsidR="00A828E0">
        <w:rPr>
          <w:rFonts w:ascii="Times New Roman" w:hAnsi="Times New Roman"/>
          <w:b/>
          <w:sz w:val="22"/>
          <w:szCs w:val="22"/>
        </w:rPr>
        <w:t xml:space="preserve"> </w:t>
      </w:r>
      <w:r w:rsidRPr="009C7218" w:rsidR="00782C23">
        <w:rPr>
          <w:rFonts w:ascii="Times New Roman" w:hAnsi="Times New Roman"/>
          <w:b/>
          <w:sz w:val="22"/>
          <w:szCs w:val="22"/>
        </w:rPr>
        <w:t>(</w:t>
      </w:r>
      <w:r w:rsidRPr="009C7218">
        <w:rPr>
          <w:rFonts w:ascii="Times New Roman" w:hAnsi="Times New Roman"/>
          <w:b/>
          <w:sz w:val="22"/>
          <w:szCs w:val="22"/>
        </w:rPr>
        <w:t xml:space="preserve">GS 11, Step </w:t>
      </w:r>
      <w:r w:rsidRPr="009C7218" w:rsidR="00874A49">
        <w:rPr>
          <w:rFonts w:ascii="Times New Roman" w:hAnsi="Times New Roman"/>
          <w:b/>
          <w:sz w:val="22"/>
          <w:szCs w:val="22"/>
        </w:rPr>
        <w:t>5</w:t>
      </w:r>
      <w:r w:rsidRPr="009C7218">
        <w:rPr>
          <w:rFonts w:ascii="Times New Roman" w:hAnsi="Times New Roman"/>
          <w:b/>
          <w:sz w:val="22"/>
          <w:szCs w:val="22"/>
        </w:rPr>
        <w:t>/Electronics Engineer</w:t>
      </w:r>
      <w:r w:rsidRPr="009C7218" w:rsidR="007023A1">
        <w:rPr>
          <w:rFonts w:ascii="Times New Roman" w:hAnsi="Times New Roman"/>
          <w:b/>
          <w:sz w:val="22"/>
          <w:szCs w:val="22"/>
        </w:rPr>
        <w:t xml:space="preserve">) </w:t>
      </w:r>
      <w:r w:rsidRPr="009C7218" w:rsidR="00893F52">
        <w:rPr>
          <w:rFonts w:ascii="Times New Roman" w:hAnsi="Times New Roman"/>
          <w:b/>
          <w:sz w:val="22"/>
          <w:szCs w:val="22"/>
        </w:rPr>
        <w:t>x 0</w:t>
      </w:r>
      <w:r w:rsidRPr="009C7218" w:rsidR="006C27E1">
        <w:rPr>
          <w:rFonts w:ascii="Times New Roman" w:hAnsi="Times New Roman"/>
          <w:b/>
          <w:sz w:val="22"/>
          <w:szCs w:val="22"/>
        </w:rPr>
        <w:t>.</w:t>
      </w:r>
      <w:r w:rsidRPr="009C7218" w:rsidR="00893F52">
        <w:rPr>
          <w:rFonts w:ascii="Times New Roman" w:hAnsi="Times New Roman"/>
          <w:b/>
          <w:sz w:val="22"/>
          <w:szCs w:val="22"/>
        </w:rPr>
        <w:t>5</w:t>
      </w:r>
      <w:r w:rsidRPr="009C7218" w:rsidR="0099600A">
        <w:rPr>
          <w:rFonts w:ascii="Times New Roman" w:hAnsi="Times New Roman"/>
          <w:b/>
          <w:sz w:val="22"/>
          <w:szCs w:val="22"/>
        </w:rPr>
        <w:t xml:space="preserve"> hours x</w:t>
      </w:r>
      <w:r w:rsidRPr="009C7218" w:rsidR="00782C23">
        <w:rPr>
          <w:rFonts w:ascii="Times New Roman" w:hAnsi="Times New Roman"/>
          <w:b/>
          <w:sz w:val="22"/>
          <w:szCs w:val="22"/>
        </w:rPr>
        <w:t xml:space="preserve"> </w:t>
      </w:r>
      <w:r w:rsidRPr="009C7218" w:rsidR="009E74B5">
        <w:rPr>
          <w:rFonts w:ascii="Times New Roman" w:hAnsi="Times New Roman"/>
          <w:b/>
          <w:sz w:val="22"/>
          <w:szCs w:val="22"/>
        </w:rPr>
        <w:t>228</w:t>
      </w:r>
      <w:r w:rsidRPr="009C7218" w:rsidR="00782C23">
        <w:rPr>
          <w:rFonts w:ascii="Times New Roman" w:hAnsi="Times New Roman"/>
          <w:b/>
          <w:sz w:val="22"/>
          <w:szCs w:val="22"/>
        </w:rPr>
        <w:t xml:space="preserve"> </w:t>
      </w:r>
      <w:r w:rsidRPr="009C7218" w:rsidR="00D04B7B">
        <w:rPr>
          <w:rFonts w:ascii="Times New Roman" w:hAnsi="Times New Roman"/>
          <w:b/>
          <w:sz w:val="22"/>
          <w:szCs w:val="22"/>
        </w:rPr>
        <w:t xml:space="preserve">letters of </w:t>
      </w:r>
      <w:r w:rsidRPr="009C7218" w:rsidR="00893F52">
        <w:rPr>
          <w:rFonts w:ascii="Times New Roman" w:hAnsi="Times New Roman"/>
          <w:b/>
          <w:sz w:val="22"/>
          <w:szCs w:val="22"/>
        </w:rPr>
        <w:t xml:space="preserve">concurrence </w:t>
      </w:r>
      <w:r w:rsidRPr="009C7218" w:rsidR="00782C23">
        <w:rPr>
          <w:rFonts w:ascii="Times New Roman" w:hAnsi="Times New Roman"/>
          <w:b/>
          <w:sz w:val="22"/>
          <w:szCs w:val="22"/>
        </w:rPr>
        <w:t>= $</w:t>
      </w:r>
      <w:r w:rsidRPr="009C7218" w:rsidR="002D182D">
        <w:rPr>
          <w:rFonts w:ascii="Times New Roman" w:hAnsi="Times New Roman"/>
          <w:b/>
          <w:sz w:val="22"/>
          <w:szCs w:val="22"/>
        </w:rPr>
        <w:t>5,123</w:t>
      </w:r>
    </w:p>
    <w:p w:rsidR="00874A49" w:rsidRPr="00740053" w:rsidP="006C1B13" w14:paraId="66BB7B5F" w14:textId="77777777">
      <w:pPr>
        <w:widowControl/>
        <w:suppressAutoHyphens/>
        <w:ind w:left="360"/>
        <w:rPr>
          <w:rFonts w:ascii="Times New Roman" w:hAnsi="Times New Roman"/>
          <w:sz w:val="22"/>
          <w:szCs w:val="22"/>
        </w:rPr>
      </w:pPr>
      <w:r w:rsidRPr="00740053">
        <w:rPr>
          <w:rFonts w:ascii="Times New Roman" w:hAnsi="Times New Roman"/>
          <w:sz w:val="22"/>
          <w:szCs w:val="22"/>
        </w:rPr>
        <w:t xml:space="preserve"> </w:t>
      </w:r>
    </w:p>
    <w:p w:rsidR="00782C23" w:rsidRPr="00740053" w:rsidP="006F791E" w14:paraId="4178E9EA" w14:textId="1C55649F">
      <w:pPr>
        <w:widowControl/>
        <w:suppressAutoHyphens/>
        <w:ind w:left="360"/>
        <w:rPr>
          <w:rFonts w:ascii="Times New Roman" w:hAnsi="Times New Roman"/>
          <w:sz w:val="22"/>
          <w:szCs w:val="22"/>
        </w:rPr>
      </w:pPr>
      <w:r w:rsidRPr="00740053">
        <w:rPr>
          <w:rFonts w:ascii="Times New Roman" w:hAnsi="Times New Roman"/>
          <w:b/>
          <w:sz w:val="22"/>
          <w:szCs w:val="22"/>
        </w:rPr>
        <w:t xml:space="preserve">Total </w:t>
      </w:r>
      <w:r w:rsidRPr="00740053" w:rsidR="00874A49">
        <w:rPr>
          <w:rFonts w:ascii="Times New Roman" w:hAnsi="Times New Roman"/>
          <w:b/>
          <w:sz w:val="22"/>
          <w:szCs w:val="22"/>
        </w:rPr>
        <w:t xml:space="preserve">Cost to the Federal Government: </w:t>
      </w:r>
      <w:bookmarkStart w:id="5" w:name="_Hlk526413153"/>
      <w:r w:rsidRPr="00740053" w:rsidR="00874A49">
        <w:rPr>
          <w:rFonts w:ascii="Times New Roman" w:hAnsi="Times New Roman"/>
          <w:b/>
          <w:sz w:val="22"/>
          <w:szCs w:val="22"/>
        </w:rPr>
        <w:t>$</w:t>
      </w:r>
      <w:bookmarkStart w:id="6" w:name="_Hlk529881715"/>
      <w:r w:rsidRPr="002D182D" w:rsidR="002D182D">
        <w:rPr>
          <w:rFonts w:ascii="Times New Roman" w:hAnsi="Times New Roman"/>
          <w:b/>
          <w:sz w:val="22"/>
          <w:szCs w:val="22"/>
        </w:rPr>
        <w:t>5,123</w:t>
      </w:r>
      <w:bookmarkEnd w:id="5"/>
      <w:bookmarkEnd w:id="6"/>
    </w:p>
    <w:p w:rsidR="00EF3305" w:rsidRPr="00740053" w:rsidP="00275AF4" w14:paraId="56B2A041" w14:textId="77777777">
      <w:pPr>
        <w:widowControl/>
        <w:suppressAutoHyphens/>
        <w:rPr>
          <w:rFonts w:ascii="Times New Roman" w:hAnsi="Times New Roman"/>
          <w:sz w:val="22"/>
          <w:szCs w:val="22"/>
        </w:rPr>
      </w:pPr>
    </w:p>
    <w:p w:rsidR="00373F2B" w:rsidRPr="00740053" w:rsidP="00373F2B" w14:paraId="1DBACD2F" w14:textId="77777777">
      <w:pPr>
        <w:widowControl/>
        <w:numPr>
          <w:ilvl w:val="0"/>
          <w:numId w:val="2"/>
        </w:numPr>
        <w:suppressAutoHyphens/>
        <w:ind w:left="0" w:firstLine="360"/>
        <w:rPr>
          <w:rFonts w:ascii="Times New Roman" w:hAnsi="Times New Roman"/>
          <w:b/>
          <w:sz w:val="22"/>
          <w:szCs w:val="22"/>
        </w:rPr>
      </w:pPr>
      <w:r w:rsidRPr="00740053">
        <w:rPr>
          <w:rFonts w:ascii="Times New Roman" w:hAnsi="Times New Roman"/>
          <w:b/>
          <w:sz w:val="22"/>
          <w:szCs w:val="22"/>
        </w:rPr>
        <w:t>Explain the reasons for any program changes or adjustments reported.</w:t>
      </w:r>
    </w:p>
    <w:p w:rsidR="00373F2B" w:rsidRPr="00740053" w:rsidP="00275AF4" w14:paraId="225E494F" w14:textId="77777777">
      <w:pPr>
        <w:widowControl/>
        <w:tabs>
          <w:tab w:val="left" w:pos="360"/>
        </w:tabs>
        <w:suppressAutoHyphens/>
        <w:ind w:left="360" w:hanging="360"/>
        <w:rPr>
          <w:rFonts w:ascii="Times New Roman" w:hAnsi="Times New Roman"/>
          <w:sz w:val="22"/>
          <w:szCs w:val="22"/>
        </w:rPr>
      </w:pPr>
    </w:p>
    <w:p w:rsidR="00E03CD3" w:rsidP="006F791E" w14:paraId="64D774CC" w14:textId="1301EAD3">
      <w:pPr>
        <w:widowControl/>
        <w:suppressAutoHyphens/>
        <w:ind w:firstLine="360"/>
        <w:rPr>
          <w:rFonts w:ascii="Times New Roman" w:hAnsi="Times New Roman"/>
          <w:sz w:val="22"/>
          <w:szCs w:val="22"/>
        </w:rPr>
      </w:pPr>
      <w:r>
        <w:rPr>
          <w:rFonts w:ascii="Times New Roman" w:hAnsi="Times New Roman"/>
          <w:sz w:val="22"/>
          <w:szCs w:val="22"/>
        </w:rPr>
        <w:t>There is a</w:t>
      </w:r>
      <w:r w:rsidR="00EA03C6">
        <w:rPr>
          <w:rFonts w:ascii="Times New Roman" w:hAnsi="Times New Roman"/>
          <w:sz w:val="22"/>
          <w:szCs w:val="22"/>
        </w:rPr>
        <w:t xml:space="preserve">n adjustment </w:t>
      </w:r>
      <w:r w:rsidR="00021437">
        <w:rPr>
          <w:rFonts w:ascii="Times New Roman" w:hAnsi="Times New Roman"/>
          <w:sz w:val="22"/>
          <w:szCs w:val="22"/>
        </w:rPr>
        <w:t xml:space="preserve">to the total annual </w:t>
      </w:r>
      <w:r w:rsidR="00375041">
        <w:rPr>
          <w:rFonts w:ascii="Times New Roman" w:hAnsi="Times New Roman"/>
          <w:sz w:val="22"/>
          <w:szCs w:val="22"/>
        </w:rPr>
        <w:t>burden hours</w:t>
      </w:r>
      <w:r w:rsidR="00021437">
        <w:rPr>
          <w:rFonts w:ascii="Times New Roman" w:hAnsi="Times New Roman"/>
          <w:sz w:val="22"/>
          <w:szCs w:val="22"/>
        </w:rPr>
        <w:t xml:space="preserve"> (</w:t>
      </w:r>
      <w:r w:rsidR="004E3865">
        <w:rPr>
          <w:rFonts w:ascii="Times New Roman" w:hAnsi="Times New Roman"/>
          <w:sz w:val="22"/>
          <w:szCs w:val="22"/>
        </w:rPr>
        <w:t>-</w:t>
      </w:r>
      <w:r w:rsidR="00E14ABD">
        <w:rPr>
          <w:rFonts w:ascii="Times New Roman" w:hAnsi="Times New Roman"/>
          <w:sz w:val="22"/>
          <w:szCs w:val="22"/>
        </w:rPr>
        <w:t>276</w:t>
      </w:r>
      <w:r w:rsidR="00A0283D">
        <w:rPr>
          <w:rFonts w:ascii="Times New Roman" w:hAnsi="Times New Roman"/>
          <w:sz w:val="22"/>
          <w:szCs w:val="22"/>
        </w:rPr>
        <w:t xml:space="preserve"> hours) </w:t>
      </w:r>
      <w:r w:rsidR="00021437">
        <w:rPr>
          <w:rFonts w:ascii="Times New Roman" w:hAnsi="Times New Roman"/>
          <w:sz w:val="22"/>
          <w:szCs w:val="22"/>
        </w:rPr>
        <w:t>f</w:t>
      </w:r>
      <w:r w:rsidR="00375041">
        <w:rPr>
          <w:rFonts w:ascii="Times New Roman" w:hAnsi="Times New Roman"/>
          <w:sz w:val="22"/>
          <w:szCs w:val="22"/>
        </w:rPr>
        <w:t>or t</w:t>
      </w:r>
      <w:r w:rsidRPr="00740053" w:rsidR="00375041">
        <w:rPr>
          <w:rFonts w:ascii="Times New Roman" w:hAnsi="Times New Roman"/>
          <w:sz w:val="22"/>
          <w:szCs w:val="22"/>
        </w:rPr>
        <w:t>his information collection</w:t>
      </w:r>
      <w:r w:rsidR="00375041">
        <w:rPr>
          <w:rFonts w:ascii="Times New Roman" w:hAnsi="Times New Roman"/>
          <w:sz w:val="22"/>
          <w:szCs w:val="22"/>
        </w:rPr>
        <w:t xml:space="preserve"> </w:t>
      </w:r>
    </w:p>
    <w:p w:rsidR="00203D4D" w:rsidP="00E03CD3" w14:paraId="162F2F3F" w14:textId="65C655F7">
      <w:pPr>
        <w:widowControl/>
        <w:suppressAutoHyphens/>
        <w:rPr>
          <w:rFonts w:ascii="Times New Roman" w:hAnsi="Times New Roman"/>
          <w:sz w:val="22"/>
          <w:szCs w:val="22"/>
        </w:rPr>
      </w:pPr>
      <w:r>
        <w:rPr>
          <w:rFonts w:ascii="Times New Roman" w:hAnsi="Times New Roman"/>
          <w:sz w:val="22"/>
          <w:szCs w:val="22"/>
        </w:rPr>
        <w:t xml:space="preserve">based on a </w:t>
      </w:r>
      <w:r w:rsidR="004E3865">
        <w:rPr>
          <w:rFonts w:ascii="Times New Roman" w:hAnsi="Times New Roman"/>
          <w:sz w:val="22"/>
          <w:szCs w:val="22"/>
        </w:rPr>
        <w:t>decrease</w:t>
      </w:r>
      <w:r>
        <w:rPr>
          <w:rFonts w:ascii="Times New Roman" w:hAnsi="Times New Roman"/>
          <w:sz w:val="22"/>
          <w:szCs w:val="22"/>
        </w:rPr>
        <w:t xml:space="preserve"> in the number of applications </w:t>
      </w:r>
      <w:r w:rsidR="00A0283D">
        <w:rPr>
          <w:rFonts w:ascii="Times New Roman" w:hAnsi="Times New Roman"/>
          <w:sz w:val="22"/>
          <w:szCs w:val="22"/>
        </w:rPr>
        <w:t>(</w:t>
      </w:r>
      <w:r w:rsidR="004E3865">
        <w:rPr>
          <w:rFonts w:ascii="Times New Roman" w:hAnsi="Times New Roman"/>
          <w:sz w:val="22"/>
          <w:szCs w:val="22"/>
        </w:rPr>
        <w:t>-</w:t>
      </w:r>
      <w:r w:rsidR="008631E1">
        <w:rPr>
          <w:rFonts w:ascii="Times New Roman" w:hAnsi="Times New Roman"/>
          <w:sz w:val="22"/>
          <w:szCs w:val="22"/>
        </w:rPr>
        <w:t>138</w:t>
      </w:r>
      <w:r w:rsidR="00A0283D">
        <w:rPr>
          <w:rFonts w:ascii="Times New Roman" w:hAnsi="Times New Roman"/>
          <w:sz w:val="22"/>
          <w:szCs w:val="22"/>
        </w:rPr>
        <w:t xml:space="preserve"> responses) </w:t>
      </w:r>
      <w:r>
        <w:rPr>
          <w:rFonts w:ascii="Times New Roman" w:hAnsi="Times New Roman"/>
          <w:sz w:val="22"/>
          <w:szCs w:val="22"/>
        </w:rPr>
        <w:t xml:space="preserve">received in </w:t>
      </w:r>
      <w:r w:rsidR="002E3FCE">
        <w:rPr>
          <w:rFonts w:ascii="Times New Roman" w:hAnsi="Times New Roman"/>
          <w:sz w:val="22"/>
          <w:szCs w:val="22"/>
        </w:rPr>
        <w:t>2024</w:t>
      </w:r>
      <w:r w:rsidR="0016438C">
        <w:rPr>
          <w:rFonts w:ascii="Times New Roman" w:hAnsi="Times New Roman"/>
          <w:sz w:val="22"/>
          <w:szCs w:val="22"/>
        </w:rPr>
        <w:t>.</w:t>
      </w:r>
      <w:r w:rsidRPr="00740053" w:rsidR="009558F2">
        <w:rPr>
          <w:rFonts w:ascii="Times New Roman" w:hAnsi="Times New Roman"/>
          <w:sz w:val="22"/>
          <w:szCs w:val="22"/>
        </w:rPr>
        <w:t xml:space="preserve"> </w:t>
      </w:r>
    </w:p>
    <w:p w:rsidR="00E03CD3" w:rsidP="00E03CD3" w14:paraId="37B81727" w14:textId="2C5D158D">
      <w:pPr>
        <w:widowControl/>
        <w:suppressAutoHyphens/>
        <w:rPr>
          <w:rFonts w:ascii="Times New Roman" w:hAnsi="Times New Roman"/>
          <w:sz w:val="22"/>
          <w:szCs w:val="22"/>
        </w:rPr>
      </w:pPr>
    </w:p>
    <w:p w:rsidR="00E03CD3" w:rsidRPr="00DA0C18" w:rsidP="00E03CD3" w14:paraId="0A1088A9" w14:textId="79742F5B">
      <w:pPr>
        <w:widowControl/>
        <w:suppressAutoHyphens/>
        <w:ind w:firstLine="360"/>
        <w:rPr>
          <w:rFonts w:ascii="Times New Roman" w:hAnsi="Times New Roman"/>
          <w:sz w:val="22"/>
          <w:szCs w:val="22"/>
        </w:rPr>
      </w:pPr>
      <w:r>
        <w:rPr>
          <w:rFonts w:ascii="Times New Roman" w:hAnsi="Times New Roman"/>
          <w:sz w:val="22"/>
          <w:szCs w:val="22"/>
        </w:rPr>
        <w:t>There are no program changes.</w:t>
      </w:r>
    </w:p>
    <w:p w:rsidR="00203D4D" w:rsidRPr="00DA0C18" w:rsidP="00203D4D" w14:paraId="2B344BAB" w14:textId="77777777">
      <w:pPr>
        <w:widowControl/>
        <w:suppressAutoHyphens/>
        <w:rPr>
          <w:rFonts w:ascii="Times New Roman" w:hAnsi="Times New Roman"/>
          <w:sz w:val="22"/>
          <w:szCs w:val="22"/>
        </w:rPr>
      </w:pPr>
    </w:p>
    <w:p w:rsidR="008611D7" w:rsidRPr="00DA0C18" w:rsidP="008611D7" w14:paraId="1047B96A" w14:textId="77777777">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For collections of information whose results will be published, outline plans for</w:t>
      </w:r>
      <w:r w:rsidRPr="00DA0C18" w:rsidR="00A52A65">
        <w:rPr>
          <w:rFonts w:ascii="Times New Roman" w:hAnsi="Times New Roman"/>
          <w:b/>
          <w:sz w:val="22"/>
          <w:szCs w:val="22"/>
        </w:rPr>
        <w:t xml:space="preserve"> </w:t>
      </w:r>
      <w:r w:rsidRPr="00DA0C18">
        <w:rPr>
          <w:rFonts w:ascii="Times New Roman" w:hAnsi="Times New Roman"/>
          <w:b/>
          <w:sz w:val="22"/>
          <w:szCs w:val="22"/>
        </w:rPr>
        <w:t>tabulation and publication</w:t>
      </w:r>
      <w:r w:rsidRPr="00DA0C18">
        <w:rPr>
          <w:rFonts w:ascii="Times New Roman" w:hAnsi="Times New Roman"/>
          <w:sz w:val="22"/>
          <w:szCs w:val="22"/>
        </w:rPr>
        <w:t>.</w:t>
      </w:r>
    </w:p>
    <w:p w:rsidR="008611D7" w:rsidRPr="00DA0C18" w:rsidP="00275AF4" w14:paraId="2AA0C644" w14:textId="67B36DBB">
      <w:pPr>
        <w:widowControl/>
        <w:tabs>
          <w:tab w:val="left" w:pos="360"/>
        </w:tabs>
        <w:suppressAutoHyphens/>
        <w:rPr>
          <w:rFonts w:ascii="Times New Roman" w:hAnsi="Times New Roman"/>
          <w:sz w:val="22"/>
          <w:szCs w:val="22"/>
        </w:rPr>
      </w:pPr>
    </w:p>
    <w:p w:rsidR="00743218" w:rsidRPr="00DA0C18" w:rsidP="00275AF4" w14:paraId="74E2DF5D" w14:textId="77777777">
      <w:pPr>
        <w:widowControl/>
        <w:tabs>
          <w:tab w:val="left" w:pos="360"/>
        </w:tabs>
        <w:suppressAutoHyphens/>
        <w:rPr>
          <w:rFonts w:ascii="Times New Roman" w:hAnsi="Times New Roman"/>
          <w:sz w:val="22"/>
          <w:szCs w:val="22"/>
        </w:rPr>
      </w:pPr>
      <w:r w:rsidRPr="00DA0C18">
        <w:rPr>
          <w:rFonts w:ascii="Times New Roman" w:hAnsi="Times New Roman"/>
          <w:sz w:val="22"/>
          <w:szCs w:val="22"/>
        </w:rPr>
        <w:tab/>
      </w:r>
      <w:r w:rsidRPr="00DA0C18" w:rsidR="00245FD8">
        <w:rPr>
          <w:rFonts w:ascii="Times New Roman" w:hAnsi="Times New Roman"/>
          <w:sz w:val="22"/>
          <w:szCs w:val="22"/>
        </w:rPr>
        <w:t xml:space="preserve">The </w:t>
      </w:r>
      <w:r w:rsidRPr="00DA0C18" w:rsidR="004C6B70">
        <w:rPr>
          <w:rFonts w:ascii="Times New Roman" w:hAnsi="Times New Roman"/>
          <w:sz w:val="22"/>
          <w:szCs w:val="22"/>
        </w:rPr>
        <w:t>Commission</w:t>
      </w:r>
      <w:r w:rsidRPr="00DA0C18" w:rsidR="00245FD8">
        <w:rPr>
          <w:rFonts w:ascii="Times New Roman" w:hAnsi="Times New Roman"/>
          <w:sz w:val="22"/>
          <w:szCs w:val="22"/>
        </w:rPr>
        <w:t xml:space="preserve"> </w:t>
      </w:r>
      <w:r w:rsidRPr="00DA0C18" w:rsidR="00860CDF">
        <w:rPr>
          <w:rFonts w:ascii="Times New Roman" w:hAnsi="Times New Roman"/>
          <w:sz w:val="22"/>
          <w:szCs w:val="22"/>
        </w:rPr>
        <w:t xml:space="preserve">will not publish any </w:t>
      </w:r>
      <w:r w:rsidRPr="00DA0C18" w:rsidR="00B833D4">
        <w:rPr>
          <w:rFonts w:ascii="Times New Roman" w:hAnsi="Times New Roman"/>
          <w:sz w:val="22"/>
          <w:szCs w:val="22"/>
        </w:rPr>
        <w:t xml:space="preserve">results from the </w:t>
      </w:r>
      <w:r w:rsidRPr="00DA0C18" w:rsidR="00860CDF">
        <w:rPr>
          <w:rFonts w:ascii="Times New Roman" w:hAnsi="Times New Roman"/>
          <w:sz w:val="22"/>
          <w:szCs w:val="22"/>
        </w:rPr>
        <w:t>information collect</w:t>
      </w:r>
      <w:r w:rsidRPr="00DA0C18" w:rsidR="00B833D4">
        <w:rPr>
          <w:rFonts w:ascii="Times New Roman" w:hAnsi="Times New Roman"/>
          <w:sz w:val="22"/>
          <w:szCs w:val="22"/>
        </w:rPr>
        <w:t>ed pursuant to</w:t>
      </w:r>
      <w:r w:rsidRPr="00DA0C18" w:rsidR="008372B0">
        <w:rPr>
          <w:rFonts w:ascii="Times New Roman" w:hAnsi="Times New Roman"/>
          <w:sz w:val="22"/>
          <w:szCs w:val="22"/>
        </w:rPr>
        <w:t xml:space="preserve"> Section 90.621(d)(4)</w:t>
      </w:r>
      <w:r w:rsidRPr="00DA0C18" w:rsidR="00860CDF">
        <w:rPr>
          <w:rFonts w:ascii="Times New Roman" w:hAnsi="Times New Roman"/>
          <w:sz w:val="22"/>
          <w:szCs w:val="22"/>
        </w:rPr>
        <w:t xml:space="preserve">.  </w:t>
      </w:r>
    </w:p>
    <w:p w:rsidR="00860CDF" w:rsidRPr="00DA0C18" w:rsidP="00275AF4" w14:paraId="3E9FE99F" w14:textId="77777777">
      <w:pPr>
        <w:widowControl/>
        <w:tabs>
          <w:tab w:val="left" w:pos="360"/>
        </w:tabs>
        <w:suppressAutoHyphens/>
        <w:rPr>
          <w:rFonts w:ascii="Times New Roman" w:hAnsi="Times New Roman"/>
          <w:sz w:val="22"/>
          <w:szCs w:val="22"/>
        </w:rPr>
      </w:pPr>
    </w:p>
    <w:p w:rsidR="008611D7" w:rsidRPr="00DA0C18" w:rsidP="008E019D" w14:paraId="17D255E6" w14:textId="77777777">
      <w:pPr>
        <w:widowControl/>
        <w:numPr>
          <w:ilvl w:val="0"/>
          <w:numId w:val="2"/>
        </w:numPr>
        <w:suppressAutoHyphens/>
        <w:ind w:left="0" w:firstLine="360"/>
        <w:rPr>
          <w:rFonts w:ascii="Times New Roman" w:hAnsi="Times New Roman"/>
          <w:b/>
          <w:sz w:val="22"/>
          <w:szCs w:val="22"/>
        </w:rPr>
      </w:pPr>
      <w:r w:rsidRPr="00DA0C18">
        <w:rPr>
          <w:rFonts w:ascii="Times New Roman" w:hAnsi="Times New Roman"/>
          <w:b/>
          <w:sz w:val="22"/>
          <w:szCs w:val="22"/>
        </w:rPr>
        <w:t>If seeking approval to not display the expiration date for OMB approval of the</w:t>
      </w:r>
      <w:r w:rsidRPr="00DA0C18" w:rsidR="008E019D">
        <w:rPr>
          <w:rFonts w:ascii="Times New Roman" w:hAnsi="Times New Roman"/>
          <w:b/>
          <w:sz w:val="22"/>
          <w:szCs w:val="22"/>
        </w:rPr>
        <w:t xml:space="preserve"> </w:t>
      </w:r>
      <w:r w:rsidRPr="00DA0C18">
        <w:rPr>
          <w:rFonts w:ascii="Times New Roman" w:hAnsi="Times New Roman"/>
          <w:b/>
          <w:sz w:val="22"/>
          <w:szCs w:val="22"/>
        </w:rPr>
        <w:t>information collection, explain the reason that a display would be inappropriate.</w:t>
      </w:r>
    </w:p>
    <w:p w:rsidR="008611D7" w:rsidRPr="00DA0C18" w:rsidP="00275AF4" w14:paraId="7B3629EC" w14:textId="77777777">
      <w:pPr>
        <w:widowControl/>
        <w:tabs>
          <w:tab w:val="left" w:pos="360"/>
        </w:tabs>
        <w:suppressAutoHyphens/>
        <w:ind w:left="360" w:hanging="360"/>
        <w:rPr>
          <w:rFonts w:ascii="Times New Roman" w:hAnsi="Times New Roman"/>
          <w:sz w:val="22"/>
          <w:szCs w:val="22"/>
        </w:rPr>
      </w:pPr>
    </w:p>
    <w:p w:rsidR="004C1628" w:rsidRPr="00382E25" w:rsidP="006F791E" w14:paraId="67F34CFA" w14:textId="7F5783D3">
      <w:pPr>
        <w:suppressAutoHyphens/>
        <w:ind w:firstLine="360"/>
        <w:rPr>
          <w:rFonts w:ascii="Times New Roman" w:hAnsi="Times New Roman"/>
          <w:sz w:val="22"/>
          <w:szCs w:val="22"/>
        </w:rPr>
      </w:pPr>
      <w:r w:rsidRPr="00DA0C18">
        <w:rPr>
          <w:rFonts w:ascii="Times New Roman" w:hAnsi="Times New Roman"/>
          <w:sz w:val="22"/>
          <w:szCs w:val="22"/>
        </w:rPr>
        <w:t xml:space="preserve">The Commission is not requesting OMB approval to not display the OMB expiration date. </w:t>
      </w:r>
      <w:r w:rsidR="00744772">
        <w:rPr>
          <w:rFonts w:ascii="Times New Roman" w:hAnsi="Times New Roman"/>
          <w:sz w:val="22"/>
          <w:szCs w:val="22"/>
        </w:rPr>
        <w:t xml:space="preserve"> </w:t>
      </w:r>
      <w:r w:rsidRPr="00DA0C18">
        <w:rPr>
          <w:rFonts w:ascii="Times New Roman" w:hAnsi="Times New Roman"/>
          <w:sz w:val="22"/>
          <w:szCs w:val="22"/>
        </w:rPr>
        <w:t xml:space="preserve">OMB </w:t>
      </w:r>
      <w:r w:rsidR="003C1066">
        <w:rPr>
          <w:rFonts w:ascii="Times New Roman" w:hAnsi="Times New Roman"/>
          <w:sz w:val="22"/>
          <w:szCs w:val="22"/>
        </w:rPr>
        <w:t xml:space="preserve">approval of the </w:t>
      </w:r>
      <w:r w:rsidRPr="00DA0C18">
        <w:rPr>
          <w:rFonts w:ascii="Times New Roman" w:hAnsi="Times New Roman"/>
          <w:sz w:val="22"/>
          <w:szCs w:val="22"/>
        </w:rPr>
        <w:t xml:space="preserve">expiration date </w:t>
      </w:r>
      <w:r w:rsidR="003C1066">
        <w:rPr>
          <w:rFonts w:ascii="Times New Roman" w:hAnsi="Times New Roman"/>
          <w:sz w:val="22"/>
          <w:szCs w:val="22"/>
        </w:rPr>
        <w:t xml:space="preserve">will be displayed on OMB’s website. </w:t>
      </w:r>
    </w:p>
    <w:p w:rsidR="00860CDF" w:rsidRPr="00740053" w:rsidP="00860CDF" w14:paraId="7BDCF19A" w14:textId="77777777">
      <w:pPr>
        <w:widowControl/>
        <w:suppressAutoHyphens/>
        <w:rPr>
          <w:rFonts w:ascii="Times New Roman" w:hAnsi="Times New Roman"/>
          <w:sz w:val="22"/>
          <w:szCs w:val="22"/>
        </w:rPr>
      </w:pPr>
    </w:p>
    <w:p w:rsidR="00860CDF" w:rsidRPr="00740053" w:rsidP="00860CDF" w14:paraId="662D9887" w14:textId="77777777">
      <w:pPr>
        <w:widowControl/>
        <w:numPr>
          <w:ilvl w:val="0"/>
          <w:numId w:val="2"/>
        </w:numPr>
        <w:suppressAutoHyphens/>
        <w:ind w:left="0" w:firstLine="360"/>
        <w:rPr>
          <w:rFonts w:ascii="Times New Roman" w:hAnsi="Times New Roman"/>
          <w:b/>
          <w:snapToGrid/>
          <w:sz w:val="22"/>
          <w:szCs w:val="22"/>
        </w:rPr>
      </w:pPr>
      <w:r w:rsidRPr="00DA0C18">
        <w:rPr>
          <w:rFonts w:ascii="Times New Roman" w:hAnsi="Times New Roman"/>
          <w:b/>
          <w:snapToGrid/>
          <w:sz w:val="22"/>
          <w:szCs w:val="22"/>
        </w:rPr>
        <w:t>Explain any exceptions to the statement</w:t>
      </w:r>
      <w:r w:rsidRPr="00DA0C18" w:rsidR="0099600A">
        <w:rPr>
          <w:rFonts w:ascii="Times New Roman" w:hAnsi="Times New Roman"/>
          <w:b/>
          <w:snapToGrid/>
          <w:sz w:val="22"/>
          <w:szCs w:val="22"/>
        </w:rPr>
        <w:t xml:space="preserve"> certifying compliance with 5 CFR</w:t>
      </w:r>
      <w:r w:rsidRPr="00740053">
        <w:rPr>
          <w:rFonts w:ascii="Times New Roman" w:hAnsi="Times New Roman"/>
          <w:b/>
          <w:snapToGrid/>
          <w:sz w:val="22"/>
          <w:szCs w:val="22"/>
        </w:rPr>
        <w:t xml:space="preserve"> § 1320.9 an</w:t>
      </w:r>
      <w:r w:rsidRPr="00740053" w:rsidR="0099600A">
        <w:rPr>
          <w:rFonts w:ascii="Times New Roman" w:hAnsi="Times New Roman"/>
          <w:b/>
          <w:snapToGrid/>
          <w:sz w:val="22"/>
          <w:szCs w:val="22"/>
        </w:rPr>
        <w:t>d the related provisions of 5 CFR</w:t>
      </w:r>
      <w:r w:rsidRPr="00740053">
        <w:rPr>
          <w:rFonts w:ascii="Times New Roman" w:hAnsi="Times New Roman"/>
          <w:b/>
          <w:snapToGrid/>
          <w:sz w:val="22"/>
          <w:szCs w:val="22"/>
        </w:rPr>
        <w:t xml:space="preserve"> § 1320.8(b)(3)</w:t>
      </w:r>
      <w:r w:rsidRPr="00740053" w:rsidR="00A52A65">
        <w:rPr>
          <w:rFonts w:ascii="Times New Roman" w:hAnsi="Times New Roman"/>
          <w:b/>
          <w:snapToGrid/>
          <w:sz w:val="22"/>
          <w:szCs w:val="22"/>
        </w:rPr>
        <w:t>.</w:t>
      </w:r>
      <w:r w:rsidRPr="00740053">
        <w:rPr>
          <w:rFonts w:ascii="Times New Roman" w:hAnsi="Times New Roman"/>
          <w:b/>
          <w:snapToGrid/>
          <w:sz w:val="22"/>
          <w:szCs w:val="22"/>
        </w:rPr>
        <w:t xml:space="preserve"> </w:t>
      </w:r>
    </w:p>
    <w:p w:rsidR="00860CDF" w:rsidRPr="00740053" w:rsidP="00860CDF" w14:paraId="7E416F58" w14:textId="77777777">
      <w:pPr>
        <w:widowControl/>
        <w:tabs>
          <w:tab w:val="left" w:pos="360"/>
        </w:tabs>
        <w:suppressAutoHyphens/>
        <w:ind w:left="360" w:hanging="360"/>
        <w:rPr>
          <w:rFonts w:ascii="Times New Roman" w:hAnsi="Times New Roman"/>
          <w:snapToGrid/>
          <w:sz w:val="22"/>
          <w:szCs w:val="22"/>
        </w:rPr>
      </w:pPr>
    </w:p>
    <w:p w:rsidR="00860CDF" w:rsidRPr="00740053" w:rsidP="00860CDF" w14:paraId="2F599049" w14:textId="77777777">
      <w:pPr>
        <w:widowControl/>
        <w:tabs>
          <w:tab w:val="left" w:pos="360"/>
        </w:tabs>
        <w:suppressAutoHyphens/>
        <w:ind w:left="360" w:hanging="360"/>
        <w:rPr>
          <w:rFonts w:ascii="Times New Roman" w:hAnsi="Times New Roman"/>
          <w:snapToGrid/>
          <w:sz w:val="22"/>
          <w:szCs w:val="22"/>
        </w:rPr>
      </w:pPr>
      <w:r w:rsidRPr="00740053">
        <w:rPr>
          <w:rFonts w:ascii="Times New Roman" w:hAnsi="Times New Roman"/>
          <w:snapToGrid/>
          <w:sz w:val="22"/>
          <w:szCs w:val="22"/>
        </w:rPr>
        <w:tab/>
      </w:r>
      <w:r w:rsidRPr="00740053" w:rsidR="00A828E0">
        <w:rPr>
          <w:rFonts w:ascii="Times New Roman" w:hAnsi="Times New Roman"/>
          <w:snapToGrid/>
          <w:sz w:val="22"/>
          <w:szCs w:val="22"/>
        </w:rPr>
        <w:t xml:space="preserve">There are </w:t>
      </w:r>
      <w:r w:rsidRPr="00740053">
        <w:rPr>
          <w:rFonts w:ascii="Times New Roman" w:hAnsi="Times New Roman"/>
          <w:snapToGrid/>
          <w:sz w:val="22"/>
          <w:szCs w:val="22"/>
        </w:rPr>
        <w:t>no exceptions to the Certification Statement</w:t>
      </w:r>
      <w:r w:rsidRPr="00740053" w:rsidR="00A828E0">
        <w:rPr>
          <w:rFonts w:ascii="Times New Roman" w:hAnsi="Times New Roman"/>
          <w:snapToGrid/>
          <w:sz w:val="22"/>
          <w:szCs w:val="22"/>
        </w:rPr>
        <w:t>.</w:t>
      </w:r>
      <w:r w:rsidRPr="00740053">
        <w:rPr>
          <w:rFonts w:ascii="Times New Roman" w:hAnsi="Times New Roman"/>
          <w:snapToGrid/>
          <w:sz w:val="22"/>
          <w:szCs w:val="22"/>
        </w:rPr>
        <w:t xml:space="preserve"> </w:t>
      </w:r>
    </w:p>
    <w:p w:rsidR="00EF3305" w:rsidRPr="00740053" w:rsidP="00275AF4" w14:paraId="1A010A2D" w14:textId="77777777">
      <w:pPr>
        <w:widowControl/>
        <w:suppressAutoHyphens/>
        <w:rPr>
          <w:rFonts w:ascii="Times New Roman" w:hAnsi="Times New Roman"/>
          <w:b/>
          <w:sz w:val="22"/>
          <w:szCs w:val="22"/>
        </w:rPr>
      </w:pPr>
    </w:p>
    <w:p w:rsidR="00EF3305" w:rsidRPr="00740053" w:rsidP="00275AF4" w14:paraId="34F02907" w14:textId="77777777">
      <w:pPr>
        <w:widowControl/>
        <w:suppressAutoHyphens/>
        <w:rPr>
          <w:rFonts w:ascii="Times New Roman" w:hAnsi="Times New Roman"/>
          <w:b/>
          <w:sz w:val="22"/>
          <w:szCs w:val="22"/>
        </w:rPr>
      </w:pPr>
      <w:r w:rsidRPr="00740053">
        <w:rPr>
          <w:rFonts w:ascii="Times New Roman" w:hAnsi="Times New Roman"/>
          <w:b/>
          <w:sz w:val="22"/>
          <w:szCs w:val="22"/>
        </w:rPr>
        <w:t xml:space="preserve">B.  </w:t>
      </w:r>
      <w:r w:rsidRPr="00740053">
        <w:rPr>
          <w:rFonts w:ascii="Times New Roman" w:hAnsi="Times New Roman"/>
          <w:b/>
          <w:sz w:val="22"/>
          <w:szCs w:val="22"/>
          <w:u w:val="single"/>
        </w:rPr>
        <w:t>Collections of Information Employing Statistical Methods</w:t>
      </w:r>
      <w:r w:rsidRPr="00740053" w:rsidR="00CD318D">
        <w:rPr>
          <w:rFonts w:ascii="Times New Roman" w:hAnsi="Times New Roman"/>
          <w:b/>
          <w:sz w:val="22"/>
          <w:szCs w:val="22"/>
          <w:u w:val="single"/>
        </w:rPr>
        <w:t>:</w:t>
      </w:r>
    </w:p>
    <w:p w:rsidR="00EF3305" w:rsidRPr="00740053" w:rsidP="00275AF4" w14:paraId="7C62D2B9" w14:textId="77777777">
      <w:pPr>
        <w:widowControl/>
        <w:suppressAutoHyphens/>
        <w:rPr>
          <w:rFonts w:ascii="Times New Roman" w:hAnsi="Times New Roman"/>
          <w:sz w:val="22"/>
          <w:szCs w:val="22"/>
        </w:rPr>
      </w:pPr>
    </w:p>
    <w:p w:rsidR="00EF3305" w:rsidRPr="00740053" w:rsidP="006F791E" w14:paraId="763AF399" w14:textId="77777777">
      <w:pPr>
        <w:widowControl/>
        <w:suppressAutoHyphens/>
        <w:ind w:firstLine="720"/>
        <w:rPr>
          <w:rFonts w:ascii="Times New Roman" w:hAnsi="Times New Roman"/>
          <w:sz w:val="22"/>
          <w:szCs w:val="22"/>
        </w:rPr>
      </w:pPr>
      <w:r w:rsidRPr="00740053">
        <w:rPr>
          <w:rFonts w:ascii="Times New Roman" w:hAnsi="Times New Roman"/>
          <w:sz w:val="22"/>
          <w:szCs w:val="22"/>
        </w:rPr>
        <w:t xml:space="preserve">The Commission </w:t>
      </w:r>
      <w:r w:rsidRPr="00740053" w:rsidR="00860CDF">
        <w:rPr>
          <w:rFonts w:ascii="Times New Roman" w:hAnsi="Times New Roman"/>
          <w:sz w:val="22"/>
          <w:szCs w:val="22"/>
        </w:rPr>
        <w:t xml:space="preserve">is </w:t>
      </w:r>
      <w:r w:rsidRPr="00740053">
        <w:rPr>
          <w:rFonts w:ascii="Times New Roman" w:hAnsi="Times New Roman"/>
          <w:sz w:val="22"/>
          <w:szCs w:val="22"/>
        </w:rPr>
        <w:t xml:space="preserve">not </w:t>
      </w:r>
      <w:r w:rsidRPr="00740053" w:rsidR="00860CDF">
        <w:rPr>
          <w:rFonts w:ascii="Times New Roman" w:hAnsi="Times New Roman"/>
          <w:sz w:val="22"/>
          <w:szCs w:val="22"/>
        </w:rPr>
        <w:t xml:space="preserve">employing </w:t>
      </w:r>
      <w:r w:rsidRPr="00740053">
        <w:rPr>
          <w:rFonts w:ascii="Times New Roman" w:hAnsi="Times New Roman"/>
          <w:sz w:val="22"/>
          <w:szCs w:val="22"/>
        </w:rPr>
        <w:t xml:space="preserve">any </w:t>
      </w:r>
      <w:r w:rsidRPr="00740053" w:rsidR="00860CDF">
        <w:rPr>
          <w:rFonts w:ascii="Times New Roman" w:hAnsi="Times New Roman"/>
          <w:sz w:val="22"/>
          <w:szCs w:val="22"/>
        </w:rPr>
        <w:t>statistical methods with regard to th</w:t>
      </w:r>
      <w:r w:rsidRPr="00740053">
        <w:rPr>
          <w:rFonts w:ascii="Times New Roman" w:hAnsi="Times New Roman"/>
          <w:sz w:val="22"/>
          <w:szCs w:val="22"/>
        </w:rPr>
        <w:t>is</w:t>
      </w:r>
      <w:r w:rsidRPr="00740053" w:rsidR="00860CDF">
        <w:rPr>
          <w:rFonts w:ascii="Times New Roman" w:hAnsi="Times New Roman"/>
          <w:sz w:val="22"/>
          <w:szCs w:val="22"/>
        </w:rPr>
        <w:t xml:space="preserve"> information collection</w:t>
      </w:r>
      <w:r w:rsidRPr="00740053" w:rsidR="00A52A65">
        <w:rPr>
          <w:rFonts w:ascii="Times New Roman" w:hAnsi="Times New Roman"/>
          <w:sz w:val="22"/>
          <w:szCs w:val="22"/>
        </w:rPr>
        <w:t>.</w:t>
      </w:r>
    </w:p>
    <w:sectPr>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65F40" w14:paraId="0DB5FCC2" w14:textId="77777777">
      <w:pPr>
        <w:spacing w:line="20" w:lineRule="exact"/>
      </w:pPr>
    </w:p>
  </w:endnote>
  <w:endnote w:type="continuationSeparator" w:id="1">
    <w:p w:rsidR="00A65F40" w14:paraId="51035E5F" w14:textId="77777777">
      <w:r>
        <w:t xml:space="preserve"> </w:t>
      </w:r>
    </w:p>
  </w:endnote>
  <w:endnote w:type="continuationNotice" w:id="2">
    <w:p w:rsidR="00A65F40" w14:paraId="32C47FE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aettenschweiler">
    <w:panose1 w:val="020B070604090206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65F40" w14:paraId="5E8ECACA" w14:textId="77777777">
      <w:r>
        <w:separator/>
      </w:r>
    </w:p>
  </w:footnote>
  <w:footnote w:type="continuationSeparator" w:id="1">
    <w:p w:rsidR="00A65F40" w14:paraId="3FC35770" w14:textId="77777777">
      <w:r>
        <w:continuationSeparator/>
      </w:r>
    </w:p>
  </w:footnote>
  <w:footnote w:id="2">
    <w:p w:rsidR="00EE4B21" w:rsidP="00E3440E" w14:paraId="76BBF53B" w14:textId="77777777">
      <w:pPr>
        <w:pStyle w:val="FootnoteText"/>
      </w:pPr>
      <w:r>
        <w:rPr>
          <w:rStyle w:val="FootnoteReference"/>
        </w:rPr>
        <w:footnoteRef/>
      </w:r>
      <w:r>
        <w:t xml:space="preserve"> </w:t>
      </w:r>
      <w:r w:rsidRPr="00D52B7E">
        <w:rPr>
          <w:rFonts w:ascii="Times New Roman" w:hAnsi="Times New Roman"/>
          <w:sz w:val="20"/>
        </w:rPr>
        <w:t>These instructions have been approved by the Office of Management and Budget (OMB) under Control Number 3060-1042.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F001F"/>
    <w:multiLevelType w:val="hybridMultilevel"/>
    <w:tmpl w:val="A5F09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116446"/>
    <w:multiLevelType w:val="hybridMultilevel"/>
    <w:tmpl w:val="D928581C"/>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F2D0EA9"/>
    <w:multiLevelType w:val="hybridMultilevel"/>
    <w:tmpl w:val="28406C9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14E2A17"/>
    <w:multiLevelType w:val="hybridMultilevel"/>
    <w:tmpl w:val="03C03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650633"/>
    <w:multiLevelType w:val="hybridMultilevel"/>
    <w:tmpl w:val="231A23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DE3DD2"/>
    <w:multiLevelType w:val="hybridMultilevel"/>
    <w:tmpl w:val="5344E38A"/>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6">
    <w:nsid w:val="6E131C91"/>
    <w:multiLevelType w:val="hybridMultilevel"/>
    <w:tmpl w:val="198670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1AE7C36"/>
    <w:multiLevelType w:val="hybridMultilevel"/>
    <w:tmpl w:val="A5F09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4117D57"/>
    <w:multiLevelType w:val="hybridMultilevel"/>
    <w:tmpl w:val="AFDE7842"/>
    <w:lvl w:ilvl="0">
      <w:start w:val="1"/>
      <w:numFmt w:val="decimal"/>
      <w:lvlText w:val="%1."/>
      <w:lvlJc w:val="left"/>
      <w:pPr>
        <w:ind w:left="1080" w:hanging="360"/>
      </w:pPr>
      <w:rPr>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62049103">
    <w:abstractNumId w:val="2"/>
  </w:num>
  <w:num w:numId="2" w16cid:durableId="1372924942">
    <w:abstractNumId w:val="8"/>
  </w:num>
  <w:num w:numId="3" w16cid:durableId="227689252">
    <w:abstractNumId w:val="3"/>
  </w:num>
  <w:num w:numId="4" w16cid:durableId="1516191497">
    <w:abstractNumId w:val="7"/>
  </w:num>
  <w:num w:numId="5" w16cid:durableId="1823303739">
    <w:abstractNumId w:val="4"/>
  </w:num>
  <w:num w:numId="6" w16cid:durableId="1954242902">
    <w:abstractNumId w:val="6"/>
  </w:num>
  <w:num w:numId="7" w16cid:durableId="443887558">
    <w:abstractNumId w:val="0"/>
  </w:num>
  <w:num w:numId="8" w16cid:durableId="676887690">
    <w:abstractNumId w:val="1"/>
  </w:num>
  <w:num w:numId="9" w16cid:durableId="987591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24E"/>
    <w:rsid w:val="00000C4B"/>
    <w:rsid w:val="000049D3"/>
    <w:rsid w:val="000063E1"/>
    <w:rsid w:val="000158A1"/>
    <w:rsid w:val="00015B86"/>
    <w:rsid w:val="00016ED8"/>
    <w:rsid w:val="00021437"/>
    <w:rsid w:val="00021B57"/>
    <w:rsid w:val="00024500"/>
    <w:rsid w:val="00033547"/>
    <w:rsid w:val="00036313"/>
    <w:rsid w:val="00043C20"/>
    <w:rsid w:val="00045D22"/>
    <w:rsid w:val="000536CB"/>
    <w:rsid w:val="0005755A"/>
    <w:rsid w:val="0006387D"/>
    <w:rsid w:val="000656DF"/>
    <w:rsid w:val="0007094B"/>
    <w:rsid w:val="00071687"/>
    <w:rsid w:val="000718E2"/>
    <w:rsid w:val="00073626"/>
    <w:rsid w:val="00084430"/>
    <w:rsid w:val="00086563"/>
    <w:rsid w:val="000912C3"/>
    <w:rsid w:val="00095F21"/>
    <w:rsid w:val="000968D7"/>
    <w:rsid w:val="00096C21"/>
    <w:rsid w:val="00096DF7"/>
    <w:rsid w:val="000A3410"/>
    <w:rsid w:val="000A3645"/>
    <w:rsid w:val="000B08A2"/>
    <w:rsid w:val="000B1570"/>
    <w:rsid w:val="000B2D6B"/>
    <w:rsid w:val="000C4CFB"/>
    <w:rsid w:val="000D07B3"/>
    <w:rsid w:val="000D3E7F"/>
    <w:rsid w:val="000D5A64"/>
    <w:rsid w:val="000D60CD"/>
    <w:rsid w:val="000E37EB"/>
    <w:rsid w:val="000E4507"/>
    <w:rsid w:val="000E7805"/>
    <w:rsid w:val="000F4389"/>
    <w:rsid w:val="000F6304"/>
    <w:rsid w:val="0010164F"/>
    <w:rsid w:val="001019AB"/>
    <w:rsid w:val="00104839"/>
    <w:rsid w:val="00106C6F"/>
    <w:rsid w:val="001128A5"/>
    <w:rsid w:val="001134C0"/>
    <w:rsid w:val="00114D45"/>
    <w:rsid w:val="00115C17"/>
    <w:rsid w:val="00120D2A"/>
    <w:rsid w:val="00130A99"/>
    <w:rsid w:val="00132121"/>
    <w:rsid w:val="00133FD1"/>
    <w:rsid w:val="0014159F"/>
    <w:rsid w:val="00142302"/>
    <w:rsid w:val="00146329"/>
    <w:rsid w:val="00152E55"/>
    <w:rsid w:val="0016438C"/>
    <w:rsid w:val="00165797"/>
    <w:rsid w:val="001664A9"/>
    <w:rsid w:val="00166841"/>
    <w:rsid w:val="00174072"/>
    <w:rsid w:val="001778A5"/>
    <w:rsid w:val="00181C44"/>
    <w:rsid w:val="00185A73"/>
    <w:rsid w:val="001935C9"/>
    <w:rsid w:val="001B1100"/>
    <w:rsid w:val="001B541E"/>
    <w:rsid w:val="001B56F9"/>
    <w:rsid w:val="001B6E81"/>
    <w:rsid w:val="001B70EA"/>
    <w:rsid w:val="001C1658"/>
    <w:rsid w:val="001C42A2"/>
    <w:rsid w:val="001C6BB3"/>
    <w:rsid w:val="001D2BA3"/>
    <w:rsid w:val="001D32FB"/>
    <w:rsid w:val="001D4937"/>
    <w:rsid w:val="001D59D5"/>
    <w:rsid w:val="001D7E1E"/>
    <w:rsid w:val="001E32A5"/>
    <w:rsid w:val="001E443B"/>
    <w:rsid w:val="001E5A48"/>
    <w:rsid w:val="001E7826"/>
    <w:rsid w:val="001F0900"/>
    <w:rsid w:val="001F1147"/>
    <w:rsid w:val="002022D9"/>
    <w:rsid w:val="00203D4D"/>
    <w:rsid w:val="00210898"/>
    <w:rsid w:val="002125AF"/>
    <w:rsid w:val="00213FC5"/>
    <w:rsid w:val="00214304"/>
    <w:rsid w:val="0021576A"/>
    <w:rsid w:val="00215DBC"/>
    <w:rsid w:val="0022013D"/>
    <w:rsid w:val="00220250"/>
    <w:rsid w:val="00223A4F"/>
    <w:rsid w:val="0023028A"/>
    <w:rsid w:val="002303F6"/>
    <w:rsid w:val="002338E7"/>
    <w:rsid w:val="00234995"/>
    <w:rsid w:val="00236294"/>
    <w:rsid w:val="002408FD"/>
    <w:rsid w:val="00245FD8"/>
    <w:rsid w:val="00252CB2"/>
    <w:rsid w:val="002550E7"/>
    <w:rsid w:val="00257A67"/>
    <w:rsid w:val="00262938"/>
    <w:rsid w:val="00263E45"/>
    <w:rsid w:val="00264A5A"/>
    <w:rsid w:val="00275AF4"/>
    <w:rsid w:val="00275BC0"/>
    <w:rsid w:val="002775F5"/>
    <w:rsid w:val="0027767D"/>
    <w:rsid w:val="002845B6"/>
    <w:rsid w:val="00285931"/>
    <w:rsid w:val="0028620F"/>
    <w:rsid w:val="00287EC3"/>
    <w:rsid w:val="00287FB8"/>
    <w:rsid w:val="00290958"/>
    <w:rsid w:val="002959D3"/>
    <w:rsid w:val="0029650C"/>
    <w:rsid w:val="002A1FB3"/>
    <w:rsid w:val="002A419D"/>
    <w:rsid w:val="002A5E1C"/>
    <w:rsid w:val="002B2283"/>
    <w:rsid w:val="002B4361"/>
    <w:rsid w:val="002B7FEF"/>
    <w:rsid w:val="002C09B8"/>
    <w:rsid w:val="002C405A"/>
    <w:rsid w:val="002D182D"/>
    <w:rsid w:val="002E3FCE"/>
    <w:rsid w:val="002F02CC"/>
    <w:rsid w:val="002F0635"/>
    <w:rsid w:val="002F07D0"/>
    <w:rsid w:val="002F1EDB"/>
    <w:rsid w:val="00302CB6"/>
    <w:rsid w:val="00305867"/>
    <w:rsid w:val="00306B5C"/>
    <w:rsid w:val="00310562"/>
    <w:rsid w:val="003155E9"/>
    <w:rsid w:val="003236BE"/>
    <w:rsid w:val="003344B2"/>
    <w:rsid w:val="003412D3"/>
    <w:rsid w:val="00342B5E"/>
    <w:rsid w:val="003476B1"/>
    <w:rsid w:val="003574D8"/>
    <w:rsid w:val="00364E05"/>
    <w:rsid w:val="00365C43"/>
    <w:rsid w:val="003668C8"/>
    <w:rsid w:val="00366AD9"/>
    <w:rsid w:val="0037354E"/>
    <w:rsid w:val="00373F2B"/>
    <w:rsid w:val="00375041"/>
    <w:rsid w:val="00377066"/>
    <w:rsid w:val="00382E25"/>
    <w:rsid w:val="00382EC4"/>
    <w:rsid w:val="00384957"/>
    <w:rsid w:val="0039260E"/>
    <w:rsid w:val="00392799"/>
    <w:rsid w:val="003940D6"/>
    <w:rsid w:val="0039474B"/>
    <w:rsid w:val="00395155"/>
    <w:rsid w:val="003A1C9F"/>
    <w:rsid w:val="003B051F"/>
    <w:rsid w:val="003B7D11"/>
    <w:rsid w:val="003C1066"/>
    <w:rsid w:val="003C4F8E"/>
    <w:rsid w:val="003C63C0"/>
    <w:rsid w:val="003D0597"/>
    <w:rsid w:val="003D0860"/>
    <w:rsid w:val="003D2079"/>
    <w:rsid w:val="003D6655"/>
    <w:rsid w:val="003D790A"/>
    <w:rsid w:val="003E0012"/>
    <w:rsid w:val="003E088F"/>
    <w:rsid w:val="003E0A22"/>
    <w:rsid w:val="003E250F"/>
    <w:rsid w:val="003E2A3F"/>
    <w:rsid w:val="003E4655"/>
    <w:rsid w:val="003E7A5B"/>
    <w:rsid w:val="003F207E"/>
    <w:rsid w:val="003F396E"/>
    <w:rsid w:val="00400C48"/>
    <w:rsid w:val="00401DD4"/>
    <w:rsid w:val="00402C66"/>
    <w:rsid w:val="00403C8C"/>
    <w:rsid w:val="00406B35"/>
    <w:rsid w:val="00406D98"/>
    <w:rsid w:val="00413159"/>
    <w:rsid w:val="0041365E"/>
    <w:rsid w:val="0042201B"/>
    <w:rsid w:val="004229E7"/>
    <w:rsid w:val="0042497D"/>
    <w:rsid w:val="004300BD"/>
    <w:rsid w:val="004327D4"/>
    <w:rsid w:val="00434FBB"/>
    <w:rsid w:val="00435C65"/>
    <w:rsid w:val="0044497F"/>
    <w:rsid w:val="00462569"/>
    <w:rsid w:val="00471675"/>
    <w:rsid w:val="004746A8"/>
    <w:rsid w:val="004811D3"/>
    <w:rsid w:val="004862FE"/>
    <w:rsid w:val="0048670A"/>
    <w:rsid w:val="00490E3E"/>
    <w:rsid w:val="004917C9"/>
    <w:rsid w:val="00493D0C"/>
    <w:rsid w:val="004942C1"/>
    <w:rsid w:val="00494B05"/>
    <w:rsid w:val="004950FC"/>
    <w:rsid w:val="004A2AF1"/>
    <w:rsid w:val="004A604F"/>
    <w:rsid w:val="004B37CE"/>
    <w:rsid w:val="004B70AB"/>
    <w:rsid w:val="004C1628"/>
    <w:rsid w:val="004C3AA8"/>
    <w:rsid w:val="004C46DD"/>
    <w:rsid w:val="004C6B70"/>
    <w:rsid w:val="004D0F6F"/>
    <w:rsid w:val="004D65A2"/>
    <w:rsid w:val="004D6DA6"/>
    <w:rsid w:val="004D7581"/>
    <w:rsid w:val="004D7F7A"/>
    <w:rsid w:val="004E163B"/>
    <w:rsid w:val="004E1754"/>
    <w:rsid w:val="004E1775"/>
    <w:rsid w:val="004E349F"/>
    <w:rsid w:val="004E3865"/>
    <w:rsid w:val="004F054F"/>
    <w:rsid w:val="004F1B4C"/>
    <w:rsid w:val="0050455B"/>
    <w:rsid w:val="00504DE9"/>
    <w:rsid w:val="00505AF8"/>
    <w:rsid w:val="00506455"/>
    <w:rsid w:val="0050676E"/>
    <w:rsid w:val="00511FD4"/>
    <w:rsid w:val="00511FD9"/>
    <w:rsid w:val="005137A9"/>
    <w:rsid w:val="00513E20"/>
    <w:rsid w:val="0052221D"/>
    <w:rsid w:val="005275E8"/>
    <w:rsid w:val="0053535F"/>
    <w:rsid w:val="005368FD"/>
    <w:rsid w:val="0053744A"/>
    <w:rsid w:val="0054111A"/>
    <w:rsid w:val="00541157"/>
    <w:rsid w:val="00541E2B"/>
    <w:rsid w:val="00542C82"/>
    <w:rsid w:val="005510BD"/>
    <w:rsid w:val="00551715"/>
    <w:rsid w:val="005558B5"/>
    <w:rsid w:val="00557617"/>
    <w:rsid w:val="00560E9A"/>
    <w:rsid w:val="0056148E"/>
    <w:rsid w:val="00562CA5"/>
    <w:rsid w:val="00562D72"/>
    <w:rsid w:val="00563248"/>
    <w:rsid w:val="00564F9E"/>
    <w:rsid w:val="005673F9"/>
    <w:rsid w:val="00567427"/>
    <w:rsid w:val="005707C6"/>
    <w:rsid w:val="00570DBB"/>
    <w:rsid w:val="005719CF"/>
    <w:rsid w:val="00572599"/>
    <w:rsid w:val="0058701F"/>
    <w:rsid w:val="00587AA4"/>
    <w:rsid w:val="00587D10"/>
    <w:rsid w:val="005951E5"/>
    <w:rsid w:val="00595CD2"/>
    <w:rsid w:val="005A1842"/>
    <w:rsid w:val="005A2114"/>
    <w:rsid w:val="005A3F08"/>
    <w:rsid w:val="005A75EE"/>
    <w:rsid w:val="005B25E0"/>
    <w:rsid w:val="005B367A"/>
    <w:rsid w:val="005C268B"/>
    <w:rsid w:val="005C2D1C"/>
    <w:rsid w:val="005C5617"/>
    <w:rsid w:val="005D033F"/>
    <w:rsid w:val="005D0D07"/>
    <w:rsid w:val="005D63DB"/>
    <w:rsid w:val="005D6CB3"/>
    <w:rsid w:val="005E1264"/>
    <w:rsid w:val="005E39B9"/>
    <w:rsid w:val="005E3D90"/>
    <w:rsid w:val="005E715D"/>
    <w:rsid w:val="005E7678"/>
    <w:rsid w:val="005F4939"/>
    <w:rsid w:val="00600539"/>
    <w:rsid w:val="00602059"/>
    <w:rsid w:val="00602288"/>
    <w:rsid w:val="00603748"/>
    <w:rsid w:val="00606837"/>
    <w:rsid w:val="00611587"/>
    <w:rsid w:val="00623DB0"/>
    <w:rsid w:val="00624387"/>
    <w:rsid w:val="006244C2"/>
    <w:rsid w:val="00630C7B"/>
    <w:rsid w:val="006316DA"/>
    <w:rsid w:val="0063195E"/>
    <w:rsid w:val="00634CF8"/>
    <w:rsid w:val="00642B95"/>
    <w:rsid w:val="00653C7B"/>
    <w:rsid w:val="006558D5"/>
    <w:rsid w:val="006610EE"/>
    <w:rsid w:val="0066437B"/>
    <w:rsid w:val="00667BCB"/>
    <w:rsid w:val="00680646"/>
    <w:rsid w:val="006875C7"/>
    <w:rsid w:val="006901A2"/>
    <w:rsid w:val="006A1782"/>
    <w:rsid w:val="006A3D34"/>
    <w:rsid w:val="006A7BFF"/>
    <w:rsid w:val="006B21BC"/>
    <w:rsid w:val="006B4E2A"/>
    <w:rsid w:val="006B5C3D"/>
    <w:rsid w:val="006C1B13"/>
    <w:rsid w:val="006C27E1"/>
    <w:rsid w:val="006C7BE6"/>
    <w:rsid w:val="006D2A69"/>
    <w:rsid w:val="006D541C"/>
    <w:rsid w:val="006E3DBB"/>
    <w:rsid w:val="006E4D88"/>
    <w:rsid w:val="006F1F0C"/>
    <w:rsid w:val="006F2853"/>
    <w:rsid w:val="006F624E"/>
    <w:rsid w:val="006F62AF"/>
    <w:rsid w:val="006F791E"/>
    <w:rsid w:val="007023A1"/>
    <w:rsid w:val="00704AE8"/>
    <w:rsid w:val="007059EF"/>
    <w:rsid w:val="007062D6"/>
    <w:rsid w:val="00707CAA"/>
    <w:rsid w:val="00717727"/>
    <w:rsid w:val="00724434"/>
    <w:rsid w:val="00731AEE"/>
    <w:rsid w:val="00732D07"/>
    <w:rsid w:val="00733717"/>
    <w:rsid w:val="00736BF4"/>
    <w:rsid w:val="00737AF2"/>
    <w:rsid w:val="00740053"/>
    <w:rsid w:val="00742CF2"/>
    <w:rsid w:val="00743218"/>
    <w:rsid w:val="00744772"/>
    <w:rsid w:val="0075062B"/>
    <w:rsid w:val="007530B5"/>
    <w:rsid w:val="007622F3"/>
    <w:rsid w:val="007628B8"/>
    <w:rsid w:val="00764D01"/>
    <w:rsid w:val="00764D65"/>
    <w:rsid w:val="00766AA6"/>
    <w:rsid w:val="00771A2A"/>
    <w:rsid w:val="00774630"/>
    <w:rsid w:val="00782C23"/>
    <w:rsid w:val="00786D21"/>
    <w:rsid w:val="00790F5A"/>
    <w:rsid w:val="00792322"/>
    <w:rsid w:val="007946A9"/>
    <w:rsid w:val="0079711D"/>
    <w:rsid w:val="007979E3"/>
    <w:rsid w:val="007A0F40"/>
    <w:rsid w:val="007B47B3"/>
    <w:rsid w:val="007D08D6"/>
    <w:rsid w:val="007D75C3"/>
    <w:rsid w:val="007E0CBF"/>
    <w:rsid w:val="007E48BB"/>
    <w:rsid w:val="007E5946"/>
    <w:rsid w:val="007F141C"/>
    <w:rsid w:val="007F1DE5"/>
    <w:rsid w:val="007F65D5"/>
    <w:rsid w:val="008004A1"/>
    <w:rsid w:val="00802FB8"/>
    <w:rsid w:val="008069AC"/>
    <w:rsid w:val="00812D4D"/>
    <w:rsid w:val="0081503A"/>
    <w:rsid w:val="008176BF"/>
    <w:rsid w:val="008206E8"/>
    <w:rsid w:val="00826B73"/>
    <w:rsid w:val="00831FC5"/>
    <w:rsid w:val="008351AD"/>
    <w:rsid w:val="008372B0"/>
    <w:rsid w:val="00841335"/>
    <w:rsid w:val="00841DFA"/>
    <w:rsid w:val="008437FD"/>
    <w:rsid w:val="008448CC"/>
    <w:rsid w:val="008469EC"/>
    <w:rsid w:val="00856F9C"/>
    <w:rsid w:val="00860CDF"/>
    <w:rsid w:val="008611D7"/>
    <w:rsid w:val="008631E1"/>
    <w:rsid w:val="0086736A"/>
    <w:rsid w:val="0086772A"/>
    <w:rsid w:val="0087179D"/>
    <w:rsid w:val="00871C7F"/>
    <w:rsid w:val="00874159"/>
    <w:rsid w:val="00874A49"/>
    <w:rsid w:val="00875640"/>
    <w:rsid w:val="0088203A"/>
    <w:rsid w:val="008831D1"/>
    <w:rsid w:val="008834A3"/>
    <w:rsid w:val="00884046"/>
    <w:rsid w:val="008850FF"/>
    <w:rsid w:val="00893F52"/>
    <w:rsid w:val="008B0EF9"/>
    <w:rsid w:val="008B6EEB"/>
    <w:rsid w:val="008B7978"/>
    <w:rsid w:val="008C21F3"/>
    <w:rsid w:val="008C31F8"/>
    <w:rsid w:val="008C69E3"/>
    <w:rsid w:val="008D3A24"/>
    <w:rsid w:val="008D5C69"/>
    <w:rsid w:val="008D72AB"/>
    <w:rsid w:val="008E019D"/>
    <w:rsid w:val="008E6D97"/>
    <w:rsid w:val="00900C5B"/>
    <w:rsid w:val="00903249"/>
    <w:rsid w:val="0090465D"/>
    <w:rsid w:val="00905D65"/>
    <w:rsid w:val="00907856"/>
    <w:rsid w:val="0091258C"/>
    <w:rsid w:val="0091446E"/>
    <w:rsid w:val="00917BBB"/>
    <w:rsid w:val="009279DC"/>
    <w:rsid w:val="00932641"/>
    <w:rsid w:val="00940542"/>
    <w:rsid w:val="00942F2D"/>
    <w:rsid w:val="00943331"/>
    <w:rsid w:val="009533AF"/>
    <w:rsid w:val="009558F2"/>
    <w:rsid w:val="009645B0"/>
    <w:rsid w:val="00966847"/>
    <w:rsid w:val="00972CEB"/>
    <w:rsid w:val="00977686"/>
    <w:rsid w:val="0098015B"/>
    <w:rsid w:val="009901E3"/>
    <w:rsid w:val="0099600A"/>
    <w:rsid w:val="009A1426"/>
    <w:rsid w:val="009A7F46"/>
    <w:rsid w:val="009B02DB"/>
    <w:rsid w:val="009B351B"/>
    <w:rsid w:val="009B42DE"/>
    <w:rsid w:val="009B6341"/>
    <w:rsid w:val="009C0822"/>
    <w:rsid w:val="009C4737"/>
    <w:rsid w:val="009C500F"/>
    <w:rsid w:val="009C67FF"/>
    <w:rsid w:val="009C6842"/>
    <w:rsid w:val="009C7218"/>
    <w:rsid w:val="009D0672"/>
    <w:rsid w:val="009D784B"/>
    <w:rsid w:val="009E1888"/>
    <w:rsid w:val="009E28E1"/>
    <w:rsid w:val="009E431A"/>
    <w:rsid w:val="009E74B5"/>
    <w:rsid w:val="009E7FC0"/>
    <w:rsid w:val="009F178E"/>
    <w:rsid w:val="009F60F0"/>
    <w:rsid w:val="00A0055C"/>
    <w:rsid w:val="00A0283D"/>
    <w:rsid w:val="00A02AB9"/>
    <w:rsid w:val="00A101E1"/>
    <w:rsid w:val="00A11EE1"/>
    <w:rsid w:val="00A132F2"/>
    <w:rsid w:val="00A173A8"/>
    <w:rsid w:val="00A20686"/>
    <w:rsid w:val="00A230E5"/>
    <w:rsid w:val="00A23294"/>
    <w:rsid w:val="00A326DB"/>
    <w:rsid w:val="00A32A6E"/>
    <w:rsid w:val="00A4363D"/>
    <w:rsid w:val="00A52A65"/>
    <w:rsid w:val="00A61029"/>
    <w:rsid w:val="00A62123"/>
    <w:rsid w:val="00A63837"/>
    <w:rsid w:val="00A65F40"/>
    <w:rsid w:val="00A828E0"/>
    <w:rsid w:val="00A84135"/>
    <w:rsid w:val="00A86A0F"/>
    <w:rsid w:val="00A86A79"/>
    <w:rsid w:val="00A87288"/>
    <w:rsid w:val="00A87C18"/>
    <w:rsid w:val="00A962C8"/>
    <w:rsid w:val="00AA04C2"/>
    <w:rsid w:val="00AA0ADB"/>
    <w:rsid w:val="00AA0BD2"/>
    <w:rsid w:val="00AA2618"/>
    <w:rsid w:val="00AA2868"/>
    <w:rsid w:val="00AA3138"/>
    <w:rsid w:val="00AA622C"/>
    <w:rsid w:val="00AA630A"/>
    <w:rsid w:val="00AA6B08"/>
    <w:rsid w:val="00AB306C"/>
    <w:rsid w:val="00AB7919"/>
    <w:rsid w:val="00AC0DF7"/>
    <w:rsid w:val="00AC7DBC"/>
    <w:rsid w:val="00AD3842"/>
    <w:rsid w:val="00AD71B8"/>
    <w:rsid w:val="00AE1FB0"/>
    <w:rsid w:val="00AE30E8"/>
    <w:rsid w:val="00AE4DF3"/>
    <w:rsid w:val="00AF18BA"/>
    <w:rsid w:val="00AF4138"/>
    <w:rsid w:val="00AF75CF"/>
    <w:rsid w:val="00B004D1"/>
    <w:rsid w:val="00B135D8"/>
    <w:rsid w:val="00B22170"/>
    <w:rsid w:val="00B24E22"/>
    <w:rsid w:val="00B25744"/>
    <w:rsid w:val="00B30315"/>
    <w:rsid w:val="00B3189A"/>
    <w:rsid w:val="00B33865"/>
    <w:rsid w:val="00B3585D"/>
    <w:rsid w:val="00B37224"/>
    <w:rsid w:val="00B41189"/>
    <w:rsid w:val="00B41A97"/>
    <w:rsid w:val="00B438A7"/>
    <w:rsid w:val="00B43CC4"/>
    <w:rsid w:val="00B53836"/>
    <w:rsid w:val="00B5492A"/>
    <w:rsid w:val="00B62C78"/>
    <w:rsid w:val="00B644AC"/>
    <w:rsid w:val="00B65EFB"/>
    <w:rsid w:val="00B6626E"/>
    <w:rsid w:val="00B7748C"/>
    <w:rsid w:val="00B82A89"/>
    <w:rsid w:val="00B833D4"/>
    <w:rsid w:val="00B92467"/>
    <w:rsid w:val="00B9407B"/>
    <w:rsid w:val="00B970AD"/>
    <w:rsid w:val="00BA36D8"/>
    <w:rsid w:val="00BA3893"/>
    <w:rsid w:val="00BA4A03"/>
    <w:rsid w:val="00BB69BC"/>
    <w:rsid w:val="00BD1ECA"/>
    <w:rsid w:val="00BD2871"/>
    <w:rsid w:val="00BD49E8"/>
    <w:rsid w:val="00BD6DCB"/>
    <w:rsid w:val="00BD7635"/>
    <w:rsid w:val="00BE0C13"/>
    <w:rsid w:val="00BF1C18"/>
    <w:rsid w:val="00BF428F"/>
    <w:rsid w:val="00BF4DD8"/>
    <w:rsid w:val="00BF5F26"/>
    <w:rsid w:val="00BF6A0F"/>
    <w:rsid w:val="00BF73AB"/>
    <w:rsid w:val="00BF7649"/>
    <w:rsid w:val="00C03A6C"/>
    <w:rsid w:val="00C0633C"/>
    <w:rsid w:val="00C07F97"/>
    <w:rsid w:val="00C110F0"/>
    <w:rsid w:val="00C15301"/>
    <w:rsid w:val="00C16EE1"/>
    <w:rsid w:val="00C202C9"/>
    <w:rsid w:val="00C2087D"/>
    <w:rsid w:val="00C21EB6"/>
    <w:rsid w:val="00C24F50"/>
    <w:rsid w:val="00C31F22"/>
    <w:rsid w:val="00C37FDE"/>
    <w:rsid w:val="00C40487"/>
    <w:rsid w:val="00C41162"/>
    <w:rsid w:val="00C427C4"/>
    <w:rsid w:val="00C4509E"/>
    <w:rsid w:val="00C51F66"/>
    <w:rsid w:val="00C56261"/>
    <w:rsid w:val="00C63A22"/>
    <w:rsid w:val="00C66393"/>
    <w:rsid w:val="00C735CF"/>
    <w:rsid w:val="00C73F31"/>
    <w:rsid w:val="00C750C1"/>
    <w:rsid w:val="00C7599A"/>
    <w:rsid w:val="00C7689F"/>
    <w:rsid w:val="00C8158B"/>
    <w:rsid w:val="00C83A71"/>
    <w:rsid w:val="00C929DF"/>
    <w:rsid w:val="00C976B5"/>
    <w:rsid w:val="00CA0B55"/>
    <w:rsid w:val="00CA216C"/>
    <w:rsid w:val="00CA21BA"/>
    <w:rsid w:val="00CA415E"/>
    <w:rsid w:val="00CA4344"/>
    <w:rsid w:val="00CA795A"/>
    <w:rsid w:val="00CB050F"/>
    <w:rsid w:val="00CB2E50"/>
    <w:rsid w:val="00CB6A85"/>
    <w:rsid w:val="00CC1108"/>
    <w:rsid w:val="00CC662B"/>
    <w:rsid w:val="00CC6752"/>
    <w:rsid w:val="00CC7074"/>
    <w:rsid w:val="00CD0E41"/>
    <w:rsid w:val="00CD318D"/>
    <w:rsid w:val="00CE44FC"/>
    <w:rsid w:val="00CE673F"/>
    <w:rsid w:val="00CF2339"/>
    <w:rsid w:val="00CF3983"/>
    <w:rsid w:val="00CF669B"/>
    <w:rsid w:val="00D00EFA"/>
    <w:rsid w:val="00D039F0"/>
    <w:rsid w:val="00D04B7B"/>
    <w:rsid w:val="00D06B3B"/>
    <w:rsid w:val="00D17DFF"/>
    <w:rsid w:val="00D23651"/>
    <w:rsid w:val="00D26242"/>
    <w:rsid w:val="00D265C0"/>
    <w:rsid w:val="00D2722F"/>
    <w:rsid w:val="00D3420D"/>
    <w:rsid w:val="00D41AA2"/>
    <w:rsid w:val="00D45EFA"/>
    <w:rsid w:val="00D47C8D"/>
    <w:rsid w:val="00D5005F"/>
    <w:rsid w:val="00D52B7E"/>
    <w:rsid w:val="00D56372"/>
    <w:rsid w:val="00D57776"/>
    <w:rsid w:val="00D60D55"/>
    <w:rsid w:val="00D628EF"/>
    <w:rsid w:val="00D6662D"/>
    <w:rsid w:val="00D67AFF"/>
    <w:rsid w:val="00D717B1"/>
    <w:rsid w:val="00D72532"/>
    <w:rsid w:val="00D74AE7"/>
    <w:rsid w:val="00D77890"/>
    <w:rsid w:val="00D800D2"/>
    <w:rsid w:val="00D85DDA"/>
    <w:rsid w:val="00D8607E"/>
    <w:rsid w:val="00D91DAD"/>
    <w:rsid w:val="00D92B5F"/>
    <w:rsid w:val="00D94F6D"/>
    <w:rsid w:val="00DA0C18"/>
    <w:rsid w:val="00DA209E"/>
    <w:rsid w:val="00DB15BD"/>
    <w:rsid w:val="00DB25B6"/>
    <w:rsid w:val="00DC0599"/>
    <w:rsid w:val="00DC17C4"/>
    <w:rsid w:val="00DC3D80"/>
    <w:rsid w:val="00DC7A27"/>
    <w:rsid w:val="00DD0B89"/>
    <w:rsid w:val="00DD1017"/>
    <w:rsid w:val="00DD6935"/>
    <w:rsid w:val="00DD6BEE"/>
    <w:rsid w:val="00DD75E8"/>
    <w:rsid w:val="00DE7124"/>
    <w:rsid w:val="00DE7350"/>
    <w:rsid w:val="00DF0790"/>
    <w:rsid w:val="00DF07A4"/>
    <w:rsid w:val="00DF08F8"/>
    <w:rsid w:val="00DF18F1"/>
    <w:rsid w:val="00DF33D2"/>
    <w:rsid w:val="00DF3EBD"/>
    <w:rsid w:val="00DF496A"/>
    <w:rsid w:val="00E001E4"/>
    <w:rsid w:val="00E00CA5"/>
    <w:rsid w:val="00E0142F"/>
    <w:rsid w:val="00E03CD3"/>
    <w:rsid w:val="00E05B74"/>
    <w:rsid w:val="00E145AD"/>
    <w:rsid w:val="00E14ABD"/>
    <w:rsid w:val="00E15007"/>
    <w:rsid w:val="00E218C0"/>
    <w:rsid w:val="00E27F46"/>
    <w:rsid w:val="00E30E6A"/>
    <w:rsid w:val="00E31678"/>
    <w:rsid w:val="00E3440E"/>
    <w:rsid w:val="00E36C1D"/>
    <w:rsid w:val="00E44C83"/>
    <w:rsid w:val="00E4699D"/>
    <w:rsid w:val="00E50D9A"/>
    <w:rsid w:val="00E51136"/>
    <w:rsid w:val="00E51A4D"/>
    <w:rsid w:val="00E52988"/>
    <w:rsid w:val="00E532FC"/>
    <w:rsid w:val="00E56CCF"/>
    <w:rsid w:val="00E575FF"/>
    <w:rsid w:val="00E57FDB"/>
    <w:rsid w:val="00E65D99"/>
    <w:rsid w:val="00E66974"/>
    <w:rsid w:val="00E70DA6"/>
    <w:rsid w:val="00E71579"/>
    <w:rsid w:val="00E7588C"/>
    <w:rsid w:val="00E76945"/>
    <w:rsid w:val="00E907AF"/>
    <w:rsid w:val="00E91ABF"/>
    <w:rsid w:val="00E959F9"/>
    <w:rsid w:val="00E971B9"/>
    <w:rsid w:val="00EA03C6"/>
    <w:rsid w:val="00EA0612"/>
    <w:rsid w:val="00EA2257"/>
    <w:rsid w:val="00EA2843"/>
    <w:rsid w:val="00EA4BCB"/>
    <w:rsid w:val="00EB3847"/>
    <w:rsid w:val="00EB38A9"/>
    <w:rsid w:val="00EB77E8"/>
    <w:rsid w:val="00EC5526"/>
    <w:rsid w:val="00EC6236"/>
    <w:rsid w:val="00ED1A16"/>
    <w:rsid w:val="00ED3A63"/>
    <w:rsid w:val="00ED4042"/>
    <w:rsid w:val="00EE4B21"/>
    <w:rsid w:val="00EE4E24"/>
    <w:rsid w:val="00EF3305"/>
    <w:rsid w:val="00EF71AE"/>
    <w:rsid w:val="00EF7A20"/>
    <w:rsid w:val="00F017E0"/>
    <w:rsid w:val="00F04BA7"/>
    <w:rsid w:val="00F06017"/>
    <w:rsid w:val="00F07884"/>
    <w:rsid w:val="00F15BCA"/>
    <w:rsid w:val="00F16AA1"/>
    <w:rsid w:val="00F16ED7"/>
    <w:rsid w:val="00F25C7F"/>
    <w:rsid w:val="00F30A96"/>
    <w:rsid w:val="00F32327"/>
    <w:rsid w:val="00F33717"/>
    <w:rsid w:val="00F34836"/>
    <w:rsid w:val="00F3516D"/>
    <w:rsid w:val="00F406B3"/>
    <w:rsid w:val="00F51277"/>
    <w:rsid w:val="00F52AB6"/>
    <w:rsid w:val="00F5338A"/>
    <w:rsid w:val="00F553D6"/>
    <w:rsid w:val="00F60088"/>
    <w:rsid w:val="00F64892"/>
    <w:rsid w:val="00F66E7E"/>
    <w:rsid w:val="00F709E4"/>
    <w:rsid w:val="00F70BDC"/>
    <w:rsid w:val="00F758BA"/>
    <w:rsid w:val="00F814D2"/>
    <w:rsid w:val="00F82587"/>
    <w:rsid w:val="00F922C6"/>
    <w:rsid w:val="00F94A37"/>
    <w:rsid w:val="00F95FEB"/>
    <w:rsid w:val="00FA062F"/>
    <w:rsid w:val="00FA10D8"/>
    <w:rsid w:val="00FA5265"/>
    <w:rsid w:val="00FA5945"/>
    <w:rsid w:val="00FB13F7"/>
    <w:rsid w:val="00FB213E"/>
    <w:rsid w:val="00FB3381"/>
    <w:rsid w:val="00FB5BF9"/>
    <w:rsid w:val="00FC1F15"/>
    <w:rsid w:val="00FC351A"/>
    <w:rsid w:val="00FC4B7A"/>
    <w:rsid w:val="00FC5406"/>
    <w:rsid w:val="00FD7E1C"/>
    <w:rsid w:val="00FE146B"/>
    <w:rsid w:val="00FE1D80"/>
    <w:rsid w:val="00FF49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6D86F0F"/>
  <w15:docId w15:val="{C34C6D58-82DE-4162-8B37-746DFD527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Book Antiqua" w:hAnsi="Book Antiqua"/>
      <w:snapToGrid w:val="0"/>
      <w:sz w:val="24"/>
    </w:rPr>
  </w:style>
  <w:style w:type="paragraph" w:styleId="Heading3">
    <w:name w:val="heading 3"/>
    <w:basedOn w:val="Normal"/>
    <w:next w:val="Normal"/>
    <w:qFormat/>
    <w:pPr>
      <w:tabs>
        <w:tab w:val="left" w:pos="720"/>
      </w:tabs>
      <w:suppressAutoHyphens/>
      <w:outlineLvl w:val="2"/>
    </w:pPr>
    <w:rPr>
      <w:rFonts w:ascii="Times New Roman" w:hAnsi="Times New Roman"/>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rFonts w:ascii="Book Antiqua" w:hAnsi="Book Antiqua"/>
      <w:noProof w:val="0"/>
      <w:sz w:val="24"/>
      <w:vertAlign w:val="superscript"/>
      <w:lang w:val="en-US"/>
    </w:rPr>
  </w:style>
  <w:style w:type="paragraph" w:styleId="FootnoteText">
    <w:name w:val="footnote text"/>
    <w:aliases w:val="Footnote Text Char Char,Footnote Text Char Char Char Char Char Char,Footnote Text Char Char3 Char,Footnote Text Char1,Footnote Text Char1 Char Char Char,Footnote Text Char1 Char1,Footnote Text Char2,Footnote Text Char2 Char Char Char Char"/>
    <w:basedOn w:val="Normal"/>
    <w:link w:val="FootnoteTextChar"/>
    <w:semiHidden/>
  </w:style>
  <w:style w:type="character" w:styleId="FootnoteReference">
    <w:name w:val="footnote reference"/>
    <w:aliases w:val="(NECG) Footnote Reference,Appel note de bas de p,Style 12,Style 3,fr,o"/>
    <w:semiHidden/>
    <w:rPr>
      <w:rFonts w:ascii="Book Antiqua" w:hAnsi="Book Antiqua"/>
      <w:noProof w:val="0"/>
      <w:sz w:val="24"/>
      <w:vertAlign w:val="superscript"/>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ook Antiqua" w:hAnsi="Book Antiqua"/>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ook Antiqua" w:hAnsi="Book Antiqua"/>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Book Antiqua" w:hAnsi="Book Antiqua"/>
      <w:noProof w:val="0"/>
      <w:sz w:val="24"/>
      <w:lang w:val="en-US"/>
    </w:rPr>
  </w:style>
  <w:style w:type="paragraph" w:customStyle="1" w:styleId="Document1">
    <w:name w:val="Document 1"/>
    <w:pPr>
      <w:keepNext/>
      <w:keepLines/>
      <w:widowControl w:val="0"/>
      <w:tabs>
        <w:tab w:val="left" w:pos="-720"/>
      </w:tabs>
      <w:suppressAutoHyphens/>
    </w:pPr>
    <w:rPr>
      <w:rFonts w:ascii="Book Antiqua" w:hAnsi="Book Antiqua"/>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ook Antiqua" w:hAnsi="Book Antiqua"/>
      <w:noProof w:val="0"/>
      <w:sz w:val="24"/>
      <w:lang w:val="en-US"/>
    </w:rPr>
  </w:style>
  <w:style w:type="character" w:customStyle="1" w:styleId="Technical3">
    <w:name w:val="Technical 3"/>
    <w:rPr>
      <w:rFonts w:ascii="Book Antiqua" w:hAnsi="Book Antiqua"/>
      <w:noProof w:val="0"/>
      <w:sz w:val="24"/>
      <w:lang w:val="en-US"/>
    </w:rPr>
  </w:style>
  <w:style w:type="character" w:customStyle="1" w:styleId="Technical4">
    <w:name w:val="Technical 4"/>
    <w:basedOn w:val="DefaultParagraphFont"/>
  </w:style>
  <w:style w:type="character" w:customStyle="1" w:styleId="Technical1">
    <w:name w:val="Technical 1"/>
    <w:rPr>
      <w:rFonts w:ascii="Book Antiqua" w:hAnsi="Book Antiqua"/>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character" w:customStyle="1" w:styleId="head1">
    <w:name w:val="head1"/>
    <w:rPr>
      <w:rFonts w:ascii="Arial" w:hAnsi="Arial"/>
      <w:b/>
      <w:noProof w:val="0"/>
      <w:sz w:val="32"/>
      <w:lang w:val="en-US"/>
    </w:rPr>
  </w:style>
  <w:style w:type="character" w:customStyle="1" w:styleId="Paragraph1">
    <w:name w:val="Paragraph 1"/>
    <w:basedOn w:val="DefaultParagraphFont"/>
  </w:style>
  <w:style w:type="character" w:customStyle="1" w:styleId="Paragraph2">
    <w:name w:val="Paragraph 2"/>
    <w:basedOn w:val="DefaultParagraphFont"/>
  </w:style>
  <w:style w:type="character" w:customStyle="1" w:styleId="Paragraph3">
    <w:name w:val="Paragraph 3"/>
    <w:basedOn w:val="DefaultParagraphFont"/>
  </w:style>
  <w:style w:type="character" w:customStyle="1" w:styleId="Paragraph4">
    <w:name w:val="Paragraph 4"/>
    <w:basedOn w:val="DefaultParagraphFont"/>
  </w:style>
  <w:style w:type="character" w:customStyle="1" w:styleId="Paragraph5">
    <w:name w:val="Paragraph 5"/>
    <w:basedOn w:val="DefaultParagraphFont"/>
  </w:style>
  <w:style w:type="character" w:customStyle="1" w:styleId="Paragraph6">
    <w:name w:val="Paragraph 6"/>
    <w:basedOn w:val="DefaultParagraphFont"/>
  </w:style>
  <w:style w:type="character" w:customStyle="1" w:styleId="Paragraph7">
    <w:name w:val="Paragraph 7"/>
    <w:basedOn w:val="DefaultParagraphFont"/>
  </w:style>
  <w:style w:type="character" w:customStyle="1" w:styleId="Paragraph8">
    <w:name w:val="Paragraph 8"/>
    <w:basedOn w:val="DefaultParagraphFont"/>
  </w:style>
  <w:style w:type="character" w:customStyle="1" w:styleId="DefaultParagraphFo">
    <w:name w:val="Default Paragraph Fo"/>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Book Antiqua" w:hAnsi="Book Antiqua"/>
      <w:snapToGrid w:val="0"/>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Book Antiqua" w:hAnsi="Book Antiqua"/>
      <w:snapToGrid w:val="0"/>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Book Antiqua" w:hAnsi="Book Antiqua"/>
      <w:snapToGrid w:val="0"/>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Book Antiqua" w:hAnsi="Book Antiqua"/>
      <w:snapToGrid w:val="0"/>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Book Antiqua" w:hAnsi="Book Antiqua"/>
      <w:snapToGrid w:val="0"/>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Book Antiqua" w:hAnsi="Book Antiqua"/>
      <w:snapToGrid w:val="0"/>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Book Antiqua" w:hAnsi="Book Antiqua"/>
      <w:snapToGrid w:val="0"/>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Book Antiqua" w:hAnsi="Book Antiqua"/>
      <w:snapToGrid w:val="0"/>
      <w:sz w:val="24"/>
    </w:rPr>
  </w:style>
  <w:style w:type="paragraph" w:customStyle="1" w:styleId="Document1a">
    <w:name w:val="Document 1a"/>
    <w:pPr>
      <w:keepNext/>
      <w:keepLines/>
      <w:widowControl w:val="0"/>
      <w:tabs>
        <w:tab w:val="left" w:pos="-720"/>
      </w:tabs>
      <w:suppressAutoHyphens/>
    </w:pPr>
    <w:rPr>
      <w:rFonts w:ascii="Book Antiqua" w:hAnsi="Book Antiqua"/>
      <w:snapToGrid w:val="0"/>
      <w:sz w:val="24"/>
    </w:rPr>
  </w:style>
  <w:style w:type="paragraph" w:customStyle="1" w:styleId="Technical5a">
    <w:name w:val="Technical 5a"/>
    <w:pPr>
      <w:widowControl w:val="0"/>
      <w:tabs>
        <w:tab w:val="left" w:pos="-720"/>
      </w:tabs>
      <w:suppressAutoHyphens/>
    </w:pPr>
    <w:rPr>
      <w:rFonts w:ascii="Book Antiqua" w:hAnsi="Book Antiqua"/>
      <w:b/>
      <w:snapToGrid w:val="0"/>
      <w:sz w:val="24"/>
    </w:rPr>
  </w:style>
  <w:style w:type="paragraph" w:customStyle="1" w:styleId="Technical6a">
    <w:name w:val="Technical 6a"/>
    <w:pPr>
      <w:widowControl w:val="0"/>
      <w:tabs>
        <w:tab w:val="left" w:pos="-720"/>
      </w:tabs>
      <w:suppressAutoHyphens/>
    </w:pPr>
    <w:rPr>
      <w:rFonts w:ascii="Book Antiqua" w:hAnsi="Book Antiqua"/>
      <w:b/>
      <w:snapToGrid w:val="0"/>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Book Antiqua" w:hAnsi="Book Antiqua"/>
      <w:b/>
      <w:snapToGrid w:val="0"/>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Book Antiqua" w:hAnsi="Book Antiqua"/>
      <w:b/>
      <w:snapToGrid w:val="0"/>
      <w:sz w:val="24"/>
    </w:rPr>
  </w:style>
  <w:style w:type="paragraph" w:customStyle="1" w:styleId="Technical8a">
    <w:name w:val="Technical 8a"/>
    <w:pPr>
      <w:widowControl w:val="0"/>
      <w:tabs>
        <w:tab w:val="left" w:pos="-720"/>
      </w:tabs>
      <w:suppressAutoHyphens/>
    </w:pPr>
    <w:rPr>
      <w:rFonts w:ascii="Book Antiqua" w:hAnsi="Book Antiqua"/>
      <w:b/>
      <w:snapToGrid w:val="0"/>
      <w:sz w:val="24"/>
    </w:rPr>
  </w:style>
  <w:style w:type="paragraph" w:customStyle="1" w:styleId="toa">
    <w:name w:val="toa"/>
    <w:pPr>
      <w:widowControl w:val="0"/>
      <w:tabs>
        <w:tab w:val="left" w:pos="0"/>
        <w:tab w:val="left" w:pos="9000"/>
        <w:tab w:val="right" w:pos="9360"/>
      </w:tabs>
      <w:suppressAutoHyphens/>
    </w:pPr>
    <w:rPr>
      <w:rFonts w:ascii="Book Antiqua" w:hAnsi="Book Antiqua"/>
      <w:snapToGrid w:val="0"/>
      <w:sz w:val="24"/>
    </w:rPr>
  </w:style>
  <w:style w:type="character" w:customStyle="1" w:styleId="EquationCaption">
    <w:name w:val="_Equation Caption"/>
    <w:basedOn w:val="DefaultParagraphFont"/>
  </w:style>
  <w:style w:type="character" w:customStyle="1" w:styleId="Document80">
    <w:name w:val="Document[8]"/>
    <w:basedOn w:val="DefaultParagraphFont"/>
  </w:style>
  <w:style w:type="character" w:customStyle="1" w:styleId="Document40">
    <w:name w:val="Document[4]"/>
    <w:rPr>
      <w:b/>
      <w:i/>
      <w:sz w:val="24"/>
    </w:rPr>
  </w:style>
  <w:style w:type="character" w:customStyle="1" w:styleId="Document60">
    <w:name w:val="Document[6]"/>
    <w:basedOn w:val="DefaultParagraphFont"/>
  </w:style>
  <w:style w:type="character" w:customStyle="1" w:styleId="Document50">
    <w:name w:val="Document[5]"/>
    <w:basedOn w:val="DefaultParagraphFont"/>
  </w:style>
  <w:style w:type="character" w:customStyle="1" w:styleId="Document20">
    <w:name w:val="Document[2]"/>
    <w:rPr>
      <w:rFonts w:ascii="Book Antiqua" w:hAnsi="Book Antiqua"/>
      <w:noProof w:val="0"/>
      <w:sz w:val="24"/>
      <w:lang w:val="en-US"/>
    </w:rPr>
  </w:style>
  <w:style w:type="character" w:customStyle="1" w:styleId="Document70">
    <w:name w:val="Document[7]"/>
    <w:basedOn w:val="DefaultParagraphFont"/>
  </w:style>
  <w:style w:type="character" w:customStyle="1" w:styleId="RightPar10">
    <w:name w:val="Right Par[1]"/>
    <w:basedOn w:val="DefaultParagraphFont"/>
  </w:style>
  <w:style w:type="character" w:customStyle="1" w:styleId="RightPar20">
    <w:name w:val="Right Par[2]"/>
    <w:basedOn w:val="DefaultParagraphFont"/>
  </w:style>
  <w:style w:type="character" w:customStyle="1" w:styleId="Document30">
    <w:name w:val="Document[3]"/>
    <w:rPr>
      <w:rFonts w:ascii="Book Antiqua" w:hAnsi="Book Antiqua"/>
      <w:noProof w:val="0"/>
      <w:sz w:val="24"/>
      <w:lang w:val="en-US"/>
    </w:rPr>
  </w:style>
  <w:style w:type="character" w:customStyle="1" w:styleId="RightPar30">
    <w:name w:val="Right Par[3]"/>
    <w:basedOn w:val="DefaultParagraphFont"/>
  </w:style>
  <w:style w:type="character" w:customStyle="1" w:styleId="RightPar40">
    <w:name w:val="Right Par[4]"/>
    <w:basedOn w:val="DefaultParagraphFont"/>
  </w:style>
  <w:style w:type="character" w:customStyle="1" w:styleId="RightPar50">
    <w:name w:val="Right Par[5]"/>
    <w:basedOn w:val="DefaultParagraphFont"/>
  </w:style>
  <w:style w:type="character" w:customStyle="1" w:styleId="RightPar60">
    <w:name w:val="Right Par[6]"/>
    <w:basedOn w:val="DefaultParagraphFont"/>
  </w:style>
  <w:style w:type="character" w:customStyle="1" w:styleId="RightPar70">
    <w:name w:val="Right Par[7]"/>
    <w:basedOn w:val="DefaultParagraphFont"/>
  </w:style>
  <w:style w:type="character" w:customStyle="1" w:styleId="RightPar80">
    <w:name w:val="Right Par[8]"/>
    <w:basedOn w:val="DefaultParagraphFont"/>
  </w:style>
  <w:style w:type="paragraph" w:customStyle="1" w:styleId="Document10">
    <w:name w:val="Document[1]"/>
    <w:pPr>
      <w:keepNext/>
      <w:keepLines/>
      <w:widowControl w:val="0"/>
      <w:tabs>
        <w:tab w:val="left" w:pos="-720"/>
      </w:tabs>
      <w:suppressAutoHyphens/>
    </w:pPr>
    <w:rPr>
      <w:rFonts w:ascii="Book Antiqua" w:hAnsi="Book Antiqua"/>
      <w:snapToGrid w:val="0"/>
      <w:sz w:val="24"/>
    </w:rPr>
  </w:style>
  <w:style w:type="character" w:customStyle="1" w:styleId="Technical50">
    <w:name w:val="Technical[5]"/>
    <w:basedOn w:val="DefaultParagraphFont"/>
  </w:style>
  <w:style w:type="character" w:customStyle="1" w:styleId="Technical60">
    <w:name w:val="Technical[6]"/>
    <w:basedOn w:val="DefaultParagraphFont"/>
  </w:style>
  <w:style w:type="character" w:customStyle="1" w:styleId="Technical20">
    <w:name w:val="Technical[2]"/>
    <w:rPr>
      <w:rFonts w:ascii="Book Antiqua" w:hAnsi="Book Antiqua"/>
      <w:noProof w:val="0"/>
      <w:sz w:val="24"/>
      <w:lang w:val="en-US"/>
    </w:rPr>
  </w:style>
  <w:style w:type="character" w:customStyle="1" w:styleId="Technical30">
    <w:name w:val="Technical[3]"/>
    <w:rPr>
      <w:rFonts w:ascii="Book Antiqua" w:hAnsi="Book Antiqua"/>
      <w:noProof w:val="0"/>
      <w:sz w:val="24"/>
      <w:lang w:val="en-US"/>
    </w:rPr>
  </w:style>
  <w:style w:type="character" w:customStyle="1" w:styleId="Technical40">
    <w:name w:val="Technical[4]"/>
    <w:basedOn w:val="DefaultParagraphFont"/>
  </w:style>
  <w:style w:type="character" w:customStyle="1" w:styleId="Technical10">
    <w:name w:val="Technical[1]"/>
    <w:rPr>
      <w:rFonts w:ascii="Book Antiqua" w:hAnsi="Book Antiqua"/>
      <w:noProof w:val="0"/>
      <w:sz w:val="24"/>
      <w:lang w:val="en-US"/>
    </w:rPr>
  </w:style>
  <w:style w:type="character" w:customStyle="1" w:styleId="Technical70">
    <w:name w:val="Technical[7]"/>
    <w:basedOn w:val="DefaultParagraphFont"/>
  </w:style>
  <w:style w:type="character" w:customStyle="1" w:styleId="Technical80">
    <w:name w:val="Technical[8]"/>
    <w:basedOn w:val="DefaultParagraphFont"/>
  </w:style>
  <w:style w:type="character" w:customStyle="1" w:styleId="FormatDownload">
    <w:name w:val="Format Download"/>
    <w:rPr>
      <w:rFonts w:ascii="Courier New" w:hAnsi="Courier New"/>
      <w:noProof w:val="0"/>
      <w:sz w:val="20"/>
      <w:lang w:val="en-US"/>
    </w:rPr>
  </w:style>
  <w:style w:type="paragraph" w:customStyle="1" w:styleId="MACNormal">
    <w:name w:val="MACNormal"/>
    <w:pPr>
      <w:widowControl w:val="0"/>
      <w:tabs>
        <w:tab w:val="left" w:pos="-1440"/>
        <w:tab w:val="left" w:pos="-720"/>
      </w:tabs>
      <w:suppressAutoHyphens/>
    </w:pPr>
    <w:rPr>
      <w:rFonts w:ascii="Haettenschweiler" w:hAnsi="Haettenschweiler"/>
      <w:snapToGrid w:val="0"/>
      <w:color w:val="000000"/>
      <w:sz w:val="24"/>
    </w:rPr>
  </w:style>
  <w:style w:type="character" w:customStyle="1" w:styleId="Footnote">
    <w:name w:val="Footnote"/>
    <w:rPr>
      <w:rFonts w:ascii="Book Antiqua" w:hAnsi="Book Antiqua"/>
      <w:noProof w:val="0"/>
      <w:sz w:val="24"/>
      <w:lang w:val="en-US"/>
    </w:rPr>
  </w:style>
  <w:style w:type="character" w:customStyle="1" w:styleId="footnotetex">
    <w:name w:val="footnote tex"/>
    <w:rPr>
      <w:rFonts w:ascii="Times New Roman" w:hAnsi="Times New Roman"/>
      <w:noProof w:val="0"/>
      <w:sz w:val="24"/>
      <w:lang w:val="en-US"/>
    </w:rPr>
  </w:style>
  <w:style w:type="paragraph" w:styleId="Header">
    <w:name w:val="header"/>
    <w:basedOn w:val="Normal"/>
    <w:pPr>
      <w:tabs>
        <w:tab w:val="center" w:pos="4320"/>
        <w:tab w:val="right" w:pos="8640"/>
      </w:tabs>
      <w:suppressAutoHyphens/>
      <w:jc w:val="center"/>
    </w:pPr>
    <w:rPr>
      <w:rFonts w:ascii="Times New Roman" w:hAnsi="Times New Roman"/>
      <w:b/>
    </w:rPr>
  </w:style>
  <w:style w:type="character" w:customStyle="1" w:styleId="reference">
    <w:name w:val="reference"/>
    <w:rPr>
      <w:rFonts w:ascii="Times New Roman" w:hAnsi="Times New Roman"/>
    </w:rPr>
  </w:style>
  <w:style w:type="paragraph" w:customStyle="1" w:styleId="itemize">
    <w:name w:val="itemize"/>
    <w:pPr>
      <w:widowControl w:val="0"/>
      <w:tabs>
        <w:tab w:val="left" w:pos="540"/>
        <w:tab w:val="left" w:pos="900"/>
      </w:tabs>
      <w:suppressAutoHyphens/>
      <w:ind w:left="900" w:hanging="900"/>
    </w:pPr>
    <w:rPr>
      <w:snapToGrid w:val="0"/>
      <w:sz w:val="24"/>
    </w:rPr>
  </w:style>
  <w:style w:type="paragraph" w:customStyle="1" w:styleId="header2">
    <w:name w:val="header2"/>
    <w:pPr>
      <w:widowControl w:val="0"/>
      <w:tabs>
        <w:tab w:val="left" w:pos="1440"/>
        <w:tab w:val="center" w:pos="4320"/>
        <w:tab w:val="right" w:pos="8640"/>
      </w:tabs>
      <w:suppressAutoHyphens/>
      <w:jc w:val="center"/>
    </w:pPr>
    <w:rPr>
      <w:b/>
      <w:snapToGrid w:val="0"/>
      <w:sz w:val="24"/>
    </w:rPr>
  </w:style>
  <w:style w:type="paragraph" w:styleId="Footer">
    <w:name w:val="footer"/>
    <w:basedOn w:val="Normal"/>
    <w:pPr>
      <w:tabs>
        <w:tab w:val="center" w:pos="4680"/>
        <w:tab w:val="right" w:pos="9000"/>
      </w:tabs>
      <w:suppressAutoHyphens/>
    </w:pPr>
    <w:rPr>
      <w:rFonts w:ascii="Times New Roman" w:hAnsi="Times New Roman"/>
      <w:sz w:val="20"/>
    </w:rPr>
  </w:style>
  <w:style w:type="character" w:customStyle="1" w:styleId="1">
    <w:name w:val="1"/>
    <w:basedOn w:val="DefaultParagraphFont"/>
  </w:style>
  <w:style w:type="character" w:customStyle="1" w:styleId="2">
    <w:name w:val="2"/>
    <w:rPr>
      <w:b/>
      <w:i/>
      <w:sz w:val="24"/>
    </w:rPr>
  </w:style>
  <w:style w:type="character" w:customStyle="1" w:styleId="3">
    <w:name w:val="3"/>
    <w:basedOn w:val="DefaultParagraphFont"/>
  </w:style>
  <w:style w:type="character" w:customStyle="1" w:styleId="4">
    <w:name w:val="4"/>
    <w:basedOn w:val="DefaultParagraphFont"/>
  </w:style>
  <w:style w:type="character" w:customStyle="1" w:styleId="5">
    <w:name w:val="5"/>
    <w:rPr>
      <w:rFonts w:ascii="Book Antiqua" w:hAnsi="Book Antiqua"/>
      <w:noProof w:val="0"/>
      <w:sz w:val="24"/>
      <w:lang w:val="en-US"/>
    </w:rPr>
  </w:style>
  <w:style w:type="character" w:customStyle="1" w:styleId="6">
    <w:name w:val="6"/>
    <w:basedOn w:val="DefaultParagraphFont"/>
  </w:style>
  <w:style w:type="character" w:customStyle="1" w:styleId="7">
    <w:name w:val="7"/>
    <w:basedOn w:val="DefaultParagraphFont"/>
  </w:style>
  <w:style w:type="character" w:customStyle="1" w:styleId="8">
    <w:name w:val="8"/>
    <w:basedOn w:val="DefaultParagraphFont"/>
  </w:style>
  <w:style w:type="character" w:customStyle="1" w:styleId="9">
    <w:name w:val="9"/>
    <w:rPr>
      <w:rFonts w:ascii="Book Antiqua" w:hAnsi="Book Antiqua"/>
      <w:noProof w:val="0"/>
      <w:sz w:val="24"/>
      <w:lang w:val="en-US"/>
    </w:rPr>
  </w:style>
  <w:style w:type="character" w:customStyle="1" w:styleId="10">
    <w:name w:val="10"/>
    <w:basedOn w:val="DefaultParagraphFont"/>
  </w:style>
  <w:style w:type="character" w:customStyle="1" w:styleId="11">
    <w:name w:val="11"/>
    <w:basedOn w:val="DefaultParagraphFont"/>
  </w:style>
  <w:style w:type="character" w:customStyle="1" w:styleId="12">
    <w:name w:val="12"/>
    <w:basedOn w:val="DefaultParagraphFont"/>
  </w:style>
  <w:style w:type="character" w:customStyle="1" w:styleId="13">
    <w:name w:val="13"/>
    <w:basedOn w:val="DefaultParagraphFont"/>
  </w:style>
  <w:style w:type="character" w:customStyle="1" w:styleId="14">
    <w:name w:val="14"/>
    <w:basedOn w:val="DefaultParagraphFont"/>
  </w:style>
  <w:style w:type="character" w:customStyle="1" w:styleId="15">
    <w:name w:val="15"/>
    <w:basedOn w:val="DefaultParagraphFont"/>
  </w:style>
  <w:style w:type="paragraph" w:customStyle="1" w:styleId="16">
    <w:name w:val="16"/>
    <w:pPr>
      <w:keepNext/>
      <w:keepLines/>
      <w:widowControl w:val="0"/>
      <w:tabs>
        <w:tab w:val="left" w:pos="-720"/>
      </w:tabs>
      <w:suppressAutoHyphens/>
    </w:pPr>
    <w:rPr>
      <w:rFonts w:ascii="Book Antiqua" w:hAnsi="Book Antiqua"/>
      <w:snapToGrid w:val="0"/>
      <w:sz w:val="24"/>
    </w:rPr>
  </w:style>
  <w:style w:type="character" w:customStyle="1" w:styleId="17">
    <w:name w:val="17"/>
    <w:basedOn w:val="DefaultParagraphFont"/>
  </w:style>
  <w:style w:type="character" w:customStyle="1" w:styleId="18">
    <w:name w:val="18"/>
    <w:basedOn w:val="DefaultParagraphFont"/>
  </w:style>
  <w:style w:type="character" w:customStyle="1" w:styleId="19">
    <w:name w:val="19"/>
    <w:rPr>
      <w:rFonts w:ascii="Book Antiqua" w:hAnsi="Book Antiqua"/>
      <w:noProof w:val="0"/>
      <w:sz w:val="24"/>
      <w:lang w:val="en-US"/>
    </w:rPr>
  </w:style>
  <w:style w:type="character" w:customStyle="1" w:styleId="20a">
    <w:name w:val="20a"/>
    <w:rPr>
      <w:rFonts w:ascii="Book Antiqua" w:hAnsi="Book Antiqua"/>
      <w:noProof w:val="0"/>
      <w:sz w:val="24"/>
      <w:lang w:val="en-US"/>
    </w:rPr>
  </w:style>
  <w:style w:type="character" w:customStyle="1" w:styleId="21a">
    <w:name w:val="21a"/>
    <w:basedOn w:val="DefaultParagraphFont"/>
  </w:style>
  <w:style w:type="character" w:customStyle="1" w:styleId="22a">
    <w:name w:val="22a"/>
    <w:rPr>
      <w:rFonts w:ascii="Book Antiqua" w:hAnsi="Book Antiqua"/>
      <w:noProof w:val="0"/>
      <w:sz w:val="24"/>
      <w:lang w:val="en-US"/>
    </w:rPr>
  </w:style>
  <w:style w:type="character" w:customStyle="1" w:styleId="23a">
    <w:name w:val="23a"/>
    <w:basedOn w:val="DefaultParagraphFont"/>
  </w:style>
  <w:style w:type="character" w:customStyle="1" w:styleId="24a">
    <w:name w:val="24a"/>
    <w:basedOn w:val="DefaultParagraphFont"/>
  </w:style>
  <w:style w:type="character" w:customStyle="1" w:styleId="FormatDownl">
    <w:name w:val="Format Downl"/>
    <w:rPr>
      <w:rFonts w:ascii="Courier New" w:hAnsi="Courier New"/>
      <w:noProof w:val="0"/>
      <w:sz w:val="20"/>
      <w:lang w:val="en-US"/>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character" w:styleId="Hyperlink">
    <w:name w:val="Hyperlink"/>
    <w:rsid w:val="00CC6752"/>
    <w:rPr>
      <w:color w:val="0000FF"/>
      <w:u w:val="single"/>
    </w:rPr>
  </w:style>
  <w:style w:type="paragraph" w:styleId="BalloonText">
    <w:name w:val="Balloon Text"/>
    <w:basedOn w:val="Normal"/>
    <w:link w:val="BalloonTextChar"/>
    <w:rsid w:val="00BA4A03"/>
    <w:rPr>
      <w:rFonts w:ascii="Tahoma" w:hAnsi="Tahoma" w:cs="Tahoma"/>
      <w:sz w:val="16"/>
      <w:szCs w:val="16"/>
    </w:rPr>
  </w:style>
  <w:style w:type="character" w:customStyle="1" w:styleId="BalloonTextChar">
    <w:name w:val="Balloon Text Char"/>
    <w:link w:val="BalloonText"/>
    <w:rsid w:val="00BA4A03"/>
    <w:rPr>
      <w:rFonts w:ascii="Tahoma" w:hAnsi="Tahoma" w:cs="Tahoma"/>
      <w:snapToGrid w:val="0"/>
      <w:sz w:val="16"/>
      <w:szCs w:val="16"/>
    </w:rPr>
  </w:style>
  <w:style w:type="character" w:styleId="CommentReference">
    <w:name w:val="annotation reference"/>
    <w:basedOn w:val="DefaultParagraphFont"/>
    <w:rsid w:val="00D26242"/>
    <w:rPr>
      <w:sz w:val="16"/>
      <w:szCs w:val="16"/>
    </w:rPr>
  </w:style>
  <w:style w:type="paragraph" w:styleId="CommentText">
    <w:name w:val="annotation text"/>
    <w:basedOn w:val="Normal"/>
    <w:link w:val="CommentTextChar"/>
    <w:rsid w:val="00D26242"/>
    <w:rPr>
      <w:sz w:val="20"/>
    </w:rPr>
  </w:style>
  <w:style w:type="character" w:customStyle="1" w:styleId="CommentTextChar">
    <w:name w:val="Comment Text Char"/>
    <w:basedOn w:val="DefaultParagraphFont"/>
    <w:link w:val="CommentText"/>
    <w:rsid w:val="00D26242"/>
    <w:rPr>
      <w:rFonts w:ascii="Book Antiqua" w:hAnsi="Book Antiqua"/>
      <w:snapToGrid w:val="0"/>
    </w:rPr>
  </w:style>
  <w:style w:type="paragraph" w:styleId="CommentSubject">
    <w:name w:val="annotation subject"/>
    <w:basedOn w:val="CommentText"/>
    <w:next w:val="CommentText"/>
    <w:link w:val="CommentSubjectChar"/>
    <w:rsid w:val="00D26242"/>
    <w:rPr>
      <w:b/>
      <w:bCs/>
    </w:rPr>
  </w:style>
  <w:style w:type="character" w:customStyle="1" w:styleId="CommentSubjectChar">
    <w:name w:val="Comment Subject Char"/>
    <w:basedOn w:val="CommentTextChar"/>
    <w:link w:val="CommentSubject"/>
    <w:rsid w:val="00D26242"/>
    <w:rPr>
      <w:rFonts w:ascii="Book Antiqua" w:hAnsi="Book Antiqua"/>
      <w:b/>
      <w:bCs/>
      <w:snapToGrid w:val="0"/>
    </w:rPr>
  </w:style>
  <w:style w:type="paragraph" w:styleId="Revision">
    <w:name w:val="Revision"/>
    <w:hidden/>
    <w:uiPriority w:val="99"/>
    <w:semiHidden/>
    <w:rsid w:val="004C6B70"/>
    <w:rPr>
      <w:rFonts w:ascii="Book Antiqua" w:hAnsi="Book Antiqua"/>
      <w:snapToGrid w:val="0"/>
      <w:sz w:val="24"/>
    </w:rPr>
  </w:style>
  <w:style w:type="paragraph" w:styleId="ListParagraph">
    <w:name w:val="List Paragraph"/>
    <w:basedOn w:val="Normal"/>
    <w:uiPriority w:val="34"/>
    <w:qFormat/>
    <w:rsid w:val="004C1628"/>
    <w:pPr>
      <w:widowControl/>
      <w:ind w:left="720"/>
    </w:pPr>
    <w:rPr>
      <w:rFonts w:ascii="Calibri" w:hAnsi="Calibri"/>
      <w:snapToGrid/>
      <w:sz w:val="22"/>
      <w:szCs w:val="22"/>
    </w:rPr>
  </w:style>
  <w:style w:type="character" w:customStyle="1" w:styleId="FootnoteTextChar">
    <w:name w:val="Footnote Text Char"/>
    <w:aliases w:val="Footnote Text Char Char Char,Footnote Text Char Char3 Char Char,Footnote Text Char1 Char,Footnote Text Char1 Char Char Char Char,Footnote Text Char1 Char1 Char,Footnote Text Char2 Char,Footnote Text Char2 Char Char Char Char Char"/>
    <w:link w:val="FootnoteText"/>
    <w:semiHidden/>
    <w:rsid w:val="005B25E0"/>
    <w:rPr>
      <w:rFonts w:ascii="Book Antiqua" w:hAnsi="Book Antiqu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yperlink" Target="http://www.fcc.gov/omd/privacyact/Privacy_Impact_Assessment.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68389-3BC9-436C-944E-144EC0EA7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2657</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3060-0223</vt:lpstr>
    </vt:vector>
  </TitlesOfParts>
  <Company>FCC</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3060-0223</dc:title>
  <dc:creator>JSHAFFER</dc:creator>
  <cp:lastModifiedBy>Nicole Ongele</cp:lastModifiedBy>
  <cp:revision>2</cp:revision>
  <cp:lastPrinted>2011-07-11T19:13:00Z</cp:lastPrinted>
  <dcterms:created xsi:type="dcterms:W3CDTF">2024-11-12T14:06:00Z</dcterms:created>
  <dcterms:modified xsi:type="dcterms:W3CDTF">2024-11-12T14:06:00Z</dcterms:modified>
</cp:coreProperties>
</file>