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2348" w14:paraId="61449A55" w14:textId="0BF20855">
      <w:pPr>
        <w:pStyle w:val="Heading1"/>
        <w:rPr>
          <w:rFonts w:eastAsia="Times New Roman"/>
        </w:rPr>
      </w:pPr>
      <w:r>
        <w:rPr>
          <w:rFonts w:eastAsia="Times New Roman"/>
        </w:rPr>
        <w:t xml:space="preserve">2024 </w:t>
      </w:r>
      <w:r w:rsidR="00FE7888">
        <w:rPr>
          <w:rFonts w:eastAsia="Times New Roman"/>
        </w:rPr>
        <w:t>RNA Performance Survey</w:t>
      </w:r>
    </w:p>
    <w:p w:rsidR="006C2348" w14:paraId="1FE1A318" w14:textId="77777777">
      <w:pPr>
        <w:rPr>
          <w:rFonts w:eastAsia="Times New Roman"/>
        </w:rPr>
      </w:pPr>
      <w:r>
        <w:rPr>
          <w:rFonts w:eastAsia="Times New Roman"/>
          <w:noProof/>
        </w:rPr>
        <w:pict>
          <v:rect id="_x0000_i1025" style="width:468pt;height:0.05pt;mso-height-percent:0;mso-width-percent:0" o:hralign="center" o:hrstd="t" o:hr="t" fillcolor="#a0a0a0" stroked="f"/>
        </w:pict>
      </w:r>
    </w:p>
    <w:p w:rsidR="006C2348" w14:paraId="2E3A9EFF" w14:textId="77777777">
      <w:pPr>
        <w:pStyle w:val="Heading2"/>
        <w:rPr>
          <w:rFonts w:eastAsia="Times New Roman"/>
        </w:rPr>
      </w:pPr>
      <w:r>
        <w:rPr>
          <w:rFonts w:eastAsia="Times New Roman"/>
        </w:rPr>
        <w:t>Information Page</w:t>
      </w:r>
    </w:p>
    <w:p w:rsidR="006C2348" w14:paraId="19F256DC" w14:textId="2D63BF4B">
      <w:pPr>
        <w:pStyle w:val="Heading3"/>
        <w:rPr>
          <w:rFonts w:eastAsia="Times New Roman"/>
        </w:rPr>
      </w:pPr>
      <w:r>
        <w:rPr>
          <w:rFonts w:eastAsia="Times New Roman"/>
        </w:rPr>
        <w:t>OMB Control No. 3060-1307,</w:t>
      </w:r>
      <w:r>
        <w:rPr>
          <w:rFonts w:eastAsia="Times New Roman"/>
        </w:rPr>
        <w:br/>
      </w:r>
      <w:r w:rsidR="00C539B5">
        <w:rPr>
          <w:rFonts w:eastAsia="Times New Roman"/>
        </w:rPr>
        <w:t xml:space="preserve">[month, year] </w:t>
      </w:r>
      <w:r w:rsidR="005C2F96">
        <w:rPr>
          <w:rFonts w:eastAsia="Times New Roman"/>
        </w:rPr>
        <w:t>Not yet approved by OMB</w:t>
      </w:r>
      <w:r>
        <w:rPr>
          <w:rFonts w:eastAsia="Times New Roman"/>
        </w:rPr>
        <w:br/>
      </w:r>
      <w:r w:rsidR="00C539B5">
        <w:rPr>
          <w:rFonts w:eastAsia="Times New Roman"/>
        </w:rPr>
        <w:t xml:space="preserve">15 </w:t>
      </w:r>
      <w:r>
        <w:rPr>
          <w:rFonts w:eastAsia="Times New Roman"/>
        </w:rPr>
        <w:t>minutes per response</w:t>
      </w:r>
      <w:r>
        <w:rPr>
          <w:rFonts w:eastAsia="Times New Roman"/>
        </w:rPr>
        <w:br/>
        <w:t> </w:t>
      </w:r>
    </w:p>
    <w:p w:rsidR="006C2348" w14:paraId="00FAEE92" w14:textId="77777777">
      <w:pPr>
        <w:pStyle w:val="normaltext"/>
      </w:pPr>
    </w:p>
    <w:p w:rsidR="006C2348" w14:paraId="359F16CE" w14:textId="61A733BF">
      <w:pPr>
        <w:pStyle w:val="NormalWeb"/>
        <w:outlineLvl w:val="3"/>
        <w:rPr>
          <w:b/>
          <w:bCs/>
          <w:sz w:val="27"/>
          <w:szCs w:val="27"/>
        </w:rPr>
      </w:pPr>
      <w:r>
        <w:rPr>
          <w:rStyle w:val="Strong"/>
        </w:rPr>
        <w:t>PURPOSE:</w:t>
      </w:r>
      <w:r>
        <w:rPr>
          <w:b/>
          <w:bCs/>
        </w:rPr>
        <w:t xml:space="preserve"> The Numbering Administration Oversight Working Group (NAOWG) of the North American Numbering Council (NANC) seeks aggregated input from your organization as to the yearly performance of the Routing Number Administrator (RNA) services.  Responses to the questions contained in this survey are intended to provide information relative to your satisfaction with the performance of the RNA. </w:t>
      </w:r>
      <w:r>
        <w:rPr>
          <w:b/>
          <w:bCs/>
          <w:sz w:val="27"/>
          <w:szCs w:val="27"/>
        </w:rPr>
        <w:br/>
      </w:r>
      <w:r>
        <w:rPr>
          <w:b/>
          <w:bCs/>
          <w:sz w:val="27"/>
          <w:szCs w:val="27"/>
        </w:rPr>
        <w:br/>
      </w:r>
      <w:r w:rsidR="00567FCA">
        <w:rPr>
          <w:b/>
          <w:bCs/>
        </w:rPr>
        <w:t xml:space="preserve">Please note that while the NANPA, Pooling and Routing Number Administration functions have been combined, the websites and systems were separate until 4Q 2024. </w:t>
      </w:r>
      <w:r w:rsidR="009B4D90">
        <w:rPr>
          <w:b/>
          <w:bCs/>
        </w:rPr>
        <w:t xml:space="preserve"> </w:t>
      </w:r>
      <w:r w:rsidR="00567FCA">
        <w:rPr>
          <w:b/>
          <w:bCs/>
        </w:rPr>
        <w:t>Therefore,</w:t>
      </w:r>
      <w:r>
        <w:rPr>
          <w:b/>
          <w:bCs/>
        </w:rPr>
        <w:t xml:space="preserve"> this survey requests input on the performance of the </w:t>
      </w:r>
      <w:r>
        <w:rPr>
          <w:rStyle w:val="Strong"/>
          <w:color w:val="FF0000"/>
        </w:rPr>
        <w:t>Routing Number Administrator (</w:t>
      </w:r>
      <w:r>
        <w:rPr>
          <w:b/>
          <w:bCs/>
          <w:color w:val="FF0000"/>
        </w:rPr>
        <w:t>RNA)</w:t>
      </w:r>
      <w:r>
        <w:rPr>
          <w:b/>
          <w:bCs/>
        </w:rPr>
        <w:t xml:space="preserve">, and </w:t>
      </w:r>
      <w:r>
        <w:rPr>
          <w:b/>
          <w:bCs/>
          <w:u w:val="single"/>
        </w:rPr>
        <w:t>not</w:t>
      </w:r>
      <w:r>
        <w:rPr>
          <w:b/>
          <w:bCs/>
        </w:rPr>
        <w:t xml:space="preserve"> the Pooling Administrator (PA) or North American Numbering Plan Administrator (NANPA).</w:t>
      </w:r>
    </w:p>
    <w:p w:rsidR="006C2348" w14:paraId="333AA66B" w14:textId="5E91B023">
      <w:pPr>
        <w:pStyle w:val="NormalWeb"/>
        <w:outlineLvl w:val="3"/>
        <w:rPr>
          <w:b/>
          <w:bCs/>
          <w:sz w:val="27"/>
          <w:szCs w:val="27"/>
        </w:rPr>
      </w:pPr>
      <w:r>
        <w:rPr>
          <w:rStyle w:val="Strong"/>
        </w:rPr>
        <w:t>EVALUATION PERIOD:</w:t>
      </w:r>
      <w:r>
        <w:rPr>
          <w:b/>
          <w:bCs/>
        </w:rPr>
        <w:t xml:space="preserve"> January 1, 202</w:t>
      </w:r>
      <w:r w:rsidR="00F67AC8">
        <w:rPr>
          <w:b/>
          <w:bCs/>
        </w:rPr>
        <w:t>4</w:t>
      </w:r>
      <w:r>
        <w:rPr>
          <w:b/>
          <w:bCs/>
        </w:rPr>
        <w:t> through December 31, 202</w:t>
      </w:r>
      <w:r w:rsidR="00F67AC8">
        <w:rPr>
          <w:b/>
          <w:bCs/>
        </w:rPr>
        <w:t>4</w:t>
      </w:r>
      <w:r>
        <w:rPr>
          <w:b/>
          <w:bCs/>
        </w:rPr>
        <w:br/>
      </w:r>
      <w:r>
        <w:rPr>
          <w:b/>
          <w:bCs/>
        </w:rPr>
        <w:br/>
      </w:r>
      <w:r>
        <w:rPr>
          <w:rStyle w:val="Strong"/>
        </w:rPr>
        <w:t>SUBMISSION DEADLINE:</w:t>
      </w:r>
      <w:r>
        <w:rPr>
          <w:b/>
          <w:bCs/>
        </w:rPr>
        <w:t xml:space="preserve"> 5 PM ET, March 31, 202</w:t>
      </w:r>
      <w:r w:rsidR="00F67AC8">
        <w:rPr>
          <w:b/>
          <w:bCs/>
        </w:rPr>
        <w:t>5</w:t>
      </w:r>
      <w:r>
        <w:rPr>
          <w:b/>
          <w:bCs/>
        </w:rPr>
        <w:br/>
      </w:r>
      <w:r>
        <w:rPr>
          <w:b/>
          <w:bCs/>
        </w:rPr>
        <w:br/>
      </w:r>
      <w:r>
        <w:rPr>
          <w:rStyle w:val="Strong"/>
        </w:rPr>
        <w:t>QUALIFICATION:</w:t>
      </w:r>
      <w:r>
        <w:rPr>
          <w:b/>
          <w:bCs/>
        </w:rPr>
        <w:t> Respondents are asked to submit only one (aggregated) survey per functional entity, e.g., per service provider</w:t>
      </w:r>
      <w:r w:rsidR="004F0B9C">
        <w:rPr>
          <w:b/>
          <w:bCs/>
        </w:rPr>
        <w:t>/other RNA user</w:t>
      </w:r>
      <w:r>
        <w:rPr>
          <w:b/>
          <w:bCs/>
        </w:rPr>
        <w:t xml:space="preserve"> or per </w:t>
      </w:r>
      <w:r w:rsidR="004F0B9C">
        <w:rPr>
          <w:b/>
          <w:bCs/>
        </w:rPr>
        <w:t xml:space="preserve">state or territorial </w:t>
      </w:r>
      <w:r>
        <w:rPr>
          <w:b/>
          <w:bCs/>
        </w:rPr>
        <w:t>regulatory agency.  </w:t>
      </w:r>
      <w:r w:rsidR="00F168DC">
        <w:rPr>
          <w:b/>
          <w:bCs/>
        </w:rPr>
        <w:t xml:space="preserve"> </w:t>
      </w:r>
      <w:r>
        <w:rPr>
          <w:b/>
          <w:bCs/>
        </w:rPr>
        <w:t xml:space="preserve">If multiple surveys for an entity are received, the NAOWG will consolidate the responses </w:t>
      </w:r>
      <w:r w:rsidR="00E51764">
        <w:rPr>
          <w:b/>
          <w:bCs/>
        </w:rPr>
        <w:t xml:space="preserve">to ensure </w:t>
      </w:r>
      <w:r>
        <w:rPr>
          <w:b/>
          <w:bCs/>
        </w:rPr>
        <w:t xml:space="preserve">that one response per entity </w:t>
      </w:r>
      <w:r w:rsidR="00F168DC">
        <w:rPr>
          <w:b/>
          <w:bCs/>
        </w:rPr>
        <w:t xml:space="preserve">type </w:t>
      </w:r>
      <w:r>
        <w:rPr>
          <w:b/>
          <w:bCs/>
        </w:rPr>
        <w:t>is counted.</w:t>
      </w:r>
      <w:r>
        <w:rPr>
          <w:b/>
          <w:bCs/>
          <w:sz w:val="27"/>
          <w:szCs w:val="27"/>
        </w:rPr>
        <w:br/>
      </w:r>
      <w:r>
        <w:rPr>
          <w:b/>
          <w:bCs/>
          <w:sz w:val="27"/>
          <w:szCs w:val="27"/>
        </w:rPr>
        <w:br/>
      </w:r>
      <w:r>
        <w:rPr>
          <w:rStyle w:val="Strong"/>
        </w:rPr>
        <w:t>SURVEY DESCRIPTION:</w:t>
      </w:r>
      <w:r>
        <w:rPr>
          <w:b/>
          <w:bCs/>
        </w:rPr>
        <w:t> Your satisfaction ratings will be combined with all other survey responses for each of the questions.  Your comments recorded in the comment box at the end of the survey are strongly encouraged, especially if a rating of "Not Met" has been selected.  Specific examples of your experiences with the RNA will provide valuable information concerning current processes that are working well and in identifying areas where process improvements are needed.</w:t>
      </w:r>
    </w:p>
    <w:p w:rsidR="006C2348" w14:paraId="6C0F240B" w14:textId="77777777">
      <w:pPr>
        <w:pStyle w:val="NormalWeb"/>
        <w:outlineLvl w:val="3"/>
        <w:rPr>
          <w:b/>
          <w:bCs/>
          <w:sz w:val="27"/>
          <w:szCs w:val="27"/>
        </w:rPr>
      </w:pPr>
      <w:r>
        <w:rPr>
          <w:b/>
          <w:bCs/>
        </w:rPr>
        <w:t>Please complete all fields marked with an asterisk "*".</w:t>
      </w:r>
    </w:p>
    <w:p w:rsidR="007F38DB" w14:paraId="31319776" w14:textId="77777777">
      <w:pPr>
        <w:pStyle w:val="NormalWeb"/>
        <w:outlineLvl w:val="3"/>
        <w:rPr>
          <w:rStyle w:val="Strong"/>
        </w:rPr>
      </w:pPr>
    </w:p>
    <w:p w:rsidR="006C2348" w14:paraId="1BE6BDA6" w14:textId="7A4481B9">
      <w:pPr>
        <w:pStyle w:val="NormalWeb"/>
        <w:outlineLvl w:val="3"/>
        <w:rPr>
          <w:b/>
          <w:bCs/>
          <w:sz w:val="27"/>
          <w:szCs w:val="27"/>
        </w:rPr>
      </w:pPr>
      <w:r>
        <w:rPr>
          <w:rStyle w:val="Strong"/>
        </w:rPr>
        <w:t>FURTHER INFORMATION:</w:t>
      </w:r>
      <w:r>
        <w:rPr>
          <w:b/>
          <w:bCs/>
        </w:rPr>
        <w:t xml:space="preserve"> Direct all inquiries to the following NAOWG contacts:</w:t>
      </w:r>
      <w:r>
        <w:rPr>
          <w:b/>
          <w:bCs/>
          <w:sz w:val="27"/>
          <w:szCs w:val="27"/>
        </w:rPr>
        <w:br/>
      </w:r>
      <w:r>
        <w:rPr>
          <w:b/>
          <w:bCs/>
          <w:sz w:val="27"/>
          <w:szCs w:val="27"/>
        </w:rPr>
        <w:br/>
      </w:r>
      <w:r>
        <w:rPr>
          <w:b/>
          <w:bCs/>
        </w:rPr>
        <w:t xml:space="preserve">Philip Linse                           Karen </w:t>
      </w:r>
      <w:r>
        <w:rPr>
          <w:b/>
          <w:bCs/>
        </w:rPr>
        <w:t>Riepenkroger</w:t>
      </w:r>
      <w:r>
        <w:rPr>
          <w:b/>
          <w:bCs/>
        </w:rPr>
        <w:t>                                   Lara Walt</w:t>
      </w:r>
      <w:r>
        <w:rPr>
          <w:b/>
          <w:bCs/>
          <w:sz w:val="27"/>
          <w:szCs w:val="27"/>
        </w:rPr>
        <w:br/>
      </w:r>
      <w:r>
        <w:rPr>
          <w:b/>
          <w:bCs/>
        </w:rPr>
        <w:t>Lumen                                   T-Mobile                                                     Public Service Commission of the </w:t>
      </w:r>
      <w:r>
        <w:rPr>
          <w:b/>
          <w:bCs/>
        </w:rPr>
        <w:br/>
        <w:t>303-707-3844                        913-315-8546                                                District of Columbia </w:t>
      </w:r>
      <w:r>
        <w:rPr>
          <w:b/>
          <w:bCs/>
        </w:rPr>
        <w:br/>
        <w:t>philip.linse@lumen.com        karen.s.riepenkroger@t-mobile.com         202-626-9191                    </w:t>
      </w:r>
      <w:r>
        <w:rPr>
          <w:b/>
          <w:bCs/>
        </w:rPr>
        <w:br/>
        <w:t>                                                                                                                lwalt@psc.dc.gov</w:t>
      </w:r>
      <w:r>
        <w:rPr>
          <w:b/>
          <w:bCs/>
          <w:sz w:val="27"/>
          <w:szCs w:val="27"/>
        </w:rPr>
        <w:br/>
      </w:r>
      <w:r>
        <w:rPr>
          <w:b/>
          <w:bCs/>
          <w:sz w:val="27"/>
          <w:szCs w:val="27"/>
        </w:rPr>
        <w:br/>
      </w:r>
      <w:r>
        <w:rPr>
          <w:b/>
          <w:bCs/>
          <w:sz w:val="27"/>
          <w:szCs w:val="27"/>
        </w:rPr>
        <w:br/>
      </w:r>
      <w:r>
        <w:rPr>
          <w:rStyle w:val="Strong"/>
        </w:rPr>
        <w:t>SURVEY RESULTS:</w:t>
      </w:r>
    </w:p>
    <w:p w:rsidR="006C2348" w14:paraId="7E064252" w14:textId="40E9F0D9">
      <w:pPr>
        <w:pStyle w:val="NormalWeb"/>
        <w:outlineLvl w:val="3"/>
        <w:rPr>
          <w:b/>
          <w:bCs/>
          <w:sz w:val="27"/>
          <w:szCs w:val="27"/>
        </w:rPr>
      </w:pPr>
      <w:r>
        <w:rPr>
          <w:b/>
          <w:bCs/>
        </w:rPr>
        <w:t xml:space="preserve">Overall survey results will be incorporated into the NANPA/PA/RNA </w:t>
      </w:r>
      <w:r w:rsidR="007F38DB">
        <w:rPr>
          <w:b/>
          <w:bCs/>
        </w:rPr>
        <w:t>2024 </w:t>
      </w:r>
      <w:r>
        <w:rPr>
          <w:rStyle w:val="Emphasis"/>
          <w:b/>
          <w:bCs/>
        </w:rPr>
        <w:t>Performance Evaluation Report</w:t>
      </w:r>
      <w:r>
        <w:rPr>
          <w:b/>
          <w:bCs/>
        </w:rPr>
        <w:t xml:space="preserve"> and will be posted at </w:t>
      </w:r>
      <w:hyperlink r:id="rId4" w:history="1">
        <w:r>
          <w:rPr>
            <w:rStyle w:val="Hyperlink"/>
            <w:b/>
            <w:bCs/>
            <w:color w:val="0563C1"/>
            <w:sz w:val="18"/>
            <w:szCs w:val="18"/>
          </w:rPr>
          <w:t>NANC - North American Numbering Council (nanc-chair.org)</w:t>
        </w:r>
      </w:hyperlink>
      <w:r>
        <w:rPr>
          <w:b/>
          <w:bCs/>
          <w:sz w:val="18"/>
          <w:szCs w:val="18"/>
        </w:rPr>
        <w:t>.</w:t>
      </w:r>
      <w:r>
        <w:rPr>
          <w:b/>
          <w:bCs/>
          <w:sz w:val="27"/>
          <w:szCs w:val="27"/>
        </w:rPr>
        <w:br/>
      </w:r>
      <w:r>
        <w:rPr>
          <w:b/>
          <w:bCs/>
          <w:sz w:val="27"/>
          <w:szCs w:val="27"/>
        </w:rPr>
        <w:br/>
      </w:r>
      <w:r>
        <w:rPr>
          <w:b/>
          <w:bCs/>
          <w:sz w:val="27"/>
          <w:szCs w:val="27"/>
        </w:rPr>
        <w:br/>
      </w:r>
      <w:r>
        <w:rPr>
          <w:b/>
          <w:bCs/>
          <w:sz w:val="21"/>
          <w:szCs w:val="21"/>
        </w:rPr>
        <w:t xml:space="preserve">We have estimated that your response to this collection of information will take an average of </w:t>
      </w:r>
      <w:r w:rsidR="00E11DD2">
        <w:rPr>
          <w:b/>
          <w:bCs/>
          <w:sz w:val="21"/>
          <w:szCs w:val="21"/>
        </w:rPr>
        <w:t xml:space="preserve">15 </w:t>
      </w:r>
      <w:r>
        <w:rPr>
          <w:b/>
          <w:bCs/>
          <w:sz w:val="21"/>
          <w:szCs w:val="21"/>
        </w:rPr>
        <w:t>minutes. Our estimate includes the time to</w:t>
      </w:r>
      <w:r w:rsidR="00685F87">
        <w:rPr>
          <w:b/>
          <w:bCs/>
          <w:sz w:val="21"/>
          <w:szCs w:val="21"/>
        </w:rPr>
        <w:t xml:space="preserve"> log into the website,</w:t>
      </w:r>
      <w:r>
        <w:rPr>
          <w:b/>
          <w:bCs/>
          <w:sz w:val="21"/>
          <w:szCs w:val="21"/>
        </w:rPr>
        <w:t xml:space="preserve"> read the instructions, look through existing records, gather and maintain required data, and actually complete and review the response. If you have any comments on this estimate, or on how we can improve the collection and reduce the burden it causes you, please write the Federal Communications Commission, Office of Managing Director, AMD-PPM, Washington, DC 20554, Paperwork Reduction Act Project (3060-1307). We will also accept your PRA comments via the Internet if you send an e-mail to PRA@fcc.gov.</w:t>
      </w:r>
      <w:r>
        <w:rPr>
          <w:b/>
          <w:bCs/>
          <w:sz w:val="27"/>
          <w:szCs w:val="27"/>
        </w:rPr>
        <w:br/>
      </w:r>
      <w:r>
        <w:rPr>
          <w:b/>
          <w:bCs/>
          <w:sz w:val="27"/>
          <w:szCs w:val="27"/>
        </w:rPr>
        <w:br/>
      </w:r>
      <w:r>
        <w:rPr>
          <w:b/>
          <w:bCs/>
          <w:sz w:val="21"/>
          <w:szCs w:val="21"/>
        </w:rPr>
        <w:t>Please DO NOT SEND COMPLETED SURVEYS 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of 3060-1307.  THIS NOTICE IS REQUIRED BY THE PAPERWORK REDUCTION ACT OF 1995,</w:t>
      </w:r>
      <w:r>
        <w:rPr>
          <w:b/>
          <w:bCs/>
          <w:sz w:val="21"/>
          <w:szCs w:val="21"/>
        </w:rPr>
        <w:br/>
        <w:t>PUBLIC LAW 104-13, OCTOBER 1, 1995, 44 U.S.C. SECTION 3507.</w:t>
      </w:r>
      <w:r>
        <w:rPr>
          <w:b/>
          <w:bCs/>
          <w:sz w:val="21"/>
          <w:szCs w:val="21"/>
        </w:rPr>
        <w:br/>
      </w:r>
      <w:r>
        <w:rPr>
          <w:b/>
          <w:bCs/>
          <w:sz w:val="21"/>
          <w:szCs w:val="21"/>
        </w:rPr>
        <w:br/>
      </w:r>
      <w:r>
        <w:rPr>
          <w:rStyle w:val="Strong"/>
          <w:sz w:val="21"/>
          <w:szCs w:val="21"/>
        </w:rPr>
        <w:t>                                                                                         Privacy Act Statement </w:t>
      </w:r>
      <w:r>
        <w:rPr>
          <w:b/>
          <w:bCs/>
          <w:sz w:val="21"/>
          <w:szCs w:val="21"/>
        </w:rPr>
        <w:br/>
        <w:t>Authority: The Commission is authorized to pursue this collection pursuant to the authority contained in 47 U.S.C. §§ 151, 152, 154 (i)-(j) &amp; (o), 155, 251(e)(1) &amp; (3), 254, 257, 301, 303, 332, 402, 1302; and 5 U.S.C. §§ 602(c) and 609(a)(3). </w:t>
      </w:r>
      <w:r>
        <w:rPr>
          <w:b/>
          <w:bCs/>
          <w:sz w:val="21"/>
          <w:szCs w:val="21"/>
        </w:rPr>
        <w:br/>
      </w:r>
      <w:r>
        <w:rPr>
          <w:b/>
          <w:bCs/>
          <w:sz w:val="21"/>
          <w:szCs w:val="21"/>
        </w:rPr>
        <w:br/>
      </w:r>
      <w:r>
        <w:rPr>
          <w:rStyle w:val="Strong"/>
          <w:sz w:val="21"/>
          <w:szCs w:val="21"/>
        </w:rPr>
        <w:t>Purpose:</w:t>
      </w:r>
      <w:r>
        <w:rPr>
          <w:b/>
          <w:bCs/>
          <w:sz w:val="21"/>
          <w:szCs w:val="21"/>
        </w:rPr>
        <w:t xml:space="preserve"> The purpose of this performance satisfaction survey is to provide input for the annual performance evaluation report of the Federal Communications Commission (FCC) vendor(s) acting as administrator for telephone number management functions. These functions may be performed by one or multiple vendors under one or multiple contracts.  The relevant vendor contract(s) require that the FCC and/or its designee shall develop and conduct a performance survey for the administrator.  The results of this customer satisfaction survey will provide FCC with indicators regarding how well the vendor(s) are acting as administrator.  At least a portion of the survey results will be incorporated into the annual performance evaluation report.  The survey will collect personally identifiable information (PII) in the form of the survey respondents’ business contact information, including the name of entity representative submitting the survey.  This PII needs to be collected to help monitor the accuracy of the survey, facilitate sending the respondent a copy of the survey, and allow any necessary follow-up communications with the respondent. </w:t>
      </w:r>
      <w:r>
        <w:rPr>
          <w:b/>
          <w:bCs/>
          <w:sz w:val="21"/>
          <w:szCs w:val="21"/>
        </w:rPr>
        <w:br/>
      </w:r>
      <w:r>
        <w:rPr>
          <w:b/>
          <w:bCs/>
          <w:sz w:val="21"/>
          <w:szCs w:val="21"/>
        </w:rPr>
        <w:br/>
      </w:r>
      <w:r>
        <w:rPr>
          <w:rStyle w:val="Strong"/>
          <w:sz w:val="21"/>
          <w:szCs w:val="21"/>
        </w:rPr>
        <w:t>Routine Uses:</w:t>
      </w:r>
      <w:r>
        <w:rPr>
          <w:b/>
          <w:bCs/>
          <w:sz w:val="21"/>
          <w:szCs w:val="21"/>
        </w:rPr>
        <w:t>  The FCC may release information provided in this form to individuals and entities when necessary and appropriate under 5 U.S.C. § 552a(b) of the Privacy Act to: the public in FCC releases of notices or actions or when required to comply with federal laws or FCC regulations requiring public disclosure of the information contained in our records; to third parties, including individuals and businesses in the communications industry and public safety, FCC vendors and their contractors, and to other federal agencies or state, local, U.S. territorial, and Tribal government entities to administer, support, participate in, or receive information related to, FCC programs and activities; or to ensure compliance with the confidentiality and other rules regarding information sharing in the FCC’s programs and activities; to other federal agencies or to other administrative or adjudicative bodies before which the FCC is authorized to appear; to federal, state, or local law enforcement when FCC becomes aware of an indication of a violation or potential violation of a civil or criminal statute, law, regulation, or order; to Federal agencies, non-Federal entities, their employees, and agents for the purpose of detecting and preventing fraud, waste, and abuse in Federal programs; to non-federal personnel, including contractors, grantees, and volunteers who have been engaged to assist the FCC in the performance of a contract service, grant, cooperative agreement, or other activity related to this system of records and who need to have access to the records in order to perform their activity; and, to  appropriate agencies, entities, and persons when the FCC suspects or has confirmed that there has been a breach of information related to this system.  </w:t>
      </w:r>
      <w:r>
        <w:rPr>
          <w:b/>
          <w:bCs/>
          <w:sz w:val="21"/>
          <w:szCs w:val="21"/>
        </w:rPr>
        <w:br/>
      </w:r>
      <w:r>
        <w:rPr>
          <w:b/>
          <w:bCs/>
          <w:sz w:val="21"/>
          <w:szCs w:val="21"/>
        </w:rPr>
        <w:br/>
        <w:t>A complete list of the routine uses can be found in the system of records notice associated with this collection, FCC-2, Business Contacts and Certifications, posted at https://www.fcc.gov/managing-director/privacy-transparency/privacy-act-information. </w:t>
      </w:r>
      <w:r>
        <w:rPr>
          <w:b/>
          <w:bCs/>
          <w:sz w:val="21"/>
          <w:szCs w:val="21"/>
        </w:rPr>
        <w:br/>
      </w:r>
      <w:r>
        <w:rPr>
          <w:b/>
          <w:bCs/>
          <w:sz w:val="21"/>
          <w:szCs w:val="21"/>
        </w:rPr>
        <w:br/>
      </w:r>
      <w:r>
        <w:rPr>
          <w:rStyle w:val="Strong"/>
          <w:sz w:val="21"/>
          <w:szCs w:val="21"/>
        </w:rPr>
        <w:t>Disclosure:</w:t>
      </w:r>
      <w:r>
        <w:rPr>
          <w:b/>
          <w:bCs/>
          <w:sz w:val="21"/>
          <w:szCs w:val="21"/>
        </w:rPr>
        <w:t xml:space="preserve"> Responding to this survey is voluntary.  However, if you do not respond, it will harm the ability of the FCC to evaluate the vendor(s) performance pursuant to their contracts and the FCC will lack the necessary information to modify the vendor(s) policies and procedures.  This will, in turn, harm the FCC’s ability to meet its policy goals related to numbering. </w:t>
      </w:r>
    </w:p>
    <w:p w:rsidR="006C2348" w14:paraId="512B4CC2" w14:textId="77777777">
      <w:pPr>
        <w:pStyle w:val="NormalWeb"/>
        <w:spacing w:after="240" w:afterAutospacing="0"/>
      </w:pPr>
    </w:p>
    <w:p w:rsidR="006C2348" w14:paraId="052C89D1" w14:textId="77777777">
      <w:pPr>
        <w:rPr>
          <w:rFonts w:eastAsia="Times New Roman"/>
        </w:rPr>
      </w:pPr>
      <w:r>
        <w:rPr>
          <w:rFonts w:eastAsia="Times New Roman"/>
          <w:noProof/>
        </w:rPr>
        <w:pict>
          <v:rect id="_x0000_i1026" style="width:468pt;height:0.05pt;mso-height-percent:0;mso-width-percent:0" o:hralign="center" o:hrstd="t" o:hr="t" fillcolor="#a0a0a0" stroked="f"/>
        </w:pict>
      </w:r>
    </w:p>
    <w:p w:rsidR="006C2348" w14:paraId="18AFDA84" w14:textId="77777777">
      <w:pPr>
        <w:pStyle w:val="Heading2"/>
        <w:rPr>
          <w:rFonts w:eastAsia="Times New Roman"/>
        </w:rPr>
      </w:pPr>
      <w:r>
        <w:rPr>
          <w:rFonts w:eastAsia="Times New Roman"/>
        </w:rPr>
        <w:t>Contact Information</w:t>
      </w:r>
    </w:p>
    <w:p w:rsidR="006C2348" w14:paraId="2D5EA749" w14:textId="77777777">
      <w:pPr>
        <w:pStyle w:val="normaltext"/>
      </w:pPr>
    </w:p>
    <w:p w:rsidR="006C2348" w14:paraId="2344713D" w14:textId="77777777">
      <w:pPr>
        <w:pStyle w:val="Heading3"/>
        <w:rPr>
          <w:rFonts w:eastAsia="Times New Roman"/>
        </w:rPr>
      </w:pPr>
      <w:r>
        <w:rPr>
          <w:rFonts w:eastAsia="Times New Roman"/>
        </w:rPr>
        <w:t>Your input will not be reviewed unless the following contact information is provided.</w:t>
      </w:r>
    </w:p>
    <w:p w:rsidR="006C2348" w14:paraId="13B90336" w14:textId="69C97980">
      <w:pPr>
        <w:pStyle w:val="normaltext"/>
      </w:pPr>
      <w:r>
        <w:t>Full Name of Entity*: _________________________________________________</w:t>
      </w:r>
    </w:p>
    <w:p w:rsidR="006C2348" w14:paraId="3BBCDE1F" w14:textId="77777777">
      <w:pPr>
        <w:pStyle w:val="normaltext"/>
      </w:pPr>
      <w:r>
        <w:t>First &amp; Last Name of Contact*: _________________________________________________</w:t>
      </w:r>
    </w:p>
    <w:p w:rsidR="006C2348" w14:paraId="57A22B3E" w14:textId="77777777">
      <w:pPr>
        <w:pStyle w:val="normaltext"/>
      </w:pPr>
      <w:r>
        <w:t>Street Address*: _________________________________________________</w:t>
      </w:r>
    </w:p>
    <w:p w:rsidR="006C2348" w14:paraId="0361DD84" w14:textId="77777777">
      <w:pPr>
        <w:pStyle w:val="normaltext"/>
      </w:pPr>
      <w:r>
        <w:t>City*: _________________________________________________</w:t>
      </w:r>
    </w:p>
    <w:p w:rsidR="006C2348" w14:paraId="5C7BCB52" w14:textId="77777777">
      <w:pPr>
        <w:pStyle w:val="normaltext"/>
      </w:pPr>
      <w:r>
        <w:t>State*: _________________________________________________</w:t>
      </w:r>
    </w:p>
    <w:p w:rsidR="006C2348" w14:paraId="1433F5BD" w14:textId="77777777">
      <w:pPr>
        <w:pStyle w:val="normaltext"/>
      </w:pPr>
      <w:r>
        <w:t>Zip*: _________________________________________________</w:t>
      </w:r>
    </w:p>
    <w:p w:rsidR="006C2348" w14:paraId="28670B2F" w14:textId="77777777">
      <w:pPr>
        <w:pStyle w:val="normaltext"/>
      </w:pPr>
      <w:r>
        <w:t>Phone Number*: _________________________________________________</w:t>
      </w:r>
    </w:p>
    <w:p w:rsidR="006C2348" w14:paraId="1424D468" w14:textId="77777777">
      <w:pPr>
        <w:pStyle w:val="normaltext"/>
      </w:pPr>
      <w:r>
        <w:t>Email Address*: _________________________________________________</w:t>
      </w:r>
    </w:p>
    <w:p w:rsidR="006C2348" w14:paraId="63F55473" w14:textId="77777777">
      <w:pPr>
        <w:pStyle w:val="NormalWeb"/>
        <w:spacing w:after="240" w:afterAutospacing="0"/>
      </w:pPr>
    </w:p>
    <w:p w:rsidR="006C2348" w14:paraId="55B5A23B" w14:textId="77777777">
      <w:pPr>
        <w:pStyle w:val="Heading4"/>
        <w:rPr>
          <w:rFonts w:eastAsia="Times New Roman"/>
        </w:rPr>
      </w:pPr>
      <w:r>
        <w:rPr>
          <w:rFonts w:eastAsia="Times New Roman"/>
        </w:rPr>
        <w:t>At the end of this survey, would you like to receive a copy of your responses via email?*</w:t>
      </w:r>
    </w:p>
    <w:p w:rsidR="006C2348" w14:paraId="341DA533" w14:textId="77777777">
      <w:pPr>
        <w:pStyle w:val="normaltext"/>
      </w:pPr>
      <w:r>
        <w:t>( ) Yes</w:t>
      </w:r>
    </w:p>
    <w:p w:rsidR="006C2348" w14:paraId="7057615A" w14:textId="77777777">
      <w:pPr>
        <w:pStyle w:val="normaltext"/>
      </w:pPr>
      <w:r>
        <w:t>( ) No</w:t>
      </w:r>
    </w:p>
    <w:p w:rsidR="006C2348" w14:paraId="633EB301" w14:textId="77777777">
      <w:pPr>
        <w:pStyle w:val="NormalWeb"/>
        <w:spacing w:after="240" w:afterAutospacing="0"/>
      </w:pPr>
    </w:p>
    <w:p w:rsidR="006C2348" w14:paraId="77660A32" w14:textId="77777777">
      <w:pPr>
        <w:rPr>
          <w:rFonts w:eastAsia="Times New Roman"/>
        </w:rPr>
      </w:pPr>
      <w:r>
        <w:rPr>
          <w:rFonts w:eastAsia="Times New Roman"/>
          <w:noProof/>
        </w:rPr>
        <w:pict>
          <v:rect id="_x0000_i1027" style="width:468pt;height:0.05pt;mso-height-percent:0;mso-width-percent:0" o:hralign="center" o:hrstd="t" o:hr="t" fillcolor="#a0a0a0" stroked="f"/>
        </w:pict>
      </w:r>
    </w:p>
    <w:p w:rsidR="006C2348" w14:paraId="20A22264" w14:textId="77777777">
      <w:pPr>
        <w:pStyle w:val="Heading2"/>
        <w:rPr>
          <w:rFonts w:eastAsia="Times New Roman"/>
        </w:rPr>
      </w:pPr>
      <w:r>
        <w:rPr>
          <w:rFonts w:eastAsia="Times New Roman"/>
        </w:rPr>
        <w:t>Email page</w:t>
      </w:r>
    </w:p>
    <w:p w:rsidR="006C2348" w14:paraId="070E247B" w14:textId="77777777">
      <w:pPr>
        <w:pStyle w:val="normaltext"/>
      </w:pPr>
    </w:p>
    <w:p w:rsidR="006C2348" w14:paraId="449A4778" w14:textId="77777777">
      <w:pPr>
        <w:pStyle w:val="Heading3"/>
        <w:rPr>
          <w:rFonts w:eastAsia="Times New Roman"/>
        </w:rPr>
      </w:pPr>
      <w:r>
        <w:rPr>
          <w:rFonts w:eastAsia="Times New Roman"/>
        </w:rPr>
        <w:t>Please enter the email address to which you would like the survey copy delivered.</w:t>
      </w:r>
    </w:p>
    <w:p w:rsidR="006C2348" w14:paraId="6DB496B1" w14:textId="77777777">
      <w:pPr>
        <w:pStyle w:val="normaltext"/>
      </w:pPr>
      <w:r>
        <w:t>_________________________________________________</w:t>
      </w:r>
    </w:p>
    <w:p w:rsidR="006C2348" w14:paraId="4405E4CF" w14:textId="77777777">
      <w:pPr>
        <w:pStyle w:val="NormalWeb"/>
        <w:spacing w:after="240" w:afterAutospacing="0"/>
      </w:pPr>
    </w:p>
    <w:p w:rsidR="006C2348" w14:paraId="3127B13E" w14:textId="77777777">
      <w:pPr>
        <w:rPr>
          <w:rFonts w:eastAsia="Times New Roman"/>
        </w:rPr>
      </w:pPr>
      <w:r>
        <w:rPr>
          <w:rFonts w:eastAsia="Times New Roman"/>
          <w:noProof/>
        </w:rPr>
        <w:pict>
          <v:rect id="_x0000_i1028" style="width:468pt;height:0.05pt;mso-height-percent:0;mso-width-percent:0" o:hralign="center" o:hrstd="t" o:hr="t" fillcolor="#a0a0a0" stroked="f"/>
        </w:pict>
      </w:r>
    </w:p>
    <w:p w:rsidR="006C2348" w14:paraId="5AC75B68" w14:textId="714722BA">
      <w:pPr>
        <w:pStyle w:val="Heading2"/>
        <w:rPr>
          <w:rFonts w:eastAsia="Times New Roman"/>
        </w:rPr>
      </w:pPr>
      <w:r>
        <w:rPr>
          <w:rFonts w:eastAsia="Times New Roman"/>
        </w:rPr>
        <w:t xml:space="preserve">Type of Entity </w:t>
      </w:r>
    </w:p>
    <w:p w:rsidR="006C2348" w14:paraId="2D0A945A" w14:textId="77777777">
      <w:pPr>
        <w:pStyle w:val="normaltext"/>
      </w:pPr>
    </w:p>
    <w:p w:rsidR="006C2348" w14:paraId="09EA05EF" w14:textId="510C23BE">
      <w:pPr>
        <w:pStyle w:val="Heading4"/>
        <w:rPr>
          <w:rFonts w:eastAsia="Times New Roman"/>
        </w:rPr>
      </w:pPr>
      <w:r>
        <w:rPr>
          <w:rFonts w:eastAsia="Times New Roman"/>
        </w:rPr>
        <w:t>Type of Entity (please check one)*</w:t>
      </w:r>
    </w:p>
    <w:p w:rsidR="006C2348" w14:paraId="71F24F01" w14:textId="59C418B2">
      <w:pPr>
        <w:pStyle w:val="normaltext"/>
      </w:pPr>
      <w:r>
        <w:t xml:space="preserve">( ) </w:t>
      </w:r>
      <w:r w:rsidR="000B3C59">
        <w:t xml:space="preserve">Service Provider or Other </w:t>
      </w:r>
      <w:r w:rsidR="009763B7">
        <w:t>RNA</w:t>
      </w:r>
      <w:r w:rsidR="000B3C59">
        <w:t xml:space="preserve"> user that is not a State or Territorial Regulatory Agency</w:t>
      </w:r>
    </w:p>
    <w:p w:rsidR="006C2348" w14:paraId="77CDC781" w14:textId="52F45B5A">
      <w:pPr>
        <w:pStyle w:val="normaltext"/>
      </w:pPr>
      <w:r>
        <w:t xml:space="preserve">( ) State </w:t>
      </w:r>
      <w:r w:rsidR="00A556F5">
        <w:t xml:space="preserve">or Territorial </w:t>
      </w:r>
      <w:r>
        <w:t xml:space="preserve">Regulatory </w:t>
      </w:r>
      <w:r w:rsidR="000B3C59">
        <w:t>Agency</w:t>
      </w:r>
    </w:p>
    <w:p w:rsidR="006C2348" w14:paraId="2C6BA0AB" w14:textId="77777777">
      <w:pPr>
        <w:pStyle w:val="NormalWeb"/>
        <w:spacing w:after="240" w:afterAutospacing="0"/>
      </w:pPr>
    </w:p>
    <w:p w:rsidR="006C2348" w14:paraId="37FF7CE4" w14:textId="77777777">
      <w:pPr>
        <w:rPr>
          <w:rFonts w:eastAsia="Times New Roman"/>
        </w:rPr>
      </w:pPr>
      <w:r>
        <w:rPr>
          <w:rFonts w:eastAsia="Times New Roman"/>
          <w:noProof/>
        </w:rPr>
        <w:pict>
          <v:rect id="_x0000_i1029" style="width:468pt;height:0.05pt;mso-height-percent:0;mso-width-percent:0" o:hralign="center" o:hrstd="t" o:hr="t" fillcolor="#a0a0a0" stroked="f"/>
        </w:pict>
      </w:r>
    </w:p>
    <w:p w:rsidR="007F38DB" w14:paraId="4151585B" w14:textId="77777777">
      <w:pPr>
        <w:pStyle w:val="Heading2"/>
        <w:rPr>
          <w:rFonts w:eastAsia="Times New Roman"/>
        </w:rPr>
      </w:pPr>
    </w:p>
    <w:p w:rsidR="007F38DB" w14:paraId="6906832E" w14:textId="77777777">
      <w:pPr>
        <w:pStyle w:val="Heading2"/>
        <w:rPr>
          <w:rFonts w:eastAsia="Times New Roman"/>
        </w:rPr>
      </w:pPr>
    </w:p>
    <w:p w:rsidR="006C2348" w14:paraId="5F66F637" w14:textId="5307B062">
      <w:pPr>
        <w:pStyle w:val="Heading2"/>
        <w:rPr>
          <w:rFonts w:eastAsia="Times New Roman"/>
        </w:rPr>
      </w:pPr>
      <w:r>
        <w:rPr>
          <w:rFonts w:eastAsia="Times New Roman"/>
        </w:rPr>
        <w:t>Satisfaction Ratings</w:t>
      </w:r>
    </w:p>
    <w:p w:rsidR="006C2348" w14:paraId="0C008F73" w14:textId="77777777">
      <w:pPr>
        <w:pStyle w:val="normaltext"/>
      </w:pPr>
    </w:p>
    <w:p w:rsidR="006C2348" w14:paraId="0C8BDEBC" w14:textId="77777777">
      <w:pPr>
        <w:pStyle w:val="NormalWeb"/>
        <w:outlineLvl w:val="3"/>
        <w:rPr>
          <w:b/>
          <w:bCs/>
          <w:sz w:val="27"/>
          <w:szCs w:val="27"/>
        </w:rPr>
      </w:pPr>
      <w:r>
        <w:rPr>
          <w:b/>
          <w:bCs/>
          <w:sz w:val="27"/>
          <w:szCs w:val="27"/>
        </w:rPr>
        <w:t> </w:t>
      </w:r>
    </w:p>
    <w:p w:rsidR="006C2348" w14:paraId="6CEC8F5C" w14:textId="48E31D10">
      <w:pPr>
        <w:pStyle w:val="NormalWeb"/>
        <w:outlineLvl w:val="3"/>
        <w:rPr>
          <w:b/>
          <w:bCs/>
          <w:sz w:val="27"/>
          <w:szCs w:val="27"/>
        </w:rPr>
      </w:pPr>
      <w:r>
        <w:rPr>
          <w:b/>
          <w:bCs/>
        </w:rPr>
        <w:t>The following chart defines the Satisfaction Ratings that are to be used by you on the survey form to indicate your satisfaction with the RNA’s performance for the evaluation period of January 1, 202</w:t>
      </w:r>
      <w:r w:rsidR="007F38DB">
        <w:rPr>
          <w:b/>
          <w:bCs/>
        </w:rPr>
        <w:t>4</w:t>
      </w:r>
      <w:r>
        <w:rPr>
          <w:b/>
          <w:bCs/>
        </w:rPr>
        <w:t xml:space="preserve"> – December 31, 202</w:t>
      </w:r>
      <w:r w:rsidR="007F38DB">
        <w:rPr>
          <w:b/>
          <w:bCs/>
        </w:rPr>
        <w:t>4</w:t>
      </w:r>
      <w:r>
        <w:rPr>
          <w:b/>
          <w:bCs/>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77"/>
        <w:gridCol w:w="7290"/>
      </w:tblGrid>
      <w:tr w14:paraId="6FAE6229" w14:textId="77777777">
        <w:tblPrEx>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6C2348" w14:paraId="4A44BE0C" w14:textId="77777777">
            <w:pPr>
              <w:pStyle w:val="Heading5"/>
              <w:jc w:val="center"/>
              <w:rPr>
                <w:rFonts w:eastAsia="Times New Roman"/>
              </w:rPr>
            </w:pPr>
            <w:r>
              <w:rPr>
                <w:rFonts w:eastAsia="Times New Roman"/>
                <w:sz w:val="24"/>
                <w:szCs w:val="24"/>
              </w:rPr>
              <w:t>Satisfaction Rating</w:t>
            </w:r>
          </w:p>
        </w:tc>
        <w:tc>
          <w:tcPr>
            <w:tcW w:w="7290" w:type="dxa"/>
            <w:tcBorders>
              <w:top w:val="outset" w:sz="6" w:space="0" w:color="auto"/>
              <w:left w:val="outset" w:sz="6" w:space="0" w:color="auto"/>
              <w:bottom w:val="outset" w:sz="6" w:space="0" w:color="auto"/>
              <w:right w:val="outset" w:sz="6" w:space="0" w:color="auto"/>
            </w:tcBorders>
            <w:hideMark/>
          </w:tcPr>
          <w:p w:rsidR="006C2348" w14:paraId="4A3BB57D" w14:textId="77777777">
            <w:pPr>
              <w:pStyle w:val="Heading5"/>
              <w:rPr>
                <w:rFonts w:eastAsia="Times New Roman"/>
              </w:rPr>
            </w:pPr>
            <w:r>
              <w:rPr>
                <w:rFonts w:eastAsia="Times New Roman"/>
                <w:sz w:val="24"/>
                <w:szCs w:val="24"/>
              </w:rPr>
              <w:t>    Used when the RNA...</w:t>
            </w:r>
          </w:p>
        </w:tc>
      </w:tr>
      <w:tr w14:paraId="2368AC95" w14:textId="77777777">
        <w:tblPrEx>
          <w:tblW w:w="0" w:type="auto"/>
          <w:tblCellSpacing w:w="0" w:type="dxa"/>
          <w:tblCellMar>
            <w:left w:w="0" w:type="dxa"/>
            <w:right w:w="0" w:type="dxa"/>
          </w:tblCellMar>
          <w:tblLook w:val="04A0"/>
        </w:tblPrEx>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6C2348" w14:paraId="0FF8B25D" w14:textId="77777777">
            <w:pPr>
              <w:pStyle w:val="NormalWeb"/>
              <w:jc w:val="center"/>
            </w:pPr>
            <w:r>
              <w:rPr>
                <w:rStyle w:val="Strong"/>
              </w:rPr>
              <w:t> MET</w:t>
            </w:r>
          </w:p>
          <w:p w:rsidR="006C2348" w14:paraId="52DF49D0" w14:textId="77777777">
            <w:pPr>
              <w:pStyle w:val="NormalWeb"/>
              <w:jc w:val="center"/>
            </w:pPr>
            <w:r>
              <w:t> </w:t>
            </w:r>
          </w:p>
        </w:tc>
        <w:tc>
          <w:tcPr>
            <w:tcW w:w="7290" w:type="dxa"/>
            <w:tcBorders>
              <w:top w:val="outset" w:sz="6" w:space="0" w:color="auto"/>
              <w:left w:val="outset" w:sz="6" w:space="0" w:color="auto"/>
              <w:bottom w:val="outset" w:sz="6" w:space="0" w:color="auto"/>
              <w:right w:val="outset" w:sz="6" w:space="0" w:color="auto"/>
            </w:tcBorders>
            <w:hideMark/>
          </w:tcPr>
          <w:p w:rsidR="006C2348" w14:paraId="5B1F9AF6" w14:textId="77777777">
            <w:pPr>
              <w:numPr>
                <w:ilvl w:val="0"/>
                <w:numId w:val="1"/>
              </w:numPr>
              <w:spacing w:before="100" w:beforeAutospacing="1" w:after="100" w:afterAutospacing="1"/>
              <w:rPr>
                <w:rFonts w:eastAsia="Times New Roman"/>
              </w:rPr>
            </w:pPr>
            <w:r>
              <w:rPr>
                <w:rFonts w:eastAsia="Times New Roman"/>
              </w:rPr>
              <w:t>Performance was competent and reliable</w:t>
            </w:r>
          </w:p>
          <w:p w:rsidR="006C2348" w14:paraId="6688A682" w14:textId="77777777">
            <w:pPr>
              <w:numPr>
                <w:ilvl w:val="0"/>
                <w:numId w:val="1"/>
              </w:numPr>
              <w:spacing w:before="100" w:beforeAutospacing="1" w:after="100" w:afterAutospacing="1"/>
              <w:rPr>
                <w:rFonts w:eastAsia="Times New Roman"/>
              </w:rPr>
            </w:pPr>
            <w:r>
              <w:rPr>
                <w:rFonts w:eastAsia="Times New Roman"/>
              </w:rPr>
              <w:t xml:space="preserve">Decisions and recommendations were within requirements </w:t>
            </w:r>
          </w:p>
        </w:tc>
      </w:tr>
      <w:tr w14:paraId="6EC83571" w14:textId="77777777">
        <w:tblPrEx>
          <w:tblW w:w="0" w:type="auto"/>
          <w:tblCellSpacing w:w="0" w:type="dxa"/>
          <w:tblCellMar>
            <w:left w:w="0" w:type="dxa"/>
            <w:right w:w="0" w:type="dxa"/>
          </w:tblCellMar>
          <w:tblLook w:val="04A0"/>
        </w:tblPrEx>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6C2348" w14:paraId="01B1A46D" w14:textId="77777777">
            <w:pPr>
              <w:pStyle w:val="NormalWeb"/>
              <w:jc w:val="center"/>
            </w:pPr>
            <w:r>
              <w:rPr>
                <w:rStyle w:val="Strong"/>
              </w:rPr>
              <w:t>NOT MET</w:t>
            </w:r>
          </w:p>
        </w:tc>
        <w:tc>
          <w:tcPr>
            <w:tcW w:w="7290" w:type="dxa"/>
            <w:tcBorders>
              <w:top w:val="outset" w:sz="6" w:space="0" w:color="auto"/>
              <w:left w:val="outset" w:sz="6" w:space="0" w:color="auto"/>
              <w:bottom w:val="outset" w:sz="6" w:space="0" w:color="auto"/>
              <w:right w:val="outset" w:sz="6" w:space="0" w:color="auto"/>
            </w:tcBorders>
            <w:hideMark/>
          </w:tcPr>
          <w:p w:rsidR="006C2348" w14:paraId="16FDAA57" w14:textId="77777777">
            <w:pPr>
              <w:numPr>
                <w:ilvl w:val="0"/>
                <w:numId w:val="2"/>
              </w:numPr>
              <w:spacing w:before="100" w:beforeAutospacing="1" w:after="100" w:afterAutospacing="1"/>
              <w:rPr>
                <w:rFonts w:eastAsia="Times New Roman"/>
              </w:rPr>
            </w:pPr>
            <w:r>
              <w:rPr>
                <w:rFonts w:eastAsia="Times New Roman"/>
              </w:rPr>
              <w:t>Performance was unreliable and commitments were not met</w:t>
            </w:r>
          </w:p>
          <w:p w:rsidR="006C2348" w14:paraId="1C7C7CB0" w14:textId="77777777">
            <w:pPr>
              <w:numPr>
                <w:ilvl w:val="0"/>
                <w:numId w:val="2"/>
              </w:numPr>
              <w:spacing w:before="100" w:beforeAutospacing="1" w:after="100" w:afterAutospacing="1"/>
              <w:rPr>
                <w:rFonts w:eastAsia="Times New Roman"/>
              </w:rPr>
            </w:pPr>
            <w:r>
              <w:rPr>
                <w:rFonts w:eastAsia="Times New Roman"/>
              </w:rPr>
              <w:t>Decisions and recommendations were inconsistent with requirements</w:t>
            </w:r>
          </w:p>
        </w:tc>
      </w:tr>
      <w:tr w14:paraId="7EA2C448" w14:textId="77777777">
        <w:tblPrEx>
          <w:tblW w:w="0" w:type="auto"/>
          <w:tblCellSpacing w:w="0" w:type="dxa"/>
          <w:tblCellMar>
            <w:left w:w="0" w:type="dxa"/>
            <w:right w:w="0" w:type="dxa"/>
          </w:tblCellMar>
          <w:tblLook w:val="04A0"/>
        </w:tblPrEx>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6C2348" w14:paraId="11B71129" w14:textId="77777777">
            <w:pPr>
              <w:pStyle w:val="NormalWeb"/>
              <w:jc w:val="center"/>
            </w:pPr>
            <w:r>
              <w:rPr>
                <w:rStyle w:val="Strong"/>
              </w:rPr>
              <w:t>NOT APPLICABLE (N/A)</w:t>
            </w:r>
          </w:p>
        </w:tc>
        <w:tc>
          <w:tcPr>
            <w:tcW w:w="7290" w:type="dxa"/>
            <w:tcBorders>
              <w:top w:val="outset" w:sz="6" w:space="0" w:color="auto"/>
              <w:left w:val="outset" w:sz="6" w:space="0" w:color="auto"/>
              <w:bottom w:val="outset" w:sz="6" w:space="0" w:color="auto"/>
              <w:right w:val="outset" w:sz="6" w:space="0" w:color="auto"/>
            </w:tcBorders>
            <w:hideMark/>
          </w:tcPr>
          <w:p w:rsidR="006C2348" w14:paraId="371A14F5" w14:textId="77777777">
            <w:pPr>
              <w:numPr>
                <w:ilvl w:val="0"/>
                <w:numId w:val="3"/>
              </w:numPr>
              <w:spacing w:before="100" w:beforeAutospacing="1" w:after="100" w:afterAutospacing="1"/>
              <w:rPr>
                <w:rFonts w:eastAsia="Times New Roman"/>
              </w:rPr>
            </w:pPr>
            <w:r>
              <w:rPr>
                <w:rFonts w:eastAsia="Times New Roman"/>
              </w:rPr>
              <w:t>Did not use/observe the activity or does not apply to the respondent</w:t>
            </w:r>
          </w:p>
        </w:tc>
      </w:tr>
    </w:tbl>
    <w:p w:rsidR="006C2348" w14:paraId="4550F0B9" w14:textId="77777777">
      <w:pPr>
        <w:pStyle w:val="NormalWeb"/>
        <w:spacing w:after="240" w:afterAutospacing="0"/>
      </w:pPr>
    </w:p>
    <w:p w:rsidR="006C2348" w14:paraId="4D2FB8B5" w14:textId="77777777">
      <w:pPr>
        <w:rPr>
          <w:rFonts w:eastAsia="Times New Roman"/>
        </w:rPr>
      </w:pPr>
      <w:r>
        <w:rPr>
          <w:rFonts w:eastAsia="Times New Roman"/>
          <w:noProof/>
        </w:rPr>
        <w:pict>
          <v:rect id="_x0000_i1030" style="width:468pt;height:0.05pt;mso-height-percent:0;mso-width-percent:0" o:hralign="center" o:hrstd="t" o:hr="t" fillcolor="#a0a0a0" stroked="f"/>
        </w:pict>
      </w:r>
    </w:p>
    <w:p w:rsidR="00891F8F" w14:paraId="0B0BC280" w14:textId="77777777">
      <w:pPr>
        <w:pStyle w:val="Heading2"/>
        <w:rPr>
          <w:rFonts w:eastAsia="Times New Roman"/>
        </w:rPr>
      </w:pPr>
    </w:p>
    <w:p w:rsidR="00891F8F" w14:paraId="7F182EC7" w14:textId="77777777">
      <w:pPr>
        <w:pStyle w:val="Heading2"/>
        <w:rPr>
          <w:rFonts w:eastAsia="Times New Roman"/>
        </w:rPr>
      </w:pPr>
    </w:p>
    <w:p w:rsidR="00891F8F" w14:paraId="5A1C6521" w14:textId="77777777">
      <w:pPr>
        <w:pStyle w:val="Heading2"/>
        <w:rPr>
          <w:rFonts w:eastAsia="Times New Roman"/>
        </w:rPr>
      </w:pPr>
    </w:p>
    <w:p w:rsidR="00891F8F" w14:paraId="46D4B863" w14:textId="77777777">
      <w:pPr>
        <w:pStyle w:val="Heading2"/>
        <w:rPr>
          <w:rFonts w:eastAsia="Times New Roman"/>
        </w:rPr>
      </w:pPr>
    </w:p>
    <w:p w:rsidR="00891F8F" w14:paraId="45BB3438" w14:textId="77777777">
      <w:pPr>
        <w:pStyle w:val="Heading2"/>
        <w:rPr>
          <w:rFonts w:eastAsia="Times New Roman"/>
        </w:rPr>
      </w:pPr>
    </w:p>
    <w:p w:rsidR="00891F8F" w14:paraId="10FE0094" w14:textId="77777777">
      <w:pPr>
        <w:pStyle w:val="Heading2"/>
        <w:rPr>
          <w:rFonts w:eastAsia="Times New Roman"/>
        </w:rPr>
      </w:pPr>
    </w:p>
    <w:p w:rsidR="00891F8F" w14:paraId="756599E3" w14:textId="77777777">
      <w:pPr>
        <w:pStyle w:val="Heading2"/>
        <w:rPr>
          <w:rFonts w:eastAsia="Times New Roman"/>
        </w:rPr>
      </w:pPr>
    </w:p>
    <w:p w:rsidR="006C2348" w14:paraId="3ACDC6E1" w14:textId="6031E686">
      <w:pPr>
        <w:pStyle w:val="Heading2"/>
        <w:rPr>
          <w:rFonts w:eastAsia="Times New Roman"/>
        </w:rPr>
      </w:pPr>
      <w:r>
        <w:rPr>
          <w:rFonts w:eastAsia="Times New Roman"/>
        </w:rPr>
        <w:t>Routing Number Administration (RNA)</w:t>
      </w:r>
    </w:p>
    <w:p w:rsidR="006C2348" w14:paraId="03537863" w14:textId="77777777">
      <w:pPr>
        <w:pStyle w:val="normaltext"/>
      </w:pPr>
    </w:p>
    <w:p w:rsidR="006C2348" w14:paraId="343E2EDB" w14:textId="77777777">
      <w:pPr>
        <w:pStyle w:val="NormalWeb"/>
        <w:outlineLvl w:val="4"/>
        <w:rPr>
          <w:b/>
          <w:bCs/>
        </w:rPr>
      </w:pPr>
      <w:r>
        <w:rPr>
          <w:b/>
          <w:bCs/>
        </w:rPr>
        <w:t>Routing Number Administrator (RNA)</w:t>
      </w:r>
    </w:p>
    <w:p w:rsidR="006C2348" w14:paraId="50984693" w14:textId="77777777">
      <w:pPr>
        <w:pStyle w:val="Heading4"/>
        <w:spacing w:before="0" w:after="0"/>
        <w:rPr>
          <w:rFonts w:eastAsia="Times New Roman"/>
        </w:rPr>
      </w:pPr>
      <w:r>
        <w:rPr>
          <w:rFonts w:eastAsia="Times New Roman"/>
        </w:rPr>
        <w:t>*</w:t>
      </w:r>
    </w:p>
    <w:tbl>
      <w:tblPr>
        <w:tblStyle w:val="Tabelacomgrade"/>
        <w:tblW w:w="9394" w:type="dxa"/>
        <w:tblInd w:w="0" w:type="dxa"/>
        <w:tblBorders>
          <w:top w:val="single" w:sz="6" w:space="0" w:color="000000"/>
          <w:left w:val="single" w:sz="6" w:space="0" w:color="000000"/>
          <w:bottom w:val="single" w:sz="6" w:space="0" w:color="000000"/>
          <w:right w:val="single" w:sz="6" w:space="0" w:color="000000"/>
        </w:tblBorders>
        <w:tblLook w:val="01E0"/>
      </w:tblPr>
      <w:tblGrid>
        <w:gridCol w:w="3578"/>
        <w:gridCol w:w="1938"/>
        <w:gridCol w:w="1938"/>
        <w:gridCol w:w="1940"/>
      </w:tblGrid>
      <w:tr w14:paraId="0BB691FF" w14:textId="77777777" w:rsidTr="001F2AE0">
        <w:tblPrEx>
          <w:tblW w:w="9394" w:type="dxa"/>
          <w:tblInd w:w="0" w:type="dxa"/>
          <w:tblBorders>
            <w:top w:val="single" w:sz="6" w:space="0" w:color="000000"/>
            <w:left w:val="single" w:sz="6" w:space="0" w:color="000000"/>
            <w:bottom w:val="single" w:sz="6" w:space="0" w:color="000000"/>
            <w:right w:val="single" w:sz="6" w:space="0" w:color="000000"/>
          </w:tblBorders>
          <w:tblLook w:val="01E0"/>
        </w:tblPrEx>
        <w:trPr>
          <w:trHeight w:val="562"/>
        </w:trPr>
        <w:tc>
          <w:tcPr>
            <w:tcW w:w="357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C2348" w14:paraId="7CD85D06" w14:textId="77777777">
            <w:pPr>
              <w:rPr>
                <w:rFonts w:eastAsia="Times New Roman"/>
              </w:rPr>
            </w:pPr>
          </w:p>
        </w:tc>
        <w:tc>
          <w:tcPr>
            <w:tcW w:w="193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C2348" w14:paraId="1375B767" w14:textId="77777777">
            <w:pPr>
              <w:jc w:val="center"/>
              <w:rPr>
                <w:rFonts w:eastAsia="Times New Roman"/>
                <w:b/>
                <w:bCs/>
              </w:rPr>
            </w:pPr>
            <w:r>
              <w:rPr>
                <w:rFonts w:eastAsia="Times New Roman"/>
                <w:b/>
                <w:bCs/>
              </w:rPr>
              <w:t>Met</w:t>
            </w:r>
          </w:p>
        </w:tc>
        <w:tc>
          <w:tcPr>
            <w:tcW w:w="193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C2348" w14:paraId="2609A696" w14:textId="77777777">
            <w:pPr>
              <w:jc w:val="center"/>
              <w:rPr>
                <w:rFonts w:eastAsia="Times New Roman"/>
                <w:b/>
                <w:bCs/>
              </w:rPr>
            </w:pPr>
            <w:r>
              <w:rPr>
                <w:rFonts w:eastAsia="Times New Roman"/>
                <w:b/>
                <w:bCs/>
              </w:rPr>
              <w:t>Not Met</w:t>
            </w:r>
          </w:p>
        </w:tc>
        <w:tc>
          <w:tcPr>
            <w:tcW w:w="19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C2348" w14:paraId="5B489CDC" w14:textId="77777777">
            <w:pPr>
              <w:jc w:val="center"/>
              <w:rPr>
                <w:rFonts w:eastAsia="Times New Roman"/>
                <w:b/>
                <w:bCs/>
              </w:rPr>
            </w:pPr>
            <w:r>
              <w:rPr>
                <w:rFonts w:eastAsia="Times New Roman"/>
                <w:b/>
                <w:bCs/>
              </w:rPr>
              <w:t>N/A</w:t>
            </w:r>
          </w:p>
        </w:tc>
      </w:tr>
      <w:tr w14:paraId="0154912A" w14:textId="77777777" w:rsidTr="001F2AE0">
        <w:tblPrEx>
          <w:tblW w:w="9394" w:type="dxa"/>
          <w:tblInd w:w="0" w:type="dxa"/>
          <w:tblLook w:val="01E0"/>
        </w:tblPrEx>
        <w:trPr>
          <w:trHeight w:val="2022"/>
        </w:trPr>
        <w:tc>
          <w:tcPr>
            <w:tcW w:w="35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C2348" w14:paraId="760B9097" w14:textId="77777777">
            <w:pPr>
              <w:rPr>
                <w:rFonts w:eastAsia="Times New Roman"/>
              </w:rPr>
            </w:pPr>
            <w:r>
              <w:rPr>
                <w:rFonts w:eastAsia="Times New Roman"/>
              </w:rPr>
              <w:t>The RNA provided timely, accurate, and courteous service when processing pseudo-Automatic Number Identification (p-ANI) applications.</w:t>
            </w:r>
          </w:p>
        </w:tc>
        <w:tc>
          <w:tcPr>
            <w:tcW w:w="19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C2348" w14:paraId="34B6F076" w14:textId="77777777">
            <w:pPr>
              <w:jc w:val="center"/>
              <w:rPr>
                <w:rFonts w:eastAsia="Times New Roman"/>
              </w:rPr>
            </w:pPr>
            <w:r>
              <w:rPr>
                <w:rFonts w:eastAsia="Times New Roman"/>
              </w:rPr>
              <w:t xml:space="preserve">( ) </w:t>
            </w:r>
          </w:p>
        </w:tc>
        <w:tc>
          <w:tcPr>
            <w:tcW w:w="19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C2348" w14:paraId="69339F3A" w14:textId="77777777">
            <w:pPr>
              <w:jc w:val="center"/>
              <w:rPr>
                <w:rFonts w:eastAsia="Times New Roman"/>
              </w:rPr>
            </w:pPr>
            <w:r>
              <w:rPr>
                <w:rFonts w:eastAsia="Times New Roman"/>
              </w:rPr>
              <w:t xml:space="preserve">( ) </w:t>
            </w:r>
          </w:p>
        </w:tc>
        <w:tc>
          <w:tcPr>
            <w:tcW w:w="19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C2348" w14:paraId="7C707565" w14:textId="77777777">
            <w:pPr>
              <w:jc w:val="center"/>
              <w:rPr>
                <w:rFonts w:eastAsia="Times New Roman"/>
              </w:rPr>
            </w:pPr>
            <w:r>
              <w:rPr>
                <w:rFonts w:eastAsia="Times New Roman"/>
              </w:rPr>
              <w:t xml:space="preserve">( ) </w:t>
            </w:r>
          </w:p>
        </w:tc>
      </w:tr>
    </w:tbl>
    <w:p w:rsidR="006C2348" w14:paraId="2451BA46" w14:textId="77777777">
      <w:pPr>
        <w:pStyle w:val="NormalWeb"/>
        <w:spacing w:after="240" w:afterAutospacing="0"/>
      </w:pPr>
    </w:p>
    <w:p w:rsidR="006C2348" w14:paraId="6E63C3E1" w14:textId="77777777">
      <w:pPr>
        <w:rPr>
          <w:rFonts w:eastAsia="Times New Roman"/>
        </w:rPr>
      </w:pPr>
      <w:r>
        <w:rPr>
          <w:rFonts w:eastAsia="Times New Roman"/>
          <w:noProof/>
        </w:rPr>
        <w:pict>
          <v:rect id="_x0000_i1031" style="width:468pt;height:0.05pt;mso-height-percent:0;mso-width-percent:0" o:hralign="center" o:hrstd="t" o:hr="t" fillcolor="#a0a0a0" stroked="f"/>
        </w:pict>
      </w:r>
    </w:p>
    <w:p w:rsidR="00891F8F" w14:paraId="2581EB29" w14:textId="77777777">
      <w:pPr>
        <w:pStyle w:val="Heading2"/>
        <w:rPr>
          <w:rFonts w:eastAsia="Times New Roman"/>
        </w:rPr>
      </w:pPr>
    </w:p>
    <w:p w:rsidR="00891F8F" w14:paraId="3441B424" w14:textId="77777777">
      <w:pPr>
        <w:pStyle w:val="Heading2"/>
        <w:rPr>
          <w:rFonts w:eastAsia="Times New Roman"/>
        </w:rPr>
      </w:pPr>
    </w:p>
    <w:p w:rsidR="00891F8F" w14:paraId="5F0DB9E6" w14:textId="77777777">
      <w:pPr>
        <w:pStyle w:val="Heading2"/>
        <w:rPr>
          <w:rFonts w:eastAsia="Times New Roman"/>
        </w:rPr>
      </w:pPr>
    </w:p>
    <w:p w:rsidR="00891F8F" w14:paraId="2D79FDDC" w14:textId="77777777">
      <w:pPr>
        <w:pStyle w:val="Heading2"/>
        <w:rPr>
          <w:rFonts w:eastAsia="Times New Roman"/>
        </w:rPr>
      </w:pPr>
    </w:p>
    <w:p w:rsidR="00891F8F" w14:paraId="25C8553B" w14:textId="77777777">
      <w:pPr>
        <w:pStyle w:val="Heading2"/>
        <w:rPr>
          <w:rFonts w:eastAsia="Times New Roman"/>
        </w:rPr>
      </w:pPr>
    </w:p>
    <w:p w:rsidR="00891F8F" w14:paraId="03156197" w14:textId="77777777">
      <w:pPr>
        <w:pStyle w:val="Heading2"/>
        <w:rPr>
          <w:rFonts w:eastAsia="Times New Roman"/>
        </w:rPr>
      </w:pPr>
    </w:p>
    <w:p w:rsidR="00891F8F" w14:paraId="429D7053" w14:textId="77777777">
      <w:pPr>
        <w:pStyle w:val="Heading2"/>
        <w:rPr>
          <w:rFonts w:eastAsia="Times New Roman"/>
        </w:rPr>
      </w:pPr>
    </w:p>
    <w:p w:rsidR="00891F8F" w14:paraId="7D56B312" w14:textId="77777777">
      <w:pPr>
        <w:pStyle w:val="Heading2"/>
        <w:rPr>
          <w:rFonts w:eastAsia="Times New Roman"/>
        </w:rPr>
      </w:pPr>
    </w:p>
    <w:p w:rsidR="006C2348" w14:paraId="045E79C7" w14:textId="4BDEDA2F">
      <w:pPr>
        <w:pStyle w:val="Heading2"/>
        <w:rPr>
          <w:rFonts w:eastAsia="Times New Roman"/>
        </w:rPr>
      </w:pPr>
      <w:r>
        <w:rPr>
          <w:rFonts w:eastAsia="Times New Roman"/>
        </w:rPr>
        <w:t>Routing Number Administration System (RNAS)</w:t>
      </w:r>
      <w:r w:rsidR="00F258BB">
        <w:rPr>
          <w:rFonts w:eastAsia="Times New Roman"/>
        </w:rPr>
        <w:t xml:space="preserve"> Functionality</w:t>
      </w:r>
    </w:p>
    <w:p w:rsidR="006C2348" w14:paraId="377279DF" w14:textId="77777777">
      <w:pPr>
        <w:pStyle w:val="normaltext"/>
      </w:pPr>
    </w:p>
    <w:p w:rsidR="006C2348" w14:paraId="3DBA2ACA" w14:textId="3F652214">
      <w:pPr>
        <w:pStyle w:val="NormalWeb"/>
        <w:outlineLvl w:val="4"/>
        <w:rPr>
          <w:b/>
          <w:bCs/>
        </w:rPr>
      </w:pPr>
      <w:r>
        <w:rPr>
          <w:rStyle w:val="Strong"/>
        </w:rPr>
        <w:t>Routing Number Administration System (RNAS)</w:t>
      </w:r>
      <w:r w:rsidR="00F258BB">
        <w:rPr>
          <w:rStyle w:val="Strong"/>
        </w:rPr>
        <w:t xml:space="preserve"> Functionality</w:t>
      </w:r>
    </w:p>
    <w:p w:rsidR="006C2348" w14:paraId="2A086BDD" w14:textId="77777777">
      <w:pPr>
        <w:pStyle w:val="Heading4"/>
        <w:spacing w:before="0" w:after="0"/>
        <w:rPr>
          <w:rFonts w:eastAsia="Times New Roman"/>
        </w:rPr>
      </w:pPr>
      <w:r>
        <w:rPr>
          <w:rFonts w:eastAsia="Times New Roman"/>
        </w:rPr>
        <w:t>*</w:t>
      </w:r>
    </w:p>
    <w:tbl>
      <w:tblPr>
        <w:tblStyle w:val="Tabelacomgrade"/>
        <w:tblW w:w="9521" w:type="dxa"/>
        <w:tblInd w:w="0" w:type="dxa"/>
        <w:tblBorders>
          <w:top w:val="single" w:sz="6" w:space="0" w:color="000000"/>
          <w:left w:val="single" w:sz="6" w:space="0" w:color="000000"/>
          <w:bottom w:val="single" w:sz="6" w:space="0" w:color="000000"/>
          <w:right w:val="single" w:sz="6" w:space="0" w:color="000000"/>
        </w:tblBorders>
        <w:tblLook w:val="01E0"/>
      </w:tblPr>
      <w:tblGrid>
        <w:gridCol w:w="3224"/>
        <w:gridCol w:w="2098"/>
        <w:gridCol w:w="2098"/>
        <w:gridCol w:w="2101"/>
      </w:tblGrid>
      <w:tr w14:paraId="24FAEF7E" w14:textId="77777777" w:rsidTr="001F2AE0">
        <w:tblPrEx>
          <w:tblW w:w="9521" w:type="dxa"/>
          <w:tblInd w:w="0" w:type="dxa"/>
          <w:tblBorders>
            <w:top w:val="single" w:sz="6" w:space="0" w:color="000000"/>
            <w:left w:val="single" w:sz="6" w:space="0" w:color="000000"/>
            <w:bottom w:val="single" w:sz="6" w:space="0" w:color="000000"/>
            <w:right w:val="single" w:sz="6" w:space="0" w:color="000000"/>
          </w:tblBorders>
          <w:tblLook w:val="01E0"/>
        </w:tblPrEx>
        <w:trPr>
          <w:trHeight w:val="563"/>
        </w:trPr>
        <w:tc>
          <w:tcPr>
            <w:tcW w:w="322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C2348" w14:paraId="201EC704" w14:textId="77777777">
            <w:pPr>
              <w:rPr>
                <w:rFonts w:eastAsia="Times New Roman"/>
              </w:rPr>
            </w:pPr>
          </w:p>
        </w:tc>
        <w:tc>
          <w:tcPr>
            <w:tcW w:w="209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C2348" w14:paraId="57C5B41A" w14:textId="77777777">
            <w:pPr>
              <w:jc w:val="center"/>
              <w:rPr>
                <w:rFonts w:eastAsia="Times New Roman"/>
                <w:b/>
                <w:bCs/>
              </w:rPr>
            </w:pPr>
            <w:r>
              <w:rPr>
                <w:rFonts w:eastAsia="Times New Roman"/>
                <w:b/>
                <w:bCs/>
              </w:rPr>
              <w:t>Met</w:t>
            </w:r>
          </w:p>
        </w:tc>
        <w:tc>
          <w:tcPr>
            <w:tcW w:w="209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C2348" w14:paraId="569B2681" w14:textId="77777777">
            <w:pPr>
              <w:jc w:val="center"/>
              <w:rPr>
                <w:rFonts w:eastAsia="Times New Roman"/>
                <w:b/>
                <w:bCs/>
              </w:rPr>
            </w:pPr>
            <w:r>
              <w:rPr>
                <w:rFonts w:eastAsia="Times New Roman"/>
                <w:b/>
                <w:bCs/>
              </w:rPr>
              <w:t>Not Met</w:t>
            </w:r>
          </w:p>
        </w:tc>
        <w:tc>
          <w:tcPr>
            <w:tcW w:w="210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C2348" w14:paraId="192113A2" w14:textId="77777777">
            <w:pPr>
              <w:jc w:val="center"/>
              <w:rPr>
                <w:rFonts w:eastAsia="Times New Roman"/>
                <w:b/>
                <w:bCs/>
              </w:rPr>
            </w:pPr>
            <w:r>
              <w:rPr>
                <w:rFonts w:eastAsia="Times New Roman"/>
                <w:b/>
                <w:bCs/>
              </w:rPr>
              <w:t>N/A</w:t>
            </w:r>
          </w:p>
        </w:tc>
      </w:tr>
      <w:tr w14:paraId="45AFA516" w14:textId="77777777" w:rsidTr="001F2AE0">
        <w:tblPrEx>
          <w:tblW w:w="9521" w:type="dxa"/>
          <w:tblInd w:w="0" w:type="dxa"/>
          <w:tblLook w:val="01E0"/>
        </w:tblPrEx>
        <w:trPr>
          <w:trHeight w:val="2382"/>
        </w:trPr>
        <w:tc>
          <w:tcPr>
            <w:tcW w:w="32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C2348" w14:paraId="49C26CBF" w14:textId="2BF183B8">
            <w:pPr>
              <w:rPr>
                <w:rFonts w:eastAsia="Times New Roman"/>
              </w:rPr>
            </w:pPr>
            <w:r>
              <w:rPr>
                <w:rFonts w:eastAsia="Times New Roman"/>
              </w:rPr>
              <w:t>RNAS provided users the ability to effectively request, modify or return p-ANIs, input forecasts</w:t>
            </w:r>
            <w:r w:rsidR="00567FCA">
              <w:rPr>
                <w:rFonts w:eastAsia="Times New Roman"/>
              </w:rPr>
              <w:t xml:space="preserve"> and annual utilization reports, </w:t>
            </w:r>
            <w:r>
              <w:rPr>
                <w:rFonts w:eastAsia="Times New Roman"/>
              </w:rPr>
              <w:t>and access existing data and reports.</w:t>
            </w:r>
          </w:p>
        </w:tc>
        <w:tc>
          <w:tcPr>
            <w:tcW w:w="209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C2348" w14:paraId="42D2A92A" w14:textId="77777777">
            <w:pPr>
              <w:jc w:val="center"/>
              <w:rPr>
                <w:rFonts w:eastAsia="Times New Roman"/>
              </w:rPr>
            </w:pPr>
            <w:r>
              <w:rPr>
                <w:rFonts w:eastAsia="Times New Roman"/>
              </w:rPr>
              <w:t xml:space="preserve">( ) </w:t>
            </w:r>
          </w:p>
        </w:tc>
        <w:tc>
          <w:tcPr>
            <w:tcW w:w="209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C2348" w14:paraId="26B07891" w14:textId="77777777">
            <w:pPr>
              <w:jc w:val="center"/>
              <w:rPr>
                <w:rFonts w:eastAsia="Times New Roman"/>
              </w:rPr>
            </w:pPr>
            <w:r>
              <w:rPr>
                <w:rFonts w:eastAsia="Times New Roman"/>
              </w:rPr>
              <w:t xml:space="preserve">( ) </w:t>
            </w:r>
          </w:p>
        </w:tc>
        <w:tc>
          <w:tcPr>
            <w:tcW w:w="21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C2348" w14:paraId="5B0E1104" w14:textId="77777777">
            <w:pPr>
              <w:jc w:val="center"/>
              <w:rPr>
                <w:rFonts w:eastAsia="Times New Roman"/>
              </w:rPr>
            </w:pPr>
            <w:r>
              <w:rPr>
                <w:rFonts w:eastAsia="Times New Roman"/>
              </w:rPr>
              <w:t xml:space="preserve">( ) </w:t>
            </w:r>
          </w:p>
        </w:tc>
      </w:tr>
    </w:tbl>
    <w:p w:rsidR="006C2348" w14:paraId="7E5D26A3" w14:textId="77777777">
      <w:pPr>
        <w:pStyle w:val="NormalWeb"/>
        <w:spacing w:after="240" w:afterAutospacing="0"/>
      </w:pPr>
    </w:p>
    <w:p w:rsidR="006C2348" w14:paraId="56A03FC3" w14:textId="77777777">
      <w:pPr>
        <w:rPr>
          <w:rFonts w:eastAsia="Times New Roman"/>
        </w:rPr>
      </w:pPr>
      <w:r>
        <w:rPr>
          <w:rFonts w:eastAsia="Times New Roman"/>
          <w:noProof/>
        </w:rPr>
        <w:pict>
          <v:rect id="_x0000_i1032" style="width:468pt;height:0.05pt;mso-height-percent:0;mso-width-percent:0" o:hralign="center" o:hrstd="t" o:hr="t" fillcolor="#a0a0a0" stroked="f"/>
        </w:pict>
      </w:r>
    </w:p>
    <w:p w:rsidR="006C2348" w14:paraId="5CBB021E" w14:textId="5EDF6D7F">
      <w:pPr>
        <w:pStyle w:val="Heading2"/>
        <w:rPr>
          <w:rFonts w:eastAsia="Times New Roman"/>
        </w:rPr>
      </w:pPr>
      <w:r>
        <w:rPr>
          <w:rFonts w:eastAsia="Times New Roman"/>
        </w:rPr>
        <w:t>RNA Website</w:t>
      </w:r>
      <w:r w:rsidR="00567FCA">
        <w:rPr>
          <w:rFonts w:eastAsia="Times New Roman"/>
        </w:rPr>
        <w:t xml:space="preserve"> and Reports</w:t>
      </w:r>
    </w:p>
    <w:p w:rsidR="006C2348" w14:paraId="0D4D106B" w14:textId="77777777">
      <w:pPr>
        <w:pStyle w:val="normaltext"/>
      </w:pPr>
    </w:p>
    <w:p w:rsidR="006C2348" w:rsidP="001F2AE0" w14:paraId="7FA9F9A7" w14:textId="07191992">
      <w:pPr>
        <w:pStyle w:val="NormalWeb"/>
        <w:outlineLvl w:val="4"/>
        <w:rPr>
          <w:rFonts w:eastAsia="Times New Roman"/>
        </w:rPr>
      </w:pPr>
      <w:r>
        <w:rPr>
          <w:b/>
          <w:bCs/>
        </w:rPr>
        <w:t>RNA Website</w:t>
      </w:r>
      <w:r w:rsidR="00567FCA">
        <w:rPr>
          <w:b/>
          <w:bCs/>
        </w:rPr>
        <w:t xml:space="preserve"> and Reports</w:t>
      </w:r>
      <w:r>
        <w:rPr>
          <w:rFonts w:eastAsia="Times New Roman"/>
        </w:rPr>
        <w:t>*</w:t>
      </w:r>
    </w:p>
    <w:tbl>
      <w:tblPr>
        <w:tblStyle w:val="Tabelacomgrade"/>
        <w:tblW w:w="9755" w:type="dxa"/>
        <w:tblInd w:w="0" w:type="dxa"/>
        <w:tblBorders>
          <w:top w:val="single" w:sz="6" w:space="0" w:color="000000"/>
          <w:left w:val="single" w:sz="6" w:space="0" w:color="000000"/>
          <w:bottom w:val="single" w:sz="6" w:space="0" w:color="000000"/>
          <w:right w:val="single" w:sz="6" w:space="0" w:color="000000"/>
        </w:tblBorders>
        <w:tblLook w:val="01E0"/>
      </w:tblPr>
      <w:tblGrid>
        <w:gridCol w:w="4980"/>
        <w:gridCol w:w="1591"/>
        <w:gridCol w:w="1591"/>
        <w:gridCol w:w="1593"/>
      </w:tblGrid>
      <w:tr w14:paraId="49F1697F" w14:textId="77777777" w:rsidTr="001F2AE0">
        <w:tblPrEx>
          <w:tblW w:w="9755" w:type="dxa"/>
          <w:tblInd w:w="0" w:type="dxa"/>
          <w:tblBorders>
            <w:top w:val="single" w:sz="6" w:space="0" w:color="000000"/>
            <w:left w:val="single" w:sz="6" w:space="0" w:color="000000"/>
            <w:bottom w:val="single" w:sz="6" w:space="0" w:color="000000"/>
            <w:right w:val="single" w:sz="6" w:space="0" w:color="000000"/>
          </w:tblBorders>
          <w:tblLook w:val="01E0"/>
        </w:tblPrEx>
        <w:trPr>
          <w:trHeight w:val="458"/>
        </w:trPr>
        <w:tc>
          <w:tcPr>
            <w:tcW w:w="49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C2348" w14:paraId="36DB8B02" w14:textId="77777777">
            <w:pPr>
              <w:rPr>
                <w:rFonts w:eastAsia="Times New Roman"/>
              </w:rPr>
            </w:pPr>
          </w:p>
        </w:tc>
        <w:tc>
          <w:tcPr>
            <w:tcW w:w="159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C2348" w14:paraId="1F7091A3" w14:textId="77777777">
            <w:pPr>
              <w:jc w:val="center"/>
              <w:rPr>
                <w:rFonts w:eastAsia="Times New Roman"/>
                <w:b/>
                <w:bCs/>
              </w:rPr>
            </w:pPr>
            <w:r>
              <w:rPr>
                <w:rFonts w:eastAsia="Times New Roman"/>
                <w:b/>
                <w:bCs/>
              </w:rPr>
              <w:t>Met</w:t>
            </w:r>
          </w:p>
        </w:tc>
        <w:tc>
          <w:tcPr>
            <w:tcW w:w="159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C2348" w14:paraId="3C8FDFC0" w14:textId="77777777">
            <w:pPr>
              <w:jc w:val="center"/>
              <w:rPr>
                <w:rFonts w:eastAsia="Times New Roman"/>
                <w:b/>
                <w:bCs/>
              </w:rPr>
            </w:pPr>
            <w:r>
              <w:rPr>
                <w:rFonts w:eastAsia="Times New Roman"/>
                <w:b/>
                <w:bCs/>
              </w:rPr>
              <w:t>Not Met</w:t>
            </w:r>
          </w:p>
        </w:tc>
        <w:tc>
          <w:tcPr>
            <w:tcW w:w="159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C2348" w14:paraId="768791CD" w14:textId="77777777">
            <w:pPr>
              <w:jc w:val="center"/>
              <w:rPr>
                <w:rFonts w:eastAsia="Times New Roman"/>
                <w:b/>
                <w:bCs/>
              </w:rPr>
            </w:pPr>
            <w:r>
              <w:rPr>
                <w:rFonts w:eastAsia="Times New Roman"/>
                <w:b/>
                <w:bCs/>
              </w:rPr>
              <w:t>N/A</w:t>
            </w:r>
          </w:p>
        </w:tc>
      </w:tr>
      <w:tr w14:paraId="1AB92522" w14:textId="77777777" w:rsidTr="001F2AE0">
        <w:tblPrEx>
          <w:tblW w:w="9755" w:type="dxa"/>
          <w:tblInd w:w="0" w:type="dxa"/>
          <w:tblLook w:val="01E0"/>
        </w:tblPrEx>
        <w:trPr>
          <w:trHeight w:val="1368"/>
        </w:trPr>
        <w:tc>
          <w:tcPr>
            <w:tcW w:w="4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C2348" w14:paraId="4D690913" w14:textId="587ECDE2">
            <w:pPr>
              <w:rPr>
                <w:rFonts w:eastAsia="Times New Roman"/>
              </w:rPr>
            </w:pPr>
            <w:r>
              <w:rPr>
                <w:rFonts w:eastAsia="Times New Roman"/>
              </w:rPr>
              <w:t xml:space="preserve">The </w:t>
            </w:r>
            <w:r w:rsidR="00567FCA">
              <w:rPr>
                <w:rFonts w:eastAsia="Times New Roman"/>
              </w:rPr>
              <w:t>existing</w:t>
            </w:r>
            <w:r w:rsidR="00290952">
              <w:rPr>
                <w:rFonts w:eastAsia="Times New Roman"/>
              </w:rPr>
              <w:t xml:space="preserve"> </w:t>
            </w:r>
            <w:r>
              <w:rPr>
                <w:rFonts w:eastAsia="Times New Roman"/>
              </w:rPr>
              <w:t xml:space="preserve">RNA website (www.nationalpani.com) </w:t>
            </w:r>
            <w:r w:rsidR="00567FCA">
              <w:rPr>
                <w:rFonts w:eastAsia="Times New Roman"/>
              </w:rPr>
              <w:t>and the new combined NANPA website (</w:t>
            </w:r>
            <w:hyperlink r:id="rId5" w:history="1">
              <w:r w:rsidRPr="003506C3" w:rsidR="00567FCA">
                <w:rPr>
                  <w:rStyle w:val="Hyperlink"/>
                  <w:rFonts w:eastAsia="Times New Roman"/>
                </w:rPr>
                <w:t>www.nanpa.com</w:t>
              </w:r>
            </w:hyperlink>
            <w:r w:rsidR="00567FCA">
              <w:rPr>
                <w:rFonts w:eastAsia="Times New Roman"/>
              </w:rPr>
              <w:t xml:space="preserve">) </w:t>
            </w:r>
            <w:r w:rsidR="004C716E">
              <w:rPr>
                <w:rFonts w:eastAsia="Times New Roman"/>
              </w:rPr>
              <w:t xml:space="preserve">were </w:t>
            </w:r>
            <w:r>
              <w:rPr>
                <w:rFonts w:eastAsia="Times New Roman"/>
              </w:rPr>
              <w:t>accessible, easy to navigate, and provided accurate and up-to-date information</w:t>
            </w:r>
            <w:r w:rsidR="00567FCA">
              <w:rPr>
                <w:rFonts w:eastAsia="Times New Roman"/>
              </w:rPr>
              <w:t xml:space="preserve"> and reports</w:t>
            </w:r>
            <w:r>
              <w:rPr>
                <w:rFonts w:eastAsia="Times New Roman"/>
              </w:rPr>
              <w:t>.</w:t>
            </w:r>
          </w:p>
        </w:tc>
        <w:tc>
          <w:tcPr>
            <w:tcW w:w="15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C2348" w14:paraId="518DF2DF" w14:textId="77777777">
            <w:pPr>
              <w:jc w:val="center"/>
              <w:rPr>
                <w:rFonts w:eastAsia="Times New Roman"/>
              </w:rPr>
            </w:pPr>
            <w:r>
              <w:rPr>
                <w:rFonts w:eastAsia="Times New Roman"/>
              </w:rPr>
              <w:t xml:space="preserve">( ) </w:t>
            </w:r>
          </w:p>
        </w:tc>
        <w:tc>
          <w:tcPr>
            <w:tcW w:w="15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C2348" w14:paraId="4DAB2E1A" w14:textId="77777777">
            <w:pPr>
              <w:jc w:val="center"/>
              <w:rPr>
                <w:rFonts w:eastAsia="Times New Roman"/>
              </w:rPr>
            </w:pPr>
            <w:r>
              <w:rPr>
                <w:rFonts w:eastAsia="Times New Roman"/>
              </w:rPr>
              <w:t xml:space="preserve">( ) </w:t>
            </w:r>
          </w:p>
        </w:tc>
        <w:tc>
          <w:tcPr>
            <w:tcW w:w="159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C2348" w14:paraId="3B147429" w14:textId="77777777">
            <w:pPr>
              <w:jc w:val="center"/>
              <w:rPr>
                <w:rFonts w:eastAsia="Times New Roman"/>
              </w:rPr>
            </w:pPr>
            <w:r>
              <w:rPr>
                <w:rFonts w:eastAsia="Times New Roman"/>
              </w:rPr>
              <w:t xml:space="preserve">( ) </w:t>
            </w:r>
          </w:p>
        </w:tc>
      </w:tr>
    </w:tbl>
    <w:p w:rsidR="006C2348" w14:paraId="4BD253D4" w14:textId="77777777">
      <w:pPr>
        <w:pStyle w:val="NormalWeb"/>
        <w:spacing w:after="240" w:afterAutospacing="0"/>
      </w:pPr>
    </w:p>
    <w:p w:rsidR="006C2348" w14:paraId="5EE6DAFC" w14:textId="77777777">
      <w:pPr>
        <w:rPr>
          <w:rFonts w:eastAsia="Times New Roman"/>
        </w:rPr>
      </w:pPr>
      <w:r>
        <w:rPr>
          <w:rFonts w:eastAsia="Times New Roman"/>
          <w:noProof/>
        </w:rPr>
        <w:pict>
          <v:rect id="_x0000_i1033" style="width:468pt;height:0.05pt;mso-height-percent:0;mso-width-percent:0" o:hralign="center" o:hrstd="t" o:hr="t" fillcolor="#a0a0a0" stroked="f"/>
        </w:pict>
      </w:r>
    </w:p>
    <w:p w:rsidR="00FC7AAC" w:rsidP="00FC7AAC" w14:paraId="2822C6AE" w14:textId="13AD4A6B">
      <w:pPr>
        <w:pStyle w:val="Heading2"/>
        <w:rPr>
          <w:rFonts w:eastAsia="Times New Roman"/>
        </w:rPr>
      </w:pPr>
      <w:r>
        <w:rPr>
          <w:rFonts w:eastAsia="Times New Roman"/>
        </w:rPr>
        <w:t>RNA</w:t>
      </w:r>
      <w:r>
        <w:rPr>
          <w:rFonts w:eastAsia="Times New Roman"/>
        </w:rPr>
        <w:t xml:space="preserve"> Customer Service Functions</w:t>
      </w:r>
    </w:p>
    <w:p w:rsidR="00FC7AAC" w:rsidP="00FC7AAC" w14:paraId="592CBBCE" w14:textId="77777777">
      <w:pPr>
        <w:pStyle w:val="normaltext"/>
      </w:pPr>
    </w:p>
    <w:p w:rsidR="00FC7AAC" w:rsidP="00FC7AAC" w14:paraId="242DC054" w14:textId="7A0CB340">
      <w:pPr>
        <w:pStyle w:val="Heading4"/>
        <w:rPr>
          <w:rFonts w:eastAsia="Times New Roman"/>
        </w:rPr>
      </w:pPr>
      <w:r>
        <w:rPr>
          <w:rStyle w:val="Strong"/>
          <w:rFonts w:eastAsia="Times New Roman"/>
          <w:b/>
          <w:bCs/>
        </w:rPr>
        <w:t xml:space="preserve">RNA </w:t>
      </w:r>
      <w:r>
        <w:rPr>
          <w:rStyle w:val="Strong"/>
          <w:rFonts w:eastAsia="Times New Roman"/>
          <w:b/>
          <w:bCs/>
        </w:rPr>
        <w:t>Customer Service Functions</w:t>
      </w:r>
      <w:r>
        <w:rPr>
          <w:rFonts w:eastAsia="Times New Roman"/>
        </w:rPr>
        <w:t>*</w:t>
      </w:r>
    </w:p>
    <w:tbl>
      <w:tblPr>
        <w:tblStyle w:val="Tabelacomgrade"/>
        <w:tblW w:w="9698" w:type="dxa"/>
        <w:tblInd w:w="0" w:type="dxa"/>
        <w:tblBorders>
          <w:top w:val="single" w:sz="6" w:space="0" w:color="000000"/>
          <w:left w:val="single" w:sz="6" w:space="0" w:color="000000"/>
          <w:bottom w:val="single" w:sz="6" w:space="0" w:color="000000"/>
          <w:right w:val="single" w:sz="6" w:space="0" w:color="000000"/>
        </w:tblBorders>
        <w:tblLook w:val="01E0"/>
      </w:tblPr>
      <w:tblGrid>
        <w:gridCol w:w="4104"/>
        <w:gridCol w:w="1864"/>
        <w:gridCol w:w="1864"/>
        <w:gridCol w:w="1866"/>
      </w:tblGrid>
      <w:tr w14:paraId="52C53862" w14:textId="77777777" w:rsidTr="00F16CC7">
        <w:tblPrEx>
          <w:tblW w:w="9698" w:type="dxa"/>
          <w:tblInd w:w="0" w:type="dxa"/>
          <w:tblBorders>
            <w:top w:val="single" w:sz="6" w:space="0" w:color="000000"/>
            <w:left w:val="single" w:sz="6" w:space="0" w:color="000000"/>
            <w:bottom w:val="single" w:sz="6" w:space="0" w:color="000000"/>
            <w:right w:val="single" w:sz="6" w:space="0" w:color="000000"/>
          </w:tblBorders>
          <w:tblLook w:val="01E0"/>
        </w:tblPrEx>
        <w:trPr>
          <w:trHeight w:val="527"/>
        </w:trPr>
        <w:tc>
          <w:tcPr>
            <w:tcW w:w="410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C7AAC" w:rsidP="00F16CC7" w14:paraId="0A381EFA" w14:textId="77777777">
            <w:pPr>
              <w:rPr>
                <w:rFonts w:eastAsia="Times New Roman"/>
              </w:rPr>
            </w:pPr>
          </w:p>
        </w:tc>
        <w:tc>
          <w:tcPr>
            <w:tcW w:w="186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C7AAC" w:rsidP="00F16CC7" w14:paraId="260902BC" w14:textId="77777777">
            <w:pPr>
              <w:jc w:val="center"/>
              <w:rPr>
                <w:rFonts w:eastAsia="Times New Roman"/>
                <w:b/>
                <w:bCs/>
              </w:rPr>
            </w:pPr>
            <w:r>
              <w:rPr>
                <w:rFonts w:eastAsia="Times New Roman"/>
                <w:b/>
                <w:bCs/>
              </w:rPr>
              <w:t>Met</w:t>
            </w:r>
          </w:p>
        </w:tc>
        <w:tc>
          <w:tcPr>
            <w:tcW w:w="186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C7AAC" w:rsidP="00F16CC7" w14:paraId="42BABCB0" w14:textId="77777777">
            <w:pPr>
              <w:jc w:val="center"/>
              <w:rPr>
                <w:rFonts w:eastAsia="Times New Roman"/>
                <w:b/>
                <w:bCs/>
              </w:rPr>
            </w:pPr>
            <w:r>
              <w:rPr>
                <w:rFonts w:eastAsia="Times New Roman"/>
                <w:b/>
                <w:bCs/>
              </w:rPr>
              <w:t>Not Met</w:t>
            </w:r>
          </w:p>
        </w:tc>
        <w:tc>
          <w:tcPr>
            <w:tcW w:w="186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C7AAC" w:rsidP="00F16CC7" w14:paraId="10E59657" w14:textId="77777777">
            <w:pPr>
              <w:jc w:val="center"/>
              <w:rPr>
                <w:rFonts w:eastAsia="Times New Roman"/>
                <w:b/>
                <w:bCs/>
              </w:rPr>
            </w:pPr>
            <w:r>
              <w:rPr>
                <w:rFonts w:eastAsia="Times New Roman"/>
                <w:b/>
                <w:bCs/>
              </w:rPr>
              <w:t>N/A</w:t>
            </w:r>
          </w:p>
        </w:tc>
      </w:tr>
      <w:tr w14:paraId="1284F494" w14:textId="77777777" w:rsidTr="00F16CC7">
        <w:tblPrEx>
          <w:tblW w:w="9698" w:type="dxa"/>
          <w:tblInd w:w="0" w:type="dxa"/>
          <w:tblLook w:val="01E0"/>
        </w:tblPrEx>
        <w:trPr>
          <w:trHeight w:val="3165"/>
        </w:trPr>
        <w:tc>
          <w:tcPr>
            <w:tcW w:w="410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C7AAC" w:rsidP="00F16CC7" w14:paraId="7310EAF4" w14:textId="544589EC">
            <w:pPr>
              <w:rPr>
                <w:rFonts w:eastAsia="Times New Roman"/>
              </w:rPr>
            </w:pPr>
            <w:r>
              <w:rPr>
                <w:rFonts w:eastAsia="Times New Roman"/>
              </w:rPr>
              <w:t>RNA</w:t>
            </w:r>
            <w:r>
              <w:rPr>
                <w:rFonts w:eastAsia="Times New Roman"/>
              </w:rPr>
              <w:t xml:space="preserve"> representative(s) provided customer service and assistance when needed (for example, Help Desk support), and responded to inquiries in a timely manner.</w:t>
            </w:r>
          </w:p>
        </w:tc>
        <w:tc>
          <w:tcPr>
            <w:tcW w:w="186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C7AAC" w:rsidP="00F16CC7" w14:paraId="6B128D4C" w14:textId="77777777">
            <w:pPr>
              <w:rPr>
                <w:rFonts w:eastAsia="Times New Roman"/>
              </w:rPr>
            </w:pPr>
          </w:p>
        </w:tc>
        <w:tc>
          <w:tcPr>
            <w:tcW w:w="186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C7AAC" w:rsidP="00F16CC7" w14:paraId="41C383C9" w14:textId="77777777">
            <w:pPr>
              <w:rPr>
                <w:rFonts w:eastAsia="Times New Roman"/>
                <w:sz w:val="20"/>
                <w:szCs w:val="20"/>
              </w:rPr>
            </w:pPr>
          </w:p>
        </w:tc>
        <w:tc>
          <w:tcPr>
            <w:tcW w:w="186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C7AAC" w:rsidP="00F16CC7" w14:paraId="04A39482" w14:textId="77777777">
            <w:pPr>
              <w:rPr>
                <w:rFonts w:eastAsia="Times New Roman"/>
                <w:sz w:val="20"/>
                <w:szCs w:val="20"/>
              </w:rPr>
            </w:pPr>
          </w:p>
        </w:tc>
      </w:tr>
    </w:tbl>
    <w:p w:rsidR="00FC7AAC" w14:paraId="23C5802C" w14:textId="77777777">
      <w:pPr>
        <w:pStyle w:val="Heading2"/>
        <w:rPr>
          <w:rFonts w:eastAsia="Times New Roman"/>
        </w:rPr>
      </w:pPr>
    </w:p>
    <w:p w:rsidR="002E45D2" w14:paraId="280B3F3F" w14:textId="77777777">
      <w:pPr>
        <w:pStyle w:val="Heading2"/>
        <w:rPr>
          <w:rFonts w:eastAsia="Times New Roman"/>
        </w:rPr>
      </w:pPr>
    </w:p>
    <w:p w:rsidR="002E45D2" w14:paraId="0C138E8A" w14:textId="77777777">
      <w:pPr>
        <w:pStyle w:val="Heading2"/>
        <w:rPr>
          <w:rFonts w:eastAsia="Times New Roman"/>
        </w:rPr>
      </w:pPr>
    </w:p>
    <w:p w:rsidR="002E45D2" w14:paraId="1910A58E" w14:textId="77777777">
      <w:pPr>
        <w:pStyle w:val="Heading2"/>
        <w:rPr>
          <w:rFonts w:eastAsia="Times New Roman"/>
        </w:rPr>
      </w:pPr>
    </w:p>
    <w:p w:rsidR="002E45D2" w14:paraId="7CB44297" w14:textId="77777777">
      <w:pPr>
        <w:pStyle w:val="Heading2"/>
        <w:rPr>
          <w:rFonts w:eastAsia="Times New Roman"/>
        </w:rPr>
      </w:pPr>
    </w:p>
    <w:p w:rsidR="002E45D2" w14:paraId="154F7ADF" w14:textId="77777777">
      <w:pPr>
        <w:pStyle w:val="Heading2"/>
        <w:rPr>
          <w:rFonts w:eastAsia="Times New Roman"/>
        </w:rPr>
      </w:pPr>
    </w:p>
    <w:p w:rsidR="002E45D2" w14:paraId="5C01741C" w14:textId="77777777">
      <w:pPr>
        <w:pStyle w:val="Heading2"/>
        <w:rPr>
          <w:rFonts w:eastAsia="Times New Roman"/>
        </w:rPr>
      </w:pPr>
    </w:p>
    <w:p w:rsidR="002E45D2" w14:paraId="0ACEF2F0" w14:textId="77777777">
      <w:pPr>
        <w:pStyle w:val="Heading2"/>
        <w:rPr>
          <w:rFonts w:eastAsia="Times New Roman"/>
        </w:rPr>
      </w:pPr>
    </w:p>
    <w:p w:rsidR="006C2348" w14:paraId="596BCFC2" w14:textId="280A6D9F">
      <w:pPr>
        <w:pStyle w:val="Heading2"/>
        <w:rPr>
          <w:rFonts w:eastAsia="Times New Roman"/>
        </w:rPr>
      </w:pPr>
      <w:r>
        <w:rPr>
          <w:rFonts w:eastAsia="Times New Roman"/>
        </w:rPr>
        <w:t>RNA Industry Activities</w:t>
      </w:r>
    </w:p>
    <w:p w:rsidR="006C2348" w14:paraId="180E39FE" w14:textId="77777777">
      <w:pPr>
        <w:pStyle w:val="normaltext"/>
      </w:pPr>
    </w:p>
    <w:p w:rsidR="006C2348" w14:paraId="74D38A0E" w14:textId="77777777">
      <w:pPr>
        <w:pStyle w:val="NormalWeb"/>
        <w:outlineLvl w:val="4"/>
        <w:rPr>
          <w:b/>
          <w:bCs/>
        </w:rPr>
      </w:pPr>
      <w:r>
        <w:rPr>
          <w:b/>
          <w:bCs/>
        </w:rPr>
        <w:t>RNA Industry Activities</w:t>
      </w:r>
    </w:p>
    <w:p w:rsidR="006C2348" w14:paraId="7264318B" w14:textId="77777777">
      <w:pPr>
        <w:pStyle w:val="Heading4"/>
        <w:spacing w:before="0" w:after="0"/>
        <w:rPr>
          <w:rFonts w:eastAsia="Times New Roman"/>
        </w:rPr>
      </w:pPr>
      <w:r>
        <w:rPr>
          <w:rFonts w:eastAsia="Times New Roman"/>
        </w:rPr>
        <w:t>*</w:t>
      </w:r>
    </w:p>
    <w:tbl>
      <w:tblPr>
        <w:tblStyle w:val="Tabelacomgrade"/>
        <w:tblW w:w="9346" w:type="dxa"/>
        <w:tblInd w:w="0" w:type="dxa"/>
        <w:tblBorders>
          <w:top w:val="single" w:sz="6" w:space="0" w:color="000000"/>
          <w:left w:val="single" w:sz="6" w:space="0" w:color="000000"/>
          <w:bottom w:val="single" w:sz="6" w:space="0" w:color="000000"/>
          <w:right w:val="single" w:sz="6" w:space="0" w:color="000000"/>
        </w:tblBorders>
        <w:tblLook w:val="01E0"/>
      </w:tblPr>
      <w:tblGrid>
        <w:gridCol w:w="3956"/>
        <w:gridCol w:w="1796"/>
        <w:gridCol w:w="1796"/>
        <w:gridCol w:w="1798"/>
      </w:tblGrid>
      <w:tr w14:paraId="3BFC5E53" w14:textId="77777777" w:rsidTr="001F2AE0">
        <w:tblPrEx>
          <w:tblW w:w="9346" w:type="dxa"/>
          <w:tblInd w:w="0" w:type="dxa"/>
          <w:tblBorders>
            <w:top w:val="single" w:sz="6" w:space="0" w:color="000000"/>
            <w:left w:val="single" w:sz="6" w:space="0" w:color="000000"/>
            <w:bottom w:val="single" w:sz="6" w:space="0" w:color="000000"/>
            <w:right w:val="single" w:sz="6" w:space="0" w:color="000000"/>
          </w:tblBorders>
          <w:tblLook w:val="01E0"/>
        </w:tblPrEx>
        <w:trPr>
          <w:trHeight w:val="567"/>
        </w:trPr>
        <w:tc>
          <w:tcPr>
            <w:tcW w:w="395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C2348" w14:paraId="08CDA872" w14:textId="77777777">
            <w:pPr>
              <w:rPr>
                <w:rFonts w:eastAsia="Times New Roman"/>
              </w:rPr>
            </w:pPr>
          </w:p>
        </w:tc>
        <w:tc>
          <w:tcPr>
            <w:tcW w:w="179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C2348" w14:paraId="54C3D622" w14:textId="77777777">
            <w:pPr>
              <w:jc w:val="center"/>
              <w:rPr>
                <w:rFonts w:eastAsia="Times New Roman"/>
                <w:b/>
                <w:bCs/>
              </w:rPr>
            </w:pPr>
            <w:r>
              <w:rPr>
                <w:rFonts w:eastAsia="Times New Roman"/>
                <w:b/>
                <w:bCs/>
              </w:rPr>
              <w:t>Met</w:t>
            </w:r>
          </w:p>
        </w:tc>
        <w:tc>
          <w:tcPr>
            <w:tcW w:w="179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C2348" w14:paraId="77FAC372" w14:textId="77777777">
            <w:pPr>
              <w:jc w:val="center"/>
              <w:rPr>
                <w:rFonts w:eastAsia="Times New Roman"/>
                <w:b/>
                <w:bCs/>
              </w:rPr>
            </w:pPr>
            <w:r>
              <w:rPr>
                <w:rFonts w:eastAsia="Times New Roman"/>
                <w:b/>
                <w:bCs/>
              </w:rPr>
              <w:t>Not Met</w:t>
            </w:r>
          </w:p>
        </w:tc>
        <w:tc>
          <w:tcPr>
            <w:tcW w:w="179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C2348" w14:paraId="6A28D83C" w14:textId="77777777">
            <w:pPr>
              <w:jc w:val="center"/>
              <w:rPr>
                <w:rFonts w:eastAsia="Times New Roman"/>
                <w:b/>
                <w:bCs/>
              </w:rPr>
            </w:pPr>
            <w:r>
              <w:rPr>
                <w:rFonts w:eastAsia="Times New Roman"/>
                <w:b/>
                <w:bCs/>
              </w:rPr>
              <w:t>N/A</w:t>
            </w:r>
          </w:p>
        </w:tc>
      </w:tr>
      <w:tr w14:paraId="22829CA5" w14:textId="77777777" w:rsidTr="001F2AE0">
        <w:tblPrEx>
          <w:tblW w:w="9346" w:type="dxa"/>
          <w:tblInd w:w="0" w:type="dxa"/>
          <w:tblLook w:val="01E0"/>
        </w:tblPrEx>
        <w:trPr>
          <w:trHeight w:val="1761"/>
        </w:trPr>
        <w:tc>
          <w:tcPr>
            <w:tcW w:w="395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C2348" w14:paraId="5BBB588A" w14:textId="1BE17C4C">
            <w:pPr>
              <w:rPr>
                <w:rFonts w:eastAsia="Times New Roman"/>
              </w:rPr>
            </w:pPr>
            <w:r>
              <w:rPr>
                <w:rFonts w:eastAsia="Times New Roman"/>
              </w:rPr>
              <w:t>The RNA representative(s) effectively participated in and contributed to the resolution of p-ANI related issues at industry forums</w:t>
            </w:r>
            <w:r w:rsidR="00567FCA">
              <w:rPr>
                <w:rFonts w:eastAsia="Times New Roman"/>
              </w:rPr>
              <w:t xml:space="preserve"> (e.g., the Industry Numbering Committee (INC) or the Emergency Services Interconnection Forum (ESIF))</w:t>
            </w:r>
            <w:r>
              <w:rPr>
                <w:rFonts w:eastAsia="Times New Roman"/>
              </w:rPr>
              <w:t>.</w:t>
            </w:r>
          </w:p>
        </w:tc>
        <w:tc>
          <w:tcPr>
            <w:tcW w:w="17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C2348" w14:paraId="3D407D6D" w14:textId="77777777">
            <w:pPr>
              <w:jc w:val="center"/>
              <w:rPr>
                <w:rFonts w:eastAsia="Times New Roman"/>
              </w:rPr>
            </w:pPr>
            <w:r>
              <w:rPr>
                <w:rFonts w:eastAsia="Times New Roman"/>
              </w:rPr>
              <w:t xml:space="preserve">( ) </w:t>
            </w:r>
          </w:p>
        </w:tc>
        <w:tc>
          <w:tcPr>
            <w:tcW w:w="17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C2348" w14:paraId="6E188986" w14:textId="77777777">
            <w:pPr>
              <w:jc w:val="center"/>
              <w:rPr>
                <w:rFonts w:eastAsia="Times New Roman"/>
              </w:rPr>
            </w:pPr>
            <w:r>
              <w:rPr>
                <w:rFonts w:eastAsia="Times New Roman"/>
              </w:rPr>
              <w:t xml:space="preserve">( ) </w:t>
            </w:r>
          </w:p>
        </w:tc>
        <w:tc>
          <w:tcPr>
            <w:tcW w:w="179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C2348" w14:paraId="3E60CC18" w14:textId="77777777">
            <w:pPr>
              <w:jc w:val="center"/>
              <w:rPr>
                <w:rFonts w:eastAsia="Times New Roman"/>
              </w:rPr>
            </w:pPr>
            <w:r>
              <w:rPr>
                <w:rFonts w:eastAsia="Times New Roman"/>
              </w:rPr>
              <w:t xml:space="preserve">( ) </w:t>
            </w:r>
          </w:p>
        </w:tc>
      </w:tr>
    </w:tbl>
    <w:p w:rsidR="006C2348" w14:paraId="07C03D50" w14:textId="77777777">
      <w:pPr>
        <w:pStyle w:val="NormalWeb"/>
        <w:spacing w:after="240" w:afterAutospacing="0"/>
      </w:pPr>
    </w:p>
    <w:p w:rsidR="006C2348" w14:paraId="74FCD198" w14:textId="77777777">
      <w:pPr>
        <w:rPr>
          <w:rFonts w:eastAsia="Times New Roman"/>
        </w:rPr>
      </w:pPr>
      <w:r>
        <w:rPr>
          <w:rFonts w:eastAsia="Times New Roman"/>
          <w:noProof/>
        </w:rPr>
        <w:pict>
          <v:rect id="_x0000_i1034" style="width:468pt;height:0.05pt;mso-height-percent:0;mso-width-percent:0" o:hralign="center" o:hrstd="t" o:hr="t" fillcolor="#a0a0a0" stroked="f"/>
        </w:pict>
      </w:r>
    </w:p>
    <w:p w:rsidR="003658E6" w14:paraId="1C8249A9" w14:textId="77777777">
      <w:pPr>
        <w:pStyle w:val="Heading2"/>
        <w:rPr>
          <w:rFonts w:eastAsia="Times New Roman"/>
        </w:rPr>
      </w:pPr>
    </w:p>
    <w:p w:rsidR="003658E6" w14:paraId="6135EC64" w14:textId="77777777">
      <w:pPr>
        <w:pStyle w:val="Heading2"/>
        <w:rPr>
          <w:rFonts w:eastAsia="Times New Roman"/>
        </w:rPr>
      </w:pPr>
    </w:p>
    <w:p w:rsidR="003658E6" w14:paraId="12CC0563" w14:textId="77777777">
      <w:pPr>
        <w:pStyle w:val="Heading2"/>
        <w:rPr>
          <w:rFonts w:eastAsia="Times New Roman"/>
        </w:rPr>
      </w:pPr>
    </w:p>
    <w:p w:rsidR="003658E6" w14:paraId="689D72F0" w14:textId="77777777">
      <w:pPr>
        <w:pStyle w:val="Heading2"/>
        <w:rPr>
          <w:rFonts w:eastAsia="Times New Roman"/>
        </w:rPr>
      </w:pPr>
    </w:p>
    <w:p w:rsidR="003658E6" w14:paraId="6897B763" w14:textId="77777777">
      <w:pPr>
        <w:pStyle w:val="Heading2"/>
        <w:rPr>
          <w:rFonts w:eastAsia="Times New Roman"/>
        </w:rPr>
      </w:pPr>
    </w:p>
    <w:p w:rsidR="003658E6" w14:paraId="07924452" w14:textId="77777777">
      <w:pPr>
        <w:pStyle w:val="Heading2"/>
        <w:rPr>
          <w:rFonts w:eastAsia="Times New Roman"/>
        </w:rPr>
      </w:pPr>
    </w:p>
    <w:p w:rsidR="003658E6" w14:paraId="05835687" w14:textId="77777777">
      <w:pPr>
        <w:pStyle w:val="Heading2"/>
        <w:rPr>
          <w:rFonts w:eastAsia="Times New Roman"/>
        </w:rPr>
      </w:pPr>
    </w:p>
    <w:p w:rsidR="00B9120A" w14:paraId="6F401CD8" w14:textId="77777777">
      <w:pPr>
        <w:pStyle w:val="Heading2"/>
        <w:rPr>
          <w:rFonts w:eastAsia="Times New Roman"/>
        </w:rPr>
      </w:pPr>
    </w:p>
    <w:p w:rsidR="00B9120A" w14:paraId="34C9345E" w14:textId="77777777">
      <w:pPr>
        <w:pStyle w:val="Heading2"/>
        <w:rPr>
          <w:rFonts w:eastAsia="Times New Roman"/>
        </w:rPr>
      </w:pPr>
    </w:p>
    <w:p w:rsidR="00B9120A" w:rsidP="00B9120A" w14:paraId="6B325F59" w14:textId="77777777">
      <w:pPr>
        <w:pStyle w:val="Heading2"/>
        <w:rPr>
          <w:rFonts w:eastAsia="Times New Roman"/>
        </w:rPr>
      </w:pPr>
      <w:r>
        <w:rPr>
          <w:rFonts w:eastAsia="Times New Roman"/>
        </w:rPr>
        <w:t xml:space="preserve">Transition to Combined NAS </w:t>
      </w:r>
    </w:p>
    <w:p w:rsidR="00B9120A" w:rsidP="00B9120A" w14:paraId="0680D26C" w14:textId="77777777">
      <w:pPr>
        <w:pStyle w:val="normaltext"/>
      </w:pPr>
    </w:p>
    <w:p w:rsidR="00B9120A" w:rsidP="00B9120A" w14:paraId="17151ABB" w14:textId="77777777">
      <w:pPr>
        <w:pStyle w:val="Heading4"/>
        <w:rPr>
          <w:rFonts w:eastAsia="Times New Roman"/>
        </w:rPr>
      </w:pPr>
      <w:r>
        <w:rPr>
          <w:rFonts w:eastAsia="Times New Roman"/>
        </w:rPr>
        <w:t>Transition to Combined NAS*</w:t>
      </w:r>
    </w:p>
    <w:tbl>
      <w:tblPr>
        <w:tblStyle w:val="Tabelacomgrade"/>
        <w:tblW w:w="9698" w:type="dxa"/>
        <w:tblInd w:w="0" w:type="dxa"/>
        <w:tblBorders>
          <w:top w:val="single" w:sz="6" w:space="0" w:color="000000"/>
          <w:left w:val="single" w:sz="6" w:space="0" w:color="000000"/>
          <w:bottom w:val="single" w:sz="6" w:space="0" w:color="000000"/>
          <w:right w:val="single" w:sz="6" w:space="0" w:color="000000"/>
        </w:tblBorders>
        <w:tblLook w:val="01E0"/>
      </w:tblPr>
      <w:tblGrid>
        <w:gridCol w:w="4104"/>
        <w:gridCol w:w="1864"/>
        <w:gridCol w:w="1864"/>
        <w:gridCol w:w="1866"/>
      </w:tblGrid>
      <w:tr w14:paraId="02A147F5" w14:textId="77777777" w:rsidTr="00F16CC7">
        <w:tblPrEx>
          <w:tblW w:w="9698" w:type="dxa"/>
          <w:tblInd w:w="0" w:type="dxa"/>
          <w:tblBorders>
            <w:top w:val="single" w:sz="6" w:space="0" w:color="000000"/>
            <w:left w:val="single" w:sz="6" w:space="0" w:color="000000"/>
            <w:bottom w:val="single" w:sz="6" w:space="0" w:color="000000"/>
            <w:right w:val="single" w:sz="6" w:space="0" w:color="000000"/>
          </w:tblBorders>
          <w:tblLook w:val="01E0"/>
        </w:tblPrEx>
        <w:trPr>
          <w:trHeight w:val="527"/>
        </w:trPr>
        <w:tc>
          <w:tcPr>
            <w:tcW w:w="410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9120A" w:rsidP="00F16CC7" w14:paraId="1FAF32D4" w14:textId="77777777">
            <w:pPr>
              <w:rPr>
                <w:rFonts w:eastAsia="Times New Roman"/>
              </w:rPr>
            </w:pPr>
          </w:p>
        </w:tc>
        <w:tc>
          <w:tcPr>
            <w:tcW w:w="186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9120A" w:rsidP="00F16CC7" w14:paraId="1F3DC004" w14:textId="77777777">
            <w:pPr>
              <w:jc w:val="center"/>
              <w:rPr>
                <w:rFonts w:eastAsia="Times New Roman"/>
                <w:b/>
                <w:bCs/>
              </w:rPr>
            </w:pPr>
            <w:r>
              <w:rPr>
                <w:rFonts w:eastAsia="Times New Roman"/>
                <w:b/>
                <w:bCs/>
              </w:rPr>
              <w:t>Met</w:t>
            </w:r>
          </w:p>
        </w:tc>
        <w:tc>
          <w:tcPr>
            <w:tcW w:w="186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9120A" w:rsidP="00F16CC7" w14:paraId="1EFC1A7E" w14:textId="77777777">
            <w:pPr>
              <w:jc w:val="center"/>
              <w:rPr>
                <w:rFonts w:eastAsia="Times New Roman"/>
                <w:b/>
                <w:bCs/>
              </w:rPr>
            </w:pPr>
            <w:r>
              <w:rPr>
                <w:rFonts w:eastAsia="Times New Roman"/>
                <w:b/>
                <w:bCs/>
              </w:rPr>
              <w:t>Not Met</w:t>
            </w:r>
          </w:p>
        </w:tc>
        <w:tc>
          <w:tcPr>
            <w:tcW w:w="186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9120A" w:rsidP="00F16CC7" w14:paraId="489120B9" w14:textId="77777777">
            <w:pPr>
              <w:jc w:val="center"/>
              <w:rPr>
                <w:rFonts w:eastAsia="Times New Roman"/>
                <w:b/>
                <w:bCs/>
              </w:rPr>
            </w:pPr>
            <w:r>
              <w:rPr>
                <w:rFonts w:eastAsia="Times New Roman"/>
                <w:b/>
                <w:bCs/>
              </w:rPr>
              <w:t>N/A</w:t>
            </w:r>
          </w:p>
        </w:tc>
      </w:tr>
      <w:tr w14:paraId="09F16CBA" w14:textId="77777777" w:rsidTr="00F16CC7">
        <w:tblPrEx>
          <w:tblW w:w="9698" w:type="dxa"/>
          <w:tblInd w:w="0" w:type="dxa"/>
          <w:tblLook w:val="01E0"/>
        </w:tblPrEx>
        <w:trPr>
          <w:trHeight w:val="3165"/>
        </w:trPr>
        <w:tc>
          <w:tcPr>
            <w:tcW w:w="410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9120A" w:rsidP="00F16CC7" w14:paraId="005220F4" w14:textId="43912480">
            <w:pPr>
              <w:rPr>
                <w:rFonts w:eastAsia="Times New Roman"/>
              </w:rPr>
            </w:pPr>
            <w:r>
              <w:rPr>
                <w:rFonts w:eastAsia="Times New Roman"/>
              </w:rPr>
              <w:t xml:space="preserve">NANPA provided sufficient testing and training for service providers and state </w:t>
            </w:r>
            <w:r w:rsidR="00161316">
              <w:rPr>
                <w:rFonts w:eastAsia="Times New Roman"/>
              </w:rPr>
              <w:t xml:space="preserve">and territorial </w:t>
            </w:r>
            <w:r>
              <w:rPr>
                <w:rFonts w:eastAsia="Times New Roman"/>
              </w:rPr>
              <w:t xml:space="preserve">regulators so that the transition from the </w:t>
            </w:r>
            <w:r w:rsidR="00567FCA">
              <w:rPr>
                <w:rFonts w:eastAsia="Times New Roman"/>
              </w:rPr>
              <w:t>separate</w:t>
            </w:r>
            <w:r>
              <w:rPr>
                <w:rFonts w:eastAsia="Times New Roman"/>
              </w:rPr>
              <w:t xml:space="preserve"> NAS/PAS/RNAS </w:t>
            </w:r>
            <w:r w:rsidR="00567FCA">
              <w:rPr>
                <w:rFonts w:eastAsia="Times New Roman"/>
              </w:rPr>
              <w:t xml:space="preserve">systems </w:t>
            </w:r>
            <w:r>
              <w:rPr>
                <w:rFonts w:eastAsia="Times New Roman"/>
              </w:rPr>
              <w:t xml:space="preserve">to the Combined NAS did not unreasonably delay the processing of p-ANI </w:t>
            </w:r>
            <w:r w:rsidR="00567FCA">
              <w:rPr>
                <w:rFonts w:eastAsia="Times New Roman"/>
              </w:rPr>
              <w:t>applications</w:t>
            </w:r>
            <w:r>
              <w:rPr>
                <w:rFonts w:eastAsia="Times New Roman"/>
              </w:rPr>
              <w:t xml:space="preserve"> by service providers or the processing of information requests by state</w:t>
            </w:r>
            <w:r w:rsidR="00161316">
              <w:rPr>
                <w:rFonts w:eastAsia="Times New Roman"/>
              </w:rPr>
              <w:t xml:space="preserve"> and territorial</w:t>
            </w:r>
            <w:r>
              <w:rPr>
                <w:rFonts w:eastAsia="Times New Roman"/>
              </w:rPr>
              <w:t xml:space="preserve"> regulators.</w:t>
            </w:r>
          </w:p>
        </w:tc>
        <w:tc>
          <w:tcPr>
            <w:tcW w:w="186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9120A" w:rsidP="00F16CC7" w14:paraId="69C6E4CA" w14:textId="77777777">
            <w:pPr>
              <w:rPr>
                <w:rFonts w:eastAsia="Times New Roman"/>
              </w:rPr>
            </w:pPr>
          </w:p>
        </w:tc>
        <w:tc>
          <w:tcPr>
            <w:tcW w:w="186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9120A" w:rsidP="00F16CC7" w14:paraId="0E441A68" w14:textId="77777777">
            <w:pPr>
              <w:rPr>
                <w:rFonts w:eastAsia="Times New Roman"/>
                <w:sz w:val="20"/>
                <w:szCs w:val="20"/>
              </w:rPr>
            </w:pPr>
          </w:p>
        </w:tc>
        <w:tc>
          <w:tcPr>
            <w:tcW w:w="186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9120A" w:rsidP="00F16CC7" w14:paraId="65B5C91E" w14:textId="77777777">
            <w:pPr>
              <w:rPr>
                <w:rFonts w:eastAsia="Times New Roman"/>
                <w:sz w:val="20"/>
                <w:szCs w:val="20"/>
              </w:rPr>
            </w:pPr>
          </w:p>
        </w:tc>
      </w:tr>
    </w:tbl>
    <w:p w:rsidR="00B9120A" w:rsidP="00B9120A" w14:paraId="0DE4D378" w14:textId="77777777">
      <w:pPr>
        <w:rPr>
          <w:rFonts w:eastAsia="Times New Roman"/>
        </w:rPr>
      </w:pPr>
      <w:r>
        <w:rPr>
          <w:rFonts w:eastAsia="Times New Roman"/>
          <w:noProof/>
        </w:rPr>
        <w:pict>
          <v:rect id="_x0000_i1035" style="width:468pt;height:0.05pt;mso-height-percent:0;mso-width-percent:0" o:hralign="center" o:hrstd="t" o:hr="t" fillcolor="#a0a0a0" stroked="f"/>
        </w:pict>
      </w:r>
    </w:p>
    <w:p w:rsidR="00B9120A" w:rsidP="00B9120A" w14:paraId="1E916967" w14:textId="77777777">
      <w:pPr>
        <w:pStyle w:val="Heading4"/>
        <w:rPr>
          <w:rFonts w:eastAsia="Times New Roman"/>
        </w:rPr>
      </w:pPr>
      <w:r>
        <w:rPr>
          <w:rFonts w:eastAsia="Times New Roman"/>
        </w:rPr>
        <w:t>Performance of Combined NAS*</w:t>
      </w:r>
    </w:p>
    <w:tbl>
      <w:tblPr>
        <w:tblStyle w:val="Tabelacomgrade"/>
        <w:tblW w:w="9698" w:type="dxa"/>
        <w:tblInd w:w="0" w:type="dxa"/>
        <w:tblBorders>
          <w:top w:val="single" w:sz="6" w:space="0" w:color="000000"/>
          <w:left w:val="single" w:sz="6" w:space="0" w:color="000000"/>
          <w:bottom w:val="single" w:sz="6" w:space="0" w:color="000000"/>
          <w:right w:val="single" w:sz="6" w:space="0" w:color="000000"/>
        </w:tblBorders>
        <w:tblLook w:val="01E0"/>
      </w:tblPr>
      <w:tblGrid>
        <w:gridCol w:w="4104"/>
        <w:gridCol w:w="1864"/>
        <w:gridCol w:w="1864"/>
        <w:gridCol w:w="1866"/>
      </w:tblGrid>
      <w:tr w14:paraId="6E694987" w14:textId="77777777" w:rsidTr="00F16CC7">
        <w:tblPrEx>
          <w:tblW w:w="9698" w:type="dxa"/>
          <w:tblInd w:w="0" w:type="dxa"/>
          <w:tblBorders>
            <w:top w:val="single" w:sz="6" w:space="0" w:color="000000"/>
            <w:left w:val="single" w:sz="6" w:space="0" w:color="000000"/>
            <w:bottom w:val="single" w:sz="6" w:space="0" w:color="000000"/>
            <w:right w:val="single" w:sz="6" w:space="0" w:color="000000"/>
          </w:tblBorders>
          <w:tblLook w:val="01E0"/>
        </w:tblPrEx>
        <w:trPr>
          <w:trHeight w:val="527"/>
        </w:trPr>
        <w:tc>
          <w:tcPr>
            <w:tcW w:w="410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9120A" w:rsidP="00F16CC7" w14:paraId="4B8560D8" w14:textId="77777777">
            <w:pPr>
              <w:rPr>
                <w:rFonts w:eastAsia="Times New Roman"/>
              </w:rPr>
            </w:pPr>
          </w:p>
        </w:tc>
        <w:tc>
          <w:tcPr>
            <w:tcW w:w="186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9120A" w:rsidP="00F16CC7" w14:paraId="56E122CC" w14:textId="77777777">
            <w:pPr>
              <w:jc w:val="center"/>
              <w:rPr>
                <w:rFonts w:eastAsia="Times New Roman"/>
                <w:b/>
                <w:bCs/>
              </w:rPr>
            </w:pPr>
            <w:r>
              <w:rPr>
                <w:rFonts w:eastAsia="Times New Roman"/>
                <w:b/>
                <w:bCs/>
              </w:rPr>
              <w:t>Met</w:t>
            </w:r>
          </w:p>
        </w:tc>
        <w:tc>
          <w:tcPr>
            <w:tcW w:w="186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9120A" w:rsidP="00F16CC7" w14:paraId="1600CE45" w14:textId="77777777">
            <w:pPr>
              <w:jc w:val="center"/>
              <w:rPr>
                <w:rFonts w:eastAsia="Times New Roman"/>
                <w:b/>
                <w:bCs/>
              </w:rPr>
            </w:pPr>
            <w:r>
              <w:rPr>
                <w:rFonts w:eastAsia="Times New Roman"/>
                <w:b/>
                <w:bCs/>
              </w:rPr>
              <w:t>Not Met</w:t>
            </w:r>
          </w:p>
        </w:tc>
        <w:tc>
          <w:tcPr>
            <w:tcW w:w="186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9120A" w:rsidP="00F16CC7" w14:paraId="37F5DE98" w14:textId="77777777">
            <w:pPr>
              <w:jc w:val="center"/>
              <w:rPr>
                <w:rFonts w:eastAsia="Times New Roman"/>
                <w:b/>
                <w:bCs/>
              </w:rPr>
            </w:pPr>
            <w:r>
              <w:rPr>
                <w:rFonts w:eastAsia="Times New Roman"/>
                <w:b/>
                <w:bCs/>
              </w:rPr>
              <w:t>N/A</w:t>
            </w:r>
          </w:p>
        </w:tc>
      </w:tr>
      <w:tr w14:paraId="58AEB215" w14:textId="77777777" w:rsidTr="00F16CC7">
        <w:tblPrEx>
          <w:tblW w:w="9698" w:type="dxa"/>
          <w:tblInd w:w="0" w:type="dxa"/>
          <w:tblLook w:val="01E0"/>
        </w:tblPrEx>
        <w:trPr>
          <w:trHeight w:val="3165"/>
        </w:trPr>
        <w:tc>
          <w:tcPr>
            <w:tcW w:w="410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9120A" w:rsidP="00F16CC7" w14:paraId="5836B7DA" w14:textId="2D76BCA0">
            <w:pPr>
              <w:rPr>
                <w:rFonts w:eastAsia="Times New Roman"/>
              </w:rPr>
            </w:pPr>
            <w:r>
              <w:rPr>
                <w:rFonts w:eastAsia="Times New Roman"/>
              </w:rPr>
              <w:t>The new combined NAS provided similar or better functionality</w:t>
            </w:r>
            <w:r w:rsidR="00934061">
              <w:rPr>
                <w:rFonts w:eastAsia="Times New Roman"/>
              </w:rPr>
              <w:t>.</w:t>
            </w:r>
          </w:p>
        </w:tc>
        <w:tc>
          <w:tcPr>
            <w:tcW w:w="186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9120A" w:rsidP="00F16CC7" w14:paraId="4638111E" w14:textId="77777777">
            <w:pPr>
              <w:rPr>
                <w:rFonts w:eastAsia="Times New Roman"/>
              </w:rPr>
            </w:pPr>
          </w:p>
        </w:tc>
        <w:tc>
          <w:tcPr>
            <w:tcW w:w="186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9120A" w:rsidP="00F16CC7" w14:paraId="6FF58D74" w14:textId="77777777">
            <w:pPr>
              <w:rPr>
                <w:rFonts w:eastAsia="Times New Roman"/>
                <w:sz w:val="20"/>
                <w:szCs w:val="20"/>
              </w:rPr>
            </w:pPr>
          </w:p>
        </w:tc>
        <w:tc>
          <w:tcPr>
            <w:tcW w:w="186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9120A" w:rsidP="00F16CC7" w14:paraId="3A408803" w14:textId="77777777">
            <w:pPr>
              <w:rPr>
                <w:rFonts w:eastAsia="Times New Roman"/>
                <w:sz w:val="20"/>
                <w:szCs w:val="20"/>
              </w:rPr>
            </w:pPr>
          </w:p>
        </w:tc>
      </w:tr>
    </w:tbl>
    <w:p w:rsidR="00B9120A" w:rsidP="00B9120A" w14:paraId="40F2A50C" w14:textId="77777777">
      <w:pPr>
        <w:rPr>
          <w:rFonts w:eastAsia="Times New Roman"/>
        </w:rPr>
      </w:pPr>
      <w:r>
        <w:rPr>
          <w:rFonts w:eastAsia="Times New Roman"/>
          <w:noProof/>
        </w:rPr>
        <w:pict>
          <v:rect id="_x0000_i1036" style="width:468pt;height:0.05pt;mso-height-percent:0;mso-width-percent:0" o:hralign="center" o:hrstd="t" o:hr="t" fillcolor="#a0a0a0" stroked="f"/>
        </w:pict>
      </w:r>
    </w:p>
    <w:p w:rsidR="00B9120A" w:rsidP="00B9120A" w14:paraId="37B299E6" w14:textId="77777777">
      <w:pPr>
        <w:pStyle w:val="Heading2"/>
        <w:rPr>
          <w:rFonts w:eastAsia="Times New Roman"/>
        </w:rPr>
      </w:pPr>
    </w:p>
    <w:p w:rsidR="006C2348" w14:paraId="2201A284" w14:textId="7B805680">
      <w:pPr>
        <w:pStyle w:val="Heading2"/>
        <w:rPr>
          <w:rFonts w:eastAsia="Times New Roman"/>
        </w:rPr>
      </w:pPr>
      <w:r>
        <w:rPr>
          <w:rFonts w:eastAsia="Times New Roman"/>
        </w:rPr>
        <w:t>Overall Assessment of the RNA</w:t>
      </w:r>
    </w:p>
    <w:p w:rsidR="006C2348" w14:paraId="33C463D1" w14:textId="77777777">
      <w:pPr>
        <w:pStyle w:val="normaltext"/>
      </w:pPr>
    </w:p>
    <w:p w:rsidR="006C2348" w14:paraId="103615CE" w14:textId="77777777">
      <w:pPr>
        <w:pStyle w:val="NormalWeb"/>
        <w:outlineLvl w:val="4"/>
        <w:rPr>
          <w:b/>
          <w:bCs/>
        </w:rPr>
      </w:pPr>
      <w:r>
        <w:rPr>
          <w:b/>
          <w:bCs/>
        </w:rPr>
        <w:t> </w:t>
      </w:r>
    </w:p>
    <w:p w:rsidR="006C2348" w:rsidRPr="00E62CE5" w:rsidP="00E62CE5" w14:paraId="0F5ED65A" w14:textId="666E2CFF">
      <w:pPr>
        <w:pStyle w:val="NormalWeb"/>
        <w:outlineLvl w:val="4"/>
        <w:rPr>
          <w:b/>
          <w:bCs/>
        </w:rPr>
      </w:pPr>
      <w:r>
        <w:rPr>
          <w:b/>
          <w:bCs/>
        </w:rPr>
        <w:t>Overall Assessment of the RNA</w:t>
      </w:r>
      <w:r>
        <w:rPr>
          <w:rFonts w:eastAsia="Times New Roman"/>
        </w:rPr>
        <w:t>*</w:t>
      </w:r>
    </w:p>
    <w:tbl>
      <w:tblPr>
        <w:tblStyle w:val="Tabelacomgrade"/>
        <w:tblW w:w="9523" w:type="dxa"/>
        <w:tblInd w:w="0" w:type="dxa"/>
        <w:tblBorders>
          <w:top w:val="single" w:sz="6" w:space="0" w:color="000000"/>
          <w:left w:val="single" w:sz="6" w:space="0" w:color="000000"/>
          <w:bottom w:val="single" w:sz="6" w:space="0" w:color="000000"/>
          <w:right w:val="single" w:sz="6" w:space="0" w:color="000000"/>
        </w:tblBorders>
        <w:tblLook w:val="01E0"/>
      </w:tblPr>
      <w:tblGrid>
        <w:gridCol w:w="3512"/>
        <w:gridCol w:w="2003"/>
        <w:gridCol w:w="2003"/>
        <w:gridCol w:w="2005"/>
      </w:tblGrid>
      <w:tr w14:paraId="28C8B6AB" w14:textId="77777777" w:rsidTr="001F2AE0">
        <w:tblPrEx>
          <w:tblW w:w="9523" w:type="dxa"/>
          <w:tblInd w:w="0" w:type="dxa"/>
          <w:tblBorders>
            <w:top w:val="single" w:sz="6" w:space="0" w:color="000000"/>
            <w:left w:val="single" w:sz="6" w:space="0" w:color="000000"/>
            <w:bottom w:val="single" w:sz="6" w:space="0" w:color="000000"/>
            <w:right w:val="single" w:sz="6" w:space="0" w:color="000000"/>
          </w:tblBorders>
          <w:tblLook w:val="01E0"/>
        </w:tblPrEx>
        <w:trPr>
          <w:trHeight w:val="545"/>
        </w:trPr>
        <w:tc>
          <w:tcPr>
            <w:tcW w:w="35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C2348" w14:paraId="445201E1" w14:textId="77777777">
            <w:pPr>
              <w:rPr>
                <w:rFonts w:eastAsia="Times New Roman"/>
              </w:rPr>
            </w:pPr>
          </w:p>
        </w:tc>
        <w:tc>
          <w:tcPr>
            <w:tcW w:w="200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C2348" w14:paraId="191EDDA5" w14:textId="77777777">
            <w:pPr>
              <w:jc w:val="center"/>
              <w:rPr>
                <w:rFonts w:eastAsia="Times New Roman"/>
                <w:b/>
                <w:bCs/>
              </w:rPr>
            </w:pPr>
            <w:r>
              <w:rPr>
                <w:rFonts w:eastAsia="Times New Roman"/>
                <w:b/>
                <w:bCs/>
              </w:rPr>
              <w:t>Met</w:t>
            </w:r>
          </w:p>
        </w:tc>
        <w:tc>
          <w:tcPr>
            <w:tcW w:w="200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C2348" w14:paraId="5029D2AA" w14:textId="77777777">
            <w:pPr>
              <w:jc w:val="center"/>
              <w:rPr>
                <w:rFonts w:eastAsia="Times New Roman"/>
                <w:b/>
                <w:bCs/>
              </w:rPr>
            </w:pPr>
            <w:r>
              <w:rPr>
                <w:rFonts w:eastAsia="Times New Roman"/>
                <w:b/>
                <w:bCs/>
              </w:rPr>
              <w:t>Not Met</w:t>
            </w:r>
          </w:p>
        </w:tc>
        <w:tc>
          <w:tcPr>
            <w:tcW w:w="200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C2348" w14:paraId="6F83A7C9" w14:textId="77777777">
            <w:pPr>
              <w:jc w:val="center"/>
              <w:rPr>
                <w:rFonts w:eastAsia="Times New Roman"/>
                <w:b/>
                <w:bCs/>
              </w:rPr>
            </w:pPr>
            <w:r>
              <w:rPr>
                <w:rFonts w:eastAsia="Times New Roman"/>
                <w:b/>
                <w:bCs/>
              </w:rPr>
              <w:t>N/A</w:t>
            </w:r>
          </w:p>
        </w:tc>
      </w:tr>
      <w:tr w14:paraId="3C7E7FEF" w14:textId="77777777" w:rsidTr="001F2AE0">
        <w:tblPrEx>
          <w:tblW w:w="9523" w:type="dxa"/>
          <w:tblInd w:w="0" w:type="dxa"/>
          <w:tblLook w:val="01E0"/>
        </w:tblPrEx>
        <w:trPr>
          <w:trHeight w:val="1563"/>
        </w:trPr>
        <w:tc>
          <w:tcPr>
            <w:tcW w:w="35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C2348" w14:paraId="37148049" w14:textId="77777777">
            <w:pPr>
              <w:rPr>
                <w:rFonts w:eastAsia="Times New Roman"/>
              </w:rPr>
            </w:pPr>
            <w:r>
              <w:rPr>
                <w:rFonts w:eastAsia="Times New Roman"/>
              </w:rPr>
              <w:t>Based upon your experiences in the current performance year, how would you rate the RNA's overall service?</w:t>
            </w:r>
          </w:p>
        </w:tc>
        <w:tc>
          <w:tcPr>
            <w:tcW w:w="200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C2348" w14:paraId="288A32E8" w14:textId="77777777">
            <w:pPr>
              <w:jc w:val="center"/>
              <w:rPr>
                <w:rFonts w:eastAsia="Times New Roman"/>
              </w:rPr>
            </w:pPr>
            <w:r>
              <w:rPr>
                <w:rFonts w:eastAsia="Times New Roman"/>
              </w:rPr>
              <w:t xml:space="preserve">( ) </w:t>
            </w:r>
          </w:p>
        </w:tc>
        <w:tc>
          <w:tcPr>
            <w:tcW w:w="200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C2348" w14:paraId="58CFC592" w14:textId="77777777">
            <w:pPr>
              <w:jc w:val="center"/>
              <w:rPr>
                <w:rFonts w:eastAsia="Times New Roman"/>
              </w:rPr>
            </w:pPr>
            <w:r>
              <w:rPr>
                <w:rFonts w:eastAsia="Times New Roman"/>
              </w:rPr>
              <w:t xml:space="preserve">( ) </w:t>
            </w:r>
          </w:p>
        </w:tc>
        <w:tc>
          <w:tcPr>
            <w:tcW w:w="20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C2348" w14:paraId="35DB6355" w14:textId="77777777">
            <w:pPr>
              <w:jc w:val="center"/>
              <w:rPr>
                <w:rFonts w:eastAsia="Times New Roman"/>
              </w:rPr>
            </w:pPr>
            <w:r>
              <w:rPr>
                <w:rFonts w:eastAsia="Times New Roman"/>
              </w:rPr>
              <w:t xml:space="preserve">( ) </w:t>
            </w:r>
          </w:p>
        </w:tc>
      </w:tr>
    </w:tbl>
    <w:p w:rsidR="006C2348" w14:paraId="5BFEB54F" w14:textId="77777777">
      <w:pPr>
        <w:pStyle w:val="NormalWeb"/>
        <w:spacing w:after="240" w:afterAutospacing="0"/>
      </w:pPr>
    </w:p>
    <w:p w:rsidR="006C2348" w14:paraId="557E8E76" w14:textId="77777777">
      <w:pPr>
        <w:rPr>
          <w:rFonts w:eastAsia="Times New Roman"/>
        </w:rPr>
      </w:pPr>
      <w:r>
        <w:rPr>
          <w:rFonts w:eastAsia="Times New Roman"/>
          <w:noProof/>
        </w:rPr>
        <w:pict>
          <v:rect id="_x0000_i1037" style="width:468pt;height:0.05pt;mso-height-percent:0;mso-width-percent:0" o:hralign="center" o:hrstd="t" o:hr="t" fillcolor="#a0a0a0" stroked="f"/>
        </w:pict>
      </w:r>
    </w:p>
    <w:p w:rsidR="006C2348" w14:paraId="732C1AE2" w14:textId="77777777">
      <w:pPr>
        <w:pStyle w:val="Heading2"/>
        <w:rPr>
          <w:rFonts w:eastAsia="Times New Roman"/>
        </w:rPr>
      </w:pPr>
      <w:r>
        <w:rPr>
          <w:rFonts w:eastAsia="Times New Roman"/>
        </w:rPr>
        <w:t>Comments on Assessment of the RNA</w:t>
      </w:r>
    </w:p>
    <w:p w:rsidR="006C2348" w14:paraId="7E103E05" w14:textId="77777777">
      <w:pPr>
        <w:pStyle w:val="normaltext"/>
      </w:pPr>
    </w:p>
    <w:p w:rsidR="006C2348" w14:paraId="502831A3" w14:textId="77777777">
      <w:pPr>
        <w:pStyle w:val="NormalWeb"/>
        <w:outlineLvl w:val="3"/>
        <w:rPr>
          <w:b/>
          <w:bCs/>
          <w:sz w:val="27"/>
          <w:szCs w:val="27"/>
        </w:rPr>
      </w:pPr>
      <w:r>
        <w:rPr>
          <w:rStyle w:val="Strong"/>
        </w:rPr>
        <w:t>Comments on Assessment of the RNA</w:t>
      </w:r>
    </w:p>
    <w:p w:rsidR="006C2348" w14:paraId="310522BE" w14:textId="77777777">
      <w:pPr>
        <w:pStyle w:val="normaltext"/>
      </w:pPr>
      <w:r>
        <w:t>Provide comments to explain your assessment of the RNA including any experiences you may have had, positive or negative, and describe the situation and the outcome. Your comments are encouraged and appreciated.</w:t>
      </w:r>
    </w:p>
    <w:p w:rsidR="006C2348" w14:paraId="2D129569" w14:textId="77777777">
      <w:pPr>
        <w:pStyle w:val="normaltext"/>
      </w:pPr>
      <w:r>
        <w:t xml:space="preserve">____________________________________________ </w:t>
      </w:r>
    </w:p>
    <w:p w:rsidR="006C2348" w14:paraId="3CFAB470" w14:textId="77777777">
      <w:pPr>
        <w:pStyle w:val="normaltext"/>
      </w:pPr>
      <w:r>
        <w:t xml:space="preserve">____________________________________________ </w:t>
      </w:r>
    </w:p>
    <w:p w:rsidR="006C2348" w14:paraId="78E8F79D" w14:textId="77777777">
      <w:pPr>
        <w:pStyle w:val="normaltext"/>
      </w:pPr>
      <w:r>
        <w:t xml:space="preserve">____________________________________________ </w:t>
      </w:r>
    </w:p>
    <w:p w:rsidR="006C2348" w14:paraId="1C703474" w14:textId="77777777">
      <w:pPr>
        <w:pStyle w:val="normaltext"/>
      </w:pPr>
      <w:r>
        <w:t xml:space="preserve">____________________________________________ </w:t>
      </w:r>
    </w:p>
    <w:p w:rsidR="006C2348" w14:paraId="179907B5" w14:textId="77777777">
      <w:pPr>
        <w:pStyle w:val="NormalWeb"/>
        <w:spacing w:after="240" w:afterAutospacing="0"/>
      </w:pPr>
    </w:p>
    <w:p w:rsidR="006C2348" w14:paraId="64C95BC1" w14:textId="77777777">
      <w:pPr>
        <w:rPr>
          <w:rFonts w:eastAsia="Times New Roman"/>
        </w:rPr>
      </w:pPr>
      <w:r>
        <w:rPr>
          <w:rFonts w:eastAsia="Times New Roman"/>
          <w:noProof/>
        </w:rPr>
        <w:pict>
          <v:rect id="_x0000_i1038" style="width:468pt;height:0.05pt;mso-height-percent:0;mso-width-percent:0" o:hralign="center" o:hrstd="t" o:hr="t" fillcolor="#a0a0a0" stroked="f"/>
        </w:pict>
      </w:r>
    </w:p>
    <w:p w:rsidR="006C2348" w14:paraId="1BD1F360" w14:textId="77777777">
      <w:pPr>
        <w:pStyle w:val="Heading2"/>
        <w:rPr>
          <w:rFonts w:eastAsia="Times New Roman"/>
        </w:rPr>
      </w:pPr>
      <w:r>
        <w:rPr>
          <w:rFonts w:eastAsia="Times New Roman"/>
        </w:rPr>
        <w:t>Final page before survey submission</w:t>
      </w:r>
    </w:p>
    <w:p w:rsidR="006C2348" w14:paraId="607271CE" w14:textId="77777777">
      <w:pPr>
        <w:pStyle w:val="normaltext"/>
      </w:pPr>
    </w:p>
    <w:p w:rsidR="006C2348" w14:paraId="2184D410" w14:textId="5F6A8BF8">
      <w:pPr>
        <w:pStyle w:val="Heading3"/>
        <w:rPr>
          <w:rFonts w:eastAsia="Times New Roman"/>
        </w:rPr>
      </w:pPr>
      <w:r>
        <w:rPr>
          <w:rFonts w:eastAsia="Times New Roman"/>
          <w:sz w:val="24"/>
          <w:szCs w:val="24"/>
        </w:rPr>
        <w:t xml:space="preserve">You may save your responses by selecting the "Save and continue survey later" option on this page.  Or if you are ready to submit your survey, please click on the "Submit" button below. Only submitted surveys will be incorporated into the NANPA/PA/RNA </w:t>
      </w:r>
      <w:r w:rsidR="003658E6">
        <w:rPr>
          <w:rFonts w:eastAsia="Times New Roman"/>
          <w:sz w:val="24"/>
          <w:szCs w:val="24"/>
        </w:rPr>
        <w:t>2024</w:t>
      </w:r>
      <w:r w:rsidR="005205DB">
        <w:rPr>
          <w:rFonts w:eastAsia="Times New Roman"/>
          <w:sz w:val="24"/>
          <w:szCs w:val="24"/>
        </w:rPr>
        <w:t xml:space="preserve"> </w:t>
      </w:r>
      <w:r>
        <w:rPr>
          <w:rFonts w:eastAsia="Times New Roman"/>
          <w:sz w:val="24"/>
          <w:szCs w:val="24"/>
        </w:rPr>
        <w:t>Performance Evaluation Report.</w:t>
      </w:r>
    </w:p>
    <w:p w:rsidR="006C2348" w14:paraId="7FC836AF" w14:textId="77777777">
      <w:pPr>
        <w:pStyle w:val="NormalWeb"/>
        <w:spacing w:after="240" w:afterAutospacing="0"/>
      </w:pPr>
    </w:p>
    <w:p w:rsidR="006C2348" w14:paraId="3EE6E5B7" w14:textId="77777777">
      <w:pPr>
        <w:rPr>
          <w:rFonts w:eastAsia="Times New Roman"/>
        </w:rPr>
      </w:pPr>
      <w:r>
        <w:rPr>
          <w:rFonts w:eastAsia="Times New Roman"/>
          <w:noProof/>
        </w:rPr>
        <w:pict>
          <v:rect id="_x0000_i1039" style="width:468pt;height:0.05pt;mso-height-percent:0;mso-width-percent:0" o:hralign="center" o:hrstd="t" o:hr="t" fillcolor="#a0a0a0" stroked="f"/>
        </w:pict>
      </w:r>
    </w:p>
    <w:p w:rsidR="006C2348" w14:paraId="3B0766FC" w14:textId="77777777">
      <w:pPr>
        <w:pStyle w:val="Heading2"/>
        <w:rPr>
          <w:rFonts w:eastAsia="Times New Roman"/>
        </w:rPr>
      </w:pPr>
      <w:r>
        <w:rPr>
          <w:rFonts w:eastAsia="Times New Roman"/>
        </w:rPr>
        <w:t>Thank You!</w:t>
      </w:r>
    </w:p>
    <w:p w:rsidR="006C2348" w14:paraId="2606B2A8" w14:textId="77777777">
      <w:pPr>
        <w:pStyle w:val="normaltext"/>
      </w:pPr>
    </w:p>
    <w:p w:rsidR="006C2348" w14:paraId="6A009A17" w14:textId="77777777">
      <w:pPr>
        <w:pStyle w:val="NormalWeb"/>
        <w:outlineLvl w:val="3"/>
        <w:rPr>
          <w:b/>
          <w:bCs/>
          <w:sz w:val="27"/>
          <w:szCs w:val="27"/>
        </w:rPr>
      </w:pPr>
      <w:r>
        <w:rPr>
          <w:b/>
          <w:bCs/>
          <w:sz w:val="27"/>
          <w:szCs w:val="27"/>
        </w:rPr>
        <w:t> </w:t>
      </w:r>
    </w:p>
    <w:p w:rsidR="006C2348" w14:paraId="34245400" w14:textId="77777777">
      <w:pPr>
        <w:pStyle w:val="NormalWeb"/>
        <w:outlineLvl w:val="3"/>
        <w:rPr>
          <w:b/>
          <w:bCs/>
          <w:sz w:val="27"/>
          <w:szCs w:val="27"/>
        </w:rPr>
      </w:pPr>
      <w:r>
        <w:rPr>
          <w:b/>
          <w:bCs/>
        </w:rPr>
        <w:t>Your responses have been submitted.</w:t>
      </w:r>
    </w:p>
    <w:p w:rsidR="006C2348" w14:paraId="70B75033" w14:textId="77777777">
      <w:pPr>
        <w:pStyle w:val="NormalWeb"/>
        <w:outlineLvl w:val="3"/>
        <w:rPr>
          <w:b/>
          <w:bCs/>
          <w:sz w:val="27"/>
          <w:szCs w:val="27"/>
        </w:rPr>
      </w:pPr>
      <w:r>
        <w:rPr>
          <w:b/>
          <w:bCs/>
          <w:sz w:val="27"/>
          <w:szCs w:val="27"/>
        </w:rPr>
        <w:t> </w:t>
      </w:r>
    </w:p>
    <w:p w:rsidR="006C2348" w14:paraId="438CAA51" w14:textId="1588A06B">
      <w:pPr>
        <w:pStyle w:val="NormalWeb"/>
        <w:outlineLvl w:val="3"/>
        <w:rPr>
          <w:b/>
          <w:bCs/>
          <w:sz w:val="27"/>
          <w:szCs w:val="27"/>
        </w:rPr>
      </w:pPr>
      <w:r>
        <w:rPr>
          <w:b/>
          <w:bCs/>
        </w:rPr>
        <w:t xml:space="preserve">Thank you for taking the </w:t>
      </w:r>
      <w:r w:rsidR="005205DB">
        <w:rPr>
          <w:rStyle w:val="Strong"/>
        </w:rPr>
        <w:t xml:space="preserve">2024 </w:t>
      </w:r>
      <w:r>
        <w:rPr>
          <w:rStyle w:val="Strong"/>
        </w:rPr>
        <w:t>RNA Performance Survey.</w:t>
      </w:r>
    </w:p>
    <w:p w:rsidR="006C2348" w14:paraId="066EAD96" w14:textId="77777777">
      <w:pPr>
        <w:pStyle w:val="NormalWeb"/>
        <w:outlineLvl w:val="3"/>
        <w:rPr>
          <w:b/>
          <w:bCs/>
          <w:sz w:val="27"/>
          <w:szCs w:val="27"/>
        </w:rPr>
      </w:pPr>
      <w:r>
        <w:rPr>
          <w:b/>
          <w:bCs/>
          <w:sz w:val="27"/>
          <w:szCs w:val="27"/>
        </w:rPr>
        <w:t> </w:t>
      </w:r>
    </w:p>
    <w:p w:rsidR="006C2348" w14:paraId="5F0603E5" w14:textId="357EE2A4">
      <w:pPr>
        <w:pStyle w:val="NormalWeb"/>
        <w:outlineLvl w:val="3"/>
        <w:rPr>
          <w:b/>
          <w:bCs/>
          <w:sz w:val="27"/>
          <w:szCs w:val="27"/>
        </w:rPr>
      </w:pPr>
      <w:r>
        <w:rPr>
          <w:b/>
          <w:bCs/>
        </w:rPr>
        <w:t xml:space="preserve">Overall survey results will be incorporated into the NANPA/PA/RNA </w:t>
      </w:r>
      <w:r w:rsidR="005205DB">
        <w:rPr>
          <w:b/>
          <w:bCs/>
        </w:rPr>
        <w:t xml:space="preserve">2024 </w:t>
      </w:r>
      <w:r>
        <w:rPr>
          <w:b/>
          <w:bCs/>
        </w:rPr>
        <w:t xml:space="preserve">Performance Evaluation Report and will be posted at </w:t>
      </w:r>
      <w:hyperlink r:id="rId4" w:history="1">
        <w:r>
          <w:rPr>
            <w:rStyle w:val="Hyperlink"/>
            <w:b/>
            <w:bCs/>
            <w:color w:val="0563C1"/>
            <w:sz w:val="21"/>
            <w:szCs w:val="21"/>
          </w:rPr>
          <w:t>NANC - North American Numbering Council (nanc-chair.org)</w:t>
        </w:r>
      </w:hyperlink>
      <w:r>
        <w:rPr>
          <w:b/>
          <w:bCs/>
          <w:sz w:val="21"/>
          <w:szCs w:val="21"/>
        </w:rPr>
        <w:t>.</w:t>
      </w:r>
    </w:p>
    <w:p w:rsidR="006C2348" w14:paraId="04D04F12" w14:textId="77777777">
      <w:pPr>
        <w:pStyle w:val="NormalWeb"/>
        <w:spacing w:after="240" w:afterAutospacing="0"/>
      </w:pPr>
    </w:p>
    <w:p w:rsidR="006C2348" w14:paraId="46762813" w14:textId="77777777">
      <w:pPr>
        <w:pStyle w:val="NormalWeb"/>
        <w:spacing w:after="240" w:afterAutospacing="0"/>
      </w:pPr>
    </w:p>
    <w:p w:rsidR="00DC12AF" w14:paraId="3DEC4622" w14:textId="77777777">
      <w:pPr>
        <w:rPr>
          <w:rFonts w:eastAsia="Times New Roman"/>
        </w:rPr>
      </w:pPr>
      <w:r>
        <w:rPr>
          <w:rFonts w:eastAsia="Times New Roman"/>
          <w:noProof/>
        </w:rPr>
        <w:pict>
          <v:rect id="_x0000_i1040" style="width:468pt;height:0.05pt;mso-height-percent:0;mso-width-percent:0" o:hralign="center" o:hrstd="t" o:hr="t" fillcolor="#a0a0a0" stroked="f"/>
        </w:pic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1315F5"/>
    <w:multiLevelType w:val="multilevel"/>
    <w:tmpl w:val="301E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4E513D"/>
    <w:multiLevelType w:val="multilevel"/>
    <w:tmpl w:val="9952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1A43EC"/>
    <w:multiLevelType w:val="multilevel"/>
    <w:tmpl w:val="1038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5416592">
    <w:abstractNumId w:val="0"/>
  </w:num>
  <w:num w:numId="2" w16cid:durableId="70663109">
    <w:abstractNumId w:val="2"/>
  </w:num>
  <w:num w:numId="3" w16cid:durableId="371924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268"/>
    <w:rsid w:val="00013279"/>
    <w:rsid w:val="00065268"/>
    <w:rsid w:val="000B3C59"/>
    <w:rsid w:val="00125911"/>
    <w:rsid w:val="00160587"/>
    <w:rsid w:val="00161316"/>
    <w:rsid w:val="001775C9"/>
    <w:rsid w:val="0019566A"/>
    <w:rsid w:val="00197597"/>
    <w:rsid w:val="001F2AE0"/>
    <w:rsid w:val="00282657"/>
    <w:rsid w:val="00290952"/>
    <w:rsid w:val="002A4AFB"/>
    <w:rsid w:val="002E45D2"/>
    <w:rsid w:val="003506C3"/>
    <w:rsid w:val="003574DF"/>
    <w:rsid w:val="003658E6"/>
    <w:rsid w:val="00397C76"/>
    <w:rsid w:val="003B1F1E"/>
    <w:rsid w:val="003C6E7A"/>
    <w:rsid w:val="00425590"/>
    <w:rsid w:val="00472D13"/>
    <w:rsid w:val="004B210E"/>
    <w:rsid w:val="004C716E"/>
    <w:rsid w:val="004D15F0"/>
    <w:rsid w:val="004F0B9C"/>
    <w:rsid w:val="005205DB"/>
    <w:rsid w:val="00567FCA"/>
    <w:rsid w:val="00587948"/>
    <w:rsid w:val="005B08E8"/>
    <w:rsid w:val="005B16EA"/>
    <w:rsid w:val="005C2F96"/>
    <w:rsid w:val="00631A43"/>
    <w:rsid w:val="00685F87"/>
    <w:rsid w:val="00687D51"/>
    <w:rsid w:val="00696F89"/>
    <w:rsid w:val="006A6019"/>
    <w:rsid w:val="006C2348"/>
    <w:rsid w:val="0070332D"/>
    <w:rsid w:val="007042FD"/>
    <w:rsid w:val="00744E54"/>
    <w:rsid w:val="00777BE3"/>
    <w:rsid w:val="00787BDF"/>
    <w:rsid w:val="007B0A70"/>
    <w:rsid w:val="007E6B59"/>
    <w:rsid w:val="007F38DB"/>
    <w:rsid w:val="00891F8F"/>
    <w:rsid w:val="00934061"/>
    <w:rsid w:val="00935B90"/>
    <w:rsid w:val="009763B7"/>
    <w:rsid w:val="009B4D90"/>
    <w:rsid w:val="009C5DAF"/>
    <w:rsid w:val="009F2B82"/>
    <w:rsid w:val="00A03339"/>
    <w:rsid w:val="00A40E1B"/>
    <w:rsid w:val="00A556F5"/>
    <w:rsid w:val="00B33EEB"/>
    <w:rsid w:val="00B9120A"/>
    <w:rsid w:val="00BB5832"/>
    <w:rsid w:val="00C35A12"/>
    <w:rsid w:val="00C4682D"/>
    <w:rsid w:val="00C539B5"/>
    <w:rsid w:val="00CC45C7"/>
    <w:rsid w:val="00CC7CEA"/>
    <w:rsid w:val="00D0031B"/>
    <w:rsid w:val="00DB616D"/>
    <w:rsid w:val="00DC12AF"/>
    <w:rsid w:val="00E11DD2"/>
    <w:rsid w:val="00E51764"/>
    <w:rsid w:val="00E62CE5"/>
    <w:rsid w:val="00E950B6"/>
    <w:rsid w:val="00F168DC"/>
    <w:rsid w:val="00F16CC7"/>
    <w:rsid w:val="00F258BB"/>
    <w:rsid w:val="00F67AC8"/>
    <w:rsid w:val="00F868C0"/>
    <w:rsid w:val="00FA4F4C"/>
    <w:rsid w:val="00FC7AAC"/>
    <w:rsid w:val="00FE7888"/>
  </w:rsids>
  <w:docVars>
    <w:docVar w:name="__Grammarly_42___1" w:val="H4sIAAAAAAAEAKtWcslP9kxRslIyNDY2NzIyNzM2MzYwtLA0MzJS0lEKTi0uzszPAykwrAUATCRwU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6A4DA9"/>
  <w15:chartTrackingRefBased/>
  <w15:docId w15:val="{162F68E5-DC39-4E37-8DE8-82B19072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dxa"/>
      <w:tblCellMar>
        <w:left w:w="0" w:type="dxa"/>
        <w:right w:w="0" w:type="dxa"/>
      </w:tblCellMar>
    </w:tblPr>
  </w:style>
  <w:style w:type="table" w:customStyle="1" w:styleId="Tabelasemgrade">
    <w:name w:val="Tabela sem grade"/>
    <w:basedOn w:val="TableNormal"/>
    <w:rPr>
      <w:sz w:val="24"/>
      <w:szCs w:val="24"/>
    </w:rPr>
    <w:tblPr>
      <w:tblInd w:w="0" w:type="dxa"/>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paragraph" w:styleId="Revision">
    <w:name w:val="Revision"/>
    <w:hidden/>
    <w:uiPriority w:val="99"/>
    <w:semiHidden/>
    <w:rsid w:val="00744E54"/>
    <w:rPr>
      <w:rFonts w:eastAsiaTheme="minorEastAsia"/>
      <w:sz w:val="24"/>
      <w:szCs w:val="24"/>
    </w:rPr>
  </w:style>
  <w:style w:type="character" w:styleId="UnresolvedMention">
    <w:name w:val="Unresolved Mention"/>
    <w:basedOn w:val="DefaultParagraphFont"/>
    <w:uiPriority w:val="99"/>
    <w:semiHidden/>
    <w:unhideWhenUsed/>
    <w:rsid w:val="00567FCA"/>
    <w:rPr>
      <w:color w:val="605E5C"/>
      <w:shd w:val="clear" w:color="auto" w:fill="E1DFDD"/>
    </w:rPr>
  </w:style>
  <w:style w:type="character" w:styleId="CommentReference">
    <w:name w:val="annotation reference"/>
    <w:basedOn w:val="DefaultParagraphFont"/>
    <w:uiPriority w:val="99"/>
    <w:semiHidden/>
    <w:unhideWhenUsed/>
    <w:rsid w:val="00567FCA"/>
    <w:rPr>
      <w:sz w:val="16"/>
      <w:szCs w:val="16"/>
    </w:rPr>
  </w:style>
  <w:style w:type="paragraph" w:styleId="CommentText">
    <w:name w:val="annotation text"/>
    <w:basedOn w:val="Normal"/>
    <w:link w:val="CommentTextChar"/>
    <w:uiPriority w:val="99"/>
    <w:unhideWhenUsed/>
    <w:rsid w:val="00567FCA"/>
    <w:rPr>
      <w:sz w:val="20"/>
      <w:szCs w:val="20"/>
    </w:rPr>
  </w:style>
  <w:style w:type="character" w:customStyle="1" w:styleId="CommentTextChar">
    <w:name w:val="Comment Text Char"/>
    <w:basedOn w:val="DefaultParagraphFont"/>
    <w:link w:val="CommentText"/>
    <w:uiPriority w:val="99"/>
    <w:rsid w:val="00567FCA"/>
    <w:rPr>
      <w:rFonts w:eastAsiaTheme="minorEastAsia"/>
    </w:rPr>
  </w:style>
  <w:style w:type="paragraph" w:styleId="CommentSubject">
    <w:name w:val="annotation subject"/>
    <w:basedOn w:val="CommentText"/>
    <w:next w:val="CommentText"/>
    <w:link w:val="CommentSubjectChar"/>
    <w:uiPriority w:val="99"/>
    <w:semiHidden/>
    <w:unhideWhenUsed/>
    <w:rsid w:val="00567FCA"/>
    <w:rPr>
      <w:b/>
      <w:bCs/>
    </w:rPr>
  </w:style>
  <w:style w:type="character" w:customStyle="1" w:styleId="CommentSubjectChar">
    <w:name w:val="Comment Subject Char"/>
    <w:basedOn w:val="CommentTextChar"/>
    <w:link w:val="CommentSubject"/>
    <w:uiPriority w:val="99"/>
    <w:semiHidden/>
    <w:rsid w:val="00567FCA"/>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nanc-chair.org/" TargetMode="External" /><Relationship Id="rId5" Type="http://schemas.openxmlformats.org/officeDocument/2006/relationships/hyperlink" Target="http://www.nanpa.co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1931</Words>
  <Characters>11009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Riepenkroger, Karen</dc:creator>
  <cp:lastModifiedBy>Nicole Ongele</cp:lastModifiedBy>
  <cp:revision>2</cp:revision>
  <dcterms:created xsi:type="dcterms:W3CDTF">2024-10-25T14:46:00Z</dcterms:created>
  <dcterms:modified xsi:type="dcterms:W3CDTF">2024-10-25T14:46:00Z</dcterms:modified>
</cp:coreProperties>
</file>