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663D" w:rsidRPr="00904338" w:rsidP="00A414DB" w14:paraId="5974D26A" w14:textId="77777777">
      <w:pPr>
        <w:outlineLvl w:val="2"/>
        <w:rPr>
          <w:b/>
          <w:bCs/>
          <w:caps/>
          <w:szCs w:val="24"/>
        </w:rPr>
      </w:pPr>
      <w:r w:rsidRPr="00904338">
        <w:rPr>
          <w:b/>
          <w:spacing w:val="-2"/>
          <w:szCs w:val="24"/>
        </w:rPr>
        <w:t>Ensuring Continuity of 911 Communications Report and Order</w:t>
      </w:r>
      <w:r w:rsidRPr="00904338">
        <w:rPr>
          <w:b/>
          <w:spacing w:val="-2"/>
          <w:szCs w:val="24"/>
        </w:rPr>
        <w:tab/>
      </w:r>
      <w:r w:rsidRPr="00904338">
        <w:rPr>
          <w:b/>
          <w:spacing w:val="-2"/>
          <w:szCs w:val="24"/>
        </w:rPr>
        <w:tab/>
      </w:r>
      <w:r w:rsidRPr="00904338">
        <w:rPr>
          <w:b/>
          <w:spacing w:val="-2"/>
          <w:szCs w:val="24"/>
        </w:rPr>
        <w:tab/>
      </w:r>
      <w:r w:rsidRPr="00904338">
        <w:rPr>
          <w:b/>
          <w:spacing w:val="-2"/>
          <w:szCs w:val="24"/>
        </w:rPr>
        <w:tab/>
        <w:t xml:space="preserve">      </w:t>
      </w:r>
      <w:r w:rsidRPr="00904338" w:rsidR="00A414DB">
        <w:rPr>
          <w:b/>
          <w:spacing w:val="-2"/>
          <w:szCs w:val="24"/>
        </w:rPr>
        <w:t xml:space="preserve">      </w:t>
      </w:r>
      <w:r w:rsidRPr="00904338">
        <w:rPr>
          <w:b/>
          <w:spacing w:val="-2"/>
          <w:szCs w:val="24"/>
        </w:rPr>
        <w:t>3060-1217</w:t>
      </w:r>
    </w:p>
    <w:p w:rsidR="0011663D" w:rsidRPr="00904338" w:rsidP="00A414DB" w14:paraId="71B9163B" w14:textId="00E9A58D">
      <w:pPr>
        <w:outlineLvl w:val="2"/>
        <w:rPr>
          <w:bCs/>
          <w:caps/>
          <w:szCs w:val="24"/>
        </w:rPr>
      </w:pPr>
      <w:r w:rsidRPr="00904338">
        <w:rPr>
          <w:b/>
          <w:spacing w:val="-2"/>
          <w:szCs w:val="24"/>
        </w:rPr>
        <w:t>PS Docket No. 14-174</w:t>
      </w:r>
      <w:r w:rsidRPr="00904338">
        <w:rPr>
          <w:b/>
          <w:spacing w:val="-2"/>
          <w:szCs w:val="24"/>
        </w:rPr>
        <w:t xml:space="preserve">, </w:t>
      </w:r>
      <w:r w:rsidRPr="00904338">
        <w:rPr>
          <w:b/>
          <w:bCs/>
          <w:caps/>
          <w:szCs w:val="24"/>
        </w:rPr>
        <w:t xml:space="preserve">FCC 15-98 </w:t>
      </w:r>
      <w:r w:rsidRPr="00904338">
        <w:rPr>
          <w:b/>
          <w:bCs/>
          <w:caps/>
          <w:szCs w:val="24"/>
        </w:rPr>
        <w:tab/>
      </w:r>
      <w:r w:rsidRPr="00904338" w:rsidR="00620CD0">
        <w:rPr>
          <w:b/>
          <w:bCs/>
          <w:caps/>
          <w:szCs w:val="24"/>
        </w:rPr>
        <w:tab/>
      </w:r>
      <w:r w:rsidRPr="00904338" w:rsidR="00620CD0">
        <w:rPr>
          <w:b/>
          <w:bCs/>
          <w:caps/>
          <w:szCs w:val="24"/>
        </w:rPr>
        <w:tab/>
      </w:r>
      <w:r w:rsidRPr="00904338" w:rsidR="00620CD0">
        <w:rPr>
          <w:b/>
          <w:bCs/>
          <w:caps/>
          <w:szCs w:val="24"/>
        </w:rPr>
        <w:tab/>
      </w:r>
      <w:r w:rsidRPr="00904338" w:rsidR="00620CD0">
        <w:rPr>
          <w:b/>
          <w:bCs/>
          <w:caps/>
          <w:szCs w:val="24"/>
        </w:rPr>
        <w:tab/>
      </w:r>
      <w:r w:rsidRPr="00904338" w:rsidR="00620CD0">
        <w:rPr>
          <w:b/>
          <w:bCs/>
          <w:caps/>
          <w:szCs w:val="24"/>
        </w:rPr>
        <w:tab/>
      </w:r>
      <w:r w:rsidRPr="00904338" w:rsidR="00620CD0">
        <w:rPr>
          <w:b/>
          <w:bCs/>
          <w:caps/>
          <w:szCs w:val="24"/>
        </w:rPr>
        <w:tab/>
      </w:r>
      <w:r w:rsidRPr="00904338" w:rsidR="00620CD0">
        <w:rPr>
          <w:b/>
          <w:bCs/>
          <w:caps/>
          <w:szCs w:val="24"/>
        </w:rPr>
        <w:tab/>
      </w:r>
      <w:r w:rsidRPr="00904338" w:rsidR="00620CD0">
        <w:rPr>
          <w:b/>
          <w:bCs/>
          <w:caps/>
          <w:szCs w:val="24"/>
        </w:rPr>
        <w:tab/>
      </w:r>
      <w:r w:rsidRPr="00904338" w:rsidR="00620CD0">
        <w:rPr>
          <w:b/>
          <w:bCs/>
          <w:caps/>
          <w:szCs w:val="24"/>
        </w:rPr>
        <w:tab/>
      </w:r>
      <w:r w:rsidRPr="00904338" w:rsidR="00620CD0">
        <w:rPr>
          <w:b/>
          <w:bCs/>
          <w:caps/>
          <w:szCs w:val="24"/>
        </w:rPr>
        <w:tab/>
      </w:r>
      <w:r w:rsidRPr="00904338" w:rsidR="00620CD0">
        <w:rPr>
          <w:b/>
          <w:bCs/>
          <w:caps/>
          <w:szCs w:val="24"/>
        </w:rPr>
        <w:tab/>
      </w:r>
      <w:r w:rsidRPr="00904338" w:rsidR="00620CD0">
        <w:rPr>
          <w:b/>
          <w:bCs/>
          <w:caps/>
          <w:szCs w:val="24"/>
        </w:rPr>
        <w:tab/>
      </w:r>
      <w:r w:rsidRPr="00904338" w:rsidR="00620CD0">
        <w:rPr>
          <w:b/>
          <w:bCs/>
          <w:caps/>
          <w:szCs w:val="24"/>
        </w:rPr>
        <w:tab/>
      </w:r>
      <w:r w:rsidRPr="00904338" w:rsidR="00A00204">
        <w:rPr>
          <w:b/>
          <w:bCs/>
          <w:caps/>
          <w:szCs w:val="24"/>
        </w:rPr>
        <w:t xml:space="preserve">  </w:t>
      </w:r>
      <w:r w:rsidR="00FD75B9">
        <w:rPr>
          <w:b/>
          <w:szCs w:val="24"/>
        </w:rPr>
        <w:t xml:space="preserve">    October</w:t>
      </w:r>
      <w:r w:rsidRPr="00904338" w:rsidR="00BB4DD6">
        <w:rPr>
          <w:b/>
          <w:bCs/>
          <w:szCs w:val="24"/>
        </w:rPr>
        <w:t xml:space="preserve"> 2024</w:t>
      </w:r>
      <w:r w:rsidRPr="00904338" w:rsidR="00A00204">
        <w:rPr>
          <w:b/>
          <w:bCs/>
          <w:caps/>
          <w:szCs w:val="24"/>
        </w:rPr>
        <w:t xml:space="preserve"> </w:t>
      </w:r>
      <w:r w:rsidRPr="00904338">
        <w:rPr>
          <w:b/>
          <w:bCs/>
          <w:caps/>
          <w:szCs w:val="24"/>
        </w:rPr>
        <w:tab/>
      </w:r>
      <w:r w:rsidRPr="00904338">
        <w:rPr>
          <w:b/>
          <w:bCs/>
          <w:caps/>
          <w:szCs w:val="24"/>
        </w:rPr>
        <w:tab/>
      </w:r>
      <w:r w:rsidRPr="00904338">
        <w:rPr>
          <w:b/>
          <w:bCs/>
          <w:caps/>
          <w:szCs w:val="24"/>
        </w:rPr>
        <w:tab/>
      </w:r>
      <w:r w:rsidRPr="00904338">
        <w:rPr>
          <w:b/>
          <w:bCs/>
          <w:caps/>
          <w:szCs w:val="24"/>
        </w:rPr>
        <w:tab/>
      </w:r>
      <w:r w:rsidRPr="00904338">
        <w:rPr>
          <w:b/>
          <w:bCs/>
          <w:caps/>
          <w:szCs w:val="24"/>
        </w:rPr>
        <w:tab/>
      </w:r>
      <w:r w:rsidRPr="00904338">
        <w:rPr>
          <w:b/>
          <w:bCs/>
          <w:caps/>
          <w:szCs w:val="24"/>
        </w:rPr>
        <w:tab/>
      </w:r>
      <w:r w:rsidRPr="00904338">
        <w:rPr>
          <w:b/>
          <w:bCs/>
          <w:caps/>
          <w:szCs w:val="24"/>
        </w:rPr>
        <w:tab/>
      </w:r>
      <w:r w:rsidRPr="00904338">
        <w:rPr>
          <w:b/>
          <w:bCs/>
          <w:caps/>
          <w:szCs w:val="24"/>
        </w:rPr>
        <w:tab/>
      </w:r>
      <w:r w:rsidRPr="00904338">
        <w:rPr>
          <w:b/>
          <w:bCs/>
          <w:caps/>
          <w:szCs w:val="24"/>
        </w:rPr>
        <w:tab/>
      </w:r>
      <w:r w:rsidRPr="00904338">
        <w:rPr>
          <w:b/>
          <w:bCs/>
          <w:caps/>
          <w:szCs w:val="24"/>
        </w:rPr>
        <w:tab/>
      </w:r>
      <w:r w:rsidRPr="00904338">
        <w:rPr>
          <w:b/>
          <w:bCs/>
          <w:caps/>
          <w:szCs w:val="24"/>
        </w:rPr>
        <w:tab/>
      </w:r>
      <w:r w:rsidRPr="00904338">
        <w:rPr>
          <w:b/>
          <w:bCs/>
          <w:caps/>
          <w:szCs w:val="24"/>
        </w:rPr>
        <w:tab/>
      </w:r>
      <w:r w:rsidRPr="00904338">
        <w:rPr>
          <w:b/>
          <w:bCs/>
          <w:caps/>
          <w:szCs w:val="24"/>
        </w:rPr>
        <w:tab/>
      </w:r>
    </w:p>
    <w:p w:rsidR="00225490" w:rsidRPr="00904338" w:rsidP="00507A37" w14:paraId="0580EEBA" w14:textId="1B76611C">
      <w:pPr>
        <w:jc w:val="right"/>
        <w:outlineLvl w:val="2"/>
        <w:rPr>
          <w:bCs/>
          <w:szCs w:val="24"/>
        </w:rPr>
      </w:pPr>
      <w:r w:rsidRPr="00904338">
        <w:rPr>
          <w:b/>
          <w:bCs/>
          <w:szCs w:val="24"/>
        </w:rPr>
        <w:tab/>
      </w:r>
      <w:r w:rsidRPr="00904338">
        <w:rPr>
          <w:bCs/>
          <w:szCs w:val="24"/>
        </w:rPr>
        <w:tab/>
      </w:r>
      <w:r w:rsidRPr="00904338">
        <w:rPr>
          <w:bCs/>
          <w:szCs w:val="24"/>
        </w:rPr>
        <w:tab/>
      </w:r>
      <w:r w:rsidRPr="00904338">
        <w:rPr>
          <w:bCs/>
          <w:szCs w:val="24"/>
        </w:rPr>
        <w:tab/>
      </w:r>
    </w:p>
    <w:p w:rsidR="0024107F" w:rsidRPr="00904338" w:rsidP="004B5E8E" w14:paraId="134F7A5F" w14:textId="27783681">
      <w:pPr>
        <w:outlineLvl w:val="2"/>
        <w:rPr>
          <w:b/>
          <w:bCs/>
          <w:caps/>
          <w:szCs w:val="24"/>
        </w:rPr>
      </w:pPr>
      <w:r w:rsidRPr="00904338">
        <w:rPr>
          <w:b/>
          <w:bCs/>
          <w:szCs w:val="24"/>
        </w:rPr>
        <w:tab/>
      </w:r>
      <w:r w:rsidRPr="00904338">
        <w:rPr>
          <w:b/>
          <w:bCs/>
          <w:szCs w:val="24"/>
        </w:rPr>
        <w:tab/>
      </w:r>
      <w:r w:rsidRPr="00904338">
        <w:rPr>
          <w:b/>
          <w:bCs/>
          <w:szCs w:val="24"/>
        </w:rPr>
        <w:tab/>
      </w:r>
      <w:r w:rsidRPr="00904338">
        <w:rPr>
          <w:b/>
          <w:bCs/>
          <w:szCs w:val="24"/>
        </w:rPr>
        <w:tab/>
      </w:r>
      <w:r w:rsidRPr="00904338">
        <w:rPr>
          <w:b/>
          <w:bCs/>
          <w:szCs w:val="24"/>
        </w:rPr>
        <w:tab/>
      </w:r>
      <w:r w:rsidRPr="00904338">
        <w:rPr>
          <w:b/>
          <w:bCs/>
          <w:szCs w:val="24"/>
        </w:rPr>
        <w:tab/>
      </w:r>
      <w:r w:rsidRPr="00904338">
        <w:rPr>
          <w:b/>
          <w:bCs/>
          <w:szCs w:val="24"/>
        </w:rPr>
        <w:tab/>
      </w:r>
      <w:r w:rsidRPr="00904338">
        <w:rPr>
          <w:b/>
          <w:bCs/>
          <w:szCs w:val="24"/>
        </w:rPr>
        <w:tab/>
      </w:r>
      <w:r w:rsidRPr="00904338">
        <w:rPr>
          <w:b/>
          <w:bCs/>
          <w:szCs w:val="24"/>
        </w:rPr>
        <w:tab/>
        <w:t xml:space="preserve">  </w:t>
      </w:r>
      <w:r w:rsidRPr="00904338">
        <w:rPr>
          <w:b/>
          <w:bCs/>
          <w:caps/>
          <w:szCs w:val="24"/>
        </w:rPr>
        <w:t>Supporting Statement</w:t>
      </w:r>
    </w:p>
    <w:p w:rsidR="00C4099A" w:rsidRPr="00904338" w:rsidP="00507A37" w14:paraId="6B1639F8" w14:textId="77777777">
      <w:pPr>
        <w:jc w:val="center"/>
        <w:outlineLvl w:val="2"/>
        <w:rPr>
          <w:b/>
          <w:bCs/>
          <w:caps/>
          <w:szCs w:val="24"/>
        </w:rPr>
      </w:pPr>
    </w:p>
    <w:p w:rsidR="00733F65" w:rsidRPr="00904338" w:rsidP="00507A37" w14:paraId="6E5AE34A" w14:textId="77777777">
      <w:pPr>
        <w:outlineLvl w:val="2"/>
        <w:rPr>
          <w:b/>
          <w:bCs/>
          <w:szCs w:val="24"/>
          <w:u w:val="single"/>
        </w:rPr>
      </w:pPr>
      <w:r w:rsidRPr="00904338">
        <w:rPr>
          <w:b/>
          <w:bCs/>
          <w:szCs w:val="24"/>
        </w:rPr>
        <w:t xml:space="preserve">A.  </w:t>
      </w:r>
      <w:r w:rsidRPr="00904338">
        <w:rPr>
          <w:b/>
          <w:bCs/>
          <w:szCs w:val="24"/>
          <w:u w:val="single"/>
        </w:rPr>
        <w:t>Justification</w:t>
      </w:r>
      <w:r w:rsidRPr="00904338" w:rsidR="00924CAC">
        <w:rPr>
          <w:b/>
          <w:bCs/>
          <w:szCs w:val="24"/>
          <w:u w:val="single"/>
        </w:rPr>
        <w:t>:</w:t>
      </w:r>
    </w:p>
    <w:p w:rsidR="00DD3CD4" w:rsidRPr="00904338" w:rsidP="00507A37" w14:paraId="2FCE87B8" w14:textId="77777777">
      <w:pPr>
        <w:outlineLvl w:val="2"/>
        <w:rPr>
          <w:bCs/>
          <w:szCs w:val="24"/>
        </w:rPr>
      </w:pPr>
    </w:p>
    <w:p w:rsidR="005E0EAF" w:rsidRPr="00904338" w:rsidP="00507A37" w14:paraId="21395ECF" w14:textId="77777777">
      <w:pPr>
        <w:numPr>
          <w:ilvl w:val="0"/>
          <w:numId w:val="7"/>
        </w:numPr>
        <w:tabs>
          <w:tab w:val="left" w:pos="-720"/>
          <w:tab w:val="num" w:pos="360"/>
          <w:tab w:val="clear" w:pos="720"/>
        </w:tabs>
        <w:suppressAutoHyphens/>
        <w:rPr>
          <w:szCs w:val="24"/>
        </w:rPr>
      </w:pPr>
      <w:r w:rsidRPr="00904338">
        <w:rPr>
          <w:b/>
          <w:szCs w:val="24"/>
        </w:rPr>
        <w:t>Explain the circumstances that make the collection of information necessary.  Identify any legal or administrative requirements that necessitate the collection.</w:t>
      </w:r>
    </w:p>
    <w:p w:rsidR="005E0EAF" w:rsidRPr="00904338" w:rsidP="00507A37" w14:paraId="30F6F12F" w14:textId="77777777">
      <w:pPr>
        <w:tabs>
          <w:tab w:val="left" w:pos="-720"/>
        </w:tabs>
        <w:suppressAutoHyphens/>
        <w:ind w:left="720"/>
        <w:rPr>
          <w:szCs w:val="24"/>
        </w:rPr>
      </w:pPr>
    </w:p>
    <w:p w:rsidR="0011663D" w:rsidRPr="00904338" w:rsidP="00B4111F" w14:paraId="741246B2" w14:textId="7ED36501">
      <w:pPr>
        <w:pStyle w:val="ParaNum"/>
        <w:numPr>
          <w:ilvl w:val="0"/>
          <w:numId w:val="0"/>
        </w:numPr>
        <w:ind w:left="720"/>
        <w:rPr>
          <w:sz w:val="24"/>
          <w:szCs w:val="24"/>
        </w:rPr>
      </w:pPr>
      <w:r w:rsidRPr="00FF0DD7">
        <w:rPr>
          <w:sz w:val="24"/>
        </w:rPr>
        <w:t>To promote continued access to 911 during commercial power outages, the Commission requires certain service providers to make consumer disclosures and offer subscribers the option to purchase backup power.</w:t>
      </w:r>
      <w:r w:rsidRPr="00904338">
        <w:rPr>
          <w:sz w:val="24"/>
          <w:szCs w:val="24"/>
        </w:rPr>
        <w:t xml:space="preserve"> </w:t>
      </w:r>
      <w:r w:rsidRPr="00904338" w:rsidR="00571665">
        <w:rPr>
          <w:sz w:val="24"/>
          <w:szCs w:val="24"/>
        </w:rPr>
        <w:t xml:space="preserve"> </w:t>
      </w:r>
      <w:r w:rsidRPr="00904338">
        <w:rPr>
          <w:sz w:val="24"/>
          <w:szCs w:val="24"/>
        </w:rPr>
        <w:t>Specifically,</w:t>
      </w:r>
      <w:r w:rsidRPr="00904338" w:rsidR="007927C2">
        <w:rPr>
          <w:sz w:val="24"/>
          <w:szCs w:val="24"/>
        </w:rPr>
        <w:t xml:space="preserve"> section </w:t>
      </w:r>
      <w:r w:rsidRPr="00904338">
        <w:rPr>
          <w:sz w:val="24"/>
          <w:szCs w:val="24"/>
        </w:rPr>
        <w:t>9.20</w:t>
      </w:r>
      <w:r w:rsidRPr="00904338" w:rsidR="007927C2">
        <w:rPr>
          <w:sz w:val="24"/>
          <w:szCs w:val="24"/>
        </w:rPr>
        <w:t xml:space="preserve"> of </w:t>
      </w:r>
      <w:r w:rsidRPr="00904338" w:rsidR="00D16FDD">
        <w:rPr>
          <w:sz w:val="24"/>
          <w:szCs w:val="24"/>
        </w:rPr>
        <w:t xml:space="preserve">the </w:t>
      </w:r>
      <w:r w:rsidRPr="00904338" w:rsidR="007927C2">
        <w:rPr>
          <w:sz w:val="24"/>
          <w:szCs w:val="24"/>
        </w:rPr>
        <w:t>rules place</w:t>
      </w:r>
      <w:r w:rsidRPr="00904338" w:rsidR="006228CD">
        <w:rPr>
          <w:sz w:val="24"/>
          <w:szCs w:val="24"/>
        </w:rPr>
        <w:t>s</w:t>
      </w:r>
      <w:r w:rsidRPr="00904338" w:rsidR="007927C2">
        <w:rPr>
          <w:sz w:val="24"/>
          <w:szCs w:val="24"/>
        </w:rPr>
        <w:t xml:space="preserve"> limited backup power obligations on providers of facilities-based fixed, residential voice services that are not line-powered </w:t>
      </w:r>
      <w:r w:rsidRPr="00904338" w:rsidR="002E3331">
        <w:rPr>
          <w:sz w:val="24"/>
          <w:szCs w:val="24"/>
        </w:rPr>
        <w:t xml:space="preserve">(Covered Services) </w:t>
      </w:r>
      <w:r w:rsidRPr="00904338" w:rsidR="007927C2">
        <w:rPr>
          <w:sz w:val="24"/>
          <w:szCs w:val="24"/>
        </w:rPr>
        <w:t xml:space="preserve">to ensure that such </w:t>
      </w:r>
      <w:r w:rsidRPr="00904338" w:rsidR="001F43A2">
        <w:rPr>
          <w:sz w:val="24"/>
          <w:szCs w:val="24"/>
        </w:rPr>
        <w:t>Covered S</w:t>
      </w:r>
      <w:r w:rsidRPr="00904338" w:rsidR="007927C2">
        <w:rPr>
          <w:sz w:val="24"/>
          <w:szCs w:val="24"/>
        </w:rPr>
        <w:t>ervice providers meet their obligation to provide access to 911 service during a power outage, and to provide clarity for the role of consumers and their communities</w:t>
      </w:r>
      <w:r w:rsidRPr="00904338" w:rsidR="0097571F">
        <w:rPr>
          <w:sz w:val="24"/>
          <w:szCs w:val="24"/>
        </w:rPr>
        <w:t>, if</w:t>
      </w:r>
      <w:r w:rsidRPr="00904338" w:rsidR="007927C2">
        <w:rPr>
          <w:sz w:val="24"/>
          <w:szCs w:val="24"/>
        </w:rPr>
        <w:t xml:space="preserve"> they elect not to purchase backup power.</w:t>
      </w:r>
      <w:r>
        <w:rPr>
          <w:rStyle w:val="FootnoteReference"/>
          <w:sz w:val="24"/>
          <w:szCs w:val="24"/>
        </w:rPr>
        <w:footnoteReference w:id="3"/>
      </w:r>
      <w:r w:rsidRPr="00904338" w:rsidR="007927C2">
        <w:rPr>
          <w:sz w:val="24"/>
          <w:szCs w:val="24"/>
        </w:rPr>
        <w:t xml:space="preserve">  </w:t>
      </w:r>
      <w:r w:rsidRPr="00904338" w:rsidR="0097571F">
        <w:rPr>
          <w:sz w:val="24"/>
          <w:szCs w:val="24"/>
        </w:rPr>
        <w:t>M</w:t>
      </w:r>
      <w:r w:rsidRPr="00904338" w:rsidR="007927C2">
        <w:rPr>
          <w:sz w:val="24"/>
          <w:szCs w:val="24"/>
        </w:rPr>
        <w:t>any providers of residential voice communications already offer some level of backup power to consumers.  However, the vital importance of the continuity of 911 communications, and the Commission’s duty to promote “safety of life and property through the use of wire and radio communication,” favor action to ensure that all consumers understand the risks associated with non-line-powered 911 service, know how to protect themselves from such risks, and have a meaningful opportunity to do so.</w:t>
      </w:r>
      <w:r w:rsidRPr="00904338">
        <w:rPr>
          <w:sz w:val="24"/>
          <w:szCs w:val="24"/>
        </w:rPr>
        <w:t xml:space="preserve">  The Commission previously obtained approval for the information collection requirements associated with these </w:t>
      </w:r>
      <w:r w:rsidRPr="00904338" w:rsidR="0097571F">
        <w:rPr>
          <w:sz w:val="24"/>
          <w:szCs w:val="24"/>
        </w:rPr>
        <w:t xml:space="preserve">residential </w:t>
      </w:r>
      <w:r w:rsidRPr="00904338">
        <w:rPr>
          <w:sz w:val="24"/>
          <w:szCs w:val="24"/>
        </w:rPr>
        <w:t xml:space="preserve">backup </w:t>
      </w:r>
      <w:r w:rsidRPr="00904338" w:rsidR="0097571F">
        <w:rPr>
          <w:sz w:val="24"/>
          <w:szCs w:val="24"/>
        </w:rPr>
        <w:t xml:space="preserve">power </w:t>
      </w:r>
      <w:r w:rsidRPr="00904338">
        <w:rPr>
          <w:sz w:val="24"/>
          <w:szCs w:val="24"/>
        </w:rPr>
        <w:t>rules.</w:t>
      </w:r>
      <w:r>
        <w:rPr>
          <w:rStyle w:val="FootnoteReference"/>
          <w:sz w:val="24"/>
          <w:szCs w:val="24"/>
        </w:rPr>
        <w:footnoteReference w:id="4"/>
      </w:r>
    </w:p>
    <w:p w:rsidR="0011663D" w:rsidRPr="00904338" w:rsidP="0011663D" w14:paraId="7C2F1F0F" w14:textId="0ED6E308">
      <w:pPr>
        <w:pStyle w:val="ParaNum"/>
        <w:numPr>
          <w:ilvl w:val="0"/>
          <w:numId w:val="0"/>
        </w:numPr>
        <w:ind w:left="720"/>
        <w:rPr>
          <w:sz w:val="24"/>
          <w:szCs w:val="24"/>
        </w:rPr>
      </w:pPr>
      <w:r w:rsidRPr="00904338">
        <w:rPr>
          <w:sz w:val="24"/>
          <w:szCs w:val="24"/>
        </w:rPr>
        <w:t>The Commission is seeking an extension of a currently approved information collection from the Office of Management Budget (OMB) to obtain the full three-year approval.</w:t>
      </w:r>
    </w:p>
    <w:p w:rsidR="0011663D" w:rsidRPr="00904338" w:rsidP="0011663D" w14:paraId="36C78127" w14:textId="77777777">
      <w:pPr>
        <w:pStyle w:val="ParaNum"/>
        <w:numPr>
          <w:ilvl w:val="0"/>
          <w:numId w:val="0"/>
        </w:numPr>
        <w:ind w:left="720"/>
        <w:rPr>
          <w:sz w:val="24"/>
          <w:szCs w:val="24"/>
        </w:rPr>
      </w:pPr>
      <w:r w:rsidRPr="00904338">
        <w:rPr>
          <w:sz w:val="24"/>
          <w:szCs w:val="24"/>
        </w:rPr>
        <w:t>This information collection requirement does not apply to individuals or households; thus, there will be no impact under the Privacy Act.</w:t>
      </w:r>
    </w:p>
    <w:p w:rsidR="0011663D" w:rsidP="0011663D" w14:paraId="1EB29501" w14:textId="188D56BD">
      <w:pPr>
        <w:pStyle w:val="ParaNum"/>
        <w:numPr>
          <w:ilvl w:val="0"/>
          <w:numId w:val="0"/>
        </w:numPr>
        <w:ind w:left="720"/>
        <w:rPr>
          <w:sz w:val="24"/>
          <w:szCs w:val="24"/>
        </w:rPr>
      </w:pPr>
      <w:r w:rsidRPr="00904338">
        <w:rPr>
          <w:sz w:val="24"/>
          <w:szCs w:val="24"/>
        </w:rPr>
        <w:t>Statutory authority for this information collection is contained in sections 1, 4(i), and 251(e)(3) of the Communications Act of 1934, as amended, 47 U.S.C. 151, 154(i), 251(e)(3); section 101 of the NET 911 Improvement Act of 2008, Pub. L. No. 110-283, 47 U.S.C.</w:t>
      </w:r>
      <w:r w:rsidR="00A8702D">
        <w:rPr>
          <w:sz w:val="24"/>
          <w:szCs w:val="24"/>
        </w:rPr>
        <w:t xml:space="preserve"> </w:t>
      </w:r>
      <w:r w:rsidRPr="00904338">
        <w:rPr>
          <w:sz w:val="24"/>
          <w:szCs w:val="24"/>
        </w:rPr>
        <w:t>615a-1; and section 106 of the Twenty-First Century Communications and Video Accessibility Act of 2010, Pub. L. No. 111-260, 47 U.S.C. 615c.</w:t>
      </w:r>
    </w:p>
    <w:p w:rsidR="00FD75B9" w:rsidRPr="00904338" w:rsidP="0011663D" w14:paraId="5A612C0F" w14:textId="77777777">
      <w:pPr>
        <w:pStyle w:val="ParaNum"/>
        <w:numPr>
          <w:ilvl w:val="0"/>
          <w:numId w:val="0"/>
        </w:numPr>
        <w:ind w:left="720"/>
        <w:rPr>
          <w:sz w:val="24"/>
          <w:szCs w:val="24"/>
        </w:rPr>
      </w:pPr>
    </w:p>
    <w:p w:rsidR="00E50108" w:rsidRPr="00904338" w:rsidP="00A414DB" w14:paraId="440B070D" w14:textId="508AB48E">
      <w:pPr>
        <w:numPr>
          <w:ilvl w:val="0"/>
          <w:numId w:val="7"/>
        </w:numPr>
        <w:tabs>
          <w:tab w:val="left" w:pos="-720"/>
          <w:tab w:val="num" w:pos="360"/>
          <w:tab w:val="clear" w:pos="720"/>
        </w:tabs>
        <w:suppressAutoHyphens/>
        <w:rPr>
          <w:szCs w:val="24"/>
        </w:rPr>
      </w:pPr>
      <w:r w:rsidRPr="00904338">
        <w:rPr>
          <w:b/>
          <w:szCs w:val="24"/>
        </w:rPr>
        <w:t>Indicate how, by whom</w:t>
      </w:r>
      <w:r w:rsidR="00E63166">
        <w:rPr>
          <w:b/>
          <w:szCs w:val="24"/>
        </w:rPr>
        <w:t>,</w:t>
      </w:r>
      <w:r w:rsidRPr="00904338">
        <w:rPr>
          <w:b/>
          <w:szCs w:val="24"/>
        </w:rPr>
        <w:t xml:space="preserve"> and</w:t>
      </w:r>
      <w:r w:rsidRPr="00904338">
        <w:rPr>
          <w:b/>
          <w:szCs w:val="24"/>
          <w:shd w:val="clear" w:color="auto" w:fill="FFFFFF"/>
        </w:rPr>
        <w:t xml:space="preserve"> for what purpose the information is to be used.</w:t>
      </w:r>
    </w:p>
    <w:p w:rsidR="00502DE8" w:rsidRPr="00904338" w:rsidP="00507A37" w14:paraId="761A66B2" w14:textId="77777777">
      <w:pPr>
        <w:tabs>
          <w:tab w:val="left" w:pos="-720"/>
        </w:tabs>
        <w:suppressAutoHyphens/>
        <w:ind w:left="360"/>
        <w:rPr>
          <w:szCs w:val="24"/>
        </w:rPr>
      </w:pPr>
    </w:p>
    <w:p w:rsidR="00737D11" w:rsidRPr="00904338" w:rsidP="00507A37" w14:paraId="6DE2A6DC" w14:textId="64D0738F">
      <w:pPr>
        <w:pStyle w:val="ParaNum"/>
        <w:widowControl/>
        <w:numPr>
          <w:ilvl w:val="0"/>
          <w:numId w:val="0"/>
        </w:numPr>
        <w:ind w:left="720"/>
        <w:rPr>
          <w:sz w:val="24"/>
          <w:szCs w:val="24"/>
        </w:rPr>
      </w:pPr>
      <w:r w:rsidRPr="00904338">
        <w:rPr>
          <w:sz w:val="24"/>
          <w:szCs w:val="24"/>
        </w:rPr>
        <w:t>W</w:t>
      </w:r>
      <w:r w:rsidRPr="00904338" w:rsidR="00811069">
        <w:rPr>
          <w:sz w:val="24"/>
          <w:szCs w:val="24"/>
        </w:rPr>
        <w:t xml:space="preserve">e require </w:t>
      </w:r>
      <w:r w:rsidRPr="00904338" w:rsidR="005E532E">
        <w:rPr>
          <w:sz w:val="24"/>
          <w:szCs w:val="24"/>
        </w:rPr>
        <w:t xml:space="preserve">Covered Service </w:t>
      </w:r>
      <w:r w:rsidRPr="00904338" w:rsidR="00811069">
        <w:rPr>
          <w:sz w:val="24"/>
          <w:szCs w:val="24"/>
        </w:rPr>
        <w:t>providers to disclose to subscribers the following information:  (1) availability of backup power sources</w:t>
      </w:r>
      <w:r w:rsidRPr="00904338" w:rsidR="00613C75">
        <w:rPr>
          <w:sz w:val="24"/>
          <w:szCs w:val="24"/>
        </w:rPr>
        <w:t xml:space="preserve">, including the availability of at least </w:t>
      </w:r>
      <w:r w:rsidRPr="00904338" w:rsidR="00072C3F">
        <w:rPr>
          <w:sz w:val="24"/>
          <w:szCs w:val="24"/>
        </w:rPr>
        <w:t xml:space="preserve">one backup power solution </w:t>
      </w:r>
      <w:r w:rsidRPr="00904338" w:rsidR="00B001EA">
        <w:rPr>
          <w:sz w:val="24"/>
          <w:szCs w:val="24"/>
        </w:rPr>
        <w:t>providing twenty-four hours o</w:t>
      </w:r>
      <w:r w:rsidRPr="00904338" w:rsidR="00DA4D8F">
        <w:rPr>
          <w:sz w:val="24"/>
          <w:szCs w:val="24"/>
        </w:rPr>
        <w:t>f</w:t>
      </w:r>
      <w:r w:rsidRPr="00904338" w:rsidR="00B001EA">
        <w:rPr>
          <w:sz w:val="24"/>
          <w:szCs w:val="24"/>
        </w:rPr>
        <w:t xml:space="preserve"> </w:t>
      </w:r>
      <w:r w:rsidRPr="00904338" w:rsidR="00DA4D8F">
        <w:rPr>
          <w:sz w:val="24"/>
          <w:szCs w:val="24"/>
        </w:rPr>
        <w:t xml:space="preserve">standby backup power </w:t>
      </w:r>
      <w:r w:rsidRPr="00904338" w:rsidR="00072C3F">
        <w:rPr>
          <w:sz w:val="24"/>
          <w:szCs w:val="24"/>
        </w:rPr>
        <w:t>available directly from the provider</w:t>
      </w:r>
      <w:r w:rsidRPr="00904338" w:rsidR="00811069">
        <w:rPr>
          <w:sz w:val="24"/>
          <w:szCs w:val="24"/>
        </w:rPr>
        <w:t>; (2) service limitations with and without backup power during a power outage; (3) purchase and replacement</w:t>
      </w:r>
      <w:r w:rsidRPr="00904338" w:rsidR="0090419B">
        <w:rPr>
          <w:sz w:val="24"/>
          <w:szCs w:val="24"/>
        </w:rPr>
        <w:t xml:space="preserve"> information, including cost</w:t>
      </w:r>
      <w:r w:rsidRPr="00904338" w:rsidR="00811069">
        <w:rPr>
          <w:sz w:val="24"/>
          <w:szCs w:val="24"/>
        </w:rPr>
        <w:t>; (4) expected backup power duration; (5) proper usage and storage conditions for the backup power source</w:t>
      </w:r>
      <w:r w:rsidRPr="00904338" w:rsidR="00556843">
        <w:rPr>
          <w:sz w:val="24"/>
          <w:szCs w:val="24"/>
        </w:rPr>
        <w:t>, and</w:t>
      </w:r>
      <w:r w:rsidRPr="00904338" w:rsidR="00113D93">
        <w:rPr>
          <w:sz w:val="24"/>
          <w:szCs w:val="24"/>
        </w:rPr>
        <w:t xml:space="preserve"> impact on duration for failing to adhere to proper usage and storage</w:t>
      </w:r>
      <w:r w:rsidRPr="00904338" w:rsidR="00811069">
        <w:rPr>
          <w:sz w:val="24"/>
          <w:szCs w:val="24"/>
        </w:rPr>
        <w:t>; (6) subscriber backup power self-testing and monitoring instructions; and (7) backup power warranty details, if any.</w:t>
      </w:r>
      <w:r>
        <w:rPr>
          <w:rStyle w:val="FootnoteReference"/>
          <w:sz w:val="24"/>
          <w:szCs w:val="24"/>
        </w:rPr>
        <w:footnoteReference w:id="5"/>
      </w:r>
      <w:r w:rsidRPr="00904338" w:rsidR="00E71F52">
        <w:rPr>
          <w:sz w:val="24"/>
          <w:szCs w:val="24"/>
        </w:rPr>
        <w:t xml:space="preserve">  </w:t>
      </w:r>
      <w:r w:rsidRPr="00904338" w:rsidR="00811069">
        <w:rPr>
          <w:sz w:val="24"/>
          <w:szCs w:val="24"/>
        </w:rPr>
        <w:t>Each e</w:t>
      </w:r>
      <w:r w:rsidRPr="00904338" w:rsidR="00E71F52">
        <w:rPr>
          <w:sz w:val="24"/>
          <w:szCs w:val="24"/>
        </w:rPr>
        <w:t>lement of this</w:t>
      </w:r>
      <w:r w:rsidRPr="00904338" w:rsidR="00811069">
        <w:rPr>
          <w:sz w:val="24"/>
          <w:szCs w:val="24"/>
        </w:rPr>
        <w:t xml:space="preserve"> information must be given to subscribers both at the point of sale and annually thereafter, as described </w:t>
      </w:r>
      <w:r w:rsidRPr="00904338">
        <w:rPr>
          <w:sz w:val="24"/>
          <w:szCs w:val="24"/>
        </w:rPr>
        <w:t>in the rule</w:t>
      </w:r>
      <w:r w:rsidRPr="00904338" w:rsidR="00811069">
        <w:rPr>
          <w:sz w:val="24"/>
          <w:szCs w:val="24"/>
        </w:rPr>
        <w:t>.</w:t>
      </w:r>
    </w:p>
    <w:p w:rsidR="00E71F52" w:rsidRPr="00904338" w:rsidP="00507A37" w14:paraId="2B282ADA" w14:textId="2BEE23FF">
      <w:pPr>
        <w:pStyle w:val="ParaNum"/>
        <w:widowControl/>
        <w:numPr>
          <w:ilvl w:val="0"/>
          <w:numId w:val="0"/>
        </w:numPr>
        <w:ind w:left="720"/>
        <w:rPr>
          <w:sz w:val="24"/>
          <w:szCs w:val="24"/>
        </w:rPr>
      </w:pPr>
      <w:r w:rsidRPr="00904338">
        <w:rPr>
          <w:sz w:val="24"/>
          <w:szCs w:val="24"/>
        </w:rPr>
        <w:t>The disclosure requirements are intended to equip subscribers with necessary information to purchase</w:t>
      </w:r>
      <w:r w:rsidRPr="00904338" w:rsidR="00FE7CBB">
        <w:rPr>
          <w:sz w:val="24"/>
          <w:szCs w:val="24"/>
        </w:rPr>
        <w:t>,</w:t>
      </w:r>
      <w:r w:rsidRPr="00904338">
        <w:rPr>
          <w:sz w:val="24"/>
          <w:szCs w:val="24"/>
        </w:rPr>
        <w:t xml:space="preserve"> maintain</w:t>
      </w:r>
      <w:r w:rsidRPr="00904338" w:rsidR="00DF390E">
        <w:rPr>
          <w:sz w:val="24"/>
          <w:szCs w:val="24"/>
        </w:rPr>
        <w:t>, and replace</w:t>
      </w:r>
      <w:r w:rsidRPr="00904338">
        <w:rPr>
          <w:sz w:val="24"/>
          <w:szCs w:val="24"/>
        </w:rPr>
        <w:t xml:space="preserve"> a source of backup power to enhance their ability to maintain access to reliable 911 service from their homes.</w:t>
      </w:r>
    </w:p>
    <w:p w:rsidR="00E50108" w:rsidRPr="00904338" w:rsidP="00507A37" w14:paraId="3F00BA72" w14:textId="4D9F71EF">
      <w:pPr>
        <w:pStyle w:val="ParaNum"/>
        <w:widowControl/>
        <w:numPr>
          <w:ilvl w:val="0"/>
          <w:numId w:val="0"/>
        </w:numPr>
        <w:ind w:left="720"/>
        <w:rPr>
          <w:sz w:val="24"/>
          <w:szCs w:val="24"/>
        </w:rPr>
      </w:pPr>
      <w:r w:rsidRPr="00904338">
        <w:rPr>
          <w:sz w:val="24"/>
          <w:szCs w:val="24"/>
        </w:rPr>
        <w:t xml:space="preserve">We permit </w:t>
      </w:r>
      <w:r w:rsidRPr="00904338" w:rsidR="002D4A51">
        <w:rPr>
          <w:sz w:val="24"/>
          <w:szCs w:val="24"/>
        </w:rPr>
        <w:t xml:space="preserve">Covered Service </w:t>
      </w:r>
      <w:r w:rsidRPr="00904338">
        <w:rPr>
          <w:sz w:val="24"/>
          <w:szCs w:val="24"/>
        </w:rPr>
        <w:t xml:space="preserve">providers to </w:t>
      </w:r>
      <w:r w:rsidR="00F655E6">
        <w:rPr>
          <w:sz w:val="24"/>
          <w:szCs w:val="24"/>
        </w:rPr>
        <w:t>disclose</w:t>
      </w:r>
      <w:r w:rsidRPr="00904338" w:rsidR="00F655E6">
        <w:rPr>
          <w:sz w:val="24"/>
          <w:szCs w:val="24"/>
        </w:rPr>
        <w:t xml:space="preserve"> </w:t>
      </w:r>
      <w:r w:rsidRPr="00F655E6" w:rsidR="00F655E6">
        <w:rPr>
          <w:sz w:val="24"/>
          <w:szCs w:val="24"/>
        </w:rPr>
        <w:t>to each new subscriber at the point of sale and to all subscribers to a Covered Service annually thereafter</w:t>
      </w:r>
      <w:r w:rsidR="0006151B">
        <w:rPr>
          <w:sz w:val="24"/>
          <w:szCs w:val="24"/>
        </w:rPr>
        <w:t xml:space="preserve"> </w:t>
      </w:r>
      <w:r w:rsidRPr="00904338">
        <w:rPr>
          <w:sz w:val="24"/>
          <w:szCs w:val="24"/>
        </w:rPr>
        <w:t>information described above by any means reasonably calculated to reach the individual subscriber.  For example, a provider may meet this obligation through a combination of disclosures via email, an online billing statement, or other digital or electronic means for subscribers that communicate with the provider through these means.  For a subscriber that does not communicate with the provider through email and/or online billing statements</w:t>
      </w:r>
      <w:r w:rsidR="006D03AF">
        <w:rPr>
          <w:sz w:val="24"/>
          <w:szCs w:val="24"/>
        </w:rPr>
        <w:t>—</w:t>
      </w:r>
      <w:r w:rsidRPr="00904338">
        <w:rPr>
          <w:sz w:val="24"/>
          <w:szCs w:val="24"/>
        </w:rPr>
        <w:t>such as someone who ordered service on the phone or in a physical store and receives a paper bill by regular mail</w:t>
      </w:r>
      <w:r w:rsidR="006D03AF">
        <w:rPr>
          <w:sz w:val="24"/>
          <w:szCs w:val="24"/>
        </w:rPr>
        <w:t>—</w:t>
      </w:r>
      <w:r w:rsidRPr="00904338">
        <w:rPr>
          <w:sz w:val="24"/>
          <w:szCs w:val="24"/>
        </w:rPr>
        <w:t xml:space="preserve">email </w:t>
      </w:r>
      <w:r w:rsidRPr="00904338" w:rsidR="00007DCD">
        <w:rPr>
          <w:sz w:val="24"/>
          <w:szCs w:val="24"/>
        </w:rPr>
        <w:t xml:space="preserve">or an online billing statement </w:t>
      </w:r>
      <w:r w:rsidRPr="00904338">
        <w:rPr>
          <w:sz w:val="24"/>
          <w:szCs w:val="24"/>
        </w:rPr>
        <w:t>would not be a means reasonably calculated to reach that subscriber.</w:t>
      </w:r>
    </w:p>
    <w:p w:rsidR="00DD5DB7" w:rsidRPr="00904338" w:rsidP="00507A37" w14:paraId="19FD8BAC" w14:textId="77777777">
      <w:pPr>
        <w:numPr>
          <w:ilvl w:val="0"/>
          <w:numId w:val="7"/>
        </w:numPr>
        <w:tabs>
          <w:tab w:val="left" w:pos="-720"/>
          <w:tab w:val="num" w:pos="360"/>
          <w:tab w:val="clear" w:pos="720"/>
        </w:tabs>
        <w:suppressAutoHyphens/>
        <w:rPr>
          <w:szCs w:val="24"/>
        </w:rPr>
      </w:pPr>
      <w:r w:rsidRPr="00904338">
        <w:rPr>
          <w:b/>
          <w:szCs w:val="24"/>
          <w:shd w:val="clear" w:color="auto" w:fill="FFFFFF"/>
        </w:rPr>
        <w:t>Describe whether, and to what extent, the collection of information involves the use of automated, electronic, mechanical, or other technological collection techniques or other forms of information technology, e.g.</w:t>
      </w:r>
      <w:r w:rsidRPr="00904338" w:rsidR="00617321">
        <w:rPr>
          <w:b/>
          <w:szCs w:val="24"/>
          <w:shd w:val="clear" w:color="auto" w:fill="FFFFFF"/>
        </w:rPr>
        <w:t>,</w:t>
      </w:r>
      <w:r w:rsidRPr="00904338">
        <w:rPr>
          <w:b/>
          <w:szCs w:val="24"/>
          <w:shd w:val="clear" w:color="auto" w:fill="FFFFFF"/>
        </w:rPr>
        <w:t xml:space="preserve"> permitting electronic submission of responses, and the basis for the decision for adopting this means of collection.  Also describe any consideration of using information technology to reduce burden.</w:t>
      </w:r>
    </w:p>
    <w:p w:rsidR="00DD5DB7" w:rsidRPr="00904338" w:rsidP="00507A37" w14:paraId="2EE3FA4F" w14:textId="77777777">
      <w:pPr>
        <w:tabs>
          <w:tab w:val="left" w:pos="-720"/>
        </w:tabs>
        <w:suppressAutoHyphens/>
        <w:ind w:left="360"/>
        <w:rPr>
          <w:szCs w:val="24"/>
        </w:rPr>
      </w:pPr>
    </w:p>
    <w:p w:rsidR="00D1430A" w:rsidRPr="00904338" w:rsidP="00A414DB" w14:paraId="7B0684B5" w14:textId="6B38C3AA">
      <w:pPr>
        <w:pStyle w:val="ParaNum"/>
        <w:widowControl/>
        <w:numPr>
          <w:ilvl w:val="0"/>
          <w:numId w:val="0"/>
        </w:numPr>
        <w:ind w:left="720"/>
        <w:rPr>
          <w:sz w:val="24"/>
          <w:szCs w:val="24"/>
        </w:rPr>
      </w:pPr>
      <w:r w:rsidRPr="00904338">
        <w:rPr>
          <w:sz w:val="24"/>
          <w:szCs w:val="24"/>
        </w:rPr>
        <w:t>T</w:t>
      </w:r>
      <w:r w:rsidRPr="00904338" w:rsidR="00093FBD">
        <w:rPr>
          <w:sz w:val="24"/>
          <w:szCs w:val="24"/>
        </w:rPr>
        <w:t xml:space="preserve">o reduce </w:t>
      </w:r>
      <w:r w:rsidRPr="00904338">
        <w:rPr>
          <w:sz w:val="24"/>
          <w:szCs w:val="24"/>
        </w:rPr>
        <w:t xml:space="preserve">the </w:t>
      </w:r>
      <w:r w:rsidRPr="00904338" w:rsidR="00093FBD">
        <w:rPr>
          <w:sz w:val="24"/>
          <w:szCs w:val="24"/>
        </w:rPr>
        <w:t>burden, t</w:t>
      </w:r>
      <w:r w:rsidRPr="00904338" w:rsidR="00F9006B">
        <w:rPr>
          <w:sz w:val="24"/>
          <w:szCs w:val="24"/>
        </w:rPr>
        <w:t xml:space="preserve">he </w:t>
      </w:r>
      <w:r w:rsidRPr="00904338">
        <w:rPr>
          <w:sz w:val="24"/>
          <w:szCs w:val="24"/>
        </w:rPr>
        <w:t>disclosure requirements permit</w:t>
      </w:r>
      <w:r w:rsidRPr="00904338" w:rsidR="00093FBD">
        <w:rPr>
          <w:sz w:val="24"/>
          <w:szCs w:val="24"/>
        </w:rPr>
        <w:t xml:space="preserve"> </w:t>
      </w:r>
      <w:r w:rsidRPr="00904338" w:rsidR="002D4A51">
        <w:rPr>
          <w:sz w:val="24"/>
          <w:szCs w:val="24"/>
        </w:rPr>
        <w:t xml:space="preserve">Covered Service </w:t>
      </w:r>
      <w:r w:rsidRPr="00904338" w:rsidR="00093FBD">
        <w:rPr>
          <w:sz w:val="24"/>
          <w:szCs w:val="24"/>
        </w:rPr>
        <w:t>providers to convey the information described above by any means reasonably calculated to reach the individual subscriber.</w:t>
      </w:r>
      <w:r w:rsidRPr="00904338" w:rsidR="00EC65A8">
        <w:rPr>
          <w:sz w:val="24"/>
          <w:szCs w:val="24"/>
        </w:rPr>
        <w:t xml:space="preserve">  </w:t>
      </w:r>
      <w:r w:rsidRPr="00904338">
        <w:rPr>
          <w:sz w:val="24"/>
          <w:szCs w:val="24"/>
        </w:rPr>
        <w:t>Thus, the collection potentially involves the use of automated, electronic, mechanical, other technological collection techniques, or other forms of information technology.</w:t>
      </w:r>
    </w:p>
    <w:p w:rsidR="00EC65A8" w:rsidRPr="00904338" w:rsidP="00507A37" w14:paraId="441E160E" w14:textId="77777777">
      <w:pPr>
        <w:numPr>
          <w:ilvl w:val="0"/>
          <w:numId w:val="7"/>
        </w:numPr>
        <w:tabs>
          <w:tab w:val="left" w:pos="-720"/>
          <w:tab w:val="num" w:pos="360"/>
          <w:tab w:val="clear" w:pos="720"/>
        </w:tabs>
        <w:suppressAutoHyphens/>
        <w:rPr>
          <w:szCs w:val="24"/>
        </w:rPr>
      </w:pPr>
      <w:r w:rsidRPr="00904338">
        <w:rPr>
          <w:b/>
          <w:szCs w:val="24"/>
          <w:shd w:val="clear" w:color="auto" w:fill="FFFFFF"/>
        </w:rPr>
        <w:t>Describe efforts to identify duplication.  Show specifically why any similar information already available cannot be used or modified for use for the purposes described in item 2 above.</w:t>
      </w:r>
    </w:p>
    <w:p w:rsidR="00EC65A8" w:rsidRPr="00904338" w:rsidP="00507A37" w14:paraId="5140EC21" w14:textId="77777777">
      <w:pPr>
        <w:ind w:left="720"/>
        <w:rPr>
          <w:szCs w:val="24"/>
          <w:shd w:val="clear" w:color="auto" w:fill="FFFFFF"/>
        </w:rPr>
      </w:pPr>
    </w:p>
    <w:p w:rsidR="00EC65A8" w:rsidRPr="00904338" w:rsidP="00507A37" w14:paraId="42AF8E0C" w14:textId="7E15B1D1">
      <w:pPr>
        <w:pStyle w:val="ParaNum"/>
        <w:widowControl/>
        <w:numPr>
          <w:ilvl w:val="0"/>
          <w:numId w:val="0"/>
        </w:numPr>
        <w:ind w:left="720"/>
        <w:rPr>
          <w:sz w:val="24"/>
          <w:szCs w:val="24"/>
        </w:rPr>
      </w:pPr>
      <w:r w:rsidRPr="00904338">
        <w:rPr>
          <w:sz w:val="24"/>
          <w:szCs w:val="24"/>
        </w:rPr>
        <w:t>Commission rules existing prior to this collection require</w:t>
      </w:r>
      <w:r w:rsidRPr="00904338" w:rsidR="00227F80">
        <w:rPr>
          <w:sz w:val="24"/>
          <w:szCs w:val="24"/>
        </w:rPr>
        <w:t>d</w:t>
      </w:r>
      <w:r w:rsidRPr="00904338">
        <w:rPr>
          <w:sz w:val="24"/>
          <w:szCs w:val="24"/>
        </w:rPr>
        <w:t xml:space="preserve"> limited customer notification for interconnected </w:t>
      </w:r>
      <w:r w:rsidR="00753141">
        <w:rPr>
          <w:sz w:val="24"/>
          <w:szCs w:val="24"/>
        </w:rPr>
        <w:t>Voice over Internet Protocol (</w:t>
      </w:r>
      <w:r w:rsidRPr="00904338">
        <w:rPr>
          <w:sz w:val="24"/>
          <w:szCs w:val="24"/>
        </w:rPr>
        <w:t>VoIP</w:t>
      </w:r>
      <w:r w:rsidR="00753141">
        <w:rPr>
          <w:sz w:val="24"/>
          <w:szCs w:val="24"/>
        </w:rPr>
        <w:t>)</w:t>
      </w:r>
      <w:r w:rsidRPr="00904338">
        <w:rPr>
          <w:sz w:val="24"/>
          <w:szCs w:val="24"/>
        </w:rPr>
        <w:t xml:space="preserve"> service providers.  This requirement, however, is only for a subset of </w:t>
      </w:r>
      <w:r w:rsidRPr="00904338" w:rsidR="00EB5DF4">
        <w:rPr>
          <w:sz w:val="24"/>
          <w:szCs w:val="24"/>
        </w:rPr>
        <w:t xml:space="preserve">the universe </w:t>
      </w:r>
      <w:r w:rsidRPr="00904338" w:rsidR="00240BE1">
        <w:rPr>
          <w:sz w:val="24"/>
          <w:szCs w:val="24"/>
        </w:rPr>
        <w:t>o</w:t>
      </w:r>
      <w:r w:rsidRPr="00904338" w:rsidR="00EB5DF4">
        <w:rPr>
          <w:sz w:val="24"/>
          <w:szCs w:val="24"/>
        </w:rPr>
        <w:t>f C</w:t>
      </w:r>
      <w:r w:rsidRPr="00904338">
        <w:rPr>
          <w:sz w:val="24"/>
          <w:szCs w:val="24"/>
        </w:rPr>
        <w:t xml:space="preserve">overed </w:t>
      </w:r>
      <w:r w:rsidRPr="00904338" w:rsidR="00EB5DF4">
        <w:rPr>
          <w:sz w:val="24"/>
          <w:szCs w:val="24"/>
        </w:rPr>
        <w:t xml:space="preserve">Service </w:t>
      </w:r>
      <w:r w:rsidRPr="00904338">
        <w:rPr>
          <w:sz w:val="24"/>
          <w:szCs w:val="24"/>
        </w:rPr>
        <w:t xml:space="preserve">providers considered in this rule, and we find that the prior information disclosure requirement is </w:t>
      </w:r>
      <w:r w:rsidRPr="00904338">
        <w:rPr>
          <w:sz w:val="24"/>
          <w:szCs w:val="24"/>
        </w:rPr>
        <w:t xml:space="preserve">too limited to fully inform consumers about backup power.  Specifically, </w:t>
      </w:r>
      <w:r w:rsidR="00B24028">
        <w:rPr>
          <w:sz w:val="24"/>
          <w:szCs w:val="24"/>
        </w:rPr>
        <w:t xml:space="preserve"> 47 CFR </w:t>
      </w:r>
      <w:r w:rsidRPr="00904338" w:rsidR="00D82038">
        <w:rPr>
          <w:sz w:val="24"/>
          <w:szCs w:val="24"/>
        </w:rPr>
        <w:t>9.11(a)(5)(i)</w:t>
      </w:r>
      <w:r w:rsidRPr="00904338">
        <w:rPr>
          <w:sz w:val="24"/>
          <w:szCs w:val="24"/>
        </w:rPr>
        <w:t xml:space="preserve"> of the Commission rules requires customer notifications for circumstances such as “loss of electrical power,” “under which E911 service may not be available through the interconnected VoIP service or may be in some way limited by comparison to traditional E911 service.”</w:t>
      </w:r>
      <w:r>
        <w:rPr>
          <w:rStyle w:val="FootnoteReference"/>
          <w:sz w:val="24"/>
          <w:szCs w:val="24"/>
        </w:rPr>
        <w:footnoteReference w:id="6"/>
      </w:r>
      <w:r w:rsidRPr="00904338">
        <w:rPr>
          <w:sz w:val="24"/>
          <w:szCs w:val="24"/>
        </w:rPr>
        <w:t xml:space="preserve">  Informing consumers of the circumstances under which their E911 service is not available does not adequately inform a consumer on how to purchase, efficiently use, monitor, or replace backup power at the consumer’s premises.  Thus, the information disclosure requirements existing prior to this rule</w:t>
      </w:r>
      <w:r w:rsidRPr="00904338" w:rsidR="00093FBD">
        <w:rPr>
          <w:sz w:val="24"/>
          <w:szCs w:val="24"/>
        </w:rPr>
        <w:t xml:space="preserve"> are </w:t>
      </w:r>
      <w:r w:rsidRPr="00904338">
        <w:rPr>
          <w:sz w:val="24"/>
          <w:szCs w:val="24"/>
        </w:rPr>
        <w:t xml:space="preserve">not </w:t>
      </w:r>
      <w:r w:rsidRPr="00904338" w:rsidR="00093FBD">
        <w:rPr>
          <w:sz w:val="24"/>
          <w:szCs w:val="24"/>
        </w:rPr>
        <w:t xml:space="preserve">of sufficient scope or uniformity across all </w:t>
      </w:r>
      <w:r w:rsidRPr="00904338" w:rsidR="00240BE1">
        <w:rPr>
          <w:sz w:val="24"/>
          <w:szCs w:val="24"/>
        </w:rPr>
        <w:t>C</w:t>
      </w:r>
      <w:r w:rsidRPr="00904338" w:rsidR="00093FBD">
        <w:rPr>
          <w:sz w:val="24"/>
          <w:szCs w:val="24"/>
        </w:rPr>
        <w:t xml:space="preserve">overed </w:t>
      </w:r>
      <w:r w:rsidRPr="00904338" w:rsidR="00240BE1">
        <w:rPr>
          <w:sz w:val="24"/>
          <w:szCs w:val="24"/>
        </w:rPr>
        <w:t xml:space="preserve">Service </w:t>
      </w:r>
      <w:r w:rsidRPr="00904338" w:rsidR="00093FBD">
        <w:rPr>
          <w:sz w:val="24"/>
          <w:szCs w:val="24"/>
        </w:rPr>
        <w:t>providers to satisfy the Commission’s obligation to promote the safety of life and property and ensure consistent 911 services.</w:t>
      </w:r>
      <w:r w:rsidRPr="00904338">
        <w:rPr>
          <w:sz w:val="24"/>
          <w:szCs w:val="24"/>
        </w:rPr>
        <w:t xml:space="preserve">  </w:t>
      </w:r>
      <w:r w:rsidRPr="00904338">
        <w:rPr>
          <w:sz w:val="24"/>
          <w:szCs w:val="24"/>
          <w:shd w:val="clear" w:color="auto" w:fill="FFFFFF"/>
        </w:rPr>
        <w:t xml:space="preserve">The </w:t>
      </w:r>
      <w:r w:rsidRPr="00904338">
        <w:rPr>
          <w:sz w:val="24"/>
          <w:szCs w:val="24"/>
          <w:shd w:val="clear" w:color="auto" w:fill="FFFFFF"/>
        </w:rPr>
        <w:t>disclosure</w:t>
      </w:r>
      <w:r w:rsidRPr="00904338">
        <w:rPr>
          <w:sz w:val="24"/>
          <w:szCs w:val="24"/>
          <w:shd w:val="clear" w:color="auto" w:fill="FFFFFF"/>
        </w:rPr>
        <w:t xml:space="preserve"> requirement</w:t>
      </w:r>
      <w:r w:rsidRPr="00904338">
        <w:rPr>
          <w:sz w:val="24"/>
          <w:szCs w:val="24"/>
          <w:shd w:val="clear" w:color="auto" w:fill="FFFFFF"/>
        </w:rPr>
        <w:t xml:space="preserve">s of </w:t>
      </w:r>
      <w:r w:rsidR="00B24028">
        <w:rPr>
          <w:sz w:val="24"/>
          <w:szCs w:val="24"/>
        </w:rPr>
        <w:t>47 CFR</w:t>
      </w:r>
      <w:r w:rsidR="00753141">
        <w:rPr>
          <w:sz w:val="24"/>
          <w:szCs w:val="24"/>
        </w:rPr>
        <w:t xml:space="preserve"> </w:t>
      </w:r>
      <w:r w:rsidRPr="00904338" w:rsidR="00571665">
        <w:rPr>
          <w:sz w:val="24"/>
          <w:szCs w:val="24"/>
        </w:rPr>
        <w:t xml:space="preserve">9.20 </w:t>
      </w:r>
      <w:r w:rsidRPr="00904338">
        <w:rPr>
          <w:sz w:val="24"/>
          <w:szCs w:val="24"/>
          <w:shd w:val="clear" w:color="auto" w:fill="FFFFFF"/>
        </w:rPr>
        <w:t>ha</w:t>
      </w:r>
      <w:r w:rsidRPr="00904338">
        <w:rPr>
          <w:sz w:val="24"/>
          <w:szCs w:val="24"/>
          <w:shd w:val="clear" w:color="auto" w:fill="FFFFFF"/>
        </w:rPr>
        <w:t xml:space="preserve">ve </w:t>
      </w:r>
      <w:r w:rsidRPr="00904338">
        <w:rPr>
          <w:sz w:val="24"/>
          <w:szCs w:val="24"/>
          <w:shd w:val="clear" w:color="auto" w:fill="FFFFFF"/>
        </w:rPr>
        <w:t xml:space="preserve">been carefully designed to require </w:t>
      </w:r>
      <w:r w:rsidRPr="00904338">
        <w:rPr>
          <w:sz w:val="24"/>
          <w:szCs w:val="24"/>
          <w:shd w:val="clear" w:color="auto" w:fill="FFFFFF"/>
        </w:rPr>
        <w:t xml:space="preserve">disclosure </w:t>
      </w:r>
      <w:r w:rsidRPr="00904338" w:rsidR="00617321">
        <w:rPr>
          <w:sz w:val="24"/>
          <w:szCs w:val="24"/>
          <w:shd w:val="clear" w:color="auto" w:fill="FFFFFF"/>
        </w:rPr>
        <w:t xml:space="preserve">of only that </w:t>
      </w:r>
      <w:r w:rsidRPr="00904338">
        <w:rPr>
          <w:sz w:val="24"/>
          <w:szCs w:val="24"/>
        </w:rPr>
        <w:t>information needed by subscribers to plan in advance to extend the effectiveness of their backup power and ultimately, count on the continued availability of 911 service in harsh weather conditions or other emergencies when consumers are most vulnerable.</w:t>
      </w:r>
    </w:p>
    <w:p w:rsidR="00960381" w:rsidRPr="00904338" w:rsidP="00507A37" w14:paraId="63E936F4" w14:textId="77777777">
      <w:pPr>
        <w:tabs>
          <w:tab w:val="left" w:pos="-720"/>
        </w:tabs>
        <w:suppressAutoHyphens/>
        <w:rPr>
          <w:szCs w:val="24"/>
        </w:rPr>
      </w:pPr>
    </w:p>
    <w:p w:rsidR="00625E61" w:rsidRPr="00904338" w:rsidP="00507A37" w14:paraId="04EE0B42" w14:textId="77777777">
      <w:pPr>
        <w:numPr>
          <w:ilvl w:val="0"/>
          <w:numId w:val="7"/>
        </w:numPr>
        <w:tabs>
          <w:tab w:val="left" w:pos="-720"/>
          <w:tab w:val="num" w:pos="360"/>
          <w:tab w:val="clear" w:pos="720"/>
        </w:tabs>
        <w:suppressAutoHyphens/>
        <w:rPr>
          <w:szCs w:val="24"/>
        </w:rPr>
      </w:pPr>
      <w:r w:rsidRPr="00904338">
        <w:rPr>
          <w:b/>
          <w:szCs w:val="24"/>
          <w:shd w:val="clear" w:color="auto" w:fill="FFFFFF"/>
        </w:rPr>
        <w:t>If the collection of information impacts small businesses or other small entities describe any methods used to minimize burden.</w:t>
      </w:r>
    </w:p>
    <w:p w:rsidR="00D1430A" w:rsidRPr="00904338" w:rsidP="00507A37" w14:paraId="3B328392" w14:textId="77777777">
      <w:pPr>
        <w:pStyle w:val="ParaNum"/>
        <w:numPr>
          <w:ilvl w:val="0"/>
          <w:numId w:val="0"/>
        </w:numPr>
        <w:tabs>
          <w:tab w:val="num" w:pos="1440"/>
        </w:tabs>
        <w:ind w:firstLine="720"/>
        <w:rPr>
          <w:sz w:val="24"/>
          <w:szCs w:val="24"/>
        </w:rPr>
      </w:pPr>
      <w:r w:rsidRPr="00904338">
        <w:rPr>
          <w:sz w:val="24"/>
          <w:szCs w:val="24"/>
        </w:rPr>
        <w:t xml:space="preserve"> </w:t>
      </w:r>
    </w:p>
    <w:p w:rsidR="00D1430A" w:rsidRPr="00904338" w:rsidP="00507A37" w14:paraId="1BEE5268" w14:textId="2A4178F0">
      <w:pPr>
        <w:pStyle w:val="ParaNum"/>
        <w:widowControl/>
        <w:numPr>
          <w:ilvl w:val="0"/>
          <w:numId w:val="0"/>
        </w:numPr>
        <w:tabs>
          <w:tab w:val="num" w:pos="1440"/>
        </w:tabs>
        <w:ind w:left="720"/>
        <w:rPr>
          <w:sz w:val="24"/>
          <w:szCs w:val="24"/>
        </w:rPr>
      </w:pPr>
      <w:r w:rsidRPr="00904338">
        <w:rPr>
          <w:sz w:val="24"/>
          <w:szCs w:val="24"/>
        </w:rPr>
        <w:t xml:space="preserve">The Commission considered, and eventually adopted, various options to minimize the significant economic impact of the regulations adopted in the </w:t>
      </w:r>
      <w:r w:rsidRPr="00904338">
        <w:rPr>
          <w:i/>
          <w:sz w:val="24"/>
          <w:szCs w:val="24"/>
        </w:rPr>
        <w:t>Report and Order</w:t>
      </w:r>
      <w:r w:rsidRPr="00904338">
        <w:rPr>
          <w:sz w:val="24"/>
          <w:szCs w:val="24"/>
        </w:rPr>
        <w:t xml:space="preserve"> on small entities.  For instance, the Commission adopted a 120-day phase-in of the requirement to provide consumers with </w:t>
      </w:r>
      <w:r w:rsidRPr="00904338" w:rsidR="00575CCA">
        <w:rPr>
          <w:sz w:val="24"/>
          <w:szCs w:val="24"/>
        </w:rPr>
        <w:t xml:space="preserve">a </w:t>
      </w:r>
      <w:r w:rsidRPr="00904338">
        <w:rPr>
          <w:sz w:val="24"/>
          <w:szCs w:val="24"/>
        </w:rPr>
        <w:t xml:space="preserve">technical solution </w:t>
      </w:r>
      <w:r w:rsidRPr="00904338" w:rsidR="00575CCA">
        <w:rPr>
          <w:sz w:val="24"/>
          <w:szCs w:val="24"/>
        </w:rPr>
        <w:t>for</w:t>
      </w:r>
      <w:r w:rsidRPr="00904338">
        <w:rPr>
          <w:sz w:val="24"/>
          <w:szCs w:val="24"/>
        </w:rPr>
        <w:t xml:space="preserve"> 8 hours of standby backup power, which g</w:t>
      </w:r>
      <w:r w:rsidRPr="00904338" w:rsidR="00575CCA">
        <w:rPr>
          <w:sz w:val="24"/>
          <w:szCs w:val="24"/>
        </w:rPr>
        <w:t>a</w:t>
      </w:r>
      <w:r w:rsidRPr="00904338">
        <w:rPr>
          <w:sz w:val="24"/>
          <w:szCs w:val="24"/>
        </w:rPr>
        <w:t>ve carriers time to prepare and implement the process of meeting the rule.</w:t>
      </w:r>
      <w:r>
        <w:rPr>
          <w:rStyle w:val="FootnoteReference"/>
          <w:sz w:val="24"/>
          <w:szCs w:val="24"/>
        </w:rPr>
        <w:footnoteReference w:id="7"/>
      </w:r>
      <w:r w:rsidRPr="00904338">
        <w:rPr>
          <w:sz w:val="24"/>
          <w:szCs w:val="24"/>
        </w:rPr>
        <w:t xml:space="preserve">  The Commission similarly adopted a 3-year phase-in of the requirement to offer a technical solution to provide consumers with 24 hours of backup power.</w:t>
      </w:r>
      <w:r>
        <w:rPr>
          <w:rStyle w:val="FootnoteReference"/>
          <w:sz w:val="24"/>
          <w:szCs w:val="24"/>
        </w:rPr>
        <w:footnoteReference w:id="8"/>
      </w:r>
      <w:r w:rsidRPr="00904338">
        <w:rPr>
          <w:sz w:val="24"/>
          <w:szCs w:val="24"/>
        </w:rPr>
        <w:t xml:space="preserve">  This phase-in period afford</w:t>
      </w:r>
      <w:r w:rsidRPr="00904338" w:rsidR="00575CCA">
        <w:rPr>
          <w:sz w:val="24"/>
          <w:szCs w:val="24"/>
        </w:rPr>
        <w:t>ed</w:t>
      </w:r>
      <w:r w:rsidRPr="00904338">
        <w:rPr>
          <w:sz w:val="24"/>
          <w:szCs w:val="24"/>
        </w:rPr>
        <w:t xml:space="preserve"> service providers that do not already support 24-hour backup power with adequate time to develop a 24-hour technical solution.</w:t>
      </w:r>
      <w:r>
        <w:rPr>
          <w:rStyle w:val="FootnoteReference"/>
          <w:sz w:val="24"/>
          <w:szCs w:val="24"/>
        </w:rPr>
        <w:footnoteReference w:id="9"/>
      </w:r>
      <w:r w:rsidRPr="00904338">
        <w:rPr>
          <w:sz w:val="24"/>
          <w:szCs w:val="24"/>
        </w:rPr>
        <w:t xml:space="preserve">  Moreover, providers are free to charge consumers for backup power, and to develop a technical solution that suits their business needs including, under certain circumstances, meeting the requirement by directing consumers to a third-party retailer.</w:t>
      </w:r>
      <w:r>
        <w:rPr>
          <w:rStyle w:val="FootnoteReference"/>
          <w:sz w:val="24"/>
          <w:szCs w:val="24"/>
        </w:rPr>
        <w:footnoteReference w:id="10"/>
      </w:r>
    </w:p>
    <w:p w:rsidR="00D1430A" w:rsidRPr="00904338" w:rsidP="00507A37" w14:paraId="20DC1582" w14:textId="7FF1EDA1">
      <w:pPr>
        <w:pStyle w:val="ParaNum"/>
        <w:widowControl/>
        <w:numPr>
          <w:ilvl w:val="0"/>
          <w:numId w:val="0"/>
        </w:numPr>
        <w:tabs>
          <w:tab w:val="num" w:pos="1440"/>
        </w:tabs>
        <w:ind w:left="720"/>
        <w:rPr>
          <w:sz w:val="24"/>
          <w:szCs w:val="24"/>
        </w:rPr>
      </w:pPr>
      <w:r w:rsidRPr="00904338">
        <w:rPr>
          <w:sz w:val="24"/>
          <w:szCs w:val="24"/>
        </w:rPr>
        <w:t xml:space="preserve">Additionally, </w:t>
      </w:r>
      <w:r w:rsidRPr="00904338" w:rsidR="00575CCA">
        <w:rPr>
          <w:sz w:val="24"/>
          <w:szCs w:val="24"/>
        </w:rPr>
        <w:t xml:space="preserve">the </w:t>
      </w:r>
      <w:r w:rsidRPr="00904338" w:rsidR="00575CCA">
        <w:rPr>
          <w:i/>
          <w:sz w:val="24"/>
          <w:szCs w:val="24"/>
        </w:rPr>
        <w:t>Report and Order</w:t>
      </w:r>
      <w:r w:rsidRPr="00904338" w:rsidR="00575CCA">
        <w:rPr>
          <w:sz w:val="24"/>
          <w:szCs w:val="24"/>
        </w:rPr>
        <w:t xml:space="preserve"> </w:t>
      </w:r>
      <w:r w:rsidRPr="00904338">
        <w:rPr>
          <w:sz w:val="24"/>
          <w:szCs w:val="24"/>
        </w:rPr>
        <w:t>g</w:t>
      </w:r>
      <w:r w:rsidRPr="00904338" w:rsidR="00575CCA">
        <w:rPr>
          <w:sz w:val="24"/>
          <w:szCs w:val="24"/>
        </w:rPr>
        <w:t>a</w:t>
      </w:r>
      <w:r w:rsidRPr="00904338">
        <w:rPr>
          <w:sz w:val="24"/>
          <w:szCs w:val="24"/>
        </w:rPr>
        <w:t xml:space="preserve">ve smaller providers an additional 180 days (i.e., total of 300 days from the date of Federal Register publication) to comply with the backup power obligations adopted in the </w:t>
      </w:r>
      <w:r w:rsidRPr="00904338">
        <w:rPr>
          <w:i/>
          <w:sz w:val="24"/>
          <w:szCs w:val="24"/>
        </w:rPr>
        <w:t>Report and Order</w:t>
      </w:r>
      <w:r w:rsidRPr="00904338">
        <w:rPr>
          <w:sz w:val="24"/>
          <w:szCs w:val="24"/>
        </w:rPr>
        <w:t>.</w:t>
      </w:r>
      <w:r>
        <w:rPr>
          <w:rStyle w:val="FootnoteReference"/>
          <w:sz w:val="24"/>
          <w:szCs w:val="24"/>
        </w:rPr>
        <w:footnoteReference w:id="11"/>
      </w:r>
      <w:r w:rsidRPr="00904338">
        <w:rPr>
          <w:sz w:val="24"/>
          <w:szCs w:val="24"/>
        </w:rPr>
        <w:t xml:space="preserve">  </w:t>
      </w:r>
      <w:r w:rsidRPr="00904338" w:rsidR="00575CCA">
        <w:rPr>
          <w:sz w:val="24"/>
          <w:szCs w:val="24"/>
        </w:rPr>
        <w:t>T</w:t>
      </w:r>
      <w:r w:rsidRPr="00904338">
        <w:rPr>
          <w:sz w:val="24"/>
          <w:szCs w:val="24"/>
        </w:rPr>
        <w:t>his additional time not only allow</w:t>
      </w:r>
      <w:r w:rsidRPr="00904338" w:rsidR="00575CCA">
        <w:rPr>
          <w:sz w:val="24"/>
          <w:szCs w:val="24"/>
        </w:rPr>
        <w:t>ed</w:t>
      </w:r>
      <w:r w:rsidRPr="00904338">
        <w:rPr>
          <w:sz w:val="24"/>
          <w:szCs w:val="24"/>
        </w:rPr>
        <w:t xml:space="preserve"> providers time to comply with the rule, but also provide</w:t>
      </w:r>
      <w:r w:rsidRPr="00904338" w:rsidR="00575CCA">
        <w:rPr>
          <w:sz w:val="24"/>
          <w:szCs w:val="24"/>
        </w:rPr>
        <w:t>d</w:t>
      </w:r>
      <w:r w:rsidRPr="00904338">
        <w:rPr>
          <w:sz w:val="24"/>
          <w:szCs w:val="24"/>
        </w:rPr>
        <w:t xml:space="preserve"> additional time for the market for backup power equipment to further develop and prevent possible shortages.</w:t>
      </w:r>
      <w:r>
        <w:rPr>
          <w:rStyle w:val="FootnoteReference"/>
          <w:sz w:val="24"/>
          <w:szCs w:val="24"/>
        </w:rPr>
        <w:footnoteReference w:id="12"/>
      </w:r>
    </w:p>
    <w:p w:rsidR="00D1430A" w:rsidRPr="00904338" w:rsidP="00507A37" w14:paraId="3631D8C5" w14:textId="2153A221">
      <w:pPr>
        <w:pStyle w:val="ParaNum"/>
        <w:widowControl/>
        <w:numPr>
          <w:ilvl w:val="0"/>
          <w:numId w:val="0"/>
        </w:numPr>
        <w:ind w:left="720"/>
        <w:rPr>
          <w:sz w:val="24"/>
          <w:szCs w:val="24"/>
        </w:rPr>
      </w:pPr>
      <w:r w:rsidRPr="00904338">
        <w:rPr>
          <w:sz w:val="24"/>
          <w:szCs w:val="24"/>
        </w:rPr>
        <w:t xml:space="preserve">The </w:t>
      </w:r>
      <w:r w:rsidRPr="00904338">
        <w:rPr>
          <w:i/>
          <w:sz w:val="24"/>
          <w:szCs w:val="24"/>
        </w:rPr>
        <w:t>Report and Order</w:t>
      </w:r>
      <w:r w:rsidRPr="00904338">
        <w:rPr>
          <w:sz w:val="24"/>
          <w:szCs w:val="24"/>
        </w:rPr>
        <w:t xml:space="preserve"> </w:t>
      </w:r>
      <w:r w:rsidRPr="00904338">
        <w:rPr>
          <w:sz w:val="24"/>
          <w:szCs w:val="24"/>
        </w:rPr>
        <w:t>note</w:t>
      </w:r>
      <w:r w:rsidRPr="00904338" w:rsidR="000C543E">
        <w:rPr>
          <w:sz w:val="24"/>
          <w:szCs w:val="24"/>
        </w:rPr>
        <w:t>d</w:t>
      </w:r>
      <w:r w:rsidRPr="00904338">
        <w:rPr>
          <w:sz w:val="24"/>
          <w:szCs w:val="24"/>
        </w:rPr>
        <w:t xml:space="preserve"> that, for </w:t>
      </w:r>
      <w:r w:rsidRPr="00904338" w:rsidR="00E624F8">
        <w:rPr>
          <w:sz w:val="24"/>
          <w:szCs w:val="24"/>
        </w:rPr>
        <w:t xml:space="preserve">the </w:t>
      </w:r>
      <w:r w:rsidRPr="00904338">
        <w:rPr>
          <w:sz w:val="24"/>
          <w:szCs w:val="24"/>
        </w:rPr>
        <w:t>consumer education component of the rule</w:t>
      </w:r>
      <w:r w:rsidRPr="00904338" w:rsidR="00E624F8">
        <w:rPr>
          <w:sz w:val="24"/>
          <w:szCs w:val="24"/>
        </w:rPr>
        <w:t xml:space="preserve"> describing the </w:t>
      </w:r>
      <w:r w:rsidRPr="00904338" w:rsidR="00B170EC">
        <w:rPr>
          <w:sz w:val="24"/>
          <w:szCs w:val="24"/>
        </w:rPr>
        <w:t xml:space="preserve">acquisition and </w:t>
      </w:r>
      <w:r w:rsidRPr="00904338" w:rsidR="00E624F8">
        <w:rPr>
          <w:sz w:val="24"/>
          <w:szCs w:val="24"/>
        </w:rPr>
        <w:t>availability of backup power</w:t>
      </w:r>
      <w:r w:rsidRPr="00904338">
        <w:rPr>
          <w:sz w:val="24"/>
          <w:szCs w:val="24"/>
        </w:rPr>
        <w:t xml:space="preserve">, the Commission had smaller </w:t>
      </w:r>
      <w:r w:rsidRPr="00904338">
        <w:rPr>
          <w:sz w:val="24"/>
          <w:szCs w:val="24"/>
        </w:rPr>
        <w:t>companies in mind when allowing such notification to be made “by any means reasonably calculated to reach the consumer.”</w:t>
      </w:r>
      <w:r>
        <w:rPr>
          <w:rStyle w:val="FootnoteReference"/>
          <w:sz w:val="24"/>
          <w:szCs w:val="24"/>
        </w:rPr>
        <w:footnoteReference w:id="13"/>
      </w:r>
      <w:r w:rsidRPr="00904338">
        <w:rPr>
          <w:sz w:val="24"/>
          <w:szCs w:val="24"/>
        </w:rPr>
        <w:t xml:space="preserve"> </w:t>
      </w:r>
      <w:r w:rsidRPr="00904338" w:rsidR="00A836A5">
        <w:rPr>
          <w:sz w:val="24"/>
          <w:szCs w:val="24"/>
        </w:rPr>
        <w:t xml:space="preserve"> </w:t>
      </w:r>
      <w:r w:rsidRPr="00904338">
        <w:rPr>
          <w:sz w:val="24"/>
          <w:szCs w:val="24"/>
        </w:rPr>
        <w:t>This option afford</w:t>
      </w:r>
      <w:r w:rsidRPr="00904338" w:rsidR="000C543E">
        <w:rPr>
          <w:sz w:val="24"/>
          <w:szCs w:val="24"/>
        </w:rPr>
        <w:t>ed</w:t>
      </w:r>
      <w:r w:rsidRPr="00904338">
        <w:rPr>
          <w:sz w:val="24"/>
          <w:szCs w:val="24"/>
        </w:rPr>
        <w:t xml:space="preserve"> providers flexibility to reach their subscribers in a manner consistent with their business practices and based upon their individual subscriber relationships.</w:t>
      </w:r>
      <w:r>
        <w:rPr>
          <w:rStyle w:val="FootnoteReference"/>
          <w:sz w:val="24"/>
          <w:szCs w:val="24"/>
        </w:rPr>
        <w:footnoteReference w:id="14"/>
      </w:r>
      <w:r w:rsidRPr="00904338">
        <w:rPr>
          <w:sz w:val="24"/>
          <w:szCs w:val="24"/>
        </w:rPr>
        <w:t xml:space="preserve">  Whenever the provider has an online relationship with the subscriber, disclosures may be made by email or by online billing statement, thus reducing the cost to small entities.</w:t>
      </w:r>
      <w:r>
        <w:rPr>
          <w:rStyle w:val="FootnoteReference"/>
          <w:sz w:val="24"/>
          <w:szCs w:val="24"/>
        </w:rPr>
        <w:footnoteReference w:id="15"/>
      </w:r>
      <w:r w:rsidRPr="00904338" w:rsidR="00A836A5">
        <w:rPr>
          <w:sz w:val="24"/>
          <w:szCs w:val="24"/>
        </w:rPr>
        <w:t xml:space="preserve"> </w:t>
      </w:r>
      <w:r w:rsidRPr="00904338">
        <w:rPr>
          <w:sz w:val="24"/>
          <w:szCs w:val="24"/>
        </w:rPr>
        <w:t xml:space="preserve"> To further reduce the burden on smaller providers, </w:t>
      </w:r>
      <w:r w:rsidRPr="00904338">
        <w:rPr>
          <w:sz w:val="24"/>
          <w:szCs w:val="24"/>
        </w:rPr>
        <w:t xml:space="preserve">the </w:t>
      </w:r>
      <w:r w:rsidRPr="00904338">
        <w:rPr>
          <w:i/>
          <w:sz w:val="24"/>
          <w:szCs w:val="24"/>
        </w:rPr>
        <w:t>Report and Order</w:t>
      </w:r>
      <w:r w:rsidRPr="00904338">
        <w:rPr>
          <w:sz w:val="24"/>
          <w:szCs w:val="24"/>
        </w:rPr>
        <w:t xml:space="preserve"> </w:t>
      </w:r>
      <w:r w:rsidRPr="00904338">
        <w:rPr>
          <w:sz w:val="24"/>
          <w:szCs w:val="24"/>
        </w:rPr>
        <w:t>direct</w:t>
      </w:r>
      <w:r w:rsidRPr="00904338">
        <w:rPr>
          <w:sz w:val="24"/>
          <w:szCs w:val="24"/>
        </w:rPr>
        <w:t>ed</w:t>
      </w:r>
      <w:r w:rsidRPr="00904338">
        <w:rPr>
          <w:sz w:val="24"/>
          <w:szCs w:val="24"/>
        </w:rPr>
        <w:t xml:space="preserve"> the P</w:t>
      </w:r>
      <w:r w:rsidRPr="00904338" w:rsidR="008B5796">
        <w:rPr>
          <w:sz w:val="24"/>
          <w:szCs w:val="24"/>
        </w:rPr>
        <w:t xml:space="preserve">ublic </w:t>
      </w:r>
      <w:r w:rsidRPr="00904338">
        <w:rPr>
          <w:sz w:val="24"/>
          <w:szCs w:val="24"/>
        </w:rPr>
        <w:t>S</w:t>
      </w:r>
      <w:r w:rsidRPr="00904338" w:rsidR="008B5796">
        <w:rPr>
          <w:sz w:val="24"/>
          <w:szCs w:val="24"/>
        </w:rPr>
        <w:t xml:space="preserve">afety and </w:t>
      </w:r>
      <w:r w:rsidRPr="00904338">
        <w:rPr>
          <w:sz w:val="24"/>
          <w:szCs w:val="24"/>
        </w:rPr>
        <w:t>H</w:t>
      </w:r>
      <w:r w:rsidRPr="00904338" w:rsidR="008B5796">
        <w:rPr>
          <w:sz w:val="24"/>
          <w:szCs w:val="24"/>
        </w:rPr>
        <w:t xml:space="preserve">omeland </w:t>
      </w:r>
      <w:r w:rsidRPr="00904338">
        <w:rPr>
          <w:sz w:val="24"/>
          <w:szCs w:val="24"/>
        </w:rPr>
        <w:t>S</w:t>
      </w:r>
      <w:r w:rsidRPr="00904338" w:rsidR="008B5796">
        <w:rPr>
          <w:sz w:val="24"/>
          <w:szCs w:val="24"/>
        </w:rPr>
        <w:t xml:space="preserve">ecurity </w:t>
      </w:r>
      <w:r w:rsidRPr="00904338">
        <w:rPr>
          <w:sz w:val="24"/>
          <w:szCs w:val="24"/>
        </w:rPr>
        <w:t>B</w:t>
      </w:r>
      <w:r w:rsidRPr="00904338" w:rsidR="008B5796">
        <w:rPr>
          <w:sz w:val="24"/>
          <w:szCs w:val="24"/>
        </w:rPr>
        <w:t>ureau</w:t>
      </w:r>
      <w:r w:rsidRPr="00904338">
        <w:rPr>
          <w:sz w:val="24"/>
          <w:szCs w:val="24"/>
        </w:rPr>
        <w:t xml:space="preserve"> to work with </w:t>
      </w:r>
      <w:r w:rsidRPr="00904338" w:rsidR="008B5796">
        <w:rPr>
          <w:sz w:val="24"/>
          <w:szCs w:val="24"/>
        </w:rPr>
        <w:t xml:space="preserve">the </w:t>
      </w:r>
      <w:r w:rsidRPr="00904338">
        <w:rPr>
          <w:sz w:val="24"/>
          <w:szCs w:val="24"/>
        </w:rPr>
        <w:t>C</w:t>
      </w:r>
      <w:r w:rsidRPr="00904338" w:rsidR="008B5796">
        <w:rPr>
          <w:sz w:val="24"/>
          <w:szCs w:val="24"/>
        </w:rPr>
        <w:t xml:space="preserve">onsumer and </w:t>
      </w:r>
      <w:r w:rsidRPr="00904338">
        <w:rPr>
          <w:sz w:val="24"/>
          <w:szCs w:val="24"/>
        </w:rPr>
        <w:t>G</w:t>
      </w:r>
      <w:r w:rsidRPr="00904338" w:rsidR="008B5796">
        <w:rPr>
          <w:sz w:val="24"/>
          <w:szCs w:val="24"/>
        </w:rPr>
        <w:t xml:space="preserve">overnmental Affairs </w:t>
      </w:r>
      <w:r w:rsidRPr="00904338">
        <w:rPr>
          <w:sz w:val="24"/>
          <w:szCs w:val="24"/>
        </w:rPr>
        <w:t>B</w:t>
      </w:r>
      <w:r w:rsidRPr="00904338" w:rsidR="008B5796">
        <w:rPr>
          <w:sz w:val="24"/>
          <w:szCs w:val="24"/>
        </w:rPr>
        <w:t>ureau</w:t>
      </w:r>
      <w:r w:rsidRPr="00904338">
        <w:rPr>
          <w:sz w:val="24"/>
          <w:szCs w:val="24"/>
        </w:rPr>
        <w:t xml:space="preserve"> to develop such forms or other documents, prior to the implementation date of these rules for smaller providers, which they may use to communicate the required information to their subscribers, including subscribers with disabilities.</w:t>
      </w:r>
      <w:r>
        <w:rPr>
          <w:rStyle w:val="FootnoteReference"/>
          <w:sz w:val="24"/>
          <w:szCs w:val="24"/>
        </w:rPr>
        <w:footnoteReference w:id="16"/>
      </w:r>
    </w:p>
    <w:p w:rsidR="00D1430A" w:rsidRPr="00904338" w:rsidP="00507A37" w14:paraId="3155CE6A" w14:textId="1284E6C0">
      <w:pPr>
        <w:pStyle w:val="ParaNum"/>
        <w:widowControl/>
        <w:numPr>
          <w:ilvl w:val="0"/>
          <w:numId w:val="0"/>
        </w:numPr>
        <w:tabs>
          <w:tab w:val="num" w:pos="1440"/>
        </w:tabs>
        <w:ind w:left="720"/>
        <w:rPr>
          <w:sz w:val="24"/>
          <w:szCs w:val="24"/>
        </w:rPr>
      </w:pPr>
      <w:r w:rsidRPr="00904338">
        <w:rPr>
          <w:sz w:val="24"/>
          <w:szCs w:val="24"/>
        </w:rPr>
        <w:t>Finally, the Commission encourage</w:t>
      </w:r>
      <w:r w:rsidRPr="00904338" w:rsidR="000C543E">
        <w:rPr>
          <w:sz w:val="24"/>
          <w:szCs w:val="24"/>
        </w:rPr>
        <w:t>d</w:t>
      </w:r>
      <w:r w:rsidRPr="00904338">
        <w:rPr>
          <w:sz w:val="24"/>
          <w:szCs w:val="24"/>
        </w:rPr>
        <w:t xml:space="preserve">, but </w:t>
      </w:r>
      <w:r w:rsidRPr="00904338" w:rsidR="000C543E">
        <w:rPr>
          <w:sz w:val="24"/>
          <w:szCs w:val="24"/>
        </w:rPr>
        <w:t>did</w:t>
      </w:r>
      <w:r w:rsidRPr="00904338">
        <w:rPr>
          <w:sz w:val="24"/>
          <w:szCs w:val="24"/>
        </w:rPr>
        <w:t xml:space="preserve"> not require, providers to engage in tailored outreach to community/state/local/tribal agencies and community organizations.</w:t>
      </w:r>
      <w:r>
        <w:rPr>
          <w:rStyle w:val="FootnoteReference"/>
          <w:sz w:val="24"/>
          <w:szCs w:val="24"/>
        </w:rPr>
        <w:footnoteReference w:id="17"/>
      </w:r>
      <w:r w:rsidRPr="00904338">
        <w:rPr>
          <w:sz w:val="24"/>
          <w:szCs w:val="24"/>
        </w:rPr>
        <w:t xml:space="preserve">  While such action may be beneficial to small entities, </w:t>
      </w:r>
      <w:r w:rsidRPr="00904338" w:rsidR="000C543E">
        <w:rPr>
          <w:sz w:val="24"/>
          <w:szCs w:val="24"/>
        </w:rPr>
        <w:t>the Commission</w:t>
      </w:r>
      <w:r w:rsidRPr="00904338">
        <w:rPr>
          <w:sz w:val="24"/>
          <w:szCs w:val="24"/>
        </w:rPr>
        <w:t xml:space="preserve"> underst</w:t>
      </w:r>
      <w:r w:rsidRPr="00904338" w:rsidR="000C543E">
        <w:rPr>
          <w:sz w:val="24"/>
          <w:szCs w:val="24"/>
        </w:rPr>
        <w:t>ood</w:t>
      </w:r>
      <w:r w:rsidRPr="00904338">
        <w:rPr>
          <w:sz w:val="24"/>
          <w:szCs w:val="24"/>
        </w:rPr>
        <w:t xml:space="preserve"> the potential costs in requiring such action.</w:t>
      </w:r>
      <w:r>
        <w:rPr>
          <w:rStyle w:val="FootnoteReference"/>
          <w:sz w:val="24"/>
          <w:szCs w:val="24"/>
        </w:rPr>
        <w:footnoteReference w:id="18"/>
      </w:r>
    </w:p>
    <w:p w:rsidR="00811069" w:rsidRPr="00904338" w:rsidP="00507A37" w14:paraId="43DC91F9" w14:textId="77777777">
      <w:pPr>
        <w:tabs>
          <w:tab w:val="left" w:pos="-720"/>
        </w:tabs>
        <w:suppressAutoHyphens/>
        <w:rPr>
          <w:szCs w:val="24"/>
        </w:rPr>
      </w:pPr>
    </w:p>
    <w:p w:rsidR="002D1E63" w:rsidRPr="00904338" w:rsidP="00507A37" w14:paraId="7FD8D2A6" w14:textId="77777777">
      <w:pPr>
        <w:numPr>
          <w:ilvl w:val="0"/>
          <w:numId w:val="7"/>
        </w:numPr>
        <w:tabs>
          <w:tab w:val="left" w:pos="-720"/>
          <w:tab w:val="num" w:pos="360"/>
          <w:tab w:val="clear" w:pos="720"/>
        </w:tabs>
        <w:suppressAutoHyphens/>
        <w:rPr>
          <w:szCs w:val="24"/>
        </w:rPr>
      </w:pPr>
      <w:r w:rsidRPr="00904338">
        <w:rPr>
          <w:b/>
          <w:szCs w:val="24"/>
          <w:shd w:val="clear" w:color="auto" w:fill="FFFFFF"/>
        </w:rPr>
        <w:t>Describe the consequences to a Federal program or policy activity, if the collection is not conducted or is conducted less frequently, as well as any technical or legal obstacles to reduce burden.</w:t>
      </w:r>
    </w:p>
    <w:p w:rsidR="002D1E63" w:rsidRPr="00904338" w:rsidP="00507A37" w14:paraId="3C16184D" w14:textId="77777777">
      <w:pPr>
        <w:tabs>
          <w:tab w:val="left" w:pos="-720"/>
        </w:tabs>
        <w:suppressAutoHyphens/>
        <w:ind w:left="720"/>
        <w:rPr>
          <w:szCs w:val="24"/>
        </w:rPr>
      </w:pPr>
    </w:p>
    <w:p w:rsidR="00FC591D" w:rsidRPr="00904338" w:rsidP="00507A37" w14:paraId="36AF0E53" w14:textId="569A4648">
      <w:pPr>
        <w:pStyle w:val="ParaNum"/>
        <w:widowControl/>
        <w:numPr>
          <w:ilvl w:val="0"/>
          <w:numId w:val="0"/>
        </w:numPr>
        <w:ind w:left="720"/>
        <w:rPr>
          <w:sz w:val="24"/>
          <w:szCs w:val="24"/>
        </w:rPr>
      </w:pPr>
      <w:r w:rsidRPr="00904338">
        <w:rPr>
          <w:sz w:val="24"/>
          <w:szCs w:val="24"/>
        </w:rPr>
        <w:t>If this information is not disclosed</w:t>
      </w:r>
      <w:r w:rsidRPr="00904338" w:rsidR="0029128A">
        <w:rPr>
          <w:sz w:val="24"/>
          <w:szCs w:val="24"/>
        </w:rPr>
        <w:t xml:space="preserve"> as required, </w:t>
      </w:r>
      <w:r w:rsidRPr="00904338">
        <w:rPr>
          <w:sz w:val="24"/>
          <w:szCs w:val="24"/>
        </w:rPr>
        <w:t xml:space="preserve">subscribers </w:t>
      </w:r>
      <w:r w:rsidRPr="00904338" w:rsidR="0029128A">
        <w:rPr>
          <w:sz w:val="24"/>
          <w:szCs w:val="24"/>
        </w:rPr>
        <w:t xml:space="preserve">will be less able to </w:t>
      </w:r>
      <w:r w:rsidRPr="00904338">
        <w:rPr>
          <w:sz w:val="24"/>
          <w:szCs w:val="24"/>
        </w:rPr>
        <w:t>plan in advance to extend the effectiveness of th</w:t>
      </w:r>
      <w:r w:rsidRPr="00904338" w:rsidR="00655ED0">
        <w:rPr>
          <w:sz w:val="24"/>
          <w:szCs w:val="24"/>
        </w:rPr>
        <w:t>eir backup power</w:t>
      </w:r>
      <w:r w:rsidR="001B011F">
        <w:rPr>
          <w:sz w:val="24"/>
          <w:szCs w:val="24"/>
        </w:rPr>
        <w:t xml:space="preserve">.  </w:t>
      </w:r>
      <w:r w:rsidR="009252B9">
        <w:rPr>
          <w:sz w:val="24"/>
          <w:szCs w:val="24"/>
        </w:rPr>
        <w:t xml:space="preserve">Without the availability of backup power, </w:t>
      </w:r>
      <w:r w:rsidR="00994488">
        <w:rPr>
          <w:sz w:val="24"/>
          <w:szCs w:val="24"/>
        </w:rPr>
        <w:t xml:space="preserve">subscribers would </w:t>
      </w:r>
      <w:r w:rsidR="00F92C1A">
        <w:rPr>
          <w:sz w:val="24"/>
          <w:szCs w:val="24"/>
        </w:rPr>
        <w:t xml:space="preserve">not </w:t>
      </w:r>
      <w:r w:rsidR="00994488">
        <w:rPr>
          <w:sz w:val="24"/>
          <w:szCs w:val="24"/>
        </w:rPr>
        <w:t xml:space="preserve">be </w:t>
      </w:r>
      <w:r w:rsidR="00E55554">
        <w:rPr>
          <w:sz w:val="24"/>
          <w:szCs w:val="24"/>
        </w:rPr>
        <w:t xml:space="preserve">able to rely </w:t>
      </w:r>
      <w:r w:rsidRPr="00904338">
        <w:rPr>
          <w:sz w:val="24"/>
          <w:szCs w:val="24"/>
        </w:rPr>
        <w:t>on the continued availability of 911 service in harsh weather conditions or other emergencies when consumers are most vulnerable.</w:t>
      </w:r>
    </w:p>
    <w:p w:rsidR="000F44B8" w:rsidRPr="00904338" w:rsidP="00507A37" w14:paraId="74C56383" w14:textId="77777777">
      <w:pPr>
        <w:tabs>
          <w:tab w:val="left" w:pos="-720"/>
        </w:tabs>
        <w:suppressAutoHyphens/>
        <w:rPr>
          <w:szCs w:val="24"/>
        </w:rPr>
      </w:pPr>
    </w:p>
    <w:p w:rsidR="00E83849" w:rsidRPr="00904338" w:rsidP="00507A37" w14:paraId="53877EDE" w14:textId="45B3E30E">
      <w:pPr>
        <w:numPr>
          <w:ilvl w:val="0"/>
          <w:numId w:val="7"/>
        </w:numPr>
        <w:tabs>
          <w:tab w:val="left" w:pos="-720"/>
          <w:tab w:val="num" w:pos="360"/>
          <w:tab w:val="clear" w:pos="720"/>
        </w:tabs>
        <w:suppressAutoHyphens/>
        <w:rPr>
          <w:szCs w:val="24"/>
        </w:rPr>
      </w:pPr>
      <w:r w:rsidRPr="00904338">
        <w:rPr>
          <w:b/>
          <w:szCs w:val="24"/>
          <w:shd w:val="clear" w:color="auto" w:fill="FFFFFF"/>
        </w:rPr>
        <w:t xml:space="preserve">Explain any special circumstances that would cause an information collection to be conducted in a manner inconsistent with the criteria listed in </w:t>
      </w:r>
      <w:r w:rsidRPr="00904338" w:rsidR="00432E85">
        <w:rPr>
          <w:b/>
          <w:szCs w:val="24"/>
          <w:shd w:val="clear" w:color="auto" w:fill="FFFFFF"/>
        </w:rPr>
        <w:t>the supporting</w:t>
      </w:r>
      <w:r w:rsidRPr="00904338">
        <w:rPr>
          <w:b/>
          <w:szCs w:val="24"/>
          <w:shd w:val="clear" w:color="auto" w:fill="FFFFFF"/>
        </w:rPr>
        <w:t xml:space="preserve"> statement.</w:t>
      </w:r>
    </w:p>
    <w:p w:rsidR="00E83849" w:rsidRPr="00904338" w:rsidP="00507A37" w14:paraId="101AE23E" w14:textId="77777777">
      <w:pPr>
        <w:tabs>
          <w:tab w:val="left" w:pos="-720"/>
        </w:tabs>
        <w:suppressAutoHyphens/>
        <w:ind w:left="720"/>
        <w:rPr>
          <w:szCs w:val="24"/>
        </w:rPr>
      </w:pPr>
    </w:p>
    <w:p w:rsidR="00524BE7" w:rsidRPr="00904338" w:rsidP="00507A37" w14:paraId="726624F6" w14:textId="72EF2F31">
      <w:pPr>
        <w:tabs>
          <w:tab w:val="left" w:pos="-720"/>
        </w:tabs>
        <w:suppressAutoHyphens/>
        <w:ind w:left="720"/>
        <w:rPr>
          <w:szCs w:val="24"/>
        </w:rPr>
      </w:pPr>
      <w:r w:rsidRPr="00904338">
        <w:rPr>
          <w:szCs w:val="24"/>
        </w:rPr>
        <w:t>T</w:t>
      </w:r>
      <w:r w:rsidRPr="00904338" w:rsidR="00EA72B5">
        <w:rPr>
          <w:szCs w:val="24"/>
        </w:rPr>
        <w:t>his collection of information is consistent with the guidelines in</w:t>
      </w:r>
      <w:r w:rsidRPr="00904338" w:rsidR="00DA5854">
        <w:rPr>
          <w:szCs w:val="24"/>
        </w:rPr>
        <w:t xml:space="preserve"> </w:t>
      </w:r>
      <w:r w:rsidRPr="00904338" w:rsidR="00EA72B5">
        <w:rPr>
          <w:szCs w:val="24"/>
        </w:rPr>
        <w:t>5 CFR 1320.5(d</w:t>
      </w:r>
      <w:r w:rsidRPr="00904338" w:rsidR="00D31181">
        <w:rPr>
          <w:szCs w:val="24"/>
        </w:rPr>
        <w:t>)(</w:t>
      </w:r>
      <w:r w:rsidRPr="00904338" w:rsidR="00EA72B5">
        <w:rPr>
          <w:szCs w:val="24"/>
        </w:rPr>
        <w:t>2)</w:t>
      </w:r>
      <w:r w:rsidR="00872F04">
        <w:rPr>
          <w:szCs w:val="24"/>
        </w:rPr>
        <w:t xml:space="preserve">, </w:t>
      </w:r>
      <w:r w:rsidRPr="00904338" w:rsidR="00DA5854">
        <w:rPr>
          <w:szCs w:val="24"/>
        </w:rPr>
        <w:t>1320.6.</w:t>
      </w:r>
    </w:p>
    <w:p w:rsidR="009A4C25" w:rsidRPr="00904338" w:rsidP="00507A37" w14:paraId="53A4D34C" w14:textId="77777777">
      <w:pPr>
        <w:tabs>
          <w:tab w:val="left" w:pos="-720"/>
        </w:tabs>
        <w:suppressAutoHyphens/>
        <w:ind w:left="360"/>
        <w:rPr>
          <w:szCs w:val="24"/>
        </w:rPr>
      </w:pPr>
    </w:p>
    <w:p w:rsidR="00E83849" w:rsidRPr="00904338" w:rsidP="00507A37" w14:paraId="754AF408" w14:textId="02743D3C">
      <w:pPr>
        <w:numPr>
          <w:ilvl w:val="0"/>
          <w:numId w:val="7"/>
        </w:numPr>
        <w:rPr>
          <w:b/>
          <w:szCs w:val="24"/>
          <w:shd w:val="clear" w:color="auto" w:fill="FFFFFF"/>
        </w:rPr>
      </w:pPr>
      <w:r w:rsidRPr="00904338">
        <w:rPr>
          <w:b/>
          <w:szCs w:val="24"/>
          <w:shd w:val="clear" w:color="auto" w:fill="FFFFFF"/>
        </w:rPr>
        <w:t>If applicable, provide a copy and identify the date and page number of publication in the Federal Register of the agency’s notice, required by 5 CFR 1320.8(d), soliciting comments on the information prior to submission to OMB.</w:t>
      </w:r>
    </w:p>
    <w:p w:rsidR="00E83849" w:rsidRPr="00904338" w:rsidP="00507A37" w14:paraId="5780C68C" w14:textId="77777777">
      <w:pPr>
        <w:ind w:left="720"/>
        <w:rPr>
          <w:szCs w:val="24"/>
          <w:shd w:val="clear" w:color="auto" w:fill="FFFFFF"/>
        </w:rPr>
      </w:pPr>
      <w:r w:rsidRPr="00904338">
        <w:rPr>
          <w:b/>
          <w:szCs w:val="24"/>
          <w:shd w:val="clear" w:color="auto" w:fill="FFFFFF"/>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83849" w:rsidRPr="00904338" w:rsidP="00507A37" w14:paraId="024DDB94" w14:textId="77777777">
      <w:pPr>
        <w:tabs>
          <w:tab w:val="left" w:pos="-720"/>
        </w:tabs>
        <w:suppressAutoHyphens/>
        <w:ind w:left="720"/>
        <w:rPr>
          <w:szCs w:val="24"/>
        </w:rPr>
      </w:pPr>
    </w:p>
    <w:p w:rsidR="00741B57" w:rsidRPr="00904338" w:rsidP="00E030FE" w14:paraId="7FED73C2" w14:textId="435D5038">
      <w:pPr>
        <w:tabs>
          <w:tab w:val="left" w:pos="-720"/>
        </w:tabs>
        <w:suppressAutoHyphens/>
        <w:ind w:left="720"/>
        <w:rPr>
          <w:szCs w:val="24"/>
        </w:rPr>
      </w:pPr>
      <w:r w:rsidRPr="00CC1A7C">
        <w:rPr>
          <w:szCs w:val="24"/>
        </w:rPr>
        <w:t xml:space="preserve">On </w:t>
      </w:r>
      <w:r w:rsidR="00FD75B9">
        <w:rPr>
          <w:szCs w:val="24"/>
        </w:rPr>
        <w:t>August</w:t>
      </w:r>
      <w:r w:rsidRPr="00FD75B9" w:rsidR="003D4CBC">
        <w:rPr>
          <w:szCs w:val="24"/>
        </w:rPr>
        <w:t xml:space="preserve"> </w:t>
      </w:r>
      <w:r w:rsidR="00FD75B9">
        <w:rPr>
          <w:szCs w:val="24"/>
        </w:rPr>
        <w:t>13</w:t>
      </w:r>
      <w:r w:rsidRPr="00FD75B9" w:rsidR="00620CD0">
        <w:rPr>
          <w:szCs w:val="24"/>
        </w:rPr>
        <w:t xml:space="preserve">, </w:t>
      </w:r>
      <w:r w:rsidRPr="00FD75B9" w:rsidR="003D4CBC">
        <w:rPr>
          <w:szCs w:val="24"/>
        </w:rPr>
        <w:t>2024</w:t>
      </w:r>
      <w:r w:rsidRPr="00904338" w:rsidR="0025236D">
        <w:rPr>
          <w:szCs w:val="24"/>
        </w:rPr>
        <w:t>,</w:t>
      </w:r>
      <w:r w:rsidRPr="00904338" w:rsidR="003D4CBC">
        <w:rPr>
          <w:szCs w:val="24"/>
        </w:rPr>
        <w:t xml:space="preserve"> </w:t>
      </w:r>
      <w:r w:rsidRPr="00904338">
        <w:rPr>
          <w:szCs w:val="24"/>
        </w:rPr>
        <w:t>pursuant to 5 CFR</w:t>
      </w:r>
      <w:r w:rsidR="002E0138">
        <w:rPr>
          <w:szCs w:val="24"/>
        </w:rPr>
        <w:t xml:space="preserve"> </w:t>
      </w:r>
      <w:r w:rsidRPr="00904338">
        <w:rPr>
          <w:szCs w:val="24"/>
        </w:rPr>
        <w:t>1320.8, a</w:t>
      </w:r>
      <w:r w:rsidRPr="00904338" w:rsidR="003F5DC6">
        <w:rPr>
          <w:szCs w:val="24"/>
        </w:rPr>
        <w:t xml:space="preserve"> </w:t>
      </w:r>
      <w:r w:rsidRPr="00904338">
        <w:rPr>
          <w:szCs w:val="24"/>
        </w:rPr>
        <w:t>60</w:t>
      </w:r>
      <w:r w:rsidRPr="00904338" w:rsidR="00620CD0">
        <w:rPr>
          <w:szCs w:val="24"/>
        </w:rPr>
        <w:t>-</w:t>
      </w:r>
      <w:r w:rsidRPr="00904338">
        <w:rPr>
          <w:szCs w:val="24"/>
        </w:rPr>
        <w:t>Day Notice concerning the renewal of this information collection (OMB Control No. 3060-</w:t>
      </w:r>
      <w:r w:rsidRPr="00904338" w:rsidR="00E030FE">
        <w:rPr>
          <w:szCs w:val="24"/>
        </w:rPr>
        <w:t>1217</w:t>
      </w:r>
      <w:r w:rsidRPr="00904338">
        <w:rPr>
          <w:szCs w:val="24"/>
        </w:rPr>
        <w:t>) was published in the Federal Register (</w:t>
      </w:r>
      <w:r w:rsidRPr="00FD75B9">
        <w:t xml:space="preserve">See </w:t>
      </w:r>
      <w:r w:rsidRPr="00FD75B9" w:rsidR="00FD75B9">
        <w:t>89</w:t>
      </w:r>
      <w:r w:rsidRPr="00FD75B9" w:rsidR="003D4CBC">
        <w:t xml:space="preserve"> </w:t>
      </w:r>
      <w:r w:rsidRPr="00FD75B9">
        <w:t>FR</w:t>
      </w:r>
      <w:r w:rsidRPr="00FD75B9" w:rsidR="00620CD0">
        <w:t xml:space="preserve"> </w:t>
      </w:r>
      <w:r w:rsidRPr="00FD75B9" w:rsidR="00FD75B9">
        <w:rPr>
          <w:szCs w:val="24"/>
        </w:rPr>
        <w:t>65880</w:t>
      </w:r>
      <w:r w:rsidRPr="00904338">
        <w:rPr>
          <w:szCs w:val="24"/>
        </w:rPr>
        <w:t xml:space="preserve">) with comments due on or before </w:t>
      </w:r>
      <w:r w:rsidRPr="00FD75B9" w:rsidR="00FD75B9">
        <w:rPr>
          <w:szCs w:val="24"/>
        </w:rPr>
        <w:t>October</w:t>
      </w:r>
      <w:r w:rsidRPr="00FD75B9" w:rsidR="003D4CBC">
        <w:rPr>
          <w:szCs w:val="24"/>
        </w:rPr>
        <w:t xml:space="preserve"> </w:t>
      </w:r>
      <w:r w:rsidRPr="00FD75B9" w:rsidR="00FD75B9">
        <w:rPr>
          <w:szCs w:val="24"/>
        </w:rPr>
        <w:t>11</w:t>
      </w:r>
      <w:r w:rsidRPr="00FD75B9" w:rsidR="00620CD0">
        <w:rPr>
          <w:szCs w:val="24"/>
        </w:rPr>
        <w:t xml:space="preserve">, </w:t>
      </w:r>
      <w:r w:rsidRPr="00FD75B9" w:rsidR="003D4CBC">
        <w:rPr>
          <w:szCs w:val="24"/>
        </w:rPr>
        <w:t>2024</w:t>
      </w:r>
      <w:r w:rsidRPr="00FD75B9">
        <w:rPr>
          <w:szCs w:val="24"/>
        </w:rPr>
        <w:t>.</w:t>
      </w:r>
      <w:r w:rsidRPr="00904338">
        <w:rPr>
          <w:szCs w:val="24"/>
        </w:rPr>
        <w:t xml:space="preserve">  The Commission did not receive any comments following publication of the Notice.</w:t>
      </w:r>
    </w:p>
    <w:p w:rsidR="00741B57" w:rsidRPr="00904338" w:rsidP="00507A37" w14:paraId="537EE61E" w14:textId="77777777">
      <w:pPr>
        <w:tabs>
          <w:tab w:val="left" w:pos="-720"/>
        </w:tabs>
        <w:suppressAutoHyphens/>
        <w:ind w:left="720"/>
        <w:rPr>
          <w:szCs w:val="24"/>
        </w:rPr>
      </w:pPr>
    </w:p>
    <w:p w:rsidR="00741B57" w:rsidRPr="00904338" w:rsidP="00507A37" w14:paraId="464EFB6B" w14:textId="77777777">
      <w:pPr>
        <w:numPr>
          <w:ilvl w:val="0"/>
          <w:numId w:val="7"/>
        </w:numPr>
        <w:tabs>
          <w:tab w:val="left" w:pos="-720"/>
          <w:tab w:val="num" w:pos="360"/>
          <w:tab w:val="clear" w:pos="720"/>
        </w:tabs>
        <w:suppressAutoHyphens/>
        <w:rPr>
          <w:szCs w:val="24"/>
        </w:rPr>
      </w:pPr>
      <w:r w:rsidRPr="00904338">
        <w:rPr>
          <w:b/>
          <w:szCs w:val="24"/>
          <w:shd w:val="clear" w:color="auto" w:fill="FFFFFF"/>
        </w:rPr>
        <w:t>Explain any decision to provide any payment or gift to respondents, other than remuneration of contractors or grantees.</w:t>
      </w:r>
    </w:p>
    <w:p w:rsidR="00741B57" w:rsidRPr="00904338" w:rsidP="00507A37" w14:paraId="5F100EA3" w14:textId="77777777">
      <w:pPr>
        <w:tabs>
          <w:tab w:val="left" w:pos="-720"/>
        </w:tabs>
        <w:suppressAutoHyphens/>
        <w:rPr>
          <w:szCs w:val="24"/>
        </w:rPr>
      </w:pPr>
    </w:p>
    <w:p w:rsidR="009A4C25" w:rsidRPr="00904338" w:rsidP="00507A37" w14:paraId="060E6A18" w14:textId="77777777">
      <w:pPr>
        <w:tabs>
          <w:tab w:val="left" w:pos="-720"/>
        </w:tabs>
        <w:suppressAutoHyphens/>
        <w:ind w:left="720"/>
        <w:rPr>
          <w:szCs w:val="24"/>
          <w:shd w:val="clear" w:color="auto" w:fill="FFFFFF"/>
        </w:rPr>
      </w:pPr>
      <w:r w:rsidRPr="00904338">
        <w:rPr>
          <w:szCs w:val="24"/>
          <w:shd w:val="clear" w:color="auto" w:fill="FFFFFF"/>
        </w:rPr>
        <w:t>No payment or gift to respondents has been or will be made.</w:t>
      </w:r>
    </w:p>
    <w:p w:rsidR="00741B57" w:rsidRPr="00904338" w:rsidP="00507A37" w14:paraId="7208DD41" w14:textId="77777777">
      <w:pPr>
        <w:tabs>
          <w:tab w:val="left" w:pos="-720"/>
        </w:tabs>
        <w:suppressAutoHyphens/>
        <w:ind w:left="720"/>
        <w:rPr>
          <w:szCs w:val="24"/>
        </w:rPr>
      </w:pPr>
    </w:p>
    <w:p w:rsidR="00741B57" w:rsidRPr="00904338" w:rsidP="00507A37" w14:paraId="591CEBD7" w14:textId="77777777">
      <w:pPr>
        <w:numPr>
          <w:ilvl w:val="0"/>
          <w:numId w:val="7"/>
        </w:numPr>
        <w:rPr>
          <w:b/>
          <w:szCs w:val="24"/>
          <w:shd w:val="clear" w:color="auto" w:fill="FFFFFF"/>
        </w:rPr>
      </w:pPr>
      <w:r w:rsidRPr="00904338">
        <w:rPr>
          <w:b/>
          <w:szCs w:val="24"/>
          <w:shd w:val="clear" w:color="auto" w:fill="FFFFFF"/>
        </w:rPr>
        <w:t>Describe any assurance of confidentiality provided to respondents and the basis for the assurance in statute, regulation, or agency policy.</w:t>
      </w:r>
    </w:p>
    <w:p w:rsidR="00741B57" w:rsidRPr="00904338" w:rsidP="00507A37" w14:paraId="4590803B" w14:textId="77777777">
      <w:pPr>
        <w:tabs>
          <w:tab w:val="left" w:pos="-720"/>
        </w:tabs>
        <w:suppressAutoHyphens/>
        <w:ind w:left="720"/>
        <w:rPr>
          <w:szCs w:val="24"/>
        </w:rPr>
      </w:pPr>
    </w:p>
    <w:p w:rsidR="0029128A" w:rsidRPr="00904338" w:rsidP="00507A37" w14:paraId="53942B34" w14:textId="77777777">
      <w:pPr>
        <w:pStyle w:val="ParaNum"/>
        <w:widowControl/>
        <w:numPr>
          <w:ilvl w:val="0"/>
          <w:numId w:val="0"/>
        </w:numPr>
        <w:ind w:left="720"/>
        <w:rPr>
          <w:sz w:val="24"/>
          <w:szCs w:val="24"/>
        </w:rPr>
      </w:pPr>
      <w:r w:rsidRPr="00904338">
        <w:rPr>
          <w:sz w:val="24"/>
          <w:szCs w:val="24"/>
        </w:rPr>
        <w:t>The Commission did not provide any assurance of confidentiality.</w:t>
      </w:r>
    </w:p>
    <w:p w:rsidR="0029128A" w:rsidRPr="00904338" w:rsidP="00507A37" w14:paraId="764A4693" w14:textId="77777777">
      <w:pPr>
        <w:tabs>
          <w:tab w:val="left" w:pos="-720"/>
        </w:tabs>
        <w:suppressAutoHyphens/>
        <w:rPr>
          <w:szCs w:val="24"/>
        </w:rPr>
      </w:pPr>
    </w:p>
    <w:p w:rsidR="00307438" w:rsidRPr="00904338" w:rsidP="00507A37" w14:paraId="1A8269B2" w14:textId="77777777">
      <w:pPr>
        <w:numPr>
          <w:ilvl w:val="0"/>
          <w:numId w:val="7"/>
        </w:numPr>
        <w:rPr>
          <w:b/>
          <w:szCs w:val="24"/>
          <w:shd w:val="clear" w:color="auto" w:fill="FFFFFF"/>
        </w:rPr>
      </w:pPr>
      <w:r w:rsidRPr="00904338">
        <w:rPr>
          <w:b/>
          <w:szCs w:val="24"/>
          <w:shd w:val="clear" w:color="auto" w:fill="FFFFFF"/>
        </w:rPr>
        <w:t>Provide additional justification for any questions of a sensitive nature.</w:t>
      </w:r>
    </w:p>
    <w:p w:rsidR="00307438" w:rsidRPr="00904338" w:rsidP="00507A37" w14:paraId="181D818C" w14:textId="77777777">
      <w:pPr>
        <w:ind w:left="720"/>
        <w:rPr>
          <w:b/>
          <w:szCs w:val="24"/>
          <w:shd w:val="clear" w:color="auto" w:fill="FFFFFF"/>
        </w:rPr>
      </w:pPr>
    </w:p>
    <w:p w:rsidR="00EA7786" w:rsidRPr="00904338" w:rsidP="00507A37" w14:paraId="3EFF8DF5" w14:textId="77777777">
      <w:pPr>
        <w:ind w:left="720"/>
        <w:rPr>
          <w:b/>
          <w:szCs w:val="24"/>
          <w:shd w:val="clear" w:color="auto" w:fill="FFFFFF"/>
        </w:rPr>
      </w:pPr>
      <w:r w:rsidRPr="00904338">
        <w:rPr>
          <w:szCs w:val="24"/>
        </w:rPr>
        <w:t>This collection does not address any matters of a sensitive nature.</w:t>
      </w:r>
    </w:p>
    <w:p w:rsidR="00EA7786" w:rsidRPr="00904338" w:rsidP="00507A37" w14:paraId="6CF5CF63" w14:textId="77777777">
      <w:pPr>
        <w:tabs>
          <w:tab w:val="left" w:pos="-720"/>
        </w:tabs>
        <w:suppressAutoHyphens/>
        <w:rPr>
          <w:szCs w:val="24"/>
        </w:rPr>
      </w:pPr>
    </w:p>
    <w:p w:rsidR="00B413A8" w:rsidRPr="00904338" w:rsidP="00507A37" w14:paraId="2D21EB92" w14:textId="46B8AAAB">
      <w:pPr>
        <w:numPr>
          <w:ilvl w:val="0"/>
          <w:numId w:val="7"/>
        </w:numPr>
        <w:tabs>
          <w:tab w:val="left" w:pos="-720"/>
          <w:tab w:val="num" w:pos="360"/>
          <w:tab w:val="clear" w:pos="720"/>
        </w:tabs>
        <w:suppressAutoHyphens/>
        <w:rPr>
          <w:szCs w:val="24"/>
        </w:rPr>
      </w:pPr>
      <w:r w:rsidRPr="00904338">
        <w:rPr>
          <w:b/>
          <w:szCs w:val="24"/>
          <w:shd w:val="clear" w:color="auto" w:fill="FFFFFF"/>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DE1ECA" w:rsidRPr="00904338" w:rsidP="00507A37" w14:paraId="09571B61" w14:textId="77777777">
      <w:pPr>
        <w:tabs>
          <w:tab w:val="left" w:pos="-720"/>
        </w:tabs>
        <w:suppressAutoHyphens/>
        <w:ind w:left="720"/>
        <w:rPr>
          <w:szCs w:val="24"/>
        </w:rPr>
      </w:pPr>
    </w:p>
    <w:p w:rsidR="004E18DE" w:rsidP="00C44012" w14:paraId="3A902E5A" w14:textId="5049C766">
      <w:pPr>
        <w:pStyle w:val="ParaNum"/>
        <w:numPr>
          <w:ilvl w:val="0"/>
          <w:numId w:val="0"/>
        </w:numPr>
        <w:ind w:left="720"/>
        <w:rPr>
          <w:sz w:val="24"/>
          <w:szCs w:val="24"/>
        </w:rPr>
      </w:pPr>
      <w:r w:rsidRPr="00904338">
        <w:rPr>
          <w:sz w:val="24"/>
          <w:szCs w:val="24"/>
        </w:rPr>
        <w:t>We believe that the burden of these backup power disclosure requirements will be minimal, and thus, will be exceeded by the significant benefits we expect to result from them, such as enhanced subscriber access to 911 services</w:t>
      </w:r>
      <w:r w:rsidRPr="00904338" w:rsidR="00A13E87">
        <w:rPr>
          <w:sz w:val="24"/>
          <w:szCs w:val="24"/>
        </w:rPr>
        <w:t xml:space="preserve"> during times of emergencies where </w:t>
      </w:r>
      <w:r w:rsidRPr="00904338" w:rsidR="00007D80">
        <w:rPr>
          <w:sz w:val="24"/>
          <w:szCs w:val="24"/>
        </w:rPr>
        <w:t>commercial power outages might occur</w:t>
      </w:r>
      <w:r w:rsidRPr="00904338">
        <w:rPr>
          <w:sz w:val="24"/>
          <w:szCs w:val="24"/>
        </w:rPr>
        <w:t xml:space="preserve">.  </w:t>
      </w:r>
      <w:r w:rsidR="00FA087F">
        <w:rPr>
          <w:sz w:val="24"/>
          <w:szCs w:val="24"/>
        </w:rPr>
        <w:t xml:space="preserve">In November 2021, we estimated </w:t>
      </w:r>
      <w:r>
        <w:rPr>
          <w:sz w:val="24"/>
          <w:szCs w:val="24"/>
        </w:rPr>
        <w:t>that the number of Covered Service providers was 570</w:t>
      </w:r>
      <w:r w:rsidR="00106EE1">
        <w:rPr>
          <w:sz w:val="24"/>
          <w:szCs w:val="24"/>
        </w:rPr>
        <w:t>.  We estimated that those providers only faced one-time compliance burdens</w:t>
      </w:r>
      <w:r>
        <w:rPr>
          <w:sz w:val="24"/>
          <w:szCs w:val="24"/>
        </w:rPr>
        <w:t xml:space="preserve">, and those providers should </w:t>
      </w:r>
      <w:r w:rsidR="00106EE1">
        <w:rPr>
          <w:sz w:val="24"/>
          <w:szCs w:val="24"/>
        </w:rPr>
        <w:t xml:space="preserve">now </w:t>
      </w:r>
      <w:r>
        <w:rPr>
          <w:sz w:val="24"/>
          <w:szCs w:val="24"/>
        </w:rPr>
        <w:t xml:space="preserve">already be </w:t>
      </w:r>
      <w:r w:rsidRPr="004E18DE">
        <w:rPr>
          <w:sz w:val="24"/>
          <w:szCs w:val="24"/>
        </w:rPr>
        <w:t>in compliance with the requirements of 47 CFR 9.20(d) regarding subscriber disclosure of availability of backup power</w:t>
      </w:r>
      <w:r w:rsidR="003E00F4">
        <w:rPr>
          <w:sz w:val="24"/>
          <w:szCs w:val="24"/>
        </w:rPr>
        <w:t xml:space="preserve"> without any annually recurring burdens</w:t>
      </w:r>
      <w:r w:rsidRPr="004E18DE">
        <w:rPr>
          <w:sz w:val="24"/>
          <w:szCs w:val="24"/>
        </w:rPr>
        <w:t xml:space="preserve">.  </w:t>
      </w:r>
    </w:p>
    <w:p w:rsidR="00A440BF" w:rsidP="00C44012" w14:paraId="045DBEBB" w14:textId="78C52485">
      <w:pPr>
        <w:pStyle w:val="ParaNum"/>
        <w:numPr>
          <w:ilvl w:val="0"/>
          <w:numId w:val="0"/>
        </w:numPr>
        <w:ind w:left="720"/>
        <w:rPr>
          <w:sz w:val="24"/>
          <w:szCs w:val="24"/>
        </w:rPr>
      </w:pPr>
      <w:r>
        <w:rPr>
          <w:sz w:val="24"/>
          <w:szCs w:val="24"/>
        </w:rPr>
        <w:t xml:space="preserve">Today, we </w:t>
      </w:r>
      <w:r w:rsidRPr="00904338" w:rsidR="00C44012">
        <w:rPr>
          <w:sz w:val="24"/>
          <w:szCs w:val="24"/>
        </w:rPr>
        <w:t xml:space="preserve">estimate the number of </w:t>
      </w:r>
      <w:r w:rsidRPr="00904338" w:rsidR="00975769">
        <w:rPr>
          <w:sz w:val="24"/>
          <w:szCs w:val="24"/>
        </w:rPr>
        <w:t xml:space="preserve">Covered Service </w:t>
      </w:r>
      <w:r w:rsidRPr="00904338" w:rsidR="001414D3">
        <w:rPr>
          <w:sz w:val="24"/>
          <w:szCs w:val="24"/>
        </w:rPr>
        <w:t xml:space="preserve">provider </w:t>
      </w:r>
      <w:r w:rsidRPr="00904338" w:rsidR="00C44012">
        <w:rPr>
          <w:sz w:val="24"/>
          <w:szCs w:val="24"/>
        </w:rPr>
        <w:t xml:space="preserve">respondents to be </w:t>
      </w:r>
      <w:r w:rsidR="00A31662">
        <w:rPr>
          <w:sz w:val="24"/>
          <w:szCs w:val="24"/>
        </w:rPr>
        <w:t>615</w:t>
      </w:r>
      <w:r w:rsidR="008F57A9">
        <w:rPr>
          <w:sz w:val="24"/>
          <w:szCs w:val="24"/>
        </w:rPr>
        <w:t xml:space="preserve">, which means there are 45 new Covered Service providers </w:t>
      </w:r>
      <w:r w:rsidR="00B614C1">
        <w:rPr>
          <w:sz w:val="24"/>
          <w:szCs w:val="24"/>
        </w:rPr>
        <w:t>that have entered the market</w:t>
      </w:r>
      <w:r w:rsidR="003220C9">
        <w:rPr>
          <w:sz w:val="24"/>
          <w:szCs w:val="24"/>
        </w:rPr>
        <w:t>place</w:t>
      </w:r>
      <w:r w:rsidR="00264862">
        <w:rPr>
          <w:sz w:val="24"/>
          <w:szCs w:val="24"/>
        </w:rPr>
        <w:t xml:space="preserve"> since our November 2021 estimate</w:t>
      </w:r>
      <w:r w:rsidR="007C0EBE">
        <w:rPr>
          <w:sz w:val="24"/>
          <w:szCs w:val="24"/>
        </w:rPr>
        <w:t>, and</w:t>
      </w:r>
      <w:r w:rsidR="002731FB">
        <w:rPr>
          <w:sz w:val="24"/>
          <w:szCs w:val="24"/>
        </w:rPr>
        <w:t xml:space="preserve"> </w:t>
      </w:r>
      <w:r w:rsidRPr="005F71B5" w:rsidR="007C0EBE">
        <w:t xml:space="preserve">570 </w:t>
      </w:r>
      <w:r w:rsidR="007C0EBE">
        <w:t>are in compliance</w:t>
      </w:r>
      <w:r w:rsidRPr="005F71B5" w:rsidR="007C0EBE">
        <w:t xml:space="preserve"> the requirement</w:t>
      </w:r>
      <w:r w:rsidR="007C0EBE">
        <w:t xml:space="preserve">s of the </w:t>
      </w:r>
      <w:r w:rsidRPr="00173480" w:rsidR="007C0EBE">
        <w:rPr>
          <w:i/>
          <w:iCs/>
        </w:rPr>
        <w:t>Report and Orde</w:t>
      </w:r>
      <w:r w:rsidRPr="008A7B91" w:rsidR="007C0EBE">
        <w:rPr>
          <w:i/>
          <w:iCs/>
        </w:rPr>
        <w:t>r</w:t>
      </w:r>
      <w:r w:rsidRPr="005F71B5" w:rsidR="007C0EBE">
        <w:t xml:space="preserve">. </w:t>
      </w:r>
      <w:r w:rsidR="00E56FF5">
        <w:t xml:space="preserve"> </w:t>
      </w:r>
      <w:r w:rsidRPr="005F71B5" w:rsidR="007C0EBE">
        <w:t>Therefore, 45 new entrants are subject to th</w:t>
      </w:r>
      <w:r w:rsidR="007C0EBE">
        <w:t>e</w:t>
      </w:r>
      <w:r w:rsidRPr="005F71B5" w:rsidR="007C0EBE">
        <w:t xml:space="preserve"> requirement</w:t>
      </w:r>
      <w:r w:rsidR="007C0EBE">
        <w:t xml:space="preserve">s of the </w:t>
      </w:r>
      <w:r w:rsidRPr="00173480" w:rsidR="007C0EBE">
        <w:rPr>
          <w:i/>
          <w:iCs/>
        </w:rPr>
        <w:t>Report and Order</w:t>
      </w:r>
      <w:r w:rsidRPr="005F71B5" w:rsidR="007C0EBE">
        <w:t>.</w:t>
      </w:r>
      <w:r w:rsidR="007C0EBE">
        <w:t xml:space="preserve">  </w:t>
      </w:r>
      <w:r w:rsidR="003220C9">
        <w:rPr>
          <w:sz w:val="24"/>
          <w:szCs w:val="24"/>
        </w:rPr>
        <w:t>These 45</w:t>
      </w:r>
      <w:r w:rsidRPr="00904338" w:rsidR="002B7F0F">
        <w:rPr>
          <w:sz w:val="24"/>
          <w:szCs w:val="24"/>
        </w:rPr>
        <w:t xml:space="preserve"> </w:t>
      </w:r>
      <w:r w:rsidRPr="00904338" w:rsidR="008845E5">
        <w:rPr>
          <w:sz w:val="24"/>
          <w:szCs w:val="24"/>
        </w:rPr>
        <w:t xml:space="preserve">respondents </w:t>
      </w:r>
      <w:r w:rsidRPr="00904338" w:rsidR="00411686">
        <w:rPr>
          <w:sz w:val="24"/>
          <w:szCs w:val="24"/>
        </w:rPr>
        <w:t xml:space="preserve">may </w:t>
      </w:r>
      <w:r w:rsidRPr="00904338" w:rsidR="00C44012">
        <w:rPr>
          <w:sz w:val="24"/>
          <w:szCs w:val="24"/>
        </w:rPr>
        <w:t xml:space="preserve">have to build the </w:t>
      </w:r>
      <w:r w:rsidRPr="00904338" w:rsidR="00450746">
        <w:rPr>
          <w:sz w:val="24"/>
          <w:szCs w:val="24"/>
        </w:rPr>
        <w:t xml:space="preserve">subscriber disclosure </w:t>
      </w:r>
      <w:r w:rsidRPr="00904338" w:rsidR="00C44012">
        <w:rPr>
          <w:sz w:val="24"/>
          <w:szCs w:val="24"/>
        </w:rPr>
        <w:t>service from the ground up</w:t>
      </w:r>
      <w:r w:rsidRPr="00904338" w:rsidR="00411686">
        <w:rPr>
          <w:sz w:val="24"/>
          <w:szCs w:val="24"/>
        </w:rPr>
        <w:t xml:space="preserve"> or </w:t>
      </w:r>
      <w:r w:rsidRPr="00904338" w:rsidR="00C44012">
        <w:rPr>
          <w:sz w:val="24"/>
          <w:szCs w:val="24"/>
        </w:rPr>
        <w:t xml:space="preserve">may currently be providing some, but not </w:t>
      </w:r>
      <w:r w:rsidRPr="00904338" w:rsidR="008B5796">
        <w:rPr>
          <w:sz w:val="24"/>
          <w:szCs w:val="24"/>
        </w:rPr>
        <w:t>all</w:t>
      </w:r>
      <w:r w:rsidRPr="00904338" w:rsidR="00C44012">
        <w:rPr>
          <w:sz w:val="24"/>
          <w:szCs w:val="24"/>
        </w:rPr>
        <w:t xml:space="preserve"> the required disclosure.  Consequently, </w:t>
      </w:r>
      <w:r w:rsidRPr="00904338" w:rsidR="00411686">
        <w:rPr>
          <w:sz w:val="24"/>
          <w:szCs w:val="24"/>
        </w:rPr>
        <w:t xml:space="preserve">these </w:t>
      </w:r>
      <w:r w:rsidR="00707B7E">
        <w:rPr>
          <w:sz w:val="24"/>
          <w:szCs w:val="24"/>
        </w:rPr>
        <w:t>45</w:t>
      </w:r>
      <w:r w:rsidRPr="00904338" w:rsidR="00411686">
        <w:rPr>
          <w:sz w:val="24"/>
          <w:szCs w:val="24"/>
        </w:rPr>
        <w:t xml:space="preserve"> </w:t>
      </w:r>
      <w:r w:rsidRPr="00904338" w:rsidR="00C44012">
        <w:rPr>
          <w:sz w:val="24"/>
          <w:szCs w:val="24"/>
        </w:rPr>
        <w:t>respondent</w:t>
      </w:r>
      <w:r w:rsidRPr="00904338" w:rsidR="003818AD">
        <w:rPr>
          <w:sz w:val="24"/>
          <w:szCs w:val="24"/>
        </w:rPr>
        <w:t>s</w:t>
      </w:r>
      <w:r w:rsidRPr="00904338" w:rsidR="00C44012">
        <w:rPr>
          <w:sz w:val="24"/>
          <w:szCs w:val="24"/>
        </w:rPr>
        <w:t xml:space="preserve"> may spend </w:t>
      </w:r>
      <w:r w:rsidRPr="00904338" w:rsidR="003818AD">
        <w:rPr>
          <w:sz w:val="24"/>
          <w:szCs w:val="24"/>
        </w:rPr>
        <w:t xml:space="preserve">from </w:t>
      </w:r>
      <w:r w:rsidR="00F510EC">
        <w:rPr>
          <w:sz w:val="24"/>
          <w:szCs w:val="24"/>
        </w:rPr>
        <w:t>zero</w:t>
      </w:r>
      <w:r w:rsidRPr="00904338" w:rsidR="00F510EC">
        <w:rPr>
          <w:sz w:val="24"/>
          <w:szCs w:val="24"/>
        </w:rPr>
        <w:t xml:space="preserve"> </w:t>
      </w:r>
      <w:r w:rsidRPr="00904338" w:rsidR="00C44012">
        <w:rPr>
          <w:sz w:val="24"/>
          <w:szCs w:val="24"/>
        </w:rPr>
        <w:t xml:space="preserve">to 70 hours </w:t>
      </w:r>
      <w:r w:rsidRPr="00904338" w:rsidR="00AA2C2F">
        <w:rPr>
          <w:sz w:val="24"/>
          <w:szCs w:val="24"/>
        </w:rPr>
        <w:t xml:space="preserve">to create or revise their subscriber </w:t>
      </w:r>
      <w:r w:rsidRPr="00904338" w:rsidR="00C44012">
        <w:rPr>
          <w:sz w:val="24"/>
          <w:szCs w:val="24"/>
        </w:rPr>
        <w:t>notification</w:t>
      </w:r>
      <w:r w:rsidRPr="00904338" w:rsidR="00AA2C2F">
        <w:rPr>
          <w:sz w:val="24"/>
          <w:szCs w:val="24"/>
        </w:rPr>
        <w:t xml:space="preserve"> system</w:t>
      </w:r>
      <w:r w:rsidRPr="00904338" w:rsidR="00C44012">
        <w:rPr>
          <w:sz w:val="24"/>
          <w:szCs w:val="24"/>
        </w:rPr>
        <w:t xml:space="preserve">, which will mostly consist of time spent researching backup power </w:t>
      </w:r>
      <w:r w:rsidRPr="00904338" w:rsidR="000D4E80">
        <w:rPr>
          <w:sz w:val="24"/>
          <w:szCs w:val="24"/>
        </w:rPr>
        <w:t>information and</w:t>
      </w:r>
      <w:r w:rsidRPr="00904338" w:rsidR="00C44012">
        <w:rPr>
          <w:sz w:val="24"/>
          <w:szCs w:val="24"/>
        </w:rPr>
        <w:t xml:space="preserve"> adapting existing programs to deliver the </w:t>
      </w:r>
      <w:r w:rsidRPr="00904338" w:rsidR="00B42DEC">
        <w:rPr>
          <w:sz w:val="24"/>
          <w:szCs w:val="24"/>
        </w:rPr>
        <w:t xml:space="preserve">required </w:t>
      </w:r>
      <w:r w:rsidRPr="00904338" w:rsidR="00C44012">
        <w:rPr>
          <w:sz w:val="24"/>
          <w:szCs w:val="24"/>
        </w:rPr>
        <w:t xml:space="preserve">information to subscribers.  Respondents are required to disclose the information to subscribers at the point of sale and annually thereafter.  </w:t>
      </w:r>
    </w:p>
    <w:p w:rsidR="00116F79" w:rsidRPr="00904338" w:rsidP="00C44012" w14:paraId="3B6DC549" w14:textId="77777777">
      <w:pPr>
        <w:pStyle w:val="ParaNum"/>
        <w:numPr>
          <w:ilvl w:val="0"/>
          <w:numId w:val="0"/>
        </w:numPr>
        <w:ind w:left="720"/>
        <w:rPr>
          <w:sz w:val="24"/>
          <w:szCs w:val="24"/>
        </w:rPr>
      </w:pPr>
    </w:p>
    <w:p w:rsidR="00116F79" w:rsidRPr="00FF0DD7" w:rsidP="0015791F" w14:paraId="4F9C2957" w14:textId="6BF3488B">
      <w:pPr>
        <w:pStyle w:val="ParaNum"/>
        <w:numPr>
          <w:ilvl w:val="0"/>
          <w:numId w:val="0"/>
        </w:numPr>
        <w:ind w:left="720"/>
        <w:rPr>
          <w:b/>
          <w:sz w:val="24"/>
        </w:rPr>
      </w:pPr>
      <w:bookmarkStart w:id="0" w:name="_Hlk170288396"/>
      <w:r w:rsidRPr="00904338">
        <w:rPr>
          <w:b/>
          <w:bCs/>
          <w:sz w:val="24"/>
          <w:szCs w:val="24"/>
          <w:u w:val="single"/>
        </w:rPr>
        <w:t xml:space="preserve">Compliance with </w:t>
      </w:r>
      <w:r w:rsidRPr="00904338" w:rsidR="00741ED1">
        <w:rPr>
          <w:b/>
          <w:bCs/>
          <w:sz w:val="24"/>
          <w:szCs w:val="24"/>
          <w:u w:val="single"/>
        </w:rPr>
        <w:t xml:space="preserve">Backup </w:t>
      </w:r>
      <w:r w:rsidRPr="00904338" w:rsidR="00740975">
        <w:rPr>
          <w:b/>
          <w:bCs/>
          <w:sz w:val="24"/>
          <w:szCs w:val="24"/>
          <w:u w:val="single"/>
        </w:rPr>
        <w:t>Power</w:t>
      </w:r>
      <w:r w:rsidRPr="00904338" w:rsidR="00741ED1">
        <w:rPr>
          <w:b/>
          <w:bCs/>
          <w:sz w:val="24"/>
          <w:szCs w:val="24"/>
          <w:u w:val="single"/>
        </w:rPr>
        <w:t xml:space="preserve"> Subscriber </w:t>
      </w:r>
      <w:r w:rsidRPr="00904338" w:rsidR="00740975">
        <w:rPr>
          <w:b/>
          <w:bCs/>
          <w:sz w:val="24"/>
          <w:szCs w:val="24"/>
          <w:u w:val="single"/>
        </w:rPr>
        <w:t>Disclosure</w:t>
      </w:r>
      <w:r w:rsidRPr="00904338" w:rsidR="00741ED1">
        <w:rPr>
          <w:b/>
          <w:bCs/>
          <w:sz w:val="24"/>
          <w:szCs w:val="24"/>
          <w:u w:val="single"/>
        </w:rPr>
        <w:t xml:space="preserve"> Requirements</w:t>
      </w:r>
      <w:r w:rsidRPr="00904338" w:rsidR="00740975">
        <w:rPr>
          <w:sz w:val="24"/>
          <w:szCs w:val="24"/>
        </w:rPr>
        <w:t>.</w:t>
      </w:r>
      <w:bookmarkStart w:id="1" w:name="_Hlk170290233"/>
      <w:bookmarkEnd w:id="0"/>
    </w:p>
    <w:p w:rsidR="00C7426D" w:rsidRPr="00904338" w:rsidP="0015791F" w14:paraId="7C80E6FB" w14:textId="6F32FA4C">
      <w:pPr>
        <w:pStyle w:val="ParaNum"/>
        <w:numPr>
          <w:ilvl w:val="0"/>
          <w:numId w:val="0"/>
        </w:numPr>
        <w:ind w:firstLine="720"/>
        <w:rPr>
          <w:b/>
          <w:bCs/>
          <w:sz w:val="24"/>
          <w:szCs w:val="24"/>
        </w:rPr>
      </w:pPr>
      <w:r w:rsidRPr="00904338">
        <w:rPr>
          <w:b/>
          <w:bCs/>
          <w:sz w:val="24"/>
          <w:szCs w:val="24"/>
        </w:rPr>
        <w:t>Total Number of Respondents</w:t>
      </w:r>
      <w:r w:rsidRPr="00904338" w:rsidR="006036D2">
        <w:rPr>
          <w:b/>
          <w:bCs/>
          <w:sz w:val="24"/>
          <w:szCs w:val="24"/>
        </w:rPr>
        <w:t xml:space="preserve">:  </w:t>
      </w:r>
      <w:r w:rsidR="00264862">
        <w:rPr>
          <w:sz w:val="24"/>
          <w:szCs w:val="24"/>
        </w:rPr>
        <w:t>615</w:t>
      </w:r>
      <w:r w:rsidRPr="00904338">
        <w:rPr>
          <w:b/>
          <w:bCs/>
          <w:sz w:val="24"/>
          <w:szCs w:val="24"/>
        </w:rPr>
        <w:t xml:space="preserve"> </w:t>
      </w:r>
    </w:p>
    <w:p w:rsidR="006036D2" w:rsidRPr="00904338" w:rsidP="00C44012" w14:paraId="092F1EFE" w14:textId="21F58B64">
      <w:pPr>
        <w:pStyle w:val="ParaNum"/>
        <w:numPr>
          <w:ilvl w:val="0"/>
          <w:numId w:val="0"/>
        </w:numPr>
        <w:ind w:left="720"/>
        <w:rPr>
          <w:sz w:val="24"/>
          <w:szCs w:val="24"/>
        </w:rPr>
      </w:pPr>
      <w:r w:rsidRPr="00904338">
        <w:rPr>
          <w:b/>
          <w:bCs/>
          <w:sz w:val="24"/>
          <w:szCs w:val="24"/>
        </w:rPr>
        <w:t>Frequency of Response:</w:t>
      </w:r>
      <w:r w:rsidRPr="00904338" w:rsidR="00D85CE7">
        <w:rPr>
          <w:sz w:val="24"/>
          <w:szCs w:val="24"/>
        </w:rPr>
        <w:t xml:space="preserve">  On occasion and annually.</w:t>
      </w:r>
    </w:p>
    <w:p w:rsidR="00043CF7" w:rsidRPr="00904338" w:rsidP="00C44012" w14:paraId="4AAD9D32" w14:textId="11B934EA">
      <w:pPr>
        <w:pStyle w:val="ParaNum"/>
        <w:numPr>
          <w:ilvl w:val="0"/>
          <w:numId w:val="0"/>
        </w:numPr>
        <w:ind w:left="720"/>
        <w:rPr>
          <w:sz w:val="24"/>
          <w:szCs w:val="24"/>
        </w:rPr>
      </w:pPr>
      <w:r w:rsidRPr="00904338">
        <w:rPr>
          <w:b/>
          <w:bCs/>
          <w:sz w:val="24"/>
          <w:szCs w:val="24"/>
        </w:rPr>
        <w:t xml:space="preserve">Total </w:t>
      </w:r>
      <w:r w:rsidRPr="00904338" w:rsidR="007F5A07">
        <w:rPr>
          <w:b/>
          <w:bCs/>
          <w:sz w:val="24"/>
          <w:szCs w:val="24"/>
        </w:rPr>
        <w:t>Number of Responses Annually:</w:t>
      </w:r>
      <w:r w:rsidRPr="00904338" w:rsidR="007F5A07">
        <w:rPr>
          <w:sz w:val="24"/>
          <w:szCs w:val="24"/>
        </w:rPr>
        <w:t xml:space="preserve"> </w:t>
      </w:r>
      <w:r w:rsidR="00361405">
        <w:rPr>
          <w:sz w:val="24"/>
          <w:szCs w:val="24"/>
        </w:rPr>
        <w:t xml:space="preserve"> </w:t>
      </w:r>
      <w:r w:rsidR="00264862">
        <w:rPr>
          <w:sz w:val="24"/>
          <w:szCs w:val="24"/>
        </w:rPr>
        <w:t>615</w:t>
      </w:r>
    </w:p>
    <w:p w:rsidR="00111C1A" w:rsidRPr="00904338" w:rsidP="0015791F" w14:paraId="6246CACB" w14:textId="092FBFDD">
      <w:pPr>
        <w:pStyle w:val="ParaNum"/>
        <w:numPr>
          <w:ilvl w:val="0"/>
          <w:numId w:val="0"/>
        </w:numPr>
        <w:ind w:firstLine="720"/>
        <w:rPr>
          <w:sz w:val="24"/>
          <w:szCs w:val="24"/>
        </w:rPr>
      </w:pPr>
      <w:r>
        <w:rPr>
          <w:sz w:val="24"/>
          <w:szCs w:val="24"/>
        </w:rPr>
        <w:t>615</w:t>
      </w:r>
      <w:r w:rsidRPr="00904338" w:rsidR="00043CF7">
        <w:rPr>
          <w:sz w:val="24"/>
          <w:szCs w:val="24"/>
        </w:rPr>
        <w:t xml:space="preserve"> respondents x 1 response annually</w:t>
      </w:r>
      <w:r w:rsidRPr="00904338" w:rsidR="00E63FC2">
        <w:rPr>
          <w:sz w:val="24"/>
          <w:szCs w:val="24"/>
        </w:rPr>
        <w:t xml:space="preserve"> </w:t>
      </w:r>
      <w:r w:rsidRPr="00904338" w:rsidR="006B5EE8">
        <w:rPr>
          <w:sz w:val="24"/>
          <w:szCs w:val="24"/>
        </w:rPr>
        <w:t xml:space="preserve"> </w:t>
      </w:r>
    </w:p>
    <w:p w:rsidR="00F509A1" w:rsidP="00FF0DD7" w14:paraId="79991EF8" w14:textId="0B4EC3AA">
      <w:pPr>
        <w:pStyle w:val="ParaNum"/>
        <w:numPr>
          <w:ilvl w:val="0"/>
          <w:numId w:val="0"/>
        </w:numPr>
        <w:ind w:left="720"/>
        <w:rPr>
          <w:sz w:val="24"/>
          <w:szCs w:val="24"/>
        </w:rPr>
      </w:pPr>
      <w:bookmarkStart w:id="2" w:name="_Hlk170290314"/>
      <w:bookmarkEnd w:id="1"/>
      <w:r w:rsidRPr="00904338">
        <w:rPr>
          <w:b/>
          <w:bCs/>
          <w:sz w:val="24"/>
          <w:szCs w:val="24"/>
        </w:rPr>
        <w:t>Average response time per response:</w:t>
      </w:r>
      <w:r w:rsidRPr="00904338">
        <w:rPr>
          <w:sz w:val="24"/>
          <w:szCs w:val="24"/>
        </w:rPr>
        <w:t xml:space="preserve">  </w:t>
      </w:r>
      <w:r w:rsidR="00264862">
        <w:rPr>
          <w:sz w:val="24"/>
          <w:szCs w:val="24"/>
        </w:rPr>
        <w:t>Zero for existing respondents</w:t>
      </w:r>
      <w:r w:rsidR="00A879D5">
        <w:rPr>
          <w:sz w:val="24"/>
          <w:szCs w:val="24"/>
        </w:rPr>
        <w:t xml:space="preserve"> because they </w:t>
      </w:r>
      <w:r w:rsidR="007C0EBE">
        <w:rPr>
          <w:sz w:val="24"/>
          <w:szCs w:val="24"/>
        </w:rPr>
        <w:t>are in compliance</w:t>
      </w:r>
      <w:r w:rsidR="00A879D5">
        <w:rPr>
          <w:sz w:val="24"/>
          <w:szCs w:val="24"/>
        </w:rPr>
        <w:t xml:space="preserve"> with the requirement</w:t>
      </w:r>
      <w:r w:rsidR="00264862">
        <w:rPr>
          <w:sz w:val="24"/>
          <w:szCs w:val="24"/>
        </w:rPr>
        <w:t xml:space="preserve">; </w:t>
      </w:r>
      <w:r w:rsidR="00CA7B34">
        <w:rPr>
          <w:sz w:val="24"/>
          <w:szCs w:val="24"/>
        </w:rPr>
        <w:t>7</w:t>
      </w:r>
      <w:r w:rsidRPr="00904338" w:rsidR="00B2029D">
        <w:rPr>
          <w:sz w:val="24"/>
          <w:szCs w:val="24"/>
        </w:rPr>
        <w:t>0 hours</w:t>
      </w:r>
      <w:r w:rsidR="00264862">
        <w:rPr>
          <w:sz w:val="24"/>
          <w:szCs w:val="24"/>
        </w:rPr>
        <w:t xml:space="preserve"> for new respondents.</w:t>
      </w:r>
    </w:p>
    <w:p w:rsidR="00722085" w:rsidRPr="001B7AA7" w:rsidP="00FF0DD7" w14:paraId="450F63C1" w14:textId="77777777">
      <w:pPr>
        <w:pStyle w:val="ParaNum"/>
        <w:numPr>
          <w:ilvl w:val="0"/>
          <w:numId w:val="0"/>
        </w:numPr>
        <w:ind w:firstLine="720"/>
        <w:rPr>
          <w:sz w:val="24"/>
          <w:szCs w:val="24"/>
        </w:rPr>
      </w:pPr>
      <w:r w:rsidRPr="001B7AA7">
        <w:rPr>
          <w:sz w:val="24"/>
          <w:szCs w:val="24"/>
        </w:rPr>
        <w:t>10 hours for research</w:t>
      </w:r>
    </w:p>
    <w:p w:rsidR="00722085" w:rsidRPr="001B7AA7" w:rsidP="00FF0DD7" w14:paraId="7A72AEA3" w14:textId="790E0397">
      <w:pPr>
        <w:pStyle w:val="ParaNum"/>
        <w:numPr>
          <w:ilvl w:val="0"/>
          <w:numId w:val="0"/>
        </w:numPr>
        <w:ind w:firstLine="720"/>
        <w:rPr>
          <w:sz w:val="24"/>
          <w:szCs w:val="24"/>
        </w:rPr>
      </w:pPr>
      <w:r w:rsidRPr="001B7AA7">
        <w:rPr>
          <w:sz w:val="24"/>
          <w:szCs w:val="24"/>
        </w:rPr>
        <w:t>20 hours for software development</w:t>
      </w:r>
    </w:p>
    <w:p w:rsidR="00722085" w:rsidRPr="001B7AA7" w:rsidP="00FF0DD7" w14:paraId="1CA2A704" w14:textId="033D6787">
      <w:pPr>
        <w:pStyle w:val="ParaNum"/>
        <w:numPr>
          <w:ilvl w:val="0"/>
          <w:numId w:val="0"/>
        </w:numPr>
        <w:ind w:firstLine="720"/>
        <w:rPr>
          <w:sz w:val="24"/>
          <w:szCs w:val="24"/>
          <w:u w:val="single"/>
        </w:rPr>
      </w:pPr>
      <w:r w:rsidRPr="001B7AA7">
        <w:rPr>
          <w:sz w:val="24"/>
          <w:szCs w:val="24"/>
          <w:u w:val="single"/>
        </w:rPr>
        <w:t>40 hours for training</w:t>
      </w:r>
    </w:p>
    <w:p w:rsidR="00722085" w:rsidRPr="00904338" w:rsidP="0015791F" w14:paraId="6192ACC0" w14:textId="3DA31BD6">
      <w:pPr>
        <w:pStyle w:val="ParaNum"/>
        <w:numPr>
          <w:ilvl w:val="0"/>
          <w:numId w:val="0"/>
        </w:numPr>
        <w:ind w:firstLine="720"/>
        <w:rPr>
          <w:sz w:val="24"/>
          <w:szCs w:val="24"/>
        </w:rPr>
      </w:pPr>
      <w:r w:rsidRPr="001B7AA7">
        <w:rPr>
          <w:sz w:val="24"/>
          <w:szCs w:val="24"/>
        </w:rPr>
        <w:t>70 hours total</w:t>
      </w:r>
    </w:p>
    <w:p w:rsidR="00914977" w:rsidRPr="00904338" w:rsidP="0015791F" w14:paraId="608F0CB1" w14:textId="3C94A680">
      <w:pPr>
        <w:pStyle w:val="ParaNum"/>
        <w:numPr>
          <w:ilvl w:val="0"/>
          <w:numId w:val="0"/>
        </w:numPr>
        <w:ind w:firstLine="720"/>
        <w:rPr>
          <w:sz w:val="24"/>
          <w:szCs w:val="24"/>
        </w:rPr>
      </w:pPr>
      <w:r w:rsidRPr="00904338">
        <w:rPr>
          <w:b/>
          <w:bCs/>
          <w:sz w:val="24"/>
          <w:szCs w:val="24"/>
        </w:rPr>
        <w:t>Total Annual Burden Hours</w:t>
      </w:r>
      <w:r w:rsidRPr="00904338" w:rsidR="0086662D">
        <w:rPr>
          <w:sz w:val="24"/>
          <w:szCs w:val="24"/>
        </w:rPr>
        <w:t>:</w:t>
      </w:r>
      <w:r w:rsidRPr="00904338">
        <w:rPr>
          <w:sz w:val="24"/>
          <w:szCs w:val="24"/>
        </w:rPr>
        <w:t xml:space="preserve"> </w:t>
      </w:r>
      <w:r w:rsidR="00BE5EA6">
        <w:rPr>
          <w:sz w:val="24"/>
          <w:szCs w:val="24"/>
        </w:rPr>
        <w:t>3,150</w:t>
      </w:r>
      <w:r w:rsidR="00990B5A">
        <w:rPr>
          <w:sz w:val="24"/>
          <w:szCs w:val="24"/>
        </w:rPr>
        <w:t xml:space="preserve"> </w:t>
      </w:r>
      <w:r w:rsidRPr="00904338">
        <w:rPr>
          <w:sz w:val="24"/>
          <w:szCs w:val="24"/>
        </w:rPr>
        <w:t>hours</w:t>
      </w:r>
    </w:p>
    <w:p w:rsidR="003B71D3" w:rsidRPr="00904338" w:rsidP="0015791F" w14:paraId="05BF2194" w14:textId="42B284CC">
      <w:pPr>
        <w:pStyle w:val="ParaNum"/>
        <w:numPr>
          <w:ilvl w:val="0"/>
          <w:numId w:val="0"/>
        </w:numPr>
        <w:ind w:firstLine="720"/>
        <w:rPr>
          <w:sz w:val="24"/>
          <w:szCs w:val="24"/>
        </w:rPr>
      </w:pPr>
      <w:r>
        <w:rPr>
          <w:sz w:val="24"/>
          <w:szCs w:val="24"/>
        </w:rPr>
        <w:t>7</w:t>
      </w:r>
      <w:r w:rsidRPr="00904338" w:rsidR="00F44685">
        <w:rPr>
          <w:sz w:val="24"/>
          <w:szCs w:val="24"/>
        </w:rPr>
        <w:t xml:space="preserve">0 hours x </w:t>
      </w:r>
      <w:r w:rsidR="00BE5EA6">
        <w:rPr>
          <w:sz w:val="24"/>
          <w:szCs w:val="24"/>
        </w:rPr>
        <w:t>45</w:t>
      </w:r>
      <w:r w:rsidRPr="00904338" w:rsidR="00F44685">
        <w:rPr>
          <w:sz w:val="24"/>
          <w:szCs w:val="24"/>
        </w:rPr>
        <w:t xml:space="preserve"> </w:t>
      </w:r>
      <w:r w:rsidR="00264862">
        <w:rPr>
          <w:sz w:val="24"/>
          <w:szCs w:val="24"/>
        </w:rPr>
        <w:t xml:space="preserve">new </w:t>
      </w:r>
      <w:r w:rsidRPr="00904338" w:rsidR="00F44685">
        <w:rPr>
          <w:sz w:val="24"/>
          <w:szCs w:val="24"/>
        </w:rPr>
        <w:t xml:space="preserve">respondents </w:t>
      </w:r>
      <w:r w:rsidRPr="00904338" w:rsidR="008468E3">
        <w:rPr>
          <w:sz w:val="24"/>
          <w:szCs w:val="24"/>
        </w:rPr>
        <w:t xml:space="preserve">= </w:t>
      </w:r>
      <w:r w:rsidR="00BE5EA6">
        <w:rPr>
          <w:sz w:val="24"/>
          <w:szCs w:val="24"/>
        </w:rPr>
        <w:t>3,150 burden</w:t>
      </w:r>
      <w:r w:rsidRPr="00904338" w:rsidR="00600D4E">
        <w:rPr>
          <w:sz w:val="24"/>
          <w:szCs w:val="24"/>
        </w:rPr>
        <w:t xml:space="preserve"> </w:t>
      </w:r>
      <w:r w:rsidRPr="00904338" w:rsidR="008468E3">
        <w:rPr>
          <w:sz w:val="24"/>
          <w:szCs w:val="24"/>
        </w:rPr>
        <w:t>hours annually</w:t>
      </w:r>
      <w:r w:rsidR="00A879D5">
        <w:rPr>
          <w:sz w:val="24"/>
          <w:szCs w:val="24"/>
        </w:rPr>
        <w:t>.</w:t>
      </w:r>
    </w:p>
    <w:p w:rsidR="00665157" w:rsidRPr="00904338" w:rsidP="0015791F" w14:paraId="4EE6E984" w14:textId="77777777">
      <w:pPr>
        <w:pStyle w:val="ParaNum"/>
        <w:numPr>
          <w:ilvl w:val="0"/>
          <w:numId w:val="0"/>
        </w:numPr>
        <w:ind w:firstLine="720"/>
        <w:rPr>
          <w:sz w:val="24"/>
          <w:szCs w:val="24"/>
        </w:rPr>
      </w:pPr>
      <w:r w:rsidRPr="00904338">
        <w:rPr>
          <w:b/>
          <w:bCs/>
          <w:sz w:val="24"/>
          <w:szCs w:val="24"/>
        </w:rPr>
        <w:t>Method of estimation of burden</w:t>
      </w:r>
      <w:r w:rsidRPr="00904338" w:rsidR="0086662D">
        <w:rPr>
          <w:b/>
          <w:bCs/>
          <w:sz w:val="24"/>
          <w:szCs w:val="24"/>
        </w:rPr>
        <w:t>:</w:t>
      </w:r>
      <w:r w:rsidRPr="00904338" w:rsidR="00E155B6">
        <w:rPr>
          <w:sz w:val="24"/>
          <w:szCs w:val="24"/>
        </w:rPr>
        <w:t xml:space="preserve">  </w:t>
      </w:r>
    </w:p>
    <w:bookmarkEnd w:id="2"/>
    <w:p w:rsidR="00E155B6" w:rsidRPr="00904338" w:rsidP="0015791F" w14:paraId="14F552D1" w14:textId="7A1A33F9">
      <w:pPr>
        <w:pStyle w:val="ParaNum"/>
        <w:numPr>
          <w:ilvl w:val="0"/>
          <w:numId w:val="0"/>
        </w:numPr>
        <w:ind w:left="720"/>
        <w:rPr>
          <w:sz w:val="24"/>
          <w:szCs w:val="24"/>
        </w:rPr>
      </w:pPr>
      <w:r>
        <w:rPr>
          <w:sz w:val="24"/>
          <w:szCs w:val="24"/>
        </w:rPr>
        <w:t xml:space="preserve">In the most recent submission of </w:t>
      </w:r>
      <w:r w:rsidR="00F27B46">
        <w:rPr>
          <w:sz w:val="24"/>
          <w:szCs w:val="24"/>
        </w:rPr>
        <w:t xml:space="preserve">our supporting statement in November 2021, we estimated that 570 Covered Service providers existed at that time. Today, we estimate that </w:t>
      </w:r>
      <w:r w:rsidR="00B01241">
        <w:rPr>
          <w:sz w:val="24"/>
          <w:szCs w:val="24"/>
        </w:rPr>
        <w:t xml:space="preserve">615 Covered Service providers are actively providing these services.  Thus, 45 new </w:t>
      </w:r>
      <w:r w:rsidRPr="00904338" w:rsidR="004C4C67">
        <w:rPr>
          <w:sz w:val="24"/>
          <w:szCs w:val="24"/>
        </w:rPr>
        <w:t xml:space="preserve">Covered Service providers </w:t>
      </w:r>
      <w:r w:rsidR="00B01241">
        <w:rPr>
          <w:sz w:val="24"/>
          <w:szCs w:val="24"/>
        </w:rPr>
        <w:t>have entered the market, and we estimate that these 45 new Covered Service providers</w:t>
      </w:r>
      <w:r w:rsidRPr="00904338" w:rsidR="00303163">
        <w:rPr>
          <w:sz w:val="24"/>
          <w:szCs w:val="24"/>
        </w:rPr>
        <w:t xml:space="preserve"> will </w:t>
      </w:r>
      <w:r w:rsidRPr="00904338" w:rsidR="00FC20A9">
        <w:rPr>
          <w:sz w:val="24"/>
          <w:szCs w:val="24"/>
        </w:rPr>
        <w:t xml:space="preserve">spend </w:t>
      </w:r>
      <w:r w:rsidR="0034732B">
        <w:rPr>
          <w:sz w:val="24"/>
          <w:szCs w:val="24"/>
        </w:rPr>
        <w:t>up to</w:t>
      </w:r>
      <w:r w:rsidRPr="00904338" w:rsidR="00FD58C7">
        <w:rPr>
          <w:sz w:val="24"/>
          <w:szCs w:val="24"/>
        </w:rPr>
        <w:t xml:space="preserve"> 70 hours annually to </w:t>
      </w:r>
      <w:r w:rsidR="00264862">
        <w:rPr>
          <w:sz w:val="24"/>
          <w:szCs w:val="24"/>
        </w:rPr>
        <w:t xml:space="preserve">initially </w:t>
      </w:r>
      <w:r w:rsidRPr="00904338" w:rsidR="00FD58C7">
        <w:rPr>
          <w:sz w:val="24"/>
          <w:szCs w:val="24"/>
        </w:rPr>
        <w:t xml:space="preserve">create or revise their </w:t>
      </w:r>
      <w:r w:rsidRPr="00904338" w:rsidR="00A509EC">
        <w:rPr>
          <w:sz w:val="24"/>
          <w:szCs w:val="24"/>
        </w:rPr>
        <w:t>consumer disclosure requirements</w:t>
      </w:r>
      <w:r w:rsidRPr="00904338" w:rsidR="004E3269">
        <w:rPr>
          <w:sz w:val="24"/>
          <w:szCs w:val="24"/>
        </w:rPr>
        <w:t xml:space="preserve"> regarding backup power.  </w:t>
      </w:r>
      <w:r w:rsidRPr="00682D0E" w:rsidR="00264862">
        <w:rPr>
          <w:sz w:val="24"/>
          <w:szCs w:val="24"/>
        </w:rPr>
        <w:t>We do not anticipate that there will be any burden for respondents to disclose information to subscribers annually.</w:t>
      </w:r>
      <w:r w:rsidR="00006CD8">
        <w:rPr>
          <w:sz w:val="24"/>
          <w:szCs w:val="24"/>
        </w:rPr>
        <w:t xml:space="preserve">  </w:t>
      </w:r>
      <w:r w:rsidRPr="001B7AA7" w:rsidR="00006CD8">
        <w:rPr>
          <w:sz w:val="24"/>
          <w:szCs w:val="24"/>
        </w:rPr>
        <w:t>The annual disclosure requirement will be fulfilled due to the use of information technology.</w:t>
      </w:r>
    </w:p>
    <w:p w:rsidR="007957E0" w:rsidRPr="00904338" w:rsidP="0015791F" w14:paraId="045A760F" w14:textId="6C1B627E">
      <w:pPr>
        <w:pStyle w:val="ParaNum"/>
        <w:numPr>
          <w:ilvl w:val="0"/>
          <w:numId w:val="0"/>
        </w:numPr>
        <w:ind w:firstLine="720"/>
        <w:rPr>
          <w:sz w:val="24"/>
          <w:szCs w:val="24"/>
        </w:rPr>
      </w:pPr>
      <w:bookmarkStart w:id="3" w:name="_Hlk170290823"/>
      <w:r w:rsidRPr="00904338">
        <w:rPr>
          <w:b/>
          <w:bCs/>
          <w:sz w:val="24"/>
          <w:szCs w:val="24"/>
        </w:rPr>
        <w:t>Total Annual “In-House” Costs:</w:t>
      </w:r>
      <w:r w:rsidRPr="00904338" w:rsidR="003B71D3">
        <w:rPr>
          <w:sz w:val="24"/>
          <w:szCs w:val="24"/>
        </w:rPr>
        <w:t xml:space="preserve"> </w:t>
      </w:r>
      <w:r w:rsidRPr="00904338" w:rsidR="00586D94">
        <w:rPr>
          <w:sz w:val="24"/>
          <w:szCs w:val="24"/>
        </w:rPr>
        <w:t xml:space="preserve">  </w:t>
      </w:r>
    </w:p>
    <w:bookmarkEnd w:id="3"/>
    <w:p w:rsidR="00E96ADA" w:rsidRPr="00904338" w:rsidP="00FF0DD7" w14:paraId="4B49FD38" w14:textId="2C55A769">
      <w:pPr>
        <w:pStyle w:val="ParaNum"/>
        <w:numPr>
          <w:ilvl w:val="0"/>
          <w:numId w:val="0"/>
        </w:numPr>
        <w:ind w:left="720"/>
        <w:rPr>
          <w:sz w:val="24"/>
          <w:szCs w:val="24"/>
        </w:rPr>
      </w:pPr>
      <w:r w:rsidRPr="001B7AA7">
        <w:rPr>
          <w:sz w:val="24"/>
          <w:szCs w:val="24"/>
        </w:rPr>
        <w:t xml:space="preserve">We estimate the in-house cost to respondents, based upon the use </w:t>
      </w:r>
      <w:r w:rsidRPr="00B74A59">
        <w:rPr>
          <w:sz w:val="24"/>
          <w:szCs w:val="24"/>
        </w:rPr>
        <w:t xml:space="preserve">of an </w:t>
      </w:r>
      <w:r w:rsidRPr="00B74A59" w:rsidR="00407213">
        <w:rPr>
          <w:sz w:val="24"/>
          <w:szCs w:val="24"/>
        </w:rPr>
        <w:t>E</w:t>
      </w:r>
      <w:r w:rsidRPr="00B74A59" w:rsidR="00FE1BA1">
        <w:rPr>
          <w:sz w:val="24"/>
          <w:szCs w:val="24"/>
        </w:rPr>
        <w:t>lectronic</w:t>
      </w:r>
      <w:r w:rsidRPr="00B74A59" w:rsidR="000C39FB">
        <w:rPr>
          <w:sz w:val="24"/>
          <w:szCs w:val="24"/>
        </w:rPr>
        <w:t>s</w:t>
      </w:r>
      <w:r w:rsidRPr="00B74A59" w:rsidR="00FE1BA1">
        <w:rPr>
          <w:sz w:val="24"/>
          <w:szCs w:val="24"/>
        </w:rPr>
        <w:t xml:space="preserve"> </w:t>
      </w:r>
      <w:r w:rsidRPr="00B74A59" w:rsidR="00407213">
        <w:rPr>
          <w:sz w:val="24"/>
          <w:szCs w:val="24"/>
        </w:rPr>
        <w:t>E</w:t>
      </w:r>
      <w:r w:rsidRPr="00B74A59" w:rsidR="009944BF">
        <w:rPr>
          <w:sz w:val="24"/>
          <w:szCs w:val="24"/>
        </w:rPr>
        <w:t>ngineers</w:t>
      </w:r>
      <w:r w:rsidRPr="00B74A59" w:rsidR="00407213">
        <w:rPr>
          <w:sz w:val="24"/>
          <w:szCs w:val="24"/>
        </w:rPr>
        <w:t>, E</w:t>
      </w:r>
      <w:r w:rsidRPr="00B74A59" w:rsidR="001974DD">
        <w:rPr>
          <w:sz w:val="24"/>
          <w:szCs w:val="24"/>
        </w:rPr>
        <w:t xml:space="preserve">xcept </w:t>
      </w:r>
      <w:r w:rsidRPr="00B74A59" w:rsidR="00407213">
        <w:rPr>
          <w:sz w:val="24"/>
          <w:szCs w:val="24"/>
        </w:rPr>
        <w:t>C</w:t>
      </w:r>
      <w:r w:rsidRPr="00B74A59" w:rsidR="001974DD">
        <w:rPr>
          <w:sz w:val="24"/>
          <w:szCs w:val="24"/>
        </w:rPr>
        <w:t>omputer</w:t>
      </w:r>
      <w:r w:rsidRPr="00B74A59" w:rsidR="008A2F6A">
        <w:rPr>
          <w:sz w:val="24"/>
          <w:szCs w:val="24"/>
        </w:rPr>
        <w:t xml:space="preserve">, </w:t>
      </w:r>
      <w:r w:rsidRPr="0015791F" w:rsidR="001A4772">
        <w:rPr>
          <w:sz w:val="24"/>
          <w:szCs w:val="24"/>
        </w:rPr>
        <w:t>costing an</w:t>
      </w:r>
      <w:r w:rsidRPr="00B74A59" w:rsidR="008A2F6A">
        <w:rPr>
          <w:sz w:val="24"/>
          <w:szCs w:val="24"/>
        </w:rPr>
        <w:t xml:space="preserve"> hourly wage </w:t>
      </w:r>
      <w:r w:rsidRPr="0015791F" w:rsidR="001A4772">
        <w:rPr>
          <w:sz w:val="24"/>
          <w:szCs w:val="24"/>
        </w:rPr>
        <w:t>of</w:t>
      </w:r>
      <w:r w:rsidRPr="00B74A59" w:rsidR="008A749D">
        <w:rPr>
          <w:sz w:val="24"/>
          <w:szCs w:val="24"/>
        </w:rPr>
        <w:t xml:space="preserve"> $</w:t>
      </w:r>
      <w:r w:rsidRPr="00B74A59" w:rsidR="00E447ED">
        <w:rPr>
          <w:sz w:val="24"/>
          <w:szCs w:val="24"/>
        </w:rPr>
        <w:t>8</w:t>
      </w:r>
      <w:r w:rsidRPr="0015791F" w:rsidR="00FF1CDD">
        <w:rPr>
          <w:sz w:val="24"/>
          <w:szCs w:val="24"/>
        </w:rPr>
        <w:t>2</w:t>
      </w:r>
      <w:r w:rsidRPr="00B74A59" w:rsidR="00362D55">
        <w:rPr>
          <w:sz w:val="24"/>
          <w:szCs w:val="24"/>
        </w:rPr>
        <w:t xml:space="preserve"> </w:t>
      </w:r>
      <w:r w:rsidRPr="00B74A59" w:rsidR="009944BF">
        <w:rPr>
          <w:sz w:val="24"/>
          <w:szCs w:val="24"/>
        </w:rPr>
        <w:t>per hour.</w:t>
      </w:r>
      <w:r w:rsidRPr="00B74A59" w:rsidR="00967426">
        <w:rPr>
          <w:sz w:val="24"/>
          <w:szCs w:val="24"/>
        </w:rPr>
        <w:t xml:space="preserve"> Therefore</w:t>
      </w:r>
      <w:r w:rsidRPr="00904338" w:rsidR="00967426">
        <w:rPr>
          <w:sz w:val="24"/>
          <w:szCs w:val="24"/>
        </w:rPr>
        <w:t>, the estimated in-house costs to re</w:t>
      </w:r>
      <w:r w:rsidRPr="00904338">
        <w:rPr>
          <w:sz w:val="24"/>
          <w:szCs w:val="24"/>
        </w:rPr>
        <w:t>spondents are as follows:</w:t>
      </w:r>
    </w:p>
    <w:p w:rsidR="0084541F" w:rsidRPr="00904338" w:rsidP="0015791F" w14:paraId="2F9D8A2A" w14:textId="59788ABA">
      <w:pPr>
        <w:pStyle w:val="ParaNum"/>
        <w:numPr>
          <w:ilvl w:val="0"/>
          <w:numId w:val="0"/>
        </w:numPr>
        <w:ind w:left="720"/>
        <w:rPr>
          <w:b/>
          <w:bCs/>
          <w:sz w:val="24"/>
          <w:szCs w:val="24"/>
        </w:rPr>
      </w:pPr>
      <w:r>
        <w:rPr>
          <w:sz w:val="24"/>
          <w:szCs w:val="24"/>
        </w:rPr>
        <w:t>3,150</w:t>
      </w:r>
      <w:r w:rsidRPr="00904338" w:rsidR="003D7FD0">
        <w:rPr>
          <w:sz w:val="24"/>
          <w:szCs w:val="24"/>
        </w:rPr>
        <w:t xml:space="preserve"> total annual burden hours x </w:t>
      </w:r>
      <w:r w:rsidRPr="00904338" w:rsidR="00E7539D">
        <w:rPr>
          <w:sz w:val="24"/>
          <w:szCs w:val="24"/>
        </w:rPr>
        <w:t>$</w:t>
      </w:r>
      <w:r w:rsidR="00655540">
        <w:rPr>
          <w:sz w:val="24"/>
          <w:szCs w:val="24"/>
        </w:rPr>
        <w:t>8</w:t>
      </w:r>
      <w:r w:rsidR="00FF1CDD">
        <w:rPr>
          <w:sz w:val="24"/>
          <w:szCs w:val="24"/>
        </w:rPr>
        <w:t>2</w:t>
      </w:r>
      <w:r w:rsidR="00A80403">
        <w:rPr>
          <w:sz w:val="24"/>
          <w:szCs w:val="24"/>
        </w:rPr>
        <w:t xml:space="preserve"> </w:t>
      </w:r>
      <w:r w:rsidRPr="00904338" w:rsidR="00E7539D">
        <w:rPr>
          <w:sz w:val="24"/>
          <w:szCs w:val="24"/>
        </w:rPr>
        <w:t xml:space="preserve">per hour = </w:t>
      </w:r>
      <w:r w:rsidRPr="00904338" w:rsidR="00D649AE">
        <w:rPr>
          <w:b/>
          <w:bCs/>
          <w:sz w:val="24"/>
          <w:szCs w:val="24"/>
        </w:rPr>
        <w:t>$</w:t>
      </w:r>
      <w:r>
        <w:rPr>
          <w:b/>
          <w:bCs/>
          <w:sz w:val="24"/>
          <w:szCs w:val="24"/>
        </w:rPr>
        <w:t>258</w:t>
      </w:r>
      <w:r w:rsidR="009046DD">
        <w:rPr>
          <w:b/>
          <w:bCs/>
          <w:sz w:val="24"/>
          <w:szCs w:val="24"/>
        </w:rPr>
        <w:t>,300</w:t>
      </w:r>
      <w:r w:rsidR="0075096C">
        <w:rPr>
          <w:b/>
          <w:bCs/>
          <w:sz w:val="24"/>
          <w:szCs w:val="24"/>
        </w:rPr>
        <w:t xml:space="preserve"> </w:t>
      </w:r>
      <w:r w:rsidRPr="00904338" w:rsidR="004C0474">
        <w:rPr>
          <w:b/>
          <w:bCs/>
          <w:sz w:val="24"/>
          <w:szCs w:val="24"/>
        </w:rPr>
        <w:t>total annual “in-house” costs.</w:t>
      </w:r>
    </w:p>
    <w:p w:rsidR="00135B75" w:rsidRPr="00904338" w:rsidP="00F24383" w14:paraId="58408B23" w14:textId="77777777">
      <w:pPr>
        <w:pStyle w:val="ParaNum"/>
        <w:numPr>
          <w:ilvl w:val="0"/>
          <w:numId w:val="0"/>
        </w:numPr>
        <w:ind w:left="720" w:firstLine="720"/>
        <w:rPr>
          <w:sz w:val="24"/>
          <w:szCs w:val="24"/>
        </w:rPr>
      </w:pPr>
    </w:p>
    <w:p w:rsidR="00C72536" w:rsidRPr="00904338" w:rsidP="00507A37" w14:paraId="23E8E590" w14:textId="6D042927">
      <w:pPr>
        <w:numPr>
          <w:ilvl w:val="0"/>
          <w:numId w:val="7"/>
        </w:numPr>
        <w:tabs>
          <w:tab w:val="left" w:pos="-720"/>
          <w:tab w:val="num" w:pos="360"/>
          <w:tab w:val="clear" w:pos="720"/>
        </w:tabs>
        <w:suppressAutoHyphens/>
        <w:rPr>
          <w:szCs w:val="24"/>
        </w:rPr>
      </w:pPr>
      <w:r w:rsidRPr="00904338">
        <w:rPr>
          <w:b/>
          <w:szCs w:val="24"/>
          <w:shd w:val="clear" w:color="auto" w:fill="FFFFFF"/>
        </w:rPr>
        <w:t xml:space="preserve">Provide </w:t>
      </w:r>
      <w:r w:rsidRPr="00904338" w:rsidR="008A749D">
        <w:rPr>
          <w:b/>
          <w:szCs w:val="24"/>
          <w:shd w:val="clear" w:color="auto" w:fill="FFFFFF"/>
        </w:rPr>
        <w:t>estimates</w:t>
      </w:r>
      <w:r w:rsidRPr="00904338">
        <w:rPr>
          <w:b/>
          <w:szCs w:val="24"/>
          <w:shd w:val="clear" w:color="auto" w:fill="FFFFFF"/>
        </w:rPr>
        <w:t xml:space="preserve"> for the total annual cost burden to respondents or record keepers resulting from the collection of information.</w:t>
      </w:r>
    </w:p>
    <w:p w:rsidR="00F24383" w:rsidRPr="00904338" w:rsidP="00F24383" w14:paraId="38BB7844" w14:textId="77777777">
      <w:pPr>
        <w:tabs>
          <w:tab w:val="left" w:pos="-720"/>
        </w:tabs>
        <w:suppressAutoHyphens/>
        <w:ind w:left="360"/>
        <w:rPr>
          <w:szCs w:val="24"/>
        </w:rPr>
      </w:pPr>
    </w:p>
    <w:p w:rsidR="00F24383" w:rsidRPr="00904338" w:rsidP="00F24383" w14:paraId="0B018FF7" w14:textId="21545A04">
      <w:pPr>
        <w:tabs>
          <w:tab w:val="left" w:pos="-720"/>
        </w:tabs>
        <w:suppressAutoHyphens/>
        <w:ind w:left="720"/>
        <w:rPr>
          <w:szCs w:val="24"/>
        </w:rPr>
      </w:pPr>
      <w:r w:rsidRPr="00904338">
        <w:rPr>
          <w:szCs w:val="24"/>
        </w:rPr>
        <w:t xml:space="preserve">The Commission believes that the respondents will use in-house staff rather </w:t>
      </w:r>
      <w:r w:rsidRPr="00904338" w:rsidR="00805F21">
        <w:rPr>
          <w:szCs w:val="24"/>
        </w:rPr>
        <w:t xml:space="preserve">than </w:t>
      </w:r>
      <w:r w:rsidRPr="00904338">
        <w:rPr>
          <w:szCs w:val="24"/>
        </w:rPr>
        <w:t>contracting out this requirement.</w:t>
      </w:r>
    </w:p>
    <w:p w:rsidR="00F24383" w:rsidRPr="00904338" w:rsidP="00F24383" w14:paraId="55FCA03D" w14:textId="77777777">
      <w:pPr>
        <w:tabs>
          <w:tab w:val="left" w:pos="-720"/>
        </w:tabs>
        <w:suppressAutoHyphens/>
        <w:ind w:left="720"/>
        <w:rPr>
          <w:szCs w:val="24"/>
        </w:rPr>
      </w:pPr>
    </w:p>
    <w:p w:rsidR="00F24383" w:rsidRPr="00904338" w:rsidP="00F24383" w14:paraId="579C3620" w14:textId="77777777">
      <w:pPr>
        <w:pStyle w:val="ListParagraph"/>
        <w:numPr>
          <w:ilvl w:val="0"/>
          <w:numId w:val="42"/>
        </w:numPr>
        <w:tabs>
          <w:tab w:val="left" w:pos="-720"/>
        </w:tabs>
        <w:suppressAutoHyphens/>
        <w:rPr>
          <w:szCs w:val="24"/>
        </w:rPr>
      </w:pPr>
      <w:r w:rsidRPr="00904338">
        <w:rPr>
          <w:szCs w:val="24"/>
        </w:rPr>
        <w:t>Total annualized capital/start-up costs: $0</w:t>
      </w:r>
    </w:p>
    <w:p w:rsidR="00F24383" w:rsidRPr="00904338" w:rsidP="00F24383" w14:paraId="1ED54E08" w14:textId="77777777">
      <w:pPr>
        <w:pStyle w:val="ListParagraph"/>
        <w:numPr>
          <w:ilvl w:val="0"/>
          <w:numId w:val="42"/>
        </w:numPr>
        <w:tabs>
          <w:tab w:val="left" w:pos="-720"/>
        </w:tabs>
        <w:suppressAutoHyphens/>
        <w:rPr>
          <w:szCs w:val="24"/>
        </w:rPr>
      </w:pPr>
      <w:r w:rsidRPr="00904338">
        <w:rPr>
          <w:szCs w:val="24"/>
        </w:rPr>
        <w:t>Total annualized costs (O&amp;M): $0</w:t>
      </w:r>
    </w:p>
    <w:p w:rsidR="00F24383" w:rsidRPr="00904338" w:rsidP="00F24383" w14:paraId="781F4BAA" w14:textId="77777777">
      <w:pPr>
        <w:pStyle w:val="ListParagraph"/>
        <w:numPr>
          <w:ilvl w:val="0"/>
          <w:numId w:val="42"/>
        </w:numPr>
        <w:tabs>
          <w:tab w:val="left" w:pos="-720"/>
        </w:tabs>
        <w:suppressAutoHyphens/>
        <w:rPr>
          <w:szCs w:val="24"/>
        </w:rPr>
      </w:pPr>
      <w:r w:rsidRPr="00904338">
        <w:rPr>
          <w:szCs w:val="24"/>
        </w:rPr>
        <w:t>Total annualized cost requested: $0</w:t>
      </w:r>
    </w:p>
    <w:p w:rsidR="00F24383" w:rsidRPr="00904338" w:rsidP="00F24383" w14:paraId="63A6B2E4" w14:textId="77777777">
      <w:pPr>
        <w:pStyle w:val="ListParagraph"/>
        <w:tabs>
          <w:tab w:val="left" w:pos="-720"/>
        </w:tabs>
        <w:suppressAutoHyphens/>
        <w:ind w:left="1440"/>
        <w:rPr>
          <w:szCs w:val="24"/>
        </w:rPr>
      </w:pPr>
    </w:p>
    <w:p w:rsidR="00F24383" w:rsidRPr="00904338" w:rsidP="00F24383" w14:paraId="0D29B1AB" w14:textId="53ABBE58">
      <w:pPr>
        <w:pStyle w:val="ParaNum"/>
        <w:numPr>
          <w:ilvl w:val="0"/>
          <w:numId w:val="0"/>
        </w:numPr>
        <w:ind w:left="720"/>
        <w:rPr>
          <w:sz w:val="24"/>
          <w:szCs w:val="24"/>
        </w:rPr>
      </w:pPr>
      <w:r w:rsidRPr="00904338">
        <w:rPr>
          <w:sz w:val="24"/>
          <w:szCs w:val="24"/>
        </w:rPr>
        <w:t xml:space="preserve">These calculations make clear that the cost of satisfying the notification requirement should be minimal for service providers, and the benefits of informing consumers of backup power solutions in order to reach 911 service from the subscriber premises during power outages, far outweighs any such minimal costs.  This is in part because the vast majority of providers already furnish subscribers with some backup power information.  As a result of current disclosure practices, we expect that only a small share of the providers will need to take additional steps to comply with these rules beyond modifications to existing disclosures.  Similarly, providers already furnish subscribers with information upon initiation of </w:t>
      </w:r>
      <w:r w:rsidRPr="00904338" w:rsidR="008A749D">
        <w:rPr>
          <w:sz w:val="24"/>
          <w:szCs w:val="24"/>
        </w:rPr>
        <w:t>service and</w:t>
      </w:r>
      <w:r w:rsidRPr="00904338">
        <w:rPr>
          <w:sz w:val="24"/>
          <w:szCs w:val="24"/>
        </w:rPr>
        <w:t xml:space="preserve"> are free to include the information we require herein with the other materials, removing the need for a special cost of distribution.  Also, in order to limit costs to providers, we make clear that a service provider may fulfill its disclosure obligation via any means reasonably calculated to reach the consumer, while also honoring any preference expressed by the customer.  Such methods may include electronic outreach, including email notification and paperless billing statements; paper copies are not required for subscribers who access and receive information through those means.  The annual notification associated with this requirement gives service providers ample time to plan.  For example, they may include</w:t>
      </w:r>
      <w:r w:rsidRPr="00904338">
        <w:rPr>
          <w:sz w:val="24"/>
          <w:szCs w:val="24"/>
        </w:rPr>
        <w:t xml:space="preserve"> </w:t>
      </w:r>
      <w:r w:rsidRPr="00904338">
        <w:rPr>
          <w:sz w:val="24"/>
          <w:szCs w:val="24"/>
        </w:rPr>
        <w:t>the appropriate notifications in normally-distributed billing statements, in a manner that does not increase the number of printed pages distributed.</w:t>
      </w:r>
    </w:p>
    <w:p w:rsidR="00B413A8" w:rsidRPr="00904338" w:rsidP="00E030FE" w14:paraId="1391A29F" w14:textId="58A7393E">
      <w:pPr>
        <w:tabs>
          <w:tab w:val="left" w:pos="-720"/>
        </w:tabs>
        <w:suppressAutoHyphens/>
        <w:ind w:left="720"/>
        <w:rPr>
          <w:szCs w:val="24"/>
        </w:rPr>
      </w:pPr>
      <w:r w:rsidRPr="00904338">
        <w:rPr>
          <w:snapToGrid w:val="0"/>
          <w:kern w:val="28"/>
          <w:szCs w:val="24"/>
        </w:rPr>
        <w:t xml:space="preserve">There are numerous benefits associated with the disclosure requirements on how commercial power outages </w:t>
      </w:r>
      <w:r w:rsidRPr="00904338" w:rsidR="00B75E58">
        <w:rPr>
          <w:snapToGrid w:val="0"/>
          <w:kern w:val="28"/>
          <w:szCs w:val="24"/>
        </w:rPr>
        <w:t>affect</w:t>
      </w:r>
      <w:r w:rsidR="00952587">
        <w:rPr>
          <w:snapToGrid w:val="0"/>
          <w:kern w:val="28"/>
          <w:szCs w:val="24"/>
        </w:rPr>
        <w:t xml:space="preserve"> </w:t>
      </w:r>
      <w:r w:rsidRPr="00904338">
        <w:rPr>
          <w:snapToGrid w:val="0"/>
          <w:kern w:val="28"/>
          <w:szCs w:val="24"/>
        </w:rPr>
        <w:t>VoIP service.  Millions of Americans have come to rely on their</w:t>
      </w:r>
      <w:r w:rsidR="002863D3">
        <w:rPr>
          <w:snapToGrid w:val="0"/>
          <w:kern w:val="28"/>
          <w:szCs w:val="24"/>
        </w:rPr>
        <w:t xml:space="preserve"> Time Division Multiplexing (</w:t>
      </w:r>
      <w:r w:rsidRPr="00904338">
        <w:rPr>
          <w:snapToGrid w:val="0"/>
          <w:kern w:val="28"/>
          <w:szCs w:val="24"/>
        </w:rPr>
        <w:t>TDM</w:t>
      </w:r>
      <w:r w:rsidR="00606011">
        <w:rPr>
          <w:snapToGrid w:val="0"/>
          <w:kern w:val="28"/>
          <w:szCs w:val="24"/>
        </w:rPr>
        <w:t>)</w:t>
      </w:r>
      <w:r w:rsidRPr="00904338">
        <w:rPr>
          <w:snapToGrid w:val="0"/>
          <w:kern w:val="28"/>
          <w:szCs w:val="24"/>
        </w:rPr>
        <w:t xml:space="preserve"> voice service working during a commercial power outage to call 911.  With this backdrop, educating consumers that their phones will not work in a commercial power outage absent backup power is essential, even if the consumer opts not to purchase backup power.  At a minimum, an educated consumer will not have the expectation of relying on a VoIP service only to have it fail to operate when the consumer tries to make a 911 call, wasting valuable time in the process.  In this way the consumer notifications not only promote the availability of 911 service in power outages, pursuant to our statutory mandate governing</w:t>
      </w:r>
      <w:r w:rsidR="00606011">
        <w:rPr>
          <w:snapToGrid w:val="0"/>
          <w:kern w:val="28"/>
          <w:szCs w:val="24"/>
        </w:rPr>
        <w:t xml:space="preserve"> Internet Protocol</w:t>
      </w:r>
      <w:r w:rsidRPr="00904338">
        <w:rPr>
          <w:snapToGrid w:val="0"/>
          <w:kern w:val="28"/>
          <w:szCs w:val="24"/>
        </w:rPr>
        <w:t xml:space="preserve"> </w:t>
      </w:r>
      <w:r w:rsidR="003524BF">
        <w:rPr>
          <w:snapToGrid w:val="0"/>
          <w:kern w:val="28"/>
          <w:szCs w:val="24"/>
        </w:rPr>
        <w:t>(</w:t>
      </w:r>
      <w:r w:rsidRPr="00904338">
        <w:rPr>
          <w:snapToGrid w:val="0"/>
          <w:kern w:val="28"/>
          <w:szCs w:val="24"/>
        </w:rPr>
        <w:t>IP</w:t>
      </w:r>
      <w:r w:rsidR="003524BF">
        <w:rPr>
          <w:snapToGrid w:val="0"/>
          <w:kern w:val="28"/>
          <w:szCs w:val="24"/>
        </w:rPr>
        <w:t>)</w:t>
      </w:r>
      <w:r w:rsidRPr="00904338">
        <w:rPr>
          <w:snapToGrid w:val="0"/>
          <w:kern w:val="28"/>
          <w:szCs w:val="24"/>
        </w:rPr>
        <w:t xml:space="preserve"> transitions, but also promote the “safety of life and property through the use of wire and radio communication.”  It assists in meeting the Commission’s statutory charge, by enabling customers to know the limitations of their service during a power outage and make alternate arrangements—either via a backup power solution or alternate means of communication—to ensure the 911 call can go through.  This is consistent with our findings with respect to requiring minimum wireless location accuracy, where we found that the rules “will improve emergency response times, which, in turn, will improve patient outcomes, and save lives.”  We believe, therefore, that it is reasonable to expect that the rules we adopt</w:t>
      </w:r>
      <w:r w:rsidRPr="00904338" w:rsidR="00227F80">
        <w:rPr>
          <w:snapToGrid w:val="0"/>
          <w:kern w:val="28"/>
          <w:szCs w:val="24"/>
        </w:rPr>
        <w:t>ed</w:t>
      </w:r>
      <w:r w:rsidRPr="00904338">
        <w:rPr>
          <w:snapToGrid w:val="0"/>
          <w:kern w:val="28"/>
          <w:szCs w:val="24"/>
        </w:rPr>
        <w:t xml:space="preserve"> will save lives and result in numerous other benefits that are less quantifiable, but still advance important public interest objectives.  Given that the notification requirements contained herein have minimal associated costs, we conclude that the benefits of these rules far exceed the costs</w:t>
      </w:r>
      <w:r w:rsidRPr="00904338">
        <w:rPr>
          <w:szCs w:val="24"/>
        </w:rPr>
        <w:t>.</w:t>
      </w:r>
    </w:p>
    <w:p w:rsidR="00F24383" w:rsidRPr="00904338" w:rsidP="00F24383" w14:paraId="55187BC3" w14:textId="77777777">
      <w:pPr>
        <w:tabs>
          <w:tab w:val="left" w:pos="-720"/>
        </w:tabs>
        <w:suppressAutoHyphens/>
        <w:rPr>
          <w:szCs w:val="24"/>
          <w:u w:val="single"/>
        </w:rPr>
      </w:pPr>
    </w:p>
    <w:p w:rsidR="00211EBF" w:rsidRPr="00904338" w:rsidP="00507A37" w14:paraId="2750C50D" w14:textId="77777777">
      <w:pPr>
        <w:numPr>
          <w:ilvl w:val="0"/>
          <w:numId w:val="7"/>
        </w:numPr>
        <w:tabs>
          <w:tab w:val="left" w:pos="-720"/>
          <w:tab w:val="num" w:pos="360"/>
          <w:tab w:val="clear" w:pos="720"/>
        </w:tabs>
        <w:suppressAutoHyphens/>
        <w:rPr>
          <w:szCs w:val="24"/>
        </w:rPr>
      </w:pPr>
      <w:r w:rsidRPr="00904338">
        <w:rPr>
          <w:b/>
          <w:szCs w:val="24"/>
          <w:shd w:val="clear" w:color="auto" w:fill="FFFFFF"/>
        </w:rPr>
        <w:t>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rsidR="00211EBF" w:rsidRPr="00904338" w:rsidP="00507A37" w14:paraId="60A45C10" w14:textId="77777777">
      <w:pPr>
        <w:tabs>
          <w:tab w:val="left" w:pos="-720"/>
        </w:tabs>
        <w:suppressAutoHyphens/>
        <w:ind w:left="720"/>
        <w:rPr>
          <w:szCs w:val="24"/>
        </w:rPr>
      </w:pPr>
    </w:p>
    <w:p w:rsidR="00B305ED" w:rsidRPr="00904338" w:rsidP="00655ED0" w14:paraId="1C6CB193" w14:textId="77777777">
      <w:pPr>
        <w:pStyle w:val="ParaNum"/>
        <w:widowControl/>
        <w:numPr>
          <w:ilvl w:val="0"/>
          <w:numId w:val="0"/>
        </w:numPr>
        <w:ind w:left="720"/>
        <w:rPr>
          <w:sz w:val="24"/>
          <w:szCs w:val="24"/>
          <w:u w:val="single"/>
        </w:rPr>
      </w:pPr>
      <w:r w:rsidRPr="00904338">
        <w:rPr>
          <w:sz w:val="24"/>
          <w:szCs w:val="24"/>
        </w:rPr>
        <w:t xml:space="preserve">The Commission estimates </w:t>
      </w:r>
      <w:r w:rsidRPr="00904338" w:rsidR="000D3738">
        <w:rPr>
          <w:sz w:val="24"/>
          <w:szCs w:val="24"/>
        </w:rPr>
        <w:t>there will be no annua</w:t>
      </w:r>
      <w:r w:rsidRPr="00904338">
        <w:rPr>
          <w:sz w:val="24"/>
          <w:szCs w:val="24"/>
        </w:rPr>
        <w:t>l cost to the Federal government.</w:t>
      </w:r>
    </w:p>
    <w:p w:rsidR="008173AD" w:rsidRPr="00904338" w:rsidP="00507A37" w14:paraId="10E50D20" w14:textId="77777777">
      <w:pPr>
        <w:widowControl w:val="0"/>
        <w:numPr>
          <w:ilvl w:val="0"/>
          <w:numId w:val="7"/>
        </w:numPr>
        <w:suppressAutoHyphens/>
        <w:ind w:right="-720"/>
        <w:rPr>
          <w:szCs w:val="24"/>
        </w:rPr>
      </w:pPr>
      <w:r w:rsidRPr="00904338">
        <w:rPr>
          <w:b/>
          <w:szCs w:val="24"/>
          <w:shd w:val="clear" w:color="auto" w:fill="FFFFFF"/>
        </w:rPr>
        <w:t>Explain the reasons for any program changes or adjustments reported</w:t>
      </w:r>
      <w:r w:rsidRPr="00904338" w:rsidR="007653D5">
        <w:rPr>
          <w:b/>
          <w:szCs w:val="24"/>
          <w:shd w:val="clear" w:color="auto" w:fill="FFFFFF"/>
        </w:rPr>
        <w:t>.</w:t>
      </w:r>
    </w:p>
    <w:p w:rsidR="001A3731" w:rsidRPr="00904338" w:rsidP="00F24383" w14:paraId="3E354B5C" w14:textId="77777777">
      <w:pPr>
        <w:widowControl w:val="0"/>
        <w:suppressAutoHyphens/>
        <w:ind w:left="720" w:right="-720"/>
        <w:rPr>
          <w:szCs w:val="24"/>
        </w:rPr>
      </w:pPr>
    </w:p>
    <w:p w:rsidR="00F24383" w:rsidP="00F24383" w14:paraId="1D98CDE2" w14:textId="0E5C54E4">
      <w:pPr>
        <w:widowControl w:val="0"/>
        <w:suppressAutoHyphens/>
        <w:ind w:left="720" w:right="-720"/>
        <w:rPr>
          <w:szCs w:val="24"/>
        </w:rPr>
      </w:pPr>
      <w:r>
        <w:rPr>
          <w:szCs w:val="24"/>
        </w:rPr>
        <w:t xml:space="preserve">The </w:t>
      </w:r>
      <w:r w:rsidR="00E9363A">
        <w:rPr>
          <w:szCs w:val="24"/>
        </w:rPr>
        <w:t xml:space="preserve">Commission is reporting an increase/adjustment to the total annual </w:t>
      </w:r>
      <w:r>
        <w:rPr>
          <w:szCs w:val="24"/>
        </w:rPr>
        <w:t xml:space="preserve">burden hours associated with this collection </w:t>
      </w:r>
      <w:r w:rsidR="00E9363A">
        <w:rPr>
          <w:szCs w:val="24"/>
        </w:rPr>
        <w:t xml:space="preserve"> of </w:t>
      </w:r>
      <w:r>
        <w:rPr>
          <w:szCs w:val="24"/>
        </w:rPr>
        <w:t>+1,262</w:t>
      </w:r>
      <w:r w:rsidR="003A44C0">
        <w:rPr>
          <w:szCs w:val="24"/>
        </w:rPr>
        <w:t xml:space="preserve"> hours</w:t>
      </w:r>
      <w:r w:rsidRPr="00904338" w:rsidR="00227F80">
        <w:rPr>
          <w:szCs w:val="24"/>
        </w:rPr>
        <w:t xml:space="preserve"> </w:t>
      </w:r>
      <w:r w:rsidRPr="004F0E4C" w:rsidR="004F0E4C">
        <w:rPr>
          <w:szCs w:val="24"/>
        </w:rPr>
        <w:t xml:space="preserve">(1,888 to 3,150) </w:t>
      </w:r>
      <w:r w:rsidRPr="00904338" w:rsidR="00227F80">
        <w:rPr>
          <w:szCs w:val="24"/>
        </w:rPr>
        <w:t>from the last submission to OMB</w:t>
      </w:r>
      <w:r>
        <w:rPr>
          <w:szCs w:val="24"/>
        </w:rPr>
        <w:t xml:space="preserve"> to reflect the burdens faced by the number of new Covered Providers </w:t>
      </w:r>
      <w:r w:rsidR="009362F9">
        <w:rPr>
          <w:szCs w:val="24"/>
        </w:rPr>
        <w:t xml:space="preserve">45 respondents/responses </w:t>
      </w:r>
      <w:r w:rsidR="004F0E4C">
        <w:rPr>
          <w:szCs w:val="24"/>
        </w:rPr>
        <w:t xml:space="preserve">(570 to 615) </w:t>
      </w:r>
      <w:r>
        <w:rPr>
          <w:szCs w:val="24"/>
        </w:rPr>
        <w:t xml:space="preserve">that will need to initially </w:t>
      </w:r>
      <w:r w:rsidRPr="00904338">
        <w:rPr>
          <w:szCs w:val="24"/>
        </w:rPr>
        <w:t>create or revise their consumer disclosure requirements regarding backup power</w:t>
      </w:r>
      <w:r w:rsidRPr="00904338" w:rsidR="00227F80">
        <w:rPr>
          <w:szCs w:val="24"/>
        </w:rPr>
        <w:t>.</w:t>
      </w:r>
    </w:p>
    <w:p w:rsidR="00E9363A" w:rsidP="00F24383" w14:paraId="6FB59D33" w14:textId="77777777">
      <w:pPr>
        <w:widowControl w:val="0"/>
        <w:suppressAutoHyphens/>
        <w:ind w:left="720" w:right="-720"/>
        <w:rPr>
          <w:szCs w:val="24"/>
        </w:rPr>
      </w:pPr>
    </w:p>
    <w:p w:rsidR="00E9363A" w:rsidRPr="00904338" w:rsidP="00F24383" w14:paraId="47A3CA2B" w14:textId="2D9ACB9A">
      <w:pPr>
        <w:widowControl w:val="0"/>
        <w:suppressAutoHyphens/>
        <w:ind w:left="720" w:right="-720"/>
        <w:rPr>
          <w:szCs w:val="24"/>
        </w:rPr>
      </w:pPr>
      <w:r>
        <w:rPr>
          <w:szCs w:val="24"/>
        </w:rPr>
        <w:t xml:space="preserve">No program changes are being reported. </w:t>
      </w:r>
    </w:p>
    <w:p w:rsidR="00B46979" w:rsidRPr="00904338" w:rsidP="00507A37" w14:paraId="0A1F1931" w14:textId="77777777">
      <w:pPr>
        <w:tabs>
          <w:tab w:val="left" w:pos="-720"/>
        </w:tabs>
        <w:suppressAutoHyphens/>
        <w:ind w:left="360"/>
        <w:rPr>
          <w:szCs w:val="24"/>
        </w:rPr>
      </w:pPr>
      <w:r w:rsidRPr="00904338">
        <w:rPr>
          <w:szCs w:val="24"/>
        </w:rPr>
        <w:t xml:space="preserve">    </w:t>
      </w:r>
    </w:p>
    <w:p w:rsidR="00DA0F6C" w:rsidRPr="00904338" w:rsidP="00507A37" w14:paraId="66162838" w14:textId="77777777">
      <w:pPr>
        <w:numPr>
          <w:ilvl w:val="0"/>
          <w:numId w:val="7"/>
        </w:numPr>
        <w:rPr>
          <w:b/>
          <w:szCs w:val="24"/>
          <w:shd w:val="clear" w:color="auto" w:fill="FFFFFF"/>
        </w:rPr>
      </w:pPr>
      <w:r w:rsidRPr="00904338">
        <w:rPr>
          <w:b/>
          <w:szCs w:val="24"/>
          <w:shd w:val="clear" w:color="auto" w:fill="FFFFFF"/>
        </w:rPr>
        <w:t>For collections of information whose results will be published, outline plans for tabulation and publication.</w:t>
      </w:r>
    </w:p>
    <w:p w:rsidR="00DA0F6C" w:rsidRPr="00904338" w:rsidP="00507A37" w14:paraId="7B11C7C1" w14:textId="77777777">
      <w:pPr>
        <w:tabs>
          <w:tab w:val="left" w:pos="-720"/>
        </w:tabs>
        <w:suppressAutoHyphens/>
        <w:rPr>
          <w:szCs w:val="24"/>
        </w:rPr>
      </w:pPr>
    </w:p>
    <w:p w:rsidR="00B46979" w:rsidRPr="00904338" w:rsidP="00507A37" w14:paraId="74292807" w14:textId="3E7718F0">
      <w:pPr>
        <w:pStyle w:val="ParaNum"/>
        <w:widowControl/>
        <w:numPr>
          <w:ilvl w:val="0"/>
          <w:numId w:val="0"/>
        </w:numPr>
        <w:ind w:left="720"/>
        <w:rPr>
          <w:sz w:val="24"/>
          <w:szCs w:val="24"/>
        </w:rPr>
      </w:pPr>
      <w:r w:rsidRPr="00904338">
        <w:rPr>
          <w:sz w:val="24"/>
          <w:szCs w:val="24"/>
        </w:rPr>
        <w:t xml:space="preserve">The </w:t>
      </w:r>
      <w:r w:rsidRPr="00904338" w:rsidR="00DA0F6C">
        <w:rPr>
          <w:sz w:val="24"/>
          <w:szCs w:val="24"/>
        </w:rPr>
        <w:t xml:space="preserve">FCC has no plans to publish </w:t>
      </w:r>
      <w:r w:rsidRPr="00904338">
        <w:rPr>
          <w:sz w:val="24"/>
          <w:szCs w:val="24"/>
        </w:rPr>
        <w:t xml:space="preserve">data </w:t>
      </w:r>
      <w:r w:rsidRPr="00904338" w:rsidR="00DA0F6C">
        <w:rPr>
          <w:sz w:val="24"/>
          <w:szCs w:val="24"/>
        </w:rPr>
        <w:t>from this information collection.</w:t>
      </w:r>
    </w:p>
    <w:p w:rsidR="00DA0F6C" w:rsidRPr="00904338" w:rsidP="00507A37" w14:paraId="69F18A8E" w14:textId="77777777">
      <w:pPr>
        <w:tabs>
          <w:tab w:val="left" w:pos="-720"/>
        </w:tabs>
        <w:suppressAutoHyphens/>
        <w:ind w:left="720"/>
        <w:rPr>
          <w:szCs w:val="24"/>
        </w:rPr>
      </w:pPr>
    </w:p>
    <w:p w:rsidR="00664471" w:rsidRPr="00904338" w:rsidP="00507A37" w14:paraId="725D46B8" w14:textId="77777777">
      <w:pPr>
        <w:numPr>
          <w:ilvl w:val="0"/>
          <w:numId w:val="7"/>
        </w:numPr>
        <w:rPr>
          <w:b/>
          <w:szCs w:val="24"/>
          <w:shd w:val="clear" w:color="auto" w:fill="FFFFFF"/>
        </w:rPr>
      </w:pPr>
      <w:r w:rsidRPr="00904338">
        <w:rPr>
          <w:b/>
          <w:szCs w:val="24"/>
          <w:shd w:val="clear" w:color="auto" w:fill="FFFFFF"/>
        </w:rPr>
        <w:t>If seeking approval to not display the expiration date for OMB approval of the information collection, explain the reasons that display would be inappropriate.</w:t>
      </w:r>
    </w:p>
    <w:p w:rsidR="00DA0F6C" w:rsidRPr="00904338" w:rsidP="00507A37" w14:paraId="7F6EF893" w14:textId="77777777">
      <w:pPr>
        <w:tabs>
          <w:tab w:val="left" w:pos="-720"/>
        </w:tabs>
        <w:suppressAutoHyphens/>
        <w:ind w:left="360"/>
        <w:rPr>
          <w:szCs w:val="24"/>
        </w:rPr>
      </w:pPr>
    </w:p>
    <w:p w:rsidR="00B46979" w:rsidRPr="00904338" w:rsidP="00507A37" w14:paraId="5F4329CB" w14:textId="77777777">
      <w:pPr>
        <w:ind w:left="720"/>
        <w:rPr>
          <w:szCs w:val="24"/>
          <w:shd w:val="clear" w:color="auto" w:fill="FFFFFF"/>
        </w:rPr>
      </w:pPr>
      <w:r w:rsidRPr="00904338">
        <w:rPr>
          <w:szCs w:val="24"/>
          <w:shd w:val="clear" w:color="auto" w:fill="FFFFFF"/>
        </w:rPr>
        <w:t xml:space="preserve">The Commission does not intend to seek approval </w:t>
      </w:r>
      <w:r w:rsidRPr="00904338" w:rsidR="00B305ED">
        <w:rPr>
          <w:szCs w:val="24"/>
          <w:shd w:val="clear" w:color="auto" w:fill="FFFFFF"/>
        </w:rPr>
        <w:t xml:space="preserve">to </w:t>
      </w:r>
      <w:r w:rsidRPr="00904338">
        <w:rPr>
          <w:szCs w:val="24"/>
          <w:shd w:val="clear" w:color="auto" w:fill="FFFFFF"/>
        </w:rPr>
        <w:t>not display the expiration date of the information collection from OMB.</w:t>
      </w:r>
    </w:p>
    <w:p w:rsidR="00E26CE4" w:rsidRPr="00904338" w:rsidP="00507A37" w14:paraId="2EA73D78" w14:textId="77777777">
      <w:pPr>
        <w:tabs>
          <w:tab w:val="left" w:pos="-720"/>
        </w:tabs>
        <w:suppressAutoHyphens/>
        <w:rPr>
          <w:szCs w:val="24"/>
        </w:rPr>
      </w:pPr>
    </w:p>
    <w:p w:rsidR="00664471" w:rsidRPr="00CF3DDC" w:rsidP="00FF0DD7" w14:paraId="22BFF719" w14:textId="7A047DEF">
      <w:pPr>
        <w:widowControl w:val="0"/>
        <w:numPr>
          <w:ilvl w:val="0"/>
          <w:numId w:val="7"/>
        </w:numPr>
        <w:tabs>
          <w:tab w:val="left" w:pos="-720"/>
        </w:tabs>
        <w:suppressAutoHyphens/>
        <w:ind w:right="720"/>
        <w:rPr>
          <w:szCs w:val="24"/>
        </w:rPr>
      </w:pPr>
      <w:r w:rsidRPr="00CF3DDC">
        <w:rPr>
          <w:szCs w:val="24"/>
        </w:rPr>
        <w:t xml:space="preserve"> </w:t>
      </w:r>
      <w:r w:rsidRPr="00CF3DDC">
        <w:rPr>
          <w:b/>
          <w:szCs w:val="24"/>
          <w:shd w:val="clear" w:color="auto" w:fill="FFFFFF"/>
        </w:rPr>
        <w:t>Explain any exceptions to the Certification Statement identified in Item 19, “Certification of Paperwork Reduction Act Submissions</w:t>
      </w:r>
      <w:r w:rsidRPr="00CF3DDC" w:rsidR="00CF3DDC">
        <w:rPr>
          <w:b/>
          <w:szCs w:val="24"/>
          <w:shd w:val="clear" w:color="auto" w:fill="FFFFFF"/>
        </w:rPr>
        <w:t>.</w:t>
      </w:r>
      <w:r w:rsidRPr="00CF3DDC">
        <w:rPr>
          <w:b/>
          <w:szCs w:val="24"/>
          <w:shd w:val="clear" w:color="auto" w:fill="FFFFFF"/>
        </w:rPr>
        <w:t>”</w:t>
      </w:r>
    </w:p>
    <w:p w:rsidR="00FB20D1" w:rsidRPr="00904338" w:rsidP="00507A37" w14:paraId="7D54B31C" w14:textId="77777777">
      <w:pPr>
        <w:widowControl w:val="0"/>
        <w:tabs>
          <w:tab w:val="left" w:pos="-720"/>
        </w:tabs>
        <w:suppressAutoHyphens/>
        <w:ind w:right="720"/>
        <w:rPr>
          <w:szCs w:val="24"/>
        </w:rPr>
      </w:pPr>
    </w:p>
    <w:p w:rsidR="00E522DD" w:rsidRPr="00904338" w:rsidP="00507A37" w14:paraId="397733A1" w14:textId="1633154E">
      <w:pPr>
        <w:pStyle w:val="ParaNum"/>
        <w:widowControl/>
        <w:numPr>
          <w:ilvl w:val="0"/>
          <w:numId w:val="0"/>
        </w:numPr>
        <w:ind w:left="720"/>
        <w:rPr>
          <w:sz w:val="24"/>
          <w:szCs w:val="24"/>
        </w:rPr>
      </w:pPr>
      <w:r w:rsidRPr="00904338">
        <w:rPr>
          <w:sz w:val="24"/>
          <w:szCs w:val="24"/>
        </w:rPr>
        <w:t xml:space="preserve">There are no </w:t>
      </w:r>
      <w:r w:rsidRPr="00904338" w:rsidR="00FB20D1">
        <w:rPr>
          <w:sz w:val="24"/>
          <w:szCs w:val="24"/>
        </w:rPr>
        <w:t xml:space="preserve">other </w:t>
      </w:r>
      <w:r w:rsidRPr="00904338">
        <w:rPr>
          <w:sz w:val="24"/>
          <w:szCs w:val="24"/>
        </w:rPr>
        <w:t>exceptions to the Certification Statement.</w:t>
      </w:r>
    </w:p>
    <w:p w:rsidR="00B46979" w:rsidRPr="00904338" w:rsidP="00507A37" w14:paraId="2D046E26" w14:textId="77777777">
      <w:pPr>
        <w:rPr>
          <w:szCs w:val="24"/>
        </w:rPr>
      </w:pPr>
    </w:p>
    <w:p w:rsidR="00DE278D" w:rsidRPr="00904338" w:rsidP="00507A37" w14:paraId="1E02664C" w14:textId="77777777">
      <w:pPr>
        <w:rPr>
          <w:b/>
          <w:szCs w:val="24"/>
        </w:rPr>
      </w:pPr>
      <w:r w:rsidRPr="00904338">
        <w:rPr>
          <w:b/>
          <w:szCs w:val="24"/>
        </w:rPr>
        <w:t xml:space="preserve">B. </w:t>
      </w:r>
      <w:r w:rsidRPr="00904338" w:rsidR="00E26CE4">
        <w:rPr>
          <w:b/>
          <w:szCs w:val="24"/>
        </w:rPr>
        <w:t xml:space="preserve">  </w:t>
      </w:r>
      <w:r w:rsidRPr="00904338">
        <w:rPr>
          <w:b/>
          <w:szCs w:val="24"/>
        </w:rPr>
        <w:t>Collections of Information Employing Statistical Methods</w:t>
      </w:r>
      <w:r w:rsidRPr="00904338" w:rsidR="007036B9">
        <w:rPr>
          <w:b/>
          <w:szCs w:val="24"/>
        </w:rPr>
        <w:t>:</w:t>
      </w:r>
    </w:p>
    <w:p w:rsidR="00DE278D" w:rsidRPr="00904338" w:rsidP="00507A37" w14:paraId="5D1B37D1" w14:textId="77777777">
      <w:pPr>
        <w:ind w:left="360"/>
        <w:rPr>
          <w:szCs w:val="24"/>
        </w:rPr>
      </w:pPr>
    </w:p>
    <w:p w:rsidR="0087526A" w:rsidRPr="00904338" w:rsidP="00507A37" w14:paraId="78392E54" w14:textId="10D5212D">
      <w:pPr>
        <w:pStyle w:val="ParaNum"/>
        <w:widowControl/>
        <w:numPr>
          <w:ilvl w:val="0"/>
          <w:numId w:val="0"/>
        </w:numPr>
        <w:ind w:left="720"/>
        <w:rPr>
          <w:sz w:val="24"/>
          <w:szCs w:val="24"/>
        </w:rPr>
      </w:pPr>
      <w:r w:rsidRPr="00904338">
        <w:rPr>
          <w:sz w:val="24"/>
          <w:szCs w:val="24"/>
        </w:rPr>
        <w:t>No statistical methods are employed.</w:t>
      </w:r>
    </w:p>
    <w:sectPr w:rsidSect="00274102">
      <w:headerReference w:type="even" r:id="rId9"/>
      <w:headerReference w:type="default" r:id="rId10"/>
      <w:footerReference w:type="even" r:id="rId11"/>
      <w:footerReference w:type="default" r:id="rId12"/>
      <w:pgSz w:w="12240" w:h="15840"/>
      <w:pgMar w:top="1440" w:right="1440" w:bottom="72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Heavy Heap"/>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7727" w:rsidP="004A0AD7" w14:paraId="428BB85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07727" w14:paraId="052C53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7727" w:rsidP="004A0AD7" w14:paraId="233DFB5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51CD">
      <w:rPr>
        <w:rStyle w:val="PageNumber"/>
        <w:noProof/>
      </w:rPr>
      <w:t>6</w:t>
    </w:r>
    <w:r>
      <w:rPr>
        <w:rStyle w:val="PageNumber"/>
      </w:rPr>
      <w:fldChar w:fldCharType="end"/>
    </w:r>
  </w:p>
  <w:p w:rsidR="00D07727" w14:paraId="1BDF40A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325E9" w14:paraId="1B025EEE" w14:textId="77777777">
      <w:r>
        <w:separator/>
      </w:r>
    </w:p>
  </w:footnote>
  <w:footnote w:type="continuationSeparator" w:id="1">
    <w:p w:rsidR="007325E9" w14:paraId="3F0EE8A7" w14:textId="77777777">
      <w:r>
        <w:continuationSeparator/>
      </w:r>
    </w:p>
  </w:footnote>
  <w:footnote w:type="continuationNotice" w:id="2">
    <w:p w:rsidR="007325E9" w14:paraId="34CE0180" w14:textId="77777777"/>
  </w:footnote>
  <w:footnote w:id="3">
    <w:p w:rsidR="00D16FDD" w:rsidRPr="00B4111F" w:rsidP="008B5796" w14:paraId="2D065A77" w14:textId="06514853">
      <w:pPr>
        <w:pStyle w:val="FootnoteText"/>
        <w:spacing w:after="120"/>
      </w:pPr>
      <w:r w:rsidRPr="00B4111F">
        <w:rPr>
          <w:rStyle w:val="FootnoteReference"/>
        </w:rPr>
        <w:footnoteRef/>
      </w:r>
      <w:r w:rsidRPr="00B4111F">
        <w:t xml:space="preserve"> </w:t>
      </w:r>
      <w:r w:rsidRPr="00571665" w:rsidR="00B4111F">
        <w:t>47 CFR 9.20 (formerly 47 CFR 12.5 (2015)).  Originally codified as section 12.5 of the rules, in 2019, the Commission re</w:t>
      </w:r>
      <w:r w:rsidRPr="0097571F" w:rsidR="00B4111F">
        <w:t>numbered section 12.5 as section 9.20 of the rules</w:t>
      </w:r>
      <w:r w:rsidRPr="00B4111F" w:rsidR="00B4111F">
        <w:t xml:space="preserve">.  </w:t>
      </w:r>
      <w:r w:rsidRPr="00B4111F" w:rsidR="00B4111F">
        <w:rPr>
          <w:i/>
          <w:iCs/>
          <w:snapToGrid w:val="0"/>
        </w:rPr>
        <w:t>Implementing Kari's Law and Section 506 of RAY BAUM'S Act</w:t>
      </w:r>
      <w:r w:rsidRPr="00B4111F" w:rsidR="00B4111F">
        <w:rPr>
          <w:snapToGrid w:val="0"/>
        </w:rPr>
        <w:t xml:space="preserve">; </w:t>
      </w:r>
      <w:r w:rsidRPr="00B4111F" w:rsidR="00B4111F">
        <w:rPr>
          <w:i/>
          <w:iCs/>
          <w:snapToGrid w:val="0"/>
        </w:rPr>
        <w:t>911 Access, Routing, and Location in Enterprise Communications Systems</w:t>
      </w:r>
      <w:r w:rsidRPr="00B4111F" w:rsidR="00B4111F">
        <w:rPr>
          <w:snapToGrid w:val="0"/>
        </w:rPr>
        <w:t xml:space="preserve">; </w:t>
      </w:r>
      <w:r w:rsidRPr="00B4111F" w:rsidR="00B4111F">
        <w:rPr>
          <w:i/>
          <w:iCs/>
          <w:snapToGrid w:val="0"/>
        </w:rPr>
        <w:t>Amending the Definition of Interconnected VoIP Service in Section 9.3 of the Commission's Rules</w:t>
      </w:r>
      <w:r w:rsidRPr="00B4111F" w:rsidR="00B4111F">
        <w:rPr>
          <w:snapToGrid w:val="0"/>
        </w:rPr>
        <w:t xml:space="preserve">, PS Docket Nos. 18-261 and 17-239, GN Docket No. 11-117, Report and Order, 34 FCC </w:t>
      </w:r>
      <w:r w:rsidRPr="00B4111F" w:rsidR="00B4111F">
        <w:rPr>
          <w:snapToGrid w:val="0"/>
        </w:rPr>
        <w:t>Rcd</w:t>
      </w:r>
      <w:r w:rsidRPr="00B4111F" w:rsidR="00B4111F">
        <w:rPr>
          <w:snapToGrid w:val="0"/>
        </w:rPr>
        <w:t xml:space="preserve"> 6607 (2019), </w:t>
      </w:r>
      <w:r w:rsidRPr="00B4111F" w:rsidR="00B4111F">
        <w:rPr>
          <w:i/>
          <w:iCs/>
          <w:snapToGrid w:val="0"/>
        </w:rPr>
        <w:t>corrected by</w:t>
      </w:r>
      <w:r w:rsidRPr="00B4111F" w:rsidR="00B4111F">
        <w:rPr>
          <w:snapToGrid w:val="0"/>
        </w:rPr>
        <w:t xml:space="preserve"> Erratum, 34 FCC </w:t>
      </w:r>
      <w:r w:rsidRPr="00B4111F" w:rsidR="00B4111F">
        <w:rPr>
          <w:snapToGrid w:val="0"/>
        </w:rPr>
        <w:t>Rcd</w:t>
      </w:r>
      <w:r w:rsidRPr="00B4111F" w:rsidR="00B4111F">
        <w:rPr>
          <w:snapToGrid w:val="0"/>
        </w:rPr>
        <w:t xml:space="preserve"> 11073 (PSHSB Dec. 2, 2019); </w:t>
      </w:r>
      <w:r w:rsidRPr="008B5796" w:rsidR="002E2561">
        <w:rPr>
          <w:i/>
          <w:iCs/>
        </w:rPr>
        <w:t>Ensuring Continuity of 911 Communications</w:t>
      </w:r>
      <w:r w:rsidRPr="00B4111F" w:rsidR="002E2561">
        <w:t xml:space="preserve">, PS Docket No. 14-174, Report and Order, 30 FCC </w:t>
      </w:r>
      <w:r w:rsidRPr="00B4111F" w:rsidR="002E2561">
        <w:t>Rcd</w:t>
      </w:r>
      <w:r w:rsidRPr="00B4111F" w:rsidR="002E2561">
        <w:t xml:space="preserve"> 8677 </w:t>
      </w:r>
      <w:r w:rsidRPr="00B4111F" w:rsidR="00B4111F">
        <w:t xml:space="preserve">(2015) </w:t>
      </w:r>
      <w:r w:rsidRPr="00B4111F" w:rsidR="002E2561">
        <w:t>(</w:t>
      </w:r>
      <w:r w:rsidRPr="00B4111F" w:rsidR="002E2561">
        <w:rPr>
          <w:i/>
        </w:rPr>
        <w:t>Report and Order</w:t>
      </w:r>
      <w:r w:rsidRPr="00B4111F" w:rsidR="002E2561">
        <w:t>).</w:t>
      </w:r>
    </w:p>
  </w:footnote>
  <w:footnote w:id="4">
    <w:p w:rsidR="00B4111F" w:rsidRPr="00B4111F" w:rsidP="008B5796" w14:paraId="02974CCF" w14:textId="032EDB92">
      <w:pPr>
        <w:pStyle w:val="ParaNum"/>
        <w:numPr>
          <w:ilvl w:val="0"/>
          <w:numId w:val="0"/>
        </w:numPr>
        <w:rPr>
          <w:szCs w:val="22"/>
        </w:rPr>
      </w:pPr>
      <w:r w:rsidRPr="008B5796">
        <w:rPr>
          <w:rStyle w:val="FootnoteReference"/>
          <w:sz w:val="20"/>
        </w:rPr>
        <w:footnoteRef/>
      </w:r>
      <w:r w:rsidRPr="008B5796">
        <w:rPr>
          <w:sz w:val="20"/>
        </w:rPr>
        <w:t xml:space="preserve"> </w:t>
      </w:r>
      <w:r w:rsidRPr="008B5796">
        <w:rPr>
          <w:i/>
          <w:iCs/>
          <w:sz w:val="20"/>
        </w:rPr>
        <w:t>See,</w:t>
      </w:r>
      <w:r w:rsidRPr="00722080" w:rsidR="00722080">
        <w:rPr>
          <w:i/>
          <w:iCs/>
        </w:rPr>
        <w:t xml:space="preserve"> </w:t>
      </w:r>
      <w:r w:rsidR="00722080">
        <w:t>D</w:t>
      </w:r>
      <w:r w:rsidRPr="001C6100" w:rsidR="00722080">
        <w:rPr>
          <w:sz w:val="20"/>
        </w:rPr>
        <w:t xml:space="preserve">ominic J. Mancini, Deputy </w:t>
      </w:r>
      <w:r w:rsidR="00722080">
        <w:rPr>
          <w:sz w:val="20"/>
        </w:rPr>
        <w:t xml:space="preserve">and Acting </w:t>
      </w:r>
      <w:r w:rsidRPr="001C6100" w:rsidR="00722080">
        <w:rPr>
          <w:sz w:val="20"/>
        </w:rPr>
        <w:t xml:space="preserve">Administrator, Office of Information and Regulatory Affairs, </w:t>
      </w:r>
      <w:r w:rsidRPr="001C6100" w:rsidR="00722080">
        <w:rPr>
          <w:i/>
          <w:iCs/>
          <w:sz w:val="20"/>
        </w:rPr>
        <w:t>Notice of Office of Management and Budget Action, ICR Ref. No. 20</w:t>
      </w:r>
      <w:r w:rsidR="006723B6">
        <w:rPr>
          <w:i/>
          <w:iCs/>
          <w:sz w:val="20"/>
        </w:rPr>
        <w:t>1901-</w:t>
      </w:r>
      <w:r w:rsidRPr="001C6100" w:rsidR="00722080">
        <w:rPr>
          <w:i/>
          <w:iCs/>
          <w:sz w:val="20"/>
        </w:rPr>
        <w:t>3060-0</w:t>
      </w:r>
      <w:r w:rsidR="006723B6">
        <w:rPr>
          <w:i/>
          <w:iCs/>
          <w:sz w:val="20"/>
        </w:rPr>
        <w:t>01</w:t>
      </w:r>
      <w:r w:rsidRPr="001C6100" w:rsidR="00722080">
        <w:rPr>
          <w:i/>
          <w:iCs/>
          <w:sz w:val="20"/>
        </w:rPr>
        <w:t>,</w:t>
      </w:r>
      <w:r w:rsidRPr="001C6100" w:rsidR="00722080">
        <w:rPr>
          <w:sz w:val="20"/>
        </w:rPr>
        <w:t xml:space="preserve"> (</w:t>
      </w:r>
      <w:r w:rsidR="006723B6">
        <w:rPr>
          <w:sz w:val="20"/>
        </w:rPr>
        <w:t>Jan.</w:t>
      </w:r>
      <w:r w:rsidRPr="001C6100" w:rsidR="00722080">
        <w:rPr>
          <w:sz w:val="20"/>
        </w:rPr>
        <w:t xml:space="preserve"> </w:t>
      </w:r>
      <w:r w:rsidR="006723B6">
        <w:rPr>
          <w:sz w:val="20"/>
        </w:rPr>
        <w:t>30</w:t>
      </w:r>
      <w:r w:rsidRPr="001C6100" w:rsidR="00722080">
        <w:rPr>
          <w:sz w:val="20"/>
        </w:rPr>
        <w:t>, 20</w:t>
      </w:r>
      <w:r w:rsidR="006723B6">
        <w:rPr>
          <w:sz w:val="20"/>
        </w:rPr>
        <w:t>19</w:t>
      </w:r>
      <w:r w:rsidRPr="001C6100" w:rsidR="00722080">
        <w:rPr>
          <w:sz w:val="20"/>
        </w:rPr>
        <w:t>),</w:t>
      </w:r>
      <w:r w:rsidR="002D4ED0">
        <w:rPr>
          <w:sz w:val="20"/>
        </w:rPr>
        <w:t xml:space="preserve"> </w:t>
      </w:r>
      <w:r w:rsidR="00EF352B">
        <w:rPr>
          <w:sz w:val="20"/>
        </w:rPr>
        <w:t>as extended by</w:t>
      </w:r>
      <w:r w:rsidR="00606926">
        <w:rPr>
          <w:sz w:val="20"/>
        </w:rPr>
        <w:t>,</w:t>
      </w:r>
      <w:r w:rsidRPr="00606926" w:rsidR="00606926">
        <w:rPr>
          <w:i/>
          <w:iCs/>
          <w:sz w:val="20"/>
        </w:rPr>
        <w:t xml:space="preserve"> </w:t>
      </w:r>
      <w:r w:rsidRPr="00606926" w:rsidR="00606926">
        <w:rPr>
          <w:sz w:val="20"/>
        </w:rPr>
        <w:t xml:space="preserve">Dominic J. Mancini, Deputy and Acting Administrator, Office of Information and Regulatory Affairs, </w:t>
      </w:r>
      <w:r w:rsidRPr="00606926" w:rsidR="00606926">
        <w:rPr>
          <w:i/>
          <w:iCs/>
          <w:sz w:val="20"/>
        </w:rPr>
        <w:t>Notice of Office of Management and Budget Action, ICR Ref. No. 20</w:t>
      </w:r>
      <w:r w:rsidR="00606926">
        <w:rPr>
          <w:i/>
          <w:iCs/>
          <w:sz w:val="20"/>
        </w:rPr>
        <w:t>2111</w:t>
      </w:r>
      <w:r w:rsidRPr="00606926" w:rsidR="00606926">
        <w:rPr>
          <w:i/>
          <w:iCs/>
          <w:sz w:val="20"/>
        </w:rPr>
        <w:t>-3060-01</w:t>
      </w:r>
      <w:r w:rsidR="00E23C24">
        <w:rPr>
          <w:i/>
          <w:iCs/>
          <w:sz w:val="20"/>
        </w:rPr>
        <w:t>0</w:t>
      </w:r>
      <w:r w:rsidRPr="00606926" w:rsidR="00606926">
        <w:rPr>
          <w:i/>
          <w:iCs/>
          <w:sz w:val="20"/>
        </w:rPr>
        <w:t>,</w:t>
      </w:r>
      <w:r w:rsidRPr="00606926" w:rsidR="00606926">
        <w:rPr>
          <w:sz w:val="20"/>
        </w:rPr>
        <w:t xml:space="preserve"> (</w:t>
      </w:r>
      <w:r w:rsidR="00E23C24">
        <w:rPr>
          <w:sz w:val="20"/>
        </w:rPr>
        <w:t>Nov.</w:t>
      </w:r>
      <w:r w:rsidRPr="00606926" w:rsidR="00606926">
        <w:rPr>
          <w:sz w:val="20"/>
        </w:rPr>
        <w:t xml:space="preserve"> </w:t>
      </w:r>
      <w:r w:rsidR="00E23C24">
        <w:rPr>
          <w:sz w:val="20"/>
        </w:rPr>
        <w:t>23</w:t>
      </w:r>
      <w:r w:rsidRPr="00606926" w:rsidR="00606926">
        <w:rPr>
          <w:sz w:val="20"/>
        </w:rPr>
        <w:t>, 20</w:t>
      </w:r>
      <w:r w:rsidR="00E23C24">
        <w:rPr>
          <w:sz w:val="20"/>
        </w:rPr>
        <w:t>21)</w:t>
      </w:r>
      <w:r w:rsidRPr="008B5796">
        <w:rPr>
          <w:sz w:val="20"/>
        </w:rPr>
        <w:t>.</w:t>
      </w:r>
    </w:p>
  </w:footnote>
  <w:footnote w:id="5">
    <w:p w:rsidR="0024343F" w14:paraId="75419AD0" w14:textId="5949AFBB">
      <w:pPr>
        <w:pStyle w:val="FootnoteText"/>
      </w:pPr>
      <w:r>
        <w:rPr>
          <w:rStyle w:val="FootnoteReference"/>
        </w:rPr>
        <w:footnoteRef/>
      </w:r>
      <w:r>
        <w:t xml:space="preserve"> </w:t>
      </w:r>
      <w:r w:rsidRPr="00C034A1">
        <w:rPr>
          <w:i/>
          <w:iCs/>
        </w:rPr>
        <w:t>Report and Order</w:t>
      </w:r>
      <w:r>
        <w:t xml:space="preserve">, </w:t>
      </w:r>
      <w:r w:rsidRPr="0024343F">
        <w:t xml:space="preserve">30 FCC </w:t>
      </w:r>
      <w:r w:rsidRPr="0024343F">
        <w:t>Rcd</w:t>
      </w:r>
      <w:r>
        <w:t xml:space="preserve"> 8704 at para. 60.</w:t>
      </w:r>
    </w:p>
  </w:footnote>
  <w:footnote w:id="6">
    <w:p w:rsidR="00D82038" w14:paraId="2AB5D409" w14:textId="37AA24A4">
      <w:pPr>
        <w:pStyle w:val="FootnoteText"/>
      </w:pPr>
      <w:r>
        <w:rPr>
          <w:rStyle w:val="FootnoteReference"/>
        </w:rPr>
        <w:footnoteRef/>
      </w:r>
      <w:r>
        <w:t xml:space="preserve"> 47 CFR 9.11(a)(5)(i).</w:t>
      </w:r>
    </w:p>
  </w:footnote>
  <w:footnote w:id="7">
    <w:p w:rsidR="00F55226" w14:paraId="700BC253" w14:textId="05CAA3DB">
      <w:pPr>
        <w:pStyle w:val="FootnoteText"/>
      </w:pPr>
      <w:r>
        <w:rPr>
          <w:rStyle w:val="FootnoteReference"/>
        </w:rPr>
        <w:footnoteRef/>
      </w:r>
      <w:r>
        <w:t xml:space="preserve"> </w:t>
      </w:r>
      <w:r w:rsidRPr="008B5796">
        <w:rPr>
          <w:i/>
          <w:iCs/>
        </w:rPr>
        <w:t>Report and Order</w:t>
      </w:r>
      <w:r>
        <w:t xml:space="preserve">, 30 FCC </w:t>
      </w:r>
      <w:r>
        <w:t>Rcd</w:t>
      </w:r>
      <w:r>
        <w:t xml:space="preserve"> at 8728, para. 20.</w:t>
      </w:r>
    </w:p>
  </w:footnote>
  <w:footnote w:id="8">
    <w:p w:rsidR="00F55226" w14:paraId="63D99DFB" w14:textId="7CDB9468">
      <w:pPr>
        <w:pStyle w:val="FootnoteText"/>
      </w:pPr>
      <w:r>
        <w:rPr>
          <w:rStyle w:val="FootnoteReference"/>
        </w:rPr>
        <w:footnoteRef/>
      </w:r>
      <w:r>
        <w:t xml:space="preserve"> </w:t>
      </w:r>
      <w:r w:rsidRPr="008B5796" w:rsidR="008D3EE7">
        <w:rPr>
          <w:i/>
          <w:iCs/>
        </w:rPr>
        <w:t>Id.</w:t>
      </w:r>
      <w:r w:rsidR="008D3EE7">
        <w:rPr>
          <w:i/>
          <w:iCs/>
        </w:rPr>
        <w:t xml:space="preserve"> </w:t>
      </w:r>
      <w:r w:rsidR="008D3EE7">
        <w:t>at</w:t>
      </w:r>
      <w:r>
        <w:t xml:space="preserve"> 8687, para 31.</w:t>
      </w:r>
    </w:p>
  </w:footnote>
  <w:footnote w:id="9">
    <w:p w:rsidR="00F55226" w14:paraId="2DF4D532" w14:textId="59247E74">
      <w:pPr>
        <w:pStyle w:val="FootnoteText"/>
      </w:pPr>
      <w:r>
        <w:rPr>
          <w:rStyle w:val="FootnoteReference"/>
        </w:rPr>
        <w:footnoteRef/>
      </w:r>
      <w:r>
        <w:t xml:space="preserve"> </w:t>
      </w:r>
      <w:r w:rsidRPr="008B5796">
        <w:rPr>
          <w:i/>
          <w:iCs/>
        </w:rPr>
        <w:t>Id.</w:t>
      </w:r>
    </w:p>
  </w:footnote>
  <w:footnote w:id="10">
    <w:p w:rsidR="00480176" w14:paraId="2CC94C2F" w14:textId="01748965">
      <w:pPr>
        <w:pStyle w:val="FootnoteText"/>
      </w:pPr>
      <w:r>
        <w:rPr>
          <w:rStyle w:val="FootnoteReference"/>
        </w:rPr>
        <w:footnoteRef/>
      </w:r>
      <w:r>
        <w:t xml:space="preserve"> </w:t>
      </w:r>
      <w:r w:rsidRPr="008B5796" w:rsidR="008D3EE7">
        <w:rPr>
          <w:i/>
          <w:iCs/>
        </w:rPr>
        <w:t>Id.</w:t>
      </w:r>
      <w:r w:rsidR="008D3EE7">
        <w:t xml:space="preserve"> at </w:t>
      </w:r>
      <w:r>
        <w:t>8728, para</w:t>
      </w:r>
      <w:r w:rsidR="004E4DBA">
        <w:t>.</w:t>
      </w:r>
      <w:r>
        <w:t xml:space="preserve"> 20.</w:t>
      </w:r>
    </w:p>
  </w:footnote>
  <w:footnote w:id="11">
    <w:p w:rsidR="004E4DBA" w14:paraId="207F7245" w14:textId="38B28F62">
      <w:pPr>
        <w:pStyle w:val="FootnoteText"/>
      </w:pPr>
      <w:r>
        <w:rPr>
          <w:rStyle w:val="FootnoteReference"/>
        </w:rPr>
        <w:footnoteRef/>
      </w:r>
      <w:r>
        <w:t xml:space="preserve"> </w:t>
      </w:r>
      <w:r w:rsidRPr="008B5796">
        <w:rPr>
          <w:i/>
          <w:iCs/>
        </w:rPr>
        <w:t>Id</w:t>
      </w:r>
      <w:r>
        <w:t xml:space="preserve"> at </w:t>
      </w:r>
      <w:r w:rsidR="008D3EE7">
        <w:t xml:space="preserve">8728, </w:t>
      </w:r>
      <w:r>
        <w:t>para. 21.</w:t>
      </w:r>
    </w:p>
  </w:footnote>
  <w:footnote w:id="12">
    <w:p w:rsidR="004E4DBA" w14:paraId="7F36326B" w14:textId="3E0FBEA0">
      <w:pPr>
        <w:pStyle w:val="FootnoteText"/>
      </w:pPr>
      <w:r>
        <w:rPr>
          <w:rStyle w:val="FootnoteReference"/>
        </w:rPr>
        <w:footnoteRef/>
      </w:r>
      <w:r>
        <w:t xml:space="preserve"> </w:t>
      </w:r>
      <w:r w:rsidRPr="008B5796">
        <w:rPr>
          <w:i/>
          <w:iCs/>
        </w:rPr>
        <w:t>Id.</w:t>
      </w:r>
    </w:p>
  </w:footnote>
  <w:footnote w:id="13">
    <w:p w:rsidR="004E4DBA" w14:paraId="0AE86602" w14:textId="3B538CAC">
      <w:pPr>
        <w:pStyle w:val="FootnoteText"/>
      </w:pPr>
      <w:r>
        <w:rPr>
          <w:rStyle w:val="FootnoteReference"/>
        </w:rPr>
        <w:footnoteRef/>
      </w:r>
      <w:r>
        <w:t xml:space="preserve"> </w:t>
      </w:r>
      <w:r w:rsidRPr="008B5796">
        <w:rPr>
          <w:i/>
          <w:iCs/>
        </w:rPr>
        <w:t>Id.</w:t>
      </w:r>
      <w:r>
        <w:t xml:space="preserve"> at </w:t>
      </w:r>
      <w:r w:rsidR="008D3EE7">
        <w:t xml:space="preserve">8729, para. </w:t>
      </w:r>
      <w:r>
        <w:t>22</w:t>
      </w:r>
      <w:r w:rsidR="00AC4CDB">
        <w:t xml:space="preserve">; 47 CFR </w:t>
      </w:r>
      <w:r w:rsidR="00F566C8">
        <w:t>9.20(d)(2).</w:t>
      </w:r>
    </w:p>
  </w:footnote>
  <w:footnote w:id="14">
    <w:p w:rsidR="004E4DBA" w14:paraId="74D5731F" w14:textId="06DC76A6">
      <w:pPr>
        <w:pStyle w:val="FootnoteText"/>
      </w:pPr>
      <w:r>
        <w:rPr>
          <w:rStyle w:val="FootnoteReference"/>
        </w:rPr>
        <w:footnoteRef/>
      </w:r>
      <w:r>
        <w:t xml:space="preserve"> </w:t>
      </w:r>
      <w:r w:rsidRPr="008B5796">
        <w:rPr>
          <w:i/>
          <w:iCs/>
        </w:rPr>
        <w:t>Id.</w:t>
      </w:r>
    </w:p>
  </w:footnote>
  <w:footnote w:id="15">
    <w:p w:rsidR="004E4DBA" w14:paraId="3A334A57" w14:textId="6D0E4E12">
      <w:pPr>
        <w:pStyle w:val="FootnoteText"/>
      </w:pPr>
      <w:r>
        <w:rPr>
          <w:rStyle w:val="FootnoteReference"/>
        </w:rPr>
        <w:footnoteRef/>
      </w:r>
      <w:r>
        <w:t xml:space="preserve"> </w:t>
      </w:r>
      <w:r w:rsidRPr="008B5796">
        <w:rPr>
          <w:i/>
          <w:iCs/>
        </w:rPr>
        <w:t>Id.</w:t>
      </w:r>
    </w:p>
  </w:footnote>
  <w:footnote w:id="16">
    <w:p w:rsidR="004E4DBA" w14:paraId="22431F00" w14:textId="0D3D90A1">
      <w:pPr>
        <w:pStyle w:val="FootnoteText"/>
      </w:pPr>
      <w:r>
        <w:rPr>
          <w:rStyle w:val="FootnoteReference"/>
        </w:rPr>
        <w:footnoteRef/>
      </w:r>
      <w:r>
        <w:t xml:space="preserve"> </w:t>
      </w:r>
      <w:r w:rsidRPr="008B5796">
        <w:rPr>
          <w:i/>
          <w:iCs/>
        </w:rPr>
        <w:t>Id.</w:t>
      </w:r>
    </w:p>
  </w:footnote>
  <w:footnote w:id="17">
    <w:p w:rsidR="004E4DBA" w14:paraId="35A1E263" w14:textId="3A266A5B">
      <w:pPr>
        <w:pStyle w:val="FootnoteText"/>
      </w:pPr>
      <w:r>
        <w:rPr>
          <w:rStyle w:val="FootnoteReference"/>
        </w:rPr>
        <w:footnoteRef/>
      </w:r>
      <w:r>
        <w:t xml:space="preserve"> </w:t>
      </w:r>
      <w:r w:rsidRPr="008B5796" w:rsidR="008D3EE7">
        <w:rPr>
          <w:i/>
          <w:iCs/>
        </w:rPr>
        <w:t>Id.</w:t>
      </w:r>
      <w:r w:rsidR="008D3EE7">
        <w:t xml:space="preserve"> at</w:t>
      </w:r>
      <w:r>
        <w:t xml:space="preserve"> 8729</w:t>
      </w:r>
      <w:r w:rsidR="008D3EE7">
        <w:t>,</w:t>
      </w:r>
      <w:r>
        <w:t xml:space="preserve"> para. 23.</w:t>
      </w:r>
    </w:p>
  </w:footnote>
  <w:footnote w:id="18">
    <w:p w:rsidR="00B819D7" w14:paraId="0F94FD30" w14:textId="7987383C">
      <w:pPr>
        <w:pStyle w:val="FootnoteText"/>
      </w:pPr>
      <w:r>
        <w:rPr>
          <w:rStyle w:val="FootnoteReference"/>
        </w:rPr>
        <w:footnoteRef/>
      </w:r>
      <w:r>
        <w:t xml:space="preserve"> </w:t>
      </w:r>
      <w:r w:rsidRPr="008B5796">
        <w:rPr>
          <w:i/>
          <w:iCs/>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7727" w:rsidP="0024107F" w14:paraId="44B351D0"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07727" w:rsidP="0024107F" w14:paraId="2E5677CC"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7727" w:rsidP="0024107F" w14:paraId="6BD132DF"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0A7CF4"/>
    <w:multiLevelType w:val="singleLevel"/>
    <w:tmpl w:val="0409000F"/>
    <w:lvl w:ilvl="0">
      <w:start w:val="5"/>
      <w:numFmt w:val="decimal"/>
      <w:lvlText w:val="%1."/>
      <w:lvlJc w:val="left"/>
      <w:pPr>
        <w:tabs>
          <w:tab w:val="num" w:pos="360"/>
        </w:tabs>
        <w:ind w:left="360" w:hanging="360"/>
      </w:pPr>
      <w:rPr>
        <w:rFonts w:hint="default"/>
      </w:rPr>
    </w:lvl>
  </w:abstractNum>
  <w:abstractNum w:abstractNumId="1">
    <w:nsid w:val="09FB2469"/>
    <w:multiLevelType w:val="hybridMultilevel"/>
    <w:tmpl w:val="1D18981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C943713"/>
    <w:multiLevelType w:val="hybridMultilevel"/>
    <w:tmpl w:val="483465F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9115E91"/>
    <w:multiLevelType w:val="singleLevel"/>
    <w:tmpl w:val="608C42BC"/>
    <w:lvl w:ilvl="0">
      <w:start w:val="1"/>
      <w:numFmt w:val="decimal"/>
      <w:lvlText w:val="%1."/>
      <w:lvlJc w:val="left"/>
      <w:pPr>
        <w:tabs>
          <w:tab w:val="num" w:pos="720"/>
        </w:tabs>
        <w:ind w:left="720" w:hanging="360"/>
      </w:pPr>
      <w:rPr>
        <w:rFonts w:hint="default"/>
      </w:rPr>
    </w:lvl>
  </w:abstractNum>
  <w:abstractNum w:abstractNumId="4">
    <w:nsid w:val="19EC250C"/>
    <w:multiLevelType w:val="hybridMultilevel"/>
    <w:tmpl w:val="E59C38A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1D5737A6"/>
    <w:multiLevelType w:val="hybridMultilevel"/>
    <w:tmpl w:val="D1D8CB6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30393837"/>
    <w:multiLevelType w:val="hybridMultilevel"/>
    <w:tmpl w:val="08842B7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36E3938"/>
    <w:multiLevelType w:val="hybridMultilevel"/>
    <w:tmpl w:val="5A8C20A0"/>
    <w:lvl w:ilvl="0">
      <w:start w:val="7000"/>
      <w:numFmt w:val="decimal"/>
      <w:lvlText w:val="%1"/>
      <w:lvlJc w:val="left"/>
      <w:pPr>
        <w:ind w:left="840" w:hanging="4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883A92"/>
    <w:multiLevelType w:val="hybridMultilevel"/>
    <w:tmpl w:val="99D058DE"/>
    <w:lvl w:ilvl="0">
      <w:start w:val="14"/>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E2F56BE"/>
    <w:multiLevelType w:val="hybridMultilevel"/>
    <w:tmpl w:val="329612E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E881997"/>
    <w:multiLevelType w:val="hybridMultilevel"/>
    <w:tmpl w:val="BD389F9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3FA55ACC"/>
    <w:multiLevelType w:val="multilevel"/>
    <w:tmpl w:val="7B5A9C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0D44294"/>
    <w:multiLevelType w:val="hybridMultilevel"/>
    <w:tmpl w:val="37925B8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C2C6D4B"/>
    <w:multiLevelType w:val="hybridMultilevel"/>
    <w:tmpl w:val="4CEED9BE"/>
    <w:lvl w:ilvl="0">
      <w:start w:val="4"/>
      <w:numFmt w:val="lowerLetter"/>
      <w:lvlText w:val="%1."/>
      <w:lvlJc w:val="left"/>
      <w:pPr>
        <w:tabs>
          <w:tab w:val="num" w:pos="1050"/>
        </w:tabs>
        <w:ind w:left="1050" w:hanging="360"/>
      </w:pPr>
      <w:rPr>
        <w:rFonts w:hint="default"/>
        <w:u w:val="none"/>
      </w:rPr>
    </w:lvl>
    <w:lvl w:ilvl="1" w:tentative="1">
      <w:start w:val="1"/>
      <w:numFmt w:val="lowerLetter"/>
      <w:lvlText w:val="%2."/>
      <w:lvlJc w:val="left"/>
      <w:pPr>
        <w:tabs>
          <w:tab w:val="num" w:pos="1770"/>
        </w:tabs>
        <w:ind w:left="1770" w:hanging="360"/>
      </w:pPr>
    </w:lvl>
    <w:lvl w:ilvl="2" w:tentative="1">
      <w:start w:val="1"/>
      <w:numFmt w:val="lowerRoman"/>
      <w:lvlText w:val="%3."/>
      <w:lvlJc w:val="right"/>
      <w:pPr>
        <w:tabs>
          <w:tab w:val="num" w:pos="2490"/>
        </w:tabs>
        <w:ind w:left="2490" w:hanging="180"/>
      </w:pPr>
    </w:lvl>
    <w:lvl w:ilvl="3" w:tentative="1">
      <w:start w:val="1"/>
      <w:numFmt w:val="decimal"/>
      <w:lvlText w:val="%4."/>
      <w:lvlJc w:val="left"/>
      <w:pPr>
        <w:tabs>
          <w:tab w:val="num" w:pos="3210"/>
        </w:tabs>
        <w:ind w:left="3210" w:hanging="360"/>
      </w:pPr>
    </w:lvl>
    <w:lvl w:ilvl="4" w:tentative="1">
      <w:start w:val="1"/>
      <w:numFmt w:val="lowerLetter"/>
      <w:lvlText w:val="%5."/>
      <w:lvlJc w:val="left"/>
      <w:pPr>
        <w:tabs>
          <w:tab w:val="num" w:pos="3930"/>
        </w:tabs>
        <w:ind w:left="3930" w:hanging="360"/>
      </w:pPr>
    </w:lvl>
    <w:lvl w:ilvl="5" w:tentative="1">
      <w:start w:val="1"/>
      <w:numFmt w:val="lowerRoman"/>
      <w:lvlText w:val="%6."/>
      <w:lvlJc w:val="right"/>
      <w:pPr>
        <w:tabs>
          <w:tab w:val="num" w:pos="4650"/>
        </w:tabs>
        <w:ind w:left="4650" w:hanging="180"/>
      </w:pPr>
    </w:lvl>
    <w:lvl w:ilvl="6" w:tentative="1">
      <w:start w:val="1"/>
      <w:numFmt w:val="decimal"/>
      <w:lvlText w:val="%7."/>
      <w:lvlJc w:val="left"/>
      <w:pPr>
        <w:tabs>
          <w:tab w:val="num" w:pos="5370"/>
        </w:tabs>
        <w:ind w:left="5370" w:hanging="360"/>
      </w:pPr>
    </w:lvl>
    <w:lvl w:ilvl="7" w:tentative="1">
      <w:start w:val="1"/>
      <w:numFmt w:val="lowerLetter"/>
      <w:lvlText w:val="%8."/>
      <w:lvlJc w:val="left"/>
      <w:pPr>
        <w:tabs>
          <w:tab w:val="num" w:pos="6090"/>
        </w:tabs>
        <w:ind w:left="6090" w:hanging="360"/>
      </w:pPr>
    </w:lvl>
    <w:lvl w:ilvl="8" w:tentative="1">
      <w:start w:val="1"/>
      <w:numFmt w:val="lowerRoman"/>
      <w:lvlText w:val="%9."/>
      <w:lvlJc w:val="right"/>
      <w:pPr>
        <w:tabs>
          <w:tab w:val="num" w:pos="6810"/>
        </w:tabs>
        <w:ind w:left="6810" w:hanging="180"/>
      </w:pPr>
    </w:lvl>
  </w:abstractNum>
  <w:abstractNum w:abstractNumId="15">
    <w:nsid w:val="529151C7"/>
    <w:multiLevelType w:val="singleLevel"/>
    <w:tmpl w:val="0409000F"/>
    <w:lvl w:ilvl="0">
      <w:start w:val="18"/>
      <w:numFmt w:val="decimal"/>
      <w:lvlText w:val="%1."/>
      <w:lvlJc w:val="left"/>
      <w:pPr>
        <w:tabs>
          <w:tab w:val="num" w:pos="360"/>
        </w:tabs>
        <w:ind w:left="360" w:hanging="360"/>
      </w:pPr>
      <w:rPr>
        <w:rFonts w:hint="default"/>
      </w:rPr>
    </w:lvl>
  </w:abstractNum>
  <w:abstractNum w:abstractNumId="16">
    <w:nsid w:val="56CB02FD"/>
    <w:multiLevelType w:val="multilevel"/>
    <w:tmpl w:val="2312F21C"/>
    <w:lvl w:ilvl="0">
      <w:start w:val="1"/>
      <w:numFmt w:val="upperRoman"/>
      <w:pStyle w:val="HeadingI"/>
      <w:lvlText w:val="%1."/>
      <w:lvlJc w:val="left"/>
      <w:pPr>
        <w:tabs>
          <w:tab w:val="num" w:pos="720"/>
        </w:tabs>
        <w:ind w:left="720" w:hanging="720"/>
      </w:pPr>
      <w:rPr>
        <w:rFonts w:hint="default"/>
      </w:rPr>
    </w:lvl>
    <w:lvl w:ilvl="1">
      <w:start w:val="1"/>
      <w:numFmt w:val="none"/>
      <w:lvlJc w:val="left"/>
      <w:pPr>
        <w:tabs>
          <w:tab w:val="num" w:pos="720"/>
        </w:tabs>
        <w:ind w:left="1440" w:hanging="72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5AB47A09"/>
    <w:multiLevelType w:val="hybridMultilevel"/>
    <w:tmpl w:val="195654D4"/>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5C394083"/>
    <w:multiLevelType w:val="multilevel"/>
    <w:tmpl w:val="E2BE1D1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0">
    <w:nsid w:val="61A24199"/>
    <w:multiLevelType w:val="hybridMultilevel"/>
    <w:tmpl w:val="DFEABD6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2F64305"/>
    <w:multiLevelType w:val="hybridMultilevel"/>
    <w:tmpl w:val="A55EB45C"/>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6312032F"/>
    <w:multiLevelType w:val="hybridMultilevel"/>
    <w:tmpl w:val="A6C4362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676B3A9B"/>
    <w:multiLevelType w:val="multilevel"/>
    <w:tmpl w:val="036231B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0216235"/>
    <w:multiLevelType w:val="hybridMultilevel"/>
    <w:tmpl w:val="037AA81C"/>
    <w:lvl w:ilvl="0">
      <w:start w:val="7000"/>
      <w:numFmt w:val="decimal"/>
      <w:lvlText w:val="%1"/>
      <w:lvlJc w:val="left"/>
      <w:pPr>
        <w:ind w:left="1200" w:hanging="48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36549725">
    <w:abstractNumId w:val="18"/>
  </w:num>
  <w:num w:numId="2" w16cid:durableId="997612820">
    <w:abstractNumId w:val="4"/>
  </w:num>
  <w:num w:numId="3" w16cid:durableId="1698115541">
    <w:abstractNumId w:val="1"/>
  </w:num>
  <w:num w:numId="4" w16cid:durableId="1681933516">
    <w:abstractNumId w:val="11"/>
  </w:num>
  <w:num w:numId="5" w16cid:durableId="163321310">
    <w:abstractNumId w:val="3"/>
  </w:num>
  <w:num w:numId="6" w16cid:durableId="1768578692">
    <w:abstractNumId w:val="9"/>
  </w:num>
  <w:num w:numId="7" w16cid:durableId="1552840162">
    <w:abstractNumId w:val="5"/>
  </w:num>
  <w:num w:numId="8" w16cid:durableId="1652832511">
    <w:abstractNumId w:val="12"/>
  </w:num>
  <w:num w:numId="9" w16cid:durableId="1699351025">
    <w:abstractNumId w:val="23"/>
  </w:num>
  <w:num w:numId="10" w16cid:durableId="1954021708">
    <w:abstractNumId w:val="16"/>
  </w:num>
  <w:num w:numId="11" w16cid:durableId="1537742406">
    <w:abstractNumId w:val="0"/>
  </w:num>
  <w:num w:numId="12" w16cid:durableId="1255016266">
    <w:abstractNumId w:val="14"/>
  </w:num>
  <w:num w:numId="13" w16cid:durableId="1444499592">
    <w:abstractNumId w:val="17"/>
  </w:num>
  <w:num w:numId="14" w16cid:durableId="1997297719">
    <w:abstractNumId w:val="21"/>
  </w:num>
  <w:num w:numId="15" w16cid:durableId="438372311">
    <w:abstractNumId w:val="15"/>
  </w:num>
  <w:num w:numId="16" w16cid:durableId="420568631">
    <w:abstractNumId w:val="19"/>
  </w:num>
  <w:num w:numId="17" w16cid:durableId="214850548">
    <w:abstractNumId w:val="6"/>
  </w:num>
  <w:num w:numId="18" w16cid:durableId="1072655628">
    <w:abstractNumId w:val="20"/>
  </w:num>
  <w:num w:numId="19" w16cid:durableId="62265857">
    <w:abstractNumId w:val="13"/>
  </w:num>
  <w:num w:numId="20" w16cid:durableId="1562013958">
    <w:abstractNumId w:val="10"/>
  </w:num>
  <w:num w:numId="21" w16cid:durableId="459542968">
    <w:abstractNumId w:val="24"/>
  </w:num>
  <w:num w:numId="22" w16cid:durableId="831215799">
    <w:abstractNumId w:val="8"/>
  </w:num>
  <w:num w:numId="23" w16cid:durableId="71896211">
    <w:abstractNumId w:val="19"/>
    <w:lvlOverride w:ilvl="0">
      <w:startOverride w:val="1"/>
    </w:lvlOverride>
  </w:num>
  <w:num w:numId="24" w16cid:durableId="1941181118">
    <w:abstractNumId w:val="19"/>
  </w:num>
  <w:num w:numId="25" w16cid:durableId="694036909">
    <w:abstractNumId w:val="19"/>
  </w:num>
  <w:num w:numId="26" w16cid:durableId="1093554007">
    <w:abstractNumId w:val="19"/>
  </w:num>
  <w:num w:numId="27" w16cid:durableId="509031611">
    <w:abstractNumId w:val="19"/>
  </w:num>
  <w:num w:numId="28" w16cid:durableId="1853176934">
    <w:abstractNumId w:val="19"/>
  </w:num>
  <w:num w:numId="29" w16cid:durableId="369841991">
    <w:abstractNumId w:val="19"/>
  </w:num>
  <w:num w:numId="30" w16cid:durableId="520631478">
    <w:abstractNumId w:val="19"/>
  </w:num>
  <w:num w:numId="31" w16cid:durableId="1366369570">
    <w:abstractNumId w:val="19"/>
  </w:num>
  <w:num w:numId="32" w16cid:durableId="1278098190">
    <w:abstractNumId w:val="19"/>
  </w:num>
  <w:num w:numId="33" w16cid:durableId="197814135">
    <w:abstractNumId w:val="19"/>
  </w:num>
  <w:num w:numId="34" w16cid:durableId="945313117">
    <w:abstractNumId w:val="19"/>
  </w:num>
  <w:num w:numId="35" w16cid:durableId="1362390493">
    <w:abstractNumId w:val="19"/>
  </w:num>
  <w:num w:numId="36" w16cid:durableId="1152722917">
    <w:abstractNumId w:val="19"/>
  </w:num>
  <w:num w:numId="37" w16cid:durableId="595943077">
    <w:abstractNumId w:val="19"/>
  </w:num>
  <w:num w:numId="38" w16cid:durableId="1630283075">
    <w:abstractNumId w:val="19"/>
  </w:num>
  <w:num w:numId="39" w16cid:durableId="972755005">
    <w:abstractNumId w:val="19"/>
  </w:num>
  <w:num w:numId="40" w16cid:durableId="24643146">
    <w:abstractNumId w:val="7"/>
  </w:num>
  <w:num w:numId="41" w16cid:durableId="1229538579">
    <w:abstractNumId w:val="22"/>
  </w:num>
  <w:num w:numId="42" w16cid:durableId="1771461982">
    <w:abstractNumId w:val="2"/>
  </w:num>
  <w:num w:numId="43" w16cid:durableId="1070006305">
    <w:abstractNumId w:val="19"/>
  </w:num>
  <w:num w:numId="44" w16cid:durableId="758061083">
    <w:abstractNumId w:val="19"/>
  </w:num>
  <w:num w:numId="45" w16cid:durableId="171639518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288"/>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300"/>
    <w:rsid w:val="00003EA5"/>
    <w:rsid w:val="00006CD8"/>
    <w:rsid w:val="000076B0"/>
    <w:rsid w:val="00007D80"/>
    <w:rsid w:val="00007DCD"/>
    <w:rsid w:val="0001499D"/>
    <w:rsid w:val="000153A7"/>
    <w:rsid w:val="00022CA4"/>
    <w:rsid w:val="0002361D"/>
    <w:rsid w:val="00023BD8"/>
    <w:rsid w:val="000246FA"/>
    <w:rsid w:val="00026906"/>
    <w:rsid w:val="000319CC"/>
    <w:rsid w:val="00042530"/>
    <w:rsid w:val="00043CF7"/>
    <w:rsid w:val="00044C9C"/>
    <w:rsid w:val="00050B01"/>
    <w:rsid w:val="000573EA"/>
    <w:rsid w:val="00057AD3"/>
    <w:rsid w:val="0006151B"/>
    <w:rsid w:val="00063953"/>
    <w:rsid w:val="000676AC"/>
    <w:rsid w:val="00071CDB"/>
    <w:rsid w:val="00072C3F"/>
    <w:rsid w:val="000774AC"/>
    <w:rsid w:val="0008215B"/>
    <w:rsid w:val="00082475"/>
    <w:rsid w:val="000835E4"/>
    <w:rsid w:val="000837F7"/>
    <w:rsid w:val="00083D89"/>
    <w:rsid w:val="00090EE2"/>
    <w:rsid w:val="000927BE"/>
    <w:rsid w:val="00093FBD"/>
    <w:rsid w:val="00094DE4"/>
    <w:rsid w:val="00095419"/>
    <w:rsid w:val="000A12A5"/>
    <w:rsid w:val="000A50B4"/>
    <w:rsid w:val="000A71A1"/>
    <w:rsid w:val="000B008F"/>
    <w:rsid w:val="000B2068"/>
    <w:rsid w:val="000B27F3"/>
    <w:rsid w:val="000B460E"/>
    <w:rsid w:val="000B5847"/>
    <w:rsid w:val="000B7899"/>
    <w:rsid w:val="000B7A1C"/>
    <w:rsid w:val="000C1DAE"/>
    <w:rsid w:val="000C315F"/>
    <w:rsid w:val="000C39FB"/>
    <w:rsid w:val="000C46B6"/>
    <w:rsid w:val="000C4BA6"/>
    <w:rsid w:val="000C543E"/>
    <w:rsid w:val="000C62A2"/>
    <w:rsid w:val="000C7FFC"/>
    <w:rsid w:val="000D1C0B"/>
    <w:rsid w:val="000D1E49"/>
    <w:rsid w:val="000D1E71"/>
    <w:rsid w:val="000D3738"/>
    <w:rsid w:val="000D4E80"/>
    <w:rsid w:val="000E20CC"/>
    <w:rsid w:val="000E3C15"/>
    <w:rsid w:val="000E3CF4"/>
    <w:rsid w:val="000F2322"/>
    <w:rsid w:val="000F44B8"/>
    <w:rsid w:val="00106EE1"/>
    <w:rsid w:val="00111C1A"/>
    <w:rsid w:val="00113CC5"/>
    <w:rsid w:val="00113D93"/>
    <w:rsid w:val="00114EA0"/>
    <w:rsid w:val="00115AB4"/>
    <w:rsid w:val="0011663D"/>
    <w:rsid w:val="00116F79"/>
    <w:rsid w:val="00121DD5"/>
    <w:rsid w:val="00122F47"/>
    <w:rsid w:val="00123AC1"/>
    <w:rsid w:val="001311EB"/>
    <w:rsid w:val="00134914"/>
    <w:rsid w:val="00135B75"/>
    <w:rsid w:val="001414D3"/>
    <w:rsid w:val="00142964"/>
    <w:rsid w:val="00146019"/>
    <w:rsid w:val="0015791F"/>
    <w:rsid w:val="00160303"/>
    <w:rsid w:val="0016212C"/>
    <w:rsid w:val="0016613E"/>
    <w:rsid w:val="0016739A"/>
    <w:rsid w:val="00173480"/>
    <w:rsid w:val="00174782"/>
    <w:rsid w:val="001815EB"/>
    <w:rsid w:val="00195651"/>
    <w:rsid w:val="00196FF0"/>
    <w:rsid w:val="001974DD"/>
    <w:rsid w:val="001A0B33"/>
    <w:rsid w:val="001A2EF5"/>
    <w:rsid w:val="001A3731"/>
    <w:rsid w:val="001A3D40"/>
    <w:rsid w:val="001A4392"/>
    <w:rsid w:val="001A4772"/>
    <w:rsid w:val="001A6810"/>
    <w:rsid w:val="001A6EE4"/>
    <w:rsid w:val="001B011F"/>
    <w:rsid w:val="001B1877"/>
    <w:rsid w:val="001B4619"/>
    <w:rsid w:val="001B57ED"/>
    <w:rsid w:val="001B6536"/>
    <w:rsid w:val="001B7AA7"/>
    <w:rsid w:val="001C5A6E"/>
    <w:rsid w:val="001C6100"/>
    <w:rsid w:val="001C6AA5"/>
    <w:rsid w:val="001D24CD"/>
    <w:rsid w:val="001D4FBE"/>
    <w:rsid w:val="001D55A5"/>
    <w:rsid w:val="001D61F5"/>
    <w:rsid w:val="001D684B"/>
    <w:rsid w:val="001D79D6"/>
    <w:rsid w:val="001E0ED8"/>
    <w:rsid w:val="001E2E94"/>
    <w:rsid w:val="001E400A"/>
    <w:rsid w:val="001E5EC8"/>
    <w:rsid w:val="001E691D"/>
    <w:rsid w:val="001F3348"/>
    <w:rsid w:val="001F3CBD"/>
    <w:rsid w:val="001F43A2"/>
    <w:rsid w:val="001F4AB6"/>
    <w:rsid w:val="001F69A6"/>
    <w:rsid w:val="001F7991"/>
    <w:rsid w:val="002033B8"/>
    <w:rsid w:val="002054EC"/>
    <w:rsid w:val="00210EAE"/>
    <w:rsid w:val="00211EBF"/>
    <w:rsid w:val="00212F2C"/>
    <w:rsid w:val="00213EE5"/>
    <w:rsid w:val="002231CE"/>
    <w:rsid w:val="00225490"/>
    <w:rsid w:val="00226BC6"/>
    <w:rsid w:val="00226EE1"/>
    <w:rsid w:val="00227F80"/>
    <w:rsid w:val="00231172"/>
    <w:rsid w:val="0023151C"/>
    <w:rsid w:val="00232650"/>
    <w:rsid w:val="002353ED"/>
    <w:rsid w:val="00240BE1"/>
    <w:rsid w:val="0024107F"/>
    <w:rsid w:val="002431C0"/>
    <w:rsid w:val="0024343F"/>
    <w:rsid w:val="00250CB2"/>
    <w:rsid w:val="0025236D"/>
    <w:rsid w:val="0025529F"/>
    <w:rsid w:val="00255C7E"/>
    <w:rsid w:val="00256C03"/>
    <w:rsid w:val="00257143"/>
    <w:rsid w:val="0026035B"/>
    <w:rsid w:val="002604FA"/>
    <w:rsid w:val="00264862"/>
    <w:rsid w:val="002731FB"/>
    <w:rsid w:val="00274102"/>
    <w:rsid w:val="00274A48"/>
    <w:rsid w:val="0028086A"/>
    <w:rsid w:val="002809EA"/>
    <w:rsid w:val="00281610"/>
    <w:rsid w:val="00282879"/>
    <w:rsid w:val="00283294"/>
    <w:rsid w:val="00285DC6"/>
    <w:rsid w:val="002863D3"/>
    <w:rsid w:val="002903A7"/>
    <w:rsid w:val="0029128A"/>
    <w:rsid w:val="0029179B"/>
    <w:rsid w:val="0029189B"/>
    <w:rsid w:val="002947AE"/>
    <w:rsid w:val="00295421"/>
    <w:rsid w:val="002963AF"/>
    <w:rsid w:val="002A073A"/>
    <w:rsid w:val="002A3F78"/>
    <w:rsid w:val="002A59E9"/>
    <w:rsid w:val="002A5A3C"/>
    <w:rsid w:val="002A6EA1"/>
    <w:rsid w:val="002B0AAF"/>
    <w:rsid w:val="002B7F0F"/>
    <w:rsid w:val="002C0F0F"/>
    <w:rsid w:val="002C14DA"/>
    <w:rsid w:val="002C21C9"/>
    <w:rsid w:val="002C39BD"/>
    <w:rsid w:val="002C47E6"/>
    <w:rsid w:val="002C6719"/>
    <w:rsid w:val="002C67FD"/>
    <w:rsid w:val="002D1E63"/>
    <w:rsid w:val="002D4A51"/>
    <w:rsid w:val="002D4ED0"/>
    <w:rsid w:val="002D556E"/>
    <w:rsid w:val="002D71B0"/>
    <w:rsid w:val="002E0138"/>
    <w:rsid w:val="002E1CE1"/>
    <w:rsid w:val="002E2561"/>
    <w:rsid w:val="002E26BC"/>
    <w:rsid w:val="002E3331"/>
    <w:rsid w:val="002E4D03"/>
    <w:rsid w:val="002E60FC"/>
    <w:rsid w:val="002E7B37"/>
    <w:rsid w:val="002F467C"/>
    <w:rsid w:val="002F57DC"/>
    <w:rsid w:val="002F58FD"/>
    <w:rsid w:val="00300495"/>
    <w:rsid w:val="00303163"/>
    <w:rsid w:val="00304CE0"/>
    <w:rsid w:val="003051CD"/>
    <w:rsid w:val="003053AD"/>
    <w:rsid w:val="003065AA"/>
    <w:rsid w:val="00307438"/>
    <w:rsid w:val="003159EF"/>
    <w:rsid w:val="00315BE4"/>
    <w:rsid w:val="003176D7"/>
    <w:rsid w:val="003220C9"/>
    <w:rsid w:val="00323BBF"/>
    <w:rsid w:val="0032449D"/>
    <w:rsid w:val="00325F79"/>
    <w:rsid w:val="003261C1"/>
    <w:rsid w:val="00326AA0"/>
    <w:rsid w:val="003274F2"/>
    <w:rsid w:val="00327E92"/>
    <w:rsid w:val="00330F48"/>
    <w:rsid w:val="003316DF"/>
    <w:rsid w:val="003316EA"/>
    <w:rsid w:val="00331AD3"/>
    <w:rsid w:val="00334A01"/>
    <w:rsid w:val="00335708"/>
    <w:rsid w:val="003401E4"/>
    <w:rsid w:val="00340B72"/>
    <w:rsid w:val="00340CBC"/>
    <w:rsid w:val="0034533A"/>
    <w:rsid w:val="0034732B"/>
    <w:rsid w:val="00352314"/>
    <w:rsid w:val="003524BF"/>
    <w:rsid w:val="00355DEB"/>
    <w:rsid w:val="00360B89"/>
    <w:rsid w:val="00361405"/>
    <w:rsid w:val="00362696"/>
    <w:rsid w:val="00362D55"/>
    <w:rsid w:val="00362DBC"/>
    <w:rsid w:val="00363345"/>
    <w:rsid w:val="00367257"/>
    <w:rsid w:val="00373B2B"/>
    <w:rsid w:val="00373EB7"/>
    <w:rsid w:val="003742B1"/>
    <w:rsid w:val="00380C93"/>
    <w:rsid w:val="0038153C"/>
    <w:rsid w:val="003818AD"/>
    <w:rsid w:val="00383D41"/>
    <w:rsid w:val="00390412"/>
    <w:rsid w:val="00393419"/>
    <w:rsid w:val="003942EF"/>
    <w:rsid w:val="00395AEC"/>
    <w:rsid w:val="003A44C0"/>
    <w:rsid w:val="003A5588"/>
    <w:rsid w:val="003A6090"/>
    <w:rsid w:val="003A71AB"/>
    <w:rsid w:val="003B0FED"/>
    <w:rsid w:val="003B71D3"/>
    <w:rsid w:val="003C0DA5"/>
    <w:rsid w:val="003C451D"/>
    <w:rsid w:val="003D0946"/>
    <w:rsid w:val="003D20B5"/>
    <w:rsid w:val="003D4760"/>
    <w:rsid w:val="003D4A2F"/>
    <w:rsid w:val="003D4CBC"/>
    <w:rsid w:val="003D7FD0"/>
    <w:rsid w:val="003E00F4"/>
    <w:rsid w:val="003E2C4F"/>
    <w:rsid w:val="003E47F7"/>
    <w:rsid w:val="003E4883"/>
    <w:rsid w:val="003E50A4"/>
    <w:rsid w:val="003E6226"/>
    <w:rsid w:val="003E6612"/>
    <w:rsid w:val="003F18D4"/>
    <w:rsid w:val="003F5DC6"/>
    <w:rsid w:val="003F7673"/>
    <w:rsid w:val="003F7C91"/>
    <w:rsid w:val="00403EE4"/>
    <w:rsid w:val="00407213"/>
    <w:rsid w:val="00411514"/>
    <w:rsid w:val="00411686"/>
    <w:rsid w:val="004175C5"/>
    <w:rsid w:val="00417AED"/>
    <w:rsid w:val="00417D44"/>
    <w:rsid w:val="00431C42"/>
    <w:rsid w:val="00432E85"/>
    <w:rsid w:val="00434854"/>
    <w:rsid w:val="00441354"/>
    <w:rsid w:val="00442936"/>
    <w:rsid w:val="004432FC"/>
    <w:rsid w:val="00443FDE"/>
    <w:rsid w:val="00446A68"/>
    <w:rsid w:val="00447B44"/>
    <w:rsid w:val="0045059B"/>
    <w:rsid w:val="00450746"/>
    <w:rsid w:val="00450DD4"/>
    <w:rsid w:val="0045316C"/>
    <w:rsid w:val="00455EC3"/>
    <w:rsid w:val="00463099"/>
    <w:rsid w:val="00464800"/>
    <w:rsid w:val="0046540C"/>
    <w:rsid w:val="004672C4"/>
    <w:rsid w:val="00472E25"/>
    <w:rsid w:val="00474BA4"/>
    <w:rsid w:val="00480176"/>
    <w:rsid w:val="00484ED2"/>
    <w:rsid w:val="00485A1D"/>
    <w:rsid w:val="00486863"/>
    <w:rsid w:val="00492641"/>
    <w:rsid w:val="00493156"/>
    <w:rsid w:val="004942B7"/>
    <w:rsid w:val="00496442"/>
    <w:rsid w:val="004978A8"/>
    <w:rsid w:val="004A0AD7"/>
    <w:rsid w:val="004A3AC1"/>
    <w:rsid w:val="004A4AC6"/>
    <w:rsid w:val="004B2854"/>
    <w:rsid w:val="004B5E8E"/>
    <w:rsid w:val="004B6FDB"/>
    <w:rsid w:val="004C0474"/>
    <w:rsid w:val="004C4B50"/>
    <w:rsid w:val="004C4C39"/>
    <w:rsid w:val="004C4C67"/>
    <w:rsid w:val="004C6A35"/>
    <w:rsid w:val="004D4E90"/>
    <w:rsid w:val="004D65A8"/>
    <w:rsid w:val="004D7522"/>
    <w:rsid w:val="004D7D5A"/>
    <w:rsid w:val="004E18DE"/>
    <w:rsid w:val="004E3102"/>
    <w:rsid w:val="004E3269"/>
    <w:rsid w:val="004E3396"/>
    <w:rsid w:val="004E412C"/>
    <w:rsid w:val="004E4A59"/>
    <w:rsid w:val="004E4DBA"/>
    <w:rsid w:val="004F0634"/>
    <w:rsid w:val="004F0E4C"/>
    <w:rsid w:val="004F6E13"/>
    <w:rsid w:val="004F7890"/>
    <w:rsid w:val="004F7EEE"/>
    <w:rsid w:val="00500A97"/>
    <w:rsid w:val="00500CFF"/>
    <w:rsid w:val="00500F78"/>
    <w:rsid w:val="0050230E"/>
    <w:rsid w:val="00502DE8"/>
    <w:rsid w:val="00504D8C"/>
    <w:rsid w:val="00507A37"/>
    <w:rsid w:val="00507B69"/>
    <w:rsid w:val="005111C5"/>
    <w:rsid w:val="00514A96"/>
    <w:rsid w:val="00515079"/>
    <w:rsid w:val="00517DEE"/>
    <w:rsid w:val="00517F14"/>
    <w:rsid w:val="00521DA2"/>
    <w:rsid w:val="0052241F"/>
    <w:rsid w:val="00524BE7"/>
    <w:rsid w:val="005267FE"/>
    <w:rsid w:val="00533F77"/>
    <w:rsid w:val="005400A9"/>
    <w:rsid w:val="005450C4"/>
    <w:rsid w:val="00545CED"/>
    <w:rsid w:val="00546B4D"/>
    <w:rsid w:val="00552D14"/>
    <w:rsid w:val="00556843"/>
    <w:rsid w:val="005614B9"/>
    <w:rsid w:val="00563C19"/>
    <w:rsid w:val="00564799"/>
    <w:rsid w:val="005671C7"/>
    <w:rsid w:val="00571665"/>
    <w:rsid w:val="00572576"/>
    <w:rsid w:val="00575CCA"/>
    <w:rsid w:val="00583D77"/>
    <w:rsid w:val="00586D94"/>
    <w:rsid w:val="00595FC2"/>
    <w:rsid w:val="005A1597"/>
    <w:rsid w:val="005A3719"/>
    <w:rsid w:val="005A4AB1"/>
    <w:rsid w:val="005B001A"/>
    <w:rsid w:val="005B1AD5"/>
    <w:rsid w:val="005B2CD9"/>
    <w:rsid w:val="005B4529"/>
    <w:rsid w:val="005B46D8"/>
    <w:rsid w:val="005C114D"/>
    <w:rsid w:val="005C476E"/>
    <w:rsid w:val="005C4F5D"/>
    <w:rsid w:val="005C680F"/>
    <w:rsid w:val="005C7BA8"/>
    <w:rsid w:val="005D1C82"/>
    <w:rsid w:val="005D4CFF"/>
    <w:rsid w:val="005D6C49"/>
    <w:rsid w:val="005E0EAF"/>
    <w:rsid w:val="005E3707"/>
    <w:rsid w:val="005E4120"/>
    <w:rsid w:val="005E532E"/>
    <w:rsid w:val="005F53C5"/>
    <w:rsid w:val="005F54A3"/>
    <w:rsid w:val="005F6E31"/>
    <w:rsid w:val="005F71B5"/>
    <w:rsid w:val="005F78B3"/>
    <w:rsid w:val="005F7B4E"/>
    <w:rsid w:val="005F7EA5"/>
    <w:rsid w:val="00600D4E"/>
    <w:rsid w:val="00601FDE"/>
    <w:rsid w:val="006036D2"/>
    <w:rsid w:val="0060462E"/>
    <w:rsid w:val="00606011"/>
    <w:rsid w:val="00606926"/>
    <w:rsid w:val="00607645"/>
    <w:rsid w:val="00607986"/>
    <w:rsid w:val="00612179"/>
    <w:rsid w:val="00613C75"/>
    <w:rsid w:val="00614F87"/>
    <w:rsid w:val="00617321"/>
    <w:rsid w:val="00620CD0"/>
    <w:rsid w:val="006215C4"/>
    <w:rsid w:val="00621E4B"/>
    <w:rsid w:val="006228CD"/>
    <w:rsid w:val="00623A44"/>
    <w:rsid w:val="00623CD5"/>
    <w:rsid w:val="00625E61"/>
    <w:rsid w:val="006305FD"/>
    <w:rsid w:val="006310B2"/>
    <w:rsid w:val="0063127B"/>
    <w:rsid w:val="0063601E"/>
    <w:rsid w:val="00637656"/>
    <w:rsid w:val="00637E30"/>
    <w:rsid w:val="00640DA5"/>
    <w:rsid w:val="0064142E"/>
    <w:rsid w:val="0064675A"/>
    <w:rsid w:val="0065122C"/>
    <w:rsid w:val="00652137"/>
    <w:rsid w:val="00655540"/>
    <w:rsid w:val="00655ED0"/>
    <w:rsid w:val="00656085"/>
    <w:rsid w:val="00663F9D"/>
    <w:rsid w:val="00664471"/>
    <w:rsid w:val="00665157"/>
    <w:rsid w:val="00670598"/>
    <w:rsid w:val="006723B6"/>
    <w:rsid w:val="00677334"/>
    <w:rsid w:val="00682D0E"/>
    <w:rsid w:val="006851FC"/>
    <w:rsid w:val="00685A86"/>
    <w:rsid w:val="00690167"/>
    <w:rsid w:val="006B570B"/>
    <w:rsid w:val="006B5EE8"/>
    <w:rsid w:val="006B71AE"/>
    <w:rsid w:val="006C15BC"/>
    <w:rsid w:val="006C19F5"/>
    <w:rsid w:val="006C3A37"/>
    <w:rsid w:val="006C53D5"/>
    <w:rsid w:val="006C6094"/>
    <w:rsid w:val="006D03AF"/>
    <w:rsid w:val="006D1481"/>
    <w:rsid w:val="006D14F7"/>
    <w:rsid w:val="006D4074"/>
    <w:rsid w:val="006D5293"/>
    <w:rsid w:val="006D631C"/>
    <w:rsid w:val="006E31CE"/>
    <w:rsid w:val="006E52CE"/>
    <w:rsid w:val="006E583A"/>
    <w:rsid w:val="006F5A48"/>
    <w:rsid w:val="006F6853"/>
    <w:rsid w:val="006F6D8B"/>
    <w:rsid w:val="007036B9"/>
    <w:rsid w:val="007037D5"/>
    <w:rsid w:val="0070476F"/>
    <w:rsid w:val="00707B7E"/>
    <w:rsid w:val="00712794"/>
    <w:rsid w:val="00713BBB"/>
    <w:rsid w:val="00716F4A"/>
    <w:rsid w:val="00722080"/>
    <w:rsid w:val="00722085"/>
    <w:rsid w:val="00724E7E"/>
    <w:rsid w:val="00725C2B"/>
    <w:rsid w:val="007310ED"/>
    <w:rsid w:val="007325E9"/>
    <w:rsid w:val="00732C70"/>
    <w:rsid w:val="00733F65"/>
    <w:rsid w:val="00737D11"/>
    <w:rsid w:val="00740975"/>
    <w:rsid w:val="00741B57"/>
    <w:rsid w:val="00741ED1"/>
    <w:rsid w:val="00743281"/>
    <w:rsid w:val="00745D09"/>
    <w:rsid w:val="0075096C"/>
    <w:rsid w:val="00750F43"/>
    <w:rsid w:val="00753141"/>
    <w:rsid w:val="00756A0C"/>
    <w:rsid w:val="00760928"/>
    <w:rsid w:val="00762E6C"/>
    <w:rsid w:val="00765345"/>
    <w:rsid w:val="007653D5"/>
    <w:rsid w:val="0077320A"/>
    <w:rsid w:val="00773236"/>
    <w:rsid w:val="0077748B"/>
    <w:rsid w:val="00780438"/>
    <w:rsid w:val="0078049C"/>
    <w:rsid w:val="00782009"/>
    <w:rsid w:val="00782780"/>
    <w:rsid w:val="0078518B"/>
    <w:rsid w:val="007927C2"/>
    <w:rsid w:val="007947FA"/>
    <w:rsid w:val="007957E0"/>
    <w:rsid w:val="007A2955"/>
    <w:rsid w:val="007A368B"/>
    <w:rsid w:val="007A36D5"/>
    <w:rsid w:val="007A45EB"/>
    <w:rsid w:val="007A46CC"/>
    <w:rsid w:val="007B062A"/>
    <w:rsid w:val="007B088C"/>
    <w:rsid w:val="007B3CBE"/>
    <w:rsid w:val="007B4499"/>
    <w:rsid w:val="007C0EBE"/>
    <w:rsid w:val="007C3A16"/>
    <w:rsid w:val="007D1B13"/>
    <w:rsid w:val="007D1C9B"/>
    <w:rsid w:val="007D2053"/>
    <w:rsid w:val="007D4556"/>
    <w:rsid w:val="007E4872"/>
    <w:rsid w:val="007E6249"/>
    <w:rsid w:val="007F2B40"/>
    <w:rsid w:val="007F4BAF"/>
    <w:rsid w:val="007F5A07"/>
    <w:rsid w:val="007F5FED"/>
    <w:rsid w:val="007F7946"/>
    <w:rsid w:val="00805F21"/>
    <w:rsid w:val="00807B2E"/>
    <w:rsid w:val="00811069"/>
    <w:rsid w:val="00814563"/>
    <w:rsid w:val="008173AD"/>
    <w:rsid w:val="0082078A"/>
    <w:rsid w:val="00820A3E"/>
    <w:rsid w:val="00830912"/>
    <w:rsid w:val="00840540"/>
    <w:rsid w:val="008416C3"/>
    <w:rsid w:val="0084541F"/>
    <w:rsid w:val="008468E3"/>
    <w:rsid w:val="00853C10"/>
    <w:rsid w:val="0085454C"/>
    <w:rsid w:val="0085592E"/>
    <w:rsid w:val="00857820"/>
    <w:rsid w:val="00860BE3"/>
    <w:rsid w:val="00861BF9"/>
    <w:rsid w:val="00865BCB"/>
    <w:rsid w:val="0086662D"/>
    <w:rsid w:val="00870457"/>
    <w:rsid w:val="0087287B"/>
    <w:rsid w:val="00872F04"/>
    <w:rsid w:val="008733C9"/>
    <w:rsid w:val="00874087"/>
    <w:rsid w:val="008748EF"/>
    <w:rsid w:val="0087526A"/>
    <w:rsid w:val="00876435"/>
    <w:rsid w:val="0088072B"/>
    <w:rsid w:val="00881B06"/>
    <w:rsid w:val="008845E5"/>
    <w:rsid w:val="00890F97"/>
    <w:rsid w:val="008940B1"/>
    <w:rsid w:val="00896350"/>
    <w:rsid w:val="00896638"/>
    <w:rsid w:val="008A00F0"/>
    <w:rsid w:val="008A012B"/>
    <w:rsid w:val="008A0274"/>
    <w:rsid w:val="008A2F18"/>
    <w:rsid w:val="008A2F6A"/>
    <w:rsid w:val="008A58B9"/>
    <w:rsid w:val="008A749D"/>
    <w:rsid w:val="008A7B91"/>
    <w:rsid w:val="008B022D"/>
    <w:rsid w:val="008B06CF"/>
    <w:rsid w:val="008B2D07"/>
    <w:rsid w:val="008B5796"/>
    <w:rsid w:val="008B5BBB"/>
    <w:rsid w:val="008B6573"/>
    <w:rsid w:val="008B65FA"/>
    <w:rsid w:val="008B6977"/>
    <w:rsid w:val="008B73C1"/>
    <w:rsid w:val="008C1CB7"/>
    <w:rsid w:val="008C4FCD"/>
    <w:rsid w:val="008C523A"/>
    <w:rsid w:val="008C6C75"/>
    <w:rsid w:val="008D0125"/>
    <w:rsid w:val="008D3EE7"/>
    <w:rsid w:val="008D68A1"/>
    <w:rsid w:val="008E1DB6"/>
    <w:rsid w:val="008E4DBA"/>
    <w:rsid w:val="008F399D"/>
    <w:rsid w:val="008F3DFD"/>
    <w:rsid w:val="008F43B0"/>
    <w:rsid w:val="008F57A9"/>
    <w:rsid w:val="009032B5"/>
    <w:rsid w:val="00904105"/>
    <w:rsid w:val="0090419B"/>
    <w:rsid w:val="00904338"/>
    <w:rsid w:val="009046DD"/>
    <w:rsid w:val="009048A7"/>
    <w:rsid w:val="00911EEF"/>
    <w:rsid w:val="00914977"/>
    <w:rsid w:val="00916D45"/>
    <w:rsid w:val="00917535"/>
    <w:rsid w:val="00917DE0"/>
    <w:rsid w:val="0092071D"/>
    <w:rsid w:val="00920AD9"/>
    <w:rsid w:val="009232F2"/>
    <w:rsid w:val="009238FF"/>
    <w:rsid w:val="00924CAC"/>
    <w:rsid w:val="009252B9"/>
    <w:rsid w:val="00925685"/>
    <w:rsid w:val="009279DB"/>
    <w:rsid w:val="00931847"/>
    <w:rsid w:val="00931A26"/>
    <w:rsid w:val="00931E3C"/>
    <w:rsid w:val="009362F9"/>
    <w:rsid w:val="00937988"/>
    <w:rsid w:val="009406CD"/>
    <w:rsid w:val="0094332C"/>
    <w:rsid w:val="00944896"/>
    <w:rsid w:val="009450C0"/>
    <w:rsid w:val="00947E2C"/>
    <w:rsid w:val="00950566"/>
    <w:rsid w:val="00950C88"/>
    <w:rsid w:val="009519C8"/>
    <w:rsid w:val="00952587"/>
    <w:rsid w:val="00953BD6"/>
    <w:rsid w:val="00955978"/>
    <w:rsid w:val="00960251"/>
    <w:rsid w:val="00960381"/>
    <w:rsid w:val="00960421"/>
    <w:rsid w:val="00963634"/>
    <w:rsid w:val="00965743"/>
    <w:rsid w:val="00967426"/>
    <w:rsid w:val="00970DF6"/>
    <w:rsid w:val="00974CF3"/>
    <w:rsid w:val="0097571F"/>
    <w:rsid w:val="00975769"/>
    <w:rsid w:val="00976E93"/>
    <w:rsid w:val="009843E4"/>
    <w:rsid w:val="009852F9"/>
    <w:rsid w:val="00990B5A"/>
    <w:rsid w:val="00991ADA"/>
    <w:rsid w:val="00993693"/>
    <w:rsid w:val="00994488"/>
    <w:rsid w:val="009944BF"/>
    <w:rsid w:val="0099463D"/>
    <w:rsid w:val="009972E8"/>
    <w:rsid w:val="009A299D"/>
    <w:rsid w:val="009A4C25"/>
    <w:rsid w:val="009A5B86"/>
    <w:rsid w:val="009B30B6"/>
    <w:rsid w:val="009B5EAF"/>
    <w:rsid w:val="009C54FE"/>
    <w:rsid w:val="009D3BBE"/>
    <w:rsid w:val="009E2B99"/>
    <w:rsid w:val="009E4DD7"/>
    <w:rsid w:val="009E51E1"/>
    <w:rsid w:val="009F0300"/>
    <w:rsid w:val="009F1ED7"/>
    <w:rsid w:val="009F2059"/>
    <w:rsid w:val="009F329F"/>
    <w:rsid w:val="009F38A2"/>
    <w:rsid w:val="009F4797"/>
    <w:rsid w:val="009F7CDD"/>
    <w:rsid w:val="00A00204"/>
    <w:rsid w:val="00A04C06"/>
    <w:rsid w:val="00A073C8"/>
    <w:rsid w:val="00A0787B"/>
    <w:rsid w:val="00A07A6B"/>
    <w:rsid w:val="00A12DDB"/>
    <w:rsid w:val="00A13E87"/>
    <w:rsid w:val="00A2131E"/>
    <w:rsid w:val="00A215CA"/>
    <w:rsid w:val="00A22CF2"/>
    <w:rsid w:val="00A24C81"/>
    <w:rsid w:val="00A253A4"/>
    <w:rsid w:val="00A25D04"/>
    <w:rsid w:val="00A25ECA"/>
    <w:rsid w:val="00A27AF0"/>
    <w:rsid w:val="00A31662"/>
    <w:rsid w:val="00A3406A"/>
    <w:rsid w:val="00A340DE"/>
    <w:rsid w:val="00A37D91"/>
    <w:rsid w:val="00A40AC4"/>
    <w:rsid w:val="00A414DB"/>
    <w:rsid w:val="00A4386C"/>
    <w:rsid w:val="00A440BF"/>
    <w:rsid w:val="00A44165"/>
    <w:rsid w:val="00A46128"/>
    <w:rsid w:val="00A509EC"/>
    <w:rsid w:val="00A53522"/>
    <w:rsid w:val="00A565E1"/>
    <w:rsid w:val="00A57C4A"/>
    <w:rsid w:val="00A61F0A"/>
    <w:rsid w:val="00A638E4"/>
    <w:rsid w:val="00A64085"/>
    <w:rsid w:val="00A66DEF"/>
    <w:rsid w:val="00A67DBF"/>
    <w:rsid w:val="00A722CD"/>
    <w:rsid w:val="00A7265A"/>
    <w:rsid w:val="00A73B7F"/>
    <w:rsid w:val="00A75451"/>
    <w:rsid w:val="00A80403"/>
    <w:rsid w:val="00A836A5"/>
    <w:rsid w:val="00A86234"/>
    <w:rsid w:val="00A8702D"/>
    <w:rsid w:val="00A879D5"/>
    <w:rsid w:val="00A93018"/>
    <w:rsid w:val="00A94AFF"/>
    <w:rsid w:val="00AA0DD6"/>
    <w:rsid w:val="00AA146E"/>
    <w:rsid w:val="00AA17CB"/>
    <w:rsid w:val="00AA2C2F"/>
    <w:rsid w:val="00AA3176"/>
    <w:rsid w:val="00AA7F5B"/>
    <w:rsid w:val="00AB2BC3"/>
    <w:rsid w:val="00AB51B5"/>
    <w:rsid w:val="00AB533E"/>
    <w:rsid w:val="00AC0FBD"/>
    <w:rsid w:val="00AC4CDB"/>
    <w:rsid w:val="00AC56E6"/>
    <w:rsid w:val="00AC799A"/>
    <w:rsid w:val="00AD06E6"/>
    <w:rsid w:val="00AD0DF9"/>
    <w:rsid w:val="00AD1222"/>
    <w:rsid w:val="00AD2091"/>
    <w:rsid w:val="00AD3589"/>
    <w:rsid w:val="00AD56F5"/>
    <w:rsid w:val="00AE1483"/>
    <w:rsid w:val="00AF16D7"/>
    <w:rsid w:val="00AF6587"/>
    <w:rsid w:val="00AF7994"/>
    <w:rsid w:val="00B001EA"/>
    <w:rsid w:val="00B01241"/>
    <w:rsid w:val="00B01525"/>
    <w:rsid w:val="00B023EF"/>
    <w:rsid w:val="00B027BA"/>
    <w:rsid w:val="00B0373F"/>
    <w:rsid w:val="00B139CD"/>
    <w:rsid w:val="00B151D1"/>
    <w:rsid w:val="00B170EC"/>
    <w:rsid w:val="00B2029D"/>
    <w:rsid w:val="00B24028"/>
    <w:rsid w:val="00B24114"/>
    <w:rsid w:val="00B246C2"/>
    <w:rsid w:val="00B24872"/>
    <w:rsid w:val="00B25E4D"/>
    <w:rsid w:val="00B305ED"/>
    <w:rsid w:val="00B37D34"/>
    <w:rsid w:val="00B4111F"/>
    <w:rsid w:val="00B413A8"/>
    <w:rsid w:val="00B42DEC"/>
    <w:rsid w:val="00B43EA0"/>
    <w:rsid w:val="00B45E1E"/>
    <w:rsid w:val="00B46979"/>
    <w:rsid w:val="00B5150B"/>
    <w:rsid w:val="00B52AD9"/>
    <w:rsid w:val="00B614C1"/>
    <w:rsid w:val="00B62D55"/>
    <w:rsid w:val="00B7095A"/>
    <w:rsid w:val="00B74A59"/>
    <w:rsid w:val="00B75574"/>
    <w:rsid w:val="00B75E58"/>
    <w:rsid w:val="00B766B4"/>
    <w:rsid w:val="00B81189"/>
    <w:rsid w:val="00B819D7"/>
    <w:rsid w:val="00B84058"/>
    <w:rsid w:val="00B84C34"/>
    <w:rsid w:val="00B8583A"/>
    <w:rsid w:val="00B900AA"/>
    <w:rsid w:val="00B90411"/>
    <w:rsid w:val="00BA464F"/>
    <w:rsid w:val="00BA4979"/>
    <w:rsid w:val="00BA61F2"/>
    <w:rsid w:val="00BA6DC8"/>
    <w:rsid w:val="00BB01C8"/>
    <w:rsid w:val="00BB1553"/>
    <w:rsid w:val="00BB47DA"/>
    <w:rsid w:val="00BB4DD6"/>
    <w:rsid w:val="00BC1BA3"/>
    <w:rsid w:val="00BC4952"/>
    <w:rsid w:val="00BC5EEF"/>
    <w:rsid w:val="00BD44A3"/>
    <w:rsid w:val="00BD4504"/>
    <w:rsid w:val="00BD4F18"/>
    <w:rsid w:val="00BD74D5"/>
    <w:rsid w:val="00BE32D5"/>
    <w:rsid w:val="00BE388D"/>
    <w:rsid w:val="00BE40F7"/>
    <w:rsid w:val="00BE5EA6"/>
    <w:rsid w:val="00BE724A"/>
    <w:rsid w:val="00BF4E48"/>
    <w:rsid w:val="00BF5CC2"/>
    <w:rsid w:val="00BF5F19"/>
    <w:rsid w:val="00C034A1"/>
    <w:rsid w:val="00C05BE6"/>
    <w:rsid w:val="00C15078"/>
    <w:rsid w:val="00C160E5"/>
    <w:rsid w:val="00C230AA"/>
    <w:rsid w:val="00C2582B"/>
    <w:rsid w:val="00C36F36"/>
    <w:rsid w:val="00C4099A"/>
    <w:rsid w:val="00C40E13"/>
    <w:rsid w:val="00C4131B"/>
    <w:rsid w:val="00C41478"/>
    <w:rsid w:val="00C44012"/>
    <w:rsid w:val="00C443F1"/>
    <w:rsid w:val="00C46C74"/>
    <w:rsid w:val="00C46D35"/>
    <w:rsid w:val="00C476C5"/>
    <w:rsid w:val="00C5115D"/>
    <w:rsid w:val="00C51480"/>
    <w:rsid w:val="00C5455F"/>
    <w:rsid w:val="00C60E50"/>
    <w:rsid w:val="00C6212A"/>
    <w:rsid w:val="00C63FFF"/>
    <w:rsid w:val="00C6548C"/>
    <w:rsid w:val="00C65F1E"/>
    <w:rsid w:val="00C66072"/>
    <w:rsid w:val="00C72536"/>
    <w:rsid w:val="00C72F44"/>
    <w:rsid w:val="00C7426D"/>
    <w:rsid w:val="00C77A38"/>
    <w:rsid w:val="00C81269"/>
    <w:rsid w:val="00C81993"/>
    <w:rsid w:val="00C877A2"/>
    <w:rsid w:val="00C9099E"/>
    <w:rsid w:val="00C91526"/>
    <w:rsid w:val="00C92A22"/>
    <w:rsid w:val="00C97364"/>
    <w:rsid w:val="00CA11E6"/>
    <w:rsid w:val="00CA1D22"/>
    <w:rsid w:val="00CA220A"/>
    <w:rsid w:val="00CA41E0"/>
    <w:rsid w:val="00CA47DB"/>
    <w:rsid w:val="00CA5753"/>
    <w:rsid w:val="00CA7ADA"/>
    <w:rsid w:val="00CA7B34"/>
    <w:rsid w:val="00CB6986"/>
    <w:rsid w:val="00CC021C"/>
    <w:rsid w:val="00CC1A7C"/>
    <w:rsid w:val="00CC1E87"/>
    <w:rsid w:val="00CC1FE2"/>
    <w:rsid w:val="00CC31B5"/>
    <w:rsid w:val="00CC5907"/>
    <w:rsid w:val="00CD05B9"/>
    <w:rsid w:val="00CD087A"/>
    <w:rsid w:val="00CD360C"/>
    <w:rsid w:val="00CD7268"/>
    <w:rsid w:val="00CE2356"/>
    <w:rsid w:val="00CE6AD8"/>
    <w:rsid w:val="00CF3DDC"/>
    <w:rsid w:val="00CF520E"/>
    <w:rsid w:val="00D01578"/>
    <w:rsid w:val="00D02A73"/>
    <w:rsid w:val="00D0325A"/>
    <w:rsid w:val="00D03ADF"/>
    <w:rsid w:val="00D04719"/>
    <w:rsid w:val="00D06F03"/>
    <w:rsid w:val="00D07130"/>
    <w:rsid w:val="00D07727"/>
    <w:rsid w:val="00D1046E"/>
    <w:rsid w:val="00D10C6F"/>
    <w:rsid w:val="00D12549"/>
    <w:rsid w:val="00D12652"/>
    <w:rsid w:val="00D1430A"/>
    <w:rsid w:val="00D14713"/>
    <w:rsid w:val="00D16363"/>
    <w:rsid w:val="00D16FDD"/>
    <w:rsid w:val="00D174CF"/>
    <w:rsid w:val="00D25B8D"/>
    <w:rsid w:val="00D31181"/>
    <w:rsid w:val="00D372A5"/>
    <w:rsid w:val="00D43AFE"/>
    <w:rsid w:val="00D46A4E"/>
    <w:rsid w:val="00D516F1"/>
    <w:rsid w:val="00D51CAA"/>
    <w:rsid w:val="00D524B0"/>
    <w:rsid w:val="00D5797C"/>
    <w:rsid w:val="00D57EE4"/>
    <w:rsid w:val="00D602C1"/>
    <w:rsid w:val="00D631C8"/>
    <w:rsid w:val="00D649AE"/>
    <w:rsid w:val="00D6524D"/>
    <w:rsid w:val="00D749D2"/>
    <w:rsid w:val="00D76B53"/>
    <w:rsid w:val="00D82038"/>
    <w:rsid w:val="00D85CE7"/>
    <w:rsid w:val="00D8644E"/>
    <w:rsid w:val="00D86998"/>
    <w:rsid w:val="00D93CA5"/>
    <w:rsid w:val="00DA0F6C"/>
    <w:rsid w:val="00DA238C"/>
    <w:rsid w:val="00DA4D8F"/>
    <w:rsid w:val="00DA56AC"/>
    <w:rsid w:val="00DA5854"/>
    <w:rsid w:val="00DB27E5"/>
    <w:rsid w:val="00DB3B3D"/>
    <w:rsid w:val="00DB74CD"/>
    <w:rsid w:val="00DC00A2"/>
    <w:rsid w:val="00DC0279"/>
    <w:rsid w:val="00DC5136"/>
    <w:rsid w:val="00DD0CCE"/>
    <w:rsid w:val="00DD2730"/>
    <w:rsid w:val="00DD2CC5"/>
    <w:rsid w:val="00DD333B"/>
    <w:rsid w:val="00DD3CD4"/>
    <w:rsid w:val="00DD5DB7"/>
    <w:rsid w:val="00DE1ECA"/>
    <w:rsid w:val="00DE278D"/>
    <w:rsid w:val="00DF1E83"/>
    <w:rsid w:val="00DF2F76"/>
    <w:rsid w:val="00DF390E"/>
    <w:rsid w:val="00DF3A2C"/>
    <w:rsid w:val="00E030FE"/>
    <w:rsid w:val="00E043E2"/>
    <w:rsid w:val="00E052F7"/>
    <w:rsid w:val="00E05C38"/>
    <w:rsid w:val="00E06C6C"/>
    <w:rsid w:val="00E10C5C"/>
    <w:rsid w:val="00E15034"/>
    <w:rsid w:val="00E155B6"/>
    <w:rsid w:val="00E23C24"/>
    <w:rsid w:val="00E26CE4"/>
    <w:rsid w:val="00E31488"/>
    <w:rsid w:val="00E33F33"/>
    <w:rsid w:val="00E426C0"/>
    <w:rsid w:val="00E447ED"/>
    <w:rsid w:val="00E471EA"/>
    <w:rsid w:val="00E4739C"/>
    <w:rsid w:val="00E50108"/>
    <w:rsid w:val="00E522DD"/>
    <w:rsid w:val="00E53241"/>
    <w:rsid w:val="00E54B22"/>
    <w:rsid w:val="00E55554"/>
    <w:rsid w:val="00E56FF5"/>
    <w:rsid w:val="00E57C60"/>
    <w:rsid w:val="00E624F8"/>
    <w:rsid w:val="00E63166"/>
    <w:rsid w:val="00E63FC2"/>
    <w:rsid w:val="00E652B0"/>
    <w:rsid w:val="00E66D9C"/>
    <w:rsid w:val="00E71179"/>
    <w:rsid w:val="00E71F52"/>
    <w:rsid w:val="00E72560"/>
    <w:rsid w:val="00E73F6C"/>
    <w:rsid w:val="00E7539D"/>
    <w:rsid w:val="00E76584"/>
    <w:rsid w:val="00E80432"/>
    <w:rsid w:val="00E8297E"/>
    <w:rsid w:val="00E83849"/>
    <w:rsid w:val="00E85B6C"/>
    <w:rsid w:val="00E93027"/>
    <w:rsid w:val="00E9363A"/>
    <w:rsid w:val="00E96ADA"/>
    <w:rsid w:val="00EA2A15"/>
    <w:rsid w:val="00EA2C6F"/>
    <w:rsid w:val="00EA72B5"/>
    <w:rsid w:val="00EA7786"/>
    <w:rsid w:val="00EB1DD9"/>
    <w:rsid w:val="00EB1FB1"/>
    <w:rsid w:val="00EB2144"/>
    <w:rsid w:val="00EB2AFA"/>
    <w:rsid w:val="00EB5099"/>
    <w:rsid w:val="00EB5DF4"/>
    <w:rsid w:val="00EB7A9D"/>
    <w:rsid w:val="00EC157D"/>
    <w:rsid w:val="00EC3955"/>
    <w:rsid w:val="00EC42F1"/>
    <w:rsid w:val="00EC65A8"/>
    <w:rsid w:val="00EC669D"/>
    <w:rsid w:val="00ED50A0"/>
    <w:rsid w:val="00ED5D6E"/>
    <w:rsid w:val="00ED7728"/>
    <w:rsid w:val="00EE0180"/>
    <w:rsid w:val="00EE01E9"/>
    <w:rsid w:val="00EE1F2F"/>
    <w:rsid w:val="00EE25A9"/>
    <w:rsid w:val="00EF09E9"/>
    <w:rsid w:val="00EF352B"/>
    <w:rsid w:val="00F025E6"/>
    <w:rsid w:val="00F029E7"/>
    <w:rsid w:val="00F06F44"/>
    <w:rsid w:val="00F24383"/>
    <w:rsid w:val="00F27B46"/>
    <w:rsid w:val="00F3049E"/>
    <w:rsid w:val="00F307EF"/>
    <w:rsid w:val="00F30D5E"/>
    <w:rsid w:val="00F31F40"/>
    <w:rsid w:val="00F33346"/>
    <w:rsid w:val="00F3581A"/>
    <w:rsid w:val="00F40661"/>
    <w:rsid w:val="00F43F46"/>
    <w:rsid w:val="00F44685"/>
    <w:rsid w:val="00F4634A"/>
    <w:rsid w:val="00F47EF1"/>
    <w:rsid w:val="00F509A1"/>
    <w:rsid w:val="00F510EC"/>
    <w:rsid w:val="00F526D9"/>
    <w:rsid w:val="00F55226"/>
    <w:rsid w:val="00F556A9"/>
    <w:rsid w:val="00F566C8"/>
    <w:rsid w:val="00F62033"/>
    <w:rsid w:val="00F6284C"/>
    <w:rsid w:val="00F655E6"/>
    <w:rsid w:val="00F700C6"/>
    <w:rsid w:val="00F7071D"/>
    <w:rsid w:val="00F71480"/>
    <w:rsid w:val="00F8154E"/>
    <w:rsid w:val="00F86D9B"/>
    <w:rsid w:val="00F9006B"/>
    <w:rsid w:val="00F92C1A"/>
    <w:rsid w:val="00F92D15"/>
    <w:rsid w:val="00F9790E"/>
    <w:rsid w:val="00FA087F"/>
    <w:rsid w:val="00FB0B0E"/>
    <w:rsid w:val="00FB20D1"/>
    <w:rsid w:val="00FB5A95"/>
    <w:rsid w:val="00FB71A9"/>
    <w:rsid w:val="00FC20A9"/>
    <w:rsid w:val="00FC3B72"/>
    <w:rsid w:val="00FC3E0D"/>
    <w:rsid w:val="00FC591D"/>
    <w:rsid w:val="00FD0BEC"/>
    <w:rsid w:val="00FD58C7"/>
    <w:rsid w:val="00FD6A5A"/>
    <w:rsid w:val="00FD75B9"/>
    <w:rsid w:val="00FD7FF4"/>
    <w:rsid w:val="00FE1BA1"/>
    <w:rsid w:val="00FE1F37"/>
    <w:rsid w:val="00FE5978"/>
    <w:rsid w:val="00FE7675"/>
    <w:rsid w:val="00FE7CBB"/>
    <w:rsid w:val="00FF0DD7"/>
    <w:rsid w:val="00FF1CDD"/>
    <w:rsid w:val="00FF3C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CBAFF3"/>
  <w15:chartTrackingRefBased/>
  <w15:docId w15:val="{E7DA6420-1B0E-435F-8AF7-88D27C09D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3BD6"/>
    <w:rPr>
      <w:sz w:val="24"/>
    </w:rPr>
  </w:style>
  <w:style w:type="paragraph" w:styleId="Heading1">
    <w:name w:val="heading 1"/>
    <w:aliases w:val="Heading 1 Char Char Char,Heading 1 Char Char Char Char Char Char,Heading 1 Char Char1,Heading 1 Char Char1 Char,Heading 1 Char1 Char,Heading 1 Char1 Char Char Char2 Char,Heading 1 Char2,Heading 1 Char2 Char Char1 Char"/>
    <w:basedOn w:val="Normal"/>
    <w:next w:val="ParaNum"/>
    <w:link w:val="Heading1Char"/>
    <w:qFormat/>
    <w:rsid w:val="00BD4504"/>
    <w:pPr>
      <w:keepNext/>
      <w:widowControl w:val="0"/>
      <w:numPr>
        <w:numId w:val="17"/>
      </w:numPr>
      <w:tabs>
        <w:tab w:val="left" w:pos="720"/>
      </w:tabs>
      <w:suppressAutoHyphens/>
      <w:spacing w:after="120"/>
      <w:outlineLvl w:val="0"/>
    </w:pPr>
    <w:rPr>
      <w:rFonts w:ascii="Times New Roman Bold" w:hAnsi="Times New Roman Bold"/>
      <w:b/>
      <w:caps/>
      <w:snapToGrid w:val="0"/>
      <w:kern w:val="28"/>
      <w:sz w:val="22"/>
    </w:rPr>
  </w:style>
  <w:style w:type="paragraph" w:styleId="Heading2">
    <w:name w:val="heading 2"/>
    <w:aliases w:val="Heading 2 Char Char1,Heading 2 Char Char1 Char Char,Heading 2 Char Char2,Heading 2 Char Char3 Char,Heading 2 Char1 Char,Heading 2 Char1 Char Char,Heading 2 Char1 Char Char Char,Heading 2 Char2,UNDERRUBRIK 1-2 Char,h2 Char"/>
    <w:basedOn w:val="Normal"/>
    <w:next w:val="ParaNum"/>
    <w:link w:val="Heading2Char"/>
    <w:autoRedefine/>
    <w:qFormat/>
    <w:rsid w:val="00BD4504"/>
    <w:pPr>
      <w:keepNext/>
      <w:widowControl w:val="0"/>
      <w:numPr>
        <w:ilvl w:val="1"/>
        <w:numId w:val="17"/>
      </w:numPr>
      <w:spacing w:after="120"/>
      <w:outlineLvl w:val="1"/>
    </w:pPr>
    <w:rPr>
      <w:b/>
      <w:snapToGrid w:val="0"/>
      <w:kern w:val="28"/>
      <w:sz w:val="22"/>
    </w:rPr>
  </w:style>
  <w:style w:type="paragraph" w:styleId="Heading3">
    <w:name w:val="heading 3"/>
    <w:aliases w:val="1,1 Char,3,3 Char,31,31 Char,?? 3,?? 3 Char,Heading 3 Char Char,Heading 3 Char Char Char Char,Heading 3 Char1,Heading 3 Char1 Char Char,Heading 3 Char2 Char1 Char Char,Titre 3,Titre 3 Char,Titre 31,Titre 31 Char"/>
    <w:basedOn w:val="Normal"/>
    <w:next w:val="ParaNum"/>
    <w:link w:val="Heading3Char2"/>
    <w:qFormat/>
    <w:rsid w:val="00BD4504"/>
    <w:pPr>
      <w:keepNext/>
      <w:widowControl w:val="0"/>
      <w:numPr>
        <w:ilvl w:val="2"/>
        <w:numId w:val="17"/>
      </w:numPr>
      <w:tabs>
        <w:tab w:val="left" w:pos="2160"/>
      </w:tabs>
      <w:spacing w:after="120"/>
      <w:outlineLvl w:val="2"/>
    </w:pPr>
    <w:rPr>
      <w:b/>
      <w:snapToGrid w:val="0"/>
      <w:kern w:val="28"/>
      <w:sz w:val="22"/>
    </w:rPr>
  </w:style>
  <w:style w:type="paragraph" w:styleId="Heading4">
    <w:name w:val="heading 4"/>
    <w:aliases w:val="Heading 4 Char Char,Heading 4 Char Char Char,Heading 4 Char Char1,Heading 4 Char Char1 Char Char1,Heading 4 Char1,Heading 4 Char1 Char,Heading 4 Char1 Char Char Char Char1,Heading 4 Char2,Heading 4 Char2 Char Char1"/>
    <w:basedOn w:val="Normal"/>
    <w:next w:val="ParaNum"/>
    <w:link w:val="Heading4Char"/>
    <w:qFormat/>
    <w:rsid w:val="00BD4504"/>
    <w:pPr>
      <w:keepNext/>
      <w:widowControl w:val="0"/>
      <w:numPr>
        <w:ilvl w:val="3"/>
        <w:numId w:val="17"/>
      </w:numPr>
      <w:tabs>
        <w:tab w:val="left" w:pos="2880"/>
      </w:tabs>
      <w:spacing w:after="120"/>
      <w:outlineLvl w:val="3"/>
    </w:pPr>
    <w:rPr>
      <w:b/>
      <w:snapToGrid w:val="0"/>
      <w:kern w:val="28"/>
      <w:sz w:val="22"/>
    </w:rPr>
  </w:style>
  <w:style w:type="paragraph" w:styleId="Heading5">
    <w:name w:val="heading 5"/>
    <w:aliases w:val="Heading 5 Char Char Char Char Char,Heading 5 Char Char Char Char1,Heading 5 Char Char Char1,Heading 5 Char Char1 Char,Heading 5 Char Char2,Heading 5 Char1 Char Char Char,Heading 5 Char1 Char Char1,Heading 5 Char1 Char1,Heading 5 Char2"/>
    <w:basedOn w:val="Normal"/>
    <w:next w:val="ParaNum"/>
    <w:link w:val="Heading5Char"/>
    <w:qFormat/>
    <w:rsid w:val="00BD4504"/>
    <w:pPr>
      <w:keepNext/>
      <w:widowControl w:val="0"/>
      <w:numPr>
        <w:ilvl w:val="4"/>
        <w:numId w:val="17"/>
      </w:numPr>
      <w:tabs>
        <w:tab w:val="left" w:pos="3600"/>
      </w:tabs>
      <w:suppressAutoHyphens/>
      <w:spacing w:after="120"/>
      <w:outlineLvl w:val="4"/>
    </w:pPr>
    <w:rPr>
      <w:b/>
      <w:snapToGrid w:val="0"/>
      <w:kern w:val="28"/>
      <w:sz w:val="22"/>
    </w:rPr>
  </w:style>
  <w:style w:type="paragraph" w:styleId="Heading6">
    <w:name w:val="heading 6"/>
    <w:aliases w:val="Heading 6 Char Char,Heading 6 Char Char Char,Heading 6 Char Char1,Heading 6 Char1,Heading 6 Char1 Char,Heading 6 Char2,h6"/>
    <w:basedOn w:val="Normal"/>
    <w:next w:val="ParaNum"/>
    <w:link w:val="Heading6Char"/>
    <w:qFormat/>
    <w:rsid w:val="00BD4504"/>
    <w:pPr>
      <w:widowControl w:val="0"/>
      <w:numPr>
        <w:ilvl w:val="5"/>
        <w:numId w:val="17"/>
      </w:numPr>
      <w:tabs>
        <w:tab w:val="left" w:pos="4320"/>
      </w:tabs>
      <w:spacing w:after="120"/>
      <w:outlineLvl w:val="5"/>
    </w:pPr>
    <w:rPr>
      <w:b/>
      <w:snapToGrid w:val="0"/>
      <w:kern w:val="28"/>
      <w:sz w:val="22"/>
    </w:rPr>
  </w:style>
  <w:style w:type="paragraph" w:styleId="Heading7">
    <w:name w:val="heading 7"/>
    <w:basedOn w:val="Normal"/>
    <w:next w:val="ParaNum"/>
    <w:link w:val="Heading7Char"/>
    <w:qFormat/>
    <w:rsid w:val="00BD4504"/>
    <w:pPr>
      <w:widowControl w:val="0"/>
      <w:numPr>
        <w:ilvl w:val="6"/>
        <w:numId w:val="17"/>
      </w:numPr>
      <w:tabs>
        <w:tab w:val="left" w:pos="5040"/>
      </w:tabs>
      <w:spacing w:after="120"/>
      <w:ind w:left="5040" w:hanging="720"/>
      <w:outlineLvl w:val="6"/>
    </w:pPr>
    <w:rPr>
      <w:b/>
      <w:snapToGrid w:val="0"/>
      <w:kern w:val="28"/>
      <w:sz w:val="22"/>
    </w:rPr>
  </w:style>
  <w:style w:type="paragraph" w:styleId="Heading8">
    <w:name w:val="heading 8"/>
    <w:basedOn w:val="Normal"/>
    <w:next w:val="ParaNum"/>
    <w:link w:val="Heading8Char"/>
    <w:qFormat/>
    <w:rsid w:val="00BD4504"/>
    <w:pPr>
      <w:widowControl w:val="0"/>
      <w:numPr>
        <w:ilvl w:val="7"/>
        <w:numId w:val="17"/>
      </w:numPr>
      <w:tabs>
        <w:tab w:val="clear" w:pos="5400"/>
        <w:tab w:val="left" w:pos="5760"/>
      </w:tabs>
      <w:spacing w:after="120"/>
      <w:ind w:left="5760" w:hanging="720"/>
      <w:outlineLvl w:val="7"/>
    </w:pPr>
    <w:rPr>
      <w:b/>
      <w:snapToGrid w:val="0"/>
      <w:kern w:val="28"/>
      <w:sz w:val="22"/>
    </w:rPr>
  </w:style>
  <w:style w:type="paragraph" w:styleId="Heading9">
    <w:name w:val="heading 9"/>
    <w:aliases w:val="9,Heading 9.table,Titre 9,Topic,t,table"/>
    <w:basedOn w:val="Normal"/>
    <w:next w:val="ParaNum"/>
    <w:link w:val="Heading9Char"/>
    <w:qFormat/>
    <w:rsid w:val="00BD4504"/>
    <w:pPr>
      <w:widowControl w:val="0"/>
      <w:numPr>
        <w:ilvl w:val="8"/>
        <w:numId w:val="17"/>
      </w:numPr>
      <w:tabs>
        <w:tab w:val="clear" w:pos="6120"/>
        <w:tab w:val="left" w:pos="6480"/>
      </w:tabs>
      <w:spacing w:after="120"/>
      <w:ind w:left="6480" w:hanging="720"/>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 Char,Footnote Text Char Char Char Char,Footnote Text Char1,Footnote Text Char2 Char Char2 Char2 Char Char,Footnote Text Char4 Char Char1 Char Char,Footnote Text Char5 Cha,Footnote Text Char5 Char Char"/>
    <w:basedOn w:val="Normal"/>
    <w:link w:val="FootnoteTextChar2"/>
    <w:rsid w:val="0024107F"/>
    <w:rPr>
      <w:sz w:val="20"/>
    </w:rPr>
  </w:style>
  <w:style w:type="character" w:styleId="FootnoteReference">
    <w:name w:val="footnote reference"/>
    <w:aliases w:val="(NECG) Footnote Reference,Appel note de bas de p,FR,Footnote Reference/,Footnote Reference1,Style 12,Style 124,Style 13,Style 17,Style 3,Style 4,Style 6,Style 7,fr,o"/>
    <w:rsid w:val="0024107F"/>
    <w:rPr>
      <w:vertAlign w:val="superscript"/>
    </w:rPr>
  </w:style>
  <w:style w:type="paragraph" w:styleId="Header">
    <w:name w:val="header"/>
    <w:basedOn w:val="Normal"/>
    <w:rsid w:val="0024107F"/>
    <w:pPr>
      <w:tabs>
        <w:tab w:val="center" w:pos="4320"/>
        <w:tab w:val="right" w:pos="8640"/>
      </w:tabs>
    </w:pPr>
  </w:style>
  <w:style w:type="character" w:styleId="PageNumber">
    <w:name w:val="page number"/>
    <w:basedOn w:val="DefaultParagraphFont"/>
    <w:rsid w:val="0024107F"/>
  </w:style>
  <w:style w:type="paragraph" w:styleId="Footer">
    <w:name w:val="footer"/>
    <w:basedOn w:val="Normal"/>
    <w:rsid w:val="000837F7"/>
    <w:pPr>
      <w:tabs>
        <w:tab w:val="center" w:pos="4320"/>
        <w:tab w:val="right" w:pos="8640"/>
      </w:tabs>
    </w:pPr>
  </w:style>
  <w:style w:type="paragraph" w:styleId="EndnoteText">
    <w:name w:val="endnote text"/>
    <w:basedOn w:val="Normal"/>
    <w:semiHidden/>
    <w:rsid w:val="00F9790E"/>
    <w:pPr>
      <w:widowControl w:val="0"/>
      <w:tabs>
        <w:tab w:val="left" w:pos="-720"/>
      </w:tabs>
      <w:suppressAutoHyphens/>
    </w:pPr>
    <w:rPr>
      <w:snapToGrid w:val="0"/>
    </w:rPr>
  </w:style>
  <w:style w:type="paragraph" w:customStyle="1" w:styleId="normalhanging3">
    <w:name w:val="normal hanging3"/>
    <w:basedOn w:val="Normal"/>
    <w:rsid w:val="00373B2B"/>
    <w:pPr>
      <w:pBdr>
        <w:between w:val="none" w:sz="220" w:space="0" w:color="auto"/>
      </w:pBdr>
      <w:spacing w:line="240" w:lineRule="atLeast"/>
      <w:ind w:left="2160" w:hanging="720"/>
    </w:pPr>
  </w:style>
  <w:style w:type="paragraph" w:customStyle="1" w:styleId="normalhanging4">
    <w:name w:val="normal hanging4"/>
    <w:basedOn w:val="normalhanging3"/>
    <w:rsid w:val="00373B2B"/>
    <w:pPr>
      <w:ind w:left="2880"/>
    </w:pPr>
  </w:style>
  <w:style w:type="paragraph" w:customStyle="1" w:styleId="HeadingI">
    <w:name w:val="Heading I"/>
    <w:basedOn w:val="Normal"/>
    <w:rsid w:val="00373B2B"/>
    <w:pPr>
      <w:numPr>
        <w:numId w:val="10"/>
      </w:numPr>
      <w:pBdr>
        <w:between w:val="none" w:sz="220" w:space="0" w:color="auto"/>
      </w:pBdr>
      <w:spacing w:before="240" w:line="240" w:lineRule="atLeast"/>
    </w:pPr>
    <w:rPr>
      <w:color w:val="000000"/>
    </w:rPr>
  </w:style>
  <w:style w:type="paragraph" w:styleId="BalloonText">
    <w:name w:val="Balloon Text"/>
    <w:basedOn w:val="Normal"/>
    <w:semiHidden/>
    <w:rsid w:val="002353ED"/>
    <w:rPr>
      <w:rFonts w:ascii="Tahoma" w:hAnsi="Tahoma" w:cs="Tahoma"/>
      <w:sz w:val="16"/>
      <w:szCs w:val="16"/>
    </w:rPr>
  </w:style>
  <w:style w:type="character" w:customStyle="1" w:styleId="Heading1Char">
    <w:name w:val="Heading 1 Char"/>
    <w:aliases w:val="Heading 1 Char Char Char Char,Heading 1 Char Char1 Char Char,Heading 1 Char Char1 Char1,Heading 1 Char1 Char Char,Heading 1 Char1 Char Char Char2 Char Char,Heading 1 Char2 Char,Heading 1 Char2 Char Char1 Char Char"/>
    <w:link w:val="Heading1"/>
    <w:rsid w:val="00BD4504"/>
    <w:rPr>
      <w:rFonts w:ascii="Times New Roman Bold" w:hAnsi="Times New Roman Bold"/>
      <w:b/>
      <w:caps/>
      <w:snapToGrid w:val="0"/>
      <w:kern w:val="28"/>
      <w:sz w:val="22"/>
      <w:lang w:val="en-US" w:eastAsia="en-US"/>
    </w:rPr>
  </w:style>
  <w:style w:type="character" w:customStyle="1" w:styleId="Heading2Char">
    <w:name w:val="Heading 2 Char"/>
    <w:aliases w:val="Heading 2 Char Char1 Char,Heading 2 Char Char1 Char Char Char,Heading 2 Char Char2 Char,Heading 2 Char Char3 Char Char,Heading 2 Char1 Char Char Char1,Heading 2 Char1 Char Char1,Heading 2 Char2 Char,UNDERRUBRIK 1-2 Char Char,h2 Char Char"/>
    <w:link w:val="Heading2"/>
    <w:rsid w:val="00BD4504"/>
    <w:rPr>
      <w:b/>
      <w:snapToGrid w:val="0"/>
      <w:kern w:val="28"/>
      <w:sz w:val="22"/>
      <w:lang w:val="en-US" w:eastAsia="en-US"/>
    </w:rPr>
  </w:style>
  <w:style w:type="character" w:customStyle="1" w:styleId="Heading3Char">
    <w:name w:val="Heading 3 Char"/>
    <w:semiHidden/>
    <w:rsid w:val="00BD4504"/>
    <w:rPr>
      <w:rFonts w:ascii="Cambria" w:eastAsia="Times New Roman" w:hAnsi="Cambria" w:cs="Times New Roman"/>
      <w:b/>
      <w:bCs/>
      <w:sz w:val="26"/>
      <w:szCs w:val="26"/>
      <w:lang w:val="en-US" w:eastAsia="en-US"/>
    </w:rPr>
  </w:style>
  <w:style w:type="character" w:customStyle="1" w:styleId="Heading4Char">
    <w:name w:val="Heading 4 Char"/>
    <w:aliases w:val="Heading 4 Char Char Char Char,Heading 4 Char Char Char1,Heading 4 Char Char1 Char,Heading 4 Char Char1 Char Char1 Char,Heading 4 Char1 Char Char,Heading 4 Char1 Char1,Heading 4 Char2 Char,Heading 4 Char2 Char Char1 Char"/>
    <w:link w:val="Heading4"/>
    <w:rsid w:val="00BD4504"/>
    <w:rPr>
      <w:b/>
      <w:snapToGrid w:val="0"/>
      <w:kern w:val="28"/>
      <w:sz w:val="22"/>
      <w:lang w:val="en-US" w:eastAsia="en-US"/>
    </w:rPr>
  </w:style>
  <w:style w:type="character" w:customStyle="1" w:styleId="Heading5Char">
    <w:name w:val="Heading 5 Char"/>
    <w:aliases w:val="Heading 5 Char Char Char Char Char Char,Heading 5 Char Char Char1 Char,Heading 5 Char Char1 Char Char,Heading 5 Char Char2 Char,Heading 5 Char1 Char Char Char Char,Heading 5 Char1 Char1 Char,Heading 5 Char2 Char"/>
    <w:link w:val="Heading5"/>
    <w:rsid w:val="00BD4504"/>
    <w:rPr>
      <w:b/>
      <w:snapToGrid w:val="0"/>
      <w:kern w:val="28"/>
      <w:sz w:val="22"/>
      <w:lang w:val="en-US" w:eastAsia="en-US"/>
    </w:rPr>
  </w:style>
  <w:style w:type="character" w:customStyle="1" w:styleId="Heading6Char">
    <w:name w:val="Heading 6 Char"/>
    <w:aliases w:val="Heading 6 Char Char Char Char,Heading 6 Char Char Char1,Heading 6 Char Char1 Char,Heading 6 Char1 Char Char,Heading 6 Char1 Char1,Heading 6 Char2 Char,h6 Char"/>
    <w:link w:val="Heading6"/>
    <w:rsid w:val="00BD4504"/>
    <w:rPr>
      <w:b/>
      <w:snapToGrid w:val="0"/>
      <w:kern w:val="28"/>
      <w:sz w:val="22"/>
      <w:lang w:val="en-US" w:eastAsia="en-US"/>
    </w:rPr>
  </w:style>
  <w:style w:type="character" w:customStyle="1" w:styleId="Heading7Char">
    <w:name w:val="Heading 7 Char"/>
    <w:link w:val="Heading7"/>
    <w:rsid w:val="00BD4504"/>
    <w:rPr>
      <w:b/>
      <w:snapToGrid w:val="0"/>
      <w:kern w:val="28"/>
      <w:sz w:val="22"/>
      <w:lang w:val="en-US" w:eastAsia="en-US"/>
    </w:rPr>
  </w:style>
  <w:style w:type="character" w:customStyle="1" w:styleId="Heading8Char">
    <w:name w:val="Heading 8 Char"/>
    <w:link w:val="Heading8"/>
    <w:rsid w:val="00BD4504"/>
    <w:rPr>
      <w:b/>
      <w:snapToGrid w:val="0"/>
      <w:kern w:val="28"/>
      <w:sz w:val="22"/>
      <w:lang w:val="en-US" w:eastAsia="en-US"/>
    </w:rPr>
  </w:style>
  <w:style w:type="character" w:customStyle="1" w:styleId="Heading9Char">
    <w:name w:val="Heading 9 Char"/>
    <w:aliases w:val="9 Char,Heading 9.table Char,Titre 9 Char,Topic Char,t Char,table Char"/>
    <w:link w:val="Heading9"/>
    <w:rsid w:val="00BD4504"/>
    <w:rPr>
      <w:b/>
      <w:snapToGrid w:val="0"/>
      <w:kern w:val="28"/>
      <w:sz w:val="22"/>
      <w:lang w:val="en-US" w:eastAsia="en-US"/>
    </w:rPr>
  </w:style>
  <w:style w:type="paragraph" w:customStyle="1" w:styleId="ParaNum">
    <w:name w:val="ParaNum"/>
    <w:basedOn w:val="Normal"/>
    <w:link w:val="ParaNumChar"/>
    <w:rsid w:val="00BD4504"/>
    <w:pPr>
      <w:widowControl w:val="0"/>
      <w:numPr>
        <w:numId w:val="16"/>
      </w:numPr>
      <w:spacing w:after="120"/>
    </w:pPr>
    <w:rPr>
      <w:snapToGrid w:val="0"/>
      <w:kern w:val="28"/>
      <w:sz w:val="22"/>
    </w:rPr>
  </w:style>
  <w:style w:type="character" w:customStyle="1" w:styleId="Heading3Char2">
    <w:name w:val="Heading 3 Char2"/>
    <w:aliases w:val="1 Char Char,1 Char1,3 Char Char,3 Char1,31 Char Char,31 Char1,?? 3 Char Char,?? 3 Char1,Heading 3 Char Char Char,Heading 3 Char1 Char,Heading 3 Char1 Char Char Char,Titre 3 Char Char,Titre 3 Char1,Titre 31 Char Char,Titre 31 Char1"/>
    <w:link w:val="Heading3"/>
    <w:locked/>
    <w:rsid w:val="00BD4504"/>
    <w:rPr>
      <w:b/>
      <w:snapToGrid w:val="0"/>
      <w:kern w:val="28"/>
      <w:sz w:val="22"/>
      <w:lang w:val="en-US" w:eastAsia="en-US"/>
    </w:rPr>
  </w:style>
  <w:style w:type="character" w:customStyle="1" w:styleId="ParaNumChar">
    <w:name w:val="ParaNum Char"/>
    <w:link w:val="ParaNum"/>
    <w:locked/>
    <w:rsid w:val="00BD4504"/>
    <w:rPr>
      <w:snapToGrid w:val="0"/>
      <w:kern w:val="28"/>
      <w:sz w:val="22"/>
      <w:lang w:val="en-US" w:eastAsia="en-US"/>
    </w:rPr>
  </w:style>
  <w:style w:type="character" w:customStyle="1" w:styleId="FootnoteTextChar2">
    <w:name w:val="Footnote Text Char2"/>
    <w:aliases w:val="Footnote Text Char Char Char,Footnote Text Char Char Char Char Char,Footnote Text Char1 Char,Footnote Text Char2 Char Char2 Char2 Char Char Char,Footnote Text Char4 Char Char1 Char Char Char,Footnote Text Char5 Char Char Char"/>
    <w:link w:val="FootnoteText"/>
    <w:locked/>
    <w:rsid w:val="00BD4504"/>
    <w:rPr>
      <w:lang w:val="en-US" w:eastAsia="en-US"/>
    </w:rPr>
  </w:style>
  <w:style w:type="paragraph" w:styleId="ListParagraph">
    <w:name w:val="List Paragraph"/>
    <w:basedOn w:val="Normal"/>
    <w:uiPriority w:val="34"/>
    <w:qFormat/>
    <w:rsid w:val="00502DE8"/>
    <w:pPr>
      <w:ind w:left="708"/>
    </w:pPr>
  </w:style>
  <w:style w:type="character" w:styleId="CommentReference">
    <w:name w:val="annotation reference"/>
    <w:rsid w:val="00741B57"/>
    <w:rPr>
      <w:sz w:val="16"/>
      <w:szCs w:val="16"/>
    </w:rPr>
  </w:style>
  <w:style w:type="paragraph" w:styleId="CommentText">
    <w:name w:val="annotation text"/>
    <w:basedOn w:val="Normal"/>
    <w:link w:val="CommentTextChar"/>
    <w:rsid w:val="00741B57"/>
    <w:pPr>
      <w:suppressAutoHyphens/>
    </w:pPr>
    <w:rPr>
      <w:kern w:val="1"/>
      <w:sz w:val="20"/>
      <w:lang w:eastAsia="ar-SA"/>
    </w:rPr>
  </w:style>
  <w:style w:type="character" w:customStyle="1" w:styleId="CommentTextChar">
    <w:name w:val="Comment Text Char"/>
    <w:link w:val="CommentText"/>
    <w:rsid w:val="00741B57"/>
    <w:rPr>
      <w:kern w:val="1"/>
      <w:lang w:val="en-US" w:eastAsia="ar-SA"/>
    </w:rPr>
  </w:style>
  <w:style w:type="paragraph" w:customStyle="1" w:styleId="StyleParaNum11pt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w:basedOn w:val="Normal"/>
    <w:link w:val="StyleParaNum11ptCharCharCharCharCharCharCharCharCharCharCharCharCharCharCharCharCharCharCharCharCharCharCharCharCharCharCharCharCharCharCharCharCharCharCharCharCharCharCharCharChar"/>
    <w:uiPriority w:val="99"/>
    <w:rsid w:val="00D02A73"/>
    <w:pPr>
      <w:widowControl w:val="0"/>
      <w:tabs>
        <w:tab w:val="left" w:pos="1440"/>
      </w:tabs>
      <w:spacing w:after="220"/>
    </w:pPr>
    <w:rPr>
      <w:kern w:val="28"/>
      <w:sz w:val="22"/>
      <w:szCs w:val="24"/>
      <w:lang w:eastAsia="ja-JP"/>
    </w:rPr>
  </w:style>
  <w:style w:type="character" w:customStyle="1" w:styleId="StyleParaNum11pt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w:link w:val="StyleParaNum11ptCharCharCharCharCharCharCharCharCharCharCharCharCharCharCharCharCharCharCharCharCharCharCharCharCharCharCharCharCharCharCharCharCharCharCharCharCharCharCharChar"/>
    <w:uiPriority w:val="99"/>
    <w:locked/>
    <w:rsid w:val="00D02A73"/>
    <w:rPr>
      <w:kern w:val="28"/>
      <w:sz w:val="22"/>
      <w:szCs w:val="24"/>
      <w:lang w:eastAsia="ja-JP"/>
    </w:rPr>
  </w:style>
  <w:style w:type="character" w:customStyle="1" w:styleId="FootnoteTextChar2Char">
    <w:name w:val="Footnote Text Char2 Char"/>
    <w:aliases w:val="Footnote Text Char2 Char1 Char1 Char,Footnote Text Char2 Char1 Char1 Char Char Char,Footnote Text Char3 Char1 Char,Footnote Text Char3 Char1 Char Char Char,Footnote Text Char3 Char1 Char Char Char Char Char"/>
    <w:rsid w:val="00B305ED"/>
  </w:style>
  <w:style w:type="paragraph" w:styleId="CommentSubject">
    <w:name w:val="annotation subject"/>
    <w:basedOn w:val="CommentText"/>
    <w:next w:val="CommentText"/>
    <w:link w:val="CommentSubjectChar"/>
    <w:rsid w:val="002A3F78"/>
    <w:pPr>
      <w:suppressAutoHyphens w:val="0"/>
    </w:pPr>
    <w:rPr>
      <w:b/>
      <w:bCs/>
      <w:kern w:val="0"/>
      <w:lang w:eastAsia="en-US"/>
    </w:rPr>
  </w:style>
  <w:style w:type="character" w:customStyle="1" w:styleId="CommentSubjectChar">
    <w:name w:val="Comment Subject Char"/>
    <w:basedOn w:val="CommentTextChar"/>
    <w:link w:val="CommentSubject"/>
    <w:rsid w:val="002A3F78"/>
    <w:rPr>
      <w:b/>
      <w:bCs/>
      <w:kern w:val="1"/>
      <w:lang w:val="en-US" w:eastAsia="ar-SA"/>
    </w:rPr>
  </w:style>
  <w:style w:type="paragraph" w:styleId="Revision">
    <w:name w:val="Revision"/>
    <w:hidden/>
    <w:uiPriority w:val="99"/>
    <w:semiHidden/>
    <w:rsid w:val="002A3F78"/>
    <w:rPr>
      <w:sz w:val="24"/>
    </w:rPr>
  </w:style>
  <w:style w:type="character" w:styleId="Hyperlink">
    <w:name w:val="Hyperlink"/>
    <w:rsid w:val="009944BF"/>
    <w:rPr>
      <w:color w:val="0000FF"/>
      <w:u w:val="single"/>
    </w:rPr>
  </w:style>
  <w:style w:type="character" w:styleId="UnresolvedMention">
    <w:name w:val="Unresolved Mention"/>
    <w:basedOn w:val="DefaultParagraphFont"/>
    <w:uiPriority w:val="99"/>
    <w:semiHidden/>
    <w:unhideWhenUsed/>
    <w:rsid w:val="00F43F46"/>
    <w:rPr>
      <w:color w:val="605E5C"/>
      <w:shd w:val="clear" w:color="auto" w:fill="E1DFDD"/>
    </w:rPr>
  </w:style>
  <w:style w:type="character" w:styleId="Mention">
    <w:name w:val="Mention"/>
    <w:basedOn w:val="DefaultParagraphFont"/>
    <w:uiPriority w:val="99"/>
    <w:unhideWhenUsed/>
    <w:rsid w:val="00EA2A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11" ma:contentTypeDescription="Create a new document." ma:contentTypeScope="" ma:versionID="ac58cd6ff7d877aa841af94622d781b6">
  <xsd:schema xmlns:xsd="http://www.w3.org/2001/XMLSchema" xmlns:xs="http://www.w3.org/2001/XMLSchema" xmlns:p="http://schemas.microsoft.com/office/2006/metadata/properties" xmlns:ns3="794fa9d4-8068-4c99-b108-795ab3339e93" xmlns:ns4="40be8c06-eb4c-4be5-b4ce-f259999f4503" targetNamespace="http://schemas.microsoft.com/office/2006/metadata/properties" ma:root="true" ma:fieldsID="71fdf0929848442b31fb11f0e0c53bd7" ns3:_="" ns4:_="">
    <xsd:import namespace="794fa9d4-8068-4c99-b108-795ab3339e93"/>
    <xsd:import namespace="40be8c06-eb4c-4be5-b4ce-f259999f45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00F22B-B24E-4179-BCA9-CCD0095B0BD7}">
  <ds:schemaRefs>
    <ds:schemaRef ds:uri="http://schemas.openxmlformats.org/officeDocument/2006/bibliography"/>
  </ds:schemaRefs>
</ds:datastoreItem>
</file>

<file path=customXml/itemProps2.xml><?xml version="1.0" encoding="utf-8"?>
<ds:datastoreItem xmlns:ds="http://schemas.openxmlformats.org/officeDocument/2006/customXml" ds:itemID="{DE7ACFD0-70DC-4031-9F86-F4232F60C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fa9d4-8068-4c99-b108-795ab3339e93"/>
    <ds:schemaRef ds:uri="40be8c06-eb4c-4be5-b4ce-f259999f4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AB14E1-B1EC-404D-BB70-6EC4197A8B8B}">
  <ds:schemaRefs>
    <ds:schemaRef ds:uri="http://schemas.microsoft.com/sharepoint/v3/contenttype/forms"/>
  </ds:schemaRefs>
</ds:datastoreItem>
</file>

<file path=customXml/itemProps4.xml><?xml version="1.0" encoding="utf-8"?>
<ds:datastoreItem xmlns:ds="http://schemas.openxmlformats.org/officeDocument/2006/customXml" ds:itemID="{635099C3-A598-4B1E-9CF9-F884B0E638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3197</Words>
  <Characters>18087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PRA Supporting Statement - General Instructions</vt:lpstr>
    </vt:vector>
  </TitlesOfParts>
  <Company>Federal Communications Commission</Company>
  <LinksUpToDate>false</LinksUpToDate>
  <CharactersWithSpaces>21242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Supporting Statement - General Instructions</dc:title>
  <dc:creator>Christopher M. Gacek</dc:creator>
  <cp:lastModifiedBy>Nicole Ongele</cp:lastModifiedBy>
  <cp:revision>2</cp:revision>
  <cp:lastPrinted>2014-02-05T17:33:00Z</cp:lastPrinted>
  <dcterms:created xsi:type="dcterms:W3CDTF">2024-10-15T13:23:00Z</dcterms:created>
  <dcterms:modified xsi:type="dcterms:W3CDTF">2024-10-15T13:23:00Z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