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13B1" w:rsidRPr="007B3F44" w:rsidP="007B3F44" w14:paraId="78239CE7" w14:textId="77777777">
      <w:pPr>
        <w:jc w:val="center"/>
        <w:rPr>
          <w:b/>
          <w:bCs/>
          <w:sz w:val="24"/>
          <w:szCs w:val="24"/>
        </w:rPr>
      </w:pPr>
      <w:r w:rsidRPr="007B3F44">
        <w:rPr>
          <w:b/>
          <w:bCs/>
          <w:sz w:val="24"/>
          <w:szCs w:val="24"/>
        </w:rPr>
        <w:t>Supporting Statement for Paperwork Reduction Act Submissions</w:t>
      </w:r>
    </w:p>
    <w:p w:rsidR="00167E53" w:rsidRPr="007B3F44" w:rsidP="007B3F44" w14:paraId="094736B8" w14:textId="4C7B3438">
      <w:pPr>
        <w:jc w:val="center"/>
        <w:rPr>
          <w:b/>
          <w:bCs/>
          <w:sz w:val="24"/>
          <w:szCs w:val="24"/>
        </w:rPr>
      </w:pPr>
      <w:r w:rsidRPr="007B3F44">
        <w:rPr>
          <w:b/>
          <w:bCs/>
          <w:sz w:val="24"/>
          <w:szCs w:val="24"/>
        </w:rPr>
        <w:t>(</w:t>
      </w:r>
      <w:r w:rsidRPr="007B3F44" w:rsidR="007B3F44">
        <w:rPr>
          <w:b/>
          <w:bCs/>
          <w:sz w:val="24"/>
          <w:szCs w:val="24"/>
        </w:rPr>
        <w:t xml:space="preserve">Data Collection and Reporting </w:t>
      </w:r>
      <w:r w:rsidR="007B3F44">
        <w:rPr>
          <w:b/>
          <w:bCs/>
          <w:sz w:val="24"/>
          <w:szCs w:val="24"/>
        </w:rPr>
        <w:t>f</w:t>
      </w:r>
      <w:r w:rsidRPr="007B3F44" w:rsidR="007B3F44">
        <w:rPr>
          <w:b/>
          <w:bCs/>
          <w:sz w:val="24"/>
          <w:szCs w:val="24"/>
        </w:rPr>
        <w:t xml:space="preserve">or Hud’s Homeless Assistance Programs – Annual Performance Report </w:t>
      </w:r>
      <w:r w:rsidR="007B3F44">
        <w:rPr>
          <w:b/>
          <w:bCs/>
          <w:sz w:val="24"/>
          <w:szCs w:val="24"/>
        </w:rPr>
        <w:t>a</w:t>
      </w:r>
      <w:r w:rsidRPr="007B3F44" w:rsidR="007B3F44">
        <w:rPr>
          <w:b/>
          <w:bCs/>
          <w:sz w:val="24"/>
          <w:szCs w:val="24"/>
        </w:rPr>
        <w:t>nd System Performance Report</w:t>
      </w:r>
      <w:r w:rsidRPr="007B3F44" w:rsidR="00082FF0">
        <w:rPr>
          <w:b/>
          <w:bCs/>
          <w:sz w:val="24"/>
          <w:szCs w:val="24"/>
        </w:rPr>
        <w:t>)</w:t>
      </w:r>
    </w:p>
    <w:p w:rsidR="00167E53" w:rsidRPr="007B3F44" w:rsidP="007B3F44" w14:paraId="0C0ADA6F" w14:textId="5B29552B">
      <w:pPr>
        <w:jc w:val="center"/>
        <w:rPr>
          <w:b/>
          <w:bCs/>
          <w:sz w:val="24"/>
          <w:szCs w:val="24"/>
        </w:rPr>
      </w:pPr>
      <w:r w:rsidRPr="007B3F44">
        <w:rPr>
          <w:b/>
          <w:bCs/>
          <w:sz w:val="24"/>
          <w:szCs w:val="24"/>
        </w:rPr>
        <w:t>(OMB#</w:t>
      </w:r>
      <w:r w:rsidRPr="007B3F44" w:rsidR="00A86252">
        <w:rPr>
          <w:b/>
          <w:bCs/>
          <w:sz w:val="24"/>
          <w:szCs w:val="24"/>
        </w:rPr>
        <w:t xml:space="preserve">  </w:t>
      </w:r>
      <w:r w:rsidRPr="007B3F44">
        <w:rPr>
          <w:b/>
          <w:bCs/>
          <w:sz w:val="24"/>
          <w:szCs w:val="24"/>
        </w:rPr>
        <w:t xml:space="preserve"> </w:t>
      </w:r>
      <w:r w:rsidRPr="007B3F44" w:rsidR="00082FF0">
        <w:rPr>
          <w:b/>
          <w:bCs/>
          <w:sz w:val="24"/>
          <w:szCs w:val="24"/>
        </w:rPr>
        <w:t>2506</w:t>
      </w:r>
      <w:r w:rsidRPr="007B3F44" w:rsidR="006C7FAE">
        <w:rPr>
          <w:b/>
          <w:bCs/>
          <w:sz w:val="24"/>
          <w:szCs w:val="24"/>
        </w:rPr>
        <w:t>-</w:t>
      </w:r>
      <w:r w:rsidRPr="007B3F44" w:rsidR="00082FF0">
        <w:rPr>
          <w:b/>
          <w:bCs/>
          <w:sz w:val="24"/>
          <w:szCs w:val="24"/>
        </w:rPr>
        <w:t>0145</w:t>
      </w:r>
      <w:r w:rsidRPr="007B3F44">
        <w:rPr>
          <w:b/>
          <w:bCs/>
          <w:sz w:val="24"/>
          <w:szCs w:val="24"/>
        </w:rPr>
        <w:t>)</w:t>
      </w:r>
    </w:p>
    <w:p w:rsidR="009E13B1" w:rsidRPr="007B3F44" w:rsidP="007B3F44" w14:paraId="176A8089" w14:textId="77777777">
      <w:pPr>
        <w:rPr>
          <w:sz w:val="24"/>
          <w:szCs w:val="24"/>
        </w:rPr>
      </w:pPr>
    </w:p>
    <w:p w:rsidR="009E13B1" w:rsidRPr="007B3F44" w:rsidP="007B3F44" w14:paraId="6BD1C1B0" w14:textId="2D8F3691">
      <w:pPr>
        <w:rPr>
          <w:sz w:val="24"/>
          <w:szCs w:val="24"/>
        </w:rPr>
      </w:pPr>
      <w:r w:rsidRPr="007B3F44">
        <w:rPr>
          <w:sz w:val="24"/>
          <w:szCs w:val="24"/>
        </w:rPr>
        <w:t>A. Justification</w:t>
      </w:r>
    </w:p>
    <w:p w:rsidR="009E13B1" w:rsidRPr="007B3F44" w:rsidP="007B3F44" w14:paraId="6900666F" w14:textId="77777777">
      <w:pPr>
        <w:rPr>
          <w:sz w:val="24"/>
          <w:szCs w:val="24"/>
        </w:rPr>
      </w:pPr>
    </w:p>
    <w:p w:rsidR="00BA7C35" w:rsidRPr="007B3F44" w:rsidP="007B3F44" w14:paraId="283FB2AE" w14:textId="77777777">
      <w:pPr>
        <w:pStyle w:val="ListParagraph"/>
        <w:numPr>
          <w:ilvl w:val="0"/>
          <w:numId w:val="42"/>
        </w:numPr>
        <w:rPr>
          <w:sz w:val="24"/>
          <w:szCs w:val="24"/>
        </w:rPr>
      </w:pPr>
      <w:r w:rsidRPr="007B3F44">
        <w:rPr>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082FF0" w:rsidRPr="007B3F44" w:rsidP="007B3F44" w14:paraId="64D208D7" w14:textId="77777777">
      <w:pPr>
        <w:rPr>
          <w:sz w:val="24"/>
          <w:szCs w:val="24"/>
        </w:rPr>
      </w:pPr>
    </w:p>
    <w:p w:rsidR="00082FF0" w:rsidRPr="007B3F44" w:rsidP="005F1120" w14:paraId="420B0564" w14:textId="3536DE1C">
      <w:pPr>
        <w:ind w:left="720"/>
        <w:rPr>
          <w:sz w:val="24"/>
          <w:szCs w:val="24"/>
        </w:rPr>
      </w:pPr>
      <w:r w:rsidRPr="007B3F44">
        <w:rPr>
          <w:sz w:val="24"/>
          <w:szCs w:val="24"/>
        </w:rPr>
        <w:t xml:space="preserve">This package is a reinstatement of a package that expired under OMB Approval No. 2506-0145. The content in this package reflects the data collection for HUD’s Annual Performance Report (APR) </w:t>
      </w:r>
      <w:r w:rsidRPr="007B3F44">
        <w:rPr>
          <w:sz w:val="24"/>
          <w:szCs w:val="24"/>
        </w:rPr>
        <w:t>and also</w:t>
      </w:r>
      <w:r w:rsidRPr="007B3F44">
        <w:rPr>
          <w:sz w:val="24"/>
          <w:szCs w:val="24"/>
        </w:rPr>
        <w:t xml:space="preserve"> includes HUD’s system-level performance measures, which will be reported by each C</w:t>
      </w:r>
      <w:r w:rsidRPr="007B3F44" w:rsidR="00D36955">
        <w:rPr>
          <w:sz w:val="24"/>
          <w:szCs w:val="24"/>
        </w:rPr>
        <w:t>ontinuum of Care (C</w:t>
      </w:r>
      <w:r w:rsidRPr="007B3F44">
        <w:rPr>
          <w:sz w:val="24"/>
          <w:szCs w:val="24"/>
        </w:rPr>
        <w:t>oC</w:t>
      </w:r>
      <w:r w:rsidRPr="007B3F44" w:rsidR="00D36955">
        <w:rPr>
          <w:sz w:val="24"/>
          <w:szCs w:val="24"/>
        </w:rPr>
        <w:t>).</w:t>
      </w:r>
    </w:p>
    <w:p w:rsidR="00082FF0" w:rsidRPr="007B3F44" w:rsidP="005F1120" w14:paraId="6C5FCDB1" w14:textId="77777777">
      <w:pPr>
        <w:ind w:left="720"/>
        <w:rPr>
          <w:sz w:val="24"/>
          <w:szCs w:val="24"/>
        </w:rPr>
      </w:pPr>
    </w:p>
    <w:p w:rsidR="00082FF0" w:rsidRPr="007B3F44" w:rsidP="005F1120" w14:paraId="245A2A18" w14:textId="77777777">
      <w:pPr>
        <w:ind w:left="720"/>
        <w:rPr>
          <w:sz w:val="24"/>
          <w:szCs w:val="24"/>
        </w:rPr>
      </w:pPr>
      <w:bookmarkStart w:id="0" w:name="_Hlk31101921"/>
      <w:r w:rsidRPr="007B3F44">
        <w:rPr>
          <w:sz w:val="24"/>
          <w:szCs w:val="24"/>
        </w:rPr>
        <w:t xml:space="preserve">This request is for clearance of data collection and reporting to enable the U.S. Department of Housing and Urban Development (HUD) Office of Community Planning and Development (CPD) to continue to manage and assess the effectiveness of its homeless assistance projects on an annual basis.  Per 24 CFR 578.103(e), HUD requires recipients and subrecipients that receive funding through the CoC Program (authorized by the McKinney-Vento Homeless Assistance Act, as amended) to prepare and submit annual project-level reports on performance and spending. </w:t>
      </w:r>
    </w:p>
    <w:p w:rsidR="00082FF0" w:rsidRPr="007B3F44" w:rsidP="005F1120" w14:paraId="320DB250" w14:textId="77777777">
      <w:pPr>
        <w:ind w:left="720"/>
        <w:rPr>
          <w:sz w:val="24"/>
          <w:szCs w:val="24"/>
        </w:rPr>
      </w:pPr>
      <w:bookmarkStart w:id="1" w:name="_Hlk31101975"/>
      <w:bookmarkEnd w:id="0"/>
      <w:r w:rsidRPr="007B3F44">
        <w:rPr>
          <w:sz w:val="24"/>
          <w:szCs w:val="24"/>
        </w:rPr>
        <w:t xml:space="preserve">This request will also enable the HUD CPD Office to initiate a process to assess the effectiveness of local coordinated systems of homeless assistance.  The </w:t>
      </w:r>
      <w:hyperlink r:id="rId9" w:history="1">
        <w:r w:rsidRPr="007B3F44">
          <w:rPr>
            <w:color w:val="0000FF"/>
            <w:sz w:val="24"/>
            <w:szCs w:val="24"/>
            <w:u w:val="single"/>
          </w:rPr>
          <w:t>McKinney-Ven</w:t>
        </w:r>
        <w:bookmarkStart w:id="2" w:name="_Hlt31102045"/>
        <w:r w:rsidRPr="007B3F44">
          <w:rPr>
            <w:color w:val="0000FF"/>
            <w:sz w:val="24"/>
            <w:szCs w:val="24"/>
            <w:u w:val="single"/>
          </w:rPr>
          <w:t>t</w:t>
        </w:r>
        <w:bookmarkEnd w:id="2"/>
        <w:r w:rsidRPr="007B3F44">
          <w:rPr>
            <w:color w:val="0000FF"/>
            <w:sz w:val="24"/>
            <w:szCs w:val="24"/>
            <w:u w:val="single"/>
          </w:rPr>
          <w:t>o Homeless Assistance Act</w:t>
        </w:r>
      </w:hyperlink>
      <w:r w:rsidRPr="007B3F44">
        <w:rPr>
          <w:sz w:val="24"/>
          <w:szCs w:val="24"/>
        </w:rPr>
        <w:t>, as amended, requires communities to measure their performance as a coordinated system, in addition to analyzing performance of specific projects and project types.  Section 427 of the Act established a set of selection criteria for HUD to use in awarding CoC Program funding.  These selection criteria require CoCs to report to HUD their system-level performance. The intent of these selection criteria is to encourage CoCs, in coordination with Emergency Solutions Grant (ESG) Program recipients and all other homeless assistance stakeholders in the community, to regularly measure their progress in meeting the needs of people experiencing homelessness in their community and to report this progress to HUD.  This request is for HUD to collect system-level performance measure data from CoCs on an annual basis, as described in Appendix B of this document.</w:t>
      </w:r>
    </w:p>
    <w:p w:rsidR="00082FF0" w:rsidRPr="007B3F44" w:rsidP="005F1120" w14:paraId="527E6780" w14:textId="77777777">
      <w:pPr>
        <w:ind w:left="720"/>
        <w:rPr>
          <w:sz w:val="24"/>
          <w:szCs w:val="24"/>
        </w:rPr>
      </w:pPr>
      <w:r w:rsidRPr="007B3F44">
        <w:rPr>
          <w:sz w:val="24"/>
          <w:szCs w:val="24"/>
        </w:rPr>
        <w:t xml:space="preserve">The project APR and system-level performance measures both rely on a primary data source in each CoC – a local Homeless Management Information System (HMIS). An HMIS is an electronic data collection system that stores project-level and person-level information about </w:t>
      </w:r>
      <w:r w:rsidRPr="007B3F44">
        <w:rPr>
          <w:sz w:val="24"/>
          <w:szCs w:val="24"/>
        </w:rPr>
        <w:t>persons</w:t>
      </w:r>
      <w:r w:rsidRPr="007B3F44">
        <w:rPr>
          <w:sz w:val="24"/>
          <w:szCs w:val="24"/>
        </w:rPr>
        <w:t xml:space="preserve"> experiencing homelessness who access a community’s homeless service system. Over the past two decades, HUD has supported the development of local HMIS by funding their development and implementation, by providing technical assistance, and by developing national data standards that enable the collection of standardized information on the characteristics, service patterns and service needs of </w:t>
      </w:r>
      <w:r w:rsidRPr="007B3F44">
        <w:rPr>
          <w:sz w:val="24"/>
          <w:szCs w:val="24"/>
        </w:rPr>
        <w:t>persons</w:t>
      </w:r>
      <w:r w:rsidRPr="007B3F44">
        <w:rPr>
          <w:sz w:val="24"/>
          <w:szCs w:val="24"/>
        </w:rPr>
        <w:t xml:space="preserve"> experiencing homelessness within a jurisdiction and across jurisdictions.  These standards are described in </w:t>
      </w:r>
      <w:hyperlink r:id="rId10" w:history="1">
        <w:r w:rsidRPr="007B3F44">
          <w:rPr>
            <w:color w:val="0000FF"/>
            <w:sz w:val="24"/>
            <w:szCs w:val="24"/>
            <w:u w:val="single"/>
          </w:rPr>
          <w:t>HUD’s HMIS Data Standards</w:t>
        </w:r>
      </w:hyperlink>
      <w:r w:rsidRPr="007B3F44">
        <w:rPr>
          <w:sz w:val="24"/>
          <w:szCs w:val="24"/>
        </w:rPr>
        <w:t xml:space="preserve">.  </w:t>
      </w:r>
    </w:p>
    <w:bookmarkEnd w:id="1"/>
    <w:p w:rsidR="00082FF0" w:rsidRPr="007B3F44" w:rsidP="005F1120" w14:paraId="56557B6E" w14:textId="77777777">
      <w:pPr>
        <w:ind w:left="720"/>
        <w:rPr>
          <w:sz w:val="24"/>
          <w:szCs w:val="24"/>
        </w:rPr>
      </w:pPr>
      <w:r w:rsidRPr="007B3F44">
        <w:rPr>
          <w:sz w:val="24"/>
          <w:szCs w:val="24"/>
        </w:rPr>
        <w:t xml:space="preserve">In addition to </w:t>
      </w:r>
      <w:r w:rsidRPr="007B3F44">
        <w:rPr>
          <w:sz w:val="24"/>
          <w:szCs w:val="24"/>
        </w:rPr>
        <w:t>a CoC’s</w:t>
      </w:r>
      <w:r w:rsidRPr="007B3F44">
        <w:rPr>
          <w:sz w:val="24"/>
          <w:szCs w:val="24"/>
        </w:rPr>
        <w:t xml:space="preserve"> HMIS data, the system-level performance measures will also rely on data collected by CoCs as part of their Point-in-Time (PIT) count efforts.  CoCs are required by HUD </w:t>
      </w:r>
      <w:r w:rsidRPr="007B3F44">
        <w:rPr>
          <w:sz w:val="24"/>
          <w:szCs w:val="24"/>
        </w:rPr>
        <w:t>to complete a sheltered PIT count of all persons experiencing homelessness who are sheltered in emergency shelter, transitional housing, and Safe Havens and a count of unsheltered persons on a single night in January at least once every other year.  HUD incentivizes annual participation in the sheltered and unsheltered PIT count through its annual CoC Program Competition. HUD releases a Notice which outlines its data collection guidance for the PIT count and the Housing Inventory Count (HIC), which is an annual point-in-time inventory of projects within a CoC that provide beds and units dedicated to serve persons who are experiencing homelessness.</w:t>
      </w:r>
    </w:p>
    <w:p w:rsidR="00082FF0" w:rsidRPr="007B3F44" w:rsidP="005F1120" w14:paraId="286D1450" w14:textId="77777777">
      <w:pPr>
        <w:ind w:left="720"/>
        <w:rPr>
          <w:sz w:val="24"/>
          <w:szCs w:val="24"/>
        </w:rPr>
      </w:pPr>
    </w:p>
    <w:p w:rsidR="00082FF0" w:rsidRPr="007B3F44" w:rsidP="005F1120" w14:paraId="7BB1035F" w14:textId="77777777">
      <w:pPr>
        <w:ind w:left="720"/>
        <w:rPr>
          <w:sz w:val="24"/>
          <w:szCs w:val="24"/>
        </w:rPr>
      </w:pPr>
      <w:r w:rsidRPr="007B3F44">
        <w:rPr>
          <w:sz w:val="24"/>
          <w:szCs w:val="24"/>
        </w:rPr>
        <w:t>The need and legal basis for these reporting requirements are presented below.</w:t>
      </w:r>
    </w:p>
    <w:p w:rsidR="007B3F44" w:rsidRPr="007B3F44" w:rsidP="005F1120" w14:paraId="2982BB0B" w14:textId="77777777">
      <w:pPr>
        <w:ind w:left="720"/>
        <w:rPr>
          <w:sz w:val="24"/>
          <w:szCs w:val="24"/>
        </w:rPr>
      </w:pPr>
    </w:p>
    <w:p w:rsidR="00082FF0" w:rsidRPr="007B3F44" w:rsidP="005F1120" w14:paraId="07BA5595" w14:textId="4A2C88A3">
      <w:pPr>
        <w:ind w:left="720"/>
        <w:rPr>
          <w:sz w:val="24"/>
          <w:szCs w:val="24"/>
          <w:u w:val="single"/>
        </w:rPr>
      </w:pPr>
      <w:r w:rsidRPr="007B3F44">
        <w:rPr>
          <w:sz w:val="24"/>
          <w:szCs w:val="24"/>
          <w:u w:val="single"/>
        </w:rPr>
        <w:t xml:space="preserve">Annual Performance Report </w:t>
      </w:r>
      <w:r w:rsidRPr="007B3F44" w:rsidR="00D36955">
        <w:rPr>
          <w:sz w:val="24"/>
          <w:szCs w:val="24"/>
          <w:u w:val="single"/>
        </w:rPr>
        <w:t xml:space="preserve">(APR) </w:t>
      </w:r>
      <w:r w:rsidRPr="007B3F44">
        <w:rPr>
          <w:sz w:val="24"/>
          <w:szCs w:val="24"/>
          <w:u w:val="single"/>
        </w:rPr>
        <w:t>for Homeless Assistance Projects</w:t>
      </w:r>
    </w:p>
    <w:p w:rsidR="00082FF0" w:rsidRPr="007B3F44" w:rsidP="005F1120" w14:paraId="1271DA72" w14:textId="77777777">
      <w:pPr>
        <w:ind w:left="720"/>
        <w:rPr>
          <w:sz w:val="24"/>
          <w:szCs w:val="24"/>
        </w:rPr>
      </w:pPr>
    </w:p>
    <w:p w:rsidR="00082FF0" w:rsidRPr="007B3F44" w:rsidP="005F1120" w14:paraId="34D60C6D" w14:textId="77777777">
      <w:pPr>
        <w:ind w:left="720"/>
        <w:rPr>
          <w:sz w:val="24"/>
          <w:szCs w:val="24"/>
        </w:rPr>
      </w:pPr>
      <w:r w:rsidRPr="007B3F44">
        <w:rPr>
          <w:sz w:val="24"/>
          <w:szCs w:val="24"/>
        </w:rPr>
        <w:t xml:space="preserve">The APR (OMB Approval No. 2506-0145; Expiration: January 31, 2025) is a report that tracks the progress and accomplishments of the following competitive Homeless Assistance Programs: </w:t>
      </w:r>
      <w:r w:rsidRPr="007B3F44">
        <w:rPr>
          <w:sz w:val="24"/>
          <w:szCs w:val="24"/>
        </w:rPr>
        <w:t>the</w:t>
      </w:r>
      <w:r w:rsidRPr="007B3F44">
        <w:rPr>
          <w:sz w:val="24"/>
          <w:szCs w:val="24"/>
        </w:rPr>
        <w:t xml:space="preserve"> CoC Program and the Youth Homelessness Demonstration Program (YHDP).  In 2009 the McKinney-Vento Homeless Assistance Act was amended to consolidate the Supportive Housing Program (SHP) and Shelter Plus Care (S+C) Program into a single funding source, the CoC Program.  There are some S+C and SHP projects that are still submitting APRs due to the fulfillment of a 20-year use requirement.  While the YHDP grants were awarded under NOFAs that were separate from the annual CoC Program NOFA, they are subject to the CoC Program regulations unless otherwise stated in the applicable statute or NOFA.  The reporting requirements are the same for the CoC program, YHDP and HUD’s Special NOFO Award, except that YHDP and Special CoC NOFA grant recipients will submit quarterly and annual performance reports while CoC Program recipients submit only annual performance reports. These programs will be subject to the reporting requirements as described in this PRA submission.  </w:t>
      </w:r>
    </w:p>
    <w:p w:rsidR="00082FF0" w:rsidRPr="007B3F44" w:rsidP="005F1120" w14:paraId="12A7703E" w14:textId="77777777">
      <w:pPr>
        <w:ind w:left="720"/>
        <w:rPr>
          <w:sz w:val="24"/>
          <w:szCs w:val="24"/>
        </w:rPr>
      </w:pPr>
    </w:p>
    <w:p w:rsidR="00082FF0" w:rsidRPr="007B3F44" w:rsidP="005F1120" w14:paraId="3C89A84E" w14:textId="77777777">
      <w:pPr>
        <w:ind w:left="720"/>
        <w:rPr>
          <w:sz w:val="24"/>
          <w:szCs w:val="24"/>
        </w:rPr>
      </w:pPr>
      <w:r w:rsidRPr="007B3F44">
        <w:rPr>
          <w:sz w:val="24"/>
          <w:szCs w:val="24"/>
        </w:rPr>
        <w:t xml:space="preserve">Recipients of funding under the CoC Program must complete and submit a performance report for each year in which they operate a grant using HUD funds.  Grants awarded under the Special CoC NOFA to address unsheltered homelessness are subject to a quarterly reporting requirement.  In addition to providing the Department with important information to monitor individual project performance, the reports inform the Department’s competitive process for CoC Program funding and enable the Department to report on overall program performance via HUD’s Annual Performance Report.  The APR is also used at the local level to evaluate program performance and to inform the CoC application process (OMB Control Number 2506-0112).  For grants awarded under the Special CoC Program NOFO for Rural &amp; Unsheltered Homelessness, HUD requires more frequent reporting to ensure that these high-priority grants are on track towards making progress. There are 277 grants that were awarded for this NOFO. Of these, 224 grants report quarterly, because they provide direct services and housing supports, and 53 report annually because they are more focused on supporting the administration of other funds. </w:t>
      </w:r>
    </w:p>
    <w:p w:rsidR="00082FF0" w:rsidRPr="007B3F44" w:rsidP="005F1120" w14:paraId="080A9181" w14:textId="77777777">
      <w:pPr>
        <w:ind w:left="720"/>
        <w:rPr>
          <w:sz w:val="24"/>
          <w:szCs w:val="24"/>
        </w:rPr>
      </w:pPr>
    </w:p>
    <w:p w:rsidR="00082FF0" w:rsidRPr="007B3F44" w:rsidP="005F1120" w14:paraId="0425D232" w14:textId="77777777">
      <w:pPr>
        <w:ind w:left="720"/>
        <w:rPr>
          <w:sz w:val="24"/>
          <w:szCs w:val="24"/>
        </w:rPr>
      </w:pPr>
      <w:r w:rsidRPr="007B3F44">
        <w:rPr>
          <w:sz w:val="24"/>
          <w:szCs w:val="24"/>
        </w:rPr>
        <w:t>Funding recipients are mandated to collect and report APR information to HUD per the following federal regulations (see Attachment A):</w:t>
      </w:r>
    </w:p>
    <w:p w:rsidR="00082FF0" w:rsidRPr="007B3F44" w:rsidP="005F1120" w14:paraId="39FD6CA8" w14:textId="77777777">
      <w:pPr>
        <w:ind w:left="720"/>
        <w:rPr>
          <w:sz w:val="24"/>
          <w:szCs w:val="24"/>
        </w:rPr>
      </w:pPr>
    </w:p>
    <w:p w:rsidR="007B3F44" w:rsidRPr="007B3F44" w:rsidP="005F1120" w14:paraId="24F990B5" w14:textId="77777777">
      <w:pPr>
        <w:ind w:left="720"/>
        <w:rPr>
          <w:sz w:val="24"/>
          <w:szCs w:val="24"/>
        </w:rPr>
      </w:pPr>
      <w:r w:rsidRPr="007B3F44">
        <w:rPr>
          <w:sz w:val="24"/>
          <w:szCs w:val="24"/>
        </w:rPr>
        <w:t>Continuum of Care Program (24 CFR Part 578, subpart (C)):</w:t>
      </w:r>
      <w:r w:rsidRPr="007B3F44">
        <w:rPr>
          <w:i/>
          <w:sz w:val="24"/>
          <w:szCs w:val="24"/>
        </w:rPr>
        <w:t xml:space="preserve"> APR.</w:t>
      </w:r>
      <w:r w:rsidRPr="007B3F44">
        <w:rPr>
          <w:sz w:val="24"/>
          <w:szCs w:val="24"/>
        </w:rPr>
        <w:t xml:space="preserve"> The program rule at 24 CFR 578.33(f) provides that HUD may terminate the renewal of any grant and require the recipient to </w:t>
      </w:r>
      <w:r w:rsidRPr="007B3F44">
        <w:rPr>
          <w:sz w:val="24"/>
          <w:szCs w:val="24"/>
        </w:rPr>
        <w:t xml:space="preserve">repay the renewal grant if the recipient fails to submit a HUD APR within 90 days of the end of the grant year immediately prior to renewal or if the recipient submits an APR that HUD deems unacceptable or shows noncompliance with the requirements of the grant and 24 CFR part 578.  Section 578.103(e) of the CoC Program regulations further clarifies that recipients receiving grant funds for acquisition, rehabilitation, or new construction are expected to submit APRs for 15 years from the date of initial occupancy or the date of initial service provision, unless HUD provides an exception.  The recipient’s submission of the APR helps HUD review whether the recipient is carrying out the project in the manner proposed in the application.  Recipients agree to submit an APR as a condition of their grant agreement.  This requirement allows HUD to ensure that recipients submit APRs on grant agreements that have expired as a condition of receiving approval for a new grant agreement for the renewal project.  </w:t>
      </w:r>
    </w:p>
    <w:p w:rsidR="00082FF0" w:rsidRPr="007B3F44" w:rsidP="005F1120" w14:paraId="4E7BFA82" w14:textId="0F3CA7AF">
      <w:pPr>
        <w:ind w:left="720"/>
        <w:rPr>
          <w:sz w:val="24"/>
          <w:szCs w:val="24"/>
          <w:u w:val="single"/>
        </w:rPr>
      </w:pPr>
      <w:r w:rsidRPr="007B3F44">
        <w:rPr>
          <w:sz w:val="24"/>
          <w:szCs w:val="24"/>
          <w:u w:val="single"/>
        </w:rPr>
        <w:t>System-Level Performance Measures for Continuums of Care (CoCs)</w:t>
      </w:r>
    </w:p>
    <w:p w:rsidR="00082FF0" w:rsidRPr="007B3F44" w:rsidP="005F1120" w14:paraId="05461D41" w14:textId="77777777">
      <w:pPr>
        <w:ind w:left="720"/>
        <w:rPr>
          <w:sz w:val="24"/>
          <w:szCs w:val="24"/>
        </w:rPr>
      </w:pPr>
      <w:r w:rsidRPr="007B3F44">
        <w:rPr>
          <w:sz w:val="24"/>
          <w:szCs w:val="24"/>
        </w:rPr>
        <w:t>The system-level performance measures will be used at the federal level to evaluate system performance and to inform the CoC application process (OMB Control Number 2506-0112).</w:t>
      </w:r>
    </w:p>
    <w:p w:rsidR="00082FF0" w:rsidRPr="007B3F44" w:rsidP="005F1120" w14:paraId="6DDCF9C9" w14:textId="77777777">
      <w:pPr>
        <w:ind w:left="720"/>
        <w:rPr>
          <w:sz w:val="24"/>
          <w:szCs w:val="24"/>
        </w:rPr>
      </w:pPr>
    </w:p>
    <w:p w:rsidR="00082FF0" w:rsidRPr="007B3F44" w:rsidP="005F1120" w14:paraId="5167968B" w14:textId="77777777">
      <w:pPr>
        <w:ind w:left="720"/>
        <w:rPr>
          <w:sz w:val="24"/>
          <w:szCs w:val="24"/>
        </w:rPr>
      </w:pPr>
      <w:r w:rsidRPr="007B3F44">
        <w:rPr>
          <w:sz w:val="24"/>
          <w:szCs w:val="24"/>
        </w:rPr>
        <w:t xml:space="preserve">With this OMB request, HUD requires reporting on the system-level performance measures to meet two key requirements.  First, this reporting will allow CoCs to report to HUD on their ability to effectively and efficiently meet the needs of persons experiencing homelessness in their community, including helping people return to permanent housing and avoid returns to homelessness. This is distinct from the purpose of any other federal reporting on homelessness, including the Annual Homeless Assessment Reports (AHAR).  Second, this information will allow HUD to use this data as a competitive element of its process for awarding homeless assistance funding, as required by the McKinney-Vento Homeless Assistance Act.  </w:t>
      </w:r>
    </w:p>
    <w:p w:rsidR="00082FF0" w:rsidRPr="007B3F44" w:rsidP="005F1120" w14:paraId="0E073C86" w14:textId="77777777">
      <w:pPr>
        <w:ind w:left="720"/>
        <w:rPr>
          <w:sz w:val="24"/>
          <w:szCs w:val="24"/>
        </w:rPr>
      </w:pPr>
    </w:p>
    <w:p w:rsidR="007B3F44" w:rsidP="005F1120" w14:paraId="78281087" w14:textId="77777777">
      <w:pPr>
        <w:ind w:left="720"/>
        <w:rPr>
          <w:sz w:val="24"/>
          <w:szCs w:val="24"/>
        </w:rPr>
      </w:pPr>
      <w:r w:rsidRPr="007B3F44">
        <w:rPr>
          <w:sz w:val="24"/>
          <w:szCs w:val="24"/>
        </w:rPr>
        <w:t>CoCs must collect and report System-Level Performance Measures information (Attachment B) to HUD as part of the selection criteria for the annual CoC Competition in accordance with section 427</w:t>
      </w:r>
    </w:p>
    <w:p w:rsidR="00082FF0" w:rsidRPr="007B3F44" w:rsidP="005F1120" w14:paraId="46A994FB" w14:textId="73114244">
      <w:pPr>
        <w:ind w:left="720"/>
        <w:rPr>
          <w:sz w:val="24"/>
          <w:szCs w:val="24"/>
        </w:rPr>
      </w:pPr>
      <w:r w:rsidRPr="007B3F44">
        <w:rPr>
          <w:sz w:val="24"/>
          <w:szCs w:val="24"/>
        </w:rPr>
        <w:t>(a) and (b)(1)(A) of the McKinney-Vento Act, as amended, which provide:</w:t>
      </w:r>
    </w:p>
    <w:p w:rsidR="007B3F44" w:rsidP="005F1120" w14:paraId="47A29CCF" w14:textId="77777777">
      <w:pPr>
        <w:ind w:left="720"/>
        <w:rPr>
          <w:sz w:val="24"/>
          <w:szCs w:val="24"/>
        </w:rPr>
      </w:pPr>
    </w:p>
    <w:p w:rsidR="00082FF0" w:rsidRPr="007B3F44" w:rsidP="005F1120" w14:paraId="72C532C7" w14:textId="290F364B">
      <w:pPr>
        <w:ind w:left="1080"/>
        <w:rPr>
          <w:sz w:val="24"/>
          <w:szCs w:val="24"/>
        </w:rPr>
      </w:pPr>
      <w:r w:rsidRPr="007B3F44">
        <w:rPr>
          <w:sz w:val="24"/>
          <w:szCs w:val="24"/>
        </w:rPr>
        <w:t>(a) IN GENERAL.—The Secretary shall award funds to recipients through a national competition between geographic areas based on criteria established by the Secretary.</w:t>
      </w:r>
    </w:p>
    <w:p w:rsidR="00082FF0" w:rsidRPr="007B3F44" w:rsidP="005F1120" w14:paraId="1239F515" w14:textId="77777777">
      <w:pPr>
        <w:ind w:left="1080"/>
        <w:rPr>
          <w:sz w:val="24"/>
          <w:szCs w:val="24"/>
        </w:rPr>
      </w:pPr>
      <w:r w:rsidRPr="007B3F44">
        <w:rPr>
          <w:sz w:val="24"/>
          <w:szCs w:val="24"/>
        </w:rPr>
        <w:t xml:space="preserve">(b) REQUIRED CRITERIA.— </w:t>
      </w:r>
    </w:p>
    <w:p w:rsidR="00082FF0" w:rsidRPr="007B3F44" w:rsidP="005F1120" w14:paraId="547BD29C" w14:textId="77777777">
      <w:pPr>
        <w:ind w:left="1080"/>
        <w:rPr>
          <w:sz w:val="24"/>
          <w:szCs w:val="24"/>
        </w:rPr>
      </w:pPr>
      <w:r w:rsidRPr="007B3F44">
        <w:rPr>
          <w:sz w:val="24"/>
          <w:szCs w:val="24"/>
        </w:rPr>
        <w:t>(1) IN GENERAL.—The criteria established under subsection (a) shall include—</w:t>
      </w:r>
    </w:p>
    <w:p w:rsidR="00082FF0" w:rsidRPr="007B3F44" w:rsidP="005F1120" w14:paraId="2D4B9C6A" w14:textId="77777777">
      <w:pPr>
        <w:ind w:left="1080"/>
        <w:rPr>
          <w:sz w:val="24"/>
          <w:szCs w:val="24"/>
        </w:rPr>
      </w:pPr>
      <w:r w:rsidRPr="007B3F44">
        <w:rPr>
          <w:sz w:val="24"/>
          <w:szCs w:val="24"/>
        </w:rPr>
        <w:t>(A) the previous performance of the recipient regarding homelessness, including performance related to funds provided under section 412 (except that recipients applying from geographic areas where no funds have been awarded under this subtitle, or under subtitles C, D, E, or F of title IV of this Act, as in effect prior to the date of the enactment of the Homeless Emergency Assistance and Rapid Transition to Housing Act of 2009, shall receive full credit for performance under this subparagraph), measured by criteria that shall be announced by the Secretary, that shall take into account barriers faced by individual homeless people, and that shall include—</w:t>
      </w:r>
    </w:p>
    <w:p w:rsidR="00082FF0" w:rsidRPr="007B3F44" w:rsidP="005F1120" w14:paraId="48BC5E02" w14:textId="77777777">
      <w:pPr>
        <w:ind w:left="1080"/>
        <w:rPr>
          <w:sz w:val="24"/>
          <w:szCs w:val="24"/>
        </w:rPr>
      </w:pPr>
      <w:r w:rsidRPr="007B3F44">
        <w:rPr>
          <w:sz w:val="24"/>
          <w:szCs w:val="24"/>
        </w:rPr>
        <w:t>(i) the length of time individuals and families remain homeless;</w:t>
      </w:r>
    </w:p>
    <w:p w:rsidR="00082FF0" w:rsidRPr="007B3F44" w:rsidP="005F1120" w14:paraId="7D6F41D9" w14:textId="77777777">
      <w:pPr>
        <w:ind w:left="1080"/>
        <w:rPr>
          <w:sz w:val="24"/>
          <w:szCs w:val="24"/>
        </w:rPr>
      </w:pPr>
      <w:r w:rsidRPr="007B3F44">
        <w:rPr>
          <w:sz w:val="24"/>
          <w:szCs w:val="24"/>
        </w:rPr>
        <w:t>(ii) the extent to which individuals and families who leave homelessness experience additional spells of homelessness;</w:t>
      </w:r>
    </w:p>
    <w:p w:rsidR="00082FF0" w:rsidRPr="007B3F44" w:rsidP="005F1120" w14:paraId="303E1AD8" w14:textId="77777777">
      <w:pPr>
        <w:ind w:left="1080"/>
        <w:rPr>
          <w:sz w:val="24"/>
          <w:szCs w:val="24"/>
        </w:rPr>
      </w:pPr>
      <w:r w:rsidRPr="007B3F44">
        <w:rPr>
          <w:sz w:val="24"/>
          <w:szCs w:val="24"/>
        </w:rPr>
        <w:t>(iii) the thoroughness of grantees in the geographic area in reaching homeless individuals and families;</w:t>
      </w:r>
    </w:p>
    <w:p w:rsidR="00082FF0" w:rsidRPr="007B3F44" w:rsidP="005F1120" w14:paraId="5998916E" w14:textId="77777777">
      <w:pPr>
        <w:ind w:left="1080"/>
        <w:rPr>
          <w:sz w:val="24"/>
          <w:szCs w:val="24"/>
        </w:rPr>
      </w:pPr>
      <w:r w:rsidRPr="007B3F44">
        <w:rPr>
          <w:sz w:val="24"/>
          <w:szCs w:val="24"/>
        </w:rPr>
        <w:t>(iv) overall reduction in the number of homeless individuals and families;</w:t>
      </w:r>
    </w:p>
    <w:p w:rsidR="00082FF0" w:rsidRPr="007B3F44" w:rsidP="005F1120" w14:paraId="4D10154F" w14:textId="77777777">
      <w:pPr>
        <w:ind w:left="1080"/>
        <w:rPr>
          <w:sz w:val="24"/>
          <w:szCs w:val="24"/>
        </w:rPr>
      </w:pPr>
      <w:r w:rsidRPr="007B3F44">
        <w:rPr>
          <w:sz w:val="24"/>
          <w:szCs w:val="24"/>
        </w:rPr>
        <w:t>(v) jobs and income growth for homeless individuals and families;</w:t>
      </w:r>
    </w:p>
    <w:p w:rsidR="00082FF0" w:rsidRPr="007B3F44" w:rsidP="005F1120" w14:paraId="7D0E4433" w14:textId="77777777">
      <w:pPr>
        <w:ind w:left="1080"/>
        <w:rPr>
          <w:sz w:val="24"/>
          <w:szCs w:val="24"/>
        </w:rPr>
      </w:pPr>
      <w:r w:rsidRPr="007B3F44">
        <w:rPr>
          <w:sz w:val="24"/>
          <w:szCs w:val="24"/>
        </w:rPr>
        <w:t>(vi) success at reducing the number of individuals and families who become homeless;</w:t>
      </w:r>
    </w:p>
    <w:p w:rsidR="00082FF0" w:rsidRPr="007B3F44" w:rsidP="005F1120" w14:paraId="275B43D4" w14:textId="77777777">
      <w:pPr>
        <w:ind w:left="1080"/>
        <w:rPr>
          <w:sz w:val="24"/>
          <w:szCs w:val="24"/>
        </w:rPr>
      </w:pPr>
      <w:r w:rsidRPr="007B3F44">
        <w:rPr>
          <w:sz w:val="24"/>
          <w:szCs w:val="24"/>
        </w:rPr>
        <w:t>(vii) other accomplishments by the recipient related to reducing homelessness; and</w:t>
      </w:r>
    </w:p>
    <w:p w:rsidR="00FA0983" w:rsidRPr="007B3F44" w:rsidP="005F1120" w14:paraId="3861C560" w14:textId="77777777">
      <w:pPr>
        <w:ind w:left="1080"/>
        <w:rPr>
          <w:sz w:val="24"/>
          <w:szCs w:val="24"/>
        </w:rPr>
      </w:pPr>
      <w:r w:rsidRPr="007B3F44">
        <w:rPr>
          <w:sz w:val="24"/>
          <w:szCs w:val="24"/>
        </w:rPr>
        <w:t>(viii) for collaborative applicants that have exercised the authority under section 422(j) to serve families with children and youth defined as homeless under other Federal statutes, success in achieving the goals and outcomes identified in section 427(b)(1)(F)</w:t>
      </w:r>
      <w:bookmarkStart w:id="3" w:name="_Toc224972098"/>
      <w:bookmarkStart w:id="4" w:name="_Toc445890603"/>
      <w:bookmarkStart w:id="5" w:name="_Toc181888938"/>
    </w:p>
    <w:p w:rsidR="00FA0983" w:rsidRPr="007B3F44" w:rsidP="007B3F44" w14:paraId="44BA508B" w14:textId="77777777">
      <w:pPr>
        <w:rPr>
          <w:sz w:val="24"/>
          <w:szCs w:val="24"/>
        </w:rPr>
      </w:pPr>
    </w:p>
    <w:bookmarkEnd w:id="3"/>
    <w:bookmarkEnd w:id="4"/>
    <w:bookmarkEnd w:id="5"/>
    <w:p w:rsidR="00FA0983" w:rsidRPr="007B3F44" w:rsidP="007B3F44" w14:paraId="5488CBA7" w14:textId="6D356C1A">
      <w:pPr>
        <w:pStyle w:val="ListParagraph"/>
        <w:numPr>
          <w:ilvl w:val="0"/>
          <w:numId w:val="42"/>
        </w:numPr>
        <w:rPr>
          <w:sz w:val="24"/>
          <w:szCs w:val="24"/>
        </w:rPr>
      </w:pPr>
      <w:r w:rsidRPr="007B3F44">
        <w:rPr>
          <w:sz w:val="24"/>
          <w:szCs w:val="24"/>
        </w:rPr>
        <w:t>Indicate how, by whom and for what purpose the information is to be used.  Except for a new collection, indicate the actual use the agency has made of the information received from the current collection</w:t>
      </w:r>
      <w:bookmarkStart w:id="6" w:name="_Toc217119465"/>
      <w:bookmarkStart w:id="7" w:name="_Toc217119750"/>
      <w:bookmarkStart w:id="8" w:name="_Toc224972099"/>
    </w:p>
    <w:p w:rsidR="007B3F44" w:rsidRPr="007B3F44" w:rsidP="007B3F44" w14:paraId="1E2A289A" w14:textId="77777777">
      <w:pPr>
        <w:rPr>
          <w:sz w:val="24"/>
          <w:szCs w:val="24"/>
        </w:rPr>
      </w:pPr>
    </w:p>
    <w:p w:rsidR="00082FF0" w:rsidRPr="007B3F44" w:rsidP="007B3F44" w14:paraId="3BF8D7D2" w14:textId="11C06D34">
      <w:pPr>
        <w:ind w:left="720"/>
        <w:rPr>
          <w:sz w:val="24"/>
          <w:szCs w:val="24"/>
          <w:u w:val="single"/>
        </w:rPr>
      </w:pPr>
      <w:r w:rsidRPr="007B3F44">
        <w:rPr>
          <w:sz w:val="24"/>
          <w:szCs w:val="24"/>
          <w:u w:val="single"/>
        </w:rPr>
        <w:t xml:space="preserve">APR for HUD’s Homeless Assistance Programs </w:t>
      </w:r>
      <w:bookmarkEnd w:id="6"/>
      <w:bookmarkEnd w:id="7"/>
      <w:bookmarkEnd w:id="8"/>
    </w:p>
    <w:p w:rsidR="007B3F44" w:rsidRPr="007B3F44" w:rsidP="007B3F44" w14:paraId="70866E87" w14:textId="77777777">
      <w:pPr>
        <w:ind w:left="720"/>
        <w:rPr>
          <w:color w:val="000000"/>
          <w:sz w:val="24"/>
          <w:szCs w:val="24"/>
        </w:rPr>
      </w:pPr>
    </w:p>
    <w:p w:rsidR="00082FF0" w:rsidRPr="007B3F44" w:rsidP="007B3F44" w14:paraId="547C62F0" w14:textId="52646513">
      <w:pPr>
        <w:ind w:left="720"/>
        <w:rPr>
          <w:color w:val="000000"/>
          <w:sz w:val="24"/>
          <w:szCs w:val="24"/>
        </w:rPr>
      </w:pPr>
      <w:r w:rsidRPr="007B3F44">
        <w:rPr>
          <w:color w:val="000000"/>
          <w:sz w:val="24"/>
          <w:szCs w:val="24"/>
        </w:rPr>
        <w:t xml:space="preserve">The APR will be used by recipients of YHDP funding, funding under the Special NOFO, projects funded under the CoC Builds NOFO, and CoC Program funding, recipients of former SHP and S+C funding that are fulfilling reporting requirements per the 20-year use requirement, that continue to be renewed to report on the characteristics of people served and the performance and outcomes of projects.  Recipients are required to collect data and prepare reports as a condition of funding.  </w:t>
      </w:r>
    </w:p>
    <w:p w:rsidR="00082FF0" w:rsidRPr="007B3F44" w:rsidP="007B3F44" w14:paraId="42EC6E40" w14:textId="77777777">
      <w:pPr>
        <w:ind w:left="720"/>
        <w:rPr>
          <w:color w:val="000000"/>
          <w:sz w:val="24"/>
          <w:szCs w:val="24"/>
        </w:rPr>
      </w:pPr>
    </w:p>
    <w:p w:rsidR="00082FF0" w:rsidRPr="007B3F44" w:rsidP="007B3F44" w14:paraId="034E57A8" w14:textId="77777777">
      <w:pPr>
        <w:ind w:left="720"/>
        <w:rPr>
          <w:sz w:val="24"/>
          <w:szCs w:val="24"/>
        </w:rPr>
      </w:pPr>
      <w:r w:rsidRPr="007B3F44">
        <w:rPr>
          <w:color w:val="000000"/>
          <w:sz w:val="24"/>
          <w:szCs w:val="24"/>
        </w:rPr>
        <w:t xml:space="preserve">An APR must be submitted for each grant year in which HUD funding is provided or for each year a project operates under a use restriction.   </w:t>
      </w:r>
      <w:r w:rsidRPr="007B3F44">
        <w:rPr>
          <w:sz w:val="24"/>
          <w:szCs w:val="24"/>
        </w:rPr>
        <w:t xml:space="preserve">A separate report must be submitted for each HUD grant received within 90 days after the end date of the recipient’s grant year.  Each recipient of CoC Program has a unique grant year.  Therefore, APRs will be submitted to HUD throughout the year.    </w:t>
      </w:r>
    </w:p>
    <w:p w:rsidR="00082FF0" w:rsidRPr="007B3F44" w:rsidP="007B3F44" w14:paraId="6F8589AA" w14:textId="77777777">
      <w:pPr>
        <w:ind w:left="720"/>
        <w:rPr>
          <w:sz w:val="24"/>
          <w:szCs w:val="24"/>
        </w:rPr>
      </w:pPr>
    </w:p>
    <w:p w:rsidR="00082FF0" w:rsidRPr="007B3F44" w:rsidP="007B3F44" w14:paraId="70FF4375" w14:textId="77777777">
      <w:pPr>
        <w:ind w:left="720"/>
        <w:rPr>
          <w:sz w:val="24"/>
          <w:szCs w:val="24"/>
        </w:rPr>
      </w:pPr>
      <w:r w:rsidRPr="007B3F44">
        <w:rPr>
          <w:sz w:val="24"/>
          <w:szCs w:val="24"/>
        </w:rPr>
        <w:t xml:space="preserve">All APRs will be submitted to HUD electronically via </w:t>
      </w:r>
      <w:r w:rsidRPr="007B3F44">
        <w:rPr>
          <w:i/>
          <w:sz w:val="24"/>
          <w:szCs w:val="24"/>
        </w:rPr>
        <w:t>Sage HMIS Reporting Repository (Sage)</w:t>
      </w:r>
      <w:r w:rsidRPr="007B3F44">
        <w:rPr>
          <w:sz w:val="24"/>
          <w:szCs w:val="24"/>
        </w:rPr>
        <w:t>.  The data are used by HUD to assess the performance of individual projects and to determine project compliance with funding requirements, including use of HUD funds for approved purposes and procurement of required matching funds. APRs are also aggregated by program type to provide information on overall program performance and outcomes to HUD staff, other federal agencies, the Congress, and the Office of Management and Budget.</w:t>
      </w:r>
    </w:p>
    <w:p w:rsidR="00082FF0" w:rsidRPr="007B3F44" w:rsidP="007B3F44" w14:paraId="0BCBC449" w14:textId="77777777">
      <w:pPr>
        <w:ind w:left="720"/>
        <w:rPr>
          <w:sz w:val="24"/>
          <w:szCs w:val="24"/>
        </w:rPr>
      </w:pPr>
    </w:p>
    <w:p w:rsidR="00082FF0" w:rsidRPr="007B3F44" w:rsidP="007B3F44" w14:paraId="2335E3D6" w14:textId="77777777">
      <w:pPr>
        <w:ind w:left="720"/>
        <w:rPr>
          <w:b/>
          <w:bCs/>
          <w:i/>
          <w:sz w:val="24"/>
          <w:szCs w:val="24"/>
          <w:u w:val="single"/>
        </w:rPr>
      </w:pPr>
      <w:bookmarkStart w:id="9" w:name="_Toc217119468"/>
      <w:bookmarkStart w:id="10" w:name="_Toc217119753"/>
      <w:bookmarkStart w:id="11" w:name="_Toc224972100"/>
      <w:r w:rsidRPr="007B3F44">
        <w:rPr>
          <w:b/>
          <w:bCs/>
          <w:i/>
          <w:sz w:val="24"/>
          <w:szCs w:val="24"/>
          <w:u w:val="single"/>
        </w:rPr>
        <w:t>Item-by-Item Justification</w:t>
      </w:r>
      <w:bookmarkEnd w:id="9"/>
      <w:bookmarkEnd w:id="10"/>
      <w:bookmarkEnd w:id="11"/>
    </w:p>
    <w:p w:rsidR="007B3F44" w:rsidP="007B3F44" w14:paraId="7E09757E" w14:textId="77777777">
      <w:pPr>
        <w:ind w:left="720"/>
        <w:rPr>
          <w:sz w:val="24"/>
          <w:szCs w:val="24"/>
        </w:rPr>
      </w:pPr>
    </w:p>
    <w:p w:rsidR="00082FF0" w:rsidRPr="007B3F44" w:rsidP="007B3F44" w14:paraId="65724EE0" w14:textId="18C2A38F">
      <w:pPr>
        <w:ind w:left="720"/>
        <w:rPr>
          <w:sz w:val="24"/>
          <w:szCs w:val="24"/>
        </w:rPr>
      </w:pPr>
      <w:r w:rsidRPr="007B3F44">
        <w:rPr>
          <w:sz w:val="24"/>
          <w:szCs w:val="24"/>
        </w:rPr>
        <w:t xml:space="preserve">Detailed justification of each data element requested in the APR is contained in Attachment A.  </w:t>
      </w:r>
    </w:p>
    <w:p w:rsidR="00082FF0" w:rsidRPr="007B3F44" w:rsidP="007B3F44" w14:paraId="1B402B9F" w14:textId="77777777">
      <w:pPr>
        <w:ind w:left="720"/>
        <w:rPr>
          <w:sz w:val="24"/>
          <w:szCs w:val="24"/>
        </w:rPr>
      </w:pPr>
      <w:r w:rsidRPr="007B3F44">
        <w:rPr>
          <w:sz w:val="24"/>
          <w:szCs w:val="24"/>
        </w:rPr>
        <w:t>In general, the modified APR covers the following topics:</w:t>
      </w:r>
    </w:p>
    <w:p w:rsidR="00082FF0" w:rsidRPr="007B3F44" w:rsidP="007B3F44" w14:paraId="07D62B56" w14:textId="77777777">
      <w:pPr>
        <w:ind w:left="720"/>
        <w:rPr>
          <w:sz w:val="24"/>
          <w:szCs w:val="24"/>
        </w:rPr>
      </w:pPr>
    </w:p>
    <w:p w:rsidR="00082FF0" w:rsidRPr="007B3F44" w:rsidP="007B3F44" w14:paraId="3E493B0A" w14:textId="77777777">
      <w:pPr>
        <w:pStyle w:val="ListParagraph"/>
        <w:numPr>
          <w:ilvl w:val="0"/>
          <w:numId w:val="43"/>
        </w:numPr>
        <w:rPr>
          <w:sz w:val="24"/>
          <w:szCs w:val="24"/>
        </w:rPr>
      </w:pPr>
      <w:r w:rsidRPr="007B3F44">
        <w:rPr>
          <w:sz w:val="24"/>
          <w:szCs w:val="24"/>
        </w:rPr>
        <w:t xml:space="preserve">Grantee Information – basic information about the grantee and project including the target population, the facility type, the number of beds in the project, and the extent to which data on clients served in the project are entered into the community Homeless Management Information System. </w:t>
      </w:r>
    </w:p>
    <w:p w:rsidR="00082FF0" w:rsidRPr="007B3F44" w:rsidP="007B3F44" w14:paraId="1A6ABC56" w14:textId="77777777">
      <w:pPr>
        <w:pStyle w:val="ListParagraph"/>
        <w:numPr>
          <w:ilvl w:val="0"/>
          <w:numId w:val="43"/>
        </w:numPr>
        <w:rPr>
          <w:sz w:val="24"/>
          <w:szCs w:val="24"/>
        </w:rPr>
      </w:pPr>
      <w:r w:rsidRPr="007B3F44">
        <w:rPr>
          <w:sz w:val="24"/>
          <w:szCs w:val="24"/>
        </w:rPr>
        <w:t>Outputs – counts of persons and households served, bed and unit utilization rates (for residential programs), and the number of client contacts (for street outreach programs).</w:t>
      </w:r>
    </w:p>
    <w:p w:rsidR="00082FF0" w:rsidRPr="007B3F44" w:rsidP="007B3F44" w14:paraId="0BC7F095" w14:textId="77777777">
      <w:pPr>
        <w:pStyle w:val="ListParagraph"/>
        <w:numPr>
          <w:ilvl w:val="0"/>
          <w:numId w:val="43"/>
        </w:numPr>
        <w:rPr>
          <w:sz w:val="24"/>
          <w:szCs w:val="24"/>
        </w:rPr>
      </w:pPr>
      <w:r w:rsidRPr="007B3F44">
        <w:rPr>
          <w:sz w:val="24"/>
          <w:szCs w:val="24"/>
        </w:rPr>
        <w:t>Client Characteristics – information about all clients served in a project by household type and exit status.</w:t>
      </w:r>
    </w:p>
    <w:p w:rsidR="00082FF0" w:rsidRPr="007B3F44" w:rsidP="007B3F44" w14:paraId="10654698" w14:textId="77777777">
      <w:pPr>
        <w:pStyle w:val="ListParagraph"/>
        <w:numPr>
          <w:ilvl w:val="0"/>
          <w:numId w:val="43"/>
        </w:numPr>
        <w:rPr>
          <w:sz w:val="24"/>
          <w:szCs w:val="24"/>
        </w:rPr>
      </w:pPr>
      <w:r w:rsidRPr="007B3F44">
        <w:rPr>
          <w:sz w:val="24"/>
          <w:szCs w:val="24"/>
        </w:rPr>
        <w:t>Program Performance – information on performance measures including access to income, access to non-cash benefits, length of stay in the program, and where clients exit to when they leave projects.</w:t>
      </w:r>
    </w:p>
    <w:p w:rsidR="00082FF0" w:rsidRPr="007B3F44" w:rsidP="007B3F44" w14:paraId="1851ED1E" w14:textId="77777777">
      <w:pPr>
        <w:pStyle w:val="ListParagraph"/>
        <w:numPr>
          <w:ilvl w:val="0"/>
          <w:numId w:val="43"/>
        </w:numPr>
        <w:rPr>
          <w:sz w:val="24"/>
          <w:szCs w:val="24"/>
        </w:rPr>
      </w:pPr>
      <w:r w:rsidRPr="007B3F44">
        <w:rPr>
          <w:sz w:val="24"/>
          <w:szCs w:val="24"/>
        </w:rPr>
        <w:t>Subpopulation Information – information only on specific subpopulations (veterans, persons experiencing chronic homelessness, and youth).</w:t>
      </w:r>
    </w:p>
    <w:p w:rsidR="00082FF0" w:rsidRPr="007B3F44" w:rsidP="007B3F44" w14:paraId="1A025EB5" w14:textId="77777777">
      <w:pPr>
        <w:pStyle w:val="ListParagraph"/>
        <w:numPr>
          <w:ilvl w:val="0"/>
          <w:numId w:val="43"/>
        </w:numPr>
        <w:rPr>
          <w:sz w:val="24"/>
          <w:szCs w:val="24"/>
        </w:rPr>
      </w:pPr>
      <w:r w:rsidRPr="007B3F44">
        <w:rPr>
          <w:sz w:val="24"/>
          <w:szCs w:val="24"/>
        </w:rPr>
        <w:t>Financial Information – information about project funding and expenditure and match amounts.</w:t>
      </w:r>
    </w:p>
    <w:p w:rsidR="00082FF0" w:rsidRPr="007B3F44" w:rsidP="007B3F44" w14:paraId="67F8122E" w14:textId="77777777">
      <w:pPr>
        <w:pStyle w:val="ListParagraph"/>
        <w:numPr>
          <w:ilvl w:val="0"/>
          <w:numId w:val="43"/>
        </w:numPr>
        <w:rPr>
          <w:sz w:val="24"/>
          <w:szCs w:val="24"/>
        </w:rPr>
      </w:pPr>
      <w:r w:rsidRPr="007B3F44">
        <w:rPr>
          <w:sz w:val="24"/>
          <w:szCs w:val="24"/>
        </w:rPr>
        <w:t>Narrative – descriptive information about the project and accomplishments.</w:t>
      </w:r>
    </w:p>
    <w:p w:rsidR="00082FF0" w:rsidRPr="007B3F44" w:rsidP="007B3F44" w14:paraId="32DE530B" w14:textId="77777777">
      <w:pPr>
        <w:pStyle w:val="ListParagraph"/>
        <w:numPr>
          <w:ilvl w:val="0"/>
          <w:numId w:val="43"/>
        </w:numPr>
        <w:rPr>
          <w:sz w:val="24"/>
          <w:szCs w:val="24"/>
        </w:rPr>
      </w:pPr>
      <w:r w:rsidRPr="007B3F44">
        <w:rPr>
          <w:sz w:val="24"/>
          <w:szCs w:val="24"/>
        </w:rPr>
        <w:t>HMIS-dedicated Projects – basic information about HMIS implementation.</w:t>
      </w:r>
    </w:p>
    <w:p w:rsidR="00082FF0" w:rsidRPr="007B3F44" w:rsidP="007B3F44" w14:paraId="162488CB" w14:textId="77777777">
      <w:pPr>
        <w:pStyle w:val="ListParagraph"/>
        <w:numPr>
          <w:ilvl w:val="0"/>
          <w:numId w:val="43"/>
        </w:numPr>
        <w:rPr>
          <w:sz w:val="24"/>
          <w:szCs w:val="24"/>
        </w:rPr>
      </w:pPr>
      <w:r w:rsidRPr="007B3F44">
        <w:rPr>
          <w:sz w:val="24"/>
          <w:szCs w:val="24"/>
        </w:rPr>
        <w:t>Planning Grant Projects – basic information on recipients of CoC Planning grants.</w:t>
      </w:r>
    </w:p>
    <w:p w:rsidR="00082FF0" w:rsidRPr="007B3F44" w:rsidP="007B3F44" w14:paraId="12A08547" w14:textId="77777777">
      <w:pPr>
        <w:pStyle w:val="ListParagraph"/>
        <w:numPr>
          <w:ilvl w:val="0"/>
          <w:numId w:val="43"/>
        </w:numPr>
        <w:rPr>
          <w:sz w:val="24"/>
          <w:szCs w:val="24"/>
        </w:rPr>
      </w:pPr>
      <w:r w:rsidRPr="007B3F44">
        <w:rPr>
          <w:sz w:val="24"/>
          <w:szCs w:val="24"/>
        </w:rPr>
        <w:t>Coordinated Entry Projects – basic information on recipients of Supportive Services Only grants dedicated to Coordinated Entry.</w:t>
      </w:r>
    </w:p>
    <w:p w:rsidR="007B3F44" w:rsidRPr="007B3F44" w:rsidP="007B3F44" w14:paraId="728E80E0" w14:textId="07CF9668">
      <w:pPr>
        <w:pStyle w:val="ListParagraph"/>
        <w:numPr>
          <w:ilvl w:val="0"/>
          <w:numId w:val="43"/>
        </w:numPr>
        <w:rPr>
          <w:sz w:val="24"/>
          <w:szCs w:val="24"/>
        </w:rPr>
      </w:pPr>
      <w:r w:rsidRPr="007B3F44">
        <w:rPr>
          <w:sz w:val="24"/>
          <w:szCs w:val="24"/>
        </w:rPr>
        <w:t xml:space="preserve">Unified Funding Agency Projects – basic information on recipients who have been designated as Unified Funding Agencies (UFAs). </w:t>
      </w:r>
    </w:p>
    <w:p w:rsidR="007B3F44" w:rsidRPr="007B3F44" w:rsidP="007B3F44" w14:paraId="406F8AB1" w14:textId="77777777">
      <w:pPr>
        <w:ind w:left="720"/>
        <w:rPr>
          <w:sz w:val="24"/>
          <w:szCs w:val="24"/>
        </w:rPr>
      </w:pPr>
    </w:p>
    <w:p w:rsidR="007B3F44" w:rsidRPr="003654E2" w:rsidP="007B3F44" w14:paraId="383D836E" w14:textId="4B0C661A">
      <w:pPr>
        <w:ind w:left="720"/>
        <w:rPr>
          <w:b/>
          <w:sz w:val="24"/>
          <w:szCs w:val="24"/>
          <w:u w:val="single"/>
        </w:rPr>
      </w:pPr>
      <w:r w:rsidRPr="003654E2">
        <w:rPr>
          <w:b/>
          <w:sz w:val="24"/>
          <w:szCs w:val="24"/>
          <w:u w:val="single"/>
        </w:rPr>
        <w:t>System-Level Performance Measures for Continuums of Care</w:t>
      </w:r>
    </w:p>
    <w:p w:rsidR="00082FF0" w:rsidRPr="007B3F44" w:rsidP="007B3F44" w14:paraId="41A9C048" w14:textId="77777777">
      <w:pPr>
        <w:ind w:left="720"/>
        <w:rPr>
          <w:sz w:val="24"/>
          <w:szCs w:val="24"/>
        </w:rPr>
      </w:pPr>
    </w:p>
    <w:p w:rsidR="00082FF0" w:rsidRPr="007B3F44" w:rsidP="007B3F44" w14:paraId="1442937D" w14:textId="77777777">
      <w:pPr>
        <w:ind w:left="720"/>
        <w:rPr>
          <w:color w:val="000000"/>
          <w:sz w:val="24"/>
          <w:szCs w:val="24"/>
        </w:rPr>
      </w:pPr>
      <w:r w:rsidRPr="007B3F44">
        <w:rPr>
          <w:color w:val="000000"/>
          <w:sz w:val="24"/>
          <w:szCs w:val="24"/>
        </w:rPr>
        <w:t xml:space="preserve">CoCs will report aggregated performance data for the homeless assistance provided within their geographic area, including projects that receive HUD homeless assistance funding via the CoC Program and the ESG Program, as well as other federally-funded homeless assistance programs and non-federally funded homeless assistance programs.  Local projects that assist persons who are homeless or at-risk of homelessness and participate in a CoC’s HMIS will be included in system-level performance reporting.  </w:t>
      </w:r>
    </w:p>
    <w:p w:rsidR="00082FF0" w:rsidRPr="007B3F44" w:rsidP="007B3F44" w14:paraId="5920CC25" w14:textId="77777777">
      <w:pPr>
        <w:ind w:left="720"/>
        <w:rPr>
          <w:color w:val="000000"/>
          <w:sz w:val="24"/>
          <w:szCs w:val="24"/>
        </w:rPr>
      </w:pPr>
      <w:r w:rsidRPr="007B3F44">
        <w:rPr>
          <w:color w:val="000000"/>
          <w:sz w:val="24"/>
          <w:szCs w:val="24"/>
        </w:rPr>
        <w:t xml:space="preserve">Each CoC will be required to submit data on the system-level performance measures on an annual basis.  The reporting period will be standard for all CoCs (October 1-September 30), with the exception of PIT count data collected according to HUD specifications during the fiscal year (or the prior year for communities conducting their unsheltered counts biennially). </w:t>
      </w:r>
    </w:p>
    <w:p w:rsidR="00082FF0" w:rsidRPr="007B3F44" w:rsidP="007B3F44" w14:paraId="5A4487F3" w14:textId="77777777">
      <w:pPr>
        <w:ind w:left="720"/>
        <w:rPr>
          <w:sz w:val="24"/>
          <w:szCs w:val="24"/>
        </w:rPr>
      </w:pPr>
      <w:r w:rsidRPr="007B3F44">
        <w:rPr>
          <w:color w:val="000000"/>
          <w:sz w:val="24"/>
          <w:szCs w:val="24"/>
        </w:rPr>
        <w:t xml:space="preserve">The reporting period establishes the universe of clients for which the measures are calculated, but often the data collection period extends beyond the reporting period, depending on the measure.  For example, to report on persons who become homeless for the first time, CoCs need to look back in the system to determine if a person was in the HMIS prior to the reporting period.  </w:t>
      </w:r>
    </w:p>
    <w:p w:rsidR="00082FF0" w:rsidRPr="007B3F44" w:rsidP="007B3F44" w14:paraId="12204D52" w14:textId="77777777">
      <w:pPr>
        <w:ind w:left="720"/>
        <w:rPr>
          <w:sz w:val="24"/>
          <w:szCs w:val="24"/>
        </w:rPr>
      </w:pPr>
    </w:p>
    <w:p w:rsidR="00082FF0" w:rsidRPr="007B3F44" w:rsidP="007B3F44" w14:paraId="7C4306AC" w14:textId="77777777">
      <w:pPr>
        <w:ind w:left="720"/>
        <w:rPr>
          <w:sz w:val="24"/>
          <w:szCs w:val="24"/>
        </w:rPr>
      </w:pPr>
      <w:r w:rsidRPr="007B3F44">
        <w:rPr>
          <w:sz w:val="24"/>
          <w:szCs w:val="24"/>
        </w:rPr>
        <w:t>All system-level performance data will be submitted by CoC authorized representatives to HUD electronically via HUD’s Homelessness Data Exchange (HDX).  The data will be used by HUD to assess the performance of the CoCs system of care and to inform the Department’s competitive process for homeless assistance funding.   Data from these reports will also be aggregated across CoCs to report on national performance and outcomes for HUD staff, other federal agencies, the Congress, and the Office of Management and Budget.</w:t>
      </w:r>
    </w:p>
    <w:p w:rsidR="00082FF0" w:rsidRPr="007B3F44" w:rsidP="007B3F44" w14:paraId="3263E40E" w14:textId="77777777">
      <w:pPr>
        <w:ind w:left="720"/>
        <w:rPr>
          <w:sz w:val="24"/>
          <w:szCs w:val="24"/>
        </w:rPr>
      </w:pPr>
    </w:p>
    <w:p w:rsidR="00082FF0" w:rsidRPr="003654E2" w:rsidP="007B3F44" w14:paraId="3D30B265" w14:textId="77777777">
      <w:pPr>
        <w:ind w:left="720"/>
        <w:rPr>
          <w:b/>
          <w:bCs/>
          <w:i/>
          <w:sz w:val="24"/>
          <w:szCs w:val="24"/>
          <w:u w:val="single"/>
        </w:rPr>
      </w:pPr>
      <w:r w:rsidRPr="003654E2">
        <w:rPr>
          <w:b/>
          <w:bCs/>
          <w:i/>
          <w:sz w:val="24"/>
          <w:szCs w:val="24"/>
          <w:u w:val="single"/>
        </w:rPr>
        <w:t>Item-by-Item Justification</w:t>
      </w:r>
    </w:p>
    <w:p w:rsidR="003654E2" w:rsidP="007B3F44" w14:paraId="7F1C62A9" w14:textId="77777777">
      <w:pPr>
        <w:ind w:left="720"/>
        <w:rPr>
          <w:sz w:val="24"/>
          <w:szCs w:val="24"/>
        </w:rPr>
      </w:pPr>
    </w:p>
    <w:p w:rsidR="00082FF0" w:rsidRPr="007B3F44" w:rsidP="007B3F44" w14:paraId="2D336EAC" w14:textId="078EFDB6">
      <w:pPr>
        <w:ind w:left="720"/>
        <w:rPr>
          <w:sz w:val="24"/>
          <w:szCs w:val="24"/>
        </w:rPr>
      </w:pPr>
      <w:r w:rsidRPr="007B3F44">
        <w:rPr>
          <w:sz w:val="24"/>
          <w:szCs w:val="24"/>
        </w:rPr>
        <w:t>Detailed justification of each data element requested in the system-level performance measures is contained in Attachment B.  The system-level performance measures include the following measures:</w:t>
      </w:r>
    </w:p>
    <w:p w:rsidR="00082FF0" w:rsidRPr="007B3F44" w:rsidP="007B3F44" w14:paraId="29298E15" w14:textId="77777777">
      <w:pPr>
        <w:ind w:left="720"/>
        <w:rPr>
          <w:sz w:val="24"/>
          <w:szCs w:val="24"/>
        </w:rPr>
      </w:pPr>
    </w:p>
    <w:p w:rsidR="00082FF0" w:rsidRPr="007B3F44" w:rsidP="007B3F44" w14:paraId="3A3C8E0D" w14:textId="77777777">
      <w:pPr>
        <w:ind w:left="720"/>
        <w:rPr>
          <w:sz w:val="24"/>
          <w:szCs w:val="24"/>
        </w:rPr>
      </w:pPr>
      <w:r w:rsidRPr="007B3F44">
        <w:rPr>
          <w:sz w:val="24"/>
          <w:szCs w:val="24"/>
        </w:rPr>
        <w:t xml:space="preserve">Measure 1: Length of Time Persons Remain Homeless </w:t>
      </w:r>
    </w:p>
    <w:p w:rsidR="00082FF0" w:rsidRPr="007B3F44" w:rsidP="007B3F44" w14:paraId="40225B12" w14:textId="77777777">
      <w:pPr>
        <w:ind w:left="720"/>
        <w:rPr>
          <w:sz w:val="24"/>
          <w:szCs w:val="24"/>
        </w:rPr>
      </w:pPr>
      <w:r w:rsidRPr="003654E2">
        <w:rPr>
          <w:b/>
          <w:bCs/>
          <w:sz w:val="24"/>
          <w:szCs w:val="24"/>
        </w:rPr>
        <w:t>Measure 2a</w:t>
      </w:r>
      <w:r w:rsidRPr="007B3F44">
        <w:rPr>
          <w:sz w:val="24"/>
          <w:szCs w:val="24"/>
        </w:rPr>
        <w:t>:  The Extent to which Persons who Exit Homelessness to Permanent Housing Destinations Return to Homelessness within 6 to 12 Months</w:t>
      </w:r>
    </w:p>
    <w:p w:rsidR="00082FF0" w:rsidRPr="007B3F44" w:rsidP="007B3F44" w14:paraId="010C8CEC" w14:textId="77777777">
      <w:pPr>
        <w:ind w:left="720"/>
        <w:rPr>
          <w:sz w:val="24"/>
          <w:szCs w:val="24"/>
        </w:rPr>
      </w:pPr>
      <w:r w:rsidRPr="003654E2">
        <w:rPr>
          <w:b/>
          <w:bCs/>
          <w:sz w:val="24"/>
          <w:szCs w:val="24"/>
        </w:rPr>
        <w:t>Measure 2b</w:t>
      </w:r>
      <w:r w:rsidRPr="007B3F44">
        <w:rPr>
          <w:sz w:val="24"/>
          <w:szCs w:val="24"/>
        </w:rPr>
        <w:t>: The Extent to which Persons who Exit Homelessness to Permanent Housing Destinations Return to Homelessness within 2 Years</w:t>
      </w:r>
    </w:p>
    <w:p w:rsidR="00082FF0" w:rsidRPr="007B3F44" w:rsidP="007B3F44" w14:paraId="5986E2DE" w14:textId="77777777">
      <w:pPr>
        <w:ind w:left="720"/>
        <w:rPr>
          <w:sz w:val="24"/>
          <w:szCs w:val="24"/>
        </w:rPr>
      </w:pPr>
      <w:r w:rsidRPr="003654E2">
        <w:rPr>
          <w:b/>
          <w:bCs/>
          <w:sz w:val="24"/>
          <w:szCs w:val="24"/>
        </w:rPr>
        <w:t>Measure 3</w:t>
      </w:r>
      <w:r w:rsidRPr="007B3F44">
        <w:rPr>
          <w:sz w:val="24"/>
          <w:szCs w:val="24"/>
        </w:rPr>
        <w:t xml:space="preserve">: Number of Persons Experiencing Homelessness  </w:t>
      </w:r>
    </w:p>
    <w:p w:rsidR="00082FF0" w:rsidRPr="007B3F44" w:rsidP="007B3F44" w14:paraId="26BA5424" w14:textId="77777777">
      <w:pPr>
        <w:ind w:left="720"/>
        <w:rPr>
          <w:sz w:val="24"/>
          <w:szCs w:val="24"/>
        </w:rPr>
      </w:pPr>
      <w:r w:rsidRPr="003654E2">
        <w:rPr>
          <w:b/>
          <w:bCs/>
          <w:sz w:val="24"/>
          <w:szCs w:val="24"/>
        </w:rPr>
        <w:t>Measure 4</w:t>
      </w:r>
      <w:r w:rsidRPr="007B3F44">
        <w:rPr>
          <w:sz w:val="24"/>
          <w:szCs w:val="24"/>
        </w:rPr>
        <w:t>: Employment and Income Growth for Persons Experiencing Homelessness   in CoC Program-funded Projects</w:t>
      </w:r>
    </w:p>
    <w:p w:rsidR="00082FF0" w:rsidRPr="007B3F44" w:rsidP="007B3F44" w14:paraId="553AA0D3" w14:textId="77777777">
      <w:pPr>
        <w:ind w:left="720"/>
        <w:rPr>
          <w:sz w:val="24"/>
          <w:szCs w:val="24"/>
        </w:rPr>
      </w:pPr>
      <w:r w:rsidRPr="003654E2">
        <w:rPr>
          <w:b/>
          <w:bCs/>
          <w:sz w:val="24"/>
          <w:szCs w:val="24"/>
        </w:rPr>
        <w:t>Measure 5</w:t>
      </w:r>
      <w:r w:rsidRPr="007B3F44">
        <w:rPr>
          <w:sz w:val="24"/>
          <w:szCs w:val="24"/>
        </w:rPr>
        <w:t>: Number of Persons who Become Homeless for the First Time</w:t>
      </w:r>
    </w:p>
    <w:p w:rsidR="00082FF0" w:rsidRPr="007B3F44" w:rsidP="007B3F44" w14:paraId="45389DE3" w14:textId="77777777">
      <w:pPr>
        <w:ind w:left="720"/>
        <w:rPr>
          <w:sz w:val="24"/>
          <w:szCs w:val="24"/>
        </w:rPr>
      </w:pPr>
      <w:r w:rsidRPr="003654E2">
        <w:rPr>
          <w:b/>
          <w:bCs/>
          <w:sz w:val="24"/>
          <w:szCs w:val="24"/>
        </w:rPr>
        <w:t>Measure 6</w:t>
      </w:r>
      <w:r w:rsidRPr="007B3F44">
        <w:rPr>
          <w:sz w:val="24"/>
          <w:szCs w:val="24"/>
        </w:rPr>
        <w:t>:  Homelessness Prevention and Housing Placement of Persons Defined by Category 3 of HUD’s Homeless Definition in CoC Program-funded Projects</w:t>
      </w:r>
    </w:p>
    <w:p w:rsidR="00082FF0" w:rsidRPr="007B3F44" w:rsidP="007B3F44" w14:paraId="280DE223" w14:textId="77777777">
      <w:pPr>
        <w:ind w:left="720"/>
        <w:rPr>
          <w:sz w:val="24"/>
          <w:szCs w:val="24"/>
        </w:rPr>
      </w:pPr>
      <w:r w:rsidRPr="003654E2">
        <w:rPr>
          <w:b/>
          <w:bCs/>
          <w:sz w:val="24"/>
          <w:szCs w:val="24"/>
        </w:rPr>
        <w:t>Measure 6a</w:t>
      </w:r>
      <w:r w:rsidRPr="007B3F44">
        <w:rPr>
          <w:sz w:val="24"/>
          <w:szCs w:val="24"/>
        </w:rPr>
        <w:t xml:space="preserve">:  Preventing Returns to Homelessness within 6 and 12 Months Among This Subset of Families and Youth  </w:t>
      </w:r>
    </w:p>
    <w:p w:rsidR="00082FF0" w:rsidRPr="007B3F44" w:rsidP="007B3F44" w14:paraId="37A915EF" w14:textId="77777777">
      <w:pPr>
        <w:ind w:left="720"/>
        <w:rPr>
          <w:sz w:val="24"/>
          <w:szCs w:val="24"/>
        </w:rPr>
      </w:pPr>
      <w:r w:rsidRPr="003654E2">
        <w:rPr>
          <w:b/>
          <w:bCs/>
          <w:sz w:val="24"/>
          <w:szCs w:val="24"/>
        </w:rPr>
        <w:t>Measure 6b</w:t>
      </w:r>
      <w:r w:rsidRPr="007B3F44">
        <w:rPr>
          <w:sz w:val="24"/>
          <w:szCs w:val="24"/>
        </w:rPr>
        <w:t>:  Preventing Returns to Homelessness within 24 Months Among This Subset of Families and Youth</w:t>
      </w:r>
    </w:p>
    <w:p w:rsidR="00082FF0" w:rsidRPr="007B3F44" w:rsidP="007B3F44" w14:paraId="6CBB34A8" w14:textId="77777777">
      <w:pPr>
        <w:ind w:left="720"/>
        <w:rPr>
          <w:sz w:val="24"/>
          <w:szCs w:val="24"/>
        </w:rPr>
      </w:pPr>
      <w:r w:rsidRPr="003654E2">
        <w:rPr>
          <w:b/>
          <w:bCs/>
          <w:sz w:val="24"/>
          <w:szCs w:val="24"/>
        </w:rPr>
        <w:t>Measure 6c</w:t>
      </w:r>
      <w:r w:rsidRPr="007B3F44">
        <w:rPr>
          <w:sz w:val="24"/>
          <w:szCs w:val="24"/>
        </w:rPr>
        <w:t>:  Successful Housing Placement Among This Subset of Families and Youth</w:t>
      </w:r>
    </w:p>
    <w:p w:rsidR="00082FF0" w:rsidRPr="007B3F44" w:rsidP="007B3F44" w14:paraId="64E01221" w14:textId="77777777">
      <w:pPr>
        <w:ind w:left="720"/>
        <w:rPr>
          <w:sz w:val="24"/>
          <w:szCs w:val="24"/>
        </w:rPr>
      </w:pPr>
      <w:r w:rsidRPr="003654E2">
        <w:rPr>
          <w:b/>
          <w:bCs/>
          <w:sz w:val="24"/>
          <w:szCs w:val="24"/>
        </w:rPr>
        <w:t>Measure 7a</w:t>
      </w:r>
      <w:r w:rsidRPr="007B3F44">
        <w:rPr>
          <w:sz w:val="24"/>
          <w:szCs w:val="24"/>
        </w:rPr>
        <w:t>: Successful Placement from Street Outreach</w:t>
      </w:r>
    </w:p>
    <w:p w:rsidR="00082FF0" w:rsidRPr="007B3F44" w:rsidP="007B3F44" w14:paraId="03247AFF" w14:textId="77777777">
      <w:pPr>
        <w:ind w:left="720"/>
        <w:rPr>
          <w:sz w:val="24"/>
          <w:szCs w:val="24"/>
        </w:rPr>
      </w:pPr>
      <w:r w:rsidRPr="003654E2">
        <w:rPr>
          <w:b/>
          <w:bCs/>
          <w:sz w:val="24"/>
          <w:szCs w:val="24"/>
        </w:rPr>
        <w:t>Measure 7b</w:t>
      </w:r>
      <w:r w:rsidRPr="007B3F44">
        <w:rPr>
          <w:sz w:val="24"/>
          <w:szCs w:val="24"/>
        </w:rPr>
        <w:t>: Successful Placement in or Retention of Permanent Housing</w:t>
      </w:r>
    </w:p>
    <w:p w:rsidR="00082FF0" w:rsidRPr="007B3F44" w:rsidP="007B3F44" w14:paraId="298F378B" w14:textId="77777777">
      <w:pPr>
        <w:rPr>
          <w:sz w:val="24"/>
          <w:szCs w:val="24"/>
        </w:rPr>
      </w:pPr>
    </w:p>
    <w:p w:rsidR="00FA0983" w:rsidRPr="003654E2" w:rsidP="003654E2" w14:paraId="0D4E716F" w14:textId="69FDDD48">
      <w:pPr>
        <w:pStyle w:val="ListParagraph"/>
        <w:numPr>
          <w:ilvl w:val="0"/>
          <w:numId w:val="42"/>
        </w:numPr>
        <w:rPr>
          <w:sz w:val="24"/>
          <w:szCs w:val="24"/>
        </w:rPr>
      </w:pPr>
      <w:bookmarkStart w:id="12" w:name="_Toc224972103"/>
      <w:r w:rsidRPr="003654E2">
        <w:rPr>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3654E2" w:rsidP="007B3F44" w14:paraId="71F4BCCC" w14:textId="77777777">
      <w:pPr>
        <w:rPr>
          <w:sz w:val="24"/>
          <w:szCs w:val="24"/>
        </w:rPr>
      </w:pPr>
    </w:p>
    <w:p w:rsidR="00D36955" w:rsidRPr="003654E2" w:rsidP="00C45E8B" w14:paraId="365C21F6" w14:textId="04FCD143">
      <w:pPr>
        <w:ind w:left="720"/>
        <w:rPr>
          <w:b/>
          <w:bCs/>
          <w:sz w:val="24"/>
          <w:szCs w:val="24"/>
        </w:rPr>
      </w:pPr>
      <w:r w:rsidRPr="003654E2">
        <w:rPr>
          <w:b/>
          <w:bCs/>
          <w:sz w:val="24"/>
          <w:szCs w:val="24"/>
        </w:rPr>
        <w:t>APR for HUD’s CoC</w:t>
      </w:r>
    </w:p>
    <w:bookmarkEnd w:id="12"/>
    <w:p w:rsidR="003654E2" w:rsidP="00C45E8B" w14:paraId="59FD3DE1" w14:textId="77777777">
      <w:pPr>
        <w:overflowPunct/>
        <w:spacing w:line="264" w:lineRule="auto"/>
        <w:ind w:left="720"/>
        <w:textAlignment w:val="auto"/>
        <w:rPr>
          <w:sz w:val="24"/>
          <w:szCs w:val="22"/>
        </w:rPr>
      </w:pPr>
    </w:p>
    <w:p w:rsidR="00D36955" w:rsidRPr="00D36955" w:rsidP="00C45E8B" w14:paraId="2CB6C14F" w14:textId="54FBC68F">
      <w:pPr>
        <w:overflowPunct/>
        <w:spacing w:line="264" w:lineRule="auto"/>
        <w:ind w:left="720"/>
        <w:textAlignment w:val="auto"/>
        <w:rPr>
          <w:sz w:val="24"/>
          <w:szCs w:val="22"/>
        </w:rPr>
      </w:pPr>
      <w:r w:rsidRPr="00D36955">
        <w:rPr>
          <w:sz w:val="24"/>
          <w:szCs w:val="22"/>
        </w:rPr>
        <w:t xml:space="preserve">As described in Section A.2.1 above, HUD uses a web-based reporting tool integrated into HUD’s </w:t>
      </w:r>
      <w:r w:rsidRPr="00D36955">
        <w:rPr>
          <w:i/>
          <w:sz w:val="24"/>
          <w:szCs w:val="22"/>
        </w:rPr>
        <w:t>Sage</w:t>
      </w:r>
      <w:r w:rsidRPr="00D36955">
        <w:rPr>
          <w:sz w:val="24"/>
          <w:szCs w:val="22"/>
        </w:rPr>
        <w:t xml:space="preserve"> system.  To increase the accuracy of the data and reduce burden on grantees, the system will have the following capabilities:</w:t>
      </w:r>
    </w:p>
    <w:p w:rsidR="00D36955" w:rsidRPr="00D36955" w:rsidP="00C45E8B" w14:paraId="7A22C9CA" w14:textId="77777777">
      <w:pPr>
        <w:overflowPunct/>
        <w:spacing w:line="264" w:lineRule="auto"/>
        <w:ind w:left="720"/>
        <w:textAlignment w:val="auto"/>
        <w:rPr>
          <w:b/>
          <w:i/>
          <w:sz w:val="24"/>
          <w:szCs w:val="22"/>
        </w:rPr>
      </w:pPr>
    </w:p>
    <w:p w:rsidR="00D36955" w:rsidRPr="00D36955" w:rsidP="00C45E8B" w14:paraId="23A43F46" w14:textId="6959165F">
      <w:pPr>
        <w:numPr>
          <w:ilvl w:val="0"/>
          <w:numId w:val="19"/>
        </w:numPr>
        <w:tabs>
          <w:tab w:val="clear" w:pos="720"/>
          <w:tab w:val="num" w:pos="2880"/>
        </w:tabs>
        <w:overflowPunct/>
        <w:autoSpaceDE/>
        <w:autoSpaceDN/>
        <w:adjustRightInd/>
        <w:spacing w:after="120" w:line="264" w:lineRule="auto"/>
        <w:ind w:left="1050" w:hanging="330"/>
        <w:textAlignment w:val="auto"/>
        <w:rPr>
          <w:sz w:val="24"/>
          <w:szCs w:val="22"/>
        </w:rPr>
      </w:pPr>
      <w:r w:rsidRPr="00D36955">
        <w:rPr>
          <w:b/>
          <w:i/>
          <w:sz w:val="24"/>
          <w:szCs w:val="22"/>
        </w:rPr>
        <w:t>Some Performance Report</w:t>
      </w:r>
      <w:r w:rsidRPr="00D36955">
        <w:rPr>
          <w:sz w:val="24"/>
          <w:szCs w:val="22"/>
        </w:rPr>
        <w:t xml:space="preserve"> </w:t>
      </w:r>
      <w:r w:rsidRPr="00D36955">
        <w:rPr>
          <w:b/>
          <w:i/>
          <w:sz w:val="24"/>
          <w:szCs w:val="22"/>
        </w:rPr>
        <w:t>information will be pre-filled</w:t>
      </w:r>
      <w:r w:rsidRPr="00D36955">
        <w:rPr>
          <w:sz w:val="24"/>
          <w:szCs w:val="22"/>
        </w:rPr>
        <w:t>. The APR will be linked to information provided on the original application and L</w:t>
      </w:r>
      <w:r>
        <w:rPr>
          <w:sz w:val="24"/>
          <w:szCs w:val="22"/>
        </w:rPr>
        <w:t xml:space="preserve">ine of Credit </w:t>
      </w:r>
      <w:r w:rsidRPr="00D36955">
        <w:rPr>
          <w:sz w:val="24"/>
          <w:szCs w:val="22"/>
        </w:rPr>
        <w:t>C</w:t>
      </w:r>
      <w:r>
        <w:rPr>
          <w:sz w:val="24"/>
          <w:szCs w:val="22"/>
        </w:rPr>
        <w:t xml:space="preserve">ontrol </w:t>
      </w:r>
      <w:r w:rsidRPr="00D36955">
        <w:rPr>
          <w:sz w:val="24"/>
          <w:szCs w:val="22"/>
        </w:rPr>
        <w:t>S</w:t>
      </w:r>
      <w:r>
        <w:rPr>
          <w:sz w:val="24"/>
          <w:szCs w:val="22"/>
        </w:rPr>
        <w:t>ystem (LOCCS)</w:t>
      </w:r>
      <w:r w:rsidRPr="00D36955">
        <w:rPr>
          <w:sz w:val="24"/>
          <w:szCs w:val="22"/>
        </w:rPr>
        <w:t xml:space="preserve">  Portions of the APR will be pre-filled with information from these sources.  </w:t>
      </w:r>
    </w:p>
    <w:p w:rsidR="00D36955" w:rsidRPr="00D36955" w:rsidP="00C45E8B" w14:paraId="6F1C21B1" w14:textId="573ACD34">
      <w:pPr>
        <w:numPr>
          <w:ilvl w:val="0"/>
          <w:numId w:val="19"/>
        </w:numPr>
        <w:tabs>
          <w:tab w:val="clear" w:pos="720"/>
          <w:tab w:val="num" w:pos="1800"/>
        </w:tabs>
        <w:overflowPunct/>
        <w:autoSpaceDE/>
        <w:autoSpaceDN/>
        <w:adjustRightInd/>
        <w:spacing w:after="120" w:line="264" w:lineRule="auto"/>
        <w:ind w:left="1080"/>
        <w:textAlignment w:val="auto"/>
        <w:rPr>
          <w:sz w:val="24"/>
          <w:szCs w:val="22"/>
        </w:rPr>
      </w:pPr>
      <w:r>
        <w:rPr>
          <w:b/>
          <w:i/>
          <w:sz w:val="24"/>
          <w:szCs w:val="22"/>
        </w:rPr>
        <w:t>Comma Separated Value (</w:t>
      </w:r>
      <w:r w:rsidRPr="00D36955">
        <w:rPr>
          <w:b/>
          <w:i/>
          <w:sz w:val="24"/>
          <w:szCs w:val="22"/>
        </w:rPr>
        <w:t>CSV</w:t>
      </w:r>
      <w:r>
        <w:rPr>
          <w:b/>
          <w:i/>
          <w:sz w:val="24"/>
          <w:szCs w:val="22"/>
        </w:rPr>
        <w:t>)</w:t>
      </w:r>
      <w:r w:rsidRPr="00D36955">
        <w:rPr>
          <w:b/>
          <w:i/>
          <w:sz w:val="24"/>
          <w:szCs w:val="22"/>
        </w:rPr>
        <w:t xml:space="preserve"> import functionality.  </w:t>
      </w:r>
      <w:r w:rsidRPr="00D36955">
        <w:rPr>
          <w:sz w:val="24"/>
          <w:szCs w:val="22"/>
        </w:rPr>
        <w:t xml:space="preserve">The Sage system allows recipients to import their data directly from their local HMIS via a CSV import.  This saves recipients the time it would take to enter the data manually.  It also increases accuracy because the data comes directly from the system and cannot be manipulated once uploaded.  </w:t>
      </w:r>
    </w:p>
    <w:p w:rsidR="00D36955" w:rsidRPr="00D36955" w:rsidP="00C45E8B" w14:paraId="25456529" w14:textId="77777777">
      <w:pPr>
        <w:numPr>
          <w:ilvl w:val="0"/>
          <w:numId w:val="19"/>
        </w:numPr>
        <w:tabs>
          <w:tab w:val="clear" w:pos="720"/>
          <w:tab w:val="num" w:pos="1440"/>
          <w:tab w:val="left" w:pos="1800"/>
        </w:tabs>
        <w:overflowPunct/>
        <w:autoSpaceDE/>
        <w:autoSpaceDN/>
        <w:adjustRightInd/>
        <w:spacing w:after="120" w:line="264" w:lineRule="auto"/>
        <w:ind w:left="1050" w:hanging="330"/>
        <w:textAlignment w:val="auto"/>
        <w:rPr>
          <w:sz w:val="24"/>
          <w:szCs w:val="22"/>
        </w:rPr>
      </w:pPr>
      <w:r w:rsidRPr="00D36955">
        <w:rPr>
          <w:b/>
          <w:i/>
          <w:sz w:val="24"/>
          <w:szCs w:val="22"/>
        </w:rPr>
        <w:t>Built-in data quality checks</w:t>
      </w:r>
      <w:r w:rsidRPr="00D36955">
        <w:rPr>
          <w:sz w:val="24"/>
          <w:szCs w:val="22"/>
        </w:rPr>
        <w:t xml:space="preserve">. The </w:t>
      </w:r>
      <w:r w:rsidRPr="00D36955">
        <w:rPr>
          <w:i/>
          <w:sz w:val="24"/>
          <w:szCs w:val="22"/>
        </w:rPr>
        <w:t>Sage</w:t>
      </w:r>
      <w:r w:rsidRPr="00D36955">
        <w:rPr>
          <w:sz w:val="24"/>
          <w:szCs w:val="22"/>
        </w:rPr>
        <w:t xml:space="preserve"> system will check for data consistency and accuracy as grantees and/or project subrecipients complete the APR and will identify potential data issues for the user prior to submission.  This data quality check applies to both the data entered manually about the project and the data uploaded via CSV import.</w:t>
      </w:r>
    </w:p>
    <w:p w:rsidR="00D36955" w:rsidRPr="00D36955" w:rsidP="00C45E8B" w14:paraId="7246920F" w14:textId="77777777">
      <w:pPr>
        <w:numPr>
          <w:ilvl w:val="0"/>
          <w:numId w:val="19"/>
        </w:numPr>
        <w:tabs>
          <w:tab w:val="clear" w:pos="720"/>
          <w:tab w:val="num" w:pos="1080"/>
          <w:tab w:val="left" w:pos="1440"/>
          <w:tab w:val="left" w:pos="1800"/>
        </w:tabs>
        <w:overflowPunct/>
        <w:autoSpaceDE/>
        <w:autoSpaceDN/>
        <w:adjustRightInd/>
        <w:spacing w:after="120" w:line="264" w:lineRule="auto"/>
        <w:ind w:left="1080"/>
        <w:textAlignment w:val="auto"/>
        <w:rPr>
          <w:sz w:val="24"/>
          <w:szCs w:val="22"/>
        </w:rPr>
      </w:pPr>
      <w:r w:rsidRPr="00D36955">
        <w:rPr>
          <w:b/>
          <w:i/>
          <w:sz w:val="24"/>
          <w:szCs w:val="22"/>
        </w:rPr>
        <w:t>Use of pick-lists or drop-down menus</w:t>
      </w:r>
      <w:r w:rsidRPr="00D36955">
        <w:rPr>
          <w:sz w:val="24"/>
          <w:szCs w:val="22"/>
        </w:rPr>
        <w:t xml:space="preserve">.  The APR will contain drop-down menus where applicable to facilitate reporting and improve data quality.  </w:t>
      </w:r>
    </w:p>
    <w:p w:rsidR="00D36955" w:rsidRPr="00D36955" w:rsidP="00C45E8B" w14:paraId="185E442F" w14:textId="77777777">
      <w:pPr>
        <w:numPr>
          <w:ilvl w:val="0"/>
          <w:numId w:val="19"/>
        </w:numPr>
        <w:tabs>
          <w:tab w:val="clear" w:pos="720"/>
          <w:tab w:val="num" w:pos="1080"/>
          <w:tab w:val="left" w:pos="1440"/>
          <w:tab w:val="left" w:pos="1800"/>
        </w:tabs>
        <w:overflowPunct/>
        <w:autoSpaceDE/>
        <w:autoSpaceDN/>
        <w:adjustRightInd/>
        <w:spacing w:after="120" w:line="264" w:lineRule="auto"/>
        <w:ind w:left="1080"/>
        <w:textAlignment w:val="auto"/>
        <w:rPr>
          <w:sz w:val="24"/>
          <w:szCs w:val="22"/>
        </w:rPr>
      </w:pPr>
      <w:r w:rsidRPr="00D36955">
        <w:rPr>
          <w:b/>
          <w:i/>
          <w:sz w:val="24"/>
          <w:szCs w:val="22"/>
        </w:rPr>
        <w:t>Automated calculations</w:t>
      </w:r>
      <w:r w:rsidRPr="00D36955">
        <w:rPr>
          <w:sz w:val="24"/>
          <w:szCs w:val="22"/>
        </w:rPr>
        <w:t>. Rows or columns shaded in grey will be automatically calculated and thus do not require data entry or manual calculations.</w:t>
      </w:r>
    </w:p>
    <w:p w:rsidR="00D36955" w:rsidRPr="00D36955" w:rsidP="00C45E8B" w14:paraId="736A86ED" w14:textId="77777777">
      <w:pPr>
        <w:numPr>
          <w:ilvl w:val="0"/>
          <w:numId w:val="19"/>
        </w:numPr>
        <w:tabs>
          <w:tab w:val="clear" w:pos="720"/>
          <w:tab w:val="num" w:pos="1080"/>
          <w:tab w:val="left" w:pos="1440"/>
          <w:tab w:val="left" w:pos="1800"/>
        </w:tabs>
        <w:overflowPunct/>
        <w:autoSpaceDE/>
        <w:autoSpaceDN/>
        <w:adjustRightInd/>
        <w:spacing w:line="264" w:lineRule="auto"/>
        <w:ind w:left="1080"/>
        <w:textAlignment w:val="auto"/>
        <w:rPr>
          <w:sz w:val="24"/>
          <w:szCs w:val="22"/>
        </w:rPr>
      </w:pPr>
      <w:bookmarkStart w:id="13" w:name="_Hlk513472919"/>
      <w:r w:rsidRPr="00D36955">
        <w:rPr>
          <w:b/>
          <w:i/>
          <w:sz w:val="24"/>
          <w:szCs w:val="22"/>
        </w:rPr>
        <w:t>Other key features include</w:t>
      </w:r>
      <w:r w:rsidRPr="00D36955">
        <w:rPr>
          <w:sz w:val="24"/>
          <w:szCs w:val="22"/>
        </w:rPr>
        <w:t>:</w:t>
      </w:r>
    </w:p>
    <w:p w:rsidR="00D36955" w:rsidRPr="00D36955" w:rsidP="00C45E8B" w14:paraId="58C739B7" w14:textId="77777777">
      <w:pPr>
        <w:numPr>
          <w:ilvl w:val="0"/>
          <w:numId w:val="20"/>
        </w:numPr>
        <w:tabs>
          <w:tab w:val="clear" w:pos="720"/>
          <w:tab w:val="num" w:pos="1440"/>
          <w:tab w:val="left" w:pos="1800"/>
        </w:tabs>
        <w:overflowPunct/>
        <w:autoSpaceDE/>
        <w:autoSpaceDN/>
        <w:adjustRightInd/>
        <w:spacing w:after="120" w:line="264" w:lineRule="auto"/>
        <w:ind w:left="1440"/>
        <w:textAlignment w:val="auto"/>
        <w:rPr>
          <w:sz w:val="24"/>
          <w:szCs w:val="22"/>
        </w:rPr>
      </w:pPr>
      <w:r w:rsidRPr="00D36955">
        <w:rPr>
          <w:sz w:val="24"/>
          <w:szCs w:val="22"/>
        </w:rPr>
        <w:t>Secure data entry 256-bit SSL encryption for communications between the servers and web browsers.  User login, save/review, and submit—including user registration with authorizing grantee official verification; data entry, review, edit prior to final submission; and data submission date/time stamp.</w:t>
      </w:r>
    </w:p>
    <w:p w:rsidR="00D36955" w:rsidRPr="00D36955" w:rsidP="00C45E8B" w14:paraId="6DFE18FD" w14:textId="77777777">
      <w:pPr>
        <w:numPr>
          <w:ilvl w:val="0"/>
          <w:numId w:val="20"/>
        </w:numPr>
        <w:tabs>
          <w:tab w:val="clear" w:pos="720"/>
          <w:tab w:val="num" w:pos="1440"/>
          <w:tab w:val="left" w:pos="1800"/>
        </w:tabs>
        <w:overflowPunct/>
        <w:autoSpaceDE/>
        <w:autoSpaceDN/>
        <w:adjustRightInd/>
        <w:spacing w:after="120" w:line="264" w:lineRule="auto"/>
        <w:ind w:left="1440"/>
        <w:textAlignment w:val="auto"/>
        <w:rPr>
          <w:sz w:val="24"/>
          <w:szCs w:val="22"/>
        </w:rPr>
      </w:pPr>
      <w:r w:rsidRPr="00D36955">
        <w:rPr>
          <w:sz w:val="24"/>
          <w:szCs w:val="22"/>
        </w:rPr>
        <w:t xml:space="preserve">All pages which are loaded (with the exception of the CSV testing functionality and CAPER hyperlinks) are logged with the user accessing the page, the URL, the user’s ID, IP address, and web browser version.  Additionally, when the user-entered data is edited Sage saves the previous version of the record along with the user ID and date stamp of who entered the previous and current records.  </w:t>
      </w:r>
    </w:p>
    <w:p w:rsidR="00D36955" w:rsidRPr="00D36955" w:rsidP="00C45E8B" w14:paraId="4811973F" w14:textId="77777777">
      <w:pPr>
        <w:numPr>
          <w:ilvl w:val="0"/>
          <w:numId w:val="20"/>
        </w:numPr>
        <w:tabs>
          <w:tab w:val="clear" w:pos="720"/>
          <w:tab w:val="num" w:pos="1440"/>
          <w:tab w:val="left" w:pos="1800"/>
        </w:tabs>
        <w:overflowPunct/>
        <w:autoSpaceDE/>
        <w:autoSpaceDN/>
        <w:adjustRightInd/>
        <w:spacing w:after="120" w:line="264" w:lineRule="auto"/>
        <w:ind w:left="1440"/>
        <w:textAlignment w:val="auto"/>
        <w:rPr>
          <w:sz w:val="24"/>
          <w:szCs w:val="22"/>
        </w:rPr>
      </w:pPr>
      <w:r w:rsidRPr="00D36955">
        <w:rPr>
          <w:sz w:val="24"/>
          <w:szCs w:val="22"/>
        </w:rPr>
        <w:t>Electronic approval by authorizing grantee and sponsor officials.</w:t>
      </w:r>
    </w:p>
    <w:p w:rsidR="00D36955" w:rsidRPr="00D36955" w:rsidP="00C45E8B" w14:paraId="65E4371B" w14:textId="77777777">
      <w:pPr>
        <w:numPr>
          <w:ilvl w:val="0"/>
          <w:numId w:val="20"/>
        </w:numPr>
        <w:tabs>
          <w:tab w:val="clear" w:pos="720"/>
          <w:tab w:val="num" w:pos="1440"/>
          <w:tab w:val="left" w:pos="1800"/>
        </w:tabs>
        <w:overflowPunct/>
        <w:autoSpaceDE/>
        <w:autoSpaceDN/>
        <w:adjustRightInd/>
        <w:spacing w:after="120" w:line="264" w:lineRule="auto"/>
        <w:ind w:left="1440"/>
        <w:textAlignment w:val="auto"/>
        <w:rPr>
          <w:sz w:val="24"/>
          <w:szCs w:val="22"/>
        </w:rPr>
      </w:pPr>
      <w:r w:rsidRPr="00D36955">
        <w:rPr>
          <w:sz w:val="24"/>
          <w:szCs w:val="22"/>
        </w:rPr>
        <w:t>Navigation to access different sections/tables sequentially or non-sequentially.</w:t>
      </w:r>
    </w:p>
    <w:p w:rsidR="00D36955" w:rsidRPr="00D36955" w:rsidP="00C45E8B" w14:paraId="7F23043C" w14:textId="77777777">
      <w:pPr>
        <w:numPr>
          <w:ilvl w:val="0"/>
          <w:numId w:val="20"/>
        </w:numPr>
        <w:tabs>
          <w:tab w:val="clear" w:pos="720"/>
          <w:tab w:val="num" w:pos="1440"/>
          <w:tab w:val="left" w:pos="1800"/>
        </w:tabs>
        <w:overflowPunct/>
        <w:autoSpaceDE/>
        <w:autoSpaceDN/>
        <w:adjustRightInd/>
        <w:spacing w:after="120" w:line="264" w:lineRule="auto"/>
        <w:ind w:left="1440"/>
        <w:textAlignment w:val="auto"/>
        <w:rPr>
          <w:sz w:val="24"/>
          <w:szCs w:val="22"/>
        </w:rPr>
      </w:pPr>
      <w:r w:rsidRPr="00D36955">
        <w:rPr>
          <w:sz w:val="24"/>
          <w:szCs w:val="22"/>
        </w:rPr>
        <w:t>Help/look-up features—including HELP link to Performance Report instructions, definitions, or the HMIS Data Standards; RESOURCES tab with a link to the full Performance Report instructions; and integrated Help Desk support HUD’s Ask A Question (AAQ) portal.</w:t>
      </w:r>
    </w:p>
    <w:p w:rsidR="00D36955" w:rsidRPr="00D36955" w:rsidP="00C45E8B" w14:paraId="7D66748B" w14:textId="77777777">
      <w:pPr>
        <w:numPr>
          <w:ilvl w:val="0"/>
          <w:numId w:val="20"/>
        </w:numPr>
        <w:tabs>
          <w:tab w:val="clear" w:pos="720"/>
          <w:tab w:val="num" w:pos="1440"/>
          <w:tab w:val="left" w:pos="1800"/>
        </w:tabs>
        <w:overflowPunct/>
        <w:autoSpaceDE/>
        <w:autoSpaceDN/>
        <w:adjustRightInd/>
        <w:spacing w:line="264" w:lineRule="auto"/>
        <w:ind w:left="1440"/>
        <w:textAlignment w:val="auto"/>
        <w:rPr>
          <w:sz w:val="24"/>
          <w:szCs w:val="22"/>
        </w:rPr>
      </w:pPr>
      <w:r w:rsidRPr="00D36955">
        <w:rPr>
          <w:sz w:val="24"/>
          <w:szCs w:val="22"/>
        </w:rPr>
        <w:t>Integrated method for HUD review and approval—including interactive messaging with grantee contact to address questions/corrections; and HUD review and approval date/time stamp with grantee notification.</w:t>
      </w:r>
    </w:p>
    <w:p w:rsidR="00D36955" w:rsidRPr="00D36955" w:rsidP="00C45E8B" w14:paraId="5E91F759" w14:textId="77777777">
      <w:pPr>
        <w:numPr>
          <w:ilvl w:val="0"/>
          <w:numId w:val="20"/>
        </w:numPr>
        <w:tabs>
          <w:tab w:val="clear" w:pos="720"/>
          <w:tab w:val="num" w:pos="1440"/>
          <w:tab w:val="left" w:pos="1800"/>
        </w:tabs>
        <w:overflowPunct/>
        <w:autoSpaceDE/>
        <w:autoSpaceDN/>
        <w:adjustRightInd/>
        <w:spacing w:line="264" w:lineRule="auto"/>
        <w:ind w:left="1440"/>
        <w:textAlignment w:val="auto"/>
        <w:rPr>
          <w:sz w:val="24"/>
          <w:szCs w:val="22"/>
        </w:rPr>
      </w:pPr>
      <w:r w:rsidRPr="00D36955">
        <w:rPr>
          <w:sz w:val="24"/>
          <w:szCs w:val="22"/>
        </w:rPr>
        <w:t>Extensive reporting functionality for CoC’s and HUD to query and analyze data by program and component types.</w:t>
      </w:r>
    </w:p>
    <w:bookmarkEnd w:id="13"/>
    <w:p w:rsidR="003654E2" w:rsidP="00C45E8B" w14:paraId="67FEC3B3" w14:textId="77777777">
      <w:pPr>
        <w:ind w:left="360"/>
        <w:rPr>
          <w:sz w:val="24"/>
          <w:szCs w:val="24"/>
        </w:rPr>
      </w:pPr>
    </w:p>
    <w:p w:rsidR="00D36955" w:rsidRPr="003654E2" w:rsidP="00C45E8B" w14:paraId="26A96642" w14:textId="5CD4BA5F">
      <w:pPr>
        <w:ind w:left="1080"/>
        <w:rPr>
          <w:b/>
          <w:bCs/>
          <w:sz w:val="24"/>
          <w:szCs w:val="24"/>
        </w:rPr>
      </w:pPr>
      <w:r w:rsidRPr="003654E2">
        <w:rPr>
          <w:b/>
          <w:bCs/>
          <w:sz w:val="24"/>
          <w:szCs w:val="24"/>
        </w:rPr>
        <w:t>System-Level Performance Measures for Continuums of Care (CoCs)</w:t>
      </w:r>
    </w:p>
    <w:p w:rsidR="003654E2" w:rsidP="00C45E8B" w14:paraId="169C27A2" w14:textId="77777777">
      <w:pPr>
        <w:ind w:left="1080"/>
        <w:rPr>
          <w:sz w:val="24"/>
          <w:szCs w:val="24"/>
        </w:rPr>
      </w:pPr>
    </w:p>
    <w:p w:rsidR="00D36955" w:rsidRPr="007B3F44" w:rsidP="00C45E8B" w14:paraId="4BC4B556" w14:textId="33A6872A">
      <w:pPr>
        <w:ind w:left="1080"/>
        <w:rPr>
          <w:sz w:val="24"/>
          <w:szCs w:val="24"/>
        </w:rPr>
      </w:pPr>
      <w:r w:rsidRPr="007B3F44">
        <w:rPr>
          <w:sz w:val="24"/>
          <w:szCs w:val="24"/>
        </w:rPr>
        <w:t>As described in Section A.2.2 above, CoCs submit their system-level performance data electronically, through HUD’s HDX website.  Currently, CoCs use the HDX to submit the Longitudinal System Analysis (LSA), PIT count, and HIC data to HUD.  The addition of system-level performance measures required the development of a new module on the HDX website, but the user interface and log-in process are the same for CoCs as what they currently utilize to submit their PIT and HIC data to HUD.  To increase the accuracy of the data and reduce burden on CoCs, the HDX has the following capabilities:</w:t>
      </w:r>
    </w:p>
    <w:p w:rsidR="00D36955" w:rsidRPr="007B3F44" w:rsidP="00C45E8B" w14:paraId="546D8965" w14:textId="77777777">
      <w:pPr>
        <w:ind w:left="1080"/>
        <w:rPr>
          <w:i/>
          <w:sz w:val="24"/>
          <w:szCs w:val="24"/>
        </w:rPr>
      </w:pPr>
    </w:p>
    <w:p w:rsidR="003654E2" w:rsidRPr="003654E2" w:rsidP="00C45E8B" w14:paraId="09791A52" w14:textId="77777777">
      <w:pPr>
        <w:pStyle w:val="ListParagraph"/>
        <w:numPr>
          <w:ilvl w:val="0"/>
          <w:numId w:val="44"/>
        </w:numPr>
        <w:ind w:left="1440"/>
        <w:rPr>
          <w:i/>
          <w:sz w:val="24"/>
          <w:szCs w:val="24"/>
        </w:rPr>
      </w:pPr>
      <w:r w:rsidRPr="003654E2">
        <w:rPr>
          <w:b/>
          <w:bCs/>
          <w:i/>
          <w:sz w:val="24"/>
          <w:szCs w:val="24"/>
        </w:rPr>
        <w:t>Some Performance Report</w:t>
      </w:r>
      <w:r w:rsidRPr="003654E2">
        <w:rPr>
          <w:b/>
          <w:bCs/>
          <w:sz w:val="24"/>
          <w:szCs w:val="24"/>
        </w:rPr>
        <w:t xml:space="preserve"> </w:t>
      </w:r>
      <w:r w:rsidRPr="003654E2">
        <w:rPr>
          <w:b/>
          <w:bCs/>
          <w:i/>
          <w:sz w:val="24"/>
          <w:szCs w:val="24"/>
        </w:rPr>
        <w:t>information will be pre-filled</w:t>
      </w:r>
      <w:r w:rsidRPr="003654E2">
        <w:rPr>
          <w:b/>
          <w:bCs/>
          <w:sz w:val="24"/>
          <w:szCs w:val="24"/>
        </w:rPr>
        <w:t>.</w:t>
      </w:r>
      <w:r w:rsidRPr="003654E2">
        <w:rPr>
          <w:sz w:val="24"/>
          <w:szCs w:val="24"/>
        </w:rPr>
        <w:t xml:space="preserve"> Since some of the system-level performance measures include data from the PIT count, which is already entered into HDX by CoCs, this data will be pre-populated for those measures</w:t>
      </w:r>
      <w:r w:rsidRPr="003654E2">
        <w:rPr>
          <w:sz w:val="24"/>
          <w:szCs w:val="24"/>
        </w:rPr>
        <w:t>.</w:t>
      </w:r>
    </w:p>
    <w:p w:rsidR="003654E2" w:rsidP="00C45E8B" w14:paraId="1D38654F" w14:textId="77777777">
      <w:pPr>
        <w:pStyle w:val="ListParagraph"/>
        <w:numPr>
          <w:ilvl w:val="0"/>
          <w:numId w:val="44"/>
        </w:numPr>
        <w:ind w:left="1440"/>
        <w:rPr>
          <w:i/>
          <w:sz w:val="24"/>
          <w:szCs w:val="24"/>
        </w:rPr>
      </w:pPr>
      <w:r w:rsidRPr="003654E2">
        <w:rPr>
          <w:b/>
          <w:bCs/>
          <w:i/>
          <w:sz w:val="24"/>
          <w:szCs w:val="24"/>
        </w:rPr>
        <w:t>CSV import functionality.</w:t>
      </w:r>
      <w:r w:rsidRPr="003654E2">
        <w:rPr>
          <w:i/>
          <w:sz w:val="24"/>
          <w:szCs w:val="24"/>
        </w:rPr>
        <w:t xml:space="preserve">  </w:t>
      </w:r>
      <w:r w:rsidRPr="003654E2">
        <w:rPr>
          <w:sz w:val="24"/>
          <w:szCs w:val="24"/>
        </w:rPr>
        <w:t>The HDX system allows CoCs to import their data directly from their local HMIS via a CSV import.  This saves recipients the time it would take to enter the data manually.  It also increases accuracy because the data comes directly from the system and cannot be manipulated once uploaded.  If a recipient is unable to submit a CSV file it can manually enter the data in HDX.</w:t>
      </w:r>
      <w:r w:rsidRPr="003654E2">
        <w:rPr>
          <w:i/>
          <w:sz w:val="24"/>
          <w:szCs w:val="24"/>
        </w:rPr>
        <w:t xml:space="preserve"> </w:t>
      </w:r>
    </w:p>
    <w:p w:rsidR="003654E2" w:rsidP="00C45E8B" w14:paraId="7EF9EBB6" w14:textId="77777777">
      <w:pPr>
        <w:pStyle w:val="ListParagraph"/>
        <w:numPr>
          <w:ilvl w:val="0"/>
          <w:numId w:val="44"/>
        </w:numPr>
        <w:ind w:left="1440"/>
        <w:rPr>
          <w:sz w:val="24"/>
          <w:szCs w:val="24"/>
        </w:rPr>
      </w:pPr>
      <w:r w:rsidRPr="003654E2">
        <w:rPr>
          <w:b/>
          <w:bCs/>
          <w:i/>
          <w:sz w:val="24"/>
          <w:szCs w:val="24"/>
        </w:rPr>
        <w:t>Built-in data quality checks</w:t>
      </w:r>
      <w:r w:rsidRPr="003654E2">
        <w:rPr>
          <w:b/>
          <w:bCs/>
          <w:sz w:val="24"/>
          <w:szCs w:val="24"/>
        </w:rPr>
        <w:t>.</w:t>
      </w:r>
      <w:r w:rsidRPr="003654E2">
        <w:rPr>
          <w:sz w:val="24"/>
          <w:szCs w:val="24"/>
        </w:rPr>
        <w:t xml:space="preserve"> The HDX system will check for data consistency and accuracy as CoCs enter their data into the website.  HDX will identify potential data issues for the user prior to submission.</w:t>
      </w:r>
    </w:p>
    <w:p w:rsidR="003654E2" w:rsidP="00C45E8B" w14:paraId="0FE14979" w14:textId="77777777">
      <w:pPr>
        <w:pStyle w:val="ListParagraph"/>
        <w:numPr>
          <w:ilvl w:val="0"/>
          <w:numId w:val="44"/>
        </w:numPr>
        <w:ind w:left="1440"/>
        <w:rPr>
          <w:sz w:val="24"/>
          <w:szCs w:val="24"/>
        </w:rPr>
      </w:pPr>
      <w:r w:rsidRPr="003654E2">
        <w:rPr>
          <w:b/>
          <w:bCs/>
          <w:i/>
          <w:sz w:val="24"/>
          <w:szCs w:val="24"/>
        </w:rPr>
        <w:t>Automated calculations</w:t>
      </w:r>
      <w:r w:rsidRPr="003654E2">
        <w:rPr>
          <w:b/>
          <w:bCs/>
          <w:sz w:val="24"/>
          <w:szCs w:val="24"/>
        </w:rPr>
        <w:t>.</w:t>
      </w:r>
      <w:r w:rsidRPr="003654E2">
        <w:rPr>
          <w:sz w:val="24"/>
          <w:szCs w:val="24"/>
        </w:rPr>
        <w:t xml:space="preserve"> Rows or columns shaded in grey will be automatically calculated and thus do not require data entry or manual calculations.</w:t>
      </w:r>
    </w:p>
    <w:p w:rsidR="00D36955" w:rsidRPr="003654E2" w:rsidP="00C45E8B" w14:paraId="2AEB7131" w14:textId="6C4E38AE">
      <w:pPr>
        <w:pStyle w:val="ListParagraph"/>
        <w:numPr>
          <w:ilvl w:val="0"/>
          <w:numId w:val="44"/>
        </w:numPr>
        <w:ind w:left="1440"/>
        <w:rPr>
          <w:b/>
          <w:bCs/>
          <w:sz w:val="24"/>
          <w:szCs w:val="24"/>
        </w:rPr>
      </w:pPr>
      <w:r w:rsidRPr="003654E2">
        <w:rPr>
          <w:b/>
          <w:bCs/>
          <w:i/>
          <w:sz w:val="24"/>
          <w:szCs w:val="24"/>
        </w:rPr>
        <w:t>Other key features include</w:t>
      </w:r>
      <w:r w:rsidRPr="003654E2">
        <w:rPr>
          <w:b/>
          <w:bCs/>
          <w:sz w:val="24"/>
          <w:szCs w:val="24"/>
        </w:rPr>
        <w:t>:</w:t>
      </w:r>
    </w:p>
    <w:p w:rsidR="00D36955" w:rsidRPr="003654E2" w:rsidP="00C45E8B" w14:paraId="25622983" w14:textId="77777777">
      <w:pPr>
        <w:pStyle w:val="ListParagraph"/>
        <w:numPr>
          <w:ilvl w:val="0"/>
          <w:numId w:val="45"/>
        </w:numPr>
        <w:ind w:left="1800"/>
        <w:rPr>
          <w:sz w:val="24"/>
          <w:szCs w:val="24"/>
        </w:rPr>
      </w:pPr>
      <w:r w:rsidRPr="003654E2">
        <w:rPr>
          <w:sz w:val="24"/>
          <w:szCs w:val="24"/>
        </w:rPr>
        <w:t>Secure data entry (128-bit encryption).</w:t>
      </w:r>
    </w:p>
    <w:p w:rsidR="00D36955" w:rsidRPr="003654E2" w:rsidP="00C45E8B" w14:paraId="41DF4FB8" w14:textId="77777777">
      <w:pPr>
        <w:pStyle w:val="ListParagraph"/>
        <w:numPr>
          <w:ilvl w:val="0"/>
          <w:numId w:val="45"/>
        </w:numPr>
        <w:ind w:left="1800"/>
        <w:rPr>
          <w:sz w:val="24"/>
          <w:szCs w:val="24"/>
        </w:rPr>
      </w:pPr>
      <w:r w:rsidRPr="003654E2">
        <w:rPr>
          <w:sz w:val="24"/>
          <w:szCs w:val="24"/>
        </w:rPr>
        <w:t>User login, save/review, and submit—including user registration with authorizing CoC representative; data entry, review, edit prior to final submission; and data submission date/time stamp.</w:t>
      </w:r>
    </w:p>
    <w:p w:rsidR="00D36955" w:rsidRPr="003654E2" w:rsidP="00C45E8B" w14:paraId="2F022A79" w14:textId="77777777">
      <w:pPr>
        <w:pStyle w:val="ListParagraph"/>
        <w:numPr>
          <w:ilvl w:val="0"/>
          <w:numId w:val="45"/>
        </w:numPr>
        <w:ind w:left="1800"/>
        <w:rPr>
          <w:sz w:val="24"/>
          <w:szCs w:val="24"/>
        </w:rPr>
      </w:pPr>
      <w:r w:rsidRPr="003654E2">
        <w:rPr>
          <w:sz w:val="24"/>
          <w:szCs w:val="24"/>
        </w:rPr>
        <w:t>Electronic signature/approval by representative of the CoC.</w:t>
      </w:r>
    </w:p>
    <w:p w:rsidR="00D36955" w:rsidRPr="003654E2" w:rsidP="00C45E8B" w14:paraId="01243BA1" w14:textId="77777777">
      <w:pPr>
        <w:pStyle w:val="ListParagraph"/>
        <w:numPr>
          <w:ilvl w:val="0"/>
          <w:numId w:val="45"/>
        </w:numPr>
        <w:ind w:left="1800"/>
        <w:rPr>
          <w:sz w:val="24"/>
          <w:szCs w:val="24"/>
        </w:rPr>
      </w:pPr>
      <w:r w:rsidRPr="003654E2">
        <w:rPr>
          <w:sz w:val="24"/>
          <w:szCs w:val="24"/>
        </w:rPr>
        <w:t>Navigation to access different sections/tables sequentially or non-sequentially.</w:t>
      </w:r>
    </w:p>
    <w:p w:rsidR="00D36955" w:rsidRPr="003654E2" w:rsidP="00C45E8B" w14:paraId="66103088" w14:textId="77777777">
      <w:pPr>
        <w:pStyle w:val="ListParagraph"/>
        <w:numPr>
          <w:ilvl w:val="0"/>
          <w:numId w:val="45"/>
        </w:numPr>
        <w:ind w:left="1800"/>
        <w:rPr>
          <w:sz w:val="24"/>
          <w:szCs w:val="24"/>
        </w:rPr>
      </w:pPr>
      <w:r w:rsidRPr="003654E2">
        <w:rPr>
          <w:sz w:val="24"/>
          <w:szCs w:val="24"/>
        </w:rPr>
        <w:t>Help/look-up features—including highlight text linked to system-level performance measure instructions, definitions, or the HMIS Data Standards; a link to resources and guidance on the measures; and integrated Help Desk support through HUD’s Ask A Question (AAQ) portal.</w:t>
      </w:r>
    </w:p>
    <w:p w:rsidR="00D36955" w:rsidRPr="003654E2" w:rsidP="00C45E8B" w14:paraId="55A76EB1" w14:textId="1622AF38">
      <w:pPr>
        <w:pStyle w:val="ListParagraph"/>
        <w:numPr>
          <w:ilvl w:val="0"/>
          <w:numId w:val="45"/>
        </w:numPr>
        <w:ind w:left="1800"/>
        <w:rPr>
          <w:sz w:val="24"/>
          <w:szCs w:val="24"/>
        </w:rPr>
      </w:pPr>
      <w:r w:rsidRPr="003654E2">
        <w:rPr>
          <w:sz w:val="24"/>
          <w:szCs w:val="24"/>
        </w:rPr>
        <w:t>Integrated method for HUD review and approval—including interactive messaging with CoC to address questions/corrections; and HUD review and approval date/time stamp with grantee notification</w:t>
      </w:r>
    </w:p>
    <w:p w:rsidR="003654E2" w:rsidP="007B3F44" w14:paraId="256C6182" w14:textId="77777777">
      <w:pPr>
        <w:rPr>
          <w:sz w:val="24"/>
          <w:szCs w:val="24"/>
        </w:rPr>
      </w:pPr>
    </w:p>
    <w:p w:rsidR="009E13B1" w:rsidRPr="003654E2" w:rsidP="003654E2" w14:paraId="1C0AE1D0" w14:textId="615CF075">
      <w:pPr>
        <w:pStyle w:val="ListParagraph"/>
        <w:numPr>
          <w:ilvl w:val="0"/>
          <w:numId w:val="42"/>
        </w:numPr>
        <w:rPr>
          <w:sz w:val="24"/>
          <w:szCs w:val="24"/>
        </w:rPr>
      </w:pPr>
      <w:r w:rsidRPr="003654E2">
        <w:rPr>
          <w:sz w:val="24"/>
          <w:szCs w:val="24"/>
        </w:rPr>
        <w:t>Describe efforts to identify duplication.  Show specifically why any similar information already available cannot be used or modified for use for the purposes described in Item 2 above.</w:t>
      </w:r>
    </w:p>
    <w:p w:rsidR="00D36955" w:rsidRPr="007B3F44" w:rsidP="007B3F44" w14:paraId="5E784321" w14:textId="77777777">
      <w:pPr>
        <w:rPr>
          <w:sz w:val="24"/>
          <w:szCs w:val="24"/>
        </w:rPr>
      </w:pPr>
    </w:p>
    <w:p w:rsidR="00D36955" w:rsidRPr="007B3F44" w:rsidP="003654E2" w14:paraId="46B43E53" w14:textId="5582522D">
      <w:pPr>
        <w:ind w:left="720"/>
        <w:rPr>
          <w:sz w:val="24"/>
          <w:szCs w:val="24"/>
        </w:rPr>
      </w:pPr>
      <w:r w:rsidRPr="007B3F44">
        <w:rPr>
          <w:sz w:val="24"/>
          <w:szCs w:val="24"/>
        </w:rPr>
        <w:t xml:space="preserve">The APR for the CoC Program is the only annual report that HUD requires CoC Program-funded projects to submit for HUD to evaluate project performance and outcomes.  </w:t>
      </w:r>
    </w:p>
    <w:p w:rsidR="00D36955" w:rsidRPr="007B3F44" w:rsidP="003654E2" w14:paraId="0BC7E13A" w14:textId="77777777">
      <w:pPr>
        <w:ind w:left="720"/>
        <w:rPr>
          <w:sz w:val="24"/>
          <w:szCs w:val="24"/>
        </w:rPr>
      </w:pPr>
    </w:p>
    <w:p w:rsidR="00486E85" w:rsidP="00486E85" w14:paraId="39549079" w14:textId="77777777">
      <w:pPr>
        <w:ind w:left="720"/>
        <w:rPr>
          <w:sz w:val="24"/>
          <w:szCs w:val="24"/>
        </w:rPr>
      </w:pPr>
      <w:r w:rsidRPr="007B3F44">
        <w:rPr>
          <w:sz w:val="24"/>
          <w:szCs w:val="24"/>
        </w:rPr>
        <w:t>The system-level performance measure data are not duplicative of any existing system-wide performance data currently collected by HUD.  The LSA data is focused on household-level performance measures, while the system performance measures calculate person-level progress towards the system performance selection criteria outlined by section 427(b)(1)(A) of the McKinney-Vento Homeless Assistance Act, as amended, and will allow HUD to compare this data among various CoCs and improvements between reporting periods</w:t>
      </w:r>
      <w:r w:rsidR="003654E2">
        <w:rPr>
          <w:sz w:val="24"/>
          <w:szCs w:val="24"/>
        </w:rPr>
        <w:t>.</w:t>
      </w:r>
    </w:p>
    <w:p w:rsidR="00486E85" w:rsidP="00486E85" w14:paraId="4E527C27" w14:textId="77777777">
      <w:pPr>
        <w:rPr>
          <w:sz w:val="24"/>
          <w:szCs w:val="24"/>
        </w:rPr>
      </w:pPr>
    </w:p>
    <w:p w:rsidR="009E13B1" w:rsidRPr="00486E85" w:rsidP="00486E85" w14:paraId="689A9EFC" w14:textId="7DA8535F">
      <w:pPr>
        <w:pStyle w:val="ListParagraph"/>
        <w:numPr>
          <w:ilvl w:val="0"/>
          <w:numId w:val="42"/>
        </w:numPr>
        <w:rPr>
          <w:sz w:val="24"/>
          <w:szCs w:val="24"/>
        </w:rPr>
      </w:pPr>
      <w:r w:rsidRPr="00486E85">
        <w:rPr>
          <w:sz w:val="24"/>
          <w:szCs w:val="24"/>
        </w:rPr>
        <w:t>If the collection of information impacts small businesses or other small entities describe any methods used to minimize burden.</w:t>
      </w:r>
    </w:p>
    <w:p w:rsidR="00D36955" w:rsidRPr="007B3F44" w:rsidP="007B3F44" w14:paraId="350B5329" w14:textId="77777777">
      <w:pPr>
        <w:rPr>
          <w:sz w:val="24"/>
          <w:szCs w:val="24"/>
        </w:rPr>
      </w:pPr>
    </w:p>
    <w:p w:rsidR="00D36955" w:rsidRPr="007B3F44" w:rsidP="00486E85" w14:paraId="3012E4FA" w14:textId="3D936CDB">
      <w:pPr>
        <w:ind w:left="720"/>
        <w:rPr>
          <w:sz w:val="24"/>
          <w:szCs w:val="24"/>
        </w:rPr>
      </w:pPr>
      <w:r w:rsidRPr="007B3F44">
        <w:rPr>
          <w:sz w:val="24"/>
          <w:szCs w:val="24"/>
        </w:rPr>
        <w:t xml:space="preserve">No small businesses are involved as respondents to this data collection effort. HUD’s APRs are completed by recipients and subrecipients receiving HUD homeless assistance funding through the CoC Program and YHDP.  </w:t>
      </w:r>
    </w:p>
    <w:p w:rsidR="00D36955" w:rsidRPr="007B3F44" w:rsidP="00486E85" w14:paraId="5FE70D82" w14:textId="77777777">
      <w:pPr>
        <w:ind w:left="720"/>
        <w:rPr>
          <w:sz w:val="24"/>
          <w:szCs w:val="24"/>
        </w:rPr>
      </w:pPr>
    </w:p>
    <w:p w:rsidR="00D36955" w:rsidRPr="007B3F44" w:rsidP="00486E85" w14:paraId="3DFE0F6A" w14:textId="5BC3E573">
      <w:pPr>
        <w:ind w:left="720"/>
        <w:rPr>
          <w:sz w:val="24"/>
          <w:szCs w:val="24"/>
        </w:rPr>
      </w:pPr>
      <w:r w:rsidRPr="007B3F44">
        <w:rPr>
          <w:sz w:val="24"/>
          <w:szCs w:val="24"/>
        </w:rPr>
        <w:t xml:space="preserve">System-level performance data will be provided by authorized representatives of local Continuums of Care. </w:t>
      </w:r>
    </w:p>
    <w:p w:rsidR="00D36955" w:rsidRPr="007B3F44" w:rsidP="007B3F44" w14:paraId="56A23185" w14:textId="77777777">
      <w:pPr>
        <w:rPr>
          <w:sz w:val="24"/>
          <w:szCs w:val="24"/>
        </w:rPr>
      </w:pPr>
    </w:p>
    <w:p w:rsidR="009E13B1" w:rsidRPr="007B3F44" w:rsidP="007B3F44" w14:paraId="0ED21226" w14:textId="77777777">
      <w:pPr>
        <w:rPr>
          <w:sz w:val="24"/>
          <w:szCs w:val="24"/>
        </w:rPr>
      </w:pPr>
    </w:p>
    <w:p w:rsidR="009E13B1" w:rsidRPr="00486E85" w:rsidP="00486E85" w14:paraId="2C0F0529" w14:textId="456BB32E">
      <w:pPr>
        <w:pStyle w:val="ListParagraph"/>
        <w:numPr>
          <w:ilvl w:val="0"/>
          <w:numId w:val="42"/>
        </w:numPr>
        <w:rPr>
          <w:sz w:val="24"/>
          <w:szCs w:val="24"/>
        </w:rPr>
      </w:pPr>
      <w:r w:rsidRPr="00486E85">
        <w:rPr>
          <w:sz w:val="24"/>
          <w:szCs w:val="24"/>
        </w:rPr>
        <w:t>Describe the consequence to Federal program or policy activities if the collection is not conducted or is conducted less frequently, as well as any technical or legal obstacles to reducing burden.</w:t>
      </w:r>
    </w:p>
    <w:p w:rsidR="00D36955" w:rsidRPr="007B3F44" w:rsidP="007B3F44" w14:paraId="40A4BD67" w14:textId="77777777">
      <w:pPr>
        <w:rPr>
          <w:spacing w:val="-2"/>
          <w:sz w:val="24"/>
          <w:szCs w:val="24"/>
        </w:rPr>
      </w:pPr>
    </w:p>
    <w:p w:rsidR="00D36955" w:rsidRPr="007B3F44" w:rsidP="00486E85" w14:paraId="797F20E4" w14:textId="499B9741">
      <w:pPr>
        <w:ind w:left="720"/>
        <w:rPr>
          <w:spacing w:val="-2"/>
          <w:sz w:val="24"/>
          <w:szCs w:val="24"/>
        </w:rPr>
      </w:pPr>
      <w:r w:rsidRPr="007B3F44">
        <w:rPr>
          <w:spacing w:val="-2"/>
          <w:sz w:val="24"/>
          <w:szCs w:val="24"/>
        </w:rPr>
        <w:t xml:space="preserve">Historically, HUD has used the APR for homeless assistance programs to evaluate all homeless assistance projects on an annual basis (except that annual reporting under the Emergency Solutions Grants is done via the Consolidated Annual Performance and Evaluation Report (CAPER)).   Less frequent data collection would significantly reduce HUD’s ability to assess program performance and ensure compliance with program requirements and federal regulations and would weaken HUD’s ability to analyze how projects are contributing to the goal of ending homelessness.  </w:t>
      </w:r>
    </w:p>
    <w:p w:rsidR="00D36955" w:rsidRPr="007B3F44" w:rsidP="00486E85" w14:paraId="1D1DD5F9" w14:textId="77777777">
      <w:pPr>
        <w:ind w:left="720"/>
        <w:rPr>
          <w:spacing w:val="-2"/>
          <w:sz w:val="24"/>
          <w:szCs w:val="24"/>
        </w:rPr>
      </w:pPr>
    </w:p>
    <w:p w:rsidR="00D36955" w:rsidRPr="007B3F44" w:rsidP="00486E85" w14:paraId="1CA670C6" w14:textId="77777777">
      <w:pPr>
        <w:ind w:left="720"/>
        <w:rPr>
          <w:color w:val="000000"/>
          <w:spacing w:val="-4"/>
          <w:sz w:val="24"/>
          <w:szCs w:val="24"/>
        </w:rPr>
      </w:pPr>
      <w:r w:rsidRPr="007B3F44">
        <w:rPr>
          <w:color w:val="000000"/>
          <w:spacing w:val="-4"/>
          <w:sz w:val="24"/>
          <w:szCs w:val="24"/>
        </w:rPr>
        <w:t>With respect to system-level performance data, HUD is complying with the McKinney-Vento Homeless Assistance Act to collect data on these system indicators as part of the CoC Program competition.  Further, collection of this data on a less frequent basis may compromise the quality of the data that are collected and limit the ability of HUD to see national trends in the data.</w:t>
      </w:r>
    </w:p>
    <w:p w:rsidR="00486E85" w:rsidP="007B3F44" w14:paraId="2013D5CC" w14:textId="77777777">
      <w:pPr>
        <w:rPr>
          <w:color w:val="000000"/>
          <w:spacing w:val="-4"/>
          <w:sz w:val="24"/>
          <w:szCs w:val="24"/>
        </w:rPr>
      </w:pPr>
    </w:p>
    <w:p w:rsidR="00A65F9E" w:rsidRPr="00486E85" w:rsidP="00486E85" w14:paraId="2B3F5C7B" w14:textId="33F0632B">
      <w:pPr>
        <w:pStyle w:val="ListParagraph"/>
        <w:numPr>
          <w:ilvl w:val="0"/>
          <w:numId w:val="42"/>
        </w:numPr>
        <w:rPr>
          <w:color w:val="000000"/>
          <w:spacing w:val="-4"/>
          <w:sz w:val="24"/>
          <w:szCs w:val="24"/>
        </w:rPr>
      </w:pPr>
      <w:r w:rsidRPr="00486E85">
        <w:rPr>
          <w:sz w:val="24"/>
          <w:szCs w:val="24"/>
        </w:rPr>
        <w:t>Explain any special circumstances that would cause an information collection to be conducted in a manner:</w:t>
      </w:r>
    </w:p>
    <w:p w:rsidR="009E13B1" w:rsidRPr="007B3F44" w:rsidP="007B3F44" w14:paraId="38CBA337" w14:textId="77777777">
      <w:pPr>
        <w:rPr>
          <w:sz w:val="24"/>
          <w:szCs w:val="24"/>
        </w:rPr>
      </w:pPr>
      <w:r w:rsidRPr="007B3F44">
        <w:rPr>
          <w:sz w:val="24"/>
          <w:szCs w:val="24"/>
        </w:rPr>
        <w:t xml:space="preserve"> </w:t>
      </w:r>
    </w:p>
    <w:p w:rsidR="009E13B1" w:rsidRPr="0078584F" w:rsidP="0078584F" w14:paraId="77414839" w14:textId="3DFE90E1">
      <w:pPr>
        <w:pStyle w:val="ListParagraph"/>
        <w:numPr>
          <w:ilvl w:val="0"/>
          <w:numId w:val="48"/>
        </w:numPr>
        <w:rPr>
          <w:sz w:val="24"/>
          <w:szCs w:val="24"/>
        </w:rPr>
      </w:pPr>
      <w:r w:rsidRPr="0078584F">
        <w:rPr>
          <w:sz w:val="24"/>
          <w:szCs w:val="24"/>
        </w:rPr>
        <w:t>requiring respondents to report information to the agency more than quarterly;</w:t>
      </w:r>
      <w:r w:rsidRPr="0078584F" w:rsidR="00D36955">
        <w:rPr>
          <w:sz w:val="24"/>
          <w:szCs w:val="24"/>
        </w:rPr>
        <w:t xml:space="preserve"> </w:t>
      </w:r>
      <w:r w:rsidRPr="0078584F" w:rsidR="0078584F">
        <w:rPr>
          <w:b/>
          <w:bCs/>
          <w:sz w:val="24"/>
          <w:szCs w:val="24"/>
        </w:rPr>
        <w:t>N/A</w:t>
      </w:r>
      <w:r w:rsidRPr="0078584F">
        <w:rPr>
          <w:sz w:val="24"/>
          <w:szCs w:val="24"/>
        </w:rPr>
        <w:t xml:space="preserve"> </w:t>
      </w:r>
    </w:p>
    <w:p w:rsidR="00A65F9E" w:rsidRPr="007B3F44" w:rsidP="00486E85" w14:paraId="1E7CAB58" w14:textId="77777777">
      <w:pPr>
        <w:ind w:left="720"/>
        <w:rPr>
          <w:sz w:val="24"/>
          <w:szCs w:val="24"/>
        </w:rPr>
      </w:pPr>
    </w:p>
    <w:p w:rsidR="009E13B1" w:rsidRPr="0078584F" w:rsidP="0078584F" w14:paraId="2FC61388" w14:textId="70726B91">
      <w:pPr>
        <w:pStyle w:val="ListParagraph"/>
        <w:numPr>
          <w:ilvl w:val="0"/>
          <w:numId w:val="48"/>
        </w:numPr>
        <w:rPr>
          <w:sz w:val="24"/>
          <w:szCs w:val="24"/>
        </w:rPr>
      </w:pPr>
      <w:r w:rsidRPr="0078584F">
        <w:rPr>
          <w:sz w:val="24"/>
          <w:szCs w:val="24"/>
        </w:rPr>
        <w:t xml:space="preserve">requiring respondents to prepare a written response to a collection of information in fewer than 30 days after receipt of it; </w:t>
      </w:r>
      <w:r w:rsidRPr="0078584F" w:rsidR="0078584F">
        <w:rPr>
          <w:b/>
          <w:bCs/>
          <w:sz w:val="24"/>
          <w:szCs w:val="24"/>
        </w:rPr>
        <w:t>N/A</w:t>
      </w:r>
    </w:p>
    <w:p w:rsidR="00A65F9E" w:rsidRPr="007B3F44" w:rsidP="00486E85" w14:paraId="5CE80399" w14:textId="77777777">
      <w:pPr>
        <w:ind w:left="720"/>
        <w:rPr>
          <w:sz w:val="24"/>
          <w:szCs w:val="24"/>
        </w:rPr>
      </w:pPr>
    </w:p>
    <w:p w:rsidR="009E13B1" w:rsidRPr="0078584F" w:rsidP="0078584F" w14:paraId="4BDEF174" w14:textId="216098B1">
      <w:pPr>
        <w:pStyle w:val="ListParagraph"/>
        <w:numPr>
          <w:ilvl w:val="0"/>
          <w:numId w:val="48"/>
        </w:numPr>
        <w:rPr>
          <w:sz w:val="24"/>
          <w:szCs w:val="24"/>
        </w:rPr>
      </w:pPr>
      <w:r w:rsidRPr="0078584F">
        <w:rPr>
          <w:sz w:val="24"/>
          <w:szCs w:val="24"/>
        </w:rPr>
        <w:t>requiring respondents to submit more than an original and two copies of any document;</w:t>
      </w:r>
      <w:r w:rsidR="0078584F">
        <w:rPr>
          <w:sz w:val="24"/>
          <w:szCs w:val="24"/>
        </w:rPr>
        <w:t xml:space="preserve"> </w:t>
      </w:r>
      <w:r w:rsidRPr="0078584F" w:rsidR="0078584F">
        <w:rPr>
          <w:b/>
          <w:bCs/>
          <w:sz w:val="24"/>
          <w:szCs w:val="24"/>
        </w:rPr>
        <w:t>N/A</w:t>
      </w:r>
      <w:r w:rsidRPr="0078584F">
        <w:rPr>
          <w:sz w:val="24"/>
          <w:szCs w:val="24"/>
        </w:rPr>
        <w:t xml:space="preserve"> </w:t>
      </w:r>
    </w:p>
    <w:p w:rsidR="00A65F9E" w:rsidRPr="007B3F44" w:rsidP="00486E85" w14:paraId="42E1C60F" w14:textId="77777777">
      <w:pPr>
        <w:ind w:left="720"/>
        <w:rPr>
          <w:sz w:val="24"/>
          <w:szCs w:val="24"/>
        </w:rPr>
      </w:pPr>
    </w:p>
    <w:p w:rsidR="009E13B1" w:rsidRPr="0078584F" w:rsidP="0078584F" w14:paraId="6A77FBE6" w14:textId="5D1BC6D6">
      <w:pPr>
        <w:pStyle w:val="ListParagraph"/>
        <w:numPr>
          <w:ilvl w:val="0"/>
          <w:numId w:val="48"/>
        </w:numPr>
        <w:rPr>
          <w:sz w:val="24"/>
          <w:szCs w:val="24"/>
        </w:rPr>
      </w:pPr>
      <w:r w:rsidRPr="0078584F">
        <w:rPr>
          <w:sz w:val="24"/>
          <w:szCs w:val="24"/>
        </w:rPr>
        <w:t>requiring respondents to retain records other than health, medical, government contract, grant-in-aid, or tax records for more than three years;</w:t>
      </w:r>
      <w:r w:rsidRPr="0078584F" w:rsidR="00D36955">
        <w:rPr>
          <w:sz w:val="24"/>
          <w:szCs w:val="24"/>
        </w:rPr>
        <w:t xml:space="preserve"> </w:t>
      </w:r>
      <w:r w:rsidRPr="0078584F" w:rsidR="0078584F">
        <w:rPr>
          <w:b/>
          <w:bCs/>
          <w:sz w:val="24"/>
          <w:szCs w:val="24"/>
        </w:rPr>
        <w:t>N/A</w:t>
      </w:r>
      <w:r w:rsidRPr="0078584F">
        <w:rPr>
          <w:sz w:val="24"/>
          <w:szCs w:val="24"/>
        </w:rPr>
        <w:t xml:space="preserve"> </w:t>
      </w:r>
    </w:p>
    <w:p w:rsidR="00A65F9E" w:rsidRPr="007B3F44" w:rsidP="00486E85" w14:paraId="18078737" w14:textId="77777777">
      <w:pPr>
        <w:ind w:left="720"/>
        <w:rPr>
          <w:sz w:val="24"/>
          <w:szCs w:val="24"/>
        </w:rPr>
      </w:pPr>
    </w:p>
    <w:p w:rsidR="009E13B1" w:rsidRPr="0078584F" w:rsidP="0078584F" w14:paraId="73DB0897" w14:textId="7D69A2BE">
      <w:pPr>
        <w:pStyle w:val="ListParagraph"/>
        <w:numPr>
          <w:ilvl w:val="0"/>
          <w:numId w:val="48"/>
        </w:numPr>
        <w:rPr>
          <w:b/>
          <w:bCs/>
          <w:sz w:val="24"/>
          <w:szCs w:val="24"/>
        </w:rPr>
      </w:pPr>
      <w:r w:rsidRPr="0078584F">
        <w:rPr>
          <w:sz w:val="24"/>
          <w:szCs w:val="24"/>
        </w:rPr>
        <w:t xml:space="preserve">in connection with a statistical survey, that is not designed to produce valid and reliable results than can be generalized to the universe of study; </w:t>
      </w:r>
      <w:r w:rsidRPr="0078584F" w:rsidR="0078584F">
        <w:rPr>
          <w:b/>
          <w:bCs/>
          <w:sz w:val="24"/>
          <w:szCs w:val="24"/>
        </w:rPr>
        <w:t>N/A</w:t>
      </w:r>
    </w:p>
    <w:p w:rsidR="00D36955" w:rsidRPr="007B3F44" w:rsidP="00486E85" w14:paraId="48A30391" w14:textId="77777777">
      <w:pPr>
        <w:ind w:left="720"/>
        <w:rPr>
          <w:sz w:val="24"/>
          <w:szCs w:val="24"/>
        </w:rPr>
      </w:pPr>
    </w:p>
    <w:p w:rsidR="00A65F9E" w:rsidRPr="0078584F" w:rsidP="0078584F" w14:paraId="34E5913A" w14:textId="11CE8DF4">
      <w:pPr>
        <w:pStyle w:val="ListParagraph"/>
        <w:numPr>
          <w:ilvl w:val="0"/>
          <w:numId w:val="48"/>
        </w:numPr>
        <w:rPr>
          <w:sz w:val="24"/>
          <w:szCs w:val="24"/>
        </w:rPr>
      </w:pPr>
      <w:r w:rsidRPr="0078584F">
        <w:rPr>
          <w:sz w:val="24"/>
          <w:szCs w:val="24"/>
        </w:rPr>
        <w:t>requiring the use of a statistical data classification that has not been reviewed and approved by OMB;</w:t>
      </w:r>
      <w:r w:rsidR="0078584F">
        <w:rPr>
          <w:sz w:val="24"/>
          <w:szCs w:val="24"/>
        </w:rPr>
        <w:t xml:space="preserve"> </w:t>
      </w:r>
      <w:r w:rsidRPr="0078584F" w:rsidR="0078584F">
        <w:rPr>
          <w:b/>
          <w:bCs/>
          <w:sz w:val="24"/>
          <w:szCs w:val="24"/>
        </w:rPr>
        <w:t>N/A</w:t>
      </w:r>
    </w:p>
    <w:p w:rsidR="009E13B1" w:rsidRPr="007B3F44" w:rsidP="0078584F" w14:paraId="66012806" w14:textId="2E643BAC">
      <w:pPr>
        <w:ind w:left="720" w:firstLine="60"/>
        <w:rPr>
          <w:sz w:val="24"/>
          <w:szCs w:val="24"/>
        </w:rPr>
      </w:pPr>
    </w:p>
    <w:p w:rsidR="009E13B1" w:rsidRPr="0078584F" w:rsidP="0078584F" w14:paraId="556952BC" w14:textId="0662D697">
      <w:pPr>
        <w:pStyle w:val="ListParagraph"/>
        <w:numPr>
          <w:ilvl w:val="0"/>
          <w:numId w:val="48"/>
        </w:numPr>
        <w:rPr>
          <w:sz w:val="24"/>
          <w:szCs w:val="24"/>
        </w:rPr>
      </w:pPr>
      <w:r w:rsidRPr="0078584F">
        <w:rPr>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r w:rsidRPr="0078584F" w:rsidR="0078584F">
        <w:rPr>
          <w:b/>
          <w:bCs/>
          <w:sz w:val="24"/>
          <w:szCs w:val="24"/>
        </w:rPr>
        <w:t>N/A</w:t>
      </w:r>
      <w:r w:rsidRPr="0078584F" w:rsidR="00D36955">
        <w:rPr>
          <w:sz w:val="24"/>
          <w:szCs w:val="24"/>
        </w:rPr>
        <w:t xml:space="preserve"> </w:t>
      </w:r>
    </w:p>
    <w:p w:rsidR="00A65F9E" w:rsidRPr="007B3F44" w:rsidP="00486E85" w14:paraId="4497C6FF" w14:textId="77777777">
      <w:pPr>
        <w:ind w:left="720"/>
        <w:rPr>
          <w:sz w:val="24"/>
          <w:szCs w:val="24"/>
        </w:rPr>
      </w:pPr>
    </w:p>
    <w:p w:rsidR="009E13B1" w:rsidRPr="0078584F" w:rsidP="0078584F" w14:paraId="0DB9F02B" w14:textId="58EB507A">
      <w:pPr>
        <w:pStyle w:val="ListParagraph"/>
        <w:numPr>
          <w:ilvl w:val="0"/>
          <w:numId w:val="48"/>
        </w:numPr>
        <w:rPr>
          <w:sz w:val="24"/>
          <w:szCs w:val="24"/>
        </w:rPr>
      </w:pPr>
      <w:r w:rsidRPr="0078584F">
        <w:rPr>
          <w:sz w:val="24"/>
          <w:szCs w:val="24"/>
        </w:rPr>
        <w:t>requiring respondents to submit proprietary trade secret, or other confidential information unless the agency can demonstrate that it has instituted procedures to protect the information's confidentiality to the extent permitted by law.</w:t>
      </w:r>
      <w:r w:rsidRPr="0078584F" w:rsidR="00D36955">
        <w:rPr>
          <w:sz w:val="24"/>
          <w:szCs w:val="24"/>
        </w:rPr>
        <w:t xml:space="preserve"> </w:t>
      </w:r>
      <w:r w:rsidRPr="0078584F" w:rsidR="0078584F">
        <w:rPr>
          <w:b/>
          <w:bCs/>
          <w:sz w:val="24"/>
          <w:szCs w:val="24"/>
        </w:rPr>
        <w:t>N/A</w:t>
      </w:r>
    </w:p>
    <w:p w:rsidR="00D36955" w:rsidRPr="007B3F44" w:rsidP="00486E85" w14:paraId="240C36FF" w14:textId="77777777">
      <w:pPr>
        <w:ind w:left="720"/>
        <w:rPr>
          <w:sz w:val="24"/>
          <w:szCs w:val="24"/>
        </w:rPr>
      </w:pPr>
    </w:p>
    <w:p w:rsidR="00D36955" w:rsidRPr="007B3F44" w:rsidP="00486E85" w14:paraId="2EC2DFFF" w14:textId="4EEE38F7">
      <w:pPr>
        <w:ind w:left="720"/>
        <w:rPr>
          <w:sz w:val="24"/>
          <w:szCs w:val="24"/>
        </w:rPr>
      </w:pPr>
      <w:r w:rsidRPr="007B3F44">
        <w:rPr>
          <w:sz w:val="24"/>
          <w:szCs w:val="24"/>
        </w:rPr>
        <w:t>The proposed data collection activities are consistent with the guidelines set forth in 5 CFR 1320.6 (Controlling Paperwork Burden on the Public—General Information Collection Guidelines).  There are no special circumstances that require deviation from these guidelines</w:t>
      </w:r>
    </w:p>
    <w:p w:rsidR="00D36955" w:rsidRPr="007B3F44" w:rsidP="007B3F44" w14:paraId="0BE36C6A" w14:textId="77777777">
      <w:pPr>
        <w:rPr>
          <w:sz w:val="24"/>
          <w:szCs w:val="24"/>
        </w:rPr>
      </w:pPr>
    </w:p>
    <w:p w:rsidR="00A65F9E" w:rsidRPr="00486E85" w:rsidP="00486E85" w14:paraId="663A6B8B" w14:textId="4A450350">
      <w:pPr>
        <w:pStyle w:val="ListParagraph"/>
        <w:numPr>
          <w:ilvl w:val="0"/>
          <w:numId w:val="42"/>
        </w:numPr>
        <w:rPr>
          <w:sz w:val="24"/>
          <w:szCs w:val="24"/>
        </w:rPr>
      </w:pPr>
      <w:r w:rsidRPr="00486E85">
        <w:rPr>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9E13B1" w:rsidRPr="007B3F44" w:rsidP="007B3F44" w14:paraId="6A3CAD41" w14:textId="77777777">
      <w:pPr>
        <w:rPr>
          <w:sz w:val="24"/>
          <w:szCs w:val="24"/>
        </w:rPr>
      </w:pPr>
      <w:r w:rsidRPr="007B3F44">
        <w:rPr>
          <w:sz w:val="24"/>
          <w:szCs w:val="24"/>
        </w:rPr>
        <w:t xml:space="preserve"> </w:t>
      </w:r>
    </w:p>
    <w:p w:rsidR="009E13B1" w:rsidRPr="00486E85" w:rsidP="00486E85" w14:paraId="34CF76D2" w14:textId="77777777">
      <w:pPr>
        <w:pStyle w:val="ListParagraph"/>
        <w:numPr>
          <w:ilvl w:val="0"/>
          <w:numId w:val="46"/>
        </w:numPr>
        <w:ind w:left="1080"/>
        <w:rPr>
          <w:sz w:val="24"/>
          <w:szCs w:val="24"/>
        </w:rPr>
      </w:pPr>
      <w:r w:rsidRPr="00486E85">
        <w:rPr>
          <w:sz w:val="24"/>
          <w:szCs w:val="24"/>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A65F9E" w:rsidRPr="007B3F44" w:rsidP="00486E85" w14:paraId="160E38D3" w14:textId="77777777">
      <w:pPr>
        <w:ind w:left="360"/>
        <w:rPr>
          <w:sz w:val="24"/>
          <w:szCs w:val="24"/>
        </w:rPr>
      </w:pPr>
    </w:p>
    <w:p w:rsidR="00D36955" w:rsidRPr="00486E85" w:rsidP="00486E85" w14:paraId="70A76061" w14:textId="77777777">
      <w:pPr>
        <w:pStyle w:val="ListParagraph"/>
        <w:numPr>
          <w:ilvl w:val="0"/>
          <w:numId w:val="46"/>
        </w:numPr>
        <w:ind w:left="1080"/>
        <w:rPr>
          <w:sz w:val="24"/>
          <w:szCs w:val="24"/>
        </w:rPr>
      </w:pPr>
      <w:r w:rsidRPr="00486E85">
        <w:rPr>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w:t>
      </w:r>
    </w:p>
    <w:p w:rsidR="00D36955" w:rsidRPr="007B3F44" w:rsidP="007B3F44" w14:paraId="67D2623A" w14:textId="77777777">
      <w:pPr>
        <w:rPr>
          <w:sz w:val="24"/>
          <w:szCs w:val="24"/>
        </w:rPr>
      </w:pPr>
    </w:p>
    <w:p w:rsidR="00D36955" w:rsidRPr="007B3F44" w:rsidP="00486E85" w14:paraId="4C3EEE8A" w14:textId="5C7DF950">
      <w:pPr>
        <w:ind w:left="720"/>
        <w:rPr>
          <w:sz w:val="24"/>
          <w:szCs w:val="24"/>
        </w:rPr>
      </w:pPr>
      <w:r w:rsidRPr="007B3F44">
        <w:rPr>
          <w:sz w:val="24"/>
          <w:szCs w:val="24"/>
        </w:rPr>
        <w:t xml:space="preserve">In accordance with 5 CFR 1320.8(d), the agency’s notice announcing this collection of information appeared in the Federal Register on October 15, 2024, (Volume 89, No 83035).  The public was given until December 16, 2024, to submit comments on the proposed information collection.  0 Comment(s) were received.   </w:t>
      </w:r>
    </w:p>
    <w:p w:rsidR="00486E85" w:rsidP="00486E85" w14:paraId="3BC0EA30" w14:textId="77777777">
      <w:pPr>
        <w:ind w:left="720"/>
        <w:rPr>
          <w:sz w:val="24"/>
          <w:szCs w:val="24"/>
        </w:rPr>
      </w:pPr>
    </w:p>
    <w:p w:rsidR="00D36955" w:rsidRPr="007B3F44" w:rsidP="00486E85" w14:paraId="6C3DD679" w14:textId="1ABC1010">
      <w:pPr>
        <w:ind w:left="720"/>
        <w:rPr>
          <w:sz w:val="24"/>
          <w:szCs w:val="24"/>
        </w:rPr>
      </w:pPr>
      <w:r w:rsidRPr="00486E85">
        <w:rPr>
          <w:b/>
          <w:bCs/>
          <w:sz w:val="24"/>
          <w:szCs w:val="24"/>
        </w:rPr>
        <w:t>APR for HUD’s CoC Program</w:t>
      </w:r>
      <w:r w:rsidRPr="007B3F44">
        <w:rPr>
          <w:sz w:val="24"/>
          <w:szCs w:val="24"/>
        </w:rPr>
        <w:t>: Field Office Consultation</w:t>
      </w:r>
    </w:p>
    <w:p w:rsidR="00486E85" w:rsidP="00486E85" w14:paraId="06E483AC" w14:textId="77777777">
      <w:pPr>
        <w:ind w:left="720"/>
        <w:rPr>
          <w:sz w:val="24"/>
          <w:szCs w:val="24"/>
        </w:rPr>
      </w:pPr>
      <w:r w:rsidRPr="007B3F44">
        <w:rPr>
          <w:sz w:val="24"/>
          <w:szCs w:val="24"/>
        </w:rPr>
        <w:t xml:space="preserve">The HUD Headquarters team field office meets throughout the year to discuss potential revisions to the APR.  </w:t>
      </w:r>
    </w:p>
    <w:p w:rsidR="00486E85" w:rsidP="00486E85" w14:paraId="094C1EA8" w14:textId="77777777">
      <w:pPr>
        <w:rPr>
          <w:sz w:val="24"/>
          <w:szCs w:val="24"/>
        </w:rPr>
      </w:pPr>
    </w:p>
    <w:p w:rsidR="009E13B1" w:rsidRPr="00486E85" w:rsidP="00486E85" w14:paraId="0FD54BC5" w14:textId="5BB3199D">
      <w:pPr>
        <w:pStyle w:val="ListParagraph"/>
        <w:numPr>
          <w:ilvl w:val="0"/>
          <w:numId w:val="42"/>
        </w:numPr>
        <w:rPr>
          <w:sz w:val="24"/>
          <w:szCs w:val="24"/>
        </w:rPr>
      </w:pPr>
      <w:r w:rsidRPr="00486E85">
        <w:rPr>
          <w:sz w:val="24"/>
          <w:szCs w:val="24"/>
        </w:rPr>
        <w:t>Explain any decision to provide any payment or gift to respondents, other than renumeration of contractors or grantees.</w:t>
      </w:r>
    </w:p>
    <w:p w:rsidR="00486E85" w:rsidP="007B3F44" w14:paraId="7DC48D36" w14:textId="77777777">
      <w:pPr>
        <w:rPr>
          <w:sz w:val="24"/>
          <w:szCs w:val="24"/>
        </w:rPr>
      </w:pPr>
    </w:p>
    <w:p w:rsidR="00D36955" w:rsidRPr="007B3F44" w:rsidP="00486E85" w14:paraId="62CF8B89" w14:textId="24697BF1">
      <w:pPr>
        <w:ind w:left="720"/>
        <w:rPr>
          <w:sz w:val="24"/>
          <w:szCs w:val="24"/>
        </w:rPr>
      </w:pPr>
      <w:r w:rsidRPr="007B3F44">
        <w:rPr>
          <w:sz w:val="24"/>
          <w:szCs w:val="24"/>
        </w:rPr>
        <w:t>HUD does not provide remuneration to recipients for completion and submission of APRs or local system-level performance measure data reported through HDX or the performance data check-up</w:t>
      </w:r>
    </w:p>
    <w:p w:rsidR="00486E85" w:rsidP="007B3F44" w14:paraId="20440A47" w14:textId="77777777">
      <w:pPr>
        <w:rPr>
          <w:sz w:val="24"/>
          <w:szCs w:val="24"/>
        </w:rPr>
      </w:pPr>
    </w:p>
    <w:p w:rsidR="009E13B1" w:rsidRPr="00486E85" w:rsidP="00486E85" w14:paraId="199B10B5" w14:textId="7FD4CA47">
      <w:pPr>
        <w:pStyle w:val="ListParagraph"/>
        <w:numPr>
          <w:ilvl w:val="0"/>
          <w:numId w:val="42"/>
        </w:numPr>
        <w:rPr>
          <w:sz w:val="24"/>
          <w:szCs w:val="24"/>
        </w:rPr>
      </w:pPr>
      <w:r w:rsidRPr="00486E85">
        <w:rPr>
          <w:sz w:val="24"/>
          <w:szCs w:val="24"/>
        </w:rPr>
        <w:t>Describe any assurance of confidentiality provided to respondents and the basis for assurance in statute, regulation or agency policy.</w:t>
      </w:r>
      <w:r w:rsidRPr="00486E85" w:rsidR="000D5079">
        <w:rPr>
          <w:sz w:val="24"/>
          <w:szCs w:val="24"/>
        </w:rPr>
        <w:t xml:space="preserve"> If the collection requires a </w:t>
      </w:r>
      <w:r w:rsidRPr="00486E85" w:rsidR="00BB2518">
        <w:rPr>
          <w:sz w:val="24"/>
          <w:szCs w:val="24"/>
        </w:rPr>
        <w:t>system of records notice (SORN)</w:t>
      </w:r>
      <w:r w:rsidRPr="00486E85" w:rsidR="000D5079">
        <w:rPr>
          <w:sz w:val="24"/>
          <w:szCs w:val="24"/>
        </w:rPr>
        <w:t xml:space="preserve"> or privacy impact assessment (PIA), those should be cited and described here.</w:t>
      </w:r>
    </w:p>
    <w:p w:rsidR="00D36955" w:rsidRPr="007B3F44" w:rsidP="007B3F44" w14:paraId="7A09C192" w14:textId="77777777">
      <w:pPr>
        <w:rPr>
          <w:sz w:val="24"/>
          <w:szCs w:val="24"/>
        </w:rPr>
      </w:pPr>
      <w:r w:rsidRPr="007B3F44">
        <w:rPr>
          <w:sz w:val="24"/>
          <w:szCs w:val="24"/>
        </w:rPr>
        <w:tab/>
      </w:r>
    </w:p>
    <w:p w:rsidR="00D36955" w:rsidRPr="007B3F44" w:rsidP="00486E85" w14:paraId="5DC3A1C7" w14:textId="148CD666">
      <w:pPr>
        <w:ind w:left="720"/>
        <w:rPr>
          <w:sz w:val="24"/>
          <w:szCs w:val="24"/>
        </w:rPr>
      </w:pPr>
      <w:r w:rsidRPr="007B3F44">
        <w:rPr>
          <w:sz w:val="24"/>
          <w:szCs w:val="24"/>
        </w:rPr>
        <w:t xml:space="preserve">The APR and the system-level performance data only aggregate data on the number and characteristics of persons receiving homeless assistance services. These reports do not contain any protected personal information. </w:t>
      </w:r>
    </w:p>
    <w:p w:rsidR="00D36955" w:rsidRPr="007B3F44" w:rsidP="00486E85" w14:paraId="352229F5" w14:textId="77777777">
      <w:pPr>
        <w:ind w:left="720"/>
        <w:rPr>
          <w:sz w:val="24"/>
          <w:szCs w:val="24"/>
        </w:rPr>
      </w:pPr>
    </w:p>
    <w:p w:rsidR="00D36955" w:rsidRPr="007B3F44" w:rsidP="00486E85" w14:paraId="7AB06D99" w14:textId="77777777">
      <w:pPr>
        <w:ind w:left="720"/>
        <w:rPr>
          <w:sz w:val="24"/>
          <w:szCs w:val="24"/>
        </w:rPr>
      </w:pPr>
      <w:r w:rsidRPr="007B3F44">
        <w:rPr>
          <w:sz w:val="24"/>
          <w:szCs w:val="24"/>
        </w:rPr>
        <w:t>HUD does collect contact information from the persons who submit the reports (e.g. name, phone number, e-mail, work address), but it does not publish this information outside of systems. The contact information is only accessible within the password-protected Sage system and used to contact the person with further questions about the reports.</w:t>
      </w:r>
    </w:p>
    <w:p w:rsidR="00D36955" w:rsidRPr="007B3F44" w:rsidP="007B3F44" w14:paraId="7F032CDA" w14:textId="5D697F5D">
      <w:pPr>
        <w:rPr>
          <w:sz w:val="24"/>
          <w:szCs w:val="24"/>
        </w:rPr>
      </w:pPr>
    </w:p>
    <w:p w:rsidR="009E13B1" w:rsidRPr="00486E85" w:rsidP="00486E85" w14:paraId="668EAA31" w14:textId="06D1D11C">
      <w:pPr>
        <w:pStyle w:val="ListParagraph"/>
        <w:numPr>
          <w:ilvl w:val="0"/>
          <w:numId w:val="42"/>
        </w:numPr>
        <w:rPr>
          <w:sz w:val="24"/>
          <w:szCs w:val="24"/>
        </w:rPr>
      </w:pPr>
      <w:r w:rsidRPr="00486E85">
        <w:rPr>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E13B1" w:rsidRPr="007B3F44" w:rsidP="007B3F44" w14:paraId="0A2401BB" w14:textId="77777777">
      <w:pPr>
        <w:rPr>
          <w:sz w:val="24"/>
          <w:szCs w:val="24"/>
        </w:rPr>
      </w:pPr>
    </w:p>
    <w:p w:rsidR="00D36955" w:rsidRPr="007B3F44" w:rsidP="00486E85" w14:paraId="70616469" w14:textId="00A15A20">
      <w:pPr>
        <w:ind w:left="720"/>
        <w:rPr>
          <w:sz w:val="24"/>
          <w:szCs w:val="24"/>
        </w:rPr>
      </w:pPr>
      <w:r w:rsidRPr="007B3F44">
        <w:rPr>
          <w:sz w:val="24"/>
          <w:szCs w:val="24"/>
        </w:rPr>
        <w:t>The APR, system-level performance measures, and performance data check-up do not include questions of a sensitive nature for HUD grantees or subgrantees. </w:t>
      </w:r>
    </w:p>
    <w:p w:rsidR="00D36955" w:rsidRPr="007B3F44" w:rsidP="007B3F44" w14:paraId="6356161D" w14:textId="77777777">
      <w:pPr>
        <w:rPr>
          <w:sz w:val="24"/>
          <w:szCs w:val="24"/>
        </w:rPr>
      </w:pPr>
    </w:p>
    <w:p w:rsidR="000D5079" w:rsidRPr="00486E85" w:rsidP="00486E85" w14:paraId="7C95C366" w14:textId="5C218143">
      <w:pPr>
        <w:pStyle w:val="ListParagraph"/>
        <w:numPr>
          <w:ilvl w:val="0"/>
          <w:numId w:val="42"/>
        </w:numPr>
        <w:rPr>
          <w:sz w:val="24"/>
          <w:szCs w:val="24"/>
        </w:rPr>
      </w:pPr>
      <w:r w:rsidRPr="00486E85">
        <w:rPr>
          <w:sz w:val="24"/>
          <w:szCs w:val="24"/>
        </w:rPr>
        <w:t>Provide estimates of the hour burden of the collection of information.  The statement should:</w:t>
      </w:r>
    </w:p>
    <w:p w:rsidR="009E13B1" w:rsidRPr="007B3F44" w:rsidP="007B3F44" w14:paraId="1876208F" w14:textId="77777777">
      <w:pPr>
        <w:rPr>
          <w:sz w:val="24"/>
          <w:szCs w:val="24"/>
        </w:rPr>
      </w:pPr>
      <w:r w:rsidRPr="007B3F44">
        <w:rPr>
          <w:sz w:val="24"/>
          <w:szCs w:val="24"/>
        </w:rPr>
        <w:t xml:space="preserve"> </w:t>
      </w:r>
    </w:p>
    <w:p w:rsidR="009E13B1" w:rsidRPr="00486E85" w:rsidP="00486E85" w14:paraId="06CBD536" w14:textId="77777777">
      <w:pPr>
        <w:pStyle w:val="ListParagraph"/>
        <w:numPr>
          <w:ilvl w:val="0"/>
          <w:numId w:val="47"/>
        </w:numPr>
        <w:rPr>
          <w:sz w:val="24"/>
          <w:szCs w:val="24"/>
        </w:rPr>
      </w:pPr>
      <w:r w:rsidRPr="00486E85">
        <w:rPr>
          <w:sz w:val="24"/>
          <w:szCs w:val="24"/>
        </w:rPr>
        <w:t>I</w:t>
      </w:r>
      <w:r w:rsidRPr="00486E85">
        <w:rPr>
          <w:sz w:val="24"/>
          <w:szCs w:val="24"/>
        </w:rPr>
        <w:t xml:space="preserve">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w:t>
      </w:r>
      <w:r w:rsidRPr="00486E85" w:rsidR="006C7FAE">
        <w:rPr>
          <w:sz w:val="24"/>
          <w:szCs w:val="24"/>
        </w:rPr>
        <w:t>Generally,</w:t>
      </w:r>
      <w:r w:rsidRPr="00486E85">
        <w:rPr>
          <w:sz w:val="24"/>
          <w:szCs w:val="24"/>
        </w:rPr>
        <w:t xml:space="preserve"> estimates should not include burden hours for customary and usual business practices; </w:t>
      </w:r>
    </w:p>
    <w:p w:rsidR="009E13B1" w:rsidRPr="00486E85" w:rsidP="00486E85" w14:paraId="54BF2220" w14:textId="77777777">
      <w:pPr>
        <w:pStyle w:val="ListParagraph"/>
        <w:numPr>
          <w:ilvl w:val="0"/>
          <w:numId w:val="47"/>
        </w:numPr>
        <w:rPr>
          <w:sz w:val="24"/>
          <w:szCs w:val="24"/>
        </w:rPr>
      </w:pPr>
      <w:r w:rsidRPr="00486E85">
        <w:rPr>
          <w:sz w:val="24"/>
          <w:szCs w:val="24"/>
        </w:rPr>
        <w:t>I</w:t>
      </w:r>
      <w:r w:rsidRPr="00486E85">
        <w:rPr>
          <w:sz w:val="24"/>
          <w:szCs w:val="24"/>
        </w:rPr>
        <w:t xml:space="preserve">f this request covers more than one form, provide separate hour burden estimates for each form and aggregate the hour burdens in </w:t>
      </w:r>
      <w:r w:rsidRPr="00486E85" w:rsidR="00CA06CC">
        <w:rPr>
          <w:sz w:val="24"/>
          <w:szCs w:val="24"/>
        </w:rPr>
        <w:t>chart below</w:t>
      </w:r>
      <w:r w:rsidRPr="00486E85">
        <w:rPr>
          <w:sz w:val="24"/>
          <w:szCs w:val="24"/>
        </w:rPr>
        <w:t xml:space="preserve">; and </w:t>
      </w:r>
    </w:p>
    <w:p w:rsidR="009E13B1" w:rsidRPr="00486E85" w:rsidP="00486E85" w14:paraId="438D1797" w14:textId="77777777">
      <w:pPr>
        <w:pStyle w:val="ListParagraph"/>
        <w:numPr>
          <w:ilvl w:val="0"/>
          <w:numId w:val="47"/>
        </w:numPr>
        <w:rPr>
          <w:sz w:val="24"/>
          <w:szCs w:val="24"/>
        </w:rPr>
      </w:pPr>
      <w:r w:rsidRPr="00486E85">
        <w:rPr>
          <w:sz w:val="24"/>
          <w:szCs w:val="24"/>
        </w:rPr>
        <w:t>P</w:t>
      </w:r>
      <w:r w:rsidRPr="00486E85">
        <w:rPr>
          <w:sz w:val="24"/>
          <w:szCs w:val="24"/>
        </w:rPr>
        <w:t xml:space="preserve">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r w:rsidRPr="00486E85" w:rsidR="00CA06CC">
        <w:rPr>
          <w:sz w:val="24"/>
          <w:szCs w:val="24"/>
        </w:rPr>
        <w:t>Instead,</w:t>
      </w:r>
      <w:r w:rsidRPr="00486E85">
        <w:rPr>
          <w:sz w:val="24"/>
          <w:szCs w:val="24"/>
        </w:rPr>
        <w:t xml:space="preserve"> this cost should be included in Item 13.</w:t>
      </w:r>
    </w:p>
    <w:p w:rsidR="00D36955" w:rsidRPr="007B3F44" w:rsidP="007B3F44" w14:paraId="2FF5A46E" w14:textId="77777777">
      <w:pPr>
        <w:rPr>
          <w:sz w:val="24"/>
          <w:szCs w:val="24"/>
        </w:rPr>
      </w:pPr>
    </w:p>
    <w:p w:rsidR="00D36955" w:rsidRPr="007B3F44" w:rsidP="00871CFA" w14:paraId="48156F39" w14:textId="54D35C77">
      <w:pPr>
        <w:ind w:left="720"/>
        <w:rPr>
          <w:spacing w:val="-2"/>
          <w:sz w:val="24"/>
          <w:szCs w:val="24"/>
        </w:rPr>
      </w:pPr>
      <w:r w:rsidRPr="007B3F44">
        <w:rPr>
          <w:color w:val="000000"/>
          <w:sz w:val="24"/>
          <w:szCs w:val="24"/>
        </w:rPr>
        <w:t>The exhibits below demonstrate how the public burden for the APR and the system-level performance measure data were calculated.  The total burden for data collection for the reports over a one-year period, including quarterly reporting for 220 unsheltered grant recipients, is estimated at 47,474 hours, which is a decrease from the estimated burden of 50,530 for completing the APR under the last clearance (OMB Approval No. 2506-0145).</w:t>
      </w:r>
      <w:r w:rsidRPr="007B3F44">
        <w:rPr>
          <w:spacing w:val="-2"/>
          <w:sz w:val="24"/>
          <w:szCs w:val="24"/>
        </w:rPr>
        <w:t xml:space="preserve"> </w:t>
      </w:r>
    </w:p>
    <w:p w:rsidR="00D36955" w:rsidRPr="007B3F44" w:rsidP="00871CFA" w14:paraId="7958AA81" w14:textId="77777777">
      <w:pPr>
        <w:ind w:left="720"/>
        <w:rPr>
          <w:color w:val="000000"/>
          <w:sz w:val="24"/>
          <w:szCs w:val="24"/>
        </w:rPr>
      </w:pPr>
      <w:r w:rsidRPr="007B3F44">
        <w:rPr>
          <w:color w:val="000000"/>
          <w:sz w:val="24"/>
          <w:szCs w:val="24"/>
        </w:rPr>
        <w:t xml:space="preserve">  </w:t>
      </w:r>
    </w:p>
    <w:p w:rsidR="00D36955" w:rsidRPr="00871CFA" w:rsidP="00871CFA" w14:paraId="59921E08" w14:textId="75EB83EE">
      <w:pPr>
        <w:ind w:left="720"/>
        <w:rPr>
          <w:color w:val="000000"/>
          <w:sz w:val="24"/>
          <w:szCs w:val="24"/>
          <w:u w:val="single"/>
        </w:rPr>
      </w:pPr>
      <w:r w:rsidRPr="00871CFA">
        <w:rPr>
          <w:color w:val="000000"/>
          <w:sz w:val="24"/>
          <w:szCs w:val="24"/>
          <w:u w:val="single"/>
        </w:rPr>
        <w:t xml:space="preserve">Burden Estimates for </w:t>
      </w:r>
      <w:r w:rsidRPr="00871CFA">
        <w:rPr>
          <w:sz w:val="24"/>
          <w:szCs w:val="24"/>
          <w:u w:val="single"/>
        </w:rPr>
        <w:t>APR for HUD’s Homeless Assistance Programs</w:t>
      </w:r>
      <w:r w:rsidRPr="00871CFA" w:rsidR="00871CFA">
        <w:rPr>
          <w:sz w:val="24"/>
          <w:szCs w:val="24"/>
          <w:u w:val="single"/>
        </w:rPr>
        <w:t>:</w:t>
      </w:r>
    </w:p>
    <w:p w:rsidR="00D36955" w:rsidRPr="007B3F44" w:rsidP="00871CFA" w14:paraId="55970CD2" w14:textId="77777777">
      <w:pPr>
        <w:ind w:left="720"/>
        <w:rPr>
          <w:color w:val="000000"/>
          <w:sz w:val="24"/>
          <w:szCs w:val="24"/>
        </w:rPr>
      </w:pPr>
    </w:p>
    <w:p w:rsidR="00D36955" w:rsidRPr="007B3F44" w:rsidP="00871CFA" w14:paraId="1ED3AE0E" w14:textId="77777777">
      <w:pPr>
        <w:ind w:left="720"/>
        <w:rPr>
          <w:color w:val="000000"/>
          <w:sz w:val="24"/>
          <w:szCs w:val="24"/>
        </w:rPr>
      </w:pPr>
      <w:r w:rsidRPr="007B3F44">
        <w:rPr>
          <w:color w:val="000000"/>
          <w:sz w:val="24"/>
          <w:szCs w:val="24"/>
        </w:rPr>
        <w:t xml:space="preserve">Exhibits A-1 provides information on the estimated time and expenses necessary to compile data and complete the revised APRs for all homeless assistance programs for a one-year period.  The specific questions being asked in the APR are outlined in Attachment A.  Total burden for data </w:t>
      </w:r>
      <w:r w:rsidRPr="007B3F44">
        <w:rPr>
          <w:color w:val="000000"/>
          <w:sz w:val="24"/>
          <w:szCs w:val="24"/>
        </w:rPr>
        <w:t>collection over one year for the APR</w:t>
      </w:r>
      <w:r w:rsidRPr="007B3F44">
        <w:rPr>
          <w:sz w:val="24"/>
          <w:szCs w:val="24"/>
        </w:rPr>
        <w:t xml:space="preserve">s </w:t>
      </w:r>
      <w:r w:rsidRPr="007B3F44">
        <w:rPr>
          <w:color w:val="000000"/>
          <w:sz w:val="24"/>
          <w:szCs w:val="24"/>
        </w:rPr>
        <w:t xml:space="preserve">is estimated at 42,244 hours. The CoC Program APRs are collected annually. Two special programs submit quarterly reports: </w:t>
      </w:r>
    </w:p>
    <w:p w:rsidR="00D36955" w:rsidRPr="007B3F44" w:rsidP="00871CFA" w14:paraId="39C919CA" w14:textId="77777777">
      <w:pPr>
        <w:ind w:left="720"/>
        <w:rPr>
          <w:color w:val="000000"/>
          <w:sz w:val="24"/>
          <w:szCs w:val="24"/>
        </w:rPr>
      </w:pPr>
    </w:p>
    <w:p w:rsidR="00D36955" w:rsidRPr="007B3F44" w:rsidP="00871CFA" w14:paraId="72EF37E4" w14:textId="77777777">
      <w:pPr>
        <w:ind w:left="720"/>
        <w:rPr>
          <w:color w:val="000000"/>
          <w:sz w:val="24"/>
          <w:szCs w:val="24"/>
        </w:rPr>
      </w:pPr>
      <w:r w:rsidRPr="007B3F44">
        <w:rPr>
          <w:color w:val="000000"/>
          <w:sz w:val="24"/>
          <w:szCs w:val="24"/>
        </w:rPr>
        <w:t>YHDP, which submits four quarterly reports and an annual report.</w:t>
      </w:r>
    </w:p>
    <w:p w:rsidR="00D36955" w:rsidRPr="007B3F44" w:rsidP="00871CFA" w14:paraId="5E401A0A" w14:textId="77777777">
      <w:pPr>
        <w:ind w:left="720"/>
        <w:rPr>
          <w:color w:val="000000"/>
          <w:sz w:val="24"/>
          <w:szCs w:val="24"/>
        </w:rPr>
      </w:pPr>
      <w:r w:rsidRPr="007B3F44">
        <w:rPr>
          <w:color w:val="000000"/>
          <w:sz w:val="24"/>
          <w:szCs w:val="24"/>
        </w:rPr>
        <w:t>Special CoC NOFO projects three quarterly reports and one annual report (which also covers that quarter). Some (53 of 277) Special CoC NOFO projects only submit an annual report, based on their project types.</w:t>
      </w:r>
    </w:p>
    <w:p w:rsidR="00D36955" w:rsidRPr="007B3F44" w:rsidP="00871CFA" w14:paraId="5C33E758" w14:textId="77777777">
      <w:pPr>
        <w:ind w:left="720"/>
        <w:rPr>
          <w:color w:val="000000"/>
          <w:sz w:val="24"/>
          <w:szCs w:val="24"/>
        </w:rPr>
      </w:pPr>
    </w:p>
    <w:p w:rsidR="00D36955" w:rsidRPr="007B3F44" w:rsidP="00871CFA" w14:paraId="4E3F0285" w14:textId="78F05646">
      <w:pPr>
        <w:ind w:left="720"/>
        <w:rPr>
          <w:color w:val="000000"/>
          <w:sz w:val="24"/>
          <w:szCs w:val="24"/>
        </w:rPr>
      </w:pPr>
      <w:r w:rsidRPr="007B3F44">
        <w:rPr>
          <w:color w:val="000000"/>
          <w:sz w:val="24"/>
          <w:szCs w:val="24"/>
        </w:rPr>
        <w:t>The YHDP and Special CoC NOFA projects are unique funding streams that have higher collection burdens because they are on issues that require more frequent feedback.  HUD needs to understand as quickly as possible if the interventions are working so that it can provide guidance or other corrections to program implementation as early as possible.  The average annual burden for recipients of HUD Continuum of Care Program funding (not-for-profit organizations and state and local governments), including YHDP and Special CoC NOFA grant funding, that complete an APR is 4.2 hours at a cost of $</w:t>
      </w:r>
      <w:r w:rsidR="00CD0D24">
        <w:rPr>
          <w:color w:val="000000"/>
          <w:sz w:val="24"/>
          <w:szCs w:val="24"/>
        </w:rPr>
        <w:t>201.</w:t>
      </w:r>
      <w:r w:rsidR="00A64096">
        <w:rPr>
          <w:color w:val="000000"/>
          <w:sz w:val="24"/>
          <w:szCs w:val="24"/>
        </w:rPr>
        <w:t>67</w:t>
      </w:r>
      <w:r w:rsidRPr="007B3F44">
        <w:rPr>
          <w:color w:val="000000"/>
          <w:sz w:val="24"/>
          <w:szCs w:val="24"/>
        </w:rPr>
        <w:t xml:space="preserve">.  </w:t>
      </w:r>
    </w:p>
    <w:p w:rsidR="00D36955" w:rsidRPr="007B3F44" w:rsidP="00871CFA" w14:paraId="62508334" w14:textId="77777777">
      <w:pPr>
        <w:ind w:left="720"/>
        <w:rPr>
          <w:color w:val="000000"/>
          <w:sz w:val="24"/>
          <w:szCs w:val="24"/>
        </w:rPr>
      </w:pPr>
    </w:p>
    <w:p w:rsidR="00D36955" w:rsidRPr="007B3F44" w:rsidP="00871CFA" w14:paraId="45C64864" w14:textId="31B77AB9">
      <w:pPr>
        <w:ind w:left="720"/>
        <w:rPr>
          <w:color w:val="000000"/>
          <w:sz w:val="24"/>
          <w:szCs w:val="24"/>
        </w:rPr>
      </w:pPr>
      <w:r w:rsidRPr="007B3F44">
        <w:rPr>
          <w:color w:val="000000"/>
          <w:sz w:val="24"/>
          <w:szCs w:val="24"/>
        </w:rPr>
        <w:t xml:space="preserve">As of </w:t>
      </w:r>
      <w:r w:rsidR="001D3070">
        <w:rPr>
          <w:color w:val="000000"/>
          <w:sz w:val="24"/>
          <w:szCs w:val="24"/>
        </w:rPr>
        <w:t>July 2025</w:t>
      </w:r>
      <w:r w:rsidRPr="007B3F44">
        <w:rPr>
          <w:color w:val="000000"/>
          <w:sz w:val="24"/>
          <w:szCs w:val="24"/>
        </w:rPr>
        <w:t>, the CoC Builds NOFO is soliciting applications.  HUD anticipates making 25 awards under this NOFO. This funding opportunity is for the acquisition, construction, and rehabilitation of properties that will permanently house people experiencing homelessness.  It is expected that each of these awards will turn into a Permanent Supportive Housing (PSH) project.  As part of the receipt of funds, recipients will file annual performance reports on their financial expenditures and any information on clients served.   The reporting requirements will be tied to restrictive covenants and will last 15 years after the projects begin serving clients.</w:t>
      </w:r>
    </w:p>
    <w:p w:rsidR="00D36955" w:rsidRPr="007B3F44" w:rsidP="00871CFA" w14:paraId="62D410BF" w14:textId="77777777">
      <w:pPr>
        <w:ind w:left="720"/>
        <w:rPr>
          <w:color w:val="000000"/>
          <w:sz w:val="24"/>
          <w:szCs w:val="24"/>
        </w:rPr>
      </w:pPr>
    </w:p>
    <w:p w:rsidR="00D36955" w:rsidRPr="007B3F44" w:rsidP="00871CFA" w14:paraId="7C936937" w14:textId="77777777">
      <w:pPr>
        <w:ind w:left="720"/>
        <w:rPr>
          <w:sz w:val="24"/>
          <w:szCs w:val="24"/>
        </w:rPr>
      </w:pPr>
      <w:r w:rsidRPr="007B3F44">
        <w:rPr>
          <w:color w:val="000000"/>
          <w:sz w:val="24"/>
          <w:szCs w:val="24"/>
        </w:rPr>
        <w:t>The burden estimates for the re-designed APR</w:t>
      </w:r>
      <w:r w:rsidRPr="007B3F44">
        <w:rPr>
          <w:sz w:val="24"/>
          <w:szCs w:val="24"/>
        </w:rPr>
        <w:t xml:space="preserve"> </w:t>
      </w:r>
      <w:r w:rsidRPr="007B3F44">
        <w:rPr>
          <w:color w:val="000000"/>
          <w:sz w:val="24"/>
          <w:szCs w:val="24"/>
        </w:rPr>
        <w:t xml:space="preserve">represents an overall decrease in respondent burden for recipients of HUD’s homeless assistance funds compared to the </w:t>
      </w:r>
      <w:r w:rsidRPr="007B3F44">
        <w:rPr>
          <w:sz w:val="24"/>
          <w:szCs w:val="24"/>
        </w:rPr>
        <w:t xml:space="preserve">Annual Progress Report (OMB Approval No. 2506-0145).  That report had an estimated burden </w:t>
      </w:r>
      <w:r w:rsidRPr="007B3F44">
        <w:rPr>
          <w:color w:val="000000"/>
          <w:sz w:val="24"/>
          <w:szCs w:val="24"/>
        </w:rPr>
        <w:t>of 43,000 hours for 8,000 homeless assistance providers.</w:t>
      </w:r>
    </w:p>
    <w:p w:rsidR="00D36955" w:rsidP="007B3F44" w14:paraId="3E387085" w14:textId="77777777">
      <w:pPr>
        <w:rPr>
          <w:sz w:val="24"/>
          <w:szCs w:val="24"/>
        </w:rPr>
      </w:pPr>
      <w:bookmarkStart w:id="14" w:name="OLE_LINK1"/>
      <w:bookmarkStart w:id="15" w:name="OLE_LINK2"/>
    </w:p>
    <w:p w:rsidR="00D36955" w:rsidP="007B3F44" w14:paraId="16417CCE" w14:textId="77777777">
      <w:pPr>
        <w:rPr>
          <w:bCs/>
          <w:sz w:val="24"/>
          <w:szCs w:val="24"/>
        </w:rPr>
      </w:pPr>
      <w:r w:rsidRPr="007B3F44">
        <w:rPr>
          <w:sz w:val="24"/>
          <w:szCs w:val="24"/>
        </w:rPr>
        <w:t xml:space="preserve">Exhibit A-1: </w:t>
      </w:r>
      <w:r w:rsidRPr="007B3F44">
        <w:rPr>
          <w:bCs/>
          <w:sz w:val="24"/>
          <w:szCs w:val="24"/>
        </w:rPr>
        <w:t>Estimated Annualized Burden Hours and Cost for Annual Performance Reports</w:t>
      </w:r>
    </w:p>
    <w:p w:rsidR="00C84031" w:rsidP="007B3F44" w14:paraId="10B65512" w14:textId="77777777">
      <w:pPr>
        <w:rPr>
          <w:bCs/>
          <w:sz w:val="24"/>
          <w:szCs w:val="24"/>
        </w:rPr>
      </w:pPr>
    </w:p>
    <w:tbl>
      <w:tblPr>
        <w:tblW w:w="0" w:type="auto"/>
        <w:tblInd w:w="-11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tblPr>
      <w:tblGrid>
        <w:gridCol w:w="2002"/>
        <w:gridCol w:w="1197"/>
        <w:gridCol w:w="1207"/>
        <w:gridCol w:w="1170"/>
        <w:gridCol w:w="1085"/>
        <w:gridCol w:w="1009"/>
        <w:gridCol w:w="1085"/>
        <w:gridCol w:w="1243"/>
      </w:tblGrid>
      <w:tr w14:paraId="09C56D7B" w14:textId="77777777" w:rsidTr="004A206B">
        <w:tblPrEx>
          <w:tblW w:w="0" w:type="auto"/>
          <w:tblInd w:w="-11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tblPrEx>
        <w:tc>
          <w:tcPr>
            <w:tcW w:w="2088" w:type="dxa"/>
            <w:tcMar>
              <w:top w:w="0" w:type="dxa"/>
              <w:left w:w="108" w:type="dxa"/>
              <w:bottom w:w="0" w:type="dxa"/>
              <w:right w:w="108" w:type="dxa"/>
            </w:tcMar>
            <w:hideMark/>
          </w:tcPr>
          <w:p w:rsidR="00C84031" w:rsidRPr="005927D5" w:rsidP="007C22A9" w14:paraId="48A30AD1" w14:textId="77777777">
            <w:pPr>
              <w:adjustRightInd/>
              <w:jc w:val="center"/>
              <w:textAlignment w:val="auto"/>
              <w:rPr>
                <w:rFonts w:eastAsia="Calibri"/>
                <w:b/>
                <w:bCs/>
                <w:color w:val="000000"/>
                <w:sz w:val="18"/>
                <w:szCs w:val="18"/>
              </w:rPr>
            </w:pPr>
            <w:bookmarkStart w:id="16" w:name="_Hlk72491044"/>
            <w:r w:rsidRPr="005927D5">
              <w:rPr>
                <w:rFonts w:eastAsia="Calibri"/>
                <w:b/>
                <w:bCs/>
                <w:color w:val="000000"/>
                <w:sz w:val="18"/>
                <w:szCs w:val="18"/>
              </w:rPr>
              <w:t>Information Collection</w:t>
            </w:r>
          </w:p>
        </w:tc>
        <w:tc>
          <w:tcPr>
            <w:tcW w:w="800" w:type="dxa"/>
            <w:tcMar>
              <w:top w:w="0" w:type="dxa"/>
              <w:left w:w="108" w:type="dxa"/>
              <w:bottom w:w="0" w:type="dxa"/>
              <w:right w:w="108" w:type="dxa"/>
            </w:tcMar>
            <w:hideMark/>
          </w:tcPr>
          <w:p w:rsidR="00C84031" w:rsidRPr="005927D5" w:rsidP="007C22A9" w14:paraId="31E2D69C" w14:textId="77777777">
            <w:pPr>
              <w:adjustRightInd/>
              <w:jc w:val="center"/>
              <w:textAlignment w:val="auto"/>
              <w:rPr>
                <w:rFonts w:eastAsia="Calibri"/>
                <w:b/>
                <w:bCs/>
                <w:color w:val="000000"/>
                <w:sz w:val="18"/>
                <w:szCs w:val="18"/>
              </w:rPr>
            </w:pPr>
            <w:r w:rsidRPr="005927D5">
              <w:rPr>
                <w:rFonts w:eastAsia="Calibri"/>
                <w:b/>
                <w:bCs/>
                <w:color w:val="000000"/>
                <w:sz w:val="18"/>
                <w:szCs w:val="18"/>
              </w:rPr>
              <w:t>Number of Respondents</w:t>
            </w:r>
          </w:p>
        </w:tc>
        <w:tc>
          <w:tcPr>
            <w:tcW w:w="1224" w:type="dxa"/>
            <w:tcMar>
              <w:top w:w="0" w:type="dxa"/>
              <w:left w:w="108" w:type="dxa"/>
              <w:bottom w:w="0" w:type="dxa"/>
              <w:right w:w="108" w:type="dxa"/>
            </w:tcMar>
            <w:hideMark/>
          </w:tcPr>
          <w:p w:rsidR="00C84031" w:rsidRPr="005927D5" w:rsidP="007C22A9" w14:paraId="664FDA9D" w14:textId="77777777">
            <w:pPr>
              <w:adjustRightInd/>
              <w:jc w:val="center"/>
              <w:textAlignment w:val="auto"/>
              <w:rPr>
                <w:rFonts w:eastAsia="Calibri"/>
                <w:b/>
                <w:bCs/>
                <w:color w:val="000000"/>
                <w:sz w:val="18"/>
                <w:szCs w:val="18"/>
              </w:rPr>
            </w:pPr>
            <w:r w:rsidRPr="005927D5">
              <w:rPr>
                <w:rFonts w:eastAsia="Calibri"/>
                <w:b/>
                <w:bCs/>
                <w:color w:val="000000"/>
                <w:sz w:val="18"/>
                <w:szCs w:val="18"/>
              </w:rPr>
              <w:t>Frequency of Response</w:t>
            </w:r>
          </w:p>
        </w:tc>
        <w:tc>
          <w:tcPr>
            <w:tcW w:w="1186" w:type="dxa"/>
            <w:tcMar>
              <w:top w:w="0" w:type="dxa"/>
              <w:left w:w="108" w:type="dxa"/>
              <w:bottom w:w="0" w:type="dxa"/>
              <w:right w:w="108" w:type="dxa"/>
            </w:tcMar>
            <w:hideMark/>
          </w:tcPr>
          <w:p w:rsidR="00C84031" w:rsidRPr="005927D5" w:rsidP="007C22A9" w14:paraId="20829EDD" w14:textId="77777777">
            <w:pPr>
              <w:overflowPunct/>
              <w:autoSpaceDE/>
              <w:autoSpaceDN/>
              <w:adjustRightInd/>
              <w:jc w:val="center"/>
              <w:textAlignment w:val="auto"/>
              <w:rPr>
                <w:rFonts w:eastAsia="Calibri"/>
                <w:b/>
                <w:bCs/>
                <w:color w:val="000000"/>
                <w:sz w:val="18"/>
                <w:szCs w:val="18"/>
              </w:rPr>
            </w:pPr>
            <w:r w:rsidRPr="005927D5">
              <w:rPr>
                <w:rFonts w:eastAsia="Calibri"/>
                <w:b/>
                <w:bCs/>
                <w:color w:val="000000"/>
                <w:sz w:val="18"/>
                <w:szCs w:val="18"/>
              </w:rPr>
              <w:t>Responses</w:t>
            </w:r>
          </w:p>
          <w:p w:rsidR="00C84031" w:rsidRPr="005927D5" w:rsidP="007C22A9" w14:paraId="4E15585B" w14:textId="77777777">
            <w:pPr>
              <w:adjustRightInd/>
              <w:jc w:val="center"/>
              <w:textAlignment w:val="auto"/>
              <w:rPr>
                <w:rFonts w:eastAsia="Calibri"/>
                <w:b/>
                <w:bCs/>
                <w:color w:val="000000"/>
                <w:sz w:val="18"/>
                <w:szCs w:val="18"/>
              </w:rPr>
            </w:pPr>
            <w:r w:rsidRPr="005927D5">
              <w:rPr>
                <w:rFonts w:eastAsia="Calibri"/>
                <w:b/>
                <w:bCs/>
                <w:color w:val="000000"/>
                <w:sz w:val="18"/>
                <w:szCs w:val="18"/>
              </w:rPr>
              <w:t>Per Annum</w:t>
            </w:r>
          </w:p>
        </w:tc>
        <w:tc>
          <w:tcPr>
            <w:tcW w:w="1100" w:type="dxa"/>
            <w:tcMar>
              <w:top w:w="0" w:type="dxa"/>
              <w:left w:w="108" w:type="dxa"/>
              <w:bottom w:w="0" w:type="dxa"/>
              <w:right w:w="108" w:type="dxa"/>
            </w:tcMar>
            <w:hideMark/>
          </w:tcPr>
          <w:p w:rsidR="00C84031" w:rsidRPr="005927D5" w:rsidP="007C22A9" w14:paraId="23EB6D42" w14:textId="77777777">
            <w:pPr>
              <w:adjustRightInd/>
              <w:jc w:val="center"/>
              <w:textAlignment w:val="auto"/>
              <w:rPr>
                <w:rFonts w:eastAsia="Calibri"/>
                <w:b/>
                <w:bCs/>
                <w:color w:val="000000"/>
                <w:sz w:val="18"/>
                <w:szCs w:val="18"/>
              </w:rPr>
            </w:pPr>
            <w:r w:rsidRPr="005927D5">
              <w:rPr>
                <w:rFonts w:eastAsia="Calibri"/>
                <w:b/>
                <w:bCs/>
                <w:color w:val="000000"/>
                <w:sz w:val="18"/>
                <w:szCs w:val="18"/>
              </w:rPr>
              <w:t>Burden Hour Per Response</w:t>
            </w:r>
          </w:p>
        </w:tc>
        <w:tc>
          <w:tcPr>
            <w:tcW w:w="1016" w:type="dxa"/>
            <w:tcMar>
              <w:top w:w="0" w:type="dxa"/>
              <w:left w:w="108" w:type="dxa"/>
              <w:bottom w:w="0" w:type="dxa"/>
              <w:right w:w="108" w:type="dxa"/>
            </w:tcMar>
            <w:hideMark/>
          </w:tcPr>
          <w:p w:rsidR="00C84031" w:rsidRPr="005927D5" w:rsidP="007C22A9" w14:paraId="19CB3A6C" w14:textId="77777777">
            <w:pPr>
              <w:adjustRightInd/>
              <w:jc w:val="center"/>
              <w:textAlignment w:val="auto"/>
              <w:rPr>
                <w:rFonts w:eastAsia="Calibri"/>
                <w:b/>
                <w:bCs/>
                <w:color w:val="000000"/>
                <w:sz w:val="18"/>
                <w:szCs w:val="18"/>
              </w:rPr>
            </w:pPr>
            <w:r w:rsidRPr="005927D5">
              <w:rPr>
                <w:rFonts w:eastAsia="Calibri"/>
                <w:b/>
                <w:bCs/>
                <w:color w:val="000000"/>
                <w:sz w:val="18"/>
                <w:szCs w:val="18"/>
              </w:rPr>
              <w:t>Annual Burden Hours</w:t>
            </w:r>
          </w:p>
        </w:tc>
        <w:tc>
          <w:tcPr>
            <w:tcW w:w="1100" w:type="dxa"/>
            <w:tcMar>
              <w:top w:w="0" w:type="dxa"/>
              <w:left w:w="108" w:type="dxa"/>
              <w:bottom w:w="0" w:type="dxa"/>
              <w:right w:w="108" w:type="dxa"/>
            </w:tcMar>
            <w:hideMark/>
          </w:tcPr>
          <w:p w:rsidR="00C84031" w:rsidRPr="005927D5" w:rsidP="007C22A9" w14:paraId="248CF29D" w14:textId="77777777">
            <w:pPr>
              <w:adjustRightInd/>
              <w:jc w:val="center"/>
              <w:textAlignment w:val="auto"/>
              <w:rPr>
                <w:rFonts w:eastAsia="Calibri"/>
                <w:b/>
                <w:bCs/>
                <w:color w:val="000000"/>
                <w:sz w:val="18"/>
                <w:szCs w:val="18"/>
              </w:rPr>
            </w:pPr>
            <w:r w:rsidRPr="005927D5">
              <w:rPr>
                <w:rFonts w:eastAsia="Calibri"/>
                <w:b/>
                <w:bCs/>
                <w:color w:val="000000"/>
                <w:sz w:val="18"/>
                <w:szCs w:val="18"/>
              </w:rPr>
              <w:t>Hourly Cost Per Response</w:t>
            </w:r>
          </w:p>
        </w:tc>
        <w:tc>
          <w:tcPr>
            <w:tcW w:w="1251" w:type="dxa"/>
            <w:tcMar>
              <w:top w:w="0" w:type="dxa"/>
              <w:left w:w="108" w:type="dxa"/>
              <w:bottom w:w="0" w:type="dxa"/>
              <w:right w:w="108" w:type="dxa"/>
            </w:tcMar>
          </w:tcPr>
          <w:p w:rsidR="00C84031" w:rsidRPr="005927D5" w:rsidP="007C22A9" w14:paraId="4E443F69" w14:textId="77777777">
            <w:pPr>
              <w:overflowPunct/>
              <w:autoSpaceDE/>
              <w:autoSpaceDN/>
              <w:adjustRightInd/>
              <w:jc w:val="center"/>
              <w:textAlignment w:val="auto"/>
              <w:rPr>
                <w:rFonts w:eastAsia="Calibri"/>
                <w:b/>
                <w:bCs/>
                <w:color w:val="000000"/>
                <w:sz w:val="18"/>
                <w:szCs w:val="18"/>
              </w:rPr>
            </w:pPr>
            <w:r w:rsidRPr="005927D5">
              <w:rPr>
                <w:rFonts w:eastAsia="Calibri"/>
                <w:b/>
                <w:bCs/>
                <w:color w:val="000000"/>
                <w:sz w:val="18"/>
                <w:szCs w:val="18"/>
              </w:rPr>
              <w:t>Annual Cost</w:t>
            </w:r>
          </w:p>
          <w:p w:rsidR="00C84031" w:rsidRPr="005927D5" w:rsidP="007C22A9" w14:paraId="2B4178D6" w14:textId="77777777">
            <w:pPr>
              <w:adjustRightInd/>
              <w:jc w:val="center"/>
              <w:textAlignment w:val="auto"/>
              <w:rPr>
                <w:rFonts w:eastAsia="Calibri"/>
                <w:b/>
                <w:bCs/>
                <w:color w:val="000000"/>
                <w:sz w:val="18"/>
                <w:szCs w:val="18"/>
              </w:rPr>
            </w:pPr>
          </w:p>
        </w:tc>
      </w:tr>
      <w:tr w14:paraId="21FED048" w14:textId="77777777" w:rsidTr="004A206B">
        <w:tblPrEx>
          <w:tblW w:w="0" w:type="auto"/>
          <w:tblInd w:w="-118" w:type="dxa"/>
          <w:tblCellMar>
            <w:left w:w="0" w:type="dxa"/>
            <w:right w:w="0" w:type="dxa"/>
          </w:tblCellMar>
          <w:tblLook w:val="04A0"/>
        </w:tblPrEx>
        <w:tc>
          <w:tcPr>
            <w:tcW w:w="2088"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hideMark/>
          </w:tcPr>
          <w:p w:rsidR="006B77DD" w:rsidRPr="00145121" w:rsidP="006B77DD" w14:paraId="6BCCB3E9" w14:textId="77777777">
            <w:pPr>
              <w:adjustRightInd/>
              <w:textAlignment w:val="auto"/>
              <w:rPr>
                <w:rFonts w:eastAsia="Calibri"/>
                <w:color w:val="000000"/>
                <w:sz w:val="18"/>
                <w:szCs w:val="18"/>
              </w:rPr>
            </w:pPr>
            <w:r w:rsidRPr="00145121">
              <w:rPr>
                <w:rFonts w:eastAsia="Calibri"/>
                <w:color w:val="000000"/>
                <w:sz w:val="18"/>
                <w:szCs w:val="18"/>
              </w:rPr>
              <w:t>Annual Performance Report (CoC Program) - Non-profit Recipients</w:t>
            </w:r>
          </w:p>
        </w:tc>
        <w:tc>
          <w:tcPr>
            <w:tcW w:w="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B77DD" w:rsidRPr="00145121" w:rsidP="006B77DD" w14:paraId="271EE735" w14:textId="77777777">
            <w:pPr>
              <w:adjustRightInd/>
              <w:jc w:val="center"/>
              <w:textAlignment w:val="auto"/>
              <w:rPr>
                <w:rFonts w:eastAsia="Calibri"/>
                <w:color w:val="000000"/>
                <w:sz w:val="18"/>
                <w:szCs w:val="18"/>
              </w:rPr>
            </w:pPr>
            <w:r w:rsidRPr="00145121">
              <w:rPr>
                <w:rFonts w:eastAsia="Calibri"/>
                <w:color w:val="000000"/>
                <w:sz w:val="18"/>
                <w:szCs w:val="18"/>
              </w:rPr>
              <w:t>3,550.00</w:t>
            </w:r>
          </w:p>
        </w:tc>
        <w:tc>
          <w:tcPr>
            <w:tcW w:w="12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B77DD" w:rsidRPr="00145121" w:rsidP="006B77DD" w14:paraId="6798B5F1" w14:textId="77777777">
            <w:pPr>
              <w:adjustRightInd/>
              <w:jc w:val="center"/>
              <w:textAlignment w:val="auto"/>
              <w:rPr>
                <w:rFonts w:eastAsia="Calibri"/>
                <w:color w:val="000000"/>
                <w:sz w:val="18"/>
                <w:szCs w:val="18"/>
              </w:rPr>
            </w:pPr>
            <w:r w:rsidRPr="00145121">
              <w:rPr>
                <w:rFonts w:eastAsia="Calibri"/>
                <w:color w:val="000000"/>
                <w:sz w:val="18"/>
                <w:szCs w:val="18"/>
              </w:rPr>
              <w:t>1</w:t>
            </w:r>
          </w:p>
        </w:tc>
        <w:tc>
          <w:tcPr>
            <w:tcW w:w="11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B77DD" w:rsidRPr="00145121" w:rsidP="006B77DD" w14:paraId="6888C8A6" w14:textId="77777777">
            <w:pPr>
              <w:overflowPunct/>
              <w:autoSpaceDE/>
              <w:autoSpaceDN/>
              <w:adjustRightInd/>
              <w:jc w:val="center"/>
              <w:textAlignment w:val="auto"/>
              <w:rPr>
                <w:rFonts w:eastAsia="Calibri"/>
                <w:color w:val="000000"/>
                <w:sz w:val="18"/>
                <w:szCs w:val="18"/>
              </w:rPr>
            </w:pPr>
            <w:r w:rsidRPr="00145121">
              <w:rPr>
                <w:rFonts w:eastAsia="Calibri"/>
                <w:color w:val="000000"/>
                <w:sz w:val="18"/>
                <w:szCs w:val="18"/>
              </w:rPr>
              <w:t>3,550.00</w:t>
            </w:r>
          </w:p>
        </w:tc>
        <w:tc>
          <w:tcPr>
            <w:tcW w:w="11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B77DD" w:rsidRPr="00145121" w:rsidP="006B77DD" w14:paraId="628669EF" w14:textId="77777777">
            <w:pPr>
              <w:adjustRightInd/>
              <w:jc w:val="center"/>
              <w:textAlignment w:val="auto"/>
              <w:rPr>
                <w:rFonts w:eastAsia="Calibri"/>
                <w:color w:val="000000"/>
                <w:sz w:val="18"/>
                <w:szCs w:val="18"/>
              </w:rPr>
            </w:pPr>
            <w:r w:rsidRPr="00145121">
              <w:rPr>
                <w:rFonts w:eastAsia="Calibri"/>
                <w:color w:val="000000"/>
                <w:sz w:val="18"/>
                <w:szCs w:val="18"/>
              </w:rPr>
              <w:t>4</w:t>
            </w:r>
          </w:p>
        </w:tc>
        <w:tc>
          <w:tcPr>
            <w:tcW w:w="10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B77DD" w:rsidRPr="00145121" w:rsidP="006B77DD" w14:paraId="599AE9AA" w14:textId="77777777">
            <w:pPr>
              <w:adjustRightInd/>
              <w:jc w:val="center"/>
              <w:textAlignment w:val="auto"/>
              <w:rPr>
                <w:rFonts w:eastAsia="Calibri"/>
                <w:color w:val="000000"/>
                <w:sz w:val="18"/>
                <w:szCs w:val="18"/>
              </w:rPr>
            </w:pPr>
            <w:r w:rsidRPr="00145121">
              <w:rPr>
                <w:rFonts w:eastAsia="Calibri"/>
                <w:color w:val="000000"/>
                <w:sz w:val="18"/>
                <w:szCs w:val="18"/>
              </w:rPr>
              <w:t>14,200.00</w:t>
            </w:r>
          </w:p>
        </w:tc>
        <w:tc>
          <w:tcPr>
            <w:tcW w:w="11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B77DD" w:rsidRPr="00145121" w:rsidP="005F1120" w14:paraId="2702F18E" w14:textId="6FF1CDE0">
            <w:pPr>
              <w:adjustRightInd/>
              <w:jc w:val="right"/>
              <w:textAlignment w:val="auto"/>
              <w:rPr>
                <w:rFonts w:eastAsia="Calibri"/>
                <w:color w:val="000000"/>
                <w:sz w:val="18"/>
                <w:szCs w:val="18"/>
              </w:rPr>
            </w:pPr>
            <w:r w:rsidRPr="00145121">
              <w:rPr>
                <w:rFonts w:eastAsia="Calibri"/>
                <w:color w:val="000000"/>
                <w:sz w:val="18"/>
                <w:szCs w:val="18"/>
              </w:rPr>
              <w:t>$</w:t>
            </w:r>
            <w:r>
              <w:rPr>
                <w:rFonts w:eastAsia="Calibri"/>
                <w:color w:val="000000"/>
                <w:sz w:val="18"/>
                <w:szCs w:val="18"/>
              </w:rPr>
              <w:t>48.03</w:t>
            </w:r>
            <w:r w:rsidRPr="00145121">
              <w:rPr>
                <w:rFonts w:eastAsia="Calibri"/>
                <w:color w:val="000000"/>
                <w:sz w:val="18"/>
                <w:szCs w:val="18"/>
              </w:rPr>
              <w:t xml:space="preserve"> </w:t>
            </w:r>
          </w:p>
        </w:tc>
        <w:tc>
          <w:tcPr>
            <w:tcW w:w="1251"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6B77DD" w:rsidRPr="009B6253" w:rsidP="006B77DD" w14:paraId="36F9A369" w14:textId="7292CD8D">
            <w:pPr>
              <w:overflowPunct/>
              <w:autoSpaceDE/>
              <w:autoSpaceDN/>
              <w:adjustRightInd/>
              <w:jc w:val="center"/>
              <w:textAlignment w:val="auto"/>
              <w:rPr>
                <w:rFonts w:eastAsia="Calibri"/>
                <w:color w:val="000000"/>
                <w:sz w:val="18"/>
                <w:szCs w:val="18"/>
              </w:rPr>
            </w:pPr>
            <w:r w:rsidRPr="002D361A">
              <w:t xml:space="preserve"> 682,026.00 </w:t>
            </w:r>
          </w:p>
        </w:tc>
      </w:tr>
      <w:tr w14:paraId="6EF99B3A" w14:textId="77777777" w:rsidTr="004A206B">
        <w:tblPrEx>
          <w:tblW w:w="0" w:type="auto"/>
          <w:tblInd w:w="-118" w:type="dxa"/>
          <w:tblCellMar>
            <w:left w:w="0" w:type="dxa"/>
            <w:right w:w="0" w:type="dxa"/>
          </w:tblCellMar>
          <w:tblLook w:val="04A0"/>
        </w:tblPrEx>
        <w:tc>
          <w:tcPr>
            <w:tcW w:w="2088"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6B77DD" w:rsidRPr="005927D5" w:rsidP="006B77DD" w14:paraId="7605C2F3" w14:textId="280FEF84">
            <w:pPr>
              <w:adjustRightInd/>
              <w:textAlignment w:val="auto"/>
              <w:rPr>
                <w:rFonts w:eastAsia="Calibri"/>
                <w:b/>
                <w:bCs/>
                <w:color w:val="000000"/>
                <w:sz w:val="18"/>
                <w:szCs w:val="18"/>
              </w:rPr>
            </w:pPr>
            <w:r w:rsidRPr="005927D5">
              <w:rPr>
                <w:color w:val="000000"/>
                <w:sz w:val="18"/>
                <w:szCs w:val="18"/>
              </w:rPr>
              <w:t>Quarterly Performance Report (YHDP) - Non-profit Recipients</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tcPr>
          <w:p w:rsidR="006B77DD" w:rsidRPr="005927D5" w:rsidP="006B77DD" w14:paraId="5614D81E" w14:textId="51835F3C">
            <w:pPr>
              <w:adjustRightInd/>
              <w:jc w:val="center"/>
              <w:textAlignment w:val="auto"/>
              <w:rPr>
                <w:rFonts w:eastAsia="Calibri"/>
                <w:b/>
                <w:bCs/>
                <w:color w:val="000000"/>
                <w:sz w:val="18"/>
                <w:szCs w:val="18"/>
              </w:rPr>
            </w:pPr>
            <w:r w:rsidRPr="005927D5">
              <w:rPr>
                <w:color w:val="000000"/>
                <w:sz w:val="18"/>
                <w:szCs w:val="18"/>
              </w:rPr>
              <w:t>200.00</w:t>
            </w:r>
          </w:p>
        </w:tc>
        <w:tc>
          <w:tcPr>
            <w:tcW w:w="1224" w:type="dxa"/>
            <w:tcBorders>
              <w:top w:val="nil"/>
              <w:left w:val="nil"/>
              <w:bottom w:val="single" w:sz="4" w:space="0" w:color="auto"/>
              <w:right w:val="single" w:sz="4" w:space="0" w:color="auto"/>
            </w:tcBorders>
            <w:tcMar>
              <w:top w:w="0" w:type="dxa"/>
              <w:left w:w="108" w:type="dxa"/>
              <w:bottom w:w="0" w:type="dxa"/>
              <w:right w:w="108" w:type="dxa"/>
            </w:tcMar>
            <w:vAlign w:val="center"/>
          </w:tcPr>
          <w:p w:rsidR="006B77DD" w:rsidRPr="005927D5" w:rsidP="006B77DD" w14:paraId="78B3C9D7" w14:textId="10355AA5">
            <w:pPr>
              <w:adjustRightInd/>
              <w:jc w:val="center"/>
              <w:textAlignment w:val="auto"/>
              <w:rPr>
                <w:rFonts w:eastAsia="Calibri"/>
                <w:b/>
                <w:bCs/>
                <w:color w:val="000000"/>
                <w:sz w:val="18"/>
                <w:szCs w:val="18"/>
              </w:rPr>
            </w:pPr>
            <w:r w:rsidRPr="005927D5">
              <w:rPr>
                <w:color w:val="000000"/>
                <w:sz w:val="18"/>
                <w:szCs w:val="18"/>
              </w:rPr>
              <w:t>4</w:t>
            </w:r>
          </w:p>
        </w:tc>
        <w:tc>
          <w:tcPr>
            <w:tcW w:w="1186" w:type="dxa"/>
            <w:tcBorders>
              <w:top w:val="nil"/>
              <w:left w:val="nil"/>
              <w:bottom w:val="single" w:sz="4" w:space="0" w:color="auto"/>
              <w:right w:val="single" w:sz="4" w:space="0" w:color="auto"/>
            </w:tcBorders>
            <w:tcMar>
              <w:top w:w="0" w:type="dxa"/>
              <w:left w:w="108" w:type="dxa"/>
              <w:bottom w:w="0" w:type="dxa"/>
              <w:right w:w="108" w:type="dxa"/>
            </w:tcMar>
            <w:vAlign w:val="center"/>
          </w:tcPr>
          <w:p w:rsidR="006B77DD" w:rsidRPr="005927D5" w:rsidP="006B77DD" w14:paraId="2453403B" w14:textId="4C2A3BA9">
            <w:pPr>
              <w:adjustRightInd/>
              <w:jc w:val="center"/>
              <w:textAlignment w:val="auto"/>
              <w:rPr>
                <w:rFonts w:eastAsia="Calibri"/>
                <w:b/>
                <w:bCs/>
                <w:color w:val="000000"/>
                <w:sz w:val="18"/>
                <w:szCs w:val="18"/>
              </w:rPr>
            </w:pPr>
            <w:r w:rsidRPr="005927D5">
              <w:rPr>
                <w:color w:val="000000"/>
                <w:sz w:val="18"/>
                <w:szCs w:val="18"/>
              </w:rPr>
              <w:t>800.00</w:t>
            </w:r>
          </w:p>
        </w:tc>
        <w:tc>
          <w:tcPr>
            <w:tcW w:w="1100" w:type="dxa"/>
            <w:tcBorders>
              <w:top w:val="nil"/>
              <w:left w:val="nil"/>
              <w:bottom w:val="single" w:sz="4" w:space="0" w:color="auto"/>
              <w:right w:val="single" w:sz="4" w:space="0" w:color="auto"/>
            </w:tcBorders>
            <w:tcMar>
              <w:top w:w="0" w:type="dxa"/>
              <w:left w:w="108" w:type="dxa"/>
              <w:bottom w:w="0" w:type="dxa"/>
              <w:right w:w="108" w:type="dxa"/>
            </w:tcMar>
            <w:vAlign w:val="center"/>
          </w:tcPr>
          <w:p w:rsidR="006B77DD" w:rsidRPr="005927D5" w:rsidP="006B77DD" w14:paraId="28D3EC7B" w14:textId="217385D1">
            <w:pPr>
              <w:adjustRightInd/>
              <w:jc w:val="center"/>
              <w:textAlignment w:val="auto"/>
              <w:rPr>
                <w:rFonts w:eastAsia="Calibri"/>
                <w:b/>
                <w:bCs/>
                <w:color w:val="000000"/>
                <w:sz w:val="18"/>
                <w:szCs w:val="18"/>
              </w:rPr>
            </w:pPr>
            <w:r w:rsidRPr="005927D5">
              <w:rPr>
                <w:color w:val="000000"/>
                <w:sz w:val="18"/>
                <w:szCs w:val="18"/>
              </w:rPr>
              <w:t>5</w:t>
            </w:r>
          </w:p>
        </w:tc>
        <w:tc>
          <w:tcPr>
            <w:tcW w:w="1016" w:type="dxa"/>
            <w:tcBorders>
              <w:top w:val="nil"/>
              <w:left w:val="nil"/>
              <w:bottom w:val="single" w:sz="4" w:space="0" w:color="auto"/>
              <w:right w:val="single" w:sz="4" w:space="0" w:color="auto"/>
            </w:tcBorders>
            <w:tcMar>
              <w:top w:w="0" w:type="dxa"/>
              <w:left w:w="108" w:type="dxa"/>
              <w:bottom w:w="0" w:type="dxa"/>
              <w:right w:w="108" w:type="dxa"/>
            </w:tcMar>
            <w:vAlign w:val="center"/>
          </w:tcPr>
          <w:p w:rsidR="006B77DD" w:rsidRPr="005927D5" w:rsidP="006B77DD" w14:paraId="6523E460" w14:textId="4E15188D">
            <w:pPr>
              <w:adjustRightInd/>
              <w:jc w:val="center"/>
              <w:textAlignment w:val="auto"/>
              <w:rPr>
                <w:rFonts w:eastAsia="Calibri"/>
                <w:b/>
                <w:bCs/>
                <w:color w:val="000000"/>
                <w:sz w:val="18"/>
                <w:szCs w:val="18"/>
              </w:rPr>
            </w:pPr>
            <w:r w:rsidRPr="005927D5">
              <w:rPr>
                <w:color w:val="000000"/>
                <w:sz w:val="18"/>
                <w:szCs w:val="18"/>
              </w:rPr>
              <w:t>4,000.00</w:t>
            </w:r>
          </w:p>
        </w:tc>
        <w:tc>
          <w:tcPr>
            <w:tcW w:w="1100" w:type="dxa"/>
            <w:tcBorders>
              <w:top w:val="nil"/>
              <w:left w:val="nil"/>
              <w:bottom w:val="single" w:sz="4" w:space="0" w:color="auto"/>
              <w:right w:val="single" w:sz="4" w:space="0" w:color="auto"/>
            </w:tcBorders>
            <w:tcMar>
              <w:top w:w="0" w:type="dxa"/>
              <w:left w:w="108" w:type="dxa"/>
              <w:bottom w:w="0" w:type="dxa"/>
              <w:right w:w="108" w:type="dxa"/>
            </w:tcMar>
            <w:vAlign w:val="center"/>
          </w:tcPr>
          <w:p w:rsidR="006B77DD" w:rsidRPr="005927D5" w:rsidP="006B77DD" w14:paraId="2CFD31D5" w14:textId="4017497A">
            <w:pPr>
              <w:adjustRightInd/>
              <w:jc w:val="right"/>
              <w:textAlignment w:val="auto"/>
              <w:rPr>
                <w:rFonts w:eastAsia="Calibri"/>
                <w:b/>
                <w:bCs/>
                <w:color w:val="000000"/>
                <w:sz w:val="18"/>
                <w:szCs w:val="18"/>
              </w:rPr>
            </w:pPr>
            <w:r w:rsidRPr="005927D5">
              <w:rPr>
                <w:color w:val="000000"/>
                <w:sz w:val="18"/>
                <w:szCs w:val="18"/>
              </w:rPr>
              <w:t>$</w:t>
            </w:r>
            <w:r>
              <w:rPr>
                <w:color w:val="000000"/>
                <w:sz w:val="18"/>
                <w:szCs w:val="18"/>
              </w:rPr>
              <w:t>48.03</w:t>
            </w:r>
            <w:r w:rsidRPr="005927D5">
              <w:rPr>
                <w:color w:val="000000"/>
                <w:sz w:val="18"/>
                <w:szCs w:val="18"/>
              </w:rPr>
              <w:t xml:space="preserve"> </w:t>
            </w:r>
          </w:p>
        </w:tc>
        <w:tc>
          <w:tcPr>
            <w:tcW w:w="1251" w:type="dxa"/>
            <w:tcBorders>
              <w:top w:val="nil"/>
              <w:left w:val="nil"/>
              <w:bottom w:val="single" w:sz="4" w:space="0" w:color="auto"/>
              <w:right w:val="single" w:sz="4" w:space="0" w:color="auto"/>
            </w:tcBorders>
            <w:tcMar>
              <w:top w:w="0" w:type="dxa"/>
              <w:left w:w="108" w:type="dxa"/>
              <w:bottom w:w="0" w:type="dxa"/>
              <w:right w:w="108" w:type="dxa"/>
            </w:tcMar>
          </w:tcPr>
          <w:p w:rsidR="006B77DD" w:rsidRPr="009B6253" w:rsidP="006B77DD" w14:paraId="086D94FE" w14:textId="510AD916">
            <w:pPr>
              <w:adjustRightInd/>
              <w:jc w:val="right"/>
              <w:textAlignment w:val="auto"/>
              <w:rPr>
                <w:rFonts w:eastAsia="Calibri"/>
                <w:b/>
                <w:bCs/>
                <w:color w:val="000000"/>
                <w:sz w:val="18"/>
                <w:szCs w:val="18"/>
              </w:rPr>
            </w:pPr>
            <w:r w:rsidRPr="002D361A">
              <w:t xml:space="preserve"> 192,120.00 </w:t>
            </w:r>
          </w:p>
        </w:tc>
      </w:tr>
      <w:tr w14:paraId="683F6308" w14:textId="77777777" w:rsidTr="004A206B">
        <w:tblPrEx>
          <w:tblW w:w="0" w:type="auto"/>
          <w:tblInd w:w="-118" w:type="dxa"/>
          <w:tblCellMar>
            <w:left w:w="0" w:type="dxa"/>
            <w:right w:w="0" w:type="dxa"/>
          </w:tblCellMar>
          <w:tblLook w:val="04A0"/>
        </w:tblPrEx>
        <w:trPr>
          <w:trHeight w:val="85"/>
        </w:trPr>
        <w:tc>
          <w:tcPr>
            <w:tcW w:w="2088"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6B77DD" w:rsidRPr="005927D5" w:rsidP="006B77DD" w14:paraId="78C500CB" w14:textId="7BD557F0">
            <w:pPr>
              <w:adjustRightInd/>
              <w:textAlignment w:val="auto"/>
              <w:rPr>
                <w:rFonts w:eastAsia="Calibri"/>
                <w:b/>
                <w:bCs/>
                <w:color w:val="000000"/>
                <w:sz w:val="18"/>
                <w:szCs w:val="18"/>
              </w:rPr>
            </w:pPr>
            <w:r w:rsidRPr="005927D5">
              <w:rPr>
                <w:color w:val="000000"/>
                <w:sz w:val="18"/>
                <w:szCs w:val="18"/>
              </w:rPr>
              <w:t>Annual Performance Report (YHDP) - Non-profit Recipients</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tcPr>
          <w:p w:rsidR="006B77DD" w:rsidRPr="005927D5" w:rsidP="006B77DD" w14:paraId="38BC6E59" w14:textId="62FBB2B7">
            <w:pPr>
              <w:adjustRightInd/>
              <w:jc w:val="center"/>
              <w:textAlignment w:val="auto"/>
              <w:rPr>
                <w:rFonts w:eastAsia="Calibri"/>
                <w:b/>
                <w:bCs/>
                <w:color w:val="000000"/>
                <w:sz w:val="18"/>
                <w:szCs w:val="18"/>
              </w:rPr>
            </w:pPr>
            <w:r w:rsidRPr="005927D5">
              <w:rPr>
                <w:color w:val="000000"/>
                <w:sz w:val="18"/>
                <w:szCs w:val="18"/>
              </w:rPr>
              <w:t>200.00</w:t>
            </w:r>
          </w:p>
        </w:tc>
        <w:tc>
          <w:tcPr>
            <w:tcW w:w="1224" w:type="dxa"/>
            <w:tcBorders>
              <w:top w:val="nil"/>
              <w:left w:val="nil"/>
              <w:bottom w:val="single" w:sz="4" w:space="0" w:color="auto"/>
              <w:right w:val="single" w:sz="4" w:space="0" w:color="auto"/>
            </w:tcBorders>
            <w:tcMar>
              <w:top w:w="0" w:type="dxa"/>
              <w:left w:w="108" w:type="dxa"/>
              <w:bottom w:w="0" w:type="dxa"/>
              <w:right w:w="108" w:type="dxa"/>
            </w:tcMar>
            <w:vAlign w:val="center"/>
          </w:tcPr>
          <w:p w:rsidR="006B77DD" w:rsidRPr="005927D5" w:rsidP="006B77DD" w14:paraId="2FE216E3" w14:textId="4CDF17AC">
            <w:pPr>
              <w:adjustRightInd/>
              <w:jc w:val="center"/>
              <w:textAlignment w:val="auto"/>
              <w:rPr>
                <w:rFonts w:eastAsia="Calibri"/>
                <w:b/>
                <w:bCs/>
                <w:color w:val="000000"/>
                <w:sz w:val="18"/>
                <w:szCs w:val="18"/>
              </w:rPr>
            </w:pPr>
            <w:r w:rsidRPr="005927D5">
              <w:rPr>
                <w:color w:val="000000"/>
                <w:sz w:val="18"/>
                <w:szCs w:val="18"/>
              </w:rPr>
              <w:t>1</w:t>
            </w:r>
          </w:p>
        </w:tc>
        <w:tc>
          <w:tcPr>
            <w:tcW w:w="1186" w:type="dxa"/>
            <w:tcBorders>
              <w:top w:val="nil"/>
              <w:left w:val="nil"/>
              <w:bottom w:val="single" w:sz="4" w:space="0" w:color="auto"/>
              <w:right w:val="single" w:sz="4" w:space="0" w:color="auto"/>
            </w:tcBorders>
            <w:tcMar>
              <w:top w:w="0" w:type="dxa"/>
              <w:left w:w="108" w:type="dxa"/>
              <w:bottom w:w="0" w:type="dxa"/>
              <w:right w:w="108" w:type="dxa"/>
            </w:tcMar>
            <w:vAlign w:val="center"/>
          </w:tcPr>
          <w:p w:rsidR="006B77DD" w:rsidRPr="005927D5" w:rsidP="006B77DD" w14:paraId="0F94D20B" w14:textId="6F35CC18">
            <w:pPr>
              <w:adjustRightInd/>
              <w:jc w:val="center"/>
              <w:textAlignment w:val="auto"/>
              <w:rPr>
                <w:rFonts w:eastAsia="Calibri"/>
                <w:b/>
                <w:bCs/>
                <w:color w:val="000000"/>
                <w:sz w:val="18"/>
                <w:szCs w:val="18"/>
              </w:rPr>
            </w:pPr>
            <w:r w:rsidRPr="005927D5">
              <w:rPr>
                <w:color w:val="000000"/>
                <w:sz w:val="18"/>
                <w:szCs w:val="18"/>
              </w:rPr>
              <w:t>200.00</w:t>
            </w:r>
          </w:p>
        </w:tc>
        <w:tc>
          <w:tcPr>
            <w:tcW w:w="1100" w:type="dxa"/>
            <w:tcBorders>
              <w:top w:val="nil"/>
              <w:left w:val="nil"/>
              <w:bottom w:val="single" w:sz="4" w:space="0" w:color="auto"/>
              <w:right w:val="single" w:sz="4" w:space="0" w:color="auto"/>
            </w:tcBorders>
            <w:tcMar>
              <w:top w:w="0" w:type="dxa"/>
              <w:left w:w="108" w:type="dxa"/>
              <w:bottom w:w="0" w:type="dxa"/>
              <w:right w:w="108" w:type="dxa"/>
            </w:tcMar>
            <w:vAlign w:val="center"/>
          </w:tcPr>
          <w:p w:rsidR="006B77DD" w:rsidRPr="005927D5" w:rsidP="006B77DD" w14:paraId="5B4A9FB9" w14:textId="20A3F5E2">
            <w:pPr>
              <w:adjustRightInd/>
              <w:jc w:val="center"/>
              <w:textAlignment w:val="auto"/>
              <w:rPr>
                <w:rFonts w:eastAsia="Calibri"/>
                <w:b/>
                <w:bCs/>
                <w:color w:val="000000"/>
                <w:sz w:val="18"/>
                <w:szCs w:val="18"/>
              </w:rPr>
            </w:pPr>
            <w:r w:rsidRPr="005927D5">
              <w:rPr>
                <w:color w:val="000000"/>
                <w:sz w:val="18"/>
                <w:szCs w:val="18"/>
              </w:rPr>
              <w:t>5</w:t>
            </w:r>
          </w:p>
        </w:tc>
        <w:tc>
          <w:tcPr>
            <w:tcW w:w="1016" w:type="dxa"/>
            <w:tcBorders>
              <w:top w:val="nil"/>
              <w:left w:val="nil"/>
              <w:bottom w:val="single" w:sz="4" w:space="0" w:color="auto"/>
              <w:right w:val="single" w:sz="4" w:space="0" w:color="auto"/>
            </w:tcBorders>
            <w:tcMar>
              <w:top w:w="0" w:type="dxa"/>
              <w:left w:w="108" w:type="dxa"/>
              <w:bottom w:w="0" w:type="dxa"/>
              <w:right w:w="108" w:type="dxa"/>
            </w:tcMar>
            <w:vAlign w:val="center"/>
          </w:tcPr>
          <w:p w:rsidR="006B77DD" w:rsidRPr="005927D5" w:rsidP="006B77DD" w14:paraId="58DE7118" w14:textId="607A1809">
            <w:pPr>
              <w:adjustRightInd/>
              <w:jc w:val="center"/>
              <w:textAlignment w:val="auto"/>
              <w:rPr>
                <w:rFonts w:eastAsia="Calibri"/>
                <w:b/>
                <w:bCs/>
                <w:color w:val="000000"/>
                <w:sz w:val="18"/>
                <w:szCs w:val="18"/>
              </w:rPr>
            </w:pPr>
            <w:r w:rsidRPr="005927D5">
              <w:rPr>
                <w:color w:val="000000"/>
                <w:sz w:val="18"/>
                <w:szCs w:val="18"/>
              </w:rPr>
              <w:t>1,000.00</w:t>
            </w:r>
          </w:p>
        </w:tc>
        <w:tc>
          <w:tcPr>
            <w:tcW w:w="1100" w:type="dxa"/>
            <w:tcBorders>
              <w:top w:val="nil"/>
              <w:left w:val="nil"/>
              <w:bottom w:val="single" w:sz="4" w:space="0" w:color="auto"/>
              <w:right w:val="single" w:sz="4" w:space="0" w:color="auto"/>
            </w:tcBorders>
            <w:tcMar>
              <w:top w:w="0" w:type="dxa"/>
              <w:left w:w="108" w:type="dxa"/>
              <w:bottom w:w="0" w:type="dxa"/>
              <w:right w:w="108" w:type="dxa"/>
            </w:tcMar>
            <w:vAlign w:val="center"/>
          </w:tcPr>
          <w:p w:rsidR="006B77DD" w:rsidRPr="005927D5" w:rsidP="006B77DD" w14:paraId="68A58D58" w14:textId="0E0EC7E8">
            <w:pPr>
              <w:adjustRightInd/>
              <w:jc w:val="right"/>
              <w:textAlignment w:val="auto"/>
              <w:rPr>
                <w:rFonts w:eastAsia="Calibri"/>
                <w:b/>
                <w:bCs/>
                <w:color w:val="000000"/>
                <w:sz w:val="18"/>
                <w:szCs w:val="18"/>
              </w:rPr>
            </w:pPr>
            <w:r w:rsidRPr="005927D5">
              <w:rPr>
                <w:color w:val="000000"/>
                <w:sz w:val="18"/>
                <w:szCs w:val="18"/>
              </w:rPr>
              <w:t>$</w:t>
            </w:r>
            <w:r>
              <w:rPr>
                <w:color w:val="000000"/>
                <w:sz w:val="18"/>
                <w:szCs w:val="18"/>
              </w:rPr>
              <w:t>48.03</w:t>
            </w:r>
            <w:r w:rsidRPr="005927D5">
              <w:rPr>
                <w:color w:val="000000"/>
                <w:sz w:val="18"/>
                <w:szCs w:val="18"/>
              </w:rPr>
              <w:t xml:space="preserve"> </w:t>
            </w:r>
          </w:p>
        </w:tc>
        <w:tc>
          <w:tcPr>
            <w:tcW w:w="1251" w:type="dxa"/>
            <w:tcBorders>
              <w:top w:val="nil"/>
              <w:left w:val="nil"/>
              <w:bottom w:val="single" w:sz="4" w:space="0" w:color="auto"/>
              <w:right w:val="single" w:sz="4" w:space="0" w:color="auto"/>
            </w:tcBorders>
            <w:tcMar>
              <w:top w:w="0" w:type="dxa"/>
              <w:left w:w="108" w:type="dxa"/>
              <w:bottom w:w="0" w:type="dxa"/>
              <w:right w:w="108" w:type="dxa"/>
            </w:tcMar>
          </w:tcPr>
          <w:p w:rsidR="006B77DD" w:rsidRPr="009B6253" w:rsidP="006B77DD" w14:paraId="322C4AD4" w14:textId="5FFF7206">
            <w:pPr>
              <w:adjustRightInd/>
              <w:jc w:val="right"/>
              <w:textAlignment w:val="auto"/>
              <w:rPr>
                <w:rFonts w:eastAsia="Calibri"/>
                <w:b/>
                <w:bCs/>
                <w:color w:val="000000"/>
                <w:sz w:val="18"/>
                <w:szCs w:val="18"/>
              </w:rPr>
            </w:pPr>
            <w:r w:rsidRPr="002D361A">
              <w:t xml:space="preserve"> 48,030.00 </w:t>
            </w:r>
          </w:p>
        </w:tc>
      </w:tr>
      <w:tr w14:paraId="0049B22F" w14:textId="77777777" w:rsidTr="004A206B">
        <w:tblPrEx>
          <w:tblW w:w="0" w:type="auto"/>
          <w:tblInd w:w="-118" w:type="dxa"/>
          <w:tblCellMar>
            <w:left w:w="0" w:type="dxa"/>
            <w:right w:w="0" w:type="dxa"/>
          </w:tblCellMar>
          <w:tblLook w:val="04A0"/>
        </w:tblPrEx>
        <w:trPr>
          <w:trHeight w:val="85"/>
        </w:trPr>
        <w:tc>
          <w:tcPr>
            <w:tcW w:w="2088"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6B77DD" w:rsidRPr="005927D5" w:rsidP="006B77DD" w14:paraId="6A207E27" w14:textId="2A9053B4">
            <w:pPr>
              <w:adjustRightInd/>
              <w:textAlignment w:val="auto"/>
              <w:rPr>
                <w:color w:val="000000"/>
                <w:sz w:val="18"/>
                <w:szCs w:val="18"/>
              </w:rPr>
            </w:pPr>
            <w:r w:rsidRPr="005927D5">
              <w:rPr>
                <w:color w:val="000000"/>
                <w:sz w:val="18"/>
                <w:szCs w:val="18"/>
              </w:rPr>
              <w:t>Performance Report (Special CoC NOFO Grants that report quarterly) - Non-profit Recipients</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tcPr>
          <w:p w:rsidR="006B77DD" w:rsidRPr="005927D5" w:rsidP="006B77DD" w14:paraId="7B94929A" w14:textId="7DE7E83E">
            <w:pPr>
              <w:adjustRightInd/>
              <w:jc w:val="center"/>
              <w:textAlignment w:val="auto"/>
              <w:rPr>
                <w:color w:val="000000"/>
                <w:sz w:val="18"/>
                <w:szCs w:val="18"/>
              </w:rPr>
            </w:pPr>
            <w:r w:rsidRPr="005927D5">
              <w:rPr>
                <w:color w:val="000000"/>
                <w:sz w:val="18"/>
                <w:szCs w:val="18"/>
              </w:rPr>
              <w:t>110.00</w:t>
            </w:r>
          </w:p>
        </w:tc>
        <w:tc>
          <w:tcPr>
            <w:tcW w:w="1224" w:type="dxa"/>
            <w:tcBorders>
              <w:top w:val="nil"/>
              <w:left w:val="nil"/>
              <w:bottom w:val="single" w:sz="4" w:space="0" w:color="auto"/>
              <w:right w:val="single" w:sz="4" w:space="0" w:color="auto"/>
            </w:tcBorders>
            <w:tcMar>
              <w:top w:w="0" w:type="dxa"/>
              <w:left w:w="108" w:type="dxa"/>
              <w:bottom w:w="0" w:type="dxa"/>
              <w:right w:w="108" w:type="dxa"/>
            </w:tcMar>
            <w:vAlign w:val="center"/>
          </w:tcPr>
          <w:p w:rsidR="006B77DD" w:rsidRPr="005927D5" w:rsidP="006B77DD" w14:paraId="0DC9287E" w14:textId="44C59A25">
            <w:pPr>
              <w:adjustRightInd/>
              <w:jc w:val="center"/>
              <w:textAlignment w:val="auto"/>
              <w:rPr>
                <w:color w:val="000000"/>
                <w:sz w:val="18"/>
                <w:szCs w:val="18"/>
              </w:rPr>
            </w:pPr>
            <w:r w:rsidRPr="005927D5">
              <w:rPr>
                <w:color w:val="000000"/>
                <w:sz w:val="18"/>
                <w:szCs w:val="18"/>
              </w:rPr>
              <w:t>4</w:t>
            </w:r>
          </w:p>
        </w:tc>
        <w:tc>
          <w:tcPr>
            <w:tcW w:w="1186" w:type="dxa"/>
            <w:tcBorders>
              <w:top w:val="nil"/>
              <w:left w:val="nil"/>
              <w:bottom w:val="single" w:sz="4" w:space="0" w:color="auto"/>
              <w:right w:val="single" w:sz="4" w:space="0" w:color="auto"/>
            </w:tcBorders>
            <w:tcMar>
              <w:top w:w="0" w:type="dxa"/>
              <w:left w:w="108" w:type="dxa"/>
              <w:bottom w:w="0" w:type="dxa"/>
              <w:right w:w="108" w:type="dxa"/>
            </w:tcMar>
            <w:vAlign w:val="center"/>
          </w:tcPr>
          <w:p w:rsidR="006B77DD" w:rsidRPr="005927D5" w:rsidP="006B77DD" w14:paraId="792317B4" w14:textId="6BB74E96">
            <w:pPr>
              <w:adjustRightInd/>
              <w:jc w:val="center"/>
              <w:textAlignment w:val="auto"/>
              <w:rPr>
                <w:color w:val="000000"/>
                <w:sz w:val="18"/>
                <w:szCs w:val="18"/>
              </w:rPr>
            </w:pPr>
            <w:r w:rsidRPr="005927D5">
              <w:rPr>
                <w:color w:val="000000"/>
                <w:sz w:val="18"/>
                <w:szCs w:val="18"/>
              </w:rPr>
              <w:t>440.00</w:t>
            </w:r>
          </w:p>
        </w:tc>
        <w:tc>
          <w:tcPr>
            <w:tcW w:w="1100" w:type="dxa"/>
            <w:tcBorders>
              <w:top w:val="nil"/>
              <w:left w:val="nil"/>
              <w:bottom w:val="single" w:sz="4" w:space="0" w:color="auto"/>
              <w:right w:val="single" w:sz="4" w:space="0" w:color="auto"/>
            </w:tcBorders>
            <w:tcMar>
              <w:top w:w="0" w:type="dxa"/>
              <w:left w:w="108" w:type="dxa"/>
              <w:bottom w:w="0" w:type="dxa"/>
              <w:right w:w="108" w:type="dxa"/>
            </w:tcMar>
            <w:vAlign w:val="center"/>
          </w:tcPr>
          <w:p w:rsidR="006B77DD" w:rsidRPr="005927D5" w:rsidP="006B77DD" w14:paraId="52513B7E" w14:textId="724EC5D4">
            <w:pPr>
              <w:adjustRightInd/>
              <w:jc w:val="center"/>
              <w:textAlignment w:val="auto"/>
              <w:rPr>
                <w:color w:val="000000"/>
                <w:sz w:val="18"/>
                <w:szCs w:val="18"/>
              </w:rPr>
            </w:pPr>
            <w:r w:rsidRPr="005927D5">
              <w:rPr>
                <w:color w:val="000000"/>
                <w:sz w:val="18"/>
                <w:szCs w:val="18"/>
              </w:rPr>
              <w:t>4</w:t>
            </w:r>
          </w:p>
        </w:tc>
        <w:tc>
          <w:tcPr>
            <w:tcW w:w="1016" w:type="dxa"/>
            <w:tcBorders>
              <w:top w:val="nil"/>
              <w:left w:val="nil"/>
              <w:bottom w:val="single" w:sz="4" w:space="0" w:color="auto"/>
              <w:right w:val="single" w:sz="4" w:space="0" w:color="auto"/>
            </w:tcBorders>
            <w:tcMar>
              <w:top w:w="0" w:type="dxa"/>
              <w:left w:w="108" w:type="dxa"/>
              <w:bottom w:w="0" w:type="dxa"/>
              <w:right w:w="108" w:type="dxa"/>
            </w:tcMar>
            <w:vAlign w:val="center"/>
          </w:tcPr>
          <w:p w:rsidR="006B77DD" w:rsidRPr="005927D5" w:rsidP="006B77DD" w14:paraId="11642838" w14:textId="5308413D">
            <w:pPr>
              <w:adjustRightInd/>
              <w:jc w:val="center"/>
              <w:textAlignment w:val="auto"/>
              <w:rPr>
                <w:color w:val="000000"/>
                <w:sz w:val="18"/>
                <w:szCs w:val="18"/>
              </w:rPr>
            </w:pPr>
            <w:r w:rsidRPr="005927D5">
              <w:rPr>
                <w:color w:val="000000"/>
                <w:sz w:val="18"/>
                <w:szCs w:val="18"/>
              </w:rPr>
              <w:t>1,760.00</w:t>
            </w:r>
          </w:p>
        </w:tc>
        <w:tc>
          <w:tcPr>
            <w:tcW w:w="1100" w:type="dxa"/>
            <w:tcBorders>
              <w:top w:val="nil"/>
              <w:left w:val="nil"/>
              <w:bottom w:val="single" w:sz="4" w:space="0" w:color="auto"/>
              <w:right w:val="single" w:sz="4" w:space="0" w:color="auto"/>
            </w:tcBorders>
            <w:tcMar>
              <w:top w:w="0" w:type="dxa"/>
              <w:left w:w="108" w:type="dxa"/>
              <w:bottom w:w="0" w:type="dxa"/>
              <w:right w:w="108" w:type="dxa"/>
            </w:tcMar>
            <w:vAlign w:val="center"/>
          </w:tcPr>
          <w:p w:rsidR="006B77DD" w:rsidRPr="005927D5" w:rsidP="006B77DD" w14:paraId="4A679ED8" w14:textId="740A2D76">
            <w:pPr>
              <w:adjustRightInd/>
              <w:jc w:val="right"/>
              <w:textAlignment w:val="auto"/>
              <w:rPr>
                <w:color w:val="000000"/>
                <w:sz w:val="18"/>
                <w:szCs w:val="18"/>
              </w:rPr>
            </w:pPr>
            <w:r w:rsidRPr="005927D5">
              <w:rPr>
                <w:color w:val="000000"/>
                <w:sz w:val="18"/>
                <w:szCs w:val="18"/>
              </w:rPr>
              <w:t>$</w:t>
            </w:r>
            <w:r>
              <w:rPr>
                <w:color w:val="000000"/>
                <w:sz w:val="18"/>
                <w:szCs w:val="18"/>
              </w:rPr>
              <w:t>48.03</w:t>
            </w:r>
            <w:r w:rsidRPr="005927D5">
              <w:rPr>
                <w:color w:val="000000"/>
                <w:sz w:val="18"/>
                <w:szCs w:val="18"/>
              </w:rPr>
              <w:t xml:space="preserve"> </w:t>
            </w:r>
          </w:p>
        </w:tc>
        <w:tc>
          <w:tcPr>
            <w:tcW w:w="1251" w:type="dxa"/>
            <w:tcBorders>
              <w:top w:val="nil"/>
              <w:left w:val="nil"/>
              <w:bottom w:val="single" w:sz="4" w:space="0" w:color="auto"/>
              <w:right w:val="single" w:sz="4" w:space="0" w:color="auto"/>
            </w:tcBorders>
            <w:tcMar>
              <w:top w:w="0" w:type="dxa"/>
              <w:left w:w="108" w:type="dxa"/>
              <w:bottom w:w="0" w:type="dxa"/>
              <w:right w:w="108" w:type="dxa"/>
            </w:tcMar>
          </w:tcPr>
          <w:p w:rsidR="006B77DD" w:rsidRPr="009B6253" w:rsidP="006B77DD" w14:paraId="0445AEA5" w14:textId="00EA551A">
            <w:pPr>
              <w:adjustRightInd/>
              <w:jc w:val="right"/>
              <w:textAlignment w:val="auto"/>
              <w:rPr>
                <w:color w:val="000000"/>
                <w:sz w:val="18"/>
                <w:szCs w:val="18"/>
              </w:rPr>
            </w:pPr>
            <w:r w:rsidRPr="002D361A">
              <w:t xml:space="preserve"> 84,532.80 </w:t>
            </w:r>
          </w:p>
        </w:tc>
      </w:tr>
      <w:tr w14:paraId="3A935D1F" w14:textId="77777777" w:rsidTr="004A206B">
        <w:tblPrEx>
          <w:tblW w:w="0" w:type="auto"/>
          <w:tblInd w:w="-118" w:type="dxa"/>
          <w:tblCellMar>
            <w:left w:w="0" w:type="dxa"/>
            <w:right w:w="0" w:type="dxa"/>
          </w:tblCellMar>
          <w:tblLook w:val="04A0"/>
        </w:tblPrEx>
        <w:trPr>
          <w:trHeight w:val="85"/>
        </w:trPr>
        <w:tc>
          <w:tcPr>
            <w:tcW w:w="2088"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6B77DD" w:rsidRPr="005927D5" w:rsidP="006B77DD" w14:paraId="3AD4ECD3" w14:textId="7BA95BF5">
            <w:pPr>
              <w:adjustRightInd/>
              <w:textAlignment w:val="auto"/>
              <w:rPr>
                <w:color w:val="000000"/>
                <w:sz w:val="18"/>
                <w:szCs w:val="18"/>
              </w:rPr>
            </w:pPr>
            <w:r w:rsidRPr="005927D5">
              <w:rPr>
                <w:color w:val="000000"/>
                <w:sz w:val="18"/>
                <w:szCs w:val="18"/>
              </w:rPr>
              <w:t xml:space="preserve">Performance Report (Special CoC NOFO Grants that report </w:t>
            </w:r>
            <w:r w:rsidRPr="005927D5">
              <w:rPr>
                <w:color w:val="000000"/>
                <w:sz w:val="18"/>
                <w:szCs w:val="18"/>
              </w:rPr>
              <w:t>annually) - Non-profit Recipients</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tcPr>
          <w:p w:rsidR="006B77DD" w:rsidRPr="005927D5" w:rsidP="006B77DD" w14:paraId="158E20A3" w14:textId="2B39BB1E">
            <w:pPr>
              <w:adjustRightInd/>
              <w:jc w:val="center"/>
              <w:textAlignment w:val="auto"/>
              <w:rPr>
                <w:color w:val="000000"/>
                <w:sz w:val="18"/>
                <w:szCs w:val="18"/>
              </w:rPr>
            </w:pPr>
            <w:r w:rsidRPr="005927D5">
              <w:rPr>
                <w:color w:val="000000"/>
                <w:sz w:val="18"/>
                <w:szCs w:val="18"/>
              </w:rPr>
              <w:t>28.00</w:t>
            </w:r>
          </w:p>
        </w:tc>
        <w:tc>
          <w:tcPr>
            <w:tcW w:w="1224" w:type="dxa"/>
            <w:tcBorders>
              <w:top w:val="nil"/>
              <w:left w:val="nil"/>
              <w:bottom w:val="single" w:sz="4" w:space="0" w:color="auto"/>
              <w:right w:val="single" w:sz="4" w:space="0" w:color="auto"/>
            </w:tcBorders>
            <w:tcMar>
              <w:top w:w="0" w:type="dxa"/>
              <w:left w:w="108" w:type="dxa"/>
              <w:bottom w:w="0" w:type="dxa"/>
              <w:right w:w="108" w:type="dxa"/>
            </w:tcMar>
            <w:vAlign w:val="center"/>
          </w:tcPr>
          <w:p w:rsidR="006B77DD" w:rsidRPr="005927D5" w:rsidP="006B77DD" w14:paraId="0886D9B8" w14:textId="60CC4424">
            <w:pPr>
              <w:adjustRightInd/>
              <w:jc w:val="center"/>
              <w:textAlignment w:val="auto"/>
              <w:rPr>
                <w:color w:val="000000"/>
                <w:sz w:val="18"/>
                <w:szCs w:val="18"/>
              </w:rPr>
            </w:pPr>
            <w:r w:rsidRPr="005927D5">
              <w:rPr>
                <w:color w:val="000000"/>
                <w:sz w:val="18"/>
                <w:szCs w:val="18"/>
              </w:rPr>
              <w:t>1</w:t>
            </w:r>
          </w:p>
        </w:tc>
        <w:tc>
          <w:tcPr>
            <w:tcW w:w="1186" w:type="dxa"/>
            <w:tcBorders>
              <w:top w:val="nil"/>
              <w:left w:val="nil"/>
              <w:bottom w:val="single" w:sz="4" w:space="0" w:color="auto"/>
              <w:right w:val="single" w:sz="4" w:space="0" w:color="auto"/>
            </w:tcBorders>
            <w:tcMar>
              <w:top w:w="0" w:type="dxa"/>
              <w:left w:w="108" w:type="dxa"/>
              <w:bottom w:w="0" w:type="dxa"/>
              <w:right w:w="108" w:type="dxa"/>
            </w:tcMar>
            <w:vAlign w:val="center"/>
          </w:tcPr>
          <w:p w:rsidR="006B77DD" w:rsidRPr="005927D5" w:rsidP="006B77DD" w14:paraId="385B2CC7" w14:textId="175EF58B">
            <w:pPr>
              <w:adjustRightInd/>
              <w:jc w:val="center"/>
              <w:textAlignment w:val="auto"/>
              <w:rPr>
                <w:color w:val="000000"/>
                <w:sz w:val="18"/>
                <w:szCs w:val="18"/>
              </w:rPr>
            </w:pPr>
            <w:r w:rsidRPr="005927D5">
              <w:rPr>
                <w:color w:val="000000"/>
                <w:sz w:val="18"/>
                <w:szCs w:val="18"/>
              </w:rPr>
              <w:t>28.00</w:t>
            </w:r>
          </w:p>
        </w:tc>
        <w:tc>
          <w:tcPr>
            <w:tcW w:w="1100" w:type="dxa"/>
            <w:tcBorders>
              <w:top w:val="nil"/>
              <w:left w:val="nil"/>
              <w:bottom w:val="single" w:sz="4" w:space="0" w:color="auto"/>
              <w:right w:val="single" w:sz="4" w:space="0" w:color="auto"/>
            </w:tcBorders>
            <w:tcMar>
              <w:top w:w="0" w:type="dxa"/>
              <w:left w:w="108" w:type="dxa"/>
              <w:bottom w:w="0" w:type="dxa"/>
              <w:right w:w="108" w:type="dxa"/>
            </w:tcMar>
            <w:vAlign w:val="center"/>
          </w:tcPr>
          <w:p w:rsidR="006B77DD" w:rsidRPr="005927D5" w:rsidP="006B77DD" w14:paraId="1CD1AC55" w14:textId="30FE8E85">
            <w:pPr>
              <w:adjustRightInd/>
              <w:jc w:val="center"/>
              <w:textAlignment w:val="auto"/>
              <w:rPr>
                <w:color w:val="000000"/>
                <w:sz w:val="18"/>
                <w:szCs w:val="18"/>
              </w:rPr>
            </w:pPr>
            <w:r w:rsidRPr="005927D5">
              <w:rPr>
                <w:color w:val="000000"/>
                <w:sz w:val="18"/>
                <w:szCs w:val="18"/>
              </w:rPr>
              <w:t>4</w:t>
            </w:r>
          </w:p>
        </w:tc>
        <w:tc>
          <w:tcPr>
            <w:tcW w:w="1016" w:type="dxa"/>
            <w:tcBorders>
              <w:top w:val="nil"/>
              <w:left w:val="nil"/>
              <w:bottom w:val="single" w:sz="4" w:space="0" w:color="auto"/>
              <w:right w:val="single" w:sz="4" w:space="0" w:color="auto"/>
            </w:tcBorders>
            <w:tcMar>
              <w:top w:w="0" w:type="dxa"/>
              <w:left w:w="108" w:type="dxa"/>
              <w:bottom w:w="0" w:type="dxa"/>
              <w:right w:w="108" w:type="dxa"/>
            </w:tcMar>
            <w:vAlign w:val="center"/>
          </w:tcPr>
          <w:p w:rsidR="006B77DD" w:rsidRPr="005927D5" w:rsidP="006B77DD" w14:paraId="32CCEAC8" w14:textId="30AE408F">
            <w:pPr>
              <w:adjustRightInd/>
              <w:jc w:val="center"/>
              <w:textAlignment w:val="auto"/>
              <w:rPr>
                <w:color w:val="000000"/>
                <w:sz w:val="18"/>
                <w:szCs w:val="18"/>
              </w:rPr>
            </w:pPr>
            <w:r w:rsidRPr="005927D5">
              <w:rPr>
                <w:color w:val="000000"/>
                <w:sz w:val="18"/>
                <w:szCs w:val="18"/>
              </w:rPr>
              <w:t>112.00</w:t>
            </w:r>
          </w:p>
        </w:tc>
        <w:tc>
          <w:tcPr>
            <w:tcW w:w="1100" w:type="dxa"/>
            <w:tcBorders>
              <w:top w:val="nil"/>
              <w:left w:val="nil"/>
              <w:bottom w:val="single" w:sz="4" w:space="0" w:color="auto"/>
              <w:right w:val="single" w:sz="4" w:space="0" w:color="auto"/>
            </w:tcBorders>
            <w:tcMar>
              <w:top w:w="0" w:type="dxa"/>
              <w:left w:w="108" w:type="dxa"/>
              <w:bottom w:w="0" w:type="dxa"/>
              <w:right w:w="108" w:type="dxa"/>
            </w:tcMar>
            <w:vAlign w:val="center"/>
          </w:tcPr>
          <w:p w:rsidR="006B77DD" w:rsidRPr="005927D5" w:rsidP="006B77DD" w14:paraId="7A57D371" w14:textId="362603B2">
            <w:pPr>
              <w:adjustRightInd/>
              <w:jc w:val="right"/>
              <w:textAlignment w:val="auto"/>
              <w:rPr>
                <w:color w:val="000000"/>
                <w:sz w:val="18"/>
                <w:szCs w:val="18"/>
              </w:rPr>
            </w:pPr>
            <w:r w:rsidRPr="005927D5">
              <w:rPr>
                <w:color w:val="000000"/>
                <w:sz w:val="18"/>
                <w:szCs w:val="18"/>
              </w:rPr>
              <w:t>$</w:t>
            </w:r>
            <w:r>
              <w:rPr>
                <w:color w:val="000000"/>
                <w:sz w:val="18"/>
                <w:szCs w:val="18"/>
              </w:rPr>
              <w:t>48.03</w:t>
            </w:r>
            <w:r w:rsidRPr="005927D5">
              <w:rPr>
                <w:color w:val="000000"/>
                <w:sz w:val="18"/>
                <w:szCs w:val="18"/>
              </w:rPr>
              <w:t xml:space="preserve"> </w:t>
            </w:r>
          </w:p>
        </w:tc>
        <w:tc>
          <w:tcPr>
            <w:tcW w:w="1251" w:type="dxa"/>
            <w:tcBorders>
              <w:top w:val="nil"/>
              <w:left w:val="nil"/>
              <w:bottom w:val="single" w:sz="4" w:space="0" w:color="auto"/>
              <w:right w:val="single" w:sz="4" w:space="0" w:color="auto"/>
            </w:tcBorders>
            <w:tcMar>
              <w:top w:w="0" w:type="dxa"/>
              <w:left w:w="108" w:type="dxa"/>
              <w:bottom w:w="0" w:type="dxa"/>
              <w:right w:w="108" w:type="dxa"/>
            </w:tcMar>
          </w:tcPr>
          <w:p w:rsidR="006B77DD" w:rsidRPr="009B6253" w:rsidP="006B77DD" w14:paraId="16579F9F" w14:textId="090C955A">
            <w:pPr>
              <w:adjustRightInd/>
              <w:jc w:val="right"/>
              <w:textAlignment w:val="auto"/>
              <w:rPr>
                <w:color w:val="000000"/>
                <w:sz w:val="18"/>
                <w:szCs w:val="18"/>
              </w:rPr>
            </w:pPr>
            <w:r w:rsidRPr="002D361A">
              <w:t xml:space="preserve"> 5,379.36 </w:t>
            </w:r>
          </w:p>
        </w:tc>
      </w:tr>
      <w:tr w14:paraId="5E1C53B3" w14:textId="77777777" w:rsidTr="004A206B">
        <w:tblPrEx>
          <w:tblW w:w="0" w:type="auto"/>
          <w:tblInd w:w="-118" w:type="dxa"/>
          <w:tblCellMar>
            <w:left w:w="0" w:type="dxa"/>
            <w:right w:w="0" w:type="dxa"/>
          </w:tblCellMar>
          <w:tblLook w:val="04A0"/>
        </w:tblPrEx>
        <w:trPr>
          <w:trHeight w:val="85"/>
        </w:trPr>
        <w:tc>
          <w:tcPr>
            <w:tcW w:w="2088"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6B77DD" w:rsidRPr="005927D5" w:rsidP="006B77DD" w14:paraId="5C395D85" w14:textId="675C9249">
            <w:pPr>
              <w:adjustRightInd/>
              <w:textAlignment w:val="auto"/>
              <w:rPr>
                <w:color w:val="000000"/>
                <w:sz w:val="18"/>
                <w:szCs w:val="18"/>
              </w:rPr>
            </w:pPr>
            <w:r w:rsidRPr="005927D5">
              <w:rPr>
                <w:color w:val="000000"/>
                <w:sz w:val="18"/>
                <w:szCs w:val="18"/>
              </w:rPr>
              <w:t>Annual Performance Report (CoC Builds NOFO) - Non-profit Recipients</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tcPr>
          <w:p w:rsidR="006B77DD" w:rsidRPr="005927D5" w:rsidP="006B77DD" w14:paraId="1FC59E0C" w14:textId="6564F699">
            <w:pPr>
              <w:adjustRightInd/>
              <w:jc w:val="center"/>
              <w:textAlignment w:val="auto"/>
              <w:rPr>
                <w:color w:val="000000"/>
                <w:sz w:val="18"/>
                <w:szCs w:val="18"/>
              </w:rPr>
            </w:pPr>
            <w:r w:rsidRPr="005927D5">
              <w:rPr>
                <w:color w:val="000000"/>
                <w:sz w:val="18"/>
                <w:szCs w:val="18"/>
              </w:rPr>
              <w:t>13.00</w:t>
            </w:r>
          </w:p>
        </w:tc>
        <w:tc>
          <w:tcPr>
            <w:tcW w:w="1224" w:type="dxa"/>
            <w:tcBorders>
              <w:top w:val="nil"/>
              <w:left w:val="nil"/>
              <w:bottom w:val="single" w:sz="4" w:space="0" w:color="auto"/>
              <w:right w:val="single" w:sz="4" w:space="0" w:color="auto"/>
            </w:tcBorders>
            <w:tcMar>
              <w:top w:w="0" w:type="dxa"/>
              <w:left w:w="108" w:type="dxa"/>
              <w:bottom w:w="0" w:type="dxa"/>
              <w:right w:w="108" w:type="dxa"/>
            </w:tcMar>
            <w:vAlign w:val="center"/>
          </w:tcPr>
          <w:p w:rsidR="006B77DD" w:rsidRPr="005927D5" w:rsidP="006B77DD" w14:paraId="7B4CE6F5" w14:textId="6D5543FD">
            <w:pPr>
              <w:adjustRightInd/>
              <w:jc w:val="center"/>
              <w:textAlignment w:val="auto"/>
              <w:rPr>
                <w:color w:val="000000"/>
                <w:sz w:val="18"/>
                <w:szCs w:val="18"/>
              </w:rPr>
            </w:pPr>
            <w:r w:rsidRPr="005927D5">
              <w:rPr>
                <w:color w:val="000000"/>
                <w:sz w:val="18"/>
                <w:szCs w:val="18"/>
              </w:rPr>
              <w:t>1</w:t>
            </w:r>
          </w:p>
        </w:tc>
        <w:tc>
          <w:tcPr>
            <w:tcW w:w="1186" w:type="dxa"/>
            <w:tcBorders>
              <w:top w:val="nil"/>
              <w:left w:val="nil"/>
              <w:bottom w:val="single" w:sz="4" w:space="0" w:color="auto"/>
              <w:right w:val="single" w:sz="4" w:space="0" w:color="auto"/>
            </w:tcBorders>
            <w:tcMar>
              <w:top w:w="0" w:type="dxa"/>
              <w:left w:w="108" w:type="dxa"/>
              <w:bottom w:w="0" w:type="dxa"/>
              <w:right w:w="108" w:type="dxa"/>
            </w:tcMar>
            <w:vAlign w:val="center"/>
          </w:tcPr>
          <w:p w:rsidR="006B77DD" w:rsidRPr="005927D5" w:rsidP="006B77DD" w14:paraId="50453279" w14:textId="7B1E3D23">
            <w:pPr>
              <w:adjustRightInd/>
              <w:jc w:val="center"/>
              <w:textAlignment w:val="auto"/>
              <w:rPr>
                <w:color w:val="000000"/>
                <w:sz w:val="18"/>
                <w:szCs w:val="18"/>
              </w:rPr>
            </w:pPr>
            <w:r w:rsidRPr="005927D5">
              <w:rPr>
                <w:color w:val="000000"/>
                <w:sz w:val="18"/>
                <w:szCs w:val="18"/>
              </w:rPr>
              <w:t>13.00</w:t>
            </w:r>
          </w:p>
        </w:tc>
        <w:tc>
          <w:tcPr>
            <w:tcW w:w="1100" w:type="dxa"/>
            <w:tcBorders>
              <w:top w:val="nil"/>
              <w:left w:val="nil"/>
              <w:bottom w:val="single" w:sz="4" w:space="0" w:color="auto"/>
              <w:right w:val="single" w:sz="4" w:space="0" w:color="auto"/>
            </w:tcBorders>
            <w:tcMar>
              <w:top w:w="0" w:type="dxa"/>
              <w:left w:w="108" w:type="dxa"/>
              <w:bottom w:w="0" w:type="dxa"/>
              <w:right w:w="108" w:type="dxa"/>
            </w:tcMar>
            <w:vAlign w:val="center"/>
          </w:tcPr>
          <w:p w:rsidR="006B77DD" w:rsidRPr="005927D5" w:rsidP="006B77DD" w14:paraId="09AE3456" w14:textId="521C6E36">
            <w:pPr>
              <w:adjustRightInd/>
              <w:jc w:val="center"/>
              <w:textAlignment w:val="auto"/>
              <w:rPr>
                <w:color w:val="000000"/>
                <w:sz w:val="18"/>
                <w:szCs w:val="18"/>
              </w:rPr>
            </w:pPr>
            <w:r w:rsidRPr="005927D5">
              <w:rPr>
                <w:color w:val="000000"/>
                <w:sz w:val="18"/>
                <w:szCs w:val="18"/>
              </w:rPr>
              <w:t>4</w:t>
            </w:r>
          </w:p>
        </w:tc>
        <w:tc>
          <w:tcPr>
            <w:tcW w:w="1016" w:type="dxa"/>
            <w:tcBorders>
              <w:top w:val="nil"/>
              <w:left w:val="nil"/>
              <w:bottom w:val="single" w:sz="4" w:space="0" w:color="auto"/>
              <w:right w:val="single" w:sz="4" w:space="0" w:color="auto"/>
            </w:tcBorders>
            <w:tcMar>
              <w:top w:w="0" w:type="dxa"/>
              <w:left w:w="108" w:type="dxa"/>
              <w:bottom w:w="0" w:type="dxa"/>
              <w:right w:w="108" w:type="dxa"/>
            </w:tcMar>
            <w:vAlign w:val="center"/>
          </w:tcPr>
          <w:p w:rsidR="006B77DD" w:rsidRPr="005927D5" w:rsidP="006B77DD" w14:paraId="7B1A7BB0" w14:textId="27BCE942">
            <w:pPr>
              <w:adjustRightInd/>
              <w:jc w:val="center"/>
              <w:textAlignment w:val="auto"/>
              <w:rPr>
                <w:color w:val="000000"/>
                <w:sz w:val="18"/>
                <w:szCs w:val="18"/>
              </w:rPr>
            </w:pPr>
            <w:r w:rsidRPr="005927D5">
              <w:rPr>
                <w:color w:val="000000"/>
                <w:sz w:val="18"/>
                <w:szCs w:val="18"/>
              </w:rPr>
              <w:t>52.00</w:t>
            </w:r>
          </w:p>
        </w:tc>
        <w:tc>
          <w:tcPr>
            <w:tcW w:w="1100" w:type="dxa"/>
            <w:tcBorders>
              <w:top w:val="nil"/>
              <w:left w:val="nil"/>
              <w:bottom w:val="single" w:sz="4" w:space="0" w:color="auto"/>
              <w:right w:val="single" w:sz="4" w:space="0" w:color="auto"/>
            </w:tcBorders>
            <w:tcMar>
              <w:top w:w="0" w:type="dxa"/>
              <w:left w:w="108" w:type="dxa"/>
              <w:bottom w:w="0" w:type="dxa"/>
              <w:right w:w="108" w:type="dxa"/>
            </w:tcMar>
            <w:vAlign w:val="center"/>
          </w:tcPr>
          <w:p w:rsidR="006B77DD" w:rsidRPr="005927D5" w:rsidP="006B77DD" w14:paraId="420814D6" w14:textId="28524552">
            <w:pPr>
              <w:adjustRightInd/>
              <w:jc w:val="right"/>
              <w:textAlignment w:val="auto"/>
              <w:rPr>
                <w:color w:val="000000"/>
                <w:sz w:val="18"/>
                <w:szCs w:val="18"/>
              </w:rPr>
            </w:pPr>
            <w:r w:rsidRPr="005927D5">
              <w:rPr>
                <w:color w:val="000000"/>
                <w:sz w:val="18"/>
                <w:szCs w:val="18"/>
              </w:rPr>
              <w:t>$</w:t>
            </w:r>
            <w:r>
              <w:rPr>
                <w:color w:val="000000"/>
                <w:sz w:val="18"/>
                <w:szCs w:val="18"/>
              </w:rPr>
              <w:t>48.03</w:t>
            </w:r>
            <w:r w:rsidRPr="005927D5">
              <w:rPr>
                <w:color w:val="000000"/>
                <w:sz w:val="18"/>
                <w:szCs w:val="18"/>
              </w:rPr>
              <w:t xml:space="preserve"> </w:t>
            </w:r>
          </w:p>
        </w:tc>
        <w:tc>
          <w:tcPr>
            <w:tcW w:w="1251" w:type="dxa"/>
            <w:tcBorders>
              <w:top w:val="nil"/>
              <w:left w:val="nil"/>
              <w:bottom w:val="single" w:sz="4" w:space="0" w:color="auto"/>
              <w:right w:val="single" w:sz="4" w:space="0" w:color="auto"/>
            </w:tcBorders>
            <w:tcMar>
              <w:top w:w="0" w:type="dxa"/>
              <w:left w:w="108" w:type="dxa"/>
              <w:bottom w:w="0" w:type="dxa"/>
              <w:right w:w="108" w:type="dxa"/>
            </w:tcMar>
          </w:tcPr>
          <w:p w:rsidR="006B77DD" w:rsidRPr="009B6253" w:rsidP="006B77DD" w14:paraId="4B141FFF" w14:textId="68A9BEDC">
            <w:pPr>
              <w:adjustRightInd/>
              <w:jc w:val="right"/>
              <w:textAlignment w:val="auto"/>
              <w:rPr>
                <w:color w:val="000000"/>
                <w:sz w:val="18"/>
                <w:szCs w:val="18"/>
              </w:rPr>
            </w:pPr>
            <w:r w:rsidRPr="002D361A">
              <w:t xml:space="preserve"> 2,497.56 </w:t>
            </w:r>
          </w:p>
        </w:tc>
      </w:tr>
      <w:tr w14:paraId="19905C3D" w14:textId="77777777" w:rsidTr="004A206B">
        <w:tblPrEx>
          <w:tblW w:w="0" w:type="auto"/>
          <w:tblInd w:w="-118" w:type="dxa"/>
          <w:tblCellMar>
            <w:left w:w="0" w:type="dxa"/>
            <w:right w:w="0" w:type="dxa"/>
          </w:tblCellMar>
          <w:tblLook w:val="04A0"/>
        </w:tblPrEx>
        <w:trPr>
          <w:trHeight w:val="85"/>
        </w:trPr>
        <w:tc>
          <w:tcPr>
            <w:tcW w:w="2088"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6B77DD" w:rsidRPr="005927D5" w:rsidP="006B77DD" w14:paraId="55ADB557" w14:textId="4247ADC0">
            <w:pPr>
              <w:adjustRightInd/>
              <w:textAlignment w:val="auto"/>
              <w:rPr>
                <w:color w:val="000000"/>
                <w:sz w:val="18"/>
                <w:szCs w:val="18"/>
              </w:rPr>
            </w:pPr>
            <w:r w:rsidRPr="005927D5">
              <w:rPr>
                <w:color w:val="000000"/>
                <w:sz w:val="18"/>
                <w:szCs w:val="18"/>
              </w:rPr>
              <w:t>Annual Performance Report (CoC Program) - State and Local Recipients</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tcPr>
          <w:p w:rsidR="006B77DD" w:rsidRPr="005927D5" w:rsidP="006B77DD" w14:paraId="0412ADF7" w14:textId="52E18913">
            <w:pPr>
              <w:adjustRightInd/>
              <w:jc w:val="center"/>
              <w:textAlignment w:val="auto"/>
              <w:rPr>
                <w:color w:val="000000"/>
                <w:sz w:val="18"/>
                <w:szCs w:val="18"/>
              </w:rPr>
            </w:pPr>
            <w:r w:rsidRPr="005927D5">
              <w:rPr>
                <w:color w:val="000000"/>
                <w:sz w:val="18"/>
                <w:szCs w:val="18"/>
              </w:rPr>
              <w:t>3,550.00</w:t>
            </w:r>
          </w:p>
        </w:tc>
        <w:tc>
          <w:tcPr>
            <w:tcW w:w="1224" w:type="dxa"/>
            <w:tcBorders>
              <w:top w:val="nil"/>
              <w:left w:val="nil"/>
              <w:bottom w:val="single" w:sz="4" w:space="0" w:color="auto"/>
              <w:right w:val="single" w:sz="4" w:space="0" w:color="auto"/>
            </w:tcBorders>
            <w:tcMar>
              <w:top w:w="0" w:type="dxa"/>
              <w:left w:w="108" w:type="dxa"/>
              <w:bottom w:w="0" w:type="dxa"/>
              <w:right w:w="108" w:type="dxa"/>
            </w:tcMar>
            <w:vAlign w:val="center"/>
          </w:tcPr>
          <w:p w:rsidR="006B77DD" w:rsidRPr="005927D5" w:rsidP="006B77DD" w14:paraId="5BA88AA9" w14:textId="31546E14">
            <w:pPr>
              <w:adjustRightInd/>
              <w:jc w:val="center"/>
              <w:textAlignment w:val="auto"/>
              <w:rPr>
                <w:color w:val="000000"/>
                <w:sz w:val="18"/>
                <w:szCs w:val="18"/>
              </w:rPr>
            </w:pPr>
            <w:r w:rsidRPr="005927D5">
              <w:rPr>
                <w:color w:val="000000"/>
                <w:sz w:val="18"/>
                <w:szCs w:val="18"/>
              </w:rPr>
              <w:t>1</w:t>
            </w:r>
          </w:p>
        </w:tc>
        <w:tc>
          <w:tcPr>
            <w:tcW w:w="1186" w:type="dxa"/>
            <w:tcBorders>
              <w:top w:val="nil"/>
              <w:left w:val="nil"/>
              <w:bottom w:val="single" w:sz="4" w:space="0" w:color="auto"/>
              <w:right w:val="single" w:sz="4" w:space="0" w:color="auto"/>
            </w:tcBorders>
            <w:tcMar>
              <w:top w:w="0" w:type="dxa"/>
              <w:left w:w="108" w:type="dxa"/>
              <w:bottom w:w="0" w:type="dxa"/>
              <w:right w:w="108" w:type="dxa"/>
            </w:tcMar>
            <w:vAlign w:val="center"/>
          </w:tcPr>
          <w:p w:rsidR="006B77DD" w:rsidRPr="005927D5" w:rsidP="006B77DD" w14:paraId="6BDC5C7E" w14:textId="0F0FB662">
            <w:pPr>
              <w:adjustRightInd/>
              <w:jc w:val="center"/>
              <w:textAlignment w:val="auto"/>
              <w:rPr>
                <w:color w:val="000000"/>
                <w:sz w:val="18"/>
                <w:szCs w:val="18"/>
              </w:rPr>
            </w:pPr>
            <w:r w:rsidRPr="005927D5">
              <w:rPr>
                <w:color w:val="000000"/>
                <w:sz w:val="18"/>
                <w:szCs w:val="18"/>
              </w:rPr>
              <w:t>3,550.00</w:t>
            </w:r>
          </w:p>
        </w:tc>
        <w:tc>
          <w:tcPr>
            <w:tcW w:w="1100" w:type="dxa"/>
            <w:tcBorders>
              <w:top w:val="nil"/>
              <w:left w:val="nil"/>
              <w:bottom w:val="single" w:sz="4" w:space="0" w:color="auto"/>
              <w:right w:val="single" w:sz="4" w:space="0" w:color="auto"/>
            </w:tcBorders>
            <w:tcMar>
              <w:top w:w="0" w:type="dxa"/>
              <w:left w:w="108" w:type="dxa"/>
              <w:bottom w:w="0" w:type="dxa"/>
              <w:right w:w="108" w:type="dxa"/>
            </w:tcMar>
            <w:vAlign w:val="center"/>
          </w:tcPr>
          <w:p w:rsidR="006B77DD" w:rsidRPr="005927D5" w:rsidP="006B77DD" w14:paraId="7FD54B93" w14:textId="68D47B28">
            <w:pPr>
              <w:adjustRightInd/>
              <w:jc w:val="center"/>
              <w:textAlignment w:val="auto"/>
              <w:rPr>
                <w:color w:val="000000"/>
                <w:sz w:val="18"/>
                <w:szCs w:val="18"/>
              </w:rPr>
            </w:pPr>
            <w:r w:rsidRPr="005927D5">
              <w:rPr>
                <w:color w:val="000000"/>
                <w:sz w:val="18"/>
                <w:szCs w:val="18"/>
              </w:rPr>
              <w:t>4</w:t>
            </w:r>
          </w:p>
        </w:tc>
        <w:tc>
          <w:tcPr>
            <w:tcW w:w="1016" w:type="dxa"/>
            <w:tcBorders>
              <w:top w:val="nil"/>
              <w:left w:val="nil"/>
              <w:bottom w:val="single" w:sz="4" w:space="0" w:color="auto"/>
              <w:right w:val="single" w:sz="4" w:space="0" w:color="auto"/>
            </w:tcBorders>
            <w:tcMar>
              <w:top w:w="0" w:type="dxa"/>
              <w:left w:w="108" w:type="dxa"/>
              <w:bottom w:w="0" w:type="dxa"/>
              <w:right w:w="108" w:type="dxa"/>
            </w:tcMar>
            <w:vAlign w:val="center"/>
          </w:tcPr>
          <w:p w:rsidR="006B77DD" w:rsidRPr="005927D5" w:rsidP="006B77DD" w14:paraId="34C145B5" w14:textId="3A859828">
            <w:pPr>
              <w:adjustRightInd/>
              <w:jc w:val="center"/>
              <w:textAlignment w:val="auto"/>
              <w:rPr>
                <w:color w:val="000000"/>
                <w:sz w:val="18"/>
                <w:szCs w:val="18"/>
              </w:rPr>
            </w:pPr>
            <w:r w:rsidRPr="005927D5">
              <w:rPr>
                <w:color w:val="000000"/>
                <w:sz w:val="18"/>
                <w:szCs w:val="18"/>
              </w:rPr>
              <w:t>14,200.00</w:t>
            </w:r>
          </w:p>
        </w:tc>
        <w:tc>
          <w:tcPr>
            <w:tcW w:w="1100" w:type="dxa"/>
            <w:tcBorders>
              <w:top w:val="nil"/>
              <w:left w:val="nil"/>
              <w:bottom w:val="single" w:sz="4" w:space="0" w:color="auto"/>
              <w:right w:val="single" w:sz="4" w:space="0" w:color="auto"/>
            </w:tcBorders>
            <w:tcMar>
              <w:top w:w="0" w:type="dxa"/>
              <w:left w:w="108" w:type="dxa"/>
              <w:bottom w:w="0" w:type="dxa"/>
              <w:right w:w="108" w:type="dxa"/>
            </w:tcMar>
            <w:vAlign w:val="center"/>
          </w:tcPr>
          <w:p w:rsidR="006B77DD" w:rsidRPr="005927D5" w:rsidP="006B77DD" w14:paraId="759BFB9B" w14:textId="0C27B703">
            <w:pPr>
              <w:adjustRightInd/>
              <w:jc w:val="right"/>
              <w:textAlignment w:val="auto"/>
              <w:rPr>
                <w:color w:val="000000"/>
                <w:sz w:val="18"/>
                <w:szCs w:val="18"/>
              </w:rPr>
            </w:pPr>
            <w:r w:rsidRPr="005927D5">
              <w:rPr>
                <w:color w:val="000000"/>
                <w:sz w:val="18"/>
                <w:szCs w:val="18"/>
              </w:rPr>
              <w:t>$</w:t>
            </w:r>
            <w:r>
              <w:rPr>
                <w:color w:val="000000"/>
                <w:sz w:val="18"/>
                <w:szCs w:val="18"/>
              </w:rPr>
              <w:t>48.03</w:t>
            </w:r>
            <w:r w:rsidRPr="005927D5">
              <w:rPr>
                <w:color w:val="000000"/>
                <w:sz w:val="18"/>
                <w:szCs w:val="18"/>
              </w:rPr>
              <w:t xml:space="preserve"> </w:t>
            </w:r>
          </w:p>
        </w:tc>
        <w:tc>
          <w:tcPr>
            <w:tcW w:w="1251" w:type="dxa"/>
            <w:tcBorders>
              <w:top w:val="nil"/>
              <w:left w:val="nil"/>
              <w:bottom w:val="single" w:sz="4" w:space="0" w:color="auto"/>
              <w:right w:val="single" w:sz="4" w:space="0" w:color="auto"/>
            </w:tcBorders>
            <w:tcMar>
              <w:top w:w="0" w:type="dxa"/>
              <w:left w:w="108" w:type="dxa"/>
              <w:bottom w:w="0" w:type="dxa"/>
              <w:right w:w="108" w:type="dxa"/>
            </w:tcMar>
          </w:tcPr>
          <w:p w:rsidR="006B77DD" w:rsidRPr="009B6253" w:rsidP="006B77DD" w14:paraId="7C1054C1" w14:textId="09A8D6C6">
            <w:pPr>
              <w:adjustRightInd/>
              <w:jc w:val="right"/>
              <w:textAlignment w:val="auto"/>
              <w:rPr>
                <w:color w:val="000000"/>
                <w:sz w:val="18"/>
                <w:szCs w:val="18"/>
              </w:rPr>
            </w:pPr>
            <w:r w:rsidRPr="002D361A">
              <w:t xml:space="preserve"> 682,026.00 </w:t>
            </w:r>
          </w:p>
        </w:tc>
      </w:tr>
      <w:tr w14:paraId="5538ED6B" w14:textId="77777777" w:rsidTr="004A206B">
        <w:tblPrEx>
          <w:tblW w:w="0" w:type="auto"/>
          <w:tblInd w:w="-118" w:type="dxa"/>
          <w:tblCellMar>
            <w:left w:w="0" w:type="dxa"/>
            <w:right w:w="0" w:type="dxa"/>
          </w:tblCellMar>
          <w:tblLook w:val="04A0"/>
        </w:tblPrEx>
        <w:trPr>
          <w:trHeight w:val="85"/>
        </w:trPr>
        <w:tc>
          <w:tcPr>
            <w:tcW w:w="2088"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6B77DD" w:rsidRPr="005927D5" w:rsidP="006B77DD" w14:paraId="10C14437" w14:textId="369E45E0">
            <w:pPr>
              <w:adjustRightInd/>
              <w:textAlignment w:val="auto"/>
              <w:rPr>
                <w:color w:val="000000"/>
                <w:sz w:val="18"/>
                <w:szCs w:val="18"/>
              </w:rPr>
            </w:pPr>
            <w:r w:rsidRPr="005927D5">
              <w:rPr>
                <w:color w:val="000000"/>
                <w:sz w:val="18"/>
                <w:szCs w:val="18"/>
              </w:rPr>
              <w:t>Quarterly Performance Report (YHDP) - State and Local Recipients</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tcPr>
          <w:p w:rsidR="006B77DD" w:rsidRPr="005927D5" w:rsidP="006B77DD" w14:paraId="6162A3BC" w14:textId="70EB7EE9">
            <w:pPr>
              <w:adjustRightInd/>
              <w:jc w:val="center"/>
              <w:textAlignment w:val="auto"/>
              <w:rPr>
                <w:color w:val="000000"/>
                <w:sz w:val="18"/>
                <w:szCs w:val="18"/>
              </w:rPr>
            </w:pPr>
            <w:r w:rsidRPr="005927D5">
              <w:rPr>
                <w:color w:val="000000"/>
                <w:sz w:val="18"/>
                <w:szCs w:val="18"/>
              </w:rPr>
              <w:t>200.00</w:t>
            </w:r>
          </w:p>
        </w:tc>
        <w:tc>
          <w:tcPr>
            <w:tcW w:w="1224" w:type="dxa"/>
            <w:tcBorders>
              <w:top w:val="nil"/>
              <w:left w:val="nil"/>
              <w:bottom w:val="single" w:sz="4" w:space="0" w:color="auto"/>
              <w:right w:val="single" w:sz="4" w:space="0" w:color="auto"/>
            </w:tcBorders>
            <w:tcMar>
              <w:top w:w="0" w:type="dxa"/>
              <w:left w:w="108" w:type="dxa"/>
              <w:bottom w:w="0" w:type="dxa"/>
              <w:right w:w="108" w:type="dxa"/>
            </w:tcMar>
            <w:vAlign w:val="center"/>
          </w:tcPr>
          <w:p w:rsidR="006B77DD" w:rsidRPr="005927D5" w:rsidP="006B77DD" w14:paraId="20303BCF" w14:textId="15709700">
            <w:pPr>
              <w:adjustRightInd/>
              <w:jc w:val="center"/>
              <w:textAlignment w:val="auto"/>
              <w:rPr>
                <w:color w:val="000000"/>
                <w:sz w:val="18"/>
                <w:szCs w:val="18"/>
              </w:rPr>
            </w:pPr>
            <w:r w:rsidRPr="005927D5">
              <w:rPr>
                <w:color w:val="000000"/>
                <w:sz w:val="18"/>
                <w:szCs w:val="18"/>
              </w:rPr>
              <w:t>4</w:t>
            </w:r>
          </w:p>
        </w:tc>
        <w:tc>
          <w:tcPr>
            <w:tcW w:w="1186" w:type="dxa"/>
            <w:tcBorders>
              <w:top w:val="nil"/>
              <w:left w:val="nil"/>
              <w:bottom w:val="single" w:sz="4" w:space="0" w:color="auto"/>
              <w:right w:val="single" w:sz="4" w:space="0" w:color="auto"/>
            </w:tcBorders>
            <w:tcMar>
              <w:top w:w="0" w:type="dxa"/>
              <w:left w:w="108" w:type="dxa"/>
              <w:bottom w:w="0" w:type="dxa"/>
              <w:right w:w="108" w:type="dxa"/>
            </w:tcMar>
            <w:vAlign w:val="center"/>
          </w:tcPr>
          <w:p w:rsidR="006B77DD" w:rsidRPr="005927D5" w:rsidP="006B77DD" w14:paraId="757333A9" w14:textId="1B5D9346">
            <w:pPr>
              <w:adjustRightInd/>
              <w:jc w:val="center"/>
              <w:textAlignment w:val="auto"/>
              <w:rPr>
                <w:color w:val="000000"/>
                <w:sz w:val="18"/>
                <w:szCs w:val="18"/>
              </w:rPr>
            </w:pPr>
            <w:r w:rsidRPr="005927D5">
              <w:rPr>
                <w:color w:val="000000"/>
                <w:sz w:val="18"/>
                <w:szCs w:val="18"/>
              </w:rPr>
              <w:t>800.00</w:t>
            </w:r>
          </w:p>
        </w:tc>
        <w:tc>
          <w:tcPr>
            <w:tcW w:w="1100" w:type="dxa"/>
            <w:tcBorders>
              <w:top w:val="nil"/>
              <w:left w:val="nil"/>
              <w:bottom w:val="single" w:sz="4" w:space="0" w:color="auto"/>
              <w:right w:val="single" w:sz="4" w:space="0" w:color="auto"/>
            </w:tcBorders>
            <w:tcMar>
              <w:top w:w="0" w:type="dxa"/>
              <w:left w:w="108" w:type="dxa"/>
              <w:bottom w:w="0" w:type="dxa"/>
              <w:right w:w="108" w:type="dxa"/>
            </w:tcMar>
            <w:vAlign w:val="center"/>
          </w:tcPr>
          <w:p w:rsidR="006B77DD" w:rsidRPr="005927D5" w:rsidP="006B77DD" w14:paraId="5F91D4D3" w14:textId="6FE7A7B6">
            <w:pPr>
              <w:adjustRightInd/>
              <w:jc w:val="center"/>
              <w:textAlignment w:val="auto"/>
              <w:rPr>
                <w:color w:val="000000"/>
                <w:sz w:val="18"/>
                <w:szCs w:val="18"/>
              </w:rPr>
            </w:pPr>
            <w:r w:rsidRPr="005927D5">
              <w:rPr>
                <w:color w:val="000000"/>
                <w:sz w:val="18"/>
                <w:szCs w:val="18"/>
              </w:rPr>
              <w:t>5</w:t>
            </w:r>
          </w:p>
        </w:tc>
        <w:tc>
          <w:tcPr>
            <w:tcW w:w="1016" w:type="dxa"/>
            <w:tcBorders>
              <w:top w:val="nil"/>
              <w:left w:val="nil"/>
              <w:bottom w:val="single" w:sz="4" w:space="0" w:color="auto"/>
              <w:right w:val="single" w:sz="4" w:space="0" w:color="auto"/>
            </w:tcBorders>
            <w:tcMar>
              <w:top w:w="0" w:type="dxa"/>
              <w:left w:w="108" w:type="dxa"/>
              <w:bottom w:w="0" w:type="dxa"/>
              <w:right w:w="108" w:type="dxa"/>
            </w:tcMar>
            <w:vAlign w:val="center"/>
          </w:tcPr>
          <w:p w:rsidR="006B77DD" w:rsidRPr="005927D5" w:rsidP="006B77DD" w14:paraId="789E9B5C" w14:textId="2519F5AB">
            <w:pPr>
              <w:adjustRightInd/>
              <w:jc w:val="center"/>
              <w:textAlignment w:val="auto"/>
              <w:rPr>
                <w:color w:val="000000"/>
                <w:sz w:val="18"/>
                <w:szCs w:val="18"/>
              </w:rPr>
            </w:pPr>
            <w:r w:rsidRPr="005927D5">
              <w:rPr>
                <w:color w:val="000000"/>
                <w:sz w:val="18"/>
                <w:szCs w:val="18"/>
              </w:rPr>
              <w:t>4,000.00</w:t>
            </w:r>
          </w:p>
        </w:tc>
        <w:tc>
          <w:tcPr>
            <w:tcW w:w="1100" w:type="dxa"/>
            <w:tcBorders>
              <w:top w:val="nil"/>
              <w:left w:val="nil"/>
              <w:bottom w:val="single" w:sz="4" w:space="0" w:color="auto"/>
              <w:right w:val="single" w:sz="4" w:space="0" w:color="auto"/>
            </w:tcBorders>
            <w:tcMar>
              <w:top w:w="0" w:type="dxa"/>
              <w:left w:w="108" w:type="dxa"/>
              <w:bottom w:w="0" w:type="dxa"/>
              <w:right w:w="108" w:type="dxa"/>
            </w:tcMar>
            <w:vAlign w:val="center"/>
          </w:tcPr>
          <w:p w:rsidR="006B77DD" w:rsidRPr="005927D5" w:rsidP="006B77DD" w14:paraId="77BB0A29" w14:textId="4A69773E">
            <w:pPr>
              <w:adjustRightInd/>
              <w:jc w:val="right"/>
              <w:textAlignment w:val="auto"/>
              <w:rPr>
                <w:color w:val="000000"/>
                <w:sz w:val="18"/>
                <w:szCs w:val="18"/>
              </w:rPr>
            </w:pPr>
            <w:r w:rsidRPr="005927D5">
              <w:rPr>
                <w:color w:val="000000"/>
                <w:sz w:val="18"/>
                <w:szCs w:val="18"/>
              </w:rPr>
              <w:t>$</w:t>
            </w:r>
            <w:r>
              <w:rPr>
                <w:color w:val="000000"/>
                <w:sz w:val="18"/>
                <w:szCs w:val="18"/>
              </w:rPr>
              <w:t>48.03</w:t>
            </w:r>
            <w:r w:rsidRPr="005927D5">
              <w:rPr>
                <w:color w:val="000000"/>
                <w:sz w:val="18"/>
                <w:szCs w:val="18"/>
              </w:rPr>
              <w:t xml:space="preserve"> </w:t>
            </w:r>
          </w:p>
        </w:tc>
        <w:tc>
          <w:tcPr>
            <w:tcW w:w="1251" w:type="dxa"/>
            <w:tcBorders>
              <w:top w:val="nil"/>
              <w:left w:val="nil"/>
              <w:bottom w:val="single" w:sz="4" w:space="0" w:color="auto"/>
              <w:right w:val="single" w:sz="4" w:space="0" w:color="auto"/>
            </w:tcBorders>
            <w:tcMar>
              <w:top w:w="0" w:type="dxa"/>
              <w:left w:w="108" w:type="dxa"/>
              <w:bottom w:w="0" w:type="dxa"/>
              <w:right w:w="108" w:type="dxa"/>
            </w:tcMar>
          </w:tcPr>
          <w:p w:rsidR="006B77DD" w:rsidRPr="009B6253" w:rsidP="006B77DD" w14:paraId="5D81BCE8" w14:textId="27AD8187">
            <w:pPr>
              <w:adjustRightInd/>
              <w:jc w:val="right"/>
              <w:textAlignment w:val="auto"/>
              <w:rPr>
                <w:color w:val="000000"/>
                <w:sz w:val="18"/>
                <w:szCs w:val="18"/>
              </w:rPr>
            </w:pPr>
            <w:r w:rsidRPr="002D361A">
              <w:t xml:space="preserve"> 192,120.00 </w:t>
            </w:r>
          </w:p>
        </w:tc>
      </w:tr>
      <w:tr w14:paraId="03BB7723" w14:textId="77777777" w:rsidTr="004A206B">
        <w:tblPrEx>
          <w:tblW w:w="0" w:type="auto"/>
          <w:tblInd w:w="-118" w:type="dxa"/>
          <w:tblCellMar>
            <w:left w:w="0" w:type="dxa"/>
            <w:right w:w="0" w:type="dxa"/>
          </w:tblCellMar>
          <w:tblLook w:val="04A0"/>
        </w:tblPrEx>
        <w:trPr>
          <w:trHeight w:val="85"/>
        </w:trPr>
        <w:tc>
          <w:tcPr>
            <w:tcW w:w="2088"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6B77DD" w:rsidRPr="005927D5" w:rsidP="006B77DD" w14:paraId="70548807" w14:textId="405D97DA">
            <w:pPr>
              <w:adjustRightInd/>
              <w:textAlignment w:val="auto"/>
              <w:rPr>
                <w:color w:val="000000"/>
                <w:sz w:val="18"/>
                <w:szCs w:val="18"/>
              </w:rPr>
            </w:pPr>
            <w:r w:rsidRPr="005927D5">
              <w:rPr>
                <w:color w:val="000000"/>
                <w:sz w:val="18"/>
                <w:szCs w:val="18"/>
              </w:rPr>
              <w:t>Annual Performance Report (YHDP) - State and Local Recipients</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tcPr>
          <w:p w:rsidR="006B77DD" w:rsidRPr="005927D5" w:rsidP="006B77DD" w14:paraId="75F371F8" w14:textId="61976C3F">
            <w:pPr>
              <w:adjustRightInd/>
              <w:jc w:val="center"/>
              <w:textAlignment w:val="auto"/>
              <w:rPr>
                <w:color w:val="000000"/>
                <w:sz w:val="18"/>
                <w:szCs w:val="18"/>
              </w:rPr>
            </w:pPr>
            <w:r w:rsidRPr="005927D5">
              <w:rPr>
                <w:color w:val="000000"/>
                <w:sz w:val="18"/>
                <w:szCs w:val="18"/>
              </w:rPr>
              <w:t>200.00</w:t>
            </w:r>
          </w:p>
        </w:tc>
        <w:tc>
          <w:tcPr>
            <w:tcW w:w="1224" w:type="dxa"/>
            <w:tcBorders>
              <w:top w:val="nil"/>
              <w:left w:val="nil"/>
              <w:bottom w:val="single" w:sz="4" w:space="0" w:color="auto"/>
              <w:right w:val="single" w:sz="4" w:space="0" w:color="auto"/>
            </w:tcBorders>
            <w:tcMar>
              <w:top w:w="0" w:type="dxa"/>
              <w:left w:w="108" w:type="dxa"/>
              <w:bottom w:w="0" w:type="dxa"/>
              <w:right w:w="108" w:type="dxa"/>
            </w:tcMar>
            <w:vAlign w:val="center"/>
          </w:tcPr>
          <w:p w:rsidR="006B77DD" w:rsidRPr="005927D5" w:rsidP="006B77DD" w14:paraId="176839FF" w14:textId="092095DD">
            <w:pPr>
              <w:adjustRightInd/>
              <w:jc w:val="center"/>
              <w:textAlignment w:val="auto"/>
              <w:rPr>
                <w:color w:val="000000"/>
                <w:sz w:val="18"/>
                <w:szCs w:val="18"/>
              </w:rPr>
            </w:pPr>
            <w:r w:rsidRPr="005927D5">
              <w:rPr>
                <w:color w:val="000000"/>
                <w:sz w:val="18"/>
                <w:szCs w:val="18"/>
              </w:rPr>
              <w:t>1</w:t>
            </w:r>
          </w:p>
        </w:tc>
        <w:tc>
          <w:tcPr>
            <w:tcW w:w="1186" w:type="dxa"/>
            <w:tcBorders>
              <w:top w:val="nil"/>
              <w:left w:val="nil"/>
              <w:bottom w:val="single" w:sz="4" w:space="0" w:color="auto"/>
              <w:right w:val="single" w:sz="4" w:space="0" w:color="auto"/>
            </w:tcBorders>
            <w:tcMar>
              <w:top w:w="0" w:type="dxa"/>
              <w:left w:w="108" w:type="dxa"/>
              <w:bottom w:w="0" w:type="dxa"/>
              <w:right w:w="108" w:type="dxa"/>
            </w:tcMar>
            <w:vAlign w:val="center"/>
          </w:tcPr>
          <w:p w:rsidR="006B77DD" w:rsidRPr="005927D5" w:rsidP="006B77DD" w14:paraId="1485ABB4" w14:textId="4222051E">
            <w:pPr>
              <w:adjustRightInd/>
              <w:jc w:val="center"/>
              <w:textAlignment w:val="auto"/>
              <w:rPr>
                <w:color w:val="000000"/>
                <w:sz w:val="18"/>
                <w:szCs w:val="18"/>
              </w:rPr>
            </w:pPr>
            <w:r w:rsidRPr="005927D5">
              <w:rPr>
                <w:color w:val="000000"/>
                <w:sz w:val="18"/>
                <w:szCs w:val="18"/>
              </w:rPr>
              <w:t>200.00</w:t>
            </w:r>
          </w:p>
        </w:tc>
        <w:tc>
          <w:tcPr>
            <w:tcW w:w="1100" w:type="dxa"/>
            <w:tcBorders>
              <w:top w:val="nil"/>
              <w:left w:val="nil"/>
              <w:bottom w:val="single" w:sz="4" w:space="0" w:color="auto"/>
              <w:right w:val="single" w:sz="4" w:space="0" w:color="auto"/>
            </w:tcBorders>
            <w:tcMar>
              <w:top w:w="0" w:type="dxa"/>
              <w:left w:w="108" w:type="dxa"/>
              <w:bottom w:w="0" w:type="dxa"/>
              <w:right w:w="108" w:type="dxa"/>
            </w:tcMar>
            <w:vAlign w:val="center"/>
          </w:tcPr>
          <w:p w:rsidR="006B77DD" w:rsidRPr="005927D5" w:rsidP="006B77DD" w14:paraId="6718D77A" w14:textId="2E2B34D4">
            <w:pPr>
              <w:adjustRightInd/>
              <w:jc w:val="center"/>
              <w:textAlignment w:val="auto"/>
              <w:rPr>
                <w:color w:val="000000"/>
                <w:sz w:val="18"/>
                <w:szCs w:val="18"/>
              </w:rPr>
            </w:pPr>
            <w:r w:rsidRPr="005927D5">
              <w:rPr>
                <w:color w:val="000000"/>
                <w:sz w:val="18"/>
                <w:szCs w:val="18"/>
              </w:rPr>
              <w:t>5</w:t>
            </w:r>
          </w:p>
        </w:tc>
        <w:tc>
          <w:tcPr>
            <w:tcW w:w="1016" w:type="dxa"/>
            <w:tcBorders>
              <w:top w:val="nil"/>
              <w:left w:val="nil"/>
              <w:bottom w:val="single" w:sz="4" w:space="0" w:color="auto"/>
              <w:right w:val="single" w:sz="4" w:space="0" w:color="auto"/>
            </w:tcBorders>
            <w:tcMar>
              <w:top w:w="0" w:type="dxa"/>
              <w:left w:w="108" w:type="dxa"/>
              <w:bottom w:w="0" w:type="dxa"/>
              <w:right w:w="108" w:type="dxa"/>
            </w:tcMar>
            <w:vAlign w:val="center"/>
          </w:tcPr>
          <w:p w:rsidR="006B77DD" w:rsidRPr="005927D5" w:rsidP="006B77DD" w14:paraId="3F0F6146" w14:textId="4A967631">
            <w:pPr>
              <w:adjustRightInd/>
              <w:jc w:val="center"/>
              <w:textAlignment w:val="auto"/>
              <w:rPr>
                <w:color w:val="000000"/>
                <w:sz w:val="18"/>
                <w:szCs w:val="18"/>
              </w:rPr>
            </w:pPr>
            <w:r w:rsidRPr="005927D5">
              <w:rPr>
                <w:color w:val="000000"/>
                <w:sz w:val="18"/>
                <w:szCs w:val="18"/>
              </w:rPr>
              <w:t>1,000.00</w:t>
            </w:r>
          </w:p>
        </w:tc>
        <w:tc>
          <w:tcPr>
            <w:tcW w:w="1100" w:type="dxa"/>
            <w:tcBorders>
              <w:top w:val="nil"/>
              <w:left w:val="nil"/>
              <w:bottom w:val="single" w:sz="4" w:space="0" w:color="auto"/>
              <w:right w:val="single" w:sz="4" w:space="0" w:color="auto"/>
            </w:tcBorders>
            <w:tcMar>
              <w:top w:w="0" w:type="dxa"/>
              <w:left w:w="108" w:type="dxa"/>
              <w:bottom w:w="0" w:type="dxa"/>
              <w:right w:w="108" w:type="dxa"/>
            </w:tcMar>
            <w:vAlign w:val="center"/>
          </w:tcPr>
          <w:p w:rsidR="006B77DD" w:rsidRPr="005927D5" w:rsidP="006B77DD" w14:paraId="4C13A13B" w14:textId="4DDC87D2">
            <w:pPr>
              <w:adjustRightInd/>
              <w:jc w:val="right"/>
              <w:textAlignment w:val="auto"/>
              <w:rPr>
                <w:color w:val="000000"/>
                <w:sz w:val="18"/>
                <w:szCs w:val="18"/>
              </w:rPr>
            </w:pPr>
            <w:r w:rsidRPr="005927D5">
              <w:rPr>
                <w:color w:val="000000"/>
                <w:sz w:val="18"/>
                <w:szCs w:val="18"/>
              </w:rPr>
              <w:t>$</w:t>
            </w:r>
            <w:r>
              <w:rPr>
                <w:color w:val="000000"/>
                <w:sz w:val="18"/>
                <w:szCs w:val="18"/>
              </w:rPr>
              <w:t>48.03</w:t>
            </w:r>
            <w:r w:rsidRPr="005927D5">
              <w:rPr>
                <w:color w:val="000000"/>
                <w:sz w:val="18"/>
                <w:szCs w:val="18"/>
              </w:rPr>
              <w:t xml:space="preserve"> </w:t>
            </w:r>
          </w:p>
        </w:tc>
        <w:tc>
          <w:tcPr>
            <w:tcW w:w="1251" w:type="dxa"/>
            <w:tcBorders>
              <w:top w:val="nil"/>
              <w:left w:val="nil"/>
              <w:bottom w:val="single" w:sz="4" w:space="0" w:color="auto"/>
              <w:right w:val="single" w:sz="4" w:space="0" w:color="auto"/>
            </w:tcBorders>
            <w:tcMar>
              <w:top w:w="0" w:type="dxa"/>
              <w:left w:w="108" w:type="dxa"/>
              <w:bottom w:w="0" w:type="dxa"/>
              <w:right w:w="108" w:type="dxa"/>
            </w:tcMar>
          </w:tcPr>
          <w:p w:rsidR="006B77DD" w:rsidRPr="009B6253" w:rsidP="006B77DD" w14:paraId="281D365E" w14:textId="58D9B3DD">
            <w:pPr>
              <w:adjustRightInd/>
              <w:jc w:val="right"/>
              <w:textAlignment w:val="auto"/>
              <w:rPr>
                <w:color w:val="000000"/>
                <w:sz w:val="18"/>
                <w:szCs w:val="18"/>
              </w:rPr>
            </w:pPr>
            <w:r w:rsidRPr="002D361A">
              <w:t xml:space="preserve"> 48,030.00 </w:t>
            </w:r>
          </w:p>
        </w:tc>
      </w:tr>
      <w:tr w14:paraId="0415CA32" w14:textId="77777777" w:rsidTr="004A206B">
        <w:tblPrEx>
          <w:tblW w:w="0" w:type="auto"/>
          <w:tblInd w:w="-118" w:type="dxa"/>
          <w:tblCellMar>
            <w:left w:w="0" w:type="dxa"/>
            <w:right w:w="0" w:type="dxa"/>
          </w:tblCellMar>
          <w:tblLook w:val="04A0"/>
        </w:tblPrEx>
        <w:trPr>
          <w:trHeight w:val="85"/>
        </w:trPr>
        <w:tc>
          <w:tcPr>
            <w:tcW w:w="2088"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6B77DD" w:rsidRPr="005927D5" w:rsidP="006B77DD" w14:paraId="7B381CD1" w14:textId="5278EF9C">
            <w:pPr>
              <w:adjustRightInd/>
              <w:textAlignment w:val="auto"/>
              <w:rPr>
                <w:color w:val="000000"/>
                <w:sz w:val="18"/>
                <w:szCs w:val="18"/>
              </w:rPr>
            </w:pPr>
            <w:r w:rsidRPr="005927D5">
              <w:rPr>
                <w:color w:val="000000"/>
                <w:sz w:val="18"/>
                <w:szCs w:val="18"/>
              </w:rPr>
              <w:t>Performance Report (Special CoC NOFO Grants that report quarterly) - State and Local Recipients</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tcPr>
          <w:p w:rsidR="006B77DD" w:rsidRPr="005927D5" w:rsidP="006B77DD" w14:paraId="32B67B48" w14:textId="048D1322">
            <w:pPr>
              <w:adjustRightInd/>
              <w:jc w:val="center"/>
              <w:textAlignment w:val="auto"/>
              <w:rPr>
                <w:color w:val="000000"/>
                <w:sz w:val="18"/>
                <w:szCs w:val="18"/>
              </w:rPr>
            </w:pPr>
            <w:r w:rsidRPr="005927D5">
              <w:rPr>
                <w:color w:val="000000"/>
                <w:sz w:val="18"/>
                <w:szCs w:val="18"/>
              </w:rPr>
              <w:t>110.00</w:t>
            </w:r>
          </w:p>
        </w:tc>
        <w:tc>
          <w:tcPr>
            <w:tcW w:w="1224" w:type="dxa"/>
            <w:tcBorders>
              <w:top w:val="nil"/>
              <w:left w:val="nil"/>
              <w:bottom w:val="single" w:sz="4" w:space="0" w:color="auto"/>
              <w:right w:val="single" w:sz="4" w:space="0" w:color="auto"/>
            </w:tcBorders>
            <w:tcMar>
              <w:top w:w="0" w:type="dxa"/>
              <w:left w:w="108" w:type="dxa"/>
              <w:bottom w:w="0" w:type="dxa"/>
              <w:right w:w="108" w:type="dxa"/>
            </w:tcMar>
            <w:vAlign w:val="center"/>
          </w:tcPr>
          <w:p w:rsidR="006B77DD" w:rsidRPr="005927D5" w:rsidP="006B77DD" w14:paraId="1DA44EA7" w14:textId="3323C290">
            <w:pPr>
              <w:adjustRightInd/>
              <w:jc w:val="center"/>
              <w:textAlignment w:val="auto"/>
              <w:rPr>
                <w:color w:val="000000"/>
                <w:sz w:val="18"/>
                <w:szCs w:val="18"/>
              </w:rPr>
            </w:pPr>
            <w:r w:rsidRPr="005927D5">
              <w:rPr>
                <w:color w:val="000000"/>
                <w:sz w:val="18"/>
                <w:szCs w:val="18"/>
              </w:rPr>
              <w:t>4</w:t>
            </w:r>
          </w:p>
        </w:tc>
        <w:tc>
          <w:tcPr>
            <w:tcW w:w="1186" w:type="dxa"/>
            <w:tcBorders>
              <w:top w:val="nil"/>
              <w:left w:val="nil"/>
              <w:bottom w:val="single" w:sz="4" w:space="0" w:color="auto"/>
              <w:right w:val="single" w:sz="4" w:space="0" w:color="auto"/>
            </w:tcBorders>
            <w:tcMar>
              <w:top w:w="0" w:type="dxa"/>
              <w:left w:w="108" w:type="dxa"/>
              <w:bottom w:w="0" w:type="dxa"/>
              <w:right w:w="108" w:type="dxa"/>
            </w:tcMar>
            <w:vAlign w:val="center"/>
          </w:tcPr>
          <w:p w:rsidR="006B77DD" w:rsidRPr="005927D5" w:rsidP="006B77DD" w14:paraId="436A19CF" w14:textId="7DEBE587">
            <w:pPr>
              <w:adjustRightInd/>
              <w:jc w:val="center"/>
              <w:textAlignment w:val="auto"/>
              <w:rPr>
                <w:color w:val="000000"/>
                <w:sz w:val="18"/>
                <w:szCs w:val="18"/>
              </w:rPr>
            </w:pPr>
            <w:r w:rsidRPr="005927D5">
              <w:rPr>
                <w:color w:val="000000"/>
                <w:sz w:val="18"/>
                <w:szCs w:val="18"/>
              </w:rPr>
              <w:t>440.00</w:t>
            </w:r>
          </w:p>
        </w:tc>
        <w:tc>
          <w:tcPr>
            <w:tcW w:w="1100" w:type="dxa"/>
            <w:tcBorders>
              <w:top w:val="nil"/>
              <w:left w:val="nil"/>
              <w:bottom w:val="single" w:sz="4" w:space="0" w:color="auto"/>
              <w:right w:val="single" w:sz="4" w:space="0" w:color="auto"/>
            </w:tcBorders>
            <w:tcMar>
              <w:top w:w="0" w:type="dxa"/>
              <w:left w:w="108" w:type="dxa"/>
              <w:bottom w:w="0" w:type="dxa"/>
              <w:right w:w="108" w:type="dxa"/>
            </w:tcMar>
            <w:vAlign w:val="center"/>
          </w:tcPr>
          <w:p w:rsidR="006B77DD" w:rsidRPr="005927D5" w:rsidP="006B77DD" w14:paraId="586CFC6E" w14:textId="5DD1565D">
            <w:pPr>
              <w:adjustRightInd/>
              <w:jc w:val="center"/>
              <w:textAlignment w:val="auto"/>
              <w:rPr>
                <w:color w:val="000000"/>
                <w:sz w:val="18"/>
                <w:szCs w:val="18"/>
              </w:rPr>
            </w:pPr>
            <w:r w:rsidRPr="005927D5">
              <w:rPr>
                <w:color w:val="000000"/>
                <w:sz w:val="18"/>
                <w:szCs w:val="18"/>
              </w:rPr>
              <w:t>4</w:t>
            </w:r>
          </w:p>
        </w:tc>
        <w:tc>
          <w:tcPr>
            <w:tcW w:w="1016" w:type="dxa"/>
            <w:tcBorders>
              <w:top w:val="nil"/>
              <w:left w:val="nil"/>
              <w:bottom w:val="single" w:sz="4" w:space="0" w:color="auto"/>
              <w:right w:val="single" w:sz="4" w:space="0" w:color="auto"/>
            </w:tcBorders>
            <w:tcMar>
              <w:top w:w="0" w:type="dxa"/>
              <w:left w:w="108" w:type="dxa"/>
              <w:bottom w:w="0" w:type="dxa"/>
              <w:right w:w="108" w:type="dxa"/>
            </w:tcMar>
            <w:vAlign w:val="center"/>
          </w:tcPr>
          <w:p w:rsidR="006B77DD" w:rsidRPr="005927D5" w:rsidP="006B77DD" w14:paraId="681CE6D1" w14:textId="42EB2466">
            <w:pPr>
              <w:adjustRightInd/>
              <w:jc w:val="center"/>
              <w:textAlignment w:val="auto"/>
              <w:rPr>
                <w:color w:val="000000"/>
                <w:sz w:val="18"/>
                <w:szCs w:val="18"/>
              </w:rPr>
            </w:pPr>
            <w:r w:rsidRPr="005927D5">
              <w:rPr>
                <w:color w:val="000000"/>
                <w:sz w:val="18"/>
                <w:szCs w:val="18"/>
              </w:rPr>
              <w:t>1,760.00</w:t>
            </w:r>
          </w:p>
        </w:tc>
        <w:tc>
          <w:tcPr>
            <w:tcW w:w="1100" w:type="dxa"/>
            <w:tcBorders>
              <w:top w:val="nil"/>
              <w:left w:val="nil"/>
              <w:bottom w:val="single" w:sz="4" w:space="0" w:color="auto"/>
              <w:right w:val="single" w:sz="4" w:space="0" w:color="auto"/>
            </w:tcBorders>
            <w:tcMar>
              <w:top w:w="0" w:type="dxa"/>
              <w:left w:w="108" w:type="dxa"/>
              <w:bottom w:w="0" w:type="dxa"/>
              <w:right w:w="108" w:type="dxa"/>
            </w:tcMar>
            <w:vAlign w:val="center"/>
          </w:tcPr>
          <w:p w:rsidR="006B77DD" w:rsidRPr="005927D5" w:rsidP="006B77DD" w14:paraId="37CFDE7B" w14:textId="37E69B25">
            <w:pPr>
              <w:adjustRightInd/>
              <w:jc w:val="right"/>
              <w:textAlignment w:val="auto"/>
              <w:rPr>
                <w:color w:val="000000"/>
                <w:sz w:val="18"/>
                <w:szCs w:val="18"/>
              </w:rPr>
            </w:pPr>
            <w:r w:rsidRPr="005927D5">
              <w:rPr>
                <w:color w:val="000000"/>
                <w:sz w:val="18"/>
                <w:szCs w:val="18"/>
              </w:rPr>
              <w:t>$</w:t>
            </w:r>
            <w:r>
              <w:rPr>
                <w:color w:val="000000"/>
                <w:sz w:val="18"/>
                <w:szCs w:val="18"/>
              </w:rPr>
              <w:t>48.03</w:t>
            </w:r>
            <w:r w:rsidRPr="005927D5">
              <w:rPr>
                <w:color w:val="000000"/>
                <w:sz w:val="18"/>
                <w:szCs w:val="18"/>
              </w:rPr>
              <w:t xml:space="preserve"> </w:t>
            </w:r>
          </w:p>
        </w:tc>
        <w:tc>
          <w:tcPr>
            <w:tcW w:w="1251" w:type="dxa"/>
            <w:tcBorders>
              <w:top w:val="nil"/>
              <w:left w:val="nil"/>
              <w:bottom w:val="single" w:sz="4" w:space="0" w:color="auto"/>
              <w:right w:val="single" w:sz="4" w:space="0" w:color="auto"/>
            </w:tcBorders>
            <w:tcMar>
              <w:top w:w="0" w:type="dxa"/>
              <w:left w:w="108" w:type="dxa"/>
              <w:bottom w:w="0" w:type="dxa"/>
              <w:right w:w="108" w:type="dxa"/>
            </w:tcMar>
          </w:tcPr>
          <w:p w:rsidR="006B77DD" w:rsidRPr="009B6253" w:rsidP="006B77DD" w14:paraId="3C96E681" w14:textId="5AF90EA2">
            <w:pPr>
              <w:adjustRightInd/>
              <w:jc w:val="right"/>
              <w:textAlignment w:val="auto"/>
              <w:rPr>
                <w:color w:val="000000"/>
                <w:sz w:val="18"/>
                <w:szCs w:val="18"/>
              </w:rPr>
            </w:pPr>
            <w:r w:rsidRPr="002D361A">
              <w:t xml:space="preserve"> 84,532.80 </w:t>
            </w:r>
          </w:p>
        </w:tc>
      </w:tr>
      <w:tr w14:paraId="7E57D4B4" w14:textId="77777777" w:rsidTr="004A206B">
        <w:tblPrEx>
          <w:tblW w:w="0" w:type="auto"/>
          <w:tblInd w:w="-118" w:type="dxa"/>
          <w:tblCellMar>
            <w:left w:w="0" w:type="dxa"/>
            <w:right w:w="0" w:type="dxa"/>
          </w:tblCellMar>
          <w:tblLook w:val="04A0"/>
        </w:tblPrEx>
        <w:trPr>
          <w:trHeight w:val="85"/>
        </w:trPr>
        <w:tc>
          <w:tcPr>
            <w:tcW w:w="2088"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6B77DD" w:rsidRPr="005927D5" w:rsidP="006B77DD" w14:paraId="4140B14E" w14:textId="7E11AF95">
            <w:pPr>
              <w:adjustRightInd/>
              <w:textAlignment w:val="auto"/>
              <w:rPr>
                <w:color w:val="000000"/>
                <w:sz w:val="18"/>
                <w:szCs w:val="18"/>
              </w:rPr>
            </w:pPr>
            <w:r w:rsidRPr="005927D5">
              <w:rPr>
                <w:color w:val="000000"/>
                <w:sz w:val="18"/>
                <w:szCs w:val="18"/>
              </w:rPr>
              <w:t>Performance Report (Special CoC NOFO Grants that report annually) - State and Local Recipients</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tcPr>
          <w:p w:rsidR="006B77DD" w:rsidRPr="005927D5" w:rsidP="006B77DD" w14:paraId="69DEC9FC" w14:textId="0789F605">
            <w:pPr>
              <w:adjustRightInd/>
              <w:jc w:val="center"/>
              <w:textAlignment w:val="auto"/>
              <w:rPr>
                <w:color w:val="000000"/>
                <w:sz w:val="18"/>
                <w:szCs w:val="18"/>
              </w:rPr>
            </w:pPr>
            <w:r w:rsidRPr="005927D5">
              <w:rPr>
                <w:color w:val="000000"/>
                <w:sz w:val="18"/>
                <w:szCs w:val="18"/>
              </w:rPr>
              <w:t>28.00</w:t>
            </w:r>
          </w:p>
        </w:tc>
        <w:tc>
          <w:tcPr>
            <w:tcW w:w="1224" w:type="dxa"/>
            <w:tcBorders>
              <w:top w:val="nil"/>
              <w:left w:val="nil"/>
              <w:bottom w:val="single" w:sz="4" w:space="0" w:color="auto"/>
              <w:right w:val="single" w:sz="4" w:space="0" w:color="auto"/>
            </w:tcBorders>
            <w:tcMar>
              <w:top w:w="0" w:type="dxa"/>
              <w:left w:w="108" w:type="dxa"/>
              <w:bottom w:w="0" w:type="dxa"/>
              <w:right w:w="108" w:type="dxa"/>
            </w:tcMar>
            <w:vAlign w:val="center"/>
          </w:tcPr>
          <w:p w:rsidR="006B77DD" w:rsidRPr="005927D5" w:rsidP="006B77DD" w14:paraId="22F7C1C8" w14:textId="52AFE047">
            <w:pPr>
              <w:adjustRightInd/>
              <w:jc w:val="center"/>
              <w:textAlignment w:val="auto"/>
              <w:rPr>
                <w:color w:val="000000"/>
                <w:sz w:val="18"/>
                <w:szCs w:val="18"/>
              </w:rPr>
            </w:pPr>
            <w:r w:rsidRPr="005927D5">
              <w:rPr>
                <w:color w:val="000000"/>
                <w:sz w:val="18"/>
                <w:szCs w:val="18"/>
              </w:rPr>
              <w:t>1</w:t>
            </w:r>
          </w:p>
        </w:tc>
        <w:tc>
          <w:tcPr>
            <w:tcW w:w="1186" w:type="dxa"/>
            <w:tcBorders>
              <w:top w:val="nil"/>
              <w:left w:val="nil"/>
              <w:bottom w:val="single" w:sz="4" w:space="0" w:color="auto"/>
              <w:right w:val="single" w:sz="4" w:space="0" w:color="auto"/>
            </w:tcBorders>
            <w:tcMar>
              <w:top w:w="0" w:type="dxa"/>
              <w:left w:w="108" w:type="dxa"/>
              <w:bottom w:w="0" w:type="dxa"/>
              <w:right w:w="108" w:type="dxa"/>
            </w:tcMar>
            <w:vAlign w:val="center"/>
          </w:tcPr>
          <w:p w:rsidR="006B77DD" w:rsidRPr="005927D5" w:rsidP="006B77DD" w14:paraId="15D1EB74" w14:textId="403BE20E">
            <w:pPr>
              <w:adjustRightInd/>
              <w:jc w:val="center"/>
              <w:textAlignment w:val="auto"/>
              <w:rPr>
                <w:color w:val="000000"/>
                <w:sz w:val="18"/>
                <w:szCs w:val="18"/>
              </w:rPr>
            </w:pPr>
            <w:r w:rsidRPr="005927D5">
              <w:rPr>
                <w:color w:val="000000"/>
                <w:sz w:val="18"/>
                <w:szCs w:val="18"/>
              </w:rPr>
              <w:t>28.00</w:t>
            </w:r>
          </w:p>
        </w:tc>
        <w:tc>
          <w:tcPr>
            <w:tcW w:w="1100" w:type="dxa"/>
            <w:tcBorders>
              <w:top w:val="nil"/>
              <w:left w:val="nil"/>
              <w:bottom w:val="single" w:sz="4" w:space="0" w:color="auto"/>
              <w:right w:val="single" w:sz="4" w:space="0" w:color="auto"/>
            </w:tcBorders>
            <w:tcMar>
              <w:top w:w="0" w:type="dxa"/>
              <w:left w:w="108" w:type="dxa"/>
              <w:bottom w:w="0" w:type="dxa"/>
              <w:right w:w="108" w:type="dxa"/>
            </w:tcMar>
            <w:vAlign w:val="center"/>
          </w:tcPr>
          <w:p w:rsidR="006B77DD" w:rsidRPr="005927D5" w:rsidP="006B77DD" w14:paraId="314273CB" w14:textId="545BF9E4">
            <w:pPr>
              <w:adjustRightInd/>
              <w:jc w:val="center"/>
              <w:textAlignment w:val="auto"/>
              <w:rPr>
                <w:color w:val="000000"/>
                <w:sz w:val="18"/>
                <w:szCs w:val="18"/>
              </w:rPr>
            </w:pPr>
            <w:r w:rsidRPr="005927D5">
              <w:rPr>
                <w:color w:val="000000"/>
                <w:sz w:val="18"/>
                <w:szCs w:val="18"/>
              </w:rPr>
              <w:t>4</w:t>
            </w:r>
          </w:p>
        </w:tc>
        <w:tc>
          <w:tcPr>
            <w:tcW w:w="1016" w:type="dxa"/>
            <w:tcBorders>
              <w:top w:val="nil"/>
              <w:left w:val="nil"/>
              <w:bottom w:val="single" w:sz="4" w:space="0" w:color="auto"/>
              <w:right w:val="single" w:sz="4" w:space="0" w:color="auto"/>
            </w:tcBorders>
            <w:tcMar>
              <w:top w:w="0" w:type="dxa"/>
              <w:left w:w="108" w:type="dxa"/>
              <w:bottom w:w="0" w:type="dxa"/>
              <w:right w:w="108" w:type="dxa"/>
            </w:tcMar>
            <w:vAlign w:val="center"/>
          </w:tcPr>
          <w:p w:rsidR="006B77DD" w:rsidRPr="005927D5" w:rsidP="006B77DD" w14:paraId="5D61047E" w14:textId="678E929E">
            <w:pPr>
              <w:adjustRightInd/>
              <w:jc w:val="center"/>
              <w:textAlignment w:val="auto"/>
              <w:rPr>
                <w:color w:val="000000"/>
                <w:sz w:val="18"/>
                <w:szCs w:val="18"/>
              </w:rPr>
            </w:pPr>
            <w:r w:rsidRPr="005927D5">
              <w:rPr>
                <w:color w:val="000000"/>
                <w:sz w:val="18"/>
                <w:szCs w:val="18"/>
              </w:rPr>
              <w:t>112.00</w:t>
            </w:r>
          </w:p>
        </w:tc>
        <w:tc>
          <w:tcPr>
            <w:tcW w:w="1100" w:type="dxa"/>
            <w:tcBorders>
              <w:top w:val="nil"/>
              <w:left w:val="nil"/>
              <w:bottom w:val="single" w:sz="4" w:space="0" w:color="auto"/>
              <w:right w:val="single" w:sz="4" w:space="0" w:color="auto"/>
            </w:tcBorders>
            <w:tcMar>
              <w:top w:w="0" w:type="dxa"/>
              <w:left w:w="108" w:type="dxa"/>
              <w:bottom w:w="0" w:type="dxa"/>
              <w:right w:w="108" w:type="dxa"/>
            </w:tcMar>
            <w:vAlign w:val="center"/>
          </w:tcPr>
          <w:p w:rsidR="006B77DD" w:rsidRPr="005927D5" w:rsidP="006B77DD" w14:paraId="6DF63621" w14:textId="755FBE88">
            <w:pPr>
              <w:adjustRightInd/>
              <w:jc w:val="right"/>
              <w:textAlignment w:val="auto"/>
              <w:rPr>
                <w:color w:val="000000"/>
                <w:sz w:val="18"/>
                <w:szCs w:val="18"/>
              </w:rPr>
            </w:pPr>
            <w:r w:rsidRPr="005927D5">
              <w:rPr>
                <w:color w:val="000000"/>
                <w:sz w:val="18"/>
                <w:szCs w:val="18"/>
              </w:rPr>
              <w:t>$</w:t>
            </w:r>
            <w:r>
              <w:rPr>
                <w:color w:val="000000"/>
                <w:sz w:val="18"/>
                <w:szCs w:val="18"/>
              </w:rPr>
              <w:t>48.03</w:t>
            </w:r>
            <w:r w:rsidRPr="005927D5">
              <w:rPr>
                <w:color w:val="000000"/>
                <w:sz w:val="18"/>
                <w:szCs w:val="18"/>
              </w:rPr>
              <w:t xml:space="preserve"> </w:t>
            </w:r>
          </w:p>
        </w:tc>
        <w:tc>
          <w:tcPr>
            <w:tcW w:w="1251" w:type="dxa"/>
            <w:tcBorders>
              <w:top w:val="nil"/>
              <w:left w:val="nil"/>
              <w:bottom w:val="single" w:sz="4" w:space="0" w:color="auto"/>
              <w:right w:val="single" w:sz="4" w:space="0" w:color="auto"/>
            </w:tcBorders>
            <w:tcMar>
              <w:top w:w="0" w:type="dxa"/>
              <w:left w:w="108" w:type="dxa"/>
              <w:bottom w:w="0" w:type="dxa"/>
              <w:right w:w="108" w:type="dxa"/>
            </w:tcMar>
          </w:tcPr>
          <w:p w:rsidR="006B77DD" w:rsidRPr="009B6253" w:rsidP="006B77DD" w14:paraId="19878075" w14:textId="3D848517">
            <w:pPr>
              <w:adjustRightInd/>
              <w:jc w:val="right"/>
              <w:textAlignment w:val="auto"/>
              <w:rPr>
                <w:color w:val="000000"/>
                <w:sz w:val="18"/>
                <w:szCs w:val="18"/>
              </w:rPr>
            </w:pPr>
            <w:r w:rsidRPr="002D361A">
              <w:t xml:space="preserve"> 5,379.36 </w:t>
            </w:r>
          </w:p>
        </w:tc>
      </w:tr>
      <w:tr w14:paraId="60BE5577" w14:textId="77777777" w:rsidTr="004A206B">
        <w:tblPrEx>
          <w:tblW w:w="0" w:type="auto"/>
          <w:tblInd w:w="-118" w:type="dxa"/>
          <w:tblCellMar>
            <w:left w:w="0" w:type="dxa"/>
            <w:right w:w="0" w:type="dxa"/>
          </w:tblCellMar>
          <w:tblLook w:val="04A0"/>
        </w:tblPrEx>
        <w:trPr>
          <w:trHeight w:val="85"/>
        </w:trPr>
        <w:tc>
          <w:tcPr>
            <w:tcW w:w="2088"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6B77DD" w:rsidRPr="005927D5" w:rsidP="006B77DD" w14:paraId="5BA81F3B" w14:textId="41388776">
            <w:pPr>
              <w:adjustRightInd/>
              <w:textAlignment w:val="auto"/>
              <w:rPr>
                <w:color w:val="000000"/>
                <w:sz w:val="18"/>
                <w:szCs w:val="18"/>
              </w:rPr>
            </w:pPr>
            <w:r w:rsidRPr="005927D5">
              <w:rPr>
                <w:color w:val="000000"/>
                <w:sz w:val="18"/>
                <w:szCs w:val="18"/>
              </w:rPr>
              <w:t>Annual Performance Report (CoC Builds NOFO) - State and Local Recipients</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tcPr>
          <w:p w:rsidR="006B77DD" w:rsidRPr="005927D5" w:rsidP="006B77DD" w14:paraId="5BC3122B" w14:textId="30B1962E">
            <w:pPr>
              <w:adjustRightInd/>
              <w:jc w:val="center"/>
              <w:textAlignment w:val="auto"/>
              <w:rPr>
                <w:color w:val="000000"/>
                <w:sz w:val="18"/>
                <w:szCs w:val="18"/>
              </w:rPr>
            </w:pPr>
            <w:r w:rsidRPr="005927D5">
              <w:rPr>
                <w:color w:val="000000"/>
                <w:sz w:val="18"/>
                <w:szCs w:val="18"/>
              </w:rPr>
              <w:t>12.00</w:t>
            </w:r>
          </w:p>
        </w:tc>
        <w:tc>
          <w:tcPr>
            <w:tcW w:w="1224" w:type="dxa"/>
            <w:tcBorders>
              <w:top w:val="nil"/>
              <w:left w:val="nil"/>
              <w:bottom w:val="single" w:sz="4" w:space="0" w:color="auto"/>
              <w:right w:val="single" w:sz="4" w:space="0" w:color="auto"/>
            </w:tcBorders>
            <w:tcMar>
              <w:top w:w="0" w:type="dxa"/>
              <w:left w:w="108" w:type="dxa"/>
              <w:bottom w:w="0" w:type="dxa"/>
              <w:right w:w="108" w:type="dxa"/>
            </w:tcMar>
            <w:vAlign w:val="center"/>
          </w:tcPr>
          <w:p w:rsidR="006B77DD" w:rsidRPr="005927D5" w:rsidP="006B77DD" w14:paraId="659CDF80" w14:textId="27DB3429">
            <w:pPr>
              <w:adjustRightInd/>
              <w:jc w:val="center"/>
              <w:textAlignment w:val="auto"/>
              <w:rPr>
                <w:color w:val="000000"/>
                <w:sz w:val="18"/>
                <w:szCs w:val="18"/>
              </w:rPr>
            </w:pPr>
            <w:r w:rsidRPr="005927D5">
              <w:rPr>
                <w:color w:val="000000"/>
                <w:sz w:val="18"/>
                <w:szCs w:val="18"/>
              </w:rPr>
              <w:t>1</w:t>
            </w:r>
          </w:p>
        </w:tc>
        <w:tc>
          <w:tcPr>
            <w:tcW w:w="1186" w:type="dxa"/>
            <w:tcBorders>
              <w:top w:val="nil"/>
              <w:left w:val="nil"/>
              <w:bottom w:val="single" w:sz="4" w:space="0" w:color="auto"/>
              <w:right w:val="single" w:sz="4" w:space="0" w:color="auto"/>
            </w:tcBorders>
            <w:tcMar>
              <w:top w:w="0" w:type="dxa"/>
              <w:left w:w="108" w:type="dxa"/>
              <w:bottom w:w="0" w:type="dxa"/>
              <w:right w:w="108" w:type="dxa"/>
            </w:tcMar>
            <w:vAlign w:val="center"/>
          </w:tcPr>
          <w:p w:rsidR="006B77DD" w:rsidRPr="005927D5" w:rsidP="006B77DD" w14:paraId="4E371035" w14:textId="1F6CCD62">
            <w:pPr>
              <w:adjustRightInd/>
              <w:jc w:val="center"/>
              <w:textAlignment w:val="auto"/>
              <w:rPr>
                <w:color w:val="000000"/>
                <w:sz w:val="18"/>
                <w:szCs w:val="18"/>
              </w:rPr>
            </w:pPr>
            <w:r w:rsidRPr="005927D5">
              <w:rPr>
                <w:color w:val="000000"/>
                <w:sz w:val="18"/>
                <w:szCs w:val="18"/>
              </w:rPr>
              <w:t>12.00</w:t>
            </w:r>
          </w:p>
        </w:tc>
        <w:tc>
          <w:tcPr>
            <w:tcW w:w="1100" w:type="dxa"/>
            <w:tcBorders>
              <w:top w:val="nil"/>
              <w:left w:val="nil"/>
              <w:bottom w:val="single" w:sz="4" w:space="0" w:color="auto"/>
              <w:right w:val="single" w:sz="4" w:space="0" w:color="auto"/>
            </w:tcBorders>
            <w:tcMar>
              <w:top w:w="0" w:type="dxa"/>
              <w:left w:w="108" w:type="dxa"/>
              <w:bottom w:w="0" w:type="dxa"/>
              <w:right w:w="108" w:type="dxa"/>
            </w:tcMar>
            <w:vAlign w:val="center"/>
          </w:tcPr>
          <w:p w:rsidR="006B77DD" w:rsidRPr="005927D5" w:rsidP="006B77DD" w14:paraId="3175B1DF" w14:textId="2C0FDCD4">
            <w:pPr>
              <w:adjustRightInd/>
              <w:jc w:val="center"/>
              <w:textAlignment w:val="auto"/>
              <w:rPr>
                <w:color w:val="000000"/>
                <w:sz w:val="18"/>
                <w:szCs w:val="18"/>
              </w:rPr>
            </w:pPr>
            <w:r w:rsidRPr="005927D5">
              <w:rPr>
                <w:color w:val="000000"/>
                <w:sz w:val="18"/>
                <w:szCs w:val="18"/>
              </w:rPr>
              <w:t>4</w:t>
            </w:r>
          </w:p>
        </w:tc>
        <w:tc>
          <w:tcPr>
            <w:tcW w:w="1016" w:type="dxa"/>
            <w:tcBorders>
              <w:top w:val="nil"/>
              <w:left w:val="nil"/>
              <w:bottom w:val="single" w:sz="4" w:space="0" w:color="auto"/>
              <w:right w:val="single" w:sz="4" w:space="0" w:color="auto"/>
            </w:tcBorders>
            <w:tcMar>
              <w:top w:w="0" w:type="dxa"/>
              <w:left w:w="108" w:type="dxa"/>
              <w:bottom w:w="0" w:type="dxa"/>
              <w:right w:w="108" w:type="dxa"/>
            </w:tcMar>
            <w:vAlign w:val="center"/>
          </w:tcPr>
          <w:p w:rsidR="006B77DD" w:rsidRPr="005927D5" w:rsidP="006B77DD" w14:paraId="0B359214" w14:textId="77977BA4">
            <w:pPr>
              <w:adjustRightInd/>
              <w:jc w:val="center"/>
              <w:textAlignment w:val="auto"/>
              <w:rPr>
                <w:color w:val="000000"/>
                <w:sz w:val="18"/>
                <w:szCs w:val="18"/>
              </w:rPr>
            </w:pPr>
            <w:r w:rsidRPr="005927D5">
              <w:rPr>
                <w:color w:val="000000"/>
                <w:sz w:val="18"/>
                <w:szCs w:val="18"/>
              </w:rPr>
              <w:t>48.00</w:t>
            </w:r>
          </w:p>
        </w:tc>
        <w:tc>
          <w:tcPr>
            <w:tcW w:w="1100" w:type="dxa"/>
            <w:tcBorders>
              <w:top w:val="nil"/>
              <w:left w:val="nil"/>
              <w:bottom w:val="single" w:sz="4" w:space="0" w:color="auto"/>
              <w:right w:val="single" w:sz="4" w:space="0" w:color="auto"/>
            </w:tcBorders>
            <w:tcMar>
              <w:top w:w="0" w:type="dxa"/>
              <w:left w:w="108" w:type="dxa"/>
              <w:bottom w:w="0" w:type="dxa"/>
              <w:right w:w="108" w:type="dxa"/>
            </w:tcMar>
            <w:vAlign w:val="center"/>
          </w:tcPr>
          <w:p w:rsidR="006B77DD" w:rsidRPr="005927D5" w:rsidP="006B77DD" w14:paraId="2131C97B" w14:textId="28349CEC">
            <w:pPr>
              <w:adjustRightInd/>
              <w:jc w:val="right"/>
              <w:textAlignment w:val="auto"/>
              <w:rPr>
                <w:color w:val="000000"/>
                <w:sz w:val="18"/>
                <w:szCs w:val="18"/>
              </w:rPr>
            </w:pPr>
            <w:r w:rsidRPr="005F1120">
              <w:rPr>
                <w:color w:val="000000"/>
                <w:sz w:val="18"/>
                <w:szCs w:val="18"/>
              </w:rPr>
              <w:t>$48.03</w:t>
            </w:r>
            <w:r w:rsidRPr="005927D5">
              <w:rPr>
                <w:color w:val="000000"/>
                <w:sz w:val="18"/>
                <w:szCs w:val="18"/>
              </w:rPr>
              <w:t xml:space="preserve"> </w:t>
            </w:r>
          </w:p>
        </w:tc>
        <w:tc>
          <w:tcPr>
            <w:tcW w:w="1251" w:type="dxa"/>
            <w:tcBorders>
              <w:top w:val="nil"/>
              <w:left w:val="nil"/>
              <w:bottom w:val="single" w:sz="4" w:space="0" w:color="auto"/>
              <w:right w:val="single" w:sz="4" w:space="0" w:color="auto"/>
            </w:tcBorders>
            <w:tcMar>
              <w:top w:w="0" w:type="dxa"/>
              <w:left w:w="108" w:type="dxa"/>
              <w:bottom w:w="0" w:type="dxa"/>
              <w:right w:w="108" w:type="dxa"/>
            </w:tcMar>
          </w:tcPr>
          <w:p w:rsidR="006B77DD" w:rsidRPr="009B6253" w:rsidP="006B77DD" w14:paraId="0E0B40B7" w14:textId="1AB041D4">
            <w:pPr>
              <w:adjustRightInd/>
              <w:jc w:val="right"/>
              <w:textAlignment w:val="auto"/>
              <w:rPr>
                <w:color w:val="000000"/>
                <w:sz w:val="18"/>
                <w:szCs w:val="18"/>
              </w:rPr>
            </w:pPr>
            <w:r w:rsidRPr="002D361A">
              <w:t xml:space="preserve"> </w:t>
            </w:r>
            <w:r w:rsidRPr="006B77DD">
              <w:t xml:space="preserve"> 2,305.44</w:t>
            </w:r>
          </w:p>
        </w:tc>
      </w:tr>
      <w:tr w14:paraId="32D95D59" w14:textId="77777777" w:rsidTr="004A206B">
        <w:tblPrEx>
          <w:tblW w:w="0" w:type="auto"/>
          <w:tblInd w:w="-118" w:type="dxa"/>
          <w:tblCellMar>
            <w:left w:w="0" w:type="dxa"/>
            <w:right w:w="0" w:type="dxa"/>
          </w:tblCellMar>
          <w:tblLook w:val="04A0"/>
        </w:tblPrEx>
        <w:trPr>
          <w:trHeight w:val="85"/>
        </w:trPr>
        <w:tc>
          <w:tcPr>
            <w:tcW w:w="2088"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9B6253" w:rsidRPr="005927D5" w:rsidP="009B6253" w14:paraId="71823D05" w14:textId="299E5097">
            <w:pPr>
              <w:adjustRightInd/>
              <w:textAlignment w:val="auto"/>
              <w:rPr>
                <w:color w:val="000000"/>
                <w:sz w:val="18"/>
                <w:szCs w:val="18"/>
              </w:rPr>
            </w:pPr>
            <w:r w:rsidRPr="005927D5">
              <w:rPr>
                <w:color w:val="000000"/>
                <w:sz w:val="18"/>
                <w:szCs w:val="18"/>
              </w:rPr>
              <w:t>Total</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tcPr>
          <w:p w:rsidR="009B6253" w:rsidRPr="005927D5" w:rsidP="009B6253" w14:paraId="2C6BD623" w14:textId="39866A7A">
            <w:pPr>
              <w:adjustRightInd/>
              <w:jc w:val="center"/>
              <w:textAlignment w:val="auto"/>
              <w:rPr>
                <w:color w:val="000000"/>
                <w:sz w:val="18"/>
                <w:szCs w:val="18"/>
              </w:rPr>
            </w:pPr>
            <w:r w:rsidRPr="005927D5">
              <w:rPr>
                <w:color w:val="000000"/>
                <w:sz w:val="18"/>
                <w:szCs w:val="18"/>
              </w:rPr>
              <w:t>8,201.00</w:t>
            </w:r>
          </w:p>
        </w:tc>
        <w:tc>
          <w:tcPr>
            <w:tcW w:w="1224" w:type="dxa"/>
            <w:tcBorders>
              <w:top w:val="nil"/>
              <w:left w:val="nil"/>
              <w:bottom w:val="single" w:sz="4" w:space="0" w:color="auto"/>
              <w:right w:val="single" w:sz="4" w:space="0" w:color="auto"/>
            </w:tcBorders>
            <w:tcMar>
              <w:top w:w="0" w:type="dxa"/>
              <w:left w:w="108" w:type="dxa"/>
              <w:bottom w:w="0" w:type="dxa"/>
              <w:right w:w="108" w:type="dxa"/>
            </w:tcMar>
            <w:vAlign w:val="center"/>
          </w:tcPr>
          <w:p w:rsidR="009B6253" w:rsidRPr="005927D5" w:rsidP="009B6253" w14:paraId="4002D727" w14:textId="74AF97F1">
            <w:pPr>
              <w:adjustRightInd/>
              <w:jc w:val="center"/>
              <w:textAlignment w:val="auto"/>
              <w:rPr>
                <w:color w:val="000000"/>
                <w:sz w:val="18"/>
                <w:szCs w:val="18"/>
              </w:rPr>
            </w:pPr>
            <w:r w:rsidRPr="005927D5">
              <w:rPr>
                <w:color w:val="000000"/>
                <w:sz w:val="18"/>
                <w:szCs w:val="18"/>
              </w:rPr>
              <w:t> </w:t>
            </w:r>
          </w:p>
        </w:tc>
        <w:tc>
          <w:tcPr>
            <w:tcW w:w="1186" w:type="dxa"/>
            <w:tcBorders>
              <w:top w:val="nil"/>
              <w:left w:val="nil"/>
              <w:bottom w:val="single" w:sz="4" w:space="0" w:color="auto"/>
              <w:right w:val="single" w:sz="4" w:space="0" w:color="auto"/>
            </w:tcBorders>
            <w:tcMar>
              <w:top w:w="0" w:type="dxa"/>
              <w:left w:w="108" w:type="dxa"/>
              <w:bottom w:w="0" w:type="dxa"/>
              <w:right w:w="108" w:type="dxa"/>
            </w:tcMar>
            <w:vAlign w:val="center"/>
          </w:tcPr>
          <w:p w:rsidR="009B6253" w:rsidRPr="005927D5" w:rsidP="009B6253" w14:paraId="4804D639" w14:textId="0F64FFA6">
            <w:pPr>
              <w:adjustRightInd/>
              <w:jc w:val="center"/>
              <w:textAlignment w:val="auto"/>
              <w:rPr>
                <w:color w:val="000000"/>
                <w:sz w:val="18"/>
                <w:szCs w:val="18"/>
              </w:rPr>
            </w:pPr>
            <w:r w:rsidRPr="005927D5">
              <w:rPr>
                <w:color w:val="000000"/>
                <w:sz w:val="18"/>
                <w:szCs w:val="18"/>
              </w:rPr>
              <w:t>10,061.00</w:t>
            </w:r>
          </w:p>
        </w:tc>
        <w:tc>
          <w:tcPr>
            <w:tcW w:w="1100" w:type="dxa"/>
            <w:tcBorders>
              <w:top w:val="nil"/>
              <w:left w:val="nil"/>
              <w:bottom w:val="single" w:sz="4" w:space="0" w:color="auto"/>
              <w:right w:val="single" w:sz="4" w:space="0" w:color="auto"/>
            </w:tcBorders>
            <w:tcMar>
              <w:top w:w="0" w:type="dxa"/>
              <w:left w:w="108" w:type="dxa"/>
              <w:bottom w:w="0" w:type="dxa"/>
              <w:right w:w="108" w:type="dxa"/>
            </w:tcMar>
            <w:vAlign w:val="center"/>
          </w:tcPr>
          <w:p w:rsidR="009B6253" w:rsidRPr="005927D5" w:rsidP="009B6253" w14:paraId="7C9B277D" w14:textId="30B049F7">
            <w:pPr>
              <w:adjustRightInd/>
              <w:jc w:val="center"/>
              <w:textAlignment w:val="auto"/>
              <w:rPr>
                <w:color w:val="000000"/>
                <w:sz w:val="18"/>
                <w:szCs w:val="18"/>
              </w:rPr>
            </w:pPr>
            <w:r w:rsidRPr="005927D5">
              <w:rPr>
                <w:color w:val="000000"/>
                <w:sz w:val="18"/>
                <w:szCs w:val="18"/>
              </w:rPr>
              <w:t> </w:t>
            </w:r>
          </w:p>
        </w:tc>
        <w:tc>
          <w:tcPr>
            <w:tcW w:w="1016" w:type="dxa"/>
            <w:tcBorders>
              <w:top w:val="nil"/>
              <w:left w:val="nil"/>
              <w:bottom w:val="single" w:sz="4" w:space="0" w:color="auto"/>
              <w:right w:val="single" w:sz="4" w:space="0" w:color="auto"/>
            </w:tcBorders>
            <w:tcMar>
              <w:top w:w="0" w:type="dxa"/>
              <w:left w:w="108" w:type="dxa"/>
              <w:bottom w:w="0" w:type="dxa"/>
              <w:right w:w="108" w:type="dxa"/>
            </w:tcMar>
            <w:vAlign w:val="center"/>
          </w:tcPr>
          <w:p w:rsidR="009B6253" w:rsidRPr="005927D5" w:rsidP="009B6253" w14:paraId="6746DDFE" w14:textId="76124738">
            <w:pPr>
              <w:adjustRightInd/>
              <w:jc w:val="center"/>
              <w:textAlignment w:val="auto"/>
              <w:rPr>
                <w:color w:val="000000"/>
                <w:sz w:val="18"/>
                <w:szCs w:val="18"/>
              </w:rPr>
            </w:pPr>
            <w:r w:rsidRPr="005927D5">
              <w:rPr>
                <w:color w:val="000000"/>
                <w:sz w:val="18"/>
                <w:szCs w:val="18"/>
              </w:rPr>
              <w:t>42,244.00</w:t>
            </w:r>
          </w:p>
        </w:tc>
        <w:tc>
          <w:tcPr>
            <w:tcW w:w="1100" w:type="dxa"/>
            <w:tcBorders>
              <w:top w:val="nil"/>
              <w:left w:val="nil"/>
              <w:bottom w:val="single" w:sz="4" w:space="0" w:color="auto"/>
              <w:right w:val="single" w:sz="4" w:space="0" w:color="auto"/>
            </w:tcBorders>
            <w:tcMar>
              <w:top w:w="0" w:type="dxa"/>
              <w:left w:w="108" w:type="dxa"/>
              <w:bottom w:w="0" w:type="dxa"/>
              <w:right w:w="108" w:type="dxa"/>
            </w:tcMar>
            <w:vAlign w:val="center"/>
          </w:tcPr>
          <w:p w:rsidR="009B6253" w:rsidRPr="005927D5" w:rsidP="009B6253" w14:paraId="24BF5595" w14:textId="36431BEA">
            <w:pPr>
              <w:adjustRightInd/>
              <w:jc w:val="right"/>
              <w:textAlignment w:val="auto"/>
              <w:rPr>
                <w:color w:val="000000"/>
                <w:sz w:val="18"/>
                <w:szCs w:val="18"/>
              </w:rPr>
            </w:pPr>
            <w:r w:rsidRPr="005927D5">
              <w:rPr>
                <w:color w:val="000000"/>
                <w:sz w:val="18"/>
                <w:szCs w:val="18"/>
              </w:rPr>
              <w:t> </w:t>
            </w:r>
          </w:p>
        </w:tc>
        <w:tc>
          <w:tcPr>
            <w:tcW w:w="1251" w:type="dxa"/>
            <w:tcBorders>
              <w:top w:val="nil"/>
              <w:left w:val="nil"/>
              <w:bottom w:val="single" w:sz="4" w:space="0" w:color="auto"/>
              <w:right w:val="single" w:sz="4" w:space="0" w:color="auto"/>
            </w:tcBorders>
            <w:tcMar>
              <w:top w:w="0" w:type="dxa"/>
              <w:left w:w="108" w:type="dxa"/>
              <w:bottom w:w="0" w:type="dxa"/>
              <w:right w:w="108" w:type="dxa"/>
            </w:tcMar>
          </w:tcPr>
          <w:p w:rsidR="009B6253" w:rsidRPr="009B6253" w:rsidP="009B6253" w14:paraId="5B42F5B7" w14:textId="67DE087E">
            <w:pPr>
              <w:adjustRightInd/>
              <w:jc w:val="right"/>
              <w:textAlignment w:val="auto"/>
              <w:rPr>
                <w:color w:val="000000"/>
                <w:sz w:val="18"/>
                <w:szCs w:val="18"/>
              </w:rPr>
            </w:pPr>
            <w:r w:rsidRPr="009B6253">
              <w:rPr>
                <w:sz w:val="18"/>
                <w:szCs w:val="18"/>
              </w:rPr>
              <w:t xml:space="preserve"> </w:t>
            </w:r>
            <w:r w:rsidRPr="006B77DD" w:rsidR="006B77DD">
              <w:rPr>
                <w:sz w:val="18"/>
                <w:szCs w:val="18"/>
              </w:rPr>
              <w:t xml:space="preserve"> 2,028,979.32</w:t>
            </w:r>
          </w:p>
        </w:tc>
      </w:tr>
    </w:tbl>
    <w:bookmarkEnd w:id="14"/>
    <w:bookmarkEnd w:id="15"/>
    <w:bookmarkEnd w:id="16"/>
    <w:p w:rsidR="00D36955" w:rsidRPr="004A206B" w:rsidP="007B3F44" w14:paraId="1F1621F0" w14:textId="4FB61A80">
      <w:pPr>
        <w:rPr>
          <w:color w:val="000000"/>
          <w:sz w:val="18"/>
          <w:szCs w:val="18"/>
        </w:rPr>
      </w:pPr>
      <w:r w:rsidRPr="004A206B">
        <w:rPr>
          <w:spacing w:val="-4"/>
          <w:sz w:val="18"/>
          <w:szCs w:val="18"/>
        </w:rPr>
        <w:t>*Hourly wage rates are based on the 202</w:t>
      </w:r>
      <w:r w:rsidRPr="004A206B" w:rsidR="007E5DC7">
        <w:rPr>
          <w:spacing w:val="-4"/>
          <w:sz w:val="18"/>
          <w:szCs w:val="18"/>
        </w:rPr>
        <w:t>4</w:t>
      </w:r>
      <w:r w:rsidRPr="004A206B">
        <w:rPr>
          <w:spacing w:val="-4"/>
          <w:sz w:val="18"/>
          <w:szCs w:val="18"/>
        </w:rPr>
        <w:t xml:space="preserve"> Occupational Employment and Wages published by the Department of Labor (8/21/2024).  The median hourly wage rates in Exhibit A-2 represent the average of “Business Operations Specialists, All Other” ($</w:t>
      </w:r>
      <w:r w:rsidRPr="004A206B" w:rsidR="006E714C">
        <w:rPr>
          <w:spacing w:val="-4"/>
          <w:sz w:val="18"/>
          <w:szCs w:val="18"/>
        </w:rPr>
        <w:t>44.41</w:t>
      </w:r>
      <w:r w:rsidRPr="004A206B">
        <w:rPr>
          <w:spacing w:val="-4"/>
          <w:sz w:val="18"/>
          <w:szCs w:val="18"/>
        </w:rPr>
        <w:t>/</w:t>
      </w:r>
      <w:r w:rsidRPr="004A206B">
        <w:rPr>
          <w:spacing w:val="-4"/>
          <w:sz w:val="18"/>
          <w:szCs w:val="18"/>
        </w:rPr>
        <w:t>hr</w:t>
      </w:r>
      <w:r w:rsidRPr="004A206B">
        <w:rPr>
          <w:spacing w:val="-4"/>
          <w:sz w:val="18"/>
          <w:szCs w:val="18"/>
        </w:rPr>
        <w:t>) and “Database Administrators” ($</w:t>
      </w:r>
      <w:r w:rsidRPr="004A206B" w:rsidR="006E714C">
        <w:rPr>
          <w:spacing w:val="-4"/>
          <w:sz w:val="18"/>
          <w:szCs w:val="18"/>
        </w:rPr>
        <w:t>51.65</w:t>
      </w:r>
      <w:r w:rsidRPr="004A206B">
        <w:rPr>
          <w:spacing w:val="-4"/>
          <w:sz w:val="18"/>
          <w:szCs w:val="18"/>
        </w:rPr>
        <w:t xml:space="preserve">), assuming an equal proportion of hours required to complete the Performance Report per occupational type. </w:t>
      </w:r>
    </w:p>
    <w:p w:rsidR="00D36955" w:rsidP="007B3F44" w14:paraId="2F20AABD" w14:textId="77777777">
      <w:pPr>
        <w:rPr>
          <w:spacing w:val="-4"/>
          <w:sz w:val="24"/>
          <w:szCs w:val="24"/>
        </w:rPr>
      </w:pPr>
    </w:p>
    <w:p w:rsidR="00D36955" w:rsidRPr="0078584F" w:rsidP="007B3F44" w14:paraId="1342D121" w14:textId="2CC2FD0F">
      <w:pPr>
        <w:rPr>
          <w:color w:val="000000"/>
          <w:sz w:val="24"/>
          <w:szCs w:val="24"/>
          <w:u w:val="single"/>
        </w:rPr>
      </w:pPr>
      <w:r w:rsidRPr="0078584F">
        <w:rPr>
          <w:color w:val="000000"/>
          <w:sz w:val="24"/>
          <w:szCs w:val="24"/>
          <w:u w:val="single"/>
        </w:rPr>
        <w:t>Burden Estimates for the System-Level Performance Measures</w:t>
      </w:r>
    </w:p>
    <w:p w:rsidR="00D36955" w:rsidRPr="007B3F44" w:rsidP="007B3F44" w14:paraId="055DA8DF" w14:textId="77777777">
      <w:pPr>
        <w:rPr>
          <w:color w:val="000000"/>
          <w:sz w:val="24"/>
          <w:szCs w:val="24"/>
        </w:rPr>
      </w:pPr>
    </w:p>
    <w:p w:rsidR="00D36955" w:rsidRPr="007B3F44" w:rsidP="007B3F44" w14:paraId="75242A3B" w14:textId="77777777">
      <w:pPr>
        <w:rPr>
          <w:color w:val="000000"/>
          <w:sz w:val="24"/>
          <w:szCs w:val="24"/>
        </w:rPr>
      </w:pPr>
      <w:r w:rsidRPr="007B3F44">
        <w:rPr>
          <w:color w:val="000000"/>
          <w:sz w:val="24"/>
          <w:szCs w:val="24"/>
        </w:rPr>
        <w:t xml:space="preserve">HUD expects that every CoC (currently there are 400 CoCs nationwide) will submit system-level performance measures data annually.  The specific questions being asked in the system performance measures report are outlined in Attachment B.  </w:t>
      </w:r>
    </w:p>
    <w:p w:rsidR="00D36955" w:rsidRPr="007B3F44" w:rsidP="007B3F44" w14:paraId="0775149F" w14:textId="77777777">
      <w:pPr>
        <w:rPr>
          <w:color w:val="000000"/>
          <w:sz w:val="24"/>
          <w:szCs w:val="24"/>
        </w:rPr>
      </w:pPr>
    </w:p>
    <w:p w:rsidR="00D36955" w:rsidRPr="007B3F44" w:rsidP="007B3F44" w14:paraId="31A4BC8D" w14:textId="77777777">
      <w:pPr>
        <w:rPr>
          <w:color w:val="000000"/>
          <w:sz w:val="24"/>
          <w:szCs w:val="24"/>
        </w:rPr>
      </w:pPr>
      <w:r w:rsidRPr="007B3F44">
        <w:rPr>
          <w:color w:val="000000"/>
          <w:sz w:val="24"/>
          <w:szCs w:val="24"/>
        </w:rPr>
        <w:t>The effort involved in submitting data on the system-level performance measures will vary from community to community depending on technology used and staff capacity.  Fortunately, almost all communities now use systems that are able to produce automated reports.  A relatively small number of communities must manually run reports to extract system-level performance data. For this reason, the estimated annualized burden estimate is divided into two categories: 1) communities that use their HMIS software systems to directly import their report into HDX; and 2) communities that can’t import their data directly into HDX that must run their report in their local HMIS and manually enter their data into HDX.</w:t>
      </w:r>
    </w:p>
    <w:p w:rsidR="00D36955" w:rsidRPr="007B3F44" w:rsidP="007B3F44" w14:paraId="17E24E2F" w14:textId="77777777">
      <w:pPr>
        <w:rPr>
          <w:color w:val="000000"/>
          <w:sz w:val="24"/>
          <w:szCs w:val="24"/>
        </w:rPr>
      </w:pPr>
    </w:p>
    <w:p w:rsidR="00D36955" w:rsidRPr="007B3F44" w:rsidP="007B3F44" w14:paraId="5FDE1632" w14:textId="77777777">
      <w:pPr>
        <w:rPr>
          <w:color w:val="000000"/>
          <w:sz w:val="24"/>
          <w:szCs w:val="24"/>
        </w:rPr>
      </w:pPr>
      <w:r w:rsidRPr="007B3F44">
        <w:rPr>
          <w:color w:val="000000"/>
          <w:sz w:val="24"/>
          <w:szCs w:val="24"/>
        </w:rPr>
        <w:t>The burden estimates for each group are as follows (as outlined in Exhibit A-2):</w:t>
      </w:r>
    </w:p>
    <w:p w:rsidR="00D36955" w:rsidRPr="007B3F44" w:rsidP="007B3F44" w14:paraId="6606740C" w14:textId="77777777">
      <w:pPr>
        <w:rPr>
          <w:color w:val="000000"/>
          <w:sz w:val="24"/>
          <w:szCs w:val="24"/>
        </w:rPr>
      </w:pPr>
    </w:p>
    <w:p w:rsidR="00D36955" w:rsidRPr="007B3F44" w:rsidP="007B3F44" w14:paraId="209EE22D" w14:textId="77777777">
      <w:pPr>
        <w:rPr>
          <w:color w:val="000000"/>
          <w:sz w:val="24"/>
          <w:szCs w:val="24"/>
        </w:rPr>
      </w:pPr>
      <w:r w:rsidRPr="007B3F44">
        <w:rPr>
          <w:color w:val="000000"/>
          <w:sz w:val="24"/>
          <w:szCs w:val="24"/>
        </w:rPr>
        <w:t>Group 1: Communities that import reports: 13 hours for the annual report.</w:t>
      </w:r>
    </w:p>
    <w:p w:rsidR="00D36955" w:rsidRPr="007B3F44" w:rsidP="007B3F44" w14:paraId="0A57AED2" w14:textId="77777777">
      <w:pPr>
        <w:rPr>
          <w:color w:val="000000"/>
          <w:sz w:val="24"/>
          <w:szCs w:val="24"/>
        </w:rPr>
      </w:pPr>
      <w:r w:rsidRPr="007B3F44">
        <w:rPr>
          <w:color w:val="000000"/>
          <w:sz w:val="24"/>
          <w:szCs w:val="24"/>
        </w:rPr>
        <w:t>Group 2: Communities that manually enter reports: 15 hours for each annual report.</w:t>
      </w:r>
    </w:p>
    <w:p w:rsidR="00D36955" w:rsidRPr="007B3F44" w:rsidP="007B3F44" w14:paraId="60DA52ED" w14:textId="571C086C">
      <w:pPr>
        <w:rPr>
          <w:spacing w:val="-4"/>
          <w:sz w:val="24"/>
          <w:szCs w:val="24"/>
        </w:rPr>
      </w:pPr>
      <w:r w:rsidRPr="007B3F44">
        <w:rPr>
          <w:spacing w:val="-4"/>
          <w:sz w:val="24"/>
          <w:szCs w:val="24"/>
        </w:rPr>
        <w:t>The estimated annualized cost for a CoC that has software with an automated report function (Group 1) is $</w:t>
      </w:r>
      <w:r w:rsidR="007B5D52">
        <w:rPr>
          <w:spacing w:val="-4"/>
          <w:sz w:val="24"/>
          <w:szCs w:val="24"/>
        </w:rPr>
        <w:t>624.39</w:t>
      </w:r>
      <w:r w:rsidRPr="007B3F44">
        <w:rPr>
          <w:spacing w:val="-4"/>
          <w:sz w:val="24"/>
          <w:szCs w:val="24"/>
        </w:rPr>
        <w:t xml:space="preserve"> (13 burden hours per response multiplied by $</w:t>
      </w:r>
      <w:r w:rsidR="00FB1497">
        <w:rPr>
          <w:spacing w:val="-4"/>
          <w:sz w:val="24"/>
          <w:szCs w:val="24"/>
        </w:rPr>
        <w:t>48.03</w:t>
      </w:r>
      <w:r w:rsidRPr="007B3F44">
        <w:rPr>
          <w:spacing w:val="-4"/>
          <w:sz w:val="24"/>
          <w:szCs w:val="24"/>
        </w:rPr>
        <w:t>, which is the hourly cost per response).  The estimated annualized cost for other CoCs (Group 2) is $</w:t>
      </w:r>
      <w:r w:rsidR="00374BD4">
        <w:rPr>
          <w:spacing w:val="-4"/>
          <w:sz w:val="24"/>
          <w:szCs w:val="24"/>
        </w:rPr>
        <w:t>720.45</w:t>
      </w:r>
      <w:r w:rsidRPr="007B3F44">
        <w:rPr>
          <w:spacing w:val="-4"/>
          <w:sz w:val="24"/>
          <w:szCs w:val="24"/>
        </w:rPr>
        <w:t xml:space="preserve"> (15 burden hours per response multiplied by $</w:t>
      </w:r>
      <w:r w:rsidR="00FB1497">
        <w:rPr>
          <w:spacing w:val="-4"/>
          <w:sz w:val="24"/>
          <w:szCs w:val="24"/>
        </w:rPr>
        <w:t>48.03</w:t>
      </w:r>
      <w:r w:rsidRPr="007B3F44">
        <w:rPr>
          <w:spacing w:val="-4"/>
          <w:sz w:val="24"/>
          <w:szCs w:val="24"/>
        </w:rPr>
        <w:t xml:space="preserve">, which is the hourly cost per response). </w:t>
      </w:r>
    </w:p>
    <w:p w:rsidR="00D36955" w:rsidP="007B3F44" w14:paraId="32AC477C" w14:textId="77777777">
      <w:pPr>
        <w:rPr>
          <w:color w:val="000000"/>
          <w:spacing w:val="-4"/>
          <w:sz w:val="24"/>
          <w:szCs w:val="24"/>
        </w:rPr>
      </w:pPr>
    </w:p>
    <w:p w:rsidR="00D36955" w:rsidRPr="007B3F44" w:rsidP="007B3F44" w14:paraId="163F1D6B" w14:textId="77777777">
      <w:pPr>
        <w:rPr>
          <w:bCs/>
          <w:sz w:val="24"/>
          <w:szCs w:val="24"/>
        </w:rPr>
      </w:pPr>
      <w:bookmarkStart w:id="17" w:name="_Toc224972115"/>
      <w:r w:rsidRPr="007B3F44">
        <w:rPr>
          <w:bCs/>
          <w:sz w:val="24"/>
          <w:szCs w:val="24"/>
        </w:rPr>
        <w:t xml:space="preserve">Exhibit A-2: Estimated Annualized Burden Hours and Cost for the </w:t>
      </w:r>
      <w:bookmarkEnd w:id="17"/>
      <w:r w:rsidRPr="007B3F44">
        <w:rPr>
          <w:bCs/>
          <w:sz w:val="24"/>
          <w:szCs w:val="24"/>
        </w:rPr>
        <w:t>System-Level Performance Measures</w:t>
      </w:r>
    </w:p>
    <w:tbl>
      <w:tblPr>
        <w:tblW w:w="10295" w:type="dxa"/>
        <w:jc w:val="center"/>
        <w:tblLayout w:type="fixed"/>
        <w:tblLook w:val="04A0"/>
      </w:tblPr>
      <w:tblGrid>
        <w:gridCol w:w="1525"/>
        <w:gridCol w:w="1350"/>
        <w:gridCol w:w="1260"/>
        <w:gridCol w:w="1200"/>
        <w:gridCol w:w="1240"/>
        <w:gridCol w:w="1080"/>
        <w:gridCol w:w="1220"/>
        <w:gridCol w:w="1420"/>
      </w:tblGrid>
      <w:tr w14:paraId="4D19DBDC" w14:textId="77777777" w:rsidTr="004A206B">
        <w:tblPrEx>
          <w:tblW w:w="10295" w:type="dxa"/>
          <w:jc w:val="center"/>
          <w:tblLayout w:type="fixed"/>
          <w:tblLook w:val="04A0"/>
        </w:tblPrEx>
        <w:trPr>
          <w:trHeight w:val="485"/>
          <w:jc w:val="center"/>
        </w:trPr>
        <w:tc>
          <w:tcPr>
            <w:tcW w:w="1525" w:type="dxa"/>
            <w:tcBorders>
              <w:top w:val="single" w:sz="4" w:space="0" w:color="auto"/>
              <w:left w:val="single" w:sz="4" w:space="0" w:color="auto"/>
              <w:bottom w:val="single" w:sz="4" w:space="0" w:color="auto"/>
              <w:right w:val="single" w:sz="4" w:space="0" w:color="auto"/>
            </w:tcBorders>
            <w:vAlign w:val="center"/>
            <w:hideMark/>
          </w:tcPr>
          <w:p w:rsidR="00D36955" w:rsidRPr="004A206B" w:rsidP="007B3F44" w14:paraId="0E583C49" w14:textId="77777777">
            <w:pPr>
              <w:rPr>
                <w:bCs/>
                <w:sz w:val="18"/>
                <w:szCs w:val="18"/>
              </w:rPr>
            </w:pPr>
            <w:r w:rsidRPr="004A206B">
              <w:rPr>
                <w:bCs/>
                <w:sz w:val="18"/>
                <w:szCs w:val="18"/>
              </w:rPr>
              <w:t>Information Collection</w:t>
            </w:r>
          </w:p>
        </w:tc>
        <w:tc>
          <w:tcPr>
            <w:tcW w:w="1350" w:type="dxa"/>
            <w:tcBorders>
              <w:top w:val="single" w:sz="4" w:space="0" w:color="auto"/>
              <w:left w:val="nil"/>
              <w:bottom w:val="single" w:sz="4" w:space="0" w:color="auto"/>
              <w:right w:val="single" w:sz="4" w:space="0" w:color="auto"/>
            </w:tcBorders>
            <w:vAlign w:val="center"/>
            <w:hideMark/>
          </w:tcPr>
          <w:p w:rsidR="00D36955" w:rsidRPr="004A206B" w:rsidP="007B3F44" w14:paraId="6A0D68A6" w14:textId="77777777">
            <w:pPr>
              <w:rPr>
                <w:bCs/>
                <w:sz w:val="18"/>
                <w:szCs w:val="18"/>
              </w:rPr>
            </w:pPr>
            <w:r w:rsidRPr="004A206B">
              <w:rPr>
                <w:bCs/>
                <w:sz w:val="18"/>
                <w:szCs w:val="18"/>
              </w:rPr>
              <w:t>Number of Respondents</w:t>
            </w:r>
          </w:p>
        </w:tc>
        <w:tc>
          <w:tcPr>
            <w:tcW w:w="1260" w:type="dxa"/>
            <w:tcBorders>
              <w:top w:val="single" w:sz="4" w:space="0" w:color="auto"/>
              <w:left w:val="nil"/>
              <w:bottom w:val="single" w:sz="4" w:space="0" w:color="auto"/>
              <w:right w:val="single" w:sz="4" w:space="0" w:color="auto"/>
            </w:tcBorders>
            <w:vAlign w:val="center"/>
            <w:hideMark/>
          </w:tcPr>
          <w:p w:rsidR="00D36955" w:rsidRPr="004A206B" w:rsidP="007B3F44" w14:paraId="1F74A7FC" w14:textId="77777777">
            <w:pPr>
              <w:rPr>
                <w:bCs/>
                <w:sz w:val="18"/>
                <w:szCs w:val="18"/>
              </w:rPr>
            </w:pPr>
            <w:r w:rsidRPr="004A206B">
              <w:rPr>
                <w:bCs/>
                <w:sz w:val="18"/>
                <w:szCs w:val="18"/>
              </w:rPr>
              <w:t>Frequency of Response</w:t>
            </w:r>
          </w:p>
        </w:tc>
        <w:tc>
          <w:tcPr>
            <w:tcW w:w="1200" w:type="dxa"/>
            <w:tcBorders>
              <w:top w:val="single" w:sz="4" w:space="0" w:color="auto"/>
              <w:left w:val="nil"/>
              <w:bottom w:val="single" w:sz="4" w:space="0" w:color="auto"/>
              <w:right w:val="single" w:sz="4" w:space="0" w:color="auto"/>
            </w:tcBorders>
            <w:vAlign w:val="center"/>
            <w:hideMark/>
          </w:tcPr>
          <w:p w:rsidR="00D36955" w:rsidRPr="004A206B" w:rsidP="007B3F44" w14:paraId="595D35CD" w14:textId="77777777">
            <w:pPr>
              <w:rPr>
                <w:bCs/>
                <w:sz w:val="18"/>
                <w:szCs w:val="18"/>
              </w:rPr>
            </w:pPr>
            <w:r w:rsidRPr="004A206B">
              <w:rPr>
                <w:bCs/>
                <w:sz w:val="18"/>
                <w:szCs w:val="18"/>
              </w:rPr>
              <w:t>Responses per Annum</w:t>
            </w:r>
          </w:p>
        </w:tc>
        <w:tc>
          <w:tcPr>
            <w:tcW w:w="1240" w:type="dxa"/>
            <w:tcBorders>
              <w:top w:val="single" w:sz="4" w:space="0" w:color="auto"/>
              <w:left w:val="nil"/>
              <w:bottom w:val="single" w:sz="4" w:space="0" w:color="auto"/>
              <w:right w:val="single" w:sz="4" w:space="0" w:color="auto"/>
            </w:tcBorders>
            <w:vAlign w:val="center"/>
            <w:hideMark/>
          </w:tcPr>
          <w:p w:rsidR="00D36955" w:rsidRPr="004A206B" w:rsidP="007B3F44" w14:paraId="67E5EFB5" w14:textId="77777777">
            <w:pPr>
              <w:rPr>
                <w:bCs/>
                <w:sz w:val="18"/>
                <w:szCs w:val="18"/>
              </w:rPr>
            </w:pPr>
            <w:r w:rsidRPr="004A206B">
              <w:rPr>
                <w:bCs/>
                <w:sz w:val="18"/>
                <w:szCs w:val="18"/>
              </w:rPr>
              <w:t>Burden Hour Per Response</w:t>
            </w:r>
          </w:p>
        </w:tc>
        <w:tc>
          <w:tcPr>
            <w:tcW w:w="1080" w:type="dxa"/>
            <w:tcBorders>
              <w:top w:val="single" w:sz="4" w:space="0" w:color="auto"/>
              <w:left w:val="nil"/>
              <w:bottom w:val="single" w:sz="4" w:space="0" w:color="auto"/>
              <w:right w:val="single" w:sz="4" w:space="0" w:color="auto"/>
            </w:tcBorders>
            <w:vAlign w:val="center"/>
            <w:hideMark/>
          </w:tcPr>
          <w:p w:rsidR="00D36955" w:rsidRPr="004A206B" w:rsidP="007B3F44" w14:paraId="7B29E4B7" w14:textId="77777777">
            <w:pPr>
              <w:rPr>
                <w:bCs/>
                <w:sz w:val="18"/>
                <w:szCs w:val="18"/>
              </w:rPr>
            </w:pPr>
            <w:r w:rsidRPr="004A206B">
              <w:rPr>
                <w:bCs/>
                <w:sz w:val="18"/>
                <w:szCs w:val="18"/>
              </w:rPr>
              <w:t>Annual Burden Hours</w:t>
            </w:r>
          </w:p>
        </w:tc>
        <w:tc>
          <w:tcPr>
            <w:tcW w:w="1220" w:type="dxa"/>
            <w:tcBorders>
              <w:top w:val="single" w:sz="4" w:space="0" w:color="auto"/>
              <w:left w:val="nil"/>
              <w:bottom w:val="single" w:sz="4" w:space="0" w:color="auto"/>
              <w:right w:val="single" w:sz="4" w:space="0" w:color="auto"/>
            </w:tcBorders>
            <w:vAlign w:val="center"/>
            <w:hideMark/>
          </w:tcPr>
          <w:p w:rsidR="00D36955" w:rsidRPr="004A206B" w:rsidP="007B3F44" w14:paraId="11384B40" w14:textId="77777777">
            <w:pPr>
              <w:rPr>
                <w:bCs/>
                <w:sz w:val="18"/>
                <w:szCs w:val="18"/>
              </w:rPr>
            </w:pPr>
            <w:r w:rsidRPr="004A206B">
              <w:rPr>
                <w:bCs/>
                <w:sz w:val="18"/>
                <w:szCs w:val="18"/>
              </w:rPr>
              <w:t>Hourly Cost Per Response</w:t>
            </w:r>
          </w:p>
        </w:tc>
        <w:tc>
          <w:tcPr>
            <w:tcW w:w="1420" w:type="dxa"/>
            <w:tcBorders>
              <w:top w:val="single" w:sz="4" w:space="0" w:color="auto"/>
              <w:left w:val="nil"/>
              <w:bottom w:val="single" w:sz="4" w:space="0" w:color="auto"/>
              <w:right w:val="single" w:sz="4" w:space="0" w:color="auto"/>
            </w:tcBorders>
            <w:vAlign w:val="center"/>
            <w:hideMark/>
          </w:tcPr>
          <w:p w:rsidR="00D36955" w:rsidRPr="004A206B" w:rsidP="007B3F44" w14:paraId="37AB9903" w14:textId="77777777">
            <w:pPr>
              <w:rPr>
                <w:bCs/>
                <w:sz w:val="18"/>
                <w:szCs w:val="18"/>
              </w:rPr>
            </w:pPr>
            <w:r w:rsidRPr="004A206B">
              <w:rPr>
                <w:bCs/>
                <w:sz w:val="18"/>
                <w:szCs w:val="18"/>
              </w:rPr>
              <w:t>Annual Cost </w:t>
            </w:r>
          </w:p>
        </w:tc>
      </w:tr>
      <w:tr w14:paraId="7F154386" w14:textId="77777777" w:rsidTr="004A206B">
        <w:tblPrEx>
          <w:tblW w:w="10295" w:type="dxa"/>
          <w:jc w:val="center"/>
          <w:tblLayout w:type="fixed"/>
          <w:tblLook w:val="04A0"/>
        </w:tblPrEx>
        <w:trPr>
          <w:trHeight w:val="647"/>
          <w:jc w:val="center"/>
        </w:trPr>
        <w:tc>
          <w:tcPr>
            <w:tcW w:w="1525" w:type="dxa"/>
            <w:tcBorders>
              <w:top w:val="nil"/>
              <w:left w:val="single" w:sz="4" w:space="0" w:color="auto"/>
              <w:bottom w:val="single" w:sz="4" w:space="0" w:color="auto"/>
              <w:right w:val="single" w:sz="4" w:space="0" w:color="auto"/>
            </w:tcBorders>
            <w:vAlign w:val="center"/>
            <w:hideMark/>
          </w:tcPr>
          <w:p w:rsidR="00D36955" w:rsidRPr="004A206B" w:rsidP="007B3F44" w14:paraId="7414639B" w14:textId="77777777">
            <w:pPr>
              <w:rPr>
                <w:color w:val="000000"/>
                <w:sz w:val="18"/>
                <w:szCs w:val="18"/>
              </w:rPr>
            </w:pPr>
            <w:r w:rsidRPr="004A206B">
              <w:rPr>
                <w:color w:val="000000"/>
                <w:sz w:val="18"/>
                <w:szCs w:val="18"/>
              </w:rPr>
              <w:t>Group 1: CoCs with Automated Software Report</w:t>
            </w:r>
          </w:p>
        </w:tc>
        <w:tc>
          <w:tcPr>
            <w:tcW w:w="1350" w:type="dxa"/>
            <w:tcBorders>
              <w:top w:val="nil"/>
              <w:left w:val="nil"/>
              <w:bottom w:val="single" w:sz="4" w:space="0" w:color="auto"/>
              <w:right w:val="single" w:sz="4" w:space="0" w:color="auto"/>
            </w:tcBorders>
            <w:vAlign w:val="center"/>
            <w:hideMark/>
          </w:tcPr>
          <w:p w:rsidR="00D36955" w:rsidRPr="004A206B" w:rsidP="007B3F44" w14:paraId="4D3E2599" w14:textId="77777777">
            <w:pPr>
              <w:rPr>
                <w:color w:val="000000"/>
                <w:sz w:val="18"/>
                <w:szCs w:val="18"/>
              </w:rPr>
            </w:pPr>
            <w:r w:rsidRPr="004A206B">
              <w:rPr>
                <w:color w:val="000000"/>
                <w:sz w:val="18"/>
                <w:szCs w:val="18"/>
              </w:rPr>
              <w:t>385.00</w:t>
            </w:r>
          </w:p>
        </w:tc>
        <w:tc>
          <w:tcPr>
            <w:tcW w:w="1260" w:type="dxa"/>
            <w:tcBorders>
              <w:top w:val="nil"/>
              <w:left w:val="nil"/>
              <w:bottom w:val="single" w:sz="4" w:space="0" w:color="auto"/>
              <w:right w:val="single" w:sz="4" w:space="0" w:color="auto"/>
            </w:tcBorders>
            <w:vAlign w:val="center"/>
            <w:hideMark/>
          </w:tcPr>
          <w:p w:rsidR="00D36955" w:rsidRPr="004A206B" w:rsidP="007B3F44" w14:paraId="643534D3" w14:textId="30F585C2">
            <w:pPr>
              <w:rPr>
                <w:color w:val="000000"/>
                <w:sz w:val="18"/>
                <w:szCs w:val="18"/>
              </w:rPr>
            </w:pPr>
            <w:r w:rsidRPr="004A206B">
              <w:rPr>
                <w:color w:val="000000"/>
                <w:sz w:val="18"/>
                <w:szCs w:val="18"/>
              </w:rPr>
              <w:t>1</w:t>
            </w:r>
          </w:p>
        </w:tc>
        <w:tc>
          <w:tcPr>
            <w:tcW w:w="1200" w:type="dxa"/>
            <w:tcBorders>
              <w:top w:val="nil"/>
              <w:left w:val="nil"/>
              <w:bottom w:val="single" w:sz="4" w:space="0" w:color="auto"/>
              <w:right w:val="single" w:sz="4" w:space="0" w:color="auto"/>
            </w:tcBorders>
            <w:vAlign w:val="center"/>
            <w:hideMark/>
          </w:tcPr>
          <w:p w:rsidR="00D36955" w:rsidRPr="004A206B" w:rsidP="007B3F44" w14:paraId="68385F1D" w14:textId="24C456BB">
            <w:pPr>
              <w:rPr>
                <w:color w:val="000000"/>
                <w:sz w:val="18"/>
                <w:szCs w:val="18"/>
              </w:rPr>
            </w:pPr>
            <w:r w:rsidRPr="004A206B">
              <w:rPr>
                <w:color w:val="000000"/>
                <w:sz w:val="18"/>
                <w:szCs w:val="18"/>
              </w:rPr>
              <w:t>385.00</w:t>
            </w:r>
          </w:p>
        </w:tc>
        <w:tc>
          <w:tcPr>
            <w:tcW w:w="1240" w:type="dxa"/>
            <w:tcBorders>
              <w:top w:val="nil"/>
              <w:left w:val="nil"/>
              <w:bottom w:val="single" w:sz="4" w:space="0" w:color="auto"/>
              <w:right w:val="single" w:sz="4" w:space="0" w:color="auto"/>
            </w:tcBorders>
            <w:vAlign w:val="center"/>
            <w:hideMark/>
          </w:tcPr>
          <w:p w:rsidR="00D36955" w:rsidRPr="004A206B" w:rsidP="007B3F44" w14:paraId="55A5BAEB" w14:textId="77777777">
            <w:pPr>
              <w:rPr>
                <w:color w:val="000000"/>
                <w:sz w:val="18"/>
                <w:szCs w:val="18"/>
              </w:rPr>
            </w:pPr>
            <w:r w:rsidRPr="004A206B">
              <w:rPr>
                <w:color w:val="000000"/>
                <w:sz w:val="18"/>
                <w:szCs w:val="18"/>
              </w:rPr>
              <w:t>13</w:t>
            </w:r>
          </w:p>
        </w:tc>
        <w:tc>
          <w:tcPr>
            <w:tcW w:w="1080" w:type="dxa"/>
            <w:tcBorders>
              <w:top w:val="nil"/>
              <w:left w:val="nil"/>
              <w:bottom w:val="single" w:sz="4" w:space="0" w:color="auto"/>
              <w:right w:val="single" w:sz="4" w:space="0" w:color="auto"/>
            </w:tcBorders>
            <w:vAlign w:val="center"/>
            <w:hideMark/>
          </w:tcPr>
          <w:p w:rsidR="00D36955" w:rsidRPr="004A206B" w:rsidP="007B3F44" w14:paraId="5200ABFA" w14:textId="77777777">
            <w:pPr>
              <w:rPr>
                <w:color w:val="000000"/>
                <w:sz w:val="18"/>
                <w:szCs w:val="18"/>
              </w:rPr>
            </w:pPr>
            <w:r w:rsidRPr="004A206B">
              <w:rPr>
                <w:color w:val="000000"/>
                <w:sz w:val="18"/>
                <w:szCs w:val="18"/>
              </w:rPr>
              <w:t>5,005.00</w:t>
            </w:r>
          </w:p>
        </w:tc>
        <w:tc>
          <w:tcPr>
            <w:tcW w:w="1220" w:type="dxa"/>
            <w:tcBorders>
              <w:top w:val="nil"/>
              <w:left w:val="nil"/>
              <w:bottom w:val="single" w:sz="4" w:space="0" w:color="auto"/>
              <w:right w:val="single" w:sz="4" w:space="0" w:color="auto"/>
            </w:tcBorders>
            <w:vAlign w:val="center"/>
            <w:hideMark/>
          </w:tcPr>
          <w:p w:rsidR="00D36955" w:rsidRPr="004A206B" w:rsidP="007B3F44" w14:paraId="7ED27128" w14:textId="4C2BB378">
            <w:pPr>
              <w:rPr>
                <w:color w:val="000000"/>
                <w:sz w:val="18"/>
                <w:szCs w:val="18"/>
              </w:rPr>
            </w:pPr>
            <w:r w:rsidRPr="004A206B">
              <w:rPr>
                <w:color w:val="000000"/>
                <w:sz w:val="18"/>
                <w:szCs w:val="18"/>
              </w:rPr>
              <w:t>$</w:t>
            </w:r>
            <w:r w:rsidRPr="004A206B" w:rsidR="00FB1497">
              <w:rPr>
                <w:color w:val="000000"/>
                <w:sz w:val="18"/>
                <w:szCs w:val="18"/>
              </w:rPr>
              <w:t>48.03</w:t>
            </w:r>
            <w:r w:rsidRPr="004A206B">
              <w:rPr>
                <w:color w:val="000000"/>
                <w:sz w:val="18"/>
                <w:szCs w:val="18"/>
              </w:rPr>
              <w:t xml:space="preserve"> </w:t>
            </w:r>
          </w:p>
        </w:tc>
        <w:tc>
          <w:tcPr>
            <w:tcW w:w="1420" w:type="dxa"/>
            <w:tcBorders>
              <w:top w:val="nil"/>
              <w:left w:val="nil"/>
              <w:bottom w:val="single" w:sz="4" w:space="0" w:color="auto"/>
              <w:right w:val="single" w:sz="4" w:space="0" w:color="auto"/>
            </w:tcBorders>
            <w:vAlign w:val="center"/>
            <w:hideMark/>
          </w:tcPr>
          <w:p w:rsidR="00D36955" w:rsidRPr="004A206B" w:rsidP="007B3F44" w14:paraId="6A4BF57A" w14:textId="1887D7F7">
            <w:pPr>
              <w:rPr>
                <w:color w:val="000000"/>
                <w:sz w:val="18"/>
                <w:szCs w:val="18"/>
              </w:rPr>
            </w:pPr>
            <w:r w:rsidRPr="004A206B">
              <w:rPr>
                <w:color w:val="000000"/>
                <w:sz w:val="18"/>
                <w:szCs w:val="18"/>
              </w:rPr>
              <w:t>$2</w:t>
            </w:r>
            <w:r w:rsidRPr="004A206B" w:rsidR="006E714C">
              <w:rPr>
                <w:color w:val="000000"/>
                <w:sz w:val="18"/>
                <w:szCs w:val="18"/>
              </w:rPr>
              <w:t>40</w:t>
            </w:r>
            <w:r w:rsidRPr="004A206B">
              <w:rPr>
                <w:color w:val="000000"/>
                <w:sz w:val="18"/>
                <w:szCs w:val="18"/>
              </w:rPr>
              <w:t>,</w:t>
            </w:r>
            <w:r w:rsidRPr="004A206B" w:rsidR="006E714C">
              <w:rPr>
                <w:color w:val="000000"/>
                <w:sz w:val="18"/>
                <w:szCs w:val="18"/>
              </w:rPr>
              <w:t>390</w:t>
            </w:r>
            <w:r w:rsidRPr="004A206B">
              <w:rPr>
                <w:color w:val="000000"/>
                <w:sz w:val="18"/>
                <w:szCs w:val="18"/>
              </w:rPr>
              <w:t>.</w:t>
            </w:r>
            <w:r w:rsidRPr="004A206B" w:rsidR="006E714C">
              <w:rPr>
                <w:color w:val="000000"/>
                <w:sz w:val="18"/>
                <w:szCs w:val="18"/>
              </w:rPr>
              <w:t>00</w:t>
            </w:r>
            <w:r w:rsidRPr="004A206B">
              <w:rPr>
                <w:color w:val="000000"/>
                <w:sz w:val="18"/>
                <w:szCs w:val="18"/>
              </w:rPr>
              <w:t xml:space="preserve"> </w:t>
            </w:r>
          </w:p>
        </w:tc>
      </w:tr>
      <w:tr w14:paraId="5EF3DEF1" w14:textId="77777777" w:rsidTr="004A206B">
        <w:tblPrEx>
          <w:tblW w:w="10295" w:type="dxa"/>
          <w:jc w:val="center"/>
          <w:tblLayout w:type="fixed"/>
          <w:tblLook w:val="04A0"/>
        </w:tblPrEx>
        <w:trPr>
          <w:trHeight w:val="440"/>
          <w:jc w:val="center"/>
        </w:trPr>
        <w:tc>
          <w:tcPr>
            <w:tcW w:w="1525" w:type="dxa"/>
            <w:tcBorders>
              <w:top w:val="nil"/>
              <w:left w:val="single" w:sz="4" w:space="0" w:color="auto"/>
              <w:bottom w:val="single" w:sz="4" w:space="0" w:color="auto"/>
              <w:right w:val="single" w:sz="4" w:space="0" w:color="auto"/>
            </w:tcBorders>
            <w:vAlign w:val="center"/>
            <w:hideMark/>
          </w:tcPr>
          <w:p w:rsidR="00D36955" w:rsidRPr="004A206B" w:rsidP="007B3F44" w14:paraId="6DCC75B2" w14:textId="77777777">
            <w:pPr>
              <w:rPr>
                <w:color w:val="000000"/>
                <w:sz w:val="18"/>
                <w:szCs w:val="18"/>
              </w:rPr>
            </w:pPr>
            <w:r w:rsidRPr="004A206B">
              <w:rPr>
                <w:color w:val="000000"/>
                <w:sz w:val="18"/>
                <w:szCs w:val="18"/>
              </w:rPr>
              <w:t>Group 2: CoCs with Manual Software Report</w:t>
            </w:r>
          </w:p>
        </w:tc>
        <w:tc>
          <w:tcPr>
            <w:tcW w:w="1350" w:type="dxa"/>
            <w:tcBorders>
              <w:top w:val="nil"/>
              <w:left w:val="nil"/>
              <w:bottom w:val="single" w:sz="4" w:space="0" w:color="auto"/>
              <w:right w:val="single" w:sz="4" w:space="0" w:color="auto"/>
            </w:tcBorders>
            <w:vAlign w:val="center"/>
            <w:hideMark/>
          </w:tcPr>
          <w:p w:rsidR="00D36955" w:rsidRPr="004A206B" w:rsidP="007B3F44" w14:paraId="57CC1DFB" w14:textId="77777777">
            <w:pPr>
              <w:rPr>
                <w:color w:val="000000"/>
                <w:sz w:val="18"/>
                <w:szCs w:val="18"/>
              </w:rPr>
            </w:pPr>
            <w:r w:rsidRPr="004A206B">
              <w:rPr>
                <w:color w:val="000000"/>
                <w:sz w:val="18"/>
                <w:szCs w:val="18"/>
              </w:rPr>
              <w:t>15.00 </w:t>
            </w:r>
          </w:p>
        </w:tc>
        <w:tc>
          <w:tcPr>
            <w:tcW w:w="1260" w:type="dxa"/>
            <w:tcBorders>
              <w:top w:val="nil"/>
              <w:left w:val="nil"/>
              <w:bottom w:val="single" w:sz="4" w:space="0" w:color="auto"/>
              <w:right w:val="single" w:sz="4" w:space="0" w:color="auto"/>
            </w:tcBorders>
            <w:vAlign w:val="center"/>
            <w:hideMark/>
          </w:tcPr>
          <w:p w:rsidR="00D36955" w:rsidRPr="004A206B" w:rsidP="007B3F44" w14:paraId="4CA70AD0" w14:textId="739C812C">
            <w:pPr>
              <w:rPr>
                <w:color w:val="000000"/>
                <w:sz w:val="18"/>
                <w:szCs w:val="18"/>
              </w:rPr>
            </w:pPr>
            <w:r w:rsidRPr="004A206B">
              <w:rPr>
                <w:color w:val="000000"/>
                <w:sz w:val="18"/>
                <w:szCs w:val="18"/>
              </w:rPr>
              <w:t>1</w:t>
            </w:r>
          </w:p>
        </w:tc>
        <w:tc>
          <w:tcPr>
            <w:tcW w:w="1200" w:type="dxa"/>
            <w:tcBorders>
              <w:top w:val="nil"/>
              <w:left w:val="nil"/>
              <w:bottom w:val="single" w:sz="4" w:space="0" w:color="auto"/>
              <w:right w:val="single" w:sz="4" w:space="0" w:color="auto"/>
            </w:tcBorders>
            <w:vAlign w:val="center"/>
            <w:hideMark/>
          </w:tcPr>
          <w:p w:rsidR="00D36955" w:rsidRPr="004A206B" w:rsidP="007B3F44" w14:paraId="3F56A53B" w14:textId="557DA532">
            <w:pPr>
              <w:rPr>
                <w:color w:val="000000"/>
                <w:sz w:val="18"/>
                <w:szCs w:val="18"/>
              </w:rPr>
            </w:pPr>
            <w:r w:rsidRPr="004A206B">
              <w:rPr>
                <w:color w:val="000000"/>
                <w:sz w:val="18"/>
                <w:szCs w:val="18"/>
              </w:rPr>
              <w:t xml:space="preserve">15.00 </w:t>
            </w:r>
          </w:p>
        </w:tc>
        <w:tc>
          <w:tcPr>
            <w:tcW w:w="1240" w:type="dxa"/>
            <w:tcBorders>
              <w:top w:val="nil"/>
              <w:left w:val="nil"/>
              <w:bottom w:val="single" w:sz="4" w:space="0" w:color="auto"/>
              <w:right w:val="single" w:sz="4" w:space="0" w:color="auto"/>
            </w:tcBorders>
            <w:vAlign w:val="center"/>
            <w:hideMark/>
          </w:tcPr>
          <w:p w:rsidR="00D36955" w:rsidRPr="004A206B" w:rsidP="007B3F44" w14:paraId="7A0D8FD6" w14:textId="77777777">
            <w:pPr>
              <w:rPr>
                <w:color w:val="000000"/>
                <w:sz w:val="18"/>
                <w:szCs w:val="18"/>
              </w:rPr>
            </w:pPr>
            <w:r w:rsidRPr="004A206B">
              <w:rPr>
                <w:color w:val="000000"/>
                <w:sz w:val="18"/>
                <w:szCs w:val="18"/>
              </w:rPr>
              <w:t>15</w:t>
            </w:r>
          </w:p>
        </w:tc>
        <w:tc>
          <w:tcPr>
            <w:tcW w:w="1080" w:type="dxa"/>
            <w:tcBorders>
              <w:top w:val="nil"/>
              <w:left w:val="nil"/>
              <w:bottom w:val="single" w:sz="4" w:space="0" w:color="auto"/>
              <w:right w:val="single" w:sz="4" w:space="0" w:color="auto"/>
            </w:tcBorders>
            <w:vAlign w:val="center"/>
            <w:hideMark/>
          </w:tcPr>
          <w:p w:rsidR="00D36955" w:rsidRPr="004A206B" w:rsidP="007B3F44" w14:paraId="755408EA" w14:textId="271F4DE5">
            <w:pPr>
              <w:rPr>
                <w:color w:val="000000"/>
                <w:sz w:val="18"/>
                <w:szCs w:val="18"/>
              </w:rPr>
            </w:pPr>
            <w:r w:rsidRPr="004A206B">
              <w:rPr>
                <w:color w:val="000000"/>
                <w:sz w:val="18"/>
                <w:szCs w:val="18"/>
              </w:rPr>
              <w:t>225</w:t>
            </w:r>
            <w:r w:rsidR="004472C3">
              <w:rPr>
                <w:color w:val="000000"/>
                <w:sz w:val="18"/>
                <w:szCs w:val="18"/>
              </w:rPr>
              <w:t>.00</w:t>
            </w:r>
          </w:p>
        </w:tc>
        <w:tc>
          <w:tcPr>
            <w:tcW w:w="1220" w:type="dxa"/>
            <w:tcBorders>
              <w:top w:val="nil"/>
              <w:left w:val="nil"/>
              <w:bottom w:val="single" w:sz="4" w:space="0" w:color="auto"/>
              <w:right w:val="single" w:sz="4" w:space="0" w:color="auto"/>
            </w:tcBorders>
            <w:vAlign w:val="center"/>
            <w:hideMark/>
          </w:tcPr>
          <w:p w:rsidR="00D36955" w:rsidRPr="004A206B" w:rsidP="007B3F44" w14:paraId="33E6E2BC" w14:textId="256896E4">
            <w:pPr>
              <w:rPr>
                <w:color w:val="000000"/>
                <w:sz w:val="18"/>
                <w:szCs w:val="18"/>
              </w:rPr>
            </w:pPr>
            <w:r w:rsidRPr="004A206B">
              <w:rPr>
                <w:color w:val="000000"/>
                <w:sz w:val="18"/>
                <w:szCs w:val="18"/>
              </w:rPr>
              <w:t>$</w:t>
            </w:r>
            <w:r w:rsidRPr="004A206B" w:rsidR="00FB1497">
              <w:rPr>
                <w:color w:val="000000"/>
                <w:sz w:val="18"/>
                <w:szCs w:val="18"/>
              </w:rPr>
              <w:t>48.03</w:t>
            </w:r>
            <w:r w:rsidRPr="004A206B">
              <w:rPr>
                <w:color w:val="000000"/>
                <w:sz w:val="18"/>
                <w:szCs w:val="18"/>
              </w:rPr>
              <w:t xml:space="preserve"> </w:t>
            </w:r>
          </w:p>
        </w:tc>
        <w:tc>
          <w:tcPr>
            <w:tcW w:w="1420" w:type="dxa"/>
            <w:tcBorders>
              <w:top w:val="nil"/>
              <w:left w:val="nil"/>
              <w:bottom w:val="single" w:sz="4" w:space="0" w:color="auto"/>
              <w:right w:val="single" w:sz="4" w:space="0" w:color="auto"/>
            </w:tcBorders>
            <w:vAlign w:val="center"/>
            <w:hideMark/>
          </w:tcPr>
          <w:p w:rsidR="00D36955" w:rsidRPr="004A206B" w:rsidP="007B3F44" w14:paraId="3B95052A" w14:textId="400E8160">
            <w:pPr>
              <w:rPr>
                <w:color w:val="000000"/>
                <w:sz w:val="18"/>
                <w:szCs w:val="18"/>
              </w:rPr>
            </w:pPr>
            <w:r w:rsidRPr="004A206B">
              <w:rPr>
                <w:color w:val="000000"/>
                <w:sz w:val="18"/>
                <w:szCs w:val="18"/>
              </w:rPr>
              <w:t>$</w:t>
            </w:r>
            <w:r w:rsidRPr="004A206B" w:rsidR="006E714C">
              <w:rPr>
                <w:color w:val="000000"/>
                <w:sz w:val="18"/>
                <w:szCs w:val="18"/>
              </w:rPr>
              <w:t>10,807.00</w:t>
            </w:r>
          </w:p>
        </w:tc>
      </w:tr>
      <w:tr w14:paraId="22E06B4C" w14:textId="77777777" w:rsidTr="004A206B">
        <w:tblPrEx>
          <w:tblW w:w="10295" w:type="dxa"/>
          <w:jc w:val="center"/>
          <w:tblLayout w:type="fixed"/>
          <w:tblLook w:val="04A0"/>
        </w:tblPrEx>
        <w:trPr>
          <w:trHeight w:val="290"/>
          <w:jc w:val="center"/>
        </w:trPr>
        <w:tc>
          <w:tcPr>
            <w:tcW w:w="1525" w:type="dxa"/>
            <w:tcBorders>
              <w:top w:val="nil"/>
              <w:left w:val="single" w:sz="4" w:space="0" w:color="auto"/>
              <w:bottom w:val="single" w:sz="4" w:space="0" w:color="auto"/>
              <w:right w:val="single" w:sz="4" w:space="0" w:color="auto"/>
            </w:tcBorders>
            <w:vAlign w:val="center"/>
            <w:hideMark/>
          </w:tcPr>
          <w:p w:rsidR="00D36955" w:rsidRPr="004A206B" w:rsidP="007B3F44" w14:paraId="4CBCB6B7" w14:textId="77777777">
            <w:pPr>
              <w:rPr>
                <w:color w:val="000000"/>
                <w:sz w:val="18"/>
                <w:szCs w:val="18"/>
              </w:rPr>
            </w:pPr>
            <w:r w:rsidRPr="004A206B">
              <w:rPr>
                <w:color w:val="000000"/>
                <w:sz w:val="18"/>
                <w:szCs w:val="18"/>
              </w:rPr>
              <w:t>Total</w:t>
            </w:r>
          </w:p>
        </w:tc>
        <w:tc>
          <w:tcPr>
            <w:tcW w:w="1350" w:type="dxa"/>
            <w:tcBorders>
              <w:top w:val="nil"/>
              <w:left w:val="nil"/>
              <w:bottom w:val="single" w:sz="4" w:space="0" w:color="auto"/>
              <w:right w:val="single" w:sz="4" w:space="0" w:color="auto"/>
            </w:tcBorders>
            <w:vAlign w:val="center"/>
            <w:hideMark/>
          </w:tcPr>
          <w:p w:rsidR="00D36955" w:rsidRPr="004A206B" w:rsidP="007B3F44" w14:paraId="7EBA6B49" w14:textId="77777777">
            <w:pPr>
              <w:rPr>
                <w:color w:val="000000"/>
                <w:sz w:val="18"/>
                <w:szCs w:val="18"/>
              </w:rPr>
            </w:pPr>
            <w:r w:rsidRPr="004A206B">
              <w:rPr>
                <w:color w:val="000000"/>
                <w:sz w:val="18"/>
                <w:szCs w:val="18"/>
              </w:rPr>
              <w:t>400.00</w:t>
            </w:r>
          </w:p>
        </w:tc>
        <w:tc>
          <w:tcPr>
            <w:tcW w:w="1260" w:type="dxa"/>
            <w:tcBorders>
              <w:top w:val="nil"/>
              <w:left w:val="nil"/>
              <w:bottom w:val="single" w:sz="4" w:space="0" w:color="auto"/>
              <w:right w:val="single" w:sz="4" w:space="0" w:color="auto"/>
            </w:tcBorders>
            <w:vAlign w:val="center"/>
            <w:hideMark/>
          </w:tcPr>
          <w:p w:rsidR="00D36955" w:rsidRPr="004A206B" w:rsidP="007B3F44" w14:paraId="50B2C36F" w14:textId="77777777">
            <w:pPr>
              <w:rPr>
                <w:color w:val="000000"/>
                <w:sz w:val="18"/>
                <w:szCs w:val="18"/>
              </w:rPr>
            </w:pPr>
            <w:r w:rsidRPr="004A206B">
              <w:rPr>
                <w:color w:val="000000"/>
                <w:sz w:val="18"/>
                <w:szCs w:val="18"/>
              </w:rPr>
              <w:t> </w:t>
            </w:r>
          </w:p>
        </w:tc>
        <w:tc>
          <w:tcPr>
            <w:tcW w:w="1200" w:type="dxa"/>
            <w:tcBorders>
              <w:top w:val="nil"/>
              <w:left w:val="nil"/>
              <w:bottom w:val="single" w:sz="4" w:space="0" w:color="auto"/>
              <w:right w:val="single" w:sz="4" w:space="0" w:color="auto"/>
            </w:tcBorders>
            <w:vAlign w:val="center"/>
            <w:hideMark/>
          </w:tcPr>
          <w:p w:rsidR="00D36955" w:rsidRPr="004A206B" w:rsidP="007B3F44" w14:paraId="75005329" w14:textId="4DDD4B19">
            <w:pPr>
              <w:rPr>
                <w:color w:val="000000"/>
                <w:sz w:val="18"/>
                <w:szCs w:val="18"/>
              </w:rPr>
            </w:pPr>
            <w:r w:rsidRPr="004A206B">
              <w:rPr>
                <w:color w:val="000000"/>
                <w:sz w:val="18"/>
                <w:szCs w:val="18"/>
              </w:rPr>
              <w:t>400</w:t>
            </w:r>
            <w:r w:rsidR="004472C3">
              <w:rPr>
                <w:color w:val="000000"/>
                <w:sz w:val="18"/>
                <w:szCs w:val="18"/>
              </w:rPr>
              <w:t>.00</w:t>
            </w:r>
          </w:p>
        </w:tc>
        <w:tc>
          <w:tcPr>
            <w:tcW w:w="1240" w:type="dxa"/>
            <w:tcBorders>
              <w:top w:val="nil"/>
              <w:left w:val="nil"/>
              <w:bottom w:val="single" w:sz="4" w:space="0" w:color="auto"/>
              <w:right w:val="single" w:sz="4" w:space="0" w:color="auto"/>
            </w:tcBorders>
            <w:vAlign w:val="center"/>
            <w:hideMark/>
          </w:tcPr>
          <w:p w:rsidR="00D36955" w:rsidRPr="004A206B" w:rsidP="007B3F44" w14:paraId="288343EE" w14:textId="77777777">
            <w:pPr>
              <w:rPr>
                <w:color w:val="000000"/>
                <w:sz w:val="18"/>
                <w:szCs w:val="18"/>
              </w:rPr>
            </w:pPr>
            <w:r w:rsidRPr="004A206B">
              <w:rPr>
                <w:color w:val="000000"/>
                <w:sz w:val="18"/>
                <w:szCs w:val="18"/>
              </w:rPr>
              <w:t> </w:t>
            </w:r>
          </w:p>
        </w:tc>
        <w:tc>
          <w:tcPr>
            <w:tcW w:w="1080" w:type="dxa"/>
            <w:tcBorders>
              <w:top w:val="nil"/>
              <w:left w:val="nil"/>
              <w:bottom w:val="single" w:sz="4" w:space="0" w:color="auto"/>
              <w:right w:val="single" w:sz="4" w:space="0" w:color="auto"/>
            </w:tcBorders>
            <w:vAlign w:val="center"/>
            <w:hideMark/>
          </w:tcPr>
          <w:p w:rsidR="00D36955" w:rsidRPr="004A206B" w:rsidP="007B3F44" w14:paraId="4ED1DB00" w14:textId="2F1984A2">
            <w:pPr>
              <w:rPr>
                <w:color w:val="000000"/>
                <w:sz w:val="18"/>
                <w:szCs w:val="18"/>
              </w:rPr>
            </w:pPr>
            <w:r w:rsidRPr="004A206B">
              <w:rPr>
                <w:color w:val="000000"/>
                <w:sz w:val="18"/>
                <w:szCs w:val="18"/>
              </w:rPr>
              <w:t>5</w:t>
            </w:r>
            <w:r w:rsidRPr="004A206B" w:rsidR="006E714C">
              <w:rPr>
                <w:color w:val="000000"/>
                <w:sz w:val="18"/>
                <w:szCs w:val="18"/>
              </w:rPr>
              <w:t>,</w:t>
            </w:r>
            <w:r w:rsidRPr="004A206B">
              <w:rPr>
                <w:color w:val="000000"/>
                <w:sz w:val="18"/>
                <w:szCs w:val="18"/>
              </w:rPr>
              <w:t>230</w:t>
            </w:r>
            <w:r w:rsidR="004472C3">
              <w:rPr>
                <w:color w:val="000000"/>
                <w:sz w:val="18"/>
                <w:szCs w:val="18"/>
              </w:rPr>
              <w:t>.00</w:t>
            </w:r>
          </w:p>
        </w:tc>
        <w:tc>
          <w:tcPr>
            <w:tcW w:w="1220" w:type="dxa"/>
            <w:tcBorders>
              <w:top w:val="nil"/>
              <w:left w:val="nil"/>
              <w:bottom w:val="single" w:sz="4" w:space="0" w:color="auto"/>
              <w:right w:val="single" w:sz="4" w:space="0" w:color="auto"/>
            </w:tcBorders>
            <w:vAlign w:val="center"/>
            <w:hideMark/>
          </w:tcPr>
          <w:p w:rsidR="00D36955" w:rsidRPr="004A206B" w:rsidP="007B3F44" w14:paraId="63CB6B29" w14:textId="77777777">
            <w:pPr>
              <w:rPr>
                <w:color w:val="000000"/>
                <w:sz w:val="18"/>
                <w:szCs w:val="18"/>
              </w:rPr>
            </w:pPr>
            <w:r w:rsidRPr="004A206B">
              <w:rPr>
                <w:color w:val="000000"/>
                <w:sz w:val="18"/>
                <w:szCs w:val="18"/>
              </w:rPr>
              <w:t> </w:t>
            </w:r>
          </w:p>
        </w:tc>
        <w:tc>
          <w:tcPr>
            <w:tcW w:w="1420" w:type="dxa"/>
            <w:tcBorders>
              <w:top w:val="nil"/>
              <w:left w:val="nil"/>
              <w:bottom w:val="single" w:sz="4" w:space="0" w:color="auto"/>
              <w:right w:val="single" w:sz="4" w:space="0" w:color="auto"/>
            </w:tcBorders>
            <w:vAlign w:val="center"/>
            <w:hideMark/>
          </w:tcPr>
          <w:p w:rsidR="00D36955" w:rsidRPr="004A206B" w:rsidP="007B3F44" w14:paraId="0DDAEDC6" w14:textId="54551CAC">
            <w:pPr>
              <w:rPr>
                <w:color w:val="000000"/>
                <w:sz w:val="18"/>
                <w:szCs w:val="18"/>
              </w:rPr>
            </w:pPr>
            <w:r w:rsidRPr="004A206B">
              <w:rPr>
                <w:color w:val="000000"/>
                <w:sz w:val="18"/>
                <w:szCs w:val="18"/>
              </w:rPr>
              <w:t>$251,197.00</w:t>
            </w:r>
          </w:p>
        </w:tc>
      </w:tr>
    </w:tbl>
    <w:p w:rsidR="000915C4" w:rsidRPr="00A47BDA" w:rsidP="000915C4" w14:paraId="02B42A2B" w14:textId="7BCD584D">
      <w:pPr>
        <w:rPr>
          <w:spacing w:val="-4"/>
          <w:sz w:val="18"/>
          <w:szCs w:val="18"/>
        </w:rPr>
      </w:pPr>
      <w:r w:rsidRPr="0078584F">
        <w:rPr>
          <w:spacing w:val="-4"/>
          <w:sz w:val="18"/>
          <w:szCs w:val="18"/>
        </w:rPr>
        <w:t xml:space="preserve">*Hourly wage rates are based on the </w:t>
      </w:r>
      <w:r w:rsidRPr="004A206B">
        <w:rPr>
          <w:spacing w:val="-4"/>
          <w:sz w:val="18"/>
          <w:szCs w:val="18"/>
        </w:rPr>
        <w:t>2024 Occupational Employment and Wages published by the Department of Labor (8/21/2024).  The median hourly wage rates in Exhibit A-2 represent the average of “Business Operations Specialists, All Other” ($44.41/</w:t>
      </w:r>
      <w:r w:rsidRPr="004A206B">
        <w:rPr>
          <w:spacing w:val="-4"/>
          <w:sz w:val="18"/>
          <w:szCs w:val="18"/>
        </w:rPr>
        <w:t>hr</w:t>
      </w:r>
      <w:r w:rsidRPr="004A206B">
        <w:rPr>
          <w:spacing w:val="-4"/>
          <w:sz w:val="18"/>
          <w:szCs w:val="18"/>
        </w:rPr>
        <w:t xml:space="preserve">) and “Database Administrators” ($51.65), assuming an equal proportion of hours required to complete the Performance Report per occupational type. </w:t>
      </w:r>
    </w:p>
    <w:p w:rsidR="00D36955" w:rsidRPr="007B3F44" w:rsidP="007B3F44" w14:paraId="6C6D7BA9" w14:textId="77777777">
      <w:pPr>
        <w:rPr>
          <w:spacing w:val="-4"/>
          <w:sz w:val="24"/>
          <w:szCs w:val="24"/>
        </w:rPr>
      </w:pPr>
    </w:p>
    <w:p w:rsidR="000D5079" w:rsidRPr="0078584F" w:rsidP="0078584F" w14:paraId="0CEE4D0B" w14:textId="702205A7">
      <w:pPr>
        <w:pStyle w:val="ListParagraph"/>
        <w:numPr>
          <w:ilvl w:val="0"/>
          <w:numId w:val="42"/>
        </w:numPr>
        <w:rPr>
          <w:sz w:val="24"/>
          <w:szCs w:val="24"/>
        </w:rPr>
      </w:pPr>
      <w:r w:rsidRPr="0078584F">
        <w:rPr>
          <w:sz w:val="24"/>
          <w:szCs w:val="24"/>
        </w:rPr>
        <w:t>Provide an estimate of the total annual cost burden to respondents or recordkeepers resulting from the collection of information</w:t>
      </w:r>
      <w:r w:rsidRPr="0078584F">
        <w:rPr>
          <w:sz w:val="24"/>
          <w:szCs w:val="24"/>
        </w:rPr>
        <w:t>. (Do not include the cost of any hour burden already reflected on the burden worksheet</w:t>
      </w:r>
      <w:r w:rsidRPr="0078584F">
        <w:rPr>
          <w:sz w:val="24"/>
          <w:szCs w:val="24"/>
        </w:rPr>
        <w:t xml:space="preserve"> shown in Items 12 and 14).</w:t>
      </w:r>
    </w:p>
    <w:p w:rsidR="009E13B1" w:rsidRPr="007B3F44" w:rsidP="007B3F44" w14:paraId="2D0E6548" w14:textId="77777777">
      <w:pPr>
        <w:rPr>
          <w:sz w:val="24"/>
          <w:szCs w:val="24"/>
        </w:rPr>
      </w:pPr>
      <w:r w:rsidRPr="007B3F44">
        <w:rPr>
          <w:sz w:val="24"/>
          <w:szCs w:val="24"/>
        </w:rPr>
        <w:t xml:space="preserve"> </w:t>
      </w:r>
    </w:p>
    <w:p w:rsidR="009E13B1" w:rsidRPr="007B3F44" w:rsidP="004A206B" w14:paraId="1C503D2C" w14:textId="77777777">
      <w:pPr>
        <w:ind w:left="720"/>
        <w:rPr>
          <w:sz w:val="24"/>
          <w:szCs w:val="24"/>
        </w:rPr>
      </w:pPr>
      <w:r w:rsidRPr="007B3F44">
        <w:rPr>
          <w:sz w:val="24"/>
          <w:szCs w:val="24"/>
        </w:rPr>
        <w:t xml:space="preserve">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9E13B1" w:rsidRPr="007B3F44" w:rsidP="004A206B" w14:paraId="4D47756F" w14:textId="77777777">
      <w:pPr>
        <w:ind w:left="720"/>
        <w:rPr>
          <w:sz w:val="24"/>
          <w:szCs w:val="24"/>
        </w:rPr>
      </w:pPr>
      <w:r w:rsidRPr="007B3F44">
        <w:rPr>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9E13B1" w:rsidRPr="007B3F44" w:rsidP="004A206B" w14:paraId="497102DC" w14:textId="77777777">
      <w:pPr>
        <w:ind w:left="720"/>
        <w:rPr>
          <w:sz w:val="24"/>
          <w:szCs w:val="24"/>
        </w:rPr>
      </w:pPr>
      <w:r w:rsidRPr="007B3F44">
        <w:rPr>
          <w:sz w:val="24"/>
          <w:szCs w:val="24"/>
        </w:rPr>
        <w:t>G</w:t>
      </w:r>
      <w:r w:rsidRPr="007B3F44">
        <w:rPr>
          <w:sz w:val="24"/>
          <w:szCs w:val="24"/>
        </w:rPr>
        <w:t>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D36955" w:rsidRPr="007B3F44" w:rsidP="004A206B" w14:paraId="30E42618" w14:textId="77777777">
      <w:pPr>
        <w:ind w:left="720"/>
        <w:rPr>
          <w:sz w:val="24"/>
          <w:szCs w:val="24"/>
        </w:rPr>
      </w:pPr>
    </w:p>
    <w:p w:rsidR="00D36955" w:rsidRPr="007B3F44" w:rsidP="004A206B" w14:paraId="5341B676" w14:textId="11B2C20A">
      <w:pPr>
        <w:ind w:left="720"/>
        <w:rPr>
          <w:sz w:val="24"/>
          <w:szCs w:val="24"/>
        </w:rPr>
      </w:pPr>
      <w:r w:rsidRPr="007B3F44">
        <w:rPr>
          <w:sz w:val="24"/>
          <w:szCs w:val="24"/>
        </w:rPr>
        <w:t>There are no capital costs for respondents beyond customary or usual business practices or that are not otherwise required to achieve regulatory compliance not associated with the collection of information for purposes of completing the APRs or the system-level performance measure data.</w:t>
      </w:r>
    </w:p>
    <w:p w:rsidR="00D36955" w:rsidRPr="007B3F44" w:rsidP="007B3F44" w14:paraId="1B01A044" w14:textId="77777777">
      <w:pPr>
        <w:rPr>
          <w:sz w:val="24"/>
          <w:szCs w:val="24"/>
        </w:rPr>
      </w:pPr>
    </w:p>
    <w:p w:rsidR="009E13B1" w:rsidRPr="004A206B" w:rsidP="004A206B" w14:paraId="0F877C1B" w14:textId="4DF10E4E">
      <w:pPr>
        <w:pStyle w:val="ListParagraph"/>
        <w:numPr>
          <w:ilvl w:val="0"/>
          <w:numId w:val="42"/>
        </w:numPr>
        <w:rPr>
          <w:sz w:val="24"/>
          <w:szCs w:val="24"/>
        </w:rPr>
      </w:pPr>
      <w:r w:rsidRPr="004A206B">
        <w:rPr>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D36955" w:rsidRPr="007B3F44" w:rsidP="007B3F44" w14:paraId="60425651" w14:textId="77777777">
      <w:pPr>
        <w:rPr>
          <w:sz w:val="24"/>
          <w:szCs w:val="24"/>
        </w:rPr>
      </w:pPr>
    </w:p>
    <w:p w:rsidR="00D36955" w:rsidRPr="007B3F44" w:rsidP="004A206B" w14:paraId="1A47A757" w14:textId="74882423">
      <w:pPr>
        <w:ind w:left="720"/>
        <w:rPr>
          <w:spacing w:val="-2"/>
          <w:sz w:val="24"/>
          <w:szCs w:val="24"/>
        </w:rPr>
      </w:pPr>
      <w:r w:rsidRPr="007B3F44">
        <w:rPr>
          <w:color w:val="000000"/>
          <w:sz w:val="24"/>
          <w:szCs w:val="24"/>
        </w:rPr>
        <w:t xml:space="preserve">The exhibits below demonstrate the estimated annualized cost to the federal government to administer and review the project performance reports and the system-level performance measures.  The total estimated annualized cost to the federal government for the reports over a one-year period, including quarterly reporting for YHDP and Special CoC NOFO grants, is estimated at </w:t>
      </w:r>
      <w:r w:rsidR="00551A65">
        <w:rPr>
          <w:color w:val="000000"/>
          <w:sz w:val="24"/>
          <w:szCs w:val="24"/>
        </w:rPr>
        <w:t>9,847</w:t>
      </w:r>
      <w:r w:rsidRPr="007B3F44">
        <w:rPr>
          <w:color w:val="000000"/>
          <w:sz w:val="24"/>
          <w:szCs w:val="24"/>
        </w:rPr>
        <w:t xml:space="preserve"> hours for $</w:t>
      </w:r>
      <w:r w:rsidR="00551A65">
        <w:rPr>
          <w:color w:val="000000"/>
          <w:sz w:val="24"/>
          <w:szCs w:val="24"/>
        </w:rPr>
        <w:t>323,730.22</w:t>
      </w:r>
      <w:r w:rsidRPr="007B3F44">
        <w:rPr>
          <w:color w:val="000000"/>
          <w:sz w:val="24"/>
          <w:szCs w:val="24"/>
        </w:rPr>
        <w:t>.</w:t>
      </w:r>
      <w:r w:rsidRPr="007B3F44">
        <w:rPr>
          <w:spacing w:val="-2"/>
          <w:sz w:val="24"/>
          <w:szCs w:val="24"/>
        </w:rPr>
        <w:t xml:space="preserve"> </w:t>
      </w:r>
    </w:p>
    <w:p w:rsidR="00D36955" w:rsidRPr="007B3F44" w:rsidP="004A206B" w14:paraId="49EB62C3" w14:textId="77777777">
      <w:pPr>
        <w:ind w:left="720"/>
        <w:rPr>
          <w:sz w:val="24"/>
          <w:szCs w:val="24"/>
        </w:rPr>
      </w:pPr>
    </w:p>
    <w:p w:rsidR="00D36955" w:rsidRPr="004A206B" w:rsidP="004A206B" w14:paraId="6638A87B" w14:textId="2678E2B8">
      <w:pPr>
        <w:ind w:left="720"/>
        <w:rPr>
          <w:color w:val="000000"/>
          <w:sz w:val="24"/>
          <w:szCs w:val="24"/>
          <w:u w:val="single"/>
        </w:rPr>
      </w:pPr>
      <w:r w:rsidRPr="004A206B">
        <w:rPr>
          <w:color w:val="000000"/>
          <w:sz w:val="24"/>
          <w:szCs w:val="24"/>
          <w:u w:val="single"/>
        </w:rPr>
        <w:t xml:space="preserve">Federal Government Cost Estimates for </w:t>
      </w:r>
      <w:r w:rsidRPr="004A206B">
        <w:rPr>
          <w:sz w:val="24"/>
          <w:szCs w:val="24"/>
          <w:u w:val="single"/>
        </w:rPr>
        <w:t xml:space="preserve">APR for HUD’s Homeless Assistance Programs </w:t>
      </w:r>
    </w:p>
    <w:p w:rsidR="00D36955" w:rsidRPr="007B3F44" w:rsidP="004A206B" w14:paraId="26A46820" w14:textId="77777777">
      <w:pPr>
        <w:ind w:left="720"/>
        <w:rPr>
          <w:sz w:val="24"/>
          <w:szCs w:val="24"/>
        </w:rPr>
      </w:pPr>
    </w:p>
    <w:p w:rsidR="00D36955" w:rsidRPr="007B3F44" w:rsidP="004A206B" w14:paraId="0C3B6D9E" w14:textId="77777777">
      <w:pPr>
        <w:ind w:left="720"/>
        <w:rPr>
          <w:sz w:val="24"/>
          <w:szCs w:val="24"/>
        </w:rPr>
      </w:pPr>
      <w:r w:rsidRPr="007B3F44">
        <w:rPr>
          <w:sz w:val="24"/>
          <w:szCs w:val="24"/>
        </w:rPr>
        <w:t xml:space="preserve">HUD reviews every single performance report.  HUD’s local field office staff review the CoC Program APRs and the Special CoC NOFO QPRs and APRs.  HUD’s headquarters staff reviews the YHDP grant reports.  HUD staff are only required to look at a few screens to ensure compliance but may review the entire report when they feel further questions need to be answered about the grant.  When questions or issues arise, HUD staff work with recipients to resolve outstanding concerns.  </w:t>
      </w:r>
    </w:p>
    <w:p w:rsidR="00D36955" w:rsidRPr="007B3F44" w:rsidP="004A206B" w14:paraId="5EE8FFA4" w14:textId="77777777">
      <w:pPr>
        <w:ind w:left="720"/>
        <w:rPr>
          <w:sz w:val="24"/>
          <w:szCs w:val="24"/>
        </w:rPr>
      </w:pPr>
    </w:p>
    <w:p w:rsidR="00D36955" w:rsidRPr="007B3F44" w:rsidP="004A206B" w14:paraId="2BA42E17" w14:textId="25DF4B34">
      <w:pPr>
        <w:ind w:left="720"/>
        <w:rPr>
          <w:color w:val="000000"/>
          <w:sz w:val="24"/>
          <w:szCs w:val="24"/>
        </w:rPr>
      </w:pPr>
      <w:r w:rsidRPr="007B3F44">
        <w:rPr>
          <w:color w:val="000000"/>
          <w:sz w:val="24"/>
          <w:szCs w:val="24"/>
        </w:rPr>
        <w:t>The annualized cost estimate for federal government staff to review HUD Continuum of Care Program reports, including YHDP, Special CoC NOFO grant funding and CoC Builds, is 1 hour per report at a cost of $32.</w:t>
      </w:r>
      <w:r w:rsidR="008C2E6D">
        <w:rPr>
          <w:color w:val="000000"/>
          <w:sz w:val="24"/>
          <w:szCs w:val="24"/>
        </w:rPr>
        <w:t>88</w:t>
      </w:r>
      <w:r w:rsidRPr="007B3F44">
        <w:rPr>
          <w:color w:val="000000"/>
          <w:sz w:val="24"/>
          <w:szCs w:val="24"/>
        </w:rPr>
        <w:t xml:space="preserve"> per report.  </w:t>
      </w:r>
    </w:p>
    <w:p w:rsidR="00D36955" w:rsidRPr="007B3F44" w:rsidP="007B3F44" w14:paraId="5488F754" w14:textId="77777777">
      <w:pPr>
        <w:rPr>
          <w:color w:val="000000"/>
          <w:sz w:val="24"/>
          <w:szCs w:val="24"/>
        </w:rPr>
      </w:pPr>
    </w:p>
    <w:tbl>
      <w:tblPr>
        <w:tblW w:w="9270" w:type="dxa"/>
        <w:tblInd w:w="355" w:type="dxa"/>
        <w:tblLayout w:type="fixed"/>
        <w:tblCellMar>
          <w:left w:w="0" w:type="dxa"/>
          <w:right w:w="0" w:type="dxa"/>
        </w:tblCellMar>
        <w:tblLook w:val="04A0"/>
      </w:tblPr>
      <w:tblGrid>
        <w:gridCol w:w="1890"/>
        <w:gridCol w:w="1080"/>
        <w:gridCol w:w="1080"/>
        <w:gridCol w:w="1080"/>
        <w:gridCol w:w="1064"/>
        <w:gridCol w:w="1006"/>
        <w:gridCol w:w="1080"/>
        <w:gridCol w:w="990"/>
      </w:tblGrid>
      <w:tr w14:paraId="5E794627" w14:textId="77777777" w:rsidTr="004A206B">
        <w:tblPrEx>
          <w:tblW w:w="9270" w:type="dxa"/>
          <w:tblInd w:w="355" w:type="dxa"/>
          <w:tblLayout w:type="fixed"/>
          <w:tblCellMar>
            <w:left w:w="0" w:type="dxa"/>
            <w:right w:w="0" w:type="dxa"/>
          </w:tblCellMar>
          <w:tblLook w:val="04A0"/>
        </w:tblPrEx>
        <w:trPr>
          <w:trHeight w:val="840"/>
        </w:trPr>
        <w:tc>
          <w:tcPr>
            <w:tcW w:w="189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D36955" w:rsidRPr="004A206B" w:rsidP="007B3F44" w14:paraId="25853C97" w14:textId="77777777">
            <w:pPr>
              <w:rPr>
                <w:bCs/>
                <w:sz w:val="18"/>
                <w:szCs w:val="18"/>
              </w:rPr>
            </w:pPr>
            <w:r w:rsidRPr="004A206B">
              <w:rPr>
                <w:bCs/>
                <w:sz w:val="18"/>
                <w:szCs w:val="18"/>
              </w:rPr>
              <w:t>Information Collection</w:t>
            </w:r>
          </w:p>
        </w:tc>
        <w:tc>
          <w:tcPr>
            <w:tcW w:w="108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D36955" w:rsidRPr="004A206B" w:rsidP="007B3F44" w14:paraId="037235FD" w14:textId="77777777">
            <w:pPr>
              <w:rPr>
                <w:bCs/>
                <w:sz w:val="18"/>
                <w:szCs w:val="18"/>
              </w:rPr>
            </w:pPr>
            <w:r w:rsidRPr="004A206B">
              <w:rPr>
                <w:bCs/>
                <w:sz w:val="18"/>
                <w:szCs w:val="18"/>
              </w:rPr>
              <w:t>Number of Respondents</w:t>
            </w:r>
          </w:p>
        </w:tc>
        <w:tc>
          <w:tcPr>
            <w:tcW w:w="108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D36955" w:rsidRPr="004A206B" w:rsidP="007B3F44" w14:paraId="4F8DE92D" w14:textId="77777777">
            <w:pPr>
              <w:rPr>
                <w:bCs/>
                <w:sz w:val="18"/>
                <w:szCs w:val="18"/>
              </w:rPr>
            </w:pPr>
            <w:r w:rsidRPr="004A206B">
              <w:rPr>
                <w:bCs/>
                <w:sz w:val="18"/>
                <w:szCs w:val="18"/>
              </w:rPr>
              <w:t>Frequency of Response</w:t>
            </w:r>
          </w:p>
        </w:tc>
        <w:tc>
          <w:tcPr>
            <w:tcW w:w="108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D36955" w:rsidRPr="004A206B" w:rsidP="007B3F44" w14:paraId="12373B04" w14:textId="77777777">
            <w:pPr>
              <w:rPr>
                <w:bCs/>
                <w:sz w:val="18"/>
                <w:szCs w:val="18"/>
              </w:rPr>
            </w:pPr>
            <w:r w:rsidRPr="004A206B">
              <w:rPr>
                <w:bCs/>
                <w:sz w:val="18"/>
                <w:szCs w:val="18"/>
              </w:rPr>
              <w:t>Responses per Annum</w:t>
            </w:r>
          </w:p>
        </w:tc>
        <w:tc>
          <w:tcPr>
            <w:tcW w:w="106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D36955" w:rsidRPr="004A206B" w:rsidP="007B3F44" w14:paraId="6BDFCFDC" w14:textId="77777777">
            <w:pPr>
              <w:rPr>
                <w:bCs/>
                <w:sz w:val="18"/>
                <w:szCs w:val="18"/>
              </w:rPr>
            </w:pPr>
            <w:r w:rsidRPr="004A206B">
              <w:rPr>
                <w:bCs/>
                <w:sz w:val="18"/>
                <w:szCs w:val="18"/>
              </w:rPr>
              <w:t>Burden Hour Per Response</w:t>
            </w:r>
          </w:p>
        </w:tc>
        <w:tc>
          <w:tcPr>
            <w:tcW w:w="100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D36955" w:rsidRPr="004A206B" w:rsidP="007B3F44" w14:paraId="043608BC" w14:textId="77777777">
            <w:pPr>
              <w:rPr>
                <w:bCs/>
                <w:sz w:val="18"/>
                <w:szCs w:val="18"/>
              </w:rPr>
            </w:pPr>
            <w:r w:rsidRPr="004A206B">
              <w:rPr>
                <w:bCs/>
                <w:sz w:val="18"/>
                <w:szCs w:val="18"/>
              </w:rPr>
              <w:t>Annual Burden Hours</w:t>
            </w:r>
          </w:p>
        </w:tc>
        <w:tc>
          <w:tcPr>
            <w:tcW w:w="108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D36955" w:rsidRPr="004A206B" w:rsidP="007B3F44" w14:paraId="27F9D7A9" w14:textId="77777777">
            <w:pPr>
              <w:rPr>
                <w:bCs/>
                <w:sz w:val="18"/>
                <w:szCs w:val="18"/>
              </w:rPr>
            </w:pPr>
            <w:r w:rsidRPr="004A206B">
              <w:rPr>
                <w:bCs/>
                <w:sz w:val="18"/>
                <w:szCs w:val="18"/>
              </w:rPr>
              <w:t>Hourly Cost Per Response</w:t>
            </w:r>
          </w:p>
        </w:tc>
        <w:tc>
          <w:tcPr>
            <w:tcW w:w="99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D36955" w:rsidRPr="004A206B" w:rsidP="007B3F44" w14:paraId="36D32D2F" w14:textId="77777777">
            <w:pPr>
              <w:rPr>
                <w:bCs/>
                <w:sz w:val="18"/>
                <w:szCs w:val="18"/>
              </w:rPr>
            </w:pPr>
            <w:r w:rsidRPr="004A206B">
              <w:rPr>
                <w:bCs/>
                <w:sz w:val="18"/>
                <w:szCs w:val="18"/>
              </w:rPr>
              <w:t>Annual Cost </w:t>
            </w:r>
          </w:p>
        </w:tc>
      </w:tr>
      <w:tr w14:paraId="622BFC41" w14:textId="77777777" w:rsidTr="004A206B">
        <w:tblPrEx>
          <w:tblW w:w="9270" w:type="dxa"/>
          <w:tblInd w:w="355" w:type="dxa"/>
          <w:tblLayout w:type="fixed"/>
          <w:tblCellMar>
            <w:left w:w="0" w:type="dxa"/>
            <w:right w:w="0" w:type="dxa"/>
          </w:tblCellMar>
          <w:tblLook w:val="04A0"/>
        </w:tblPrEx>
        <w:trPr>
          <w:trHeight w:val="462"/>
        </w:trPr>
        <w:tc>
          <w:tcPr>
            <w:tcW w:w="189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D36955" w:rsidRPr="004A206B" w:rsidP="007B3F44" w14:paraId="6D853D74" w14:textId="77777777">
            <w:pPr>
              <w:rPr>
                <w:sz w:val="18"/>
                <w:szCs w:val="18"/>
              </w:rPr>
            </w:pPr>
            <w:r w:rsidRPr="004A206B">
              <w:rPr>
                <w:sz w:val="18"/>
                <w:szCs w:val="18"/>
              </w:rPr>
              <w:t>Annual Performance Report (CoC Program)</w:t>
            </w: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tcPr>
          <w:p w:rsidR="00D36955" w:rsidRPr="004A206B" w:rsidP="007B3F44" w14:paraId="2B936B93" w14:textId="77777777">
            <w:pPr>
              <w:rPr>
                <w:sz w:val="18"/>
                <w:szCs w:val="18"/>
              </w:rPr>
            </w:pPr>
            <w:r w:rsidRPr="004A206B">
              <w:rPr>
                <w:color w:val="000000"/>
                <w:sz w:val="18"/>
                <w:szCs w:val="18"/>
              </w:rPr>
              <w:t>7,100.00</w:t>
            </w: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tcPr>
          <w:p w:rsidR="00D36955" w:rsidRPr="004A206B" w:rsidP="007B3F44" w14:paraId="5192B78D" w14:textId="40746A00">
            <w:pPr>
              <w:rPr>
                <w:sz w:val="18"/>
                <w:szCs w:val="18"/>
              </w:rPr>
            </w:pPr>
            <w:r w:rsidRPr="004A206B">
              <w:rPr>
                <w:color w:val="000000"/>
                <w:sz w:val="18"/>
                <w:szCs w:val="18"/>
              </w:rPr>
              <w:t xml:space="preserve"> 1 </w:t>
            </w: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tcPr>
          <w:p w:rsidR="00D36955" w:rsidRPr="004A206B" w:rsidP="007B3F44" w14:paraId="04986B33" w14:textId="44DC1D3D">
            <w:pPr>
              <w:rPr>
                <w:sz w:val="18"/>
                <w:szCs w:val="18"/>
              </w:rPr>
            </w:pPr>
            <w:r w:rsidRPr="004A206B">
              <w:rPr>
                <w:color w:val="000000"/>
                <w:sz w:val="18"/>
                <w:szCs w:val="18"/>
              </w:rPr>
              <w:t>7,100.00</w:t>
            </w:r>
          </w:p>
        </w:tc>
        <w:tc>
          <w:tcPr>
            <w:tcW w:w="1064" w:type="dxa"/>
            <w:tcBorders>
              <w:top w:val="nil"/>
              <w:left w:val="nil"/>
              <w:bottom w:val="single" w:sz="4" w:space="0" w:color="auto"/>
              <w:right w:val="single" w:sz="4" w:space="0" w:color="auto"/>
            </w:tcBorders>
            <w:tcMar>
              <w:top w:w="15" w:type="dxa"/>
              <w:left w:w="15" w:type="dxa"/>
              <w:bottom w:w="0" w:type="dxa"/>
              <w:right w:w="15" w:type="dxa"/>
            </w:tcMar>
            <w:vAlign w:val="center"/>
          </w:tcPr>
          <w:p w:rsidR="00D36955" w:rsidRPr="004A206B" w:rsidP="007B3F44" w14:paraId="6655483C" w14:textId="77777777">
            <w:pPr>
              <w:rPr>
                <w:sz w:val="18"/>
                <w:szCs w:val="18"/>
              </w:rPr>
            </w:pPr>
            <w:r w:rsidRPr="004A206B">
              <w:rPr>
                <w:color w:val="000000"/>
                <w:sz w:val="18"/>
                <w:szCs w:val="18"/>
              </w:rPr>
              <w:t>1</w:t>
            </w:r>
          </w:p>
        </w:tc>
        <w:tc>
          <w:tcPr>
            <w:tcW w:w="1006" w:type="dxa"/>
            <w:tcBorders>
              <w:top w:val="nil"/>
              <w:left w:val="nil"/>
              <w:bottom w:val="single" w:sz="4" w:space="0" w:color="auto"/>
              <w:right w:val="single" w:sz="4" w:space="0" w:color="auto"/>
            </w:tcBorders>
            <w:tcMar>
              <w:top w:w="15" w:type="dxa"/>
              <w:left w:w="15" w:type="dxa"/>
              <w:bottom w:w="0" w:type="dxa"/>
              <w:right w:w="15" w:type="dxa"/>
            </w:tcMar>
            <w:vAlign w:val="center"/>
          </w:tcPr>
          <w:p w:rsidR="00D36955" w:rsidRPr="004A206B" w:rsidP="007B3F44" w14:paraId="70C1154A" w14:textId="77777777">
            <w:pPr>
              <w:rPr>
                <w:sz w:val="18"/>
                <w:szCs w:val="18"/>
              </w:rPr>
            </w:pPr>
            <w:r w:rsidRPr="004A206B">
              <w:rPr>
                <w:color w:val="000000"/>
                <w:sz w:val="18"/>
                <w:szCs w:val="18"/>
              </w:rPr>
              <w:t>7,100.00</w:t>
            </w: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tcPr>
          <w:p w:rsidR="00D36955" w:rsidRPr="004A206B" w:rsidP="007B3F44" w14:paraId="3A5A9C83" w14:textId="32A43A00">
            <w:pPr>
              <w:rPr>
                <w:sz w:val="18"/>
                <w:szCs w:val="18"/>
              </w:rPr>
            </w:pPr>
            <w:r w:rsidRPr="004A206B">
              <w:rPr>
                <w:sz w:val="18"/>
                <w:szCs w:val="18"/>
              </w:rPr>
              <w:t xml:space="preserve">$30.26 </w:t>
            </w:r>
          </w:p>
        </w:tc>
        <w:tc>
          <w:tcPr>
            <w:tcW w:w="990" w:type="dxa"/>
            <w:tcBorders>
              <w:top w:val="nil"/>
              <w:left w:val="nil"/>
              <w:bottom w:val="single" w:sz="4" w:space="0" w:color="auto"/>
              <w:right w:val="single" w:sz="4" w:space="0" w:color="auto"/>
            </w:tcBorders>
            <w:tcMar>
              <w:top w:w="15" w:type="dxa"/>
              <w:left w:w="15" w:type="dxa"/>
              <w:bottom w:w="0" w:type="dxa"/>
              <w:right w:w="15" w:type="dxa"/>
            </w:tcMar>
            <w:vAlign w:val="center"/>
          </w:tcPr>
          <w:p w:rsidR="00D36955" w:rsidRPr="004A206B" w:rsidP="007B3F44" w14:paraId="41332555" w14:textId="281C56D7">
            <w:pPr>
              <w:rPr>
                <w:sz w:val="18"/>
                <w:szCs w:val="18"/>
              </w:rPr>
            </w:pPr>
            <w:r w:rsidRPr="004A206B">
              <w:rPr>
                <w:color w:val="000000"/>
                <w:sz w:val="18"/>
                <w:szCs w:val="18"/>
              </w:rPr>
              <w:t xml:space="preserve">$214,846.00 </w:t>
            </w:r>
          </w:p>
        </w:tc>
      </w:tr>
      <w:tr w14:paraId="6ABE24EE" w14:textId="77777777" w:rsidTr="004A206B">
        <w:tblPrEx>
          <w:tblW w:w="9270" w:type="dxa"/>
          <w:tblInd w:w="355" w:type="dxa"/>
          <w:tblLayout w:type="fixed"/>
          <w:tblCellMar>
            <w:left w:w="0" w:type="dxa"/>
            <w:right w:w="0" w:type="dxa"/>
          </w:tblCellMar>
          <w:tblLook w:val="04A0"/>
        </w:tblPrEx>
        <w:trPr>
          <w:trHeight w:val="507"/>
        </w:trPr>
        <w:tc>
          <w:tcPr>
            <w:tcW w:w="189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D36955" w:rsidRPr="004A206B" w:rsidP="007B3F44" w14:paraId="4C79234D" w14:textId="77777777">
            <w:pPr>
              <w:rPr>
                <w:sz w:val="18"/>
                <w:szCs w:val="18"/>
              </w:rPr>
            </w:pPr>
            <w:r w:rsidRPr="004A206B">
              <w:rPr>
                <w:sz w:val="18"/>
                <w:szCs w:val="18"/>
              </w:rPr>
              <w:t>Annual Performance Report (YHDP)</w:t>
            </w: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tcPr>
          <w:p w:rsidR="00D36955" w:rsidRPr="004A206B" w:rsidP="007B3F44" w14:paraId="5E4C2B12" w14:textId="77777777">
            <w:pPr>
              <w:rPr>
                <w:sz w:val="18"/>
                <w:szCs w:val="18"/>
              </w:rPr>
            </w:pPr>
            <w:r w:rsidRPr="004A206B">
              <w:rPr>
                <w:sz w:val="18"/>
                <w:szCs w:val="18"/>
              </w:rPr>
              <w:t>400.00</w:t>
            </w: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tcPr>
          <w:p w:rsidR="00D36955" w:rsidRPr="004A206B" w:rsidP="007B3F44" w14:paraId="2B1D332C" w14:textId="7807C8F2">
            <w:pPr>
              <w:rPr>
                <w:sz w:val="18"/>
                <w:szCs w:val="18"/>
              </w:rPr>
            </w:pPr>
            <w:r w:rsidRPr="004A206B">
              <w:rPr>
                <w:color w:val="000000"/>
                <w:sz w:val="18"/>
                <w:szCs w:val="18"/>
              </w:rPr>
              <w:t xml:space="preserve"> </w:t>
            </w:r>
            <w:r w:rsidRPr="004A206B" w:rsidR="002C3CC5">
              <w:rPr>
                <w:color w:val="000000"/>
                <w:sz w:val="18"/>
                <w:szCs w:val="18"/>
              </w:rPr>
              <w:t>1</w:t>
            </w: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tcPr>
          <w:p w:rsidR="00D36955" w:rsidRPr="004A206B" w:rsidP="007B3F44" w14:paraId="1A40EC76" w14:textId="7CB23C78">
            <w:pPr>
              <w:rPr>
                <w:sz w:val="18"/>
                <w:szCs w:val="18"/>
              </w:rPr>
            </w:pPr>
            <w:r w:rsidRPr="004A206B">
              <w:rPr>
                <w:color w:val="000000"/>
                <w:sz w:val="18"/>
                <w:szCs w:val="18"/>
              </w:rPr>
              <w:t>400.00</w:t>
            </w:r>
          </w:p>
        </w:tc>
        <w:tc>
          <w:tcPr>
            <w:tcW w:w="1064" w:type="dxa"/>
            <w:tcBorders>
              <w:top w:val="nil"/>
              <w:left w:val="nil"/>
              <w:bottom w:val="single" w:sz="4" w:space="0" w:color="auto"/>
              <w:right w:val="single" w:sz="4" w:space="0" w:color="auto"/>
            </w:tcBorders>
            <w:tcMar>
              <w:top w:w="15" w:type="dxa"/>
              <w:left w:w="15" w:type="dxa"/>
              <w:bottom w:w="0" w:type="dxa"/>
              <w:right w:w="15" w:type="dxa"/>
            </w:tcMar>
            <w:vAlign w:val="center"/>
          </w:tcPr>
          <w:p w:rsidR="00D36955" w:rsidRPr="004A206B" w:rsidP="007B3F44" w14:paraId="47BC3DAA" w14:textId="77777777">
            <w:pPr>
              <w:rPr>
                <w:sz w:val="18"/>
                <w:szCs w:val="18"/>
              </w:rPr>
            </w:pPr>
            <w:r w:rsidRPr="004A206B">
              <w:rPr>
                <w:color w:val="000000"/>
                <w:sz w:val="18"/>
                <w:szCs w:val="18"/>
              </w:rPr>
              <w:t>1</w:t>
            </w:r>
          </w:p>
        </w:tc>
        <w:tc>
          <w:tcPr>
            <w:tcW w:w="1006" w:type="dxa"/>
            <w:tcBorders>
              <w:top w:val="nil"/>
              <w:left w:val="nil"/>
              <w:bottom w:val="single" w:sz="4" w:space="0" w:color="auto"/>
              <w:right w:val="single" w:sz="4" w:space="0" w:color="auto"/>
            </w:tcBorders>
            <w:tcMar>
              <w:top w:w="15" w:type="dxa"/>
              <w:left w:w="15" w:type="dxa"/>
              <w:bottom w:w="0" w:type="dxa"/>
              <w:right w:w="15" w:type="dxa"/>
            </w:tcMar>
            <w:vAlign w:val="center"/>
          </w:tcPr>
          <w:p w:rsidR="004059F8" w:rsidRPr="004A206B" w:rsidP="007B3F44" w14:paraId="1B967196" w14:textId="23DDF19F">
            <w:pPr>
              <w:rPr>
                <w:color w:val="000000"/>
                <w:sz w:val="18"/>
                <w:szCs w:val="18"/>
              </w:rPr>
            </w:pPr>
            <w:r w:rsidRPr="004A206B">
              <w:rPr>
                <w:color w:val="000000"/>
                <w:sz w:val="18"/>
                <w:szCs w:val="18"/>
              </w:rPr>
              <w:t>400.00</w:t>
            </w: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tcPr>
          <w:p w:rsidR="00D36955" w:rsidRPr="004A206B" w:rsidP="007B3F44" w14:paraId="75903E43" w14:textId="52A65DBF">
            <w:pPr>
              <w:rPr>
                <w:sz w:val="18"/>
                <w:szCs w:val="18"/>
              </w:rPr>
            </w:pPr>
            <w:r w:rsidRPr="004A206B">
              <w:rPr>
                <w:sz w:val="18"/>
                <w:szCs w:val="18"/>
              </w:rPr>
              <w:t xml:space="preserve">$43.14 </w:t>
            </w:r>
          </w:p>
        </w:tc>
        <w:tc>
          <w:tcPr>
            <w:tcW w:w="990" w:type="dxa"/>
            <w:tcBorders>
              <w:top w:val="nil"/>
              <w:left w:val="nil"/>
              <w:bottom w:val="single" w:sz="4" w:space="0" w:color="auto"/>
              <w:right w:val="single" w:sz="4" w:space="0" w:color="auto"/>
            </w:tcBorders>
            <w:tcMar>
              <w:top w:w="15" w:type="dxa"/>
              <w:left w:w="15" w:type="dxa"/>
              <w:bottom w:w="0" w:type="dxa"/>
              <w:right w:w="15" w:type="dxa"/>
            </w:tcMar>
            <w:vAlign w:val="center"/>
          </w:tcPr>
          <w:p w:rsidR="00D36955" w:rsidRPr="004A206B" w:rsidP="007B3F44" w14:paraId="39B18813" w14:textId="7400C9CE">
            <w:pPr>
              <w:rPr>
                <w:sz w:val="18"/>
                <w:szCs w:val="18"/>
              </w:rPr>
            </w:pPr>
            <w:r w:rsidRPr="004A206B">
              <w:rPr>
                <w:color w:val="000000"/>
                <w:sz w:val="18"/>
                <w:szCs w:val="18"/>
              </w:rPr>
              <w:t>$17,256.00</w:t>
            </w:r>
            <w:r w:rsidRPr="004A206B">
              <w:rPr>
                <w:color w:val="000000"/>
                <w:sz w:val="18"/>
                <w:szCs w:val="18"/>
              </w:rPr>
              <w:t xml:space="preserve"> </w:t>
            </w:r>
          </w:p>
        </w:tc>
      </w:tr>
      <w:tr w14:paraId="0F32B13D" w14:textId="77777777" w:rsidTr="004A206B">
        <w:tblPrEx>
          <w:tblW w:w="9270" w:type="dxa"/>
          <w:tblInd w:w="355" w:type="dxa"/>
          <w:tblLayout w:type="fixed"/>
          <w:tblCellMar>
            <w:left w:w="0" w:type="dxa"/>
            <w:right w:w="0" w:type="dxa"/>
          </w:tblCellMar>
          <w:tblLook w:val="04A0"/>
        </w:tblPrEx>
        <w:trPr>
          <w:trHeight w:val="552"/>
        </w:trPr>
        <w:tc>
          <w:tcPr>
            <w:tcW w:w="189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2C3CC5" w:rsidRPr="004A206B" w:rsidP="007B3F44" w14:paraId="4477A362" w14:textId="4E68F21A">
            <w:pPr>
              <w:rPr>
                <w:sz w:val="18"/>
                <w:szCs w:val="18"/>
              </w:rPr>
            </w:pPr>
            <w:r w:rsidRPr="004A206B">
              <w:rPr>
                <w:sz w:val="18"/>
                <w:szCs w:val="18"/>
              </w:rPr>
              <w:t>Quarterly Performance Report (YHDP)</w:t>
            </w: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tcPr>
          <w:p w:rsidR="002C3CC5" w:rsidRPr="004A206B" w:rsidP="007B3F44" w14:paraId="3CC3B221" w14:textId="6FD87264">
            <w:pPr>
              <w:rPr>
                <w:sz w:val="18"/>
                <w:szCs w:val="18"/>
              </w:rPr>
            </w:pPr>
            <w:r w:rsidRPr="004A206B">
              <w:rPr>
                <w:sz w:val="18"/>
                <w:szCs w:val="18"/>
              </w:rPr>
              <w:t>400.00</w:t>
            </w: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tcPr>
          <w:p w:rsidR="002C3CC5" w:rsidRPr="004A206B" w:rsidP="007B3F44" w14:paraId="3A95796D" w14:textId="5DA95BBD">
            <w:pPr>
              <w:rPr>
                <w:color w:val="000000"/>
                <w:sz w:val="18"/>
                <w:szCs w:val="18"/>
              </w:rPr>
            </w:pPr>
            <w:r w:rsidRPr="004A206B">
              <w:rPr>
                <w:color w:val="000000"/>
                <w:sz w:val="18"/>
                <w:szCs w:val="18"/>
              </w:rPr>
              <w:t>4</w:t>
            </w: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tcPr>
          <w:p w:rsidR="002C3CC5" w:rsidRPr="004A206B" w:rsidP="007B3F44" w14:paraId="1360117C" w14:textId="2B5A9583">
            <w:pPr>
              <w:rPr>
                <w:color w:val="000000"/>
                <w:sz w:val="18"/>
                <w:szCs w:val="18"/>
              </w:rPr>
            </w:pPr>
            <w:r w:rsidRPr="004A206B">
              <w:rPr>
                <w:color w:val="000000"/>
                <w:sz w:val="18"/>
                <w:szCs w:val="18"/>
              </w:rPr>
              <w:t>1,600</w:t>
            </w:r>
            <w:r w:rsidRPr="004A206B" w:rsidR="0087441D">
              <w:rPr>
                <w:color w:val="000000"/>
                <w:sz w:val="18"/>
                <w:szCs w:val="18"/>
              </w:rPr>
              <w:t>.00</w:t>
            </w:r>
          </w:p>
        </w:tc>
        <w:tc>
          <w:tcPr>
            <w:tcW w:w="1064" w:type="dxa"/>
            <w:tcBorders>
              <w:top w:val="nil"/>
              <w:left w:val="nil"/>
              <w:bottom w:val="single" w:sz="4" w:space="0" w:color="auto"/>
              <w:right w:val="single" w:sz="4" w:space="0" w:color="auto"/>
            </w:tcBorders>
            <w:tcMar>
              <w:top w:w="15" w:type="dxa"/>
              <w:left w:w="15" w:type="dxa"/>
              <w:bottom w:w="0" w:type="dxa"/>
              <w:right w:w="15" w:type="dxa"/>
            </w:tcMar>
            <w:vAlign w:val="center"/>
          </w:tcPr>
          <w:p w:rsidR="002C3CC5" w:rsidRPr="004A206B" w:rsidP="007B3F44" w14:paraId="678B6F14" w14:textId="5CC6D069">
            <w:pPr>
              <w:rPr>
                <w:color w:val="000000"/>
                <w:sz w:val="18"/>
                <w:szCs w:val="18"/>
              </w:rPr>
            </w:pPr>
            <w:r w:rsidRPr="004A206B">
              <w:rPr>
                <w:color w:val="000000"/>
                <w:sz w:val="18"/>
                <w:szCs w:val="18"/>
              </w:rPr>
              <w:t>1</w:t>
            </w:r>
          </w:p>
        </w:tc>
        <w:tc>
          <w:tcPr>
            <w:tcW w:w="1006" w:type="dxa"/>
            <w:tcBorders>
              <w:top w:val="nil"/>
              <w:left w:val="nil"/>
              <w:bottom w:val="single" w:sz="4" w:space="0" w:color="auto"/>
              <w:right w:val="single" w:sz="4" w:space="0" w:color="auto"/>
            </w:tcBorders>
            <w:tcMar>
              <w:top w:w="15" w:type="dxa"/>
              <w:left w:w="15" w:type="dxa"/>
              <w:bottom w:w="0" w:type="dxa"/>
              <w:right w:w="15" w:type="dxa"/>
            </w:tcMar>
            <w:vAlign w:val="center"/>
          </w:tcPr>
          <w:p w:rsidR="002C3CC5" w:rsidRPr="004A206B" w:rsidP="007B3F44" w14:paraId="6B313279" w14:textId="31692065">
            <w:pPr>
              <w:rPr>
                <w:color w:val="000000"/>
                <w:sz w:val="18"/>
                <w:szCs w:val="18"/>
              </w:rPr>
            </w:pPr>
            <w:r w:rsidRPr="004A206B">
              <w:rPr>
                <w:color w:val="000000"/>
                <w:sz w:val="18"/>
                <w:szCs w:val="18"/>
              </w:rPr>
              <w:t>1,600.00</w:t>
            </w: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tcPr>
          <w:p w:rsidR="002C3CC5" w:rsidRPr="004A206B" w:rsidP="007B3F44" w14:paraId="596A2E7D" w14:textId="39E7075B">
            <w:pPr>
              <w:rPr>
                <w:sz w:val="18"/>
                <w:szCs w:val="18"/>
              </w:rPr>
            </w:pPr>
            <w:r w:rsidRPr="004A206B">
              <w:rPr>
                <w:sz w:val="18"/>
                <w:szCs w:val="18"/>
              </w:rPr>
              <w:t>$43.14</w:t>
            </w:r>
          </w:p>
        </w:tc>
        <w:tc>
          <w:tcPr>
            <w:tcW w:w="990" w:type="dxa"/>
            <w:tcBorders>
              <w:top w:val="nil"/>
              <w:left w:val="nil"/>
              <w:bottom w:val="single" w:sz="4" w:space="0" w:color="auto"/>
              <w:right w:val="single" w:sz="4" w:space="0" w:color="auto"/>
            </w:tcBorders>
            <w:tcMar>
              <w:top w:w="15" w:type="dxa"/>
              <w:left w:w="15" w:type="dxa"/>
              <w:bottom w:w="0" w:type="dxa"/>
              <w:right w:w="15" w:type="dxa"/>
            </w:tcMar>
            <w:vAlign w:val="center"/>
          </w:tcPr>
          <w:p w:rsidR="002C3CC5" w:rsidRPr="004A206B" w:rsidP="007B3F44" w14:paraId="598645DA" w14:textId="28531C68">
            <w:pPr>
              <w:rPr>
                <w:color w:val="000000"/>
                <w:sz w:val="18"/>
                <w:szCs w:val="18"/>
              </w:rPr>
            </w:pPr>
            <w:r w:rsidRPr="004A206B">
              <w:rPr>
                <w:color w:val="000000"/>
                <w:sz w:val="18"/>
                <w:szCs w:val="18"/>
              </w:rPr>
              <w:t>$69,024.00</w:t>
            </w:r>
          </w:p>
        </w:tc>
      </w:tr>
      <w:tr w14:paraId="3C40D42E" w14:textId="77777777" w:rsidTr="004A206B">
        <w:tblPrEx>
          <w:tblW w:w="9270" w:type="dxa"/>
          <w:tblInd w:w="355" w:type="dxa"/>
          <w:tblLayout w:type="fixed"/>
          <w:tblCellMar>
            <w:left w:w="0" w:type="dxa"/>
            <w:right w:w="0" w:type="dxa"/>
          </w:tblCellMar>
          <w:tblLook w:val="04A0"/>
        </w:tblPrEx>
        <w:trPr>
          <w:trHeight w:val="597"/>
        </w:trPr>
        <w:tc>
          <w:tcPr>
            <w:tcW w:w="189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D36955" w:rsidRPr="004A206B" w:rsidP="007B3F44" w14:paraId="1B9BAB1C" w14:textId="77777777">
            <w:pPr>
              <w:rPr>
                <w:sz w:val="18"/>
                <w:szCs w:val="18"/>
              </w:rPr>
            </w:pPr>
            <w:r w:rsidRPr="004A206B">
              <w:rPr>
                <w:sz w:val="18"/>
                <w:szCs w:val="18"/>
              </w:rPr>
              <w:t>Annual Performance Report (Special CoC NOFA Grants)</w:t>
            </w: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tcPr>
          <w:p w:rsidR="00D36955" w:rsidRPr="004A206B" w:rsidP="007B3F44" w14:paraId="3E00132F" w14:textId="77777777">
            <w:pPr>
              <w:rPr>
                <w:sz w:val="18"/>
                <w:szCs w:val="18"/>
              </w:rPr>
            </w:pPr>
            <w:r w:rsidRPr="004A206B">
              <w:rPr>
                <w:sz w:val="18"/>
                <w:szCs w:val="18"/>
              </w:rPr>
              <w:t>56.00</w:t>
            </w: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tcPr>
          <w:p w:rsidR="00D36955" w:rsidRPr="004A206B" w:rsidP="007B3F44" w14:paraId="23ECCCE4" w14:textId="2B99C54F">
            <w:pPr>
              <w:rPr>
                <w:sz w:val="18"/>
                <w:szCs w:val="18"/>
              </w:rPr>
            </w:pPr>
            <w:r w:rsidRPr="004A206B">
              <w:rPr>
                <w:sz w:val="18"/>
                <w:szCs w:val="18"/>
              </w:rPr>
              <w:t>1</w:t>
            </w: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tcPr>
          <w:p w:rsidR="00D36955" w:rsidRPr="004A206B" w:rsidP="007B3F44" w14:paraId="4E7CFFFF" w14:textId="08F98A64">
            <w:pPr>
              <w:rPr>
                <w:sz w:val="18"/>
                <w:szCs w:val="18"/>
              </w:rPr>
            </w:pPr>
            <w:r w:rsidRPr="004A206B">
              <w:rPr>
                <w:sz w:val="18"/>
                <w:szCs w:val="18"/>
              </w:rPr>
              <w:t>56.00</w:t>
            </w:r>
          </w:p>
        </w:tc>
        <w:tc>
          <w:tcPr>
            <w:tcW w:w="1064" w:type="dxa"/>
            <w:tcBorders>
              <w:top w:val="nil"/>
              <w:left w:val="nil"/>
              <w:bottom w:val="single" w:sz="4" w:space="0" w:color="auto"/>
              <w:right w:val="single" w:sz="4" w:space="0" w:color="auto"/>
            </w:tcBorders>
            <w:tcMar>
              <w:top w:w="15" w:type="dxa"/>
              <w:left w:w="15" w:type="dxa"/>
              <w:bottom w:w="0" w:type="dxa"/>
              <w:right w:w="15" w:type="dxa"/>
            </w:tcMar>
            <w:vAlign w:val="center"/>
          </w:tcPr>
          <w:p w:rsidR="00D36955" w:rsidRPr="004A206B" w:rsidP="007B3F44" w14:paraId="2C75CA2E" w14:textId="77777777">
            <w:pPr>
              <w:rPr>
                <w:sz w:val="18"/>
                <w:szCs w:val="18"/>
              </w:rPr>
            </w:pPr>
            <w:r w:rsidRPr="004A206B">
              <w:rPr>
                <w:color w:val="000000"/>
                <w:sz w:val="18"/>
                <w:szCs w:val="18"/>
              </w:rPr>
              <w:t>1</w:t>
            </w:r>
          </w:p>
        </w:tc>
        <w:tc>
          <w:tcPr>
            <w:tcW w:w="1006" w:type="dxa"/>
            <w:tcBorders>
              <w:top w:val="nil"/>
              <w:left w:val="nil"/>
              <w:bottom w:val="single" w:sz="4" w:space="0" w:color="auto"/>
              <w:right w:val="single" w:sz="4" w:space="0" w:color="auto"/>
            </w:tcBorders>
            <w:tcMar>
              <w:top w:w="15" w:type="dxa"/>
              <w:left w:w="15" w:type="dxa"/>
              <w:bottom w:w="0" w:type="dxa"/>
              <w:right w:w="15" w:type="dxa"/>
            </w:tcMar>
            <w:vAlign w:val="center"/>
          </w:tcPr>
          <w:p w:rsidR="00D36955" w:rsidRPr="004A206B" w:rsidP="007B3F44" w14:paraId="3DDA19CF" w14:textId="77777777">
            <w:pPr>
              <w:rPr>
                <w:sz w:val="18"/>
                <w:szCs w:val="18"/>
              </w:rPr>
            </w:pPr>
            <w:r w:rsidRPr="004A206B">
              <w:rPr>
                <w:color w:val="000000"/>
                <w:sz w:val="18"/>
                <w:szCs w:val="18"/>
              </w:rPr>
              <w:t>56.00</w:t>
            </w: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tcPr>
          <w:p w:rsidR="00D36955" w:rsidRPr="004A206B" w:rsidP="007B3F44" w14:paraId="731CDE88" w14:textId="739F4D65">
            <w:pPr>
              <w:rPr>
                <w:sz w:val="18"/>
                <w:szCs w:val="18"/>
              </w:rPr>
            </w:pPr>
            <w:r w:rsidRPr="004A206B">
              <w:rPr>
                <w:sz w:val="18"/>
                <w:szCs w:val="18"/>
              </w:rPr>
              <w:t xml:space="preserve">$30.26 </w:t>
            </w:r>
          </w:p>
        </w:tc>
        <w:tc>
          <w:tcPr>
            <w:tcW w:w="990" w:type="dxa"/>
            <w:tcBorders>
              <w:top w:val="nil"/>
              <w:left w:val="nil"/>
              <w:bottom w:val="single" w:sz="4" w:space="0" w:color="auto"/>
              <w:right w:val="single" w:sz="4" w:space="0" w:color="auto"/>
            </w:tcBorders>
            <w:tcMar>
              <w:top w:w="15" w:type="dxa"/>
              <w:left w:w="15" w:type="dxa"/>
              <w:bottom w:w="0" w:type="dxa"/>
              <w:right w:w="15" w:type="dxa"/>
            </w:tcMar>
            <w:vAlign w:val="center"/>
          </w:tcPr>
          <w:p w:rsidR="00D36955" w:rsidRPr="004A206B" w:rsidP="007B3F44" w14:paraId="3591FA6C" w14:textId="54EAE29F">
            <w:pPr>
              <w:rPr>
                <w:sz w:val="18"/>
                <w:szCs w:val="18"/>
              </w:rPr>
            </w:pPr>
            <w:r w:rsidRPr="004A206B">
              <w:rPr>
                <w:color w:val="000000"/>
                <w:sz w:val="18"/>
                <w:szCs w:val="18"/>
              </w:rPr>
              <w:t xml:space="preserve">$1,694.56 </w:t>
            </w:r>
          </w:p>
        </w:tc>
      </w:tr>
      <w:tr w14:paraId="0F20A43D" w14:textId="77777777" w:rsidTr="004A206B">
        <w:tblPrEx>
          <w:tblW w:w="9270" w:type="dxa"/>
          <w:tblInd w:w="355" w:type="dxa"/>
          <w:tblLayout w:type="fixed"/>
          <w:tblCellMar>
            <w:left w:w="0" w:type="dxa"/>
            <w:right w:w="0" w:type="dxa"/>
          </w:tblCellMar>
          <w:tblLook w:val="04A0"/>
        </w:tblPrEx>
        <w:trPr>
          <w:trHeight w:val="633"/>
        </w:trPr>
        <w:tc>
          <w:tcPr>
            <w:tcW w:w="189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D36955" w:rsidRPr="004A206B" w:rsidP="007B3F44" w14:paraId="1E18C579" w14:textId="77777777">
            <w:pPr>
              <w:rPr>
                <w:sz w:val="18"/>
                <w:szCs w:val="18"/>
              </w:rPr>
            </w:pPr>
            <w:r w:rsidRPr="004A206B">
              <w:rPr>
                <w:sz w:val="18"/>
                <w:szCs w:val="18"/>
              </w:rPr>
              <w:t>Quarterly Performance Report (Special CoC NOFA Grants)</w:t>
            </w: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tcPr>
          <w:p w:rsidR="00D36955" w:rsidRPr="004A206B" w:rsidP="007B3F44" w14:paraId="375C87DA" w14:textId="77777777">
            <w:pPr>
              <w:rPr>
                <w:sz w:val="18"/>
                <w:szCs w:val="18"/>
              </w:rPr>
            </w:pPr>
            <w:r w:rsidRPr="004A206B">
              <w:rPr>
                <w:sz w:val="18"/>
                <w:szCs w:val="18"/>
              </w:rPr>
              <w:t>222.00</w:t>
            </w: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tcPr>
          <w:p w:rsidR="00D36955" w:rsidRPr="004A206B" w:rsidP="007B3F44" w14:paraId="73D48850" w14:textId="56080163">
            <w:pPr>
              <w:rPr>
                <w:sz w:val="18"/>
                <w:szCs w:val="18"/>
              </w:rPr>
            </w:pPr>
            <w:r w:rsidRPr="004A206B">
              <w:rPr>
                <w:color w:val="000000"/>
                <w:sz w:val="18"/>
                <w:szCs w:val="18"/>
              </w:rPr>
              <w:t xml:space="preserve"> 3 </w:t>
            </w: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tcPr>
          <w:p w:rsidR="00D36955" w:rsidRPr="004A206B" w:rsidP="007B3F44" w14:paraId="3B7E6843" w14:textId="168CB0A0">
            <w:pPr>
              <w:rPr>
                <w:sz w:val="18"/>
                <w:szCs w:val="18"/>
              </w:rPr>
            </w:pPr>
            <w:r w:rsidRPr="004A206B">
              <w:rPr>
                <w:color w:val="000000"/>
                <w:sz w:val="18"/>
                <w:szCs w:val="18"/>
              </w:rPr>
              <w:t>666.00</w:t>
            </w:r>
          </w:p>
        </w:tc>
        <w:tc>
          <w:tcPr>
            <w:tcW w:w="1064" w:type="dxa"/>
            <w:tcBorders>
              <w:top w:val="nil"/>
              <w:left w:val="nil"/>
              <w:bottom w:val="single" w:sz="4" w:space="0" w:color="auto"/>
              <w:right w:val="single" w:sz="4" w:space="0" w:color="auto"/>
            </w:tcBorders>
            <w:tcMar>
              <w:top w:w="15" w:type="dxa"/>
              <w:left w:w="15" w:type="dxa"/>
              <w:bottom w:w="0" w:type="dxa"/>
              <w:right w:w="15" w:type="dxa"/>
            </w:tcMar>
            <w:vAlign w:val="center"/>
          </w:tcPr>
          <w:p w:rsidR="00D36955" w:rsidRPr="004A206B" w:rsidP="007B3F44" w14:paraId="7B72AE46" w14:textId="77777777">
            <w:pPr>
              <w:rPr>
                <w:sz w:val="18"/>
                <w:szCs w:val="18"/>
              </w:rPr>
            </w:pPr>
            <w:r w:rsidRPr="004A206B">
              <w:rPr>
                <w:color w:val="000000"/>
                <w:sz w:val="18"/>
                <w:szCs w:val="18"/>
              </w:rPr>
              <w:t>1</w:t>
            </w:r>
          </w:p>
        </w:tc>
        <w:tc>
          <w:tcPr>
            <w:tcW w:w="1006" w:type="dxa"/>
            <w:tcBorders>
              <w:top w:val="nil"/>
              <w:left w:val="nil"/>
              <w:bottom w:val="single" w:sz="4" w:space="0" w:color="auto"/>
              <w:right w:val="single" w:sz="4" w:space="0" w:color="auto"/>
            </w:tcBorders>
            <w:tcMar>
              <w:top w:w="15" w:type="dxa"/>
              <w:left w:w="15" w:type="dxa"/>
              <w:bottom w:w="0" w:type="dxa"/>
              <w:right w:w="15" w:type="dxa"/>
            </w:tcMar>
            <w:vAlign w:val="center"/>
          </w:tcPr>
          <w:p w:rsidR="00D36955" w:rsidRPr="004A206B" w:rsidP="007B3F44" w14:paraId="7994AEC2" w14:textId="7A10BDF8">
            <w:pPr>
              <w:rPr>
                <w:sz w:val="18"/>
                <w:szCs w:val="18"/>
              </w:rPr>
            </w:pPr>
            <w:r w:rsidRPr="004A206B">
              <w:rPr>
                <w:color w:val="000000"/>
                <w:sz w:val="18"/>
                <w:szCs w:val="18"/>
              </w:rPr>
              <w:t>666.00</w:t>
            </w: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tcPr>
          <w:p w:rsidR="00D36955" w:rsidRPr="004A206B" w:rsidP="007B3F44" w14:paraId="58014814" w14:textId="033FDFDA">
            <w:pPr>
              <w:rPr>
                <w:sz w:val="18"/>
                <w:szCs w:val="18"/>
              </w:rPr>
            </w:pPr>
            <w:r w:rsidRPr="004A206B">
              <w:rPr>
                <w:sz w:val="18"/>
                <w:szCs w:val="18"/>
              </w:rPr>
              <w:t xml:space="preserve">$30.26 </w:t>
            </w:r>
          </w:p>
        </w:tc>
        <w:tc>
          <w:tcPr>
            <w:tcW w:w="990" w:type="dxa"/>
            <w:tcBorders>
              <w:top w:val="nil"/>
              <w:left w:val="nil"/>
              <w:bottom w:val="single" w:sz="4" w:space="0" w:color="auto"/>
              <w:right w:val="single" w:sz="4" w:space="0" w:color="auto"/>
            </w:tcBorders>
            <w:tcMar>
              <w:top w:w="15" w:type="dxa"/>
              <w:left w:w="15" w:type="dxa"/>
              <w:bottom w:w="0" w:type="dxa"/>
              <w:right w:w="15" w:type="dxa"/>
            </w:tcMar>
            <w:vAlign w:val="center"/>
          </w:tcPr>
          <w:p w:rsidR="00D36955" w:rsidRPr="004A206B" w:rsidP="007B3F44" w14:paraId="44370DFE" w14:textId="67A86F1A">
            <w:pPr>
              <w:rPr>
                <w:sz w:val="18"/>
                <w:szCs w:val="18"/>
              </w:rPr>
            </w:pPr>
            <w:r w:rsidRPr="004A206B">
              <w:rPr>
                <w:color w:val="000000"/>
                <w:sz w:val="18"/>
                <w:szCs w:val="18"/>
              </w:rPr>
              <w:t xml:space="preserve">$20,153.16 </w:t>
            </w:r>
          </w:p>
        </w:tc>
      </w:tr>
      <w:tr w14:paraId="58C72CF7" w14:textId="77777777" w:rsidTr="004A206B">
        <w:tblPrEx>
          <w:tblW w:w="9270" w:type="dxa"/>
          <w:tblInd w:w="355" w:type="dxa"/>
          <w:tblLayout w:type="fixed"/>
          <w:tblCellMar>
            <w:left w:w="0" w:type="dxa"/>
            <w:right w:w="0" w:type="dxa"/>
          </w:tblCellMar>
          <w:tblLook w:val="04A0"/>
        </w:tblPrEx>
        <w:trPr>
          <w:trHeight w:val="318"/>
        </w:trPr>
        <w:tc>
          <w:tcPr>
            <w:tcW w:w="189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D36955" w:rsidRPr="004A206B" w:rsidP="007B3F44" w14:paraId="72497F44" w14:textId="77777777">
            <w:pPr>
              <w:rPr>
                <w:color w:val="000000"/>
                <w:sz w:val="18"/>
                <w:szCs w:val="18"/>
              </w:rPr>
            </w:pPr>
            <w:r w:rsidRPr="004A206B">
              <w:rPr>
                <w:color w:val="000000"/>
                <w:sz w:val="18"/>
                <w:szCs w:val="18"/>
              </w:rPr>
              <w:t>CoC Builds</w:t>
            </w: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tcPr>
          <w:p w:rsidR="00D36955" w:rsidRPr="004A206B" w:rsidP="007B3F44" w14:paraId="08A43C02" w14:textId="77777777">
            <w:pPr>
              <w:rPr>
                <w:sz w:val="18"/>
                <w:szCs w:val="18"/>
              </w:rPr>
            </w:pPr>
            <w:r w:rsidRPr="004A206B">
              <w:rPr>
                <w:sz w:val="18"/>
                <w:szCs w:val="18"/>
              </w:rPr>
              <w:t>25.00</w:t>
            </w: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tcPr>
          <w:p w:rsidR="00D36955" w:rsidRPr="004A206B" w:rsidP="007B3F44" w14:paraId="1F9EC636" w14:textId="0DE47D6E">
            <w:pPr>
              <w:rPr>
                <w:sz w:val="18"/>
                <w:szCs w:val="18"/>
              </w:rPr>
            </w:pPr>
            <w:r w:rsidRPr="004A206B">
              <w:rPr>
                <w:sz w:val="18"/>
                <w:szCs w:val="18"/>
              </w:rPr>
              <w:t>1</w:t>
            </w: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tcPr>
          <w:p w:rsidR="00D36955" w:rsidRPr="004A206B" w:rsidP="007B3F44" w14:paraId="2926C2E9" w14:textId="659648F4">
            <w:pPr>
              <w:rPr>
                <w:sz w:val="18"/>
                <w:szCs w:val="18"/>
              </w:rPr>
            </w:pPr>
            <w:r w:rsidRPr="004A206B">
              <w:rPr>
                <w:color w:val="000000"/>
                <w:sz w:val="18"/>
                <w:szCs w:val="18"/>
              </w:rPr>
              <w:t>25.00</w:t>
            </w:r>
          </w:p>
        </w:tc>
        <w:tc>
          <w:tcPr>
            <w:tcW w:w="1064" w:type="dxa"/>
            <w:tcBorders>
              <w:top w:val="nil"/>
              <w:left w:val="nil"/>
              <w:bottom w:val="single" w:sz="4" w:space="0" w:color="auto"/>
              <w:right w:val="single" w:sz="4" w:space="0" w:color="auto"/>
            </w:tcBorders>
            <w:tcMar>
              <w:top w:w="15" w:type="dxa"/>
              <w:left w:w="15" w:type="dxa"/>
              <w:bottom w:w="0" w:type="dxa"/>
              <w:right w:w="15" w:type="dxa"/>
            </w:tcMar>
            <w:vAlign w:val="center"/>
          </w:tcPr>
          <w:p w:rsidR="00D36955" w:rsidRPr="004A206B" w:rsidP="007B3F44" w14:paraId="4F102E73" w14:textId="77777777">
            <w:pPr>
              <w:rPr>
                <w:sz w:val="18"/>
                <w:szCs w:val="18"/>
              </w:rPr>
            </w:pPr>
            <w:r w:rsidRPr="004A206B">
              <w:rPr>
                <w:color w:val="000000"/>
                <w:sz w:val="18"/>
                <w:szCs w:val="18"/>
              </w:rPr>
              <w:t>1</w:t>
            </w:r>
          </w:p>
        </w:tc>
        <w:tc>
          <w:tcPr>
            <w:tcW w:w="1006" w:type="dxa"/>
            <w:tcBorders>
              <w:top w:val="nil"/>
              <w:left w:val="nil"/>
              <w:bottom w:val="single" w:sz="4" w:space="0" w:color="auto"/>
              <w:right w:val="single" w:sz="4" w:space="0" w:color="auto"/>
            </w:tcBorders>
            <w:tcMar>
              <w:top w:w="15" w:type="dxa"/>
              <w:left w:w="15" w:type="dxa"/>
              <w:bottom w:w="0" w:type="dxa"/>
              <w:right w:w="15" w:type="dxa"/>
            </w:tcMar>
            <w:vAlign w:val="center"/>
          </w:tcPr>
          <w:p w:rsidR="00D36955" w:rsidRPr="004A206B" w:rsidP="007B3F44" w14:paraId="3AD2C865" w14:textId="77777777">
            <w:pPr>
              <w:rPr>
                <w:sz w:val="18"/>
                <w:szCs w:val="18"/>
              </w:rPr>
            </w:pPr>
            <w:r w:rsidRPr="004A206B">
              <w:rPr>
                <w:color w:val="000000"/>
                <w:sz w:val="18"/>
                <w:szCs w:val="18"/>
              </w:rPr>
              <w:t>25.00</w:t>
            </w: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tcPr>
          <w:p w:rsidR="00D36955" w:rsidRPr="004A206B" w:rsidP="007B3F44" w14:paraId="435EA3A2" w14:textId="1F8CA81C">
            <w:pPr>
              <w:rPr>
                <w:sz w:val="18"/>
                <w:szCs w:val="18"/>
              </w:rPr>
            </w:pPr>
            <w:r w:rsidRPr="004A206B">
              <w:rPr>
                <w:sz w:val="18"/>
                <w:szCs w:val="18"/>
              </w:rPr>
              <w:t xml:space="preserve">$30.26 </w:t>
            </w:r>
          </w:p>
        </w:tc>
        <w:tc>
          <w:tcPr>
            <w:tcW w:w="990" w:type="dxa"/>
            <w:tcBorders>
              <w:top w:val="nil"/>
              <w:left w:val="nil"/>
              <w:bottom w:val="single" w:sz="4" w:space="0" w:color="auto"/>
              <w:right w:val="single" w:sz="4" w:space="0" w:color="auto"/>
            </w:tcBorders>
            <w:tcMar>
              <w:top w:w="15" w:type="dxa"/>
              <w:left w:w="15" w:type="dxa"/>
              <w:bottom w:w="0" w:type="dxa"/>
              <w:right w:w="15" w:type="dxa"/>
            </w:tcMar>
            <w:vAlign w:val="center"/>
          </w:tcPr>
          <w:p w:rsidR="00D36955" w:rsidRPr="004A206B" w:rsidP="007B3F44" w14:paraId="20B848A2" w14:textId="5E25E93F">
            <w:pPr>
              <w:rPr>
                <w:sz w:val="18"/>
                <w:szCs w:val="18"/>
              </w:rPr>
            </w:pPr>
            <w:r w:rsidRPr="004A206B">
              <w:rPr>
                <w:color w:val="000000"/>
                <w:sz w:val="18"/>
                <w:szCs w:val="18"/>
              </w:rPr>
              <w:t>$756.50</w:t>
            </w:r>
          </w:p>
        </w:tc>
      </w:tr>
      <w:tr w14:paraId="57BE6642" w14:textId="77777777" w:rsidTr="004A206B">
        <w:tblPrEx>
          <w:tblW w:w="9270" w:type="dxa"/>
          <w:tblInd w:w="355" w:type="dxa"/>
          <w:tblLayout w:type="fixed"/>
          <w:tblCellMar>
            <w:left w:w="0" w:type="dxa"/>
            <w:right w:w="0" w:type="dxa"/>
          </w:tblCellMar>
          <w:tblLook w:val="04A0"/>
        </w:tblPrEx>
        <w:trPr>
          <w:trHeight w:val="290"/>
        </w:trPr>
        <w:tc>
          <w:tcPr>
            <w:tcW w:w="189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D36955" w:rsidRPr="004A206B" w:rsidP="007B3F44" w14:paraId="6C14EFD2" w14:textId="77777777">
            <w:pPr>
              <w:rPr>
                <w:sz w:val="18"/>
                <w:szCs w:val="18"/>
              </w:rPr>
            </w:pPr>
            <w:r w:rsidRPr="004A206B">
              <w:rPr>
                <w:sz w:val="18"/>
                <w:szCs w:val="18"/>
              </w:rPr>
              <w:t>Total</w:t>
            </w: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tcPr>
          <w:p w:rsidR="00D36955" w:rsidRPr="004A206B" w:rsidP="007B3F44" w14:paraId="7A41414C" w14:textId="72EBDABB">
            <w:pPr>
              <w:rPr>
                <w:sz w:val="18"/>
                <w:szCs w:val="18"/>
              </w:rPr>
            </w:pPr>
            <w:r w:rsidRPr="004A206B">
              <w:rPr>
                <w:color w:val="000000"/>
                <w:sz w:val="18"/>
                <w:szCs w:val="18"/>
              </w:rPr>
              <w:t>8,203.00</w:t>
            </w: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tcPr>
          <w:p w:rsidR="00D36955" w:rsidRPr="004A206B" w:rsidP="007B3F44" w14:paraId="3473041C" w14:textId="77777777">
            <w:pPr>
              <w:rPr>
                <w:sz w:val="18"/>
                <w:szCs w:val="18"/>
              </w:rPr>
            </w:pPr>
            <w:r w:rsidRPr="004A206B">
              <w:rPr>
                <w:color w:val="000000"/>
                <w:sz w:val="18"/>
                <w:szCs w:val="18"/>
              </w:rPr>
              <w:t> </w:t>
            </w: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tcPr>
          <w:p w:rsidR="00D36955" w:rsidRPr="004A206B" w:rsidP="007B3F44" w14:paraId="3B71779F" w14:textId="100F8063">
            <w:pPr>
              <w:rPr>
                <w:sz w:val="18"/>
                <w:szCs w:val="18"/>
              </w:rPr>
            </w:pPr>
            <w:r w:rsidRPr="004A206B">
              <w:rPr>
                <w:sz w:val="18"/>
                <w:szCs w:val="18"/>
              </w:rPr>
              <w:t>9,847.00</w:t>
            </w:r>
          </w:p>
        </w:tc>
        <w:tc>
          <w:tcPr>
            <w:tcW w:w="1064" w:type="dxa"/>
            <w:tcBorders>
              <w:top w:val="nil"/>
              <w:left w:val="nil"/>
              <w:bottom w:val="single" w:sz="4" w:space="0" w:color="auto"/>
              <w:right w:val="single" w:sz="4" w:space="0" w:color="auto"/>
            </w:tcBorders>
            <w:tcMar>
              <w:top w:w="15" w:type="dxa"/>
              <w:left w:w="15" w:type="dxa"/>
              <w:bottom w:w="0" w:type="dxa"/>
              <w:right w:w="15" w:type="dxa"/>
            </w:tcMar>
            <w:vAlign w:val="center"/>
          </w:tcPr>
          <w:p w:rsidR="00D36955" w:rsidRPr="004A206B" w:rsidP="007B3F44" w14:paraId="0B06D340" w14:textId="77777777">
            <w:pPr>
              <w:rPr>
                <w:sz w:val="18"/>
                <w:szCs w:val="18"/>
              </w:rPr>
            </w:pPr>
            <w:r w:rsidRPr="004A206B">
              <w:rPr>
                <w:color w:val="000000"/>
                <w:sz w:val="18"/>
                <w:szCs w:val="18"/>
              </w:rPr>
              <w:t> </w:t>
            </w:r>
          </w:p>
        </w:tc>
        <w:tc>
          <w:tcPr>
            <w:tcW w:w="1006" w:type="dxa"/>
            <w:tcBorders>
              <w:top w:val="nil"/>
              <w:left w:val="nil"/>
              <w:bottom w:val="single" w:sz="4" w:space="0" w:color="auto"/>
              <w:right w:val="single" w:sz="4" w:space="0" w:color="auto"/>
            </w:tcBorders>
            <w:tcMar>
              <w:top w:w="15" w:type="dxa"/>
              <w:left w:w="15" w:type="dxa"/>
              <w:bottom w:w="0" w:type="dxa"/>
              <w:right w:w="15" w:type="dxa"/>
            </w:tcMar>
            <w:vAlign w:val="center"/>
          </w:tcPr>
          <w:p w:rsidR="00D36955" w:rsidRPr="004A206B" w:rsidP="007B3F44" w14:paraId="1FE2F27A" w14:textId="17BA04C5">
            <w:pPr>
              <w:rPr>
                <w:sz w:val="18"/>
                <w:szCs w:val="18"/>
              </w:rPr>
            </w:pPr>
            <w:r w:rsidRPr="004A206B">
              <w:rPr>
                <w:sz w:val="18"/>
                <w:szCs w:val="18"/>
              </w:rPr>
              <w:t>9,847.00</w:t>
            </w: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tcPr>
          <w:p w:rsidR="00D36955" w:rsidRPr="004A206B" w:rsidP="007B3F44" w14:paraId="607CFCF2" w14:textId="77777777">
            <w:pPr>
              <w:rPr>
                <w:sz w:val="18"/>
                <w:szCs w:val="18"/>
              </w:rPr>
            </w:pPr>
            <w:r w:rsidRPr="004A206B">
              <w:rPr>
                <w:color w:val="000000"/>
                <w:sz w:val="18"/>
                <w:szCs w:val="18"/>
              </w:rPr>
              <w:t> </w:t>
            </w:r>
          </w:p>
        </w:tc>
        <w:tc>
          <w:tcPr>
            <w:tcW w:w="990" w:type="dxa"/>
            <w:tcBorders>
              <w:top w:val="nil"/>
              <w:left w:val="nil"/>
              <w:bottom w:val="single" w:sz="4" w:space="0" w:color="auto"/>
              <w:right w:val="single" w:sz="4" w:space="0" w:color="auto"/>
            </w:tcBorders>
            <w:tcMar>
              <w:top w:w="15" w:type="dxa"/>
              <w:left w:w="15" w:type="dxa"/>
              <w:bottom w:w="0" w:type="dxa"/>
              <w:right w:w="15" w:type="dxa"/>
            </w:tcMar>
            <w:vAlign w:val="center"/>
          </w:tcPr>
          <w:p w:rsidR="00D36955" w:rsidRPr="004A206B" w:rsidP="007B3F44" w14:paraId="3600CCD2" w14:textId="6205CDC0">
            <w:pPr>
              <w:rPr>
                <w:sz w:val="18"/>
                <w:szCs w:val="18"/>
              </w:rPr>
            </w:pPr>
            <w:r w:rsidRPr="004A206B">
              <w:rPr>
                <w:color w:val="000000"/>
                <w:sz w:val="18"/>
                <w:szCs w:val="18"/>
              </w:rPr>
              <w:t xml:space="preserve">$323,730.22 </w:t>
            </w:r>
          </w:p>
        </w:tc>
      </w:tr>
    </w:tbl>
    <w:p w:rsidR="00D36955" w:rsidRPr="004A206B" w:rsidP="004A206B" w14:paraId="3E65E73D" w14:textId="4C5BF3B8">
      <w:pPr>
        <w:ind w:left="720"/>
        <w:rPr>
          <w:color w:val="000000"/>
          <w:sz w:val="18"/>
          <w:szCs w:val="18"/>
        </w:rPr>
      </w:pPr>
      <w:r w:rsidRPr="004A206B">
        <w:rPr>
          <w:color w:val="000000"/>
          <w:sz w:val="18"/>
          <w:szCs w:val="18"/>
        </w:rPr>
        <w:t>*Hourly wage rates are based on federal employees paid under the 2025 General Schedule (GS).  Reports reviewed by HUD Field Office employees are assumed to be at GS-11, step 1 ($30.26/</w:t>
      </w:r>
      <w:r w:rsidRPr="004A206B">
        <w:rPr>
          <w:color w:val="000000"/>
          <w:sz w:val="18"/>
          <w:szCs w:val="18"/>
        </w:rPr>
        <w:t>hr</w:t>
      </w:r>
      <w:r w:rsidRPr="004A206B">
        <w:rPr>
          <w:color w:val="000000"/>
          <w:sz w:val="18"/>
          <w:szCs w:val="18"/>
        </w:rPr>
        <w:t xml:space="preserve">).  Reports reviewed by HUD headquarters employees are assumed to be at GS-13, step 1 ($43.14/hr).  </w:t>
      </w:r>
    </w:p>
    <w:p w:rsidR="00D36955" w:rsidRPr="007B3F44" w:rsidP="007B3F44" w14:paraId="6664F343" w14:textId="77777777">
      <w:pPr>
        <w:rPr>
          <w:sz w:val="24"/>
          <w:szCs w:val="24"/>
        </w:rPr>
      </w:pPr>
    </w:p>
    <w:p w:rsidR="00D36955" w:rsidRPr="007B3F44" w:rsidP="004A206B" w14:paraId="49D544F4" w14:textId="0BB6109E">
      <w:pPr>
        <w:ind w:left="720"/>
        <w:rPr>
          <w:sz w:val="24"/>
          <w:szCs w:val="24"/>
        </w:rPr>
      </w:pPr>
      <w:r w:rsidRPr="007B3F44">
        <w:rPr>
          <w:sz w:val="24"/>
          <w:szCs w:val="24"/>
        </w:rPr>
        <w:t xml:space="preserve">Additionally, HUD </w:t>
      </w:r>
      <w:r w:rsidRPr="007B3F44">
        <w:rPr>
          <w:color w:val="000000"/>
          <w:sz w:val="24"/>
          <w:szCs w:val="24"/>
        </w:rPr>
        <w:t xml:space="preserve">has a contract with a small business to develop, operate and support the </w:t>
      </w:r>
      <w:r w:rsidRPr="007B3F44">
        <w:rPr>
          <w:i/>
          <w:color w:val="000000"/>
          <w:sz w:val="24"/>
          <w:szCs w:val="24"/>
        </w:rPr>
        <w:t>Sage HMIS Reporting Repository</w:t>
      </w:r>
      <w:r w:rsidRPr="007B3F44">
        <w:rPr>
          <w:color w:val="000000"/>
          <w:sz w:val="24"/>
          <w:szCs w:val="24"/>
        </w:rPr>
        <w:t xml:space="preserve">.  The estimated annual cost is $300,000.  The activities covered in </w:t>
      </w:r>
      <w:r w:rsidRPr="007B3F44">
        <w:rPr>
          <w:color w:val="000000"/>
          <w:sz w:val="24"/>
          <w:szCs w:val="24"/>
        </w:rPr>
        <w:t>this estimate include:  managing data received from various HUD sources weekly, monthly, and annually; scrubbing data for import; assistance to recipients and CoCs with APR</w:t>
      </w:r>
      <w:r w:rsidRPr="007B3F44">
        <w:rPr>
          <w:sz w:val="24"/>
          <w:szCs w:val="24"/>
        </w:rPr>
        <w:t xml:space="preserve"> submissions; manual intervention of data import, and specialized functionality to account for reporting on special programs including:  Single Room Occupancy, legacy programs, multi-year grants, and 15-20 year use requirements;  system maintenance and correction, co-location hosting and security of servers through Azure; and annual updating for CoC program changes. </w:t>
      </w:r>
    </w:p>
    <w:p w:rsidR="00D36955" w:rsidRPr="007B3F44" w:rsidP="004A206B" w14:paraId="15C328E6" w14:textId="77777777">
      <w:pPr>
        <w:ind w:left="720"/>
        <w:rPr>
          <w:sz w:val="24"/>
          <w:szCs w:val="24"/>
        </w:rPr>
      </w:pPr>
    </w:p>
    <w:p w:rsidR="00D36955" w:rsidRPr="004A206B" w:rsidP="004A206B" w14:paraId="7B04B460" w14:textId="71E10D41">
      <w:pPr>
        <w:ind w:left="720"/>
        <w:rPr>
          <w:color w:val="000000"/>
          <w:sz w:val="24"/>
          <w:szCs w:val="24"/>
          <w:u w:val="single"/>
        </w:rPr>
      </w:pPr>
      <w:r w:rsidRPr="004A206B">
        <w:rPr>
          <w:color w:val="000000"/>
          <w:sz w:val="24"/>
          <w:szCs w:val="24"/>
          <w:u w:val="single"/>
        </w:rPr>
        <w:t>Federal Government Cost Estimates for the System-Level Performance Measures</w:t>
      </w:r>
    </w:p>
    <w:p w:rsidR="00D36955" w:rsidRPr="007B3F44" w:rsidP="004A206B" w14:paraId="7E88C93F" w14:textId="77777777">
      <w:pPr>
        <w:ind w:left="720"/>
        <w:rPr>
          <w:color w:val="000000"/>
          <w:sz w:val="24"/>
          <w:szCs w:val="24"/>
        </w:rPr>
      </w:pPr>
    </w:p>
    <w:p w:rsidR="00D36955" w:rsidRPr="007B3F44" w:rsidP="004A206B" w14:paraId="609D782F" w14:textId="77777777">
      <w:pPr>
        <w:ind w:left="720"/>
        <w:rPr>
          <w:sz w:val="24"/>
          <w:szCs w:val="24"/>
        </w:rPr>
      </w:pPr>
      <w:r w:rsidRPr="007B3F44">
        <w:rPr>
          <w:sz w:val="24"/>
          <w:szCs w:val="24"/>
        </w:rPr>
        <w:t>HUD uses the data from the system performance measures as part of its annual CoC Program Competition.  This data is reviewed by HUD headquarters staff for completeness and to understand the quality of the data as well as trends in the data</w:t>
      </w:r>
    </w:p>
    <w:p w:rsidR="00D36955" w:rsidRPr="007B3F44" w:rsidP="004A206B" w14:paraId="14189E7C" w14:textId="77777777">
      <w:pPr>
        <w:ind w:left="720"/>
        <w:rPr>
          <w:sz w:val="24"/>
          <w:szCs w:val="24"/>
        </w:rPr>
      </w:pPr>
    </w:p>
    <w:p w:rsidR="00D36955" w:rsidRPr="007B3F44" w:rsidP="004A206B" w14:paraId="0F84B4BF" w14:textId="77777777">
      <w:pPr>
        <w:ind w:left="720"/>
        <w:rPr>
          <w:color w:val="000000"/>
          <w:sz w:val="24"/>
          <w:szCs w:val="24"/>
        </w:rPr>
      </w:pPr>
      <w:r w:rsidRPr="007B3F44">
        <w:rPr>
          <w:color w:val="000000"/>
          <w:sz w:val="24"/>
          <w:szCs w:val="24"/>
        </w:rPr>
        <w:t xml:space="preserve">The annualized cost estimate for federal government staff to review system-level performance measures reports is 1 hour per report at a cost of $42.41 per report.  </w:t>
      </w:r>
    </w:p>
    <w:p w:rsidR="00D36955" w:rsidRPr="007B3F44" w:rsidP="007B3F44" w14:paraId="7116B19D" w14:textId="77777777">
      <w:pPr>
        <w:rPr>
          <w:color w:val="000000"/>
          <w:sz w:val="24"/>
          <w:szCs w:val="24"/>
        </w:rPr>
      </w:pPr>
    </w:p>
    <w:tbl>
      <w:tblPr>
        <w:tblW w:w="9625" w:type="dxa"/>
        <w:tblInd w:w="445" w:type="dxa"/>
        <w:tblCellMar>
          <w:left w:w="0" w:type="dxa"/>
          <w:right w:w="0" w:type="dxa"/>
        </w:tblCellMar>
        <w:tblLook w:val="04A0"/>
      </w:tblPr>
      <w:tblGrid>
        <w:gridCol w:w="1800"/>
        <w:gridCol w:w="1080"/>
        <w:gridCol w:w="1041"/>
        <w:gridCol w:w="1182"/>
        <w:gridCol w:w="1301"/>
        <w:gridCol w:w="1156"/>
        <w:gridCol w:w="1161"/>
        <w:gridCol w:w="904"/>
      </w:tblGrid>
      <w:tr w14:paraId="625E2A5C" w14:textId="77777777" w:rsidTr="004A206B">
        <w:tblPrEx>
          <w:tblW w:w="9625" w:type="dxa"/>
          <w:tblInd w:w="445" w:type="dxa"/>
          <w:tblCellMar>
            <w:left w:w="0" w:type="dxa"/>
            <w:right w:w="0" w:type="dxa"/>
          </w:tblCellMar>
          <w:tblLook w:val="04A0"/>
        </w:tblPrEx>
        <w:trPr>
          <w:trHeight w:val="497"/>
        </w:trPr>
        <w:tc>
          <w:tcPr>
            <w:tcW w:w="18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D36955" w:rsidRPr="004A206B" w:rsidP="007B3F44" w14:paraId="0EA8D703" w14:textId="77777777">
            <w:pPr>
              <w:rPr>
                <w:bCs/>
                <w:sz w:val="18"/>
                <w:szCs w:val="18"/>
              </w:rPr>
            </w:pPr>
            <w:r w:rsidRPr="004A206B">
              <w:rPr>
                <w:bCs/>
                <w:sz w:val="18"/>
                <w:szCs w:val="18"/>
              </w:rPr>
              <w:t>Information Collection</w:t>
            </w:r>
          </w:p>
        </w:tc>
        <w:tc>
          <w:tcPr>
            <w:tcW w:w="108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D36955" w:rsidRPr="004A206B" w:rsidP="007B3F44" w14:paraId="7E4D550B" w14:textId="77777777">
            <w:pPr>
              <w:rPr>
                <w:bCs/>
                <w:sz w:val="18"/>
                <w:szCs w:val="18"/>
              </w:rPr>
            </w:pPr>
            <w:r w:rsidRPr="004A206B">
              <w:rPr>
                <w:bCs/>
                <w:sz w:val="18"/>
                <w:szCs w:val="18"/>
              </w:rPr>
              <w:t>Number of Respondents</w:t>
            </w:r>
          </w:p>
        </w:tc>
        <w:tc>
          <w:tcPr>
            <w:tcW w:w="104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D36955" w:rsidRPr="004A206B" w:rsidP="007B3F44" w14:paraId="77C487B8" w14:textId="77777777">
            <w:pPr>
              <w:rPr>
                <w:bCs/>
                <w:sz w:val="18"/>
                <w:szCs w:val="18"/>
              </w:rPr>
            </w:pPr>
            <w:r w:rsidRPr="004A206B">
              <w:rPr>
                <w:bCs/>
                <w:sz w:val="18"/>
                <w:szCs w:val="18"/>
              </w:rPr>
              <w:t>Frequency of Response</w:t>
            </w:r>
          </w:p>
        </w:tc>
        <w:tc>
          <w:tcPr>
            <w:tcW w:w="0" w:type="auto"/>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D36955" w:rsidRPr="004A206B" w:rsidP="007B3F44" w14:paraId="4997A072" w14:textId="77777777">
            <w:pPr>
              <w:rPr>
                <w:bCs/>
                <w:sz w:val="18"/>
                <w:szCs w:val="18"/>
              </w:rPr>
            </w:pPr>
            <w:r w:rsidRPr="004A206B">
              <w:rPr>
                <w:bCs/>
                <w:sz w:val="18"/>
                <w:szCs w:val="18"/>
              </w:rPr>
              <w:t>Responses per Annum</w:t>
            </w:r>
          </w:p>
        </w:tc>
        <w:tc>
          <w:tcPr>
            <w:tcW w:w="0" w:type="auto"/>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D36955" w:rsidRPr="004A206B" w:rsidP="007B3F44" w14:paraId="58F2FFF7" w14:textId="77777777">
            <w:pPr>
              <w:rPr>
                <w:bCs/>
                <w:sz w:val="18"/>
                <w:szCs w:val="18"/>
              </w:rPr>
            </w:pPr>
            <w:r w:rsidRPr="004A206B">
              <w:rPr>
                <w:bCs/>
                <w:sz w:val="18"/>
                <w:szCs w:val="18"/>
              </w:rPr>
              <w:t>Burden Hour Per Response</w:t>
            </w:r>
          </w:p>
        </w:tc>
        <w:tc>
          <w:tcPr>
            <w:tcW w:w="115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D36955" w:rsidRPr="004A206B" w:rsidP="007B3F44" w14:paraId="7D529CAA" w14:textId="77777777">
            <w:pPr>
              <w:rPr>
                <w:bCs/>
                <w:sz w:val="18"/>
                <w:szCs w:val="18"/>
              </w:rPr>
            </w:pPr>
            <w:r w:rsidRPr="004A206B">
              <w:rPr>
                <w:bCs/>
                <w:sz w:val="18"/>
                <w:szCs w:val="18"/>
              </w:rPr>
              <w:t>Annual Burden Hours</w:t>
            </w:r>
          </w:p>
        </w:tc>
        <w:tc>
          <w:tcPr>
            <w:tcW w:w="116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D36955" w:rsidRPr="004A206B" w:rsidP="007B3F44" w14:paraId="65512236" w14:textId="77777777">
            <w:pPr>
              <w:rPr>
                <w:bCs/>
                <w:sz w:val="18"/>
                <w:szCs w:val="18"/>
              </w:rPr>
            </w:pPr>
            <w:r w:rsidRPr="004A206B">
              <w:rPr>
                <w:bCs/>
                <w:sz w:val="18"/>
                <w:szCs w:val="18"/>
              </w:rPr>
              <w:t>Hourly Cost Per Response</w:t>
            </w:r>
          </w:p>
        </w:tc>
        <w:tc>
          <w:tcPr>
            <w:tcW w:w="0" w:type="auto"/>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D36955" w:rsidRPr="004A206B" w:rsidP="007B3F44" w14:paraId="749A6694" w14:textId="77777777">
            <w:pPr>
              <w:rPr>
                <w:bCs/>
                <w:sz w:val="18"/>
                <w:szCs w:val="18"/>
              </w:rPr>
            </w:pPr>
            <w:r w:rsidRPr="004A206B">
              <w:rPr>
                <w:bCs/>
                <w:sz w:val="18"/>
                <w:szCs w:val="18"/>
              </w:rPr>
              <w:t>Annual Cost </w:t>
            </w:r>
          </w:p>
        </w:tc>
      </w:tr>
      <w:tr w14:paraId="4D066BF4" w14:textId="77777777" w:rsidTr="004A206B">
        <w:tblPrEx>
          <w:tblW w:w="9625" w:type="dxa"/>
          <w:tblInd w:w="445" w:type="dxa"/>
          <w:tblCellMar>
            <w:left w:w="0" w:type="dxa"/>
            <w:right w:w="0" w:type="dxa"/>
          </w:tblCellMar>
          <w:tblLook w:val="04A0"/>
        </w:tblPrEx>
        <w:trPr>
          <w:trHeight w:val="453"/>
        </w:trPr>
        <w:tc>
          <w:tcPr>
            <w:tcW w:w="18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D36955" w:rsidRPr="004A206B" w:rsidP="007B3F44" w14:paraId="518BE928" w14:textId="77777777">
            <w:pPr>
              <w:rPr>
                <w:color w:val="000000"/>
                <w:sz w:val="18"/>
                <w:szCs w:val="18"/>
              </w:rPr>
            </w:pPr>
            <w:r w:rsidRPr="004A206B">
              <w:rPr>
                <w:color w:val="000000"/>
                <w:sz w:val="18"/>
                <w:szCs w:val="18"/>
              </w:rPr>
              <w:t>System Performance Measures Reports</w:t>
            </w: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D36955" w:rsidRPr="004A206B" w:rsidP="007B3F44" w14:paraId="7F7C8648" w14:textId="77777777">
            <w:pPr>
              <w:rPr>
                <w:color w:val="000000"/>
                <w:sz w:val="18"/>
                <w:szCs w:val="18"/>
              </w:rPr>
            </w:pPr>
            <w:r w:rsidRPr="004A206B">
              <w:rPr>
                <w:color w:val="000000"/>
                <w:sz w:val="18"/>
                <w:szCs w:val="18"/>
              </w:rPr>
              <w:t xml:space="preserve">            400.00 </w:t>
            </w:r>
          </w:p>
        </w:tc>
        <w:tc>
          <w:tcPr>
            <w:tcW w:w="1041"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D36955" w:rsidRPr="004A206B" w:rsidP="007B3F44" w14:paraId="673887CB" w14:textId="5620BFCD">
            <w:pPr>
              <w:rPr>
                <w:color w:val="000000"/>
                <w:sz w:val="18"/>
                <w:szCs w:val="18"/>
              </w:rPr>
            </w:pPr>
            <w:r w:rsidRPr="004A206B">
              <w:rPr>
                <w:color w:val="000000"/>
                <w:sz w:val="18"/>
                <w:szCs w:val="18"/>
              </w:rPr>
              <w:t xml:space="preserve">1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rsidR="00D36955" w:rsidRPr="004A206B" w:rsidP="007B3F44" w14:paraId="7EBE5886" w14:textId="16FA35E7">
            <w:pPr>
              <w:rPr>
                <w:color w:val="000000"/>
                <w:sz w:val="18"/>
                <w:szCs w:val="18"/>
              </w:rPr>
            </w:pPr>
            <w:r w:rsidRPr="004A206B">
              <w:rPr>
                <w:color w:val="000000"/>
                <w:sz w:val="18"/>
                <w:szCs w:val="18"/>
              </w:rPr>
              <w:t xml:space="preserve">400.00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rsidR="00D36955" w:rsidRPr="004A206B" w:rsidP="007B3F44" w14:paraId="67570E74" w14:textId="77777777">
            <w:pPr>
              <w:rPr>
                <w:color w:val="000000"/>
                <w:sz w:val="18"/>
                <w:szCs w:val="18"/>
              </w:rPr>
            </w:pPr>
            <w:r w:rsidRPr="004A206B">
              <w:rPr>
                <w:color w:val="000000"/>
                <w:sz w:val="18"/>
                <w:szCs w:val="18"/>
              </w:rPr>
              <w:t xml:space="preserve">          1.00 </w:t>
            </w:r>
          </w:p>
        </w:tc>
        <w:tc>
          <w:tcPr>
            <w:tcW w:w="1156"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D36955" w:rsidRPr="004A206B" w:rsidP="007B3F44" w14:paraId="11D26910" w14:textId="77777777">
            <w:pPr>
              <w:rPr>
                <w:color w:val="000000"/>
                <w:sz w:val="18"/>
                <w:szCs w:val="18"/>
              </w:rPr>
            </w:pPr>
            <w:r w:rsidRPr="004A206B">
              <w:rPr>
                <w:color w:val="000000"/>
                <w:sz w:val="18"/>
                <w:szCs w:val="18"/>
              </w:rPr>
              <w:t xml:space="preserve">  400.00 </w:t>
            </w:r>
          </w:p>
        </w:tc>
        <w:tc>
          <w:tcPr>
            <w:tcW w:w="1161"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D36955" w:rsidRPr="004A206B" w:rsidP="007B3F44" w14:paraId="50153406" w14:textId="4D1AD176">
            <w:pPr>
              <w:rPr>
                <w:color w:val="000000"/>
                <w:sz w:val="18"/>
                <w:szCs w:val="18"/>
              </w:rPr>
            </w:pPr>
            <w:r w:rsidRPr="004A206B">
              <w:rPr>
                <w:color w:val="000000"/>
                <w:sz w:val="18"/>
                <w:szCs w:val="18"/>
              </w:rPr>
              <w:t>$43.14</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rsidR="00D36955" w:rsidRPr="004A206B" w:rsidP="007B3F44" w14:paraId="5879A045" w14:textId="3CD123F9">
            <w:pPr>
              <w:rPr>
                <w:color w:val="000000"/>
                <w:sz w:val="18"/>
                <w:szCs w:val="18"/>
              </w:rPr>
            </w:pPr>
            <w:r w:rsidRPr="004A206B">
              <w:rPr>
                <w:color w:val="000000"/>
                <w:sz w:val="18"/>
                <w:szCs w:val="18"/>
              </w:rPr>
              <w:t>$17,256.00</w:t>
            </w:r>
          </w:p>
        </w:tc>
      </w:tr>
    </w:tbl>
    <w:p w:rsidR="00D36955" w:rsidRPr="004A206B" w:rsidP="004A206B" w14:paraId="0A685745" w14:textId="77777777">
      <w:pPr>
        <w:ind w:left="720"/>
        <w:rPr>
          <w:sz w:val="18"/>
          <w:szCs w:val="18"/>
        </w:rPr>
      </w:pPr>
      <w:r w:rsidRPr="004A206B">
        <w:rPr>
          <w:color w:val="000000"/>
          <w:sz w:val="18"/>
          <w:szCs w:val="18"/>
        </w:rPr>
        <w:t xml:space="preserve">*Hourly wage rates are based on federal employees paid under the 2024 General Schedule (GS).  Reports reviewed by HUD headquarters employees are assumed to be at GS-13, step 1 ($42.41/hr).  </w:t>
      </w:r>
    </w:p>
    <w:p w:rsidR="00D36955" w:rsidRPr="007B3F44" w:rsidP="007B3F44" w14:paraId="5FE8AD8F" w14:textId="77777777">
      <w:pPr>
        <w:rPr>
          <w:sz w:val="24"/>
          <w:szCs w:val="24"/>
        </w:rPr>
      </w:pPr>
    </w:p>
    <w:p w:rsidR="00D36955" w:rsidRPr="007B3F44" w:rsidP="005F1120" w14:paraId="6406C670" w14:textId="7C572954">
      <w:pPr>
        <w:ind w:left="720"/>
        <w:rPr>
          <w:sz w:val="24"/>
          <w:szCs w:val="24"/>
        </w:rPr>
      </w:pPr>
      <w:r w:rsidRPr="007B3F44">
        <w:rPr>
          <w:sz w:val="24"/>
          <w:szCs w:val="24"/>
        </w:rPr>
        <w:t>HUD has a contract with a private research firm to collect System Performance Measures data and prepare a yearly data summary.  The estimated annual contractor cost is $400,000. The activities that are covered in this estimate include: maintaining and updating the database to store the System Performance Measures data; providing technical assistance to communities when questions about the System Performance Measures data arise; analyzing the data; and preparing the national summary report and an Excel file with all CoC data</w:t>
      </w:r>
    </w:p>
    <w:p w:rsidR="00167E53" w:rsidRPr="007B3F44" w:rsidP="007B3F44" w14:paraId="5BB0C48A" w14:textId="77777777">
      <w:pPr>
        <w:rPr>
          <w:rFonts w:eastAsia="Calibri"/>
          <w:color w:val="000000"/>
          <w:sz w:val="24"/>
          <w:szCs w:val="24"/>
        </w:rPr>
      </w:pPr>
    </w:p>
    <w:p w:rsidR="009E13B1" w:rsidRPr="004A206B" w:rsidP="004A206B" w14:paraId="005FDD51" w14:textId="74E706A4">
      <w:pPr>
        <w:pStyle w:val="ListParagraph"/>
        <w:numPr>
          <w:ilvl w:val="0"/>
          <w:numId w:val="42"/>
        </w:numPr>
        <w:rPr>
          <w:sz w:val="24"/>
          <w:szCs w:val="24"/>
        </w:rPr>
      </w:pPr>
      <w:r w:rsidRPr="004A206B">
        <w:rPr>
          <w:sz w:val="24"/>
          <w:szCs w:val="24"/>
        </w:rPr>
        <w:t>Explain the reasons for any program changes or adjustments reported in Items 1</w:t>
      </w:r>
      <w:r w:rsidRPr="004A206B" w:rsidR="000D5079">
        <w:rPr>
          <w:sz w:val="24"/>
          <w:szCs w:val="24"/>
        </w:rPr>
        <w:t>2</w:t>
      </w:r>
      <w:r w:rsidRPr="004A206B">
        <w:rPr>
          <w:sz w:val="24"/>
          <w:szCs w:val="24"/>
        </w:rPr>
        <w:t xml:space="preserve"> and 14 of the </w:t>
      </w:r>
      <w:r w:rsidRPr="004A206B" w:rsidR="00CA06CC">
        <w:rPr>
          <w:sz w:val="24"/>
          <w:szCs w:val="24"/>
        </w:rPr>
        <w:t>Supporting Statement</w:t>
      </w:r>
      <w:r w:rsidRPr="004A206B">
        <w:rPr>
          <w:sz w:val="24"/>
          <w:szCs w:val="24"/>
        </w:rPr>
        <w:t>.</w:t>
      </w:r>
    </w:p>
    <w:p w:rsidR="00D36955" w:rsidRPr="007B3F44" w:rsidP="007B3F44" w14:paraId="4CF8FBE7" w14:textId="77777777">
      <w:pPr>
        <w:rPr>
          <w:sz w:val="24"/>
          <w:szCs w:val="24"/>
        </w:rPr>
      </w:pPr>
    </w:p>
    <w:p w:rsidR="003F56B4" w:rsidRPr="007B3F44" w:rsidP="004A206B" w14:paraId="2BAEB17C" w14:textId="6D223ABE">
      <w:pPr>
        <w:ind w:left="720"/>
        <w:rPr>
          <w:spacing w:val="-2"/>
          <w:sz w:val="24"/>
          <w:szCs w:val="24"/>
        </w:rPr>
      </w:pPr>
      <w:r w:rsidRPr="007B3F44">
        <w:rPr>
          <w:spacing w:val="-2"/>
          <w:sz w:val="24"/>
          <w:szCs w:val="24"/>
        </w:rPr>
        <w:t>The reporting burden in the most recent PRA package was 50,530 hours.  The total burden hours has been reduced to 47,474 hours.  Although since the most recent PRA package, the number of our funding opportunities and reports has increased, this has been more than offset by the decrease in the number of CoC Program awards (from 8,000 a few years ago to 7,067 in the FY 2023 CoC Competition), which has been driven by the consolidation of (as opposed to a loss of funding). Another reason for the reduction in burden hours is technological and user-friendly improvements in the Sage and HDX systems.  In the past, CoCs and project recipients were manually entering data in the submission to HUD.</w:t>
      </w:r>
      <w:r>
        <w:rPr>
          <w:spacing w:val="-2"/>
          <w:sz w:val="24"/>
          <w:szCs w:val="24"/>
          <w:vertAlign w:val="superscript"/>
        </w:rPr>
        <w:footnoteReference w:id="3"/>
      </w:r>
      <w:r w:rsidRPr="007B3F44">
        <w:rPr>
          <w:spacing w:val="-2"/>
          <w:sz w:val="24"/>
          <w:szCs w:val="24"/>
        </w:rPr>
        <w:t xml:space="preserve">  HUD updated how it receives data to require CoC Program, YHDP, and Special NOFA grant recipients to import the majority of the data for the APRs directly into the reporting system.  HUD also requires CoCs to import their system performance measures into the reporting system.  </w:t>
      </w:r>
      <w:r w:rsidRPr="007B3F44" w:rsidR="00D5230A">
        <w:rPr>
          <w:spacing w:val="-2"/>
          <w:sz w:val="24"/>
          <w:szCs w:val="24"/>
        </w:rPr>
        <w:t xml:space="preserve">HUD also removed the </w:t>
      </w:r>
      <w:r w:rsidRPr="007B3F44" w:rsidR="00AF6177">
        <w:rPr>
          <w:spacing w:val="-2"/>
          <w:sz w:val="24"/>
          <w:szCs w:val="24"/>
        </w:rPr>
        <w:t xml:space="preserve">Performance Data Checkup part of the PRA package. HUD did not implement this in the past and no longer plans on implementing it. </w:t>
      </w:r>
      <w:r w:rsidRPr="007B3F44">
        <w:rPr>
          <w:spacing w:val="-2"/>
          <w:sz w:val="24"/>
          <w:szCs w:val="24"/>
        </w:rPr>
        <w:t>These updates to the way data are submitted to HUD resulted in a decrease of 3,056 hours</w:t>
      </w:r>
      <w:r w:rsidRPr="007B3F44" w:rsidR="00FE68C2">
        <w:rPr>
          <w:spacing w:val="-2"/>
          <w:sz w:val="24"/>
          <w:szCs w:val="24"/>
        </w:rPr>
        <w:t>.</w:t>
      </w:r>
      <w:r w:rsidRPr="007B3F44" w:rsidR="000E51BC">
        <w:rPr>
          <w:spacing w:val="-2"/>
          <w:sz w:val="24"/>
          <w:szCs w:val="24"/>
        </w:rPr>
        <w:t xml:space="preserve"> Note also, that </w:t>
      </w:r>
      <w:r w:rsidRPr="007B3F44" w:rsidR="000E51BC">
        <w:rPr>
          <w:spacing w:val="-2"/>
          <w:sz w:val="24"/>
          <w:szCs w:val="24"/>
        </w:rPr>
        <w:t>HUD changed its data collection process for the AHAR and now refers to the data collection process for the AHAR as the Longitudinal System Analysis (LSA) data collection process.</w:t>
      </w:r>
    </w:p>
    <w:p w:rsidR="004A206B" w:rsidP="007B3F44" w14:paraId="290C26E5" w14:textId="77777777">
      <w:pPr>
        <w:rPr>
          <w:sz w:val="24"/>
          <w:szCs w:val="24"/>
        </w:rPr>
      </w:pPr>
    </w:p>
    <w:p w:rsidR="009E13B1" w:rsidRPr="004A206B" w:rsidP="004A206B" w14:paraId="191E7ECF" w14:textId="30484A68">
      <w:pPr>
        <w:pStyle w:val="ListParagraph"/>
        <w:numPr>
          <w:ilvl w:val="0"/>
          <w:numId w:val="42"/>
        </w:numPr>
        <w:rPr>
          <w:sz w:val="24"/>
          <w:szCs w:val="24"/>
        </w:rPr>
      </w:pPr>
      <w:r w:rsidRPr="004A206B">
        <w:rPr>
          <w:sz w:val="24"/>
          <w:szCs w:val="24"/>
        </w:rPr>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36955" w:rsidRPr="007B3F44" w:rsidP="007B3F44" w14:paraId="1292E1B0" w14:textId="77777777">
      <w:pPr>
        <w:rPr>
          <w:sz w:val="24"/>
          <w:szCs w:val="24"/>
        </w:rPr>
      </w:pPr>
    </w:p>
    <w:p w:rsidR="00D36955" w:rsidRPr="007B3F44" w:rsidP="004A206B" w14:paraId="282BD438" w14:textId="394CDE10">
      <w:pPr>
        <w:ind w:left="720"/>
        <w:rPr>
          <w:sz w:val="24"/>
          <w:szCs w:val="24"/>
        </w:rPr>
      </w:pPr>
      <w:r w:rsidRPr="007B3F44">
        <w:rPr>
          <w:sz w:val="24"/>
          <w:szCs w:val="24"/>
        </w:rPr>
        <w:t xml:space="preserve">APR data will be entered and stored in the </w:t>
      </w:r>
      <w:r w:rsidRPr="007B3F44">
        <w:rPr>
          <w:i/>
          <w:sz w:val="24"/>
          <w:szCs w:val="24"/>
        </w:rPr>
        <w:t>Sage</w:t>
      </w:r>
      <w:r w:rsidRPr="007B3F44">
        <w:rPr>
          <w:sz w:val="24"/>
          <w:szCs w:val="24"/>
        </w:rPr>
        <w:t xml:space="preserve"> system.  HUD staff will review and assess each APR individually to determine compliance with HUD regulations and grantee agreements.  Aggregated data from the APRs will be analyzed to report to Congress, OMB, and other stakeholders on program performance on an as requested basis.  This data will inform HUD’s work to improve how it partners with communities to improve their efforts to end homelessness</w:t>
      </w:r>
    </w:p>
    <w:p w:rsidR="009E13B1" w:rsidRPr="007B3F44" w:rsidP="007B3F44" w14:paraId="41F37BFA" w14:textId="77777777">
      <w:pPr>
        <w:rPr>
          <w:sz w:val="24"/>
          <w:szCs w:val="24"/>
        </w:rPr>
      </w:pPr>
    </w:p>
    <w:p w:rsidR="009E13B1" w:rsidRPr="004A206B" w:rsidP="004A206B" w14:paraId="34E8092D" w14:textId="26ACB763">
      <w:pPr>
        <w:pStyle w:val="ListParagraph"/>
        <w:numPr>
          <w:ilvl w:val="0"/>
          <w:numId w:val="42"/>
        </w:numPr>
        <w:rPr>
          <w:sz w:val="24"/>
          <w:szCs w:val="24"/>
        </w:rPr>
      </w:pPr>
      <w:r w:rsidRPr="004A206B">
        <w:rPr>
          <w:sz w:val="24"/>
          <w:szCs w:val="24"/>
        </w:rPr>
        <w:t>If seeking approval to not display the expiration date for OMB approval of the information collection, explain the reasons that display would be inappropriate.</w:t>
      </w:r>
    </w:p>
    <w:p w:rsidR="004A206B" w:rsidP="004A206B" w14:paraId="46FC1518" w14:textId="4FC22502">
      <w:pPr>
        <w:ind w:left="720"/>
        <w:rPr>
          <w:sz w:val="24"/>
          <w:szCs w:val="24"/>
        </w:rPr>
      </w:pPr>
    </w:p>
    <w:p w:rsidR="00D36955" w:rsidRPr="007B3F44" w:rsidP="004A206B" w14:paraId="07E61029" w14:textId="07F7C2E2">
      <w:pPr>
        <w:ind w:left="720"/>
        <w:rPr>
          <w:sz w:val="24"/>
          <w:szCs w:val="24"/>
        </w:rPr>
      </w:pPr>
      <w:r w:rsidRPr="007B3F44">
        <w:rPr>
          <w:sz w:val="24"/>
          <w:szCs w:val="24"/>
        </w:rPr>
        <w:t>The OMB expiration date will be displayed on all data collection instruments.  No exceptions are requested</w:t>
      </w:r>
    </w:p>
    <w:p w:rsidR="009E13B1" w:rsidRPr="007B3F44" w:rsidP="007B3F44" w14:paraId="44B4D7A4" w14:textId="77777777">
      <w:pPr>
        <w:rPr>
          <w:sz w:val="24"/>
          <w:szCs w:val="24"/>
        </w:rPr>
      </w:pPr>
    </w:p>
    <w:p w:rsidR="009E13B1" w:rsidRPr="004A206B" w:rsidP="004A206B" w14:paraId="68C195AD" w14:textId="041BAD3F">
      <w:pPr>
        <w:pStyle w:val="ListParagraph"/>
        <w:numPr>
          <w:ilvl w:val="0"/>
          <w:numId w:val="42"/>
        </w:numPr>
        <w:rPr>
          <w:sz w:val="24"/>
          <w:szCs w:val="24"/>
        </w:rPr>
      </w:pPr>
      <w:r w:rsidRPr="004A206B">
        <w:rPr>
          <w:sz w:val="24"/>
          <w:szCs w:val="24"/>
        </w:rPr>
        <w:t>Explain each exception to the certification statement identified in item 19.</w:t>
      </w:r>
    </w:p>
    <w:p w:rsidR="004A206B" w:rsidP="004A206B" w14:paraId="08DE5C1C" w14:textId="55804AAE">
      <w:pPr>
        <w:ind w:left="720"/>
        <w:rPr>
          <w:sz w:val="24"/>
          <w:szCs w:val="24"/>
        </w:rPr>
      </w:pPr>
    </w:p>
    <w:p w:rsidR="00D36955" w:rsidP="004A206B" w14:paraId="2CA2BEA9" w14:textId="1A3FFF10">
      <w:pPr>
        <w:ind w:firstLine="720"/>
        <w:rPr>
          <w:sz w:val="24"/>
          <w:szCs w:val="24"/>
        </w:rPr>
      </w:pPr>
      <w:r w:rsidRPr="007B3F44">
        <w:rPr>
          <w:sz w:val="24"/>
          <w:szCs w:val="24"/>
        </w:rPr>
        <w:t>There are no exceptions to the certification.</w:t>
      </w:r>
    </w:p>
    <w:sectPr w:rsidSect="006C7FAE">
      <w:headerReference w:type="default" r:id="rId11"/>
      <w:pgSz w:w="12240" w:h="15840"/>
      <w:pgMar w:top="1440" w:right="1440" w:bottom="1440" w:left="900" w:header="480" w:footer="480" w:gutter="0"/>
      <w:cols w:space="480" w:equalWidth="0">
        <w:col w:w="10080"/>
      </w:cols>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C6BCA" w14:paraId="697D7896" w14:textId="77777777">
      <w:r>
        <w:separator/>
      </w:r>
    </w:p>
  </w:footnote>
  <w:footnote w:type="continuationSeparator" w:id="1">
    <w:p w:rsidR="002C6BCA" w14:paraId="34DDEF65" w14:textId="77777777">
      <w:r>
        <w:continuationSeparator/>
      </w:r>
    </w:p>
  </w:footnote>
  <w:footnote w:type="continuationNotice" w:id="2">
    <w:p w:rsidR="002C6BCA" w14:paraId="45200BD7" w14:textId="77777777"/>
  </w:footnote>
  <w:footnote w:id="3">
    <w:p w:rsidR="00D36955" w:rsidP="00D36955" w14:paraId="6481BA1E" w14:textId="77777777">
      <w:pPr>
        <w:pStyle w:val="FootnoteText"/>
      </w:pPr>
      <w:r>
        <w:rPr>
          <w:rStyle w:val="FootnoteReference"/>
        </w:rPr>
        <w:footnoteRef/>
      </w:r>
      <w:r>
        <w:t xml:space="preserve"> At that time, there were no YHPD or Special CoC NOFA grants awarded.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13B1" w14:paraId="7AC6377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B26EA4E0"/>
    <w:lvl w:ilvl="0">
      <w:start w:val="0"/>
      <w:numFmt w:val="decimal"/>
      <w:lvlText w:val="*"/>
      <w:lvlJc w:val="left"/>
    </w:lvl>
  </w:abstractNum>
  <w:abstractNum w:abstractNumId="1">
    <w:nsid w:val="01BE1717"/>
    <w:multiLevelType w:val="hybridMultilevel"/>
    <w:tmpl w:val="73DE72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71314EA"/>
    <w:multiLevelType w:val="hybridMultilevel"/>
    <w:tmpl w:val="F98894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7F040A9"/>
    <w:multiLevelType w:val="hybridMultilevel"/>
    <w:tmpl w:val="9D929986"/>
    <w:lvl w:ilvl="0">
      <w:start w:val="0"/>
      <w:numFmt w:val="bullet"/>
      <w:lvlText w:val="-"/>
      <w:lvlJc w:val="left"/>
      <w:pPr>
        <w:ind w:left="360" w:hanging="360"/>
      </w:pPr>
      <w:rPr>
        <w:rFonts w:ascii="Arial" w:eastAsia="Times New Roman" w:hAnsi="Arial" w:cs="Aria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0A1324B2"/>
    <w:multiLevelType w:val="hybridMultilevel"/>
    <w:tmpl w:val="FD6A7ED0"/>
    <w:lvl w:ilvl="0">
      <w:start w:val="0"/>
      <w:numFmt w:val="bullet"/>
      <w:lvlText w:val="-"/>
      <w:lvlJc w:val="left"/>
      <w:pPr>
        <w:ind w:left="405"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BC53562"/>
    <w:multiLevelType w:val="hybridMultilevel"/>
    <w:tmpl w:val="4DC4E5E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0BD9402D"/>
    <w:multiLevelType w:val="hybridMultilevel"/>
    <w:tmpl w:val="0EE4B7EE"/>
    <w:lvl w:ilvl="0">
      <w:start w:val="1"/>
      <w:numFmt w:val="decimal"/>
      <w:lvlText w:val="%1."/>
      <w:lvlJc w:val="left"/>
      <w:pPr>
        <w:ind w:left="360" w:hanging="360"/>
      </w:pPr>
      <w:rPr>
        <w:rFonts w:hint="default"/>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8">
    <w:nsid w:val="0E0B7D28"/>
    <w:multiLevelType w:val="singleLevel"/>
    <w:tmpl w:val="1B20EFFC"/>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9">
    <w:nsid w:val="0E8954FF"/>
    <w:multiLevelType w:val="hybridMultilevel"/>
    <w:tmpl w:val="11CE6E6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EB022B3"/>
    <w:multiLevelType w:val="hybridMultilevel"/>
    <w:tmpl w:val="DCA673E4"/>
    <w:lvl w:ilvl="0">
      <w:start w:val="0"/>
      <w:numFmt w:val="bullet"/>
      <w:lvlText w:val="-"/>
      <w:lvlJc w:val="left"/>
      <w:pPr>
        <w:ind w:left="405"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01F3AB7"/>
    <w:multiLevelType w:val="hybridMultilevel"/>
    <w:tmpl w:val="A178278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107476E1"/>
    <w:multiLevelType w:val="hybridMultilevel"/>
    <w:tmpl w:val="DB76C470"/>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1400007"/>
    <w:multiLevelType w:val="hybridMultilevel"/>
    <w:tmpl w:val="5322AF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15">
    <w:nsid w:val="128B17B9"/>
    <w:multiLevelType w:val="hybridMultilevel"/>
    <w:tmpl w:val="CF3CEF4A"/>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12CD7DE6"/>
    <w:multiLevelType w:val="hybridMultilevel"/>
    <w:tmpl w:val="685282E6"/>
    <w:lvl w:ilvl="0">
      <w:start w:val="0"/>
      <w:numFmt w:val="bullet"/>
      <w:lvlText w:val="-"/>
      <w:lvlJc w:val="left"/>
      <w:pPr>
        <w:ind w:left="405"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3746A96"/>
    <w:multiLevelType w:val="hybridMultilevel"/>
    <w:tmpl w:val="DFA8D97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17F419BE"/>
    <w:multiLevelType w:val="hybridMultilevel"/>
    <w:tmpl w:val="93F0C0A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1E89306B"/>
    <w:multiLevelType w:val="hybridMultilevel"/>
    <w:tmpl w:val="DFA8D97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22C63940"/>
    <w:multiLevelType w:val="singleLevel"/>
    <w:tmpl w:val="1B20EFFC"/>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21">
    <w:nsid w:val="249D59DC"/>
    <w:multiLevelType w:val="hybridMultilevel"/>
    <w:tmpl w:val="023AE5E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2BB56A65"/>
    <w:multiLevelType w:val="hybridMultilevel"/>
    <w:tmpl w:val="EE9C97B0"/>
    <w:lvl w:ilvl="0">
      <w:start w:val="0"/>
      <w:numFmt w:val="bullet"/>
      <w:lvlText w:val="-"/>
      <w:lvlJc w:val="left"/>
      <w:pPr>
        <w:ind w:left="360" w:hanging="360"/>
      </w:pPr>
      <w:rPr>
        <w:rFonts w:ascii="Arial" w:eastAsia="Times New Roman" w:hAnsi="Arial" w:cs="Aria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2D8D40BB"/>
    <w:multiLevelType w:val="hybridMultilevel"/>
    <w:tmpl w:val="EEB0782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2EC43F4E"/>
    <w:multiLevelType w:val="hybridMultilevel"/>
    <w:tmpl w:val="CF3CEF4A"/>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3B7248CD"/>
    <w:multiLevelType w:val="singleLevel"/>
    <w:tmpl w:val="389C343E"/>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26">
    <w:nsid w:val="3BC240E9"/>
    <w:multiLevelType w:val="hybridMultilevel"/>
    <w:tmpl w:val="B3B2260C"/>
    <w:lvl w:ilvl="0">
      <w:start w:val="0"/>
      <w:numFmt w:val="bullet"/>
      <w:lvlText w:val="-"/>
      <w:lvlJc w:val="left"/>
      <w:pPr>
        <w:ind w:left="360" w:hanging="360"/>
      </w:pPr>
      <w:rPr>
        <w:rFonts w:ascii="Arial" w:eastAsia="Times New Roman" w:hAnsi="Arial" w:cs="Aria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3EE93108"/>
    <w:multiLevelType w:val="hybridMultilevel"/>
    <w:tmpl w:val="9C0E34DE"/>
    <w:lvl w:ilvl="0">
      <w:start w:val="0"/>
      <w:numFmt w:val="bullet"/>
      <w:lvlText w:val="-"/>
      <w:lvlJc w:val="left"/>
      <w:pPr>
        <w:ind w:left="450" w:hanging="360"/>
      </w:pPr>
      <w:rPr>
        <w:rFonts w:ascii="Arial" w:eastAsia="Times New Roman" w:hAnsi="Arial" w:cs="Aria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28">
    <w:nsid w:val="409858BB"/>
    <w:multiLevelType w:val="singleLevel"/>
    <w:tmpl w:val="A8C62C48"/>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9">
    <w:nsid w:val="40A113FF"/>
    <w:multiLevelType w:val="hybridMultilevel"/>
    <w:tmpl w:val="C4F2231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nsid w:val="413548D8"/>
    <w:multiLevelType w:val="hybridMultilevel"/>
    <w:tmpl w:val="92845F6A"/>
    <w:lvl w:ilvl="0">
      <w:start w:val="0"/>
      <w:numFmt w:val="bullet"/>
      <w:lvlText w:val="-"/>
      <w:lvlJc w:val="left"/>
      <w:pPr>
        <w:ind w:left="360" w:hanging="360"/>
      </w:pPr>
      <w:rPr>
        <w:rFonts w:ascii="Arial" w:eastAsia="Times New Roman" w:hAnsi="Arial" w:cs="Aria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4193639D"/>
    <w:multiLevelType w:val="hybridMultilevel"/>
    <w:tmpl w:val="8A5C61F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4B206095"/>
    <w:multiLevelType w:val="singleLevel"/>
    <w:tmpl w:val="2FA6477C"/>
    <w:lvl w:ilvl="0">
      <w:start w:val="7"/>
      <w:numFmt w:val="decimal"/>
      <w:lvlText w:val="%1. "/>
      <w:legacy w:legacy="1" w:legacySpace="0" w:legacyIndent="360"/>
      <w:lvlJc w:val="left"/>
      <w:pPr>
        <w:ind w:left="360" w:hanging="360"/>
      </w:pPr>
      <w:rPr>
        <w:rFonts w:ascii="Times New Roman" w:hAnsi="Times New Roman" w:hint="default"/>
        <w:b w:val="0"/>
        <w:i w:val="0"/>
        <w:sz w:val="24"/>
        <w:szCs w:val="24"/>
        <w:u w:val="none"/>
      </w:rPr>
    </w:lvl>
  </w:abstractNum>
  <w:abstractNum w:abstractNumId="33">
    <w:nsid w:val="4BA675D8"/>
    <w:multiLevelType w:val="hybridMultilevel"/>
    <w:tmpl w:val="3D1852AA"/>
    <w:lvl w:ilvl="0">
      <w:start w:val="0"/>
      <w:numFmt w:val="bullet"/>
      <w:lvlText w:val="-"/>
      <w:lvlJc w:val="left"/>
      <w:pPr>
        <w:ind w:left="405"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4F010D84"/>
    <w:multiLevelType w:val="hybridMultilevel"/>
    <w:tmpl w:val="86D2A6B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nsid w:val="548D759E"/>
    <w:multiLevelType w:val="hybridMultilevel"/>
    <w:tmpl w:val="E46829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A220FD8"/>
    <w:multiLevelType w:val="singleLevel"/>
    <w:tmpl w:val="003EAA3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7">
    <w:nsid w:val="641C4989"/>
    <w:multiLevelType w:val="multilevel"/>
    <w:tmpl w:val="36B4E084"/>
    <w:lvl w:ilvl="0">
      <w:start w:val="1"/>
      <w:numFmt w:val="decimal"/>
      <w:pStyle w:val="AbtHeadAOutlined"/>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8">
    <w:nsid w:val="6A2279BD"/>
    <w:multiLevelType w:val="hybridMultilevel"/>
    <w:tmpl w:val="21367702"/>
    <w:lvl w:ilvl="0">
      <w:start w:val="1"/>
      <w:numFmt w:val="decimal"/>
      <w:lvlText w:val="%1."/>
      <w:lvlJc w:val="left"/>
      <w:pPr>
        <w:ind w:left="1080" w:hanging="360"/>
      </w:pPr>
      <w:rPr>
        <w:rFonts w:hint="default"/>
        <w:i/>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nsid w:val="6C6C4173"/>
    <w:multiLevelType w:val="hybridMultilevel"/>
    <w:tmpl w:val="51825C3A"/>
    <w:lvl w:ilvl="0">
      <w:start w:val="0"/>
      <w:numFmt w:val="bullet"/>
      <w:lvlText w:val="-"/>
      <w:lvlJc w:val="left"/>
      <w:pPr>
        <w:ind w:left="360" w:hanging="360"/>
      </w:pPr>
      <w:rPr>
        <w:rFonts w:ascii="Arial" w:eastAsia="Times New Roman" w:hAnsi="Arial" w:cs="Aria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0">
    <w:nsid w:val="718129C6"/>
    <w:multiLevelType w:val="hybridMultilevel"/>
    <w:tmpl w:val="8E26C5E8"/>
    <w:lvl w:ilvl="0">
      <w:start w:val="0"/>
      <w:numFmt w:val="bullet"/>
      <w:lvlText w:val="-"/>
      <w:lvlJc w:val="left"/>
      <w:pPr>
        <w:ind w:left="360" w:hanging="360"/>
      </w:pPr>
      <w:rPr>
        <w:rFonts w:ascii="Arial" w:eastAsia="Times New Roman" w:hAnsi="Arial" w:cs="Aria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1">
    <w:nsid w:val="71E10D88"/>
    <w:multiLevelType w:val="hybridMultilevel"/>
    <w:tmpl w:val="7374AD2C"/>
    <w:lvl w:ilvl="0">
      <w:start w:val="0"/>
      <w:numFmt w:val="bullet"/>
      <w:lvlText w:val="-"/>
      <w:lvlJc w:val="left"/>
      <w:pPr>
        <w:ind w:left="360" w:hanging="360"/>
      </w:pPr>
      <w:rPr>
        <w:rFonts w:ascii="Times New Roman" w:eastAsia="Times New Roman" w:hAnsi="Times New Roman"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2">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43">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44">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45">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16cid:durableId="743601999">
    <w:abstractNumId w:val="20"/>
  </w:num>
  <w:num w:numId="2" w16cid:durableId="1939675396">
    <w:abstractNumId w:val="8"/>
  </w:num>
  <w:num w:numId="3" w16cid:durableId="1587377701">
    <w:abstractNumId w:val="36"/>
  </w:num>
  <w:num w:numId="4" w16cid:durableId="887451858">
    <w:abstractNumId w:val="25"/>
  </w:num>
  <w:num w:numId="5" w16cid:durableId="1830825219">
    <w:abstractNumId w:val="28"/>
  </w:num>
  <w:num w:numId="6" w16cid:durableId="2036811765">
    <w:abstractNumId w:val="28"/>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16cid:durableId="1017346939">
    <w:abstractNumId w:val="14"/>
  </w:num>
  <w:num w:numId="8" w16cid:durableId="1708868018">
    <w:abstractNumId w:val="45"/>
  </w:num>
  <w:num w:numId="9" w16cid:durableId="36247648">
    <w:abstractNumId w:val="7"/>
  </w:num>
  <w:num w:numId="10" w16cid:durableId="1269002932">
    <w:abstractNumId w:val="44"/>
  </w:num>
  <w:num w:numId="11" w16cid:durableId="804929379">
    <w:abstractNumId w:val="43"/>
  </w:num>
  <w:num w:numId="12" w16cid:durableId="1778601022">
    <w:abstractNumId w:val="43"/>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13" w16cid:durableId="962225968">
    <w:abstractNumId w:val="32"/>
  </w:num>
  <w:num w:numId="14" w16cid:durableId="1774594277">
    <w:abstractNumId w:val="0"/>
    <w:lvlOverride w:ilvl="0">
      <w:lvl w:ilvl="0">
        <w:start w:val="1"/>
        <w:numFmt w:val="bullet"/>
        <w:lvlText w:val=""/>
        <w:legacy w:legacy="1" w:legacySpace="0" w:legacyIndent="144"/>
        <w:lvlJc w:val="left"/>
        <w:pPr>
          <w:ind w:left="684" w:hanging="144"/>
        </w:pPr>
        <w:rPr>
          <w:rFonts w:ascii="Symbol" w:hAnsi="Symbol" w:hint="default"/>
          <w:sz w:val="16"/>
        </w:rPr>
      </w:lvl>
    </w:lvlOverride>
  </w:num>
  <w:num w:numId="15" w16cid:durableId="175507719">
    <w:abstractNumId w:val="2"/>
  </w:num>
  <w:num w:numId="16" w16cid:durableId="1290088743">
    <w:abstractNumId w:val="24"/>
  </w:num>
  <w:num w:numId="17" w16cid:durableId="1490514234">
    <w:abstractNumId w:val="23"/>
  </w:num>
  <w:num w:numId="18" w16cid:durableId="931596244">
    <w:abstractNumId w:val="15"/>
  </w:num>
  <w:num w:numId="19" w16cid:durableId="1700814820">
    <w:abstractNumId w:val="19"/>
  </w:num>
  <w:num w:numId="20" w16cid:durableId="1895390254">
    <w:abstractNumId w:val="34"/>
  </w:num>
  <w:num w:numId="21" w16cid:durableId="1843665785">
    <w:abstractNumId w:val="17"/>
  </w:num>
  <w:num w:numId="22" w16cid:durableId="175579880">
    <w:abstractNumId w:val="18"/>
  </w:num>
  <w:num w:numId="23" w16cid:durableId="258106368">
    <w:abstractNumId w:val="13"/>
  </w:num>
  <w:num w:numId="24" w16cid:durableId="1296523734">
    <w:abstractNumId w:val="42"/>
  </w:num>
  <w:num w:numId="25" w16cid:durableId="298195624">
    <w:abstractNumId w:val="37"/>
  </w:num>
  <w:num w:numId="26" w16cid:durableId="1822580983">
    <w:abstractNumId w:val="4"/>
  </w:num>
  <w:num w:numId="27" w16cid:durableId="1669792714">
    <w:abstractNumId w:val="33"/>
  </w:num>
  <w:num w:numId="28" w16cid:durableId="965354757">
    <w:abstractNumId w:val="16"/>
  </w:num>
  <w:num w:numId="29" w16cid:durableId="965307953">
    <w:abstractNumId w:val="10"/>
  </w:num>
  <w:num w:numId="30" w16cid:durableId="1940405714">
    <w:abstractNumId w:val="27"/>
  </w:num>
  <w:num w:numId="31" w16cid:durableId="1058935947">
    <w:abstractNumId w:val="41"/>
  </w:num>
  <w:num w:numId="32" w16cid:durableId="1215191604">
    <w:abstractNumId w:val="6"/>
  </w:num>
  <w:num w:numId="33" w16cid:durableId="408582671">
    <w:abstractNumId w:val="12"/>
  </w:num>
  <w:num w:numId="34" w16cid:durableId="19430187">
    <w:abstractNumId w:val="39"/>
  </w:num>
  <w:num w:numId="35" w16cid:durableId="1505171862">
    <w:abstractNumId w:val="3"/>
  </w:num>
  <w:num w:numId="36" w16cid:durableId="1885559963">
    <w:abstractNumId w:val="26"/>
  </w:num>
  <w:num w:numId="37" w16cid:durableId="1163933713">
    <w:abstractNumId w:val="30"/>
  </w:num>
  <w:num w:numId="38" w16cid:durableId="203056270">
    <w:abstractNumId w:val="22"/>
  </w:num>
  <w:num w:numId="39" w16cid:durableId="1932155556">
    <w:abstractNumId w:val="40"/>
  </w:num>
  <w:num w:numId="40" w16cid:durableId="202719964">
    <w:abstractNumId w:val="1"/>
  </w:num>
  <w:num w:numId="41" w16cid:durableId="7486165">
    <w:abstractNumId w:val="29"/>
  </w:num>
  <w:num w:numId="42" w16cid:durableId="883907319">
    <w:abstractNumId w:val="9"/>
  </w:num>
  <w:num w:numId="43" w16cid:durableId="108208828">
    <w:abstractNumId w:val="31"/>
  </w:num>
  <w:num w:numId="44" w16cid:durableId="227810107">
    <w:abstractNumId w:val="38"/>
  </w:num>
  <w:num w:numId="45" w16cid:durableId="60445265">
    <w:abstractNumId w:val="21"/>
  </w:num>
  <w:num w:numId="46" w16cid:durableId="4064377">
    <w:abstractNumId w:val="35"/>
  </w:num>
  <w:num w:numId="47" w16cid:durableId="1068265135">
    <w:abstractNumId w:val="5"/>
  </w:num>
  <w:num w:numId="48" w16cid:durableId="1918415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footnotePr>
    <w:footnote w:id="0"/>
    <w:footnote w:id="1"/>
    <w:footnote w:id="2"/>
  </w:foot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940"/>
    <w:rsid w:val="000553B4"/>
    <w:rsid w:val="00082FF0"/>
    <w:rsid w:val="000915C4"/>
    <w:rsid w:val="000970DE"/>
    <w:rsid w:val="000A1639"/>
    <w:rsid w:val="000C117C"/>
    <w:rsid w:val="000C38FD"/>
    <w:rsid w:val="000D5079"/>
    <w:rsid w:val="000E00A8"/>
    <w:rsid w:val="000E2A89"/>
    <w:rsid w:val="000E51BC"/>
    <w:rsid w:val="0013376F"/>
    <w:rsid w:val="00137CDD"/>
    <w:rsid w:val="00145121"/>
    <w:rsid w:val="0016696C"/>
    <w:rsid w:val="00167E53"/>
    <w:rsid w:val="001D3070"/>
    <w:rsid w:val="00203633"/>
    <w:rsid w:val="0023256B"/>
    <w:rsid w:val="002756B3"/>
    <w:rsid w:val="0028513A"/>
    <w:rsid w:val="002C3CC5"/>
    <w:rsid w:val="002C5BA8"/>
    <w:rsid w:val="002C6BCA"/>
    <w:rsid w:val="002D03BD"/>
    <w:rsid w:val="002D361A"/>
    <w:rsid w:val="002E4695"/>
    <w:rsid w:val="002F50F0"/>
    <w:rsid w:val="002F6CE8"/>
    <w:rsid w:val="00301928"/>
    <w:rsid w:val="003035C0"/>
    <w:rsid w:val="003343EB"/>
    <w:rsid w:val="00360090"/>
    <w:rsid w:val="003654E2"/>
    <w:rsid w:val="0036685A"/>
    <w:rsid w:val="00374BD4"/>
    <w:rsid w:val="0039615F"/>
    <w:rsid w:val="00397B5A"/>
    <w:rsid w:val="003B2789"/>
    <w:rsid w:val="003B3E48"/>
    <w:rsid w:val="003F56B4"/>
    <w:rsid w:val="004059F8"/>
    <w:rsid w:val="004410E6"/>
    <w:rsid w:val="004472C3"/>
    <w:rsid w:val="00450591"/>
    <w:rsid w:val="00486E85"/>
    <w:rsid w:val="004A206B"/>
    <w:rsid w:val="004B438B"/>
    <w:rsid w:val="005250F3"/>
    <w:rsid w:val="00532200"/>
    <w:rsid w:val="00551A65"/>
    <w:rsid w:val="00565CD9"/>
    <w:rsid w:val="0058747D"/>
    <w:rsid w:val="005927D5"/>
    <w:rsid w:val="0059713C"/>
    <w:rsid w:val="005C0C1F"/>
    <w:rsid w:val="005D708A"/>
    <w:rsid w:val="005F1120"/>
    <w:rsid w:val="0062648E"/>
    <w:rsid w:val="006A46C7"/>
    <w:rsid w:val="006B7674"/>
    <w:rsid w:val="006B77DD"/>
    <w:rsid w:val="006C4830"/>
    <w:rsid w:val="006C7FAE"/>
    <w:rsid w:val="006E714C"/>
    <w:rsid w:val="00702A33"/>
    <w:rsid w:val="007343D3"/>
    <w:rsid w:val="0078584F"/>
    <w:rsid w:val="00786E43"/>
    <w:rsid w:val="007B3F44"/>
    <w:rsid w:val="007B4A33"/>
    <w:rsid w:val="007B5D52"/>
    <w:rsid w:val="007B676B"/>
    <w:rsid w:val="007C22A9"/>
    <w:rsid w:val="007D229F"/>
    <w:rsid w:val="007E5DC7"/>
    <w:rsid w:val="008314BA"/>
    <w:rsid w:val="00871CFA"/>
    <w:rsid w:val="0087441D"/>
    <w:rsid w:val="008A7175"/>
    <w:rsid w:val="008B0EA5"/>
    <w:rsid w:val="008B35F2"/>
    <w:rsid w:val="008C2E6D"/>
    <w:rsid w:val="008E0A84"/>
    <w:rsid w:val="00907684"/>
    <w:rsid w:val="00925204"/>
    <w:rsid w:val="00926621"/>
    <w:rsid w:val="0093361F"/>
    <w:rsid w:val="0096302E"/>
    <w:rsid w:val="009B6253"/>
    <w:rsid w:val="009E0C3E"/>
    <w:rsid w:val="009E13B1"/>
    <w:rsid w:val="009E1A74"/>
    <w:rsid w:val="00A0658C"/>
    <w:rsid w:val="00A16FA9"/>
    <w:rsid w:val="00A47BDA"/>
    <w:rsid w:val="00A64096"/>
    <w:rsid w:val="00A65F9E"/>
    <w:rsid w:val="00A83E46"/>
    <w:rsid w:val="00A86252"/>
    <w:rsid w:val="00AA750C"/>
    <w:rsid w:val="00AF6177"/>
    <w:rsid w:val="00B01940"/>
    <w:rsid w:val="00B03398"/>
    <w:rsid w:val="00B04BA6"/>
    <w:rsid w:val="00B94401"/>
    <w:rsid w:val="00BA7C35"/>
    <w:rsid w:val="00BB2518"/>
    <w:rsid w:val="00BC10AF"/>
    <w:rsid w:val="00BC50C0"/>
    <w:rsid w:val="00BF44BD"/>
    <w:rsid w:val="00C06B8A"/>
    <w:rsid w:val="00C45E8B"/>
    <w:rsid w:val="00C46C1F"/>
    <w:rsid w:val="00C84031"/>
    <w:rsid w:val="00CA06CC"/>
    <w:rsid w:val="00CD0D24"/>
    <w:rsid w:val="00CD1932"/>
    <w:rsid w:val="00CE1567"/>
    <w:rsid w:val="00D138AA"/>
    <w:rsid w:val="00D36955"/>
    <w:rsid w:val="00D5230A"/>
    <w:rsid w:val="00D601D8"/>
    <w:rsid w:val="00D624D8"/>
    <w:rsid w:val="00D663E9"/>
    <w:rsid w:val="00D6748D"/>
    <w:rsid w:val="00D717DB"/>
    <w:rsid w:val="00D74136"/>
    <w:rsid w:val="00D81406"/>
    <w:rsid w:val="00D85E64"/>
    <w:rsid w:val="00D93DF1"/>
    <w:rsid w:val="00D94CB1"/>
    <w:rsid w:val="00DB1949"/>
    <w:rsid w:val="00DB722A"/>
    <w:rsid w:val="00DD3286"/>
    <w:rsid w:val="00E01140"/>
    <w:rsid w:val="00E60289"/>
    <w:rsid w:val="00E61F33"/>
    <w:rsid w:val="00E712F7"/>
    <w:rsid w:val="00EE0A24"/>
    <w:rsid w:val="00F035D5"/>
    <w:rsid w:val="00F27C8F"/>
    <w:rsid w:val="00F5145B"/>
    <w:rsid w:val="00F6496C"/>
    <w:rsid w:val="00F65B1D"/>
    <w:rsid w:val="00F918A3"/>
    <w:rsid w:val="00F97726"/>
    <w:rsid w:val="00FA0983"/>
    <w:rsid w:val="00FB1497"/>
    <w:rsid w:val="00FD51CC"/>
    <w:rsid w:val="00FE68C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D20CF03"/>
  <w15:chartTrackingRefBased/>
  <w15:docId w15:val="{F7597895-8326-40A1-A80F-1BD1C84C7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link w:val="Heading1Char"/>
    <w:qFormat/>
    <w:rsid w:val="00D36955"/>
    <w:pPr>
      <w:keepNext/>
      <w:keepLines/>
      <w:framePr w:hSpace="187" w:vSpace="187" w:wrap="notBeside" w:vAnchor="text" w:hAnchor="text" w:y="1"/>
      <w:tabs>
        <w:tab w:val="left" w:pos="720"/>
        <w:tab w:val="left" w:pos="1080"/>
        <w:tab w:val="left" w:pos="1440"/>
        <w:tab w:val="left" w:pos="1800"/>
      </w:tabs>
      <w:overflowPunct/>
      <w:autoSpaceDE/>
      <w:autoSpaceDN/>
      <w:adjustRightInd/>
      <w:spacing w:before="240" w:after="200" w:line="264" w:lineRule="auto"/>
      <w:textAlignment w:val="auto"/>
      <w:outlineLvl w:val="0"/>
    </w:pPr>
    <w:rPr>
      <w:rFonts w:ascii="Arial" w:hAnsi="Arial"/>
      <w:b/>
      <w:kern w:val="28"/>
      <w:sz w:val="36"/>
    </w:rPr>
  </w:style>
  <w:style w:type="paragraph" w:styleId="Heading2">
    <w:name w:val="heading 2"/>
    <w:basedOn w:val="Normal"/>
    <w:next w:val="Normal"/>
    <w:link w:val="Heading2Char"/>
    <w:qFormat/>
    <w:rsid w:val="00D36955"/>
    <w:pPr>
      <w:keepNext/>
      <w:tabs>
        <w:tab w:val="left" w:pos="720"/>
        <w:tab w:val="left" w:pos="1080"/>
        <w:tab w:val="left" w:pos="1440"/>
        <w:tab w:val="left" w:pos="1800"/>
      </w:tabs>
      <w:overflowPunct/>
      <w:autoSpaceDE/>
      <w:autoSpaceDN/>
      <w:adjustRightInd/>
      <w:spacing w:line="264" w:lineRule="auto"/>
      <w:jc w:val="center"/>
      <w:textAlignment w:val="auto"/>
      <w:outlineLvl w:val="1"/>
    </w:pPr>
    <w:rPr>
      <w:rFonts w:ascii="Arial" w:hAnsi="Arial" w:cs="Arial"/>
      <w:b/>
    </w:rPr>
  </w:style>
  <w:style w:type="paragraph" w:styleId="Heading3">
    <w:name w:val="heading 3"/>
    <w:basedOn w:val="Normal"/>
    <w:next w:val="Normal"/>
    <w:link w:val="Heading3Char"/>
    <w:qFormat/>
    <w:rsid w:val="00D36955"/>
    <w:pPr>
      <w:keepNext/>
      <w:tabs>
        <w:tab w:val="left" w:pos="720"/>
        <w:tab w:val="left" w:pos="1080"/>
        <w:tab w:val="left" w:pos="1440"/>
        <w:tab w:val="left" w:pos="1800"/>
      </w:tabs>
      <w:overflowPunct/>
      <w:autoSpaceDE/>
      <w:autoSpaceDN/>
      <w:adjustRightInd/>
      <w:spacing w:before="240" w:after="60" w:line="264" w:lineRule="auto"/>
      <w:textAlignment w:val="auto"/>
      <w:outlineLvl w:val="2"/>
    </w:pPr>
    <w:rPr>
      <w:rFonts w:ascii="Arial" w:hAnsi="Arial"/>
      <w:sz w:val="24"/>
    </w:rPr>
  </w:style>
  <w:style w:type="paragraph" w:styleId="Heading4">
    <w:name w:val="heading 4"/>
    <w:basedOn w:val="Normal"/>
    <w:link w:val="Heading4Char"/>
    <w:qFormat/>
    <w:rsid w:val="00D36955"/>
    <w:pPr>
      <w:keepNext/>
      <w:tabs>
        <w:tab w:val="left" w:pos="720"/>
        <w:tab w:val="left" w:pos="1080"/>
        <w:tab w:val="left" w:pos="1440"/>
        <w:tab w:val="left" w:pos="1800"/>
      </w:tabs>
      <w:overflowPunct/>
      <w:autoSpaceDE/>
      <w:autoSpaceDN/>
      <w:adjustRightInd/>
      <w:spacing w:line="264" w:lineRule="auto"/>
      <w:textAlignment w:val="auto"/>
      <w:outlineLvl w:val="3"/>
    </w:pPr>
    <w:rPr>
      <w:b/>
      <w:i/>
      <w:sz w:val="22"/>
    </w:rPr>
  </w:style>
  <w:style w:type="paragraph" w:styleId="Heading5">
    <w:name w:val="heading 5"/>
    <w:basedOn w:val="Normal"/>
    <w:link w:val="Heading5Char"/>
    <w:qFormat/>
    <w:rsid w:val="00D36955"/>
    <w:pPr>
      <w:keepNext/>
      <w:tabs>
        <w:tab w:val="left" w:pos="720"/>
        <w:tab w:val="left" w:pos="1080"/>
        <w:tab w:val="left" w:pos="1440"/>
        <w:tab w:val="left" w:pos="1800"/>
      </w:tabs>
      <w:overflowPunct/>
      <w:autoSpaceDE/>
      <w:autoSpaceDN/>
      <w:adjustRightInd/>
      <w:spacing w:line="264" w:lineRule="auto"/>
      <w:textAlignment w:val="auto"/>
      <w:outlineLvl w:val="4"/>
    </w:pPr>
    <w:rPr>
      <w:rFonts w:ascii="Arial" w:hAnsi="Arial"/>
      <w:b/>
      <w:sz w:val="24"/>
    </w:rPr>
  </w:style>
  <w:style w:type="paragraph" w:styleId="Heading6">
    <w:name w:val="heading 6"/>
    <w:basedOn w:val="Normal"/>
    <w:next w:val="Normal"/>
    <w:link w:val="Heading6Char"/>
    <w:qFormat/>
    <w:rsid w:val="00D36955"/>
    <w:pPr>
      <w:keepNext/>
      <w:tabs>
        <w:tab w:val="left" w:pos="720"/>
        <w:tab w:val="left" w:pos="1080"/>
        <w:tab w:val="left" w:pos="1440"/>
        <w:tab w:val="left" w:pos="1800"/>
      </w:tabs>
      <w:overflowPunct/>
      <w:autoSpaceDE/>
      <w:autoSpaceDN/>
      <w:adjustRightInd/>
      <w:spacing w:line="264" w:lineRule="auto"/>
      <w:jc w:val="center"/>
      <w:textAlignment w:val="auto"/>
      <w:outlineLvl w:val="5"/>
    </w:pPr>
    <w:rPr>
      <w:rFonts w:ascii="Arial" w:hAnsi="Arial" w:cs="Arial"/>
      <w:b/>
      <w:sz w:val="18"/>
      <w:szCs w:val="22"/>
    </w:rPr>
  </w:style>
  <w:style w:type="paragraph" w:styleId="Heading7">
    <w:name w:val="heading 7"/>
    <w:basedOn w:val="Normal"/>
    <w:next w:val="Normal"/>
    <w:link w:val="Heading7Char"/>
    <w:qFormat/>
    <w:rsid w:val="00D36955"/>
    <w:pPr>
      <w:keepNext/>
      <w:tabs>
        <w:tab w:val="left" w:pos="720"/>
        <w:tab w:val="left" w:pos="1080"/>
        <w:tab w:val="left" w:pos="1440"/>
        <w:tab w:val="left" w:pos="1800"/>
      </w:tabs>
      <w:overflowPunct/>
      <w:autoSpaceDE/>
      <w:autoSpaceDN/>
      <w:adjustRightInd/>
      <w:spacing w:line="264" w:lineRule="auto"/>
      <w:textAlignment w:val="auto"/>
      <w:outlineLvl w:val="6"/>
    </w:pPr>
    <w:rPr>
      <w:rFonts w:ascii="Arial" w:hAnsi="Arial" w:cs="Arial"/>
      <w:b/>
      <w:u w:val="single"/>
    </w:rPr>
  </w:style>
  <w:style w:type="paragraph" w:styleId="Heading8">
    <w:name w:val="heading 8"/>
    <w:basedOn w:val="Normal"/>
    <w:next w:val="Normal"/>
    <w:link w:val="Heading8Char"/>
    <w:qFormat/>
    <w:rsid w:val="00D36955"/>
    <w:pPr>
      <w:keepNext/>
      <w:tabs>
        <w:tab w:val="left" w:pos="720"/>
        <w:tab w:val="left" w:pos="1080"/>
        <w:tab w:val="left" w:pos="1440"/>
        <w:tab w:val="left" w:pos="1800"/>
      </w:tabs>
      <w:overflowPunct/>
      <w:autoSpaceDE/>
      <w:autoSpaceDN/>
      <w:adjustRightInd/>
      <w:spacing w:after="40" w:line="264" w:lineRule="auto"/>
      <w:ind w:left="109"/>
      <w:textAlignment w:val="auto"/>
      <w:outlineLvl w:val="7"/>
    </w:pPr>
    <w:rPr>
      <w:b/>
      <w:bCs/>
      <w:sz w:val="24"/>
    </w:rPr>
  </w:style>
  <w:style w:type="paragraph" w:styleId="Heading9">
    <w:name w:val="heading 9"/>
    <w:basedOn w:val="Normal"/>
    <w:next w:val="Normal"/>
    <w:link w:val="Heading9Char"/>
    <w:qFormat/>
    <w:rsid w:val="00D36955"/>
    <w:pPr>
      <w:keepNext/>
      <w:tabs>
        <w:tab w:val="left" w:pos="720"/>
        <w:tab w:val="left" w:pos="1080"/>
        <w:tab w:val="left" w:pos="1440"/>
        <w:tab w:val="left" w:pos="1800"/>
      </w:tabs>
      <w:overflowPunct/>
      <w:autoSpaceDE/>
      <w:autoSpaceDN/>
      <w:adjustRightInd/>
      <w:spacing w:line="264" w:lineRule="auto"/>
      <w:ind w:left="880"/>
      <w:textAlignment w:val="auto"/>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semiHidden/>
    <w:unhideWhenUsed/>
    <w:rsid w:val="006C7FAE"/>
    <w:rPr>
      <w:rFonts w:ascii="Segoe UI" w:hAnsi="Segoe UI" w:cs="Segoe UI"/>
      <w:sz w:val="18"/>
      <w:szCs w:val="18"/>
    </w:rPr>
  </w:style>
  <w:style w:type="character" w:customStyle="1" w:styleId="BalloonTextChar">
    <w:name w:val="Balloon Text Char"/>
    <w:link w:val="BalloonText"/>
    <w:uiPriority w:val="99"/>
    <w:semiHidden/>
    <w:rsid w:val="006C7FAE"/>
    <w:rPr>
      <w:rFonts w:ascii="Segoe UI" w:hAnsi="Segoe UI" w:cs="Segoe UI"/>
      <w:sz w:val="18"/>
      <w:szCs w:val="18"/>
    </w:rPr>
  </w:style>
  <w:style w:type="paragraph" w:styleId="ListParagraph">
    <w:name w:val="List Paragraph"/>
    <w:basedOn w:val="Normal"/>
    <w:uiPriority w:val="34"/>
    <w:qFormat/>
    <w:rsid w:val="00A65F9E"/>
    <w:pPr>
      <w:ind w:left="720"/>
    </w:pPr>
  </w:style>
  <w:style w:type="paragraph" w:styleId="BodyText">
    <w:name w:val="Body Text"/>
    <w:aliases w:val="3 indent Char Char,BT,Body Text - Level 2 Char Char,Body Text Char1,Body Text1 Char Char,Starbucks Body Text Char Char,body text Char Char,body text1 Char Char,bold,bt,bt Char Char,bullet3,heading3 Char Char,heading31 Char Char"/>
    <w:basedOn w:val="Normal"/>
    <w:link w:val="BodyTextChar"/>
    <w:unhideWhenUsed/>
    <w:rsid w:val="00082FF0"/>
    <w:pPr>
      <w:spacing w:after="120"/>
    </w:pPr>
  </w:style>
  <w:style w:type="character" w:customStyle="1" w:styleId="BodyTextChar">
    <w:name w:val="Body Text Char"/>
    <w:aliases w:val="3 indent Char Char Char,BT Char,Body Text - Level 2 Char Char Char,Body Text Char1 Char,Body Text1 Char Char Char,Starbucks Body Text Char Char Char,body text Char Char Char,bt Char,bt Char Char Char,bullet3 Char,heading3 Char Char Char"/>
    <w:basedOn w:val="DefaultParagraphFont"/>
    <w:link w:val="BodyText"/>
    <w:uiPriority w:val="99"/>
    <w:rsid w:val="00082FF0"/>
  </w:style>
  <w:style w:type="paragraph" w:styleId="CommentText">
    <w:name w:val="annotation text"/>
    <w:basedOn w:val="Normal"/>
    <w:link w:val="CommentTextChar"/>
    <w:uiPriority w:val="99"/>
    <w:unhideWhenUsed/>
    <w:rsid w:val="00082FF0"/>
  </w:style>
  <w:style w:type="character" w:customStyle="1" w:styleId="CommentTextChar">
    <w:name w:val="Comment Text Char"/>
    <w:basedOn w:val="DefaultParagraphFont"/>
    <w:link w:val="CommentText"/>
    <w:uiPriority w:val="99"/>
    <w:rsid w:val="00082FF0"/>
  </w:style>
  <w:style w:type="character" w:styleId="CommentReference">
    <w:name w:val="annotation reference"/>
    <w:uiPriority w:val="99"/>
    <w:semiHidden/>
    <w:rsid w:val="00082FF0"/>
    <w:rPr>
      <w:sz w:val="16"/>
    </w:rPr>
  </w:style>
  <w:style w:type="paragraph" w:styleId="CommentSubject">
    <w:name w:val="annotation subject"/>
    <w:basedOn w:val="CommentText"/>
    <w:next w:val="CommentText"/>
    <w:link w:val="CommentSubjectChar"/>
    <w:semiHidden/>
    <w:unhideWhenUsed/>
    <w:rsid w:val="00D36955"/>
    <w:rPr>
      <w:b/>
      <w:bCs/>
    </w:rPr>
  </w:style>
  <w:style w:type="character" w:customStyle="1" w:styleId="CommentSubjectChar">
    <w:name w:val="Comment Subject Char"/>
    <w:basedOn w:val="CommentTextChar"/>
    <w:link w:val="CommentSubject"/>
    <w:uiPriority w:val="99"/>
    <w:semiHidden/>
    <w:rsid w:val="00D36955"/>
    <w:rPr>
      <w:b/>
      <w:bCs/>
    </w:rPr>
  </w:style>
  <w:style w:type="character" w:styleId="PageNumber">
    <w:name w:val="page number"/>
    <w:rsid w:val="00D36955"/>
    <w:rPr>
      <w:rFonts w:ascii="Arial" w:hAnsi="Arial"/>
      <w:dstrike w:val="0"/>
      <w:color w:val="auto"/>
      <w:sz w:val="18"/>
      <w:bdr w:val="none" w:sz="0" w:space="0" w:color="auto"/>
      <w:vertAlign w:val="baseline"/>
    </w:rPr>
  </w:style>
  <w:style w:type="paragraph" w:styleId="FootnoteText">
    <w:name w:val="footnote text"/>
    <w:basedOn w:val="Normal"/>
    <w:link w:val="FootnoteTextChar"/>
    <w:semiHidden/>
    <w:unhideWhenUsed/>
    <w:rsid w:val="00D36955"/>
  </w:style>
  <w:style w:type="character" w:customStyle="1" w:styleId="FootnoteTextChar">
    <w:name w:val="Footnote Text Char"/>
    <w:basedOn w:val="DefaultParagraphFont"/>
    <w:link w:val="FootnoteText"/>
    <w:rsid w:val="00D36955"/>
  </w:style>
  <w:style w:type="character" w:styleId="FootnoteReference">
    <w:name w:val="footnote reference"/>
    <w:semiHidden/>
    <w:rsid w:val="00D36955"/>
    <w:rPr>
      <w:vertAlign w:val="superscript"/>
    </w:rPr>
  </w:style>
  <w:style w:type="paragraph" w:styleId="BodyTextIndent">
    <w:name w:val="Body Text Indent"/>
    <w:basedOn w:val="Normal"/>
    <w:link w:val="BodyTextIndentChar"/>
    <w:unhideWhenUsed/>
    <w:rsid w:val="00D36955"/>
    <w:pPr>
      <w:spacing w:after="120"/>
      <w:ind w:left="360"/>
    </w:pPr>
  </w:style>
  <w:style w:type="character" w:customStyle="1" w:styleId="BodyTextIndentChar">
    <w:name w:val="Body Text Indent Char"/>
    <w:basedOn w:val="DefaultParagraphFont"/>
    <w:link w:val="BodyTextIndent"/>
    <w:uiPriority w:val="99"/>
    <w:semiHidden/>
    <w:rsid w:val="00D36955"/>
  </w:style>
  <w:style w:type="character" w:customStyle="1" w:styleId="Heading1Char">
    <w:name w:val="Heading 1 Char"/>
    <w:basedOn w:val="DefaultParagraphFont"/>
    <w:link w:val="Heading1"/>
    <w:rsid w:val="00D36955"/>
    <w:rPr>
      <w:rFonts w:ascii="Arial" w:hAnsi="Arial"/>
      <w:b/>
      <w:kern w:val="28"/>
      <w:sz w:val="36"/>
    </w:rPr>
  </w:style>
  <w:style w:type="character" w:customStyle="1" w:styleId="Heading2Char">
    <w:name w:val="Heading 2 Char"/>
    <w:basedOn w:val="DefaultParagraphFont"/>
    <w:link w:val="Heading2"/>
    <w:rsid w:val="00D36955"/>
    <w:rPr>
      <w:rFonts w:ascii="Arial" w:hAnsi="Arial" w:cs="Arial"/>
      <w:b/>
    </w:rPr>
  </w:style>
  <w:style w:type="character" w:customStyle="1" w:styleId="Heading3Char">
    <w:name w:val="Heading 3 Char"/>
    <w:basedOn w:val="DefaultParagraphFont"/>
    <w:link w:val="Heading3"/>
    <w:rsid w:val="00D36955"/>
    <w:rPr>
      <w:rFonts w:ascii="Arial" w:hAnsi="Arial"/>
      <w:sz w:val="24"/>
    </w:rPr>
  </w:style>
  <w:style w:type="character" w:customStyle="1" w:styleId="Heading4Char">
    <w:name w:val="Heading 4 Char"/>
    <w:basedOn w:val="DefaultParagraphFont"/>
    <w:link w:val="Heading4"/>
    <w:rsid w:val="00D36955"/>
    <w:rPr>
      <w:b/>
      <w:i/>
      <w:sz w:val="22"/>
    </w:rPr>
  </w:style>
  <w:style w:type="character" w:customStyle="1" w:styleId="Heading5Char">
    <w:name w:val="Heading 5 Char"/>
    <w:basedOn w:val="DefaultParagraphFont"/>
    <w:link w:val="Heading5"/>
    <w:rsid w:val="00D36955"/>
    <w:rPr>
      <w:rFonts w:ascii="Arial" w:hAnsi="Arial"/>
      <w:b/>
      <w:sz w:val="24"/>
    </w:rPr>
  </w:style>
  <w:style w:type="character" w:customStyle="1" w:styleId="Heading6Char">
    <w:name w:val="Heading 6 Char"/>
    <w:basedOn w:val="DefaultParagraphFont"/>
    <w:link w:val="Heading6"/>
    <w:rsid w:val="00D36955"/>
    <w:rPr>
      <w:rFonts w:ascii="Arial" w:hAnsi="Arial" w:cs="Arial"/>
      <w:b/>
      <w:sz w:val="18"/>
      <w:szCs w:val="22"/>
    </w:rPr>
  </w:style>
  <w:style w:type="character" w:customStyle="1" w:styleId="Heading7Char">
    <w:name w:val="Heading 7 Char"/>
    <w:basedOn w:val="DefaultParagraphFont"/>
    <w:link w:val="Heading7"/>
    <w:rsid w:val="00D36955"/>
    <w:rPr>
      <w:rFonts w:ascii="Arial" w:hAnsi="Arial" w:cs="Arial"/>
      <w:b/>
      <w:u w:val="single"/>
    </w:rPr>
  </w:style>
  <w:style w:type="character" w:customStyle="1" w:styleId="Heading8Char">
    <w:name w:val="Heading 8 Char"/>
    <w:basedOn w:val="DefaultParagraphFont"/>
    <w:link w:val="Heading8"/>
    <w:rsid w:val="00D36955"/>
    <w:rPr>
      <w:b/>
      <w:bCs/>
      <w:sz w:val="24"/>
    </w:rPr>
  </w:style>
  <w:style w:type="character" w:customStyle="1" w:styleId="Heading9Char">
    <w:name w:val="Heading 9 Char"/>
    <w:basedOn w:val="DefaultParagraphFont"/>
    <w:link w:val="Heading9"/>
    <w:rsid w:val="00D36955"/>
    <w:rPr>
      <w:b/>
      <w:bCs/>
    </w:rPr>
  </w:style>
  <w:style w:type="numbering" w:customStyle="1" w:styleId="NoList1">
    <w:name w:val="No List1"/>
    <w:next w:val="NoList"/>
    <w:uiPriority w:val="99"/>
    <w:semiHidden/>
    <w:unhideWhenUsed/>
    <w:rsid w:val="00D36955"/>
  </w:style>
  <w:style w:type="paragraph" w:customStyle="1" w:styleId="AbtHeadA">
    <w:name w:val="AbtHead A"/>
    <w:basedOn w:val="Normal"/>
    <w:next w:val="BodyText"/>
    <w:link w:val="AbtHeadAChar"/>
    <w:rsid w:val="00D36955"/>
    <w:pPr>
      <w:keepNext/>
      <w:keepLines/>
      <w:tabs>
        <w:tab w:val="left" w:pos="720"/>
        <w:tab w:val="left" w:pos="1080"/>
        <w:tab w:val="left" w:pos="1440"/>
        <w:tab w:val="left" w:pos="1800"/>
      </w:tabs>
      <w:overflowPunct/>
      <w:autoSpaceDE/>
      <w:autoSpaceDN/>
      <w:adjustRightInd/>
      <w:spacing w:after="360" w:line="264" w:lineRule="auto"/>
      <w:textAlignment w:val="auto"/>
      <w:outlineLvl w:val="0"/>
    </w:pPr>
    <w:rPr>
      <w:rFonts w:ascii="Arial" w:hAnsi="Arial"/>
      <w:b/>
      <w:sz w:val="36"/>
    </w:rPr>
  </w:style>
  <w:style w:type="paragraph" w:customStyle="1" w:styleId="full-govpro">
    <w:name w:val="full-govpro"/>
    <w:rsid w:val="00D36955"/>
    <w:pPr>
      <w:tabs>
        <w:tab w:val="left" w:pos="720"/>
        <w:tab w:val="left" w:pos="1080"/>
        <w:tab w:val="left" w:pos="1440"/>
        <w:tab w:val="left" w:pos="1800"/>
      </w:tabs>
      <w:spacing w:line="264" w:lineRule="auto"/>
    </w:pPr>
    <w:rPr>
      <w:sz w:val="22"/>
    </w:rPr>
  </w:style>
  <w:style w:type="paragraph" w:customStyle="1" w:styleId="AbtHeadB">
    <w:name w:val="AbtHead B"/>
    <w:basedOn w:val="Normal"/>
    <w:next w:val="BodyText"/>
    <w:rsid w:val="00D36955"/>
    <w:pPr>
      <w:keepNext/>
      <w:keepLines/>
      <w:tabs>
        <w:tab w:val="left" w:pos="720"/>
        <w:tab w:val="left" w:pos="1080"/>
        <w:tab w:val="left" w:pos="1440"/>
        <w:tab w:val="left" w:pos="1800"/>
      </w:tabs>
      <w:overflowPunct/>
      <w:autoSpaceDE/>
      <w:autoSpaceDN/>
      <w:adjustRightInd/>
      <w:spacing w:after="280" w:line="264" w:lineRule="auto"/>
      <w:textAlignment w:val="auto"/>
      <w:outlineLvl w:val="1"/>
    </w:pPr>
    <w:rPr>
      <w:rFonts w:ascii="Arial" w:hAnsi="Arial"/>
      <w:b/>
      <w:sz w:val="28"/>
    </w:rPr>
  </w:style>
  <w:style w:type="paragraph" w:customStyle="1" w:styleId="AbtHeadC">
    <w:name w:val="AbtHead C"/>
    <w:basedOn w:val="Normal"/>
    <w:next w:val="BodyText"/>
    <w:rsid w:val="00D36955"/>
    <w:pPr>
      <w:keepNext/>
      <w:keepLines/>
      <w:tabs>
        <w:tab w:val="left" w:pos="720"/>
        <w:tab w:val="left" w:pos="1080"/>
        <w:tab w:val="left" w:pos="1440"/>
        <w:tab w:val="left" w:pos="1800"/>
      </w:tabs>
      <w:overflowPunct/>
      <w:autoSpaceDE/>
      <w:autoSpaceDN/>
      <w:adjustRightInd/>
      <w:spacing w:after="240" w:line="264" w:lineRule="auto"/>
      <w:textAlignment w:val="auto"/>
      <w:outlineLvl w:val="2"/>
    </w:pPr>
    <w:rPr>
      <w:rFonts w:ascii="Arial" w:hAnsi="Arial"/>
      <w:b/>
    </w:rPr>
  </w:style>
  <w:style w:type="paragraph" w:customStyle="1" w:styleId="RefNumbers">
    <w:name w:val="Ref Numbers"/>
    <w:basedOn w:val="BodyText"/>
    <w:rsid w:val="00D36955"/>
    <w:pPr>
      <w:numPr>
        <w:numId w:val="24"/>
      </w:numPr>
      <w:tabs>
        <w:tab w:val="left" w:pos="1080"/>
        <w:tab w:val="left" w:pos="1440"/>
        <w:tab w:val="left" w:pos="1800"/>
      </w:tabs>
      <w:overflowPunct/>
      <w:autoSpaceDE/>
      <w:autoSpaceDN/>
      <w:adjustRightInd/>
      <w:spacing w:after="240" w:line="264" w:lineRule="auto"/>
      <w:textAlignment w:val="auto"/>
    </w:pPr>
    <w:rPr>
      <w:sz w:val="24"/>
    </w:rPr>
  </w:style>
  <w:style w:type="paragraph" w:customStyle="1" w:styleId="AbtHeadAOutlined">
    <w:name w:val="AbtHead A Outlined"/>
    <w:basedOn w:val="AbtHeadA"/>
    <w:next w:val="BodyText"/>
    <w:link w:val="AbtHeadAOutlinedChar"/>
    <w:rsid w:val="00D36955"/>
    <w:pPr>
      <w:numPr>
        <w:numId w:val="25"/>
      </w:numPr>
    </w:pPr>
  </w:style>
  <w:style w:type="paragraph" w:customStyle="1" w:styleId="AbtHeadD">
    <w:name w:val="AbtHead D"/>
    <w:basedOn w:val="Normal"/>
    <w:next w:val="BodyText"/>
    <w:rsid w:val="00D36955"/>
    <w:pPr>
      <w:keepNext/>
      <w:keepLines/>
      <w:tabs>
        <w:tab w:val="left" w:pos="720"/>
        <w:tab w:val="left" w:pos="1080"/>
        <w:tab w:val="left" w:pos="1440"/>
        <w:tab w:val="left" w:pos="1800"/>
      </w:tabs>
      <w:overflowPunct/>
      <w:autoSpaceDE/>
      <w:autoSpaceDN/>
      <w:adjustRightInd/>
      <w:spacing w:line="264" w:lineRule="auto"/>
      <w:textAlignment w:val="auto"/>
      <w:outlineLvl w:val="3"/>
    </w:pPr>
    <w:rPr>
      <w:b/>
      <w:i/>
      <w:sz w:val="24"/>
    </w:rPr>
  </w:style>
  <w:style w:type="paragraph" w:styleId="TOC1">
    <w:name w:val="toc 1"/>
    <w:basedOn w:val="BodyText"/>
    <w:next w:val="BodyText"/>
    <w:uiPriority w:val="39"/>
    <w:rsid w:val="00D36955"/>
    <w:pPr>
      <w:overflowPunct/>
      <w:autoSpaceDE/>
      <w:autoSpaceDN/>
      <w:adjustRightInd/>
      <w:spacing w:before="240" w:after="0" w:line="264" w:lineRule="auto"/>
      <w:textAlignment w:val="auto"/>
    </w:pPr>
    <w:rPr>
      <w:b/>
      <w:sz w:val="24"/>
    </w:rPr>
  </w:style>
  <w:style w:type="paragraph" w:styleId="TOC2">
    <w:name w:val="toc 2"/>
    <w:basedOn w:val="BodyText"/>
    <w:next w:val="BodyText"/>
    <w:uiPriority w:val="39"/>
    <w:rsid w:val="00D36955"/>
    <w:pPr>
      <w:tabs>
        <w:tab w:val="left" w:pos="1080"/>
        <w:tab w:val="right" w:leader="dot" w:pos="8990"/>
      </w:tabs>
      <w:overflowPunct/>
      <w:autoSpaceDE/>
      <w:autoSpaceDN/>
      <w:adjustRightInd/>
      <w:spacing w:after="0" w:line="264" w:lineRule="auto"/>
      <w:ind w:left="576"/>
      <w:textAlignment w:val="auto"/>
    </w:pPr>
    <w:rPr>
      <w:noProof/>
      <w:sz w:val="24"/>
    </w:rPr>
  </w:style>
  <w:style w:type="paragraph" w:styleId="TOC3">
    <w:name w:val="toc 3"/>
    <w:basedOn w:val="BodyText"/>
    <w:next w:val="BodyText"/>
    <w:semiHidden/>
    <w:rsid w:val="00D36955"/>
    <w:pPr>
      <w:tabs>
        <w:tab w:val="left" w:pos="1710"/>
        <w:tab w:val="right" w:leader="dot" w:pos="8990"/>
      </w:tabs>
      <w:overflowPunct/>
      <w:autoSpaceDE/>
      <w:autoSpaceDN/>
      <w:adjustRightInd/>
      <w:spacing w:after="0" w:line="264" w:lineRule="auto"/>
      <w:ind w:left="1152"/>
      <w:textAlignment w:val="auto"/>
    </w:pPr>
    <w:rPr>
      <w:noProof/>
      <w:sz w:val="24"/>
    </w:rPr>
  </w:style>
  <w:style w:type="paragraph" w:styleId="TOC4">
    <w:name w:val="toc 4"/>
    <w:basedOn w:val="BodyText"/>
    <w:next w:val="BodyText"/>
    <w:semiHidden/>
    <w:rsid w:val="00D36955"/>
    <w:pPr>
      <w:overflowPunct/>
      <w:autoSpaceDE/>
      <w:autoSpaceDN/>
      <w:adjustRightInd/>
      <w:spacing w:after="0" w:line="264" w:lineRule="auto"/>
      <w:ind w:left="1728"/>
      <w:textAlignment w:val="auto"/>
    </w:pPr>
    <w:rPr>
      <w:sz w:val="24"/>
    </w:rPr>
  </w:style>
  <w:style w:type="paragraph" w:styleId="TOC5">
    <w:name w:val="toc 5"/>
    <w:basedOn w:val="Normal"/>
    <w:next w:val="Normal"/>
    <w:autoRedefine/>
    <w:semiHidden/>
    <w:rsid w:val="00D36955"/>
    <w:pPr>
      <w:tabs>
        <w:tab w:val="left" w:pos="1800"/>
      </w:tabs>
      <w:overflowPunct/>
      <w:autoSpaceDE/>
      <w:autoSpaceDN/>
      <w:adjustRightInd/>
      <w:spacing w:line="264" w:lineRule="auto"/>
      <w:ind w:left="960"/>
      <w:textAlignment w:val="auto"/>
    </w:pPr>
    <w:rPr>
      <w:sz w:val="24"/>
    </w:rPr>
  </w:style>
  <w:style w:type="paragraph" w:styleId="TOC6">
    <w:name w:val="toc 6"/>
    <w:basedOn w:val="Normal"/>
    <w:next w:val="Normal"/>
    <w:autoRedefine/>
    <w:semiHidden/>
    <w:rsid w:val="00D36955"/>
    <w:pPr>
      <w:tabs>
        <w:tab w:val="left" w:pos="1800"/>
      </w:tabs>
      <w:overflowPunct/>
      <w:autoSpaceDE/>
      <w:autoSpaceDN/>
      <w:adjustRightInd/>
      <w:spacing w:line="264" w:lineRule="auto"/>
      <w:ind w:left="1200"/>
      <w:textAlignment w:val="auto"/>
    </w:pPr>
    <w:rPr>
      <w:sz w:val="24"/>
    </w:rPr>
  </w:style>
  <w:style w:type="paragraph" w:styleId="TOC7">
    <w:name w:val="toc 7"/>
    <w:basedOn w:val="Normal"/>
    <w:next w:val="Normal"/>
    <w:autoRedefine/>
    <w:semiHidden/>
    <w:rsid w:val="00D36955"/>
    <w:pPr>
      <w:tabs>
        <w:tab w:val="left" w:pos="1800"/>
      </w:tabs>
      <w:overflowPunct/>
      <w:autoSpaceDE/>
      <w:autoSpaceDN/>
      <w:adjustRightInd/>
      <w:spacing w:line="264" w:lineRule="auto"/>
      <w:ind w:left="1440"/>
      <w:textAlignment w:val="auto"/>
    </w:pPr>
    <w:rPr>
      <w:sz w:val="24"/>
    </w:rPr>
  </w:style>
  <w:style w:type="paragraph" w:styleId="TOC8">
    <w:name w:val="toc 8"/>
    <w:basedOn w:val="Normal"/>
    <w:next w:val="Normal"/>
    <w:autoRedefine/>
    <w:semiHidden/>
    <w:rsid w:val="00D36955"/>
    <w:pPr>
      <w:tabs>
        <w:tab w:val="left" w:pos="1800"/>
      </w:tabs>
      <w:overflowPunct/>
      <w:autoSpaceDE/>
      <w:autoSpaceDN/>
      <w:adjustRightInd/>
      <w:spacing w:line="264" w:lineRule="auto"/>
      <w:ind w:left="1680"/>
      <w:textAlignment w:val="auto"/>
    </w:pPr>
    <w:rPr>
      <w:sz w:val="24"/>
    </w:rPr>
  </w:style>
  <w:style w:type="paragraph" w:styleId="TOC9">
    <w:name w:val="toc 9"/>
    <w:basedOn w:val="Normal"/>
    <w:next w:val="Normal"/>
    <w:autoRedefine/>
    <w:semiHidden/>
    <w:rsid w:val="00D36955"/>
    <w:pPr>
      <w:tabs>
        <w:tab w:val="left" w:pos="1800"/>
      </w:tabs>
      <w:overflowPunct/>
      <w:autoSpaceDE/>
      <w:autoSpaceDN/>
      <w:adjustRightInd/>
      <w:spacing w:line="264" w:lineRule="auto"/>
      <w:ind w:left="1920"/>
      <w:textAlignment w:val="auto"/>
    </w:pPr>
    <w:rPr>
      <w:sz w:val="24"/>
    </w:rPr>
  </w:style>
  <w:style w:type="character" w:customStyle="1" w:styleId="AbtHeadE">
    <w:name w:val="AbtHead E"/>
    <w:rsid w:val="00D36955"/>
    <w:rPr>
      <w:rFonts w:ascii="Arial" w:hAnsi="Arial"/>
      <w:b/>
      <w:sz w:val="20"/>
    </w:rPr>
  </w:style>
  <w:style w:type="paragraph" w:customStyle="1" w:styleId="Table">
    <w:name w:val="Table"/>
    <w:basedOn w:val="Normal"/>
    <w:rsid w:val="00D36955"/>
    <w:pPr>
      <w:tabs>
        <w:tab w:val="left" w:pos="720"/>
        <w:tab w:val="left" w:pos="1080"/>
        <w:tab w:val="left" w:pos="1440"/>
        <w:tab w:val="left" w:pos="1800"/>
      </w:tabs>
      <w:overflowPunct/>
      <w:autoSpaceDE/>
      <w:autoSpaceDN/>
      <w:adjustRightInd/>
      <w:spacing w:line="264" w:lineRule="auto"/>
      <w:textAlignment w:val="auto"/>
    </w:pPr>
    <w:rPr>
      <w:rFonts w:ascii="Arial" w:hAnsi="Arial"/>
    </w:rPr>
  </w:style>
  <w:style w:type="paragraph" w:customStyle="1" w:styleId="AbtHeadBOutlined">
    <w:name w:val="AbtHead B Outlined"/>
    <w:basedOn w:val="AbtHeadB"/>
    <w:next w:val="BodyText"/>
    <w:rsid w:val="00D36955"/>
    <w:pPr>
      <w:tabs>
        <w:tab w:val="num" w:pos="720"/>
      </w:tabs>
      <w:ind w:left="720" w:hanging="720"/>
    </w:pPr>
  </w:style>
  <w:style w:type="paragraph" w:customStyle="1" w:styleId="AbtHeadCOutlined">
    <w:name w:val="AbtHead C Outlined"/>
    <w:basedOn w:val="AbtHeadC"/>
    <w:next w:val="BodyText"/>
    <w:rsid w:val="00D36955"/>
    <w:pPr>
      <w:tabs>
        <w:tab w:val="num" w:pos="1080"/>
      </w:tabs>
      <w:ind w:left="720" w:hanging="720"/>
    </w:pPr>
  </w:style>
  <w:style w:type="paragraph" w:styleId="Index1">
    <w:name w:val="index 1"/>
    <w:basedOn w:val="Normal"/>
    <w:next w:val="Normal"/>
    <w:autoRedefine/>
    <w:semiHidden/>
    <w:rsid w:val="00D36955"/>
    <w:pPr>
      <w:tabs>
        <w:tab w:val="left" w:pos="1800"/>
      </w:tabs>
      <w:overflowPunct/>
      <w:autoSpaceDE/>
      <w:autoSpaceDN/>
      <w:adjustRightInd/>
      <w:spacing w:line="264" w:lineRule="auto"/>
      <w:ind w:left="220" w:hanging="220"/>
      <w:textAlignment w:val="auto"/>
    </w:pPr>
  </w:style>
  <w:style w:type="paragraph" w:styleId="Index2">
    <w:name w:val="index 2"/>
    <w:basedOn w:val="Normal"/>
    <w:next w:val="Normal"/>
    <w:autoRedefine/>
    <w:semiHidden/>
    <w:rsid w:val="00D36955"/>
    <w:pPr>
      <w:tabs>
        <w:tab w:val="left" w:pos="1800"/>
      </w:tabs>
      <w:overflowPunct/>
      <w:autoSpaceDE/>
      <w:autoSpaceDN/>
      <w:adjustRightInd/>
      <w:spacing w:line="264" w:lineRule="auto"/>
      <w:ind w:left="440" w:hanging="220"/>
      <w:textAlignment w:val="auto"/>
    </w:pPr>
  </w:style>
  <w:style w:type="paragraph" w:styleId="Index3">
    <w:name w:val="index 3"/>
    <w:basedOn w:val="Normal"/>
    <w:next w:val="Normal"/>
    <w:autoRedefine/>
    <w:semiHidden/>
    <w:rsid w:val="00D36955"/>
    <w:pPr>
      <w:tabs>
        <w:tab w:val="left" w:pos="1800"/>
      </w:tabs>
      <w:overflowPunct/>
      <w:autoSpaceDE/>
      <w:autoSpaceDN/>
      <w:adjustRightInd/>
      <w:spacing w:line="264" w:lineRule="auto"/>
      <w:ind w:left="660" w:hanging="220"/>
      <w:textAlignment w:val="auto"/>
    </w:pPr>
  </w:style>
  <w:style w:type="paragraph" w:customStyle="1" w:styleId="Numbers">
    <w:name w:val="Numbers"/>
    <w:basedOn w:val="BodyText"/>
    <w:rsid w:val="00D36955"/>
    <w:pPr>
      <w:tabs>
        <w:tab w:val="left" w:pos="720"/>
        <w:tab w:val="num" w:pos="1080"/>
        <w:tab w:val="left" w:pos="1440"/>
        <w:tab w:val="left" w:pos="1800"/>
      </w:tabs>
      <w:overflowPunct/>
      <w:autoSpaceDE/>
      <w:autoSpaceDN/>
      <w:adjustRightInd/>
      <w:spacing w:after="0" w:line="264" w:lineRule="auto"/>
      <w:ind w:left="1080" w:hanging="360"/>
      <w:textAlignment w:val="auto"/>
    </w:pPr>
    <w:rPr>
      <w:sz w:val="24"/>
    </w:rPr>
  </w:style>
  <w:style w:type="paragraph" w:customStyle="1" w:styleId="Bullets">
    <w:name w:val="Bullets"/>
    <w:basedOn w:val="BodyText"/>
    <w:rsid w:val="00D36955"/>
    <w:pPr>
      <w:tabs>
        <w:tab w:val="left" w:pos="720"/>
        <w:tab w:val="num" w:pos="1080"/>
        <w:tab w:val="left" w:pos="1440"/>
        <w:tab w:val="left" w:pos="1800"/>
      </w:tabs>
      <w:overflowPunct/>
      <w:autoSpaceDE/>
      <w:autoSpaceDN/>
      <w:adjustRightInd/>
      <w:spacing w:after="0" w:line="264" w:lineRule="auto"/>
      <w:ind w:left="1080" w:hanging="360"/>
      <w:textAlignment w:val="auto"/>
    </w:pPr>
    <w:rPr>
      <w:sz w:val="24"/>
    </w:rPr>
  </w:style>
  <w:style w:type="character" w:styleId="Hyperlink">
    <w:name w:val="Hyperlink"/>
    <w:uiPriority w:val="99"/>
    <w:rsid w:val="00D36955"/>
    <w:rPr>
      <w:color w:val="0000FF"/>
      <w:u w:val="single"/>
    </w:rPr>
  </w:style>
  <w:style w:type="character" w:customStyle="1" w:styleId="AbtHeadE-Remove">
    <w:name w:val="AbtHead E - Remove"/>
    <w:basedOn w:val="DefaultParagraphFont"/>
    <w:rsid w:val="00D36955"/>
  </w:style>
  <w:style w:type="paragraph" w:customStyle="1" w:styleId="AbtHeadE0">
    <w:name w:val="AbtHeadE"/>
    <w:basedOn w:val="Normal"/>
    <w:rsid w:val="00D3695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010"/>
        <w:tab w:val="left" w:pos="9360"/>
      </w:tabs>
      <w:overflowPunct/>
      <w:autoSpaceDE/>
      <w:autoSpaceDN/>
      <w:adjustRightInd/>
      <w:spacing w:line="264" w:lineRule="auto"/>
      <w:textAlignment w:val="auto"/>
      <w:outlineLvl w:val="0"/>
    </w:pPr>
    <w:rPr>
      <w:rFonts w:ascii="Arial" w:hAnsi="Arial"/>
      <w:b/>
      <w:snapToGrid w:val="0"/>
      <w:sz w:val="24"/>
    </w:rPr>
  </w:style>
  <w:style w:type="character" w:styleId="FollowedHyperlink">
    <w:name w:val="FollowedHyperlink"/>
    <w:rsid w:val="00D36955"/>
    <w:rPr>
      <w:color w:val="800080"/>
      <w:u w:val="single"/>
    </w:rPr>
  </w:style>
  <w:style w:type="paragraph" w:styleId="BodyTextIndent2">
    <w:name w:val="Body Text Indent 2"/>
    <w:basedOn w:val="Normal"/>
    <w:link w:val="BodyTextIndent2Char"/>
    <w:rsid w:val="00D36955"/>
    <w:pPr>
      <w:tabs>
        <w:tab w:val="left" w:pos="720"/>
        <w:tab w:val="left" w:pos="1080"/>
        <w:tab w:val="left" w:pos="1440"/>
        <w:tab w:val="left" w:pos="1800"/>
      </w:tabs>
      <w:overflowPunct/>
      <w:autoSpaceDE/>
      <w:autoSpaceDN/>
      <w:adjustRightInd/>
      <w:spacing w:line="264" w:lineRule="auto"/>
      <w:ind w:left="720" w:hanging="720"/>
      <w:textAlignment w:val="auto"/>
    </w:pPr>
    <w:rPr>
      <w:rFonts w:ascii="Arial" w:hAnsi="Arial" w:cs="Arial"/>
    </w:rPr>
  </w:style>
  <w:style w:type="character" w:customStyle="1" w:styleId="BodyTextIndent2Char">
    <w:name w:val="Body Text Indent 2 Char"/>
    <w:basedOn w:val="DefaultParagraphFont"/>
    <w:link w:val="BodyTextIndent2"/>
    <w:rsid w:val="00D36955"/>
    <w:rPr>
      <w:rFonts w:ascii="Arial" w:hAnsi="Arial" w:cs="Arial"/>
    </w:rPr>
  </w:style>
  <w:style w:type="paragraph" w:styleId="BodyTextIndent3">
    <w:name w:val="Body Text Indent 3"/>
    <w:basedOn w:val="Normal"/>
    <w:link w:val="BodyTextIndent3Char"/>
    <w:rsid w:val="00D36955"/>
    <w:pPr>
      <w:tabs>
        <w:tab w:val="left" w:pos="720"/>
        <w:tab w:val="left" w:pos="1080"/>
        <w:tab w:val="left" w:pos="1440"/>
        <w:tab w:val="left" w:pos="1800"/>
      </w:tabs>
      <w:overflowPunct/>
      <w:autoSpaceDE/>
      <w:autoSpaceDN/>
      <w:adjustRightInd/>
      <w:spacing w:line="264" w:lineRule="auto"/>
      <w:ind w:left="1440" w:hanging="720"/>
      <w:textAlignment w:val="auto"/>
    </w:pPr>
    <w:rPr>
      <w:rFonts w:ascii="Arial" w:hAnsi="Arial" w:cs="Arial"/>
    </w:rPr>
  </w:style>
  <w:style w:type="character" w:customStyle="1" w:styleId="BodyTextIndent3Char">
    <w:name w:val="Body Text Indent 3 Char"/>
    <w:basedOn w:val="DefaultParagraphFont"/>
    <w:link w:val="BodyTextIndent3"/>
    <w:rsid w:val="00D36955"/>
    <w:rPr>
      <w:rFonts w:ascii="Arial" w:hAnsi="Arial" w:cs="Arial"/>
    </w:rPr>
  </w:style>
  <w:style w:type="paragraph" w:styleId="DocumentMap">
    <w:name w:val="Document Map"/>
    <w:basedOn w:val="Normal"/>
    <w:link w:val="DocumentMapChar"/>
    <w:semiHidden/>
    <w:rsid w:val="00D36955"/>
    <w:pPr>
      <w:shd w:val="clear" w:color="auto" w:fill="000080"/>
      <w:tabs>
        <w:tab w:val="left" w:pos="720"/>
        <w:tab w:val="left" w:pos="1080"/>
        <w:tab w:val="left" w:pos="1440"/>
        <w:tab w:val="left" w:pos="1800"/>
      </w:tabs>
      <w:overflowPunct/>
      <w:autoSpaceDE/>
      <w:autoSpaceDN/>
      <w:adjustRightInd/>
      <w:spacing w:line="264" w:lineRule="auto"/>
      <w:textAlignment w:val="auto"/>
    </w:pPr>
    <w:rPr>
      <w:rFonts w:ascii="Tahoma" w:hAnsi="Tahoma" w:cs="Tahoma"/>
      <w:sz w:val="24"/>
    </w:rPr>
  </w:style>
  <w:style w:type="character" w:customStyle="1" w:styleId="DocumentMapChar">
    <w:name w:val="Document Map Char"/>
    <w:basedOn w:val="DefaultParagraphFont"/>
    <w:link w:val="DocumentMap"/>
    <w:semiHidden/>
    <w:rsid w:val="00D36955"/>
    <w:rPr>
      <w:rFonts w:ascii="Tahoma" w:hAnsi="Tahoma" w:cs="Tahoma"/>
      <w:sz w:val="24"/>
      <w:shd w:val="clear" w:color="auto" w:fill="000080"/>
    </w:rPr>
  </w:style>
  <w:style w:type="paragraph" w:customStyle="1" w:styleId="SurveyHead1">
    <w:name w:val="SurveyHead1"/>
    <w:basedOn w:val="BodyText"/>
    <w:next w:val="Normal"/>
    <w:rsid w:val="00D36955"/>
    <w:pPr>
      <w:pBdr>
        <w:bottom w:val="single" w:sz="4" w:space="1" w:color="auto"/>
      </w:pBdr>
      <w:tabs>
        <w:tab w:val="left" w:pos="720"/>
        <w:tab w:val="left" w:pos="1080"/>
        <w:tab w:val="left" w:pos="1800"/>
      </w:tabs>
      <w:overflowPunct/>
      <w:autoSpaceDE/>
      <w:autoSpaceDN/>
      <w:adjustRightInd/>
      <w:spacing w:after="0" w:line="264" w:lineRule="auto"/>
      <w:textAlignment w:val="auto"/>
    </w:pPr>
    <w:rPr>
      <w:rFonts w:ascii="Arial" w:hAnsi="Arial" w:cs="Arial"/>
      <w:b/>
      <w:bCs/>
      <w:sz w:val="32"/>
    </w:rPr>
  </w:style>
  <w:style w:type="paragraph" w:customStyle="1" w:styleId="SurveyHead2">
    <w:name w:val="SurveyHead2"/>
    <w:basedOn w:val="BodyText"/>
    <w:next w:val="Normal"/>
    <w:rsid w:val="00D36955"/>
    <w:pPr>
      <w:tabs>
        <w:tab w:val="left" w:pos="720"/>
        <w:tab w:val="left" w:pos="1080"/>
        <w:tab w:val="left" w:pos="1440"/>
        <w:tab w:val="left" w:pos="1800"/>
      </w:tabs>
      <w:overflowPunct/>
      <w:autoSpaceDE/>
      <w:autoSpaceDN/>
      <w:adjustRightInd/>
      <w:spacing w:after="0" w:line="264" w:lineRule="auto"/>
      <w:textAlignment w:val="auto"/>
    </w:pPr>
    <w:rPr>
      <w:rFonts w:ascii="Arial" w:hAnsi="Arial" w:cs="Arial"/>
      <w:b/>
      <w:szCs w:val="28"/>
      <w:u w:val="single"/>
    </w:rPr>
  </w:style>
  <w:style w:type="paragraph" w:customStyle="1" w:styleId="CDFINumberList">
    <w:name w:val="CDFINumberList"/>
    <w:basedOn w:val="Normal"/>
    <w:rsid w:val="00D36955"/>
    <w:pPr>
      <w:overflowPunct/>
      <w:autoSpaceDE/>
      <w:autoSpaceDN/>
      <w:adjustRightInd/>
      <w:spacing w:line="264" w:lineRule="auto"/>
      <w:ind w:left="360" w:hanging="360"/>
      <w:textAlignment w:val="auto"/>
    </w:pPr>
    <w:rPr>
      <w:b/>
      <w:bCs/>
    </w:rPr>
  </w:style>
  <w:style w:type="paragraph" w:customStyle="1" w:styleId="AppleBullet">
    <w:name w:val="AppleBullet"/>
    <w:basedOn w:val="Normal"/>
    <w:rsid w:val="00D36955"/>
    <w:pPr>
      <w:tabs>
        <w:tab w:val="num" w:pos="360"/>
        <w:tab w:val="left" w:pos="720"/>
        <w:tab w:val="left" w:pos="1080"/>
        <w:tab w:val="left" w:pos="1440"/>
        <w:tab w:val="left" w:pos="1800"/>
      </w:tabs>
      <w:overflowPunct/>
      <w:autoSpaceDE/>
      <w:autoSpaceDN/>
      <w:adjustRightInd/>
      <w:spacing w:line="264" w:lineRule="auto"/>
      <w:ind w:left="360" w:hanging="360"/>
      <w:textAlignment w:val="auto"/>
    </w:pPr>
    <w:rPr>
      <w:sz w:val="24"/>
    </w:rPr>
  </w:style>
  <w:style w:type="paragraph" w:styleId="BlockText">
    <w:name w:val="Block Text"/>
    <w:basedOn w:val="Normal"/>
    <w:rsid w:val="00D36955"/>
    <w:pPr>
      <w:tabs>
        <w:tab w:val="left" w:pos="720"/>
        <w:tab w:val="left" w:pos="1080"/>
        <w:tab w:val="left" w:pos="1440"/>
        <w:tab w:val="left" w:pos="1800"/>
      </w:tabs>
      <w:overflowPunct/>
      <w:autoSpaceDE/>
      <w:autoSpaceDN/>
      <w:adjustRightInd/>
      <w:spacing w:line="264" w:lineRule="auto"/>
      <w:ind w:left="6696" w:right="-1008"/>
      <w:textAlignment w:val="auto"/>
    </w:pPr>
    <w:rPr>
      <w:b/>
      <w:sz w:val="36"/>
    </w:rPr>
  </w:style>
  <w:style w:type="paragraph" w:styleId="BodyText2">
    <w:name w:val="Body Text 2"/>
    <w:basedOn w:val="Normal"/>
    <w:link w:val="BodyText2Char"/>
    <w:rsid w:val="00D36955"/>
    <w:pPr>
      <w:tabs>
        <w:tab w:val="left" w:pos="720"/>
        <w:tab w:val="left" w:pos="1080"/>
        <w:tab w:val="left" w:pos="1440"/>
        <w:tab w:val="left" w:pos="1800"/>
      </w:tabs>
      <w:overflowPunct/>
      <w:autoSpaceDE/>
      <w:autoSpaceDN/>
      <w:adjustRightInd/>
      <w:spacing w:line="264" w:lineRule="auto"/>
      <w:textAlignment w:val="auto"/>
    </w:pPr>
    <w:rPr>
      <w:color w:val="800080"/>
      <w:sz w:val="24"/>
    </w:rPr>
  </w:style>
  <w:style w:type="character" w:customStyle="1" w:styleId="BodyText2Char">
    <w:name w:val="Body Text 2 Char"/>
    <w:basedOn w:val="DefaultParagraphFont"/>
    <w:link w:val="BodyText2"/>
    <w:rsid w:val="00D36955"/>
    <w:rPr>
      <w:color w:val="800080"/>
      <w:sz w:val="24"/>
    </w:rPr>
  </w:style>
  <w:style w:type="paragraph" w:customStyle="1" w:styleId="xl30">
    <w:name w:val="xl30"/>
    <w:basedOn w:val="Normal"/>
    <w:rsid w:val="00D36955"/>
    <w:pPr>
      <w:pBdr>
        <w:right w:val="single" w:sz="4" w:space="0" w:color="000000"/>
      </w:pBdr>
      <w:overflowPunct/>
      <w:autoSpaceDE/>
      <w:autoSpaceDN/>
      <w:adjustRightInd/>
      <w:spacing w:before="100" w:beforeAutospacing="1" w:after="100" w:afterAutospacing="1"/>
      <w:textAlignment w:val="auto"/>
    </w:pPr>
    <w:rPr>
      <w:rFonts w:ascii="Arial" w:eastAsia="Arial Unicode MS" w:hAnsi="Arial" w:cs="Arial"/>
      <w:sz w:val="18"/>
      <w:szCs w:val="18"/>
    </w:rPr>
  </w:style>
  <w:style w:type="table" w:styleId="TableGrid">
    <w:name w:val="Table Grid"/>
    <w:basedOn w:val="TableNormal"/>
    <w:rsid w:val="00D36955"/>
    <w:pPr>
      <w:tabs>
        <w:tab w:val="left" w:pos="720"/>
        <w:tab w:val="left" w:pos="1080"/>
        <w:tab w:val="left" w:pos="1440"/>
        <w:tab w:val="left" w:pos="1800"/>
      </w:tabs>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Title"/>
    <w:basedOn w:val="Normal"/>
    <w:rsid w:val="00D36955"/>
    <w:pPr>
      <w:tabs>
        <w:tab w:val="left" w:pos="720"/>
        <w:tab w:val="left" w:pos="1080"/>
        <w:tab w:val="left" w:pos="1440"/>
        <w:tab w:val="left" w:pos="1800"/>
      </w:tabs>
      <w:overflowPunct/>
      <w:autoSpaceDE/>
      <w:autoSpaceDN/>
      <w:adjustRightInd/>
      <w:spacing w:after="120" w:line="264" w:lineRule="auto"/>
      <w:textAlignment w:val="auto"/>
    </w:pPr>
    <w:rPr>
      <w:rFonts w:ascii="Arial" w:hAnsi="Arial" w:cs="Arial"/>
      <w:b/>
      <w:bCs/>
      <w:sz w:val="24"/>
      <w:szCs w:val="22"/>
    </w:rPr>
  </w:style>
  <w:style w:type="paragraph" w:styleId="Salutation">
    <w:name w:val="Salutation"/>
    <w:basedOn w:val="BodyText"/>
    <w:next w:val="BodyText"/>
    <w:link w:val="SalutationChar"/>
    <w:rsid w:val="00D36955"/>
    <w:pPr>
      <w:tabs>
        <w:tab w:val="left" w:pos="720"/>
        <w:tab w:val="left" w:pos="1080"/>
        <w:tab w:val="left" w:pos="1440"/>
        <w:tab w:val="left" w:pos="1800"/>
      </w:tabs>
      <w:overflowPunct/>
      <w:autoSpaceDE/>
      <w:autoSpaceDN/>
      <w:adjustRightInd/>
      <w:spacing w:before="240" w:after="240" w:line="264" w:lineRule="auto"/>
      <w:textAlignment w:val="auto"/>
    </w:pPr>
    <w:rPr>
      <w:snapToGrid w:val="0"/>
      <w:sz w:val="24"/>
    </w:rPr>
  </w:style>
  <w:style w:type="character" w:customStyle="1" w:styleId="SalutationChar">
    <w:name w:val="Salutation Char"/>
    <w:basedOn w:val="DefaultParagraphFont"/>
    <w:link w:val="Salutation"/>
    <w:rsid w:val="00D36955"/>
    <w:rPr>
      <w:snapToGrid w:val="0"/>
      <w:sz w:val="24"/>
    </w:rPr>
  </w:style>
  <w:style w:type="paragraph" w:customStyle="1" w:styleId="Address">
    <w:name w:val="Address"/>
    <w:basedOn w:val="BodyText"/>
    <w:rsid w:val="00D36955"/>
    <w:pPr>
      <w:tabs>
        <w:tab w:val="left" w:pos="720"/>
        <w:tab w:val="left" w:pos="1080"/>
        <w:tab w:val="left" w:pos="1440"/>
        <w:tab w:val="left" w:pos="1800"/>
      </w:tabs>
      <w:overflowPunct/>
      <w:autoSpaceDE/>
      <w:autoSpaceDN/>
      <w:adjustRightInd/>
      <w:spacing w:after="0" w:line="264" w:lineRule="auto"/>
      <w:textAlignment w:val="auto"/>
    </w:pPr>
    <w:rPr>
      <w:snapToGrid w:val="0"/>
      <w:sz w:val="24"/>
    </w:rPr>
  </w:style>
  <w:style w:type="paragraph" w:styleId="HTMLPreformatted">
    <w:name w:val="HTML Preformatted"/>
    <w:basedOn w:val="Normal"/>
    <w:link w:val="HTMLPreformattedChar"/>
    <w:rsid w:val="00D369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PreformattedChar">
    <w:name w:val="HTML Preformatted Char"/>
    <w:basedOn w:val="DefaultParagraphFont"/>
    <w:link w:val="HTMLPreformatted"/>
    <w:rsid w:val="00D36955"/>
    <w:rPr>
      <w:rFonts w:ascii="Courier New" w:hAnsi="Courier New" w:cs="Courier New"/>
    </w:rPr>
  </w:style>
  <w:style w:type="character" w:styleId="Strong">
    <w:name w:val="Strong"/>
    <w:qFormat/>
    <w:rsid w:val="00D36955"/>
    <w:rPr>
      <w:b/>
      <w:bCs/>
    </w:rPr>
  </w:style>
  <w:style w:type="paragraph" w:customStyle="1" w:styleId="1text">
    <w:name w:val="1text"/>
    <w:rsid w:val="00D36955"/>
    <w:pPr>
      <w:tabs>
        <w:tab w:val="left" w:pos="240"/>
        <w:tab w:val="left" w:pos="480"/>
      </w:tabs>
      <w:spacing w:before="120" w:line="240" w:lineRule="atLeast"/>
      <w:jc w:val="both"/>
    </w:pPr>
    <w:rPr>
      <w:rFonts w:ascii="Times Roman" w:hAnsi="Times Roman"/>
      <w:color w:val="000000"/>
    </w:rPr>
  </w:style>
  <w:style w:type="paragraph" w:styleId="NormalWeb">
    <w:name w:val="Normal (Web)"/>
    <w:basedOn w:val="Normal"/>
    <w:uiPriority w:val="99"/>
    <w:rsid w:val="00D36955"/>
    <w:pPr>
      <w:overflowPunct/>
      <w:autoSpaceDE/>
      <w:autoSpaceDN/>
      <w:adjustRightInd/>
      <w:spacing w:before="100" w:beforeAutospacing="1" w:after="100" w:afterAutospacing="1"/>
      <w:textAlignment w:val="auto"/>
    </w:pPr>
    <w:rPr>
      <w:sz w:val="24"/>
      <w:szCs w:val="24"/>
    </w:rPr>
  </w:style>
  <w:style w:type="character" w:customStyle="1" w:styleId="SourceChar">
    <w:name w:val="Source Char"/>
    <w:link w:val="Source"/>
    <w:rsid w:val="00D36955"/>
    <w:rPr>
      <w:rFonts w:ascii="Arial" w:hAnsi="Arial" w:cs="Arial"/>
      <w:sz w:val="18"/>
      <w:szCs w:val="18"/>
    </w:rPr>
  </w:style>
  <w:style w:type="paragraph" w:customStyle="1" w:styleId="Source">
    <w:name w:val="Source"/>
    <w:basedOn w:val="Normal"/>
    <w:next w:val="Normal"/>
    <w:link w:val="SourceChar"/>
    <w:rsid w:val="00D36955"/>
    <w:pPr>
      <w:tabs>
        <w:tab w:val="left" w:pos="720"/>
        <w:tab w:val="left" w:pos="1080"/>
        <w:tab w:val="left" w:pos="1440"/>
        <w:tab w:val="left" w:pos="1800"/>
      </w:tabs>
      <w:overflowPunct/>
      <w:autoSpaceDE/>
      <w:autoSpaceDN/>
      <w:adjustRightInd/>
      <w:spacing w:before="120" w:line="264" w:lineRule="auto"/>
      <w:textAlignment w:val="auto"/>
    </w:pPr>
    <w:rPr>
      <w:rFonts w:ascii="Arial" w:hAnsi="Arial" w:cs="Arial"/>
      <w:sz w:val="18"/>
      <w:szCs w:val="18"/>
    </w:rPr>
  </w:style>
  <w:style w:type="paragraph" w:styleId="EndnoteText">
    <w:name w:val="endnote text"/>
    <w:basedOn w:val="Normal"/>
    <w:link w:val="EndnoteTextChar"/>
    <w:semiHidden/>
    <w:rsid w:val="00D36955"/>
    <w:pPr>
      <w:tabs>
        <w:tab w:val="left" w:pos="720"/>
        <w:tab w:val="left" w:pos="1080"/>
        <w:tab w:val="left" w:pos="1440"/>
        <w:tab w:val="left" w:pos="1800"/>
      </w:tabs>
      <w:overflowPunct/>
      <w:autoSpaceDE/>
      <w:autoSpaceDN/>
      <w:adjustRightInd/>
      <w:spacing w:line="264" w:lineRule="auto"/>
      <w:textAlignment w:val="auto"/>
    </w:pPr>
  </w:style>
  <w:style w:type="character" w:customStyle="1" w:styleId="EndnoteTextChar">
    <w:name w:val="Endnote Text Char"/>
    <w:basedOn w:val="DefaultParagraphFont"/>
    <w:link w:val="EndnoteText"/>
    <w:semiHidden/>
    <w:rsid w:val="00D36955"/>
  </w:style>
  <w:style w:type="character" w:styleId="EndnoteReference">
    <w:name w:val="endnote reference"/>
    <w:semiHidden/>
    <w:rsid w:val="00D36955"/>
    <w:rPr>
      <w:vertAlign w:val="superscript"/>
    </w:rPr>
  </w:style>
  <w:style w:type="paragraph" w:customStyle="1" w:styleId="xl24">
    <w:name w:val="xl24"/>
    <w:basedOn w:val="Normal"/>
    <w:rsid w:val="00D36955"/>
    <w:pPr>
      <w:overflowPunct/>
      <w:autoSpaceDE/>
      <w:autoSpaceDN/>
      <w:adjustRightInd/>
      <w:spacing w:before="100" w:beforeAutospacing="1" w:after="100" w:afterAutospacing="1" w:line="264" w:lineRule="auto"/>
      <w:textAlignment w:val="top"/>
    </w:pPr>
    <w:rPr>
      <w:rFonts w:ascii="Arial" w:eastAsia="Arial Unicode MS" w:hAnsi="Arial" w:cs="Arial"/>
      <w:sz w:val="24"/>
      <w:szCs w:val="24"/>
    </w:rPr>
  </w:style>
  <w:style w:type="paragraph" w:styleId="BodyText3">
    <w:name w:val="Body Text 3"/>
    <w:basedOn w:val="Normal"/>
    <w:link w:val="BodyText3Char"/>
    <w:rsid w:val="00D36955"/>
    <w:pPr>
      <w:widowControl w:val="0"/>
      <w:overflowPunct/>
      <w:spacing w:after="120"/>
      <w:textAlignment w:val="auto"/>
    </w:pPr>
    <w:rPr>
      <w:sz w:val="16"/>
      <w:szCs w:val="16"/>
    </w:rPr>
  </w:style>
  <w:style w:type="character" w:customStyle="1" w:styleId="BodyText3Char">
    <w:name w:val="Body Text 3 Char"/>
    <w:basedOn w:val="DefaultParagraphFont"/>
    <w:link w:val="BodyText3"/>
    <w:rsid w:val="00D36955"/>
    <w:rPr>
      <w:sz w:val="16"/>
      <w:szCs w:val="16"/>
    </w:rPr>
  </w:style>
  <w:style w:type="character" w:customStyle="1" w:styleId="AbtHeadAChar">
    <w:name w:val="AbtHead A Char"/>
    <w:link w:val="AbtHeadA"/>
    <w:rsid w:val="00D36955"/>
    <w:rPr>
      <w:rFonts w:ascii="Arial" w:hAnsi="Arial"/>
      <w:b/>
      <w:sz w:val="36"/>
    </w:rPr>
  </w:style>
  <w:style w:type="paragraph" w:customStyle="1" w:styleId="FotnoteText">
    <w:name w:val="Fotnote Text"/>
    <w:basedOn w:val="FootnoteText"/>
    <w:link w:val="FotnoteTextChar1"/>
    <w:rsid w:val="00D36955"/>
    <w:pPr>
      <w:overflowPunct/>
      <w:autoSpaceDE/>
      <w:autoSpaceDN/>
      <w:adjustRightInd/>
      <w:spacing w:after="120" w:line="264" w:lineRule="auto"/>
      <w:ind w:left="360" w:hanging="360"/>
      <w:textAlignment w:val="auto"/>
    </w:pPr>
    <w:rPr>
      <w:szCs w:val="24"/>
    </w:rPr>
  </w:style>
  <w:style w:type="paragraph" w:customStyle="1" w:styleId="AbtHeadC1">
    <w:name w:val="AbtHead C1"/>
    <w:basedOn w:val="AbtHeadC"/>
    <w:rsid w:val="00D36955"/>
    <w:pPr>
      <w:tabs>
        <w:tab w:val="clear" w:pos="720"/>
      </w:tabs>
    </w:pPr>
  </w:style>
  <w:style w:type="character" w:customStyle="1" w:styleId="FotnoteTextChar1">
    <w:name w:val="Fotnote Text Char1"/>
    <w:link w:val="FotnoteText"/>
    <w:rsid w:val="00D36955"/>
    <w:rPr>
      <w:szCs w:val="24"/>
    </w:rPr>
  </w:style>
  <w:style w:type="character" w:customStyle="1" w:styleId="AbtHeadAOutlinedChar">
    <w:name w:val="AbtHead A Outlined Char"/>
    <w:link w:val="AbtHeadAOutlined"/>
    <w:rsid w:val="00D36955"/>
    <w:rPr>
      <w:rFonts w:ascii="Arial" w:hAnsi="Arial"/>
      <w:b/>
      <w:sz w:val="36"/>
    </w:rPr>
  </w:style>
  <w:style w:type="character" w:customStyle="1" w:styleId="AbtHeadAChar1">
    <w:name w:val="AbtHead A Char1"/>
    <w:rsid w:val="00D36955"/>
    <w:rPr>
      <w:rFonts w:ascii="Arial" w:hAnsi="Arial"/>
      <w:b/>
      <w:sz w:val="36"/>
      <w:lang w:val="en-US" w:eastAsia="en-US" w:bidi="ar-SA"/>
    </w:rPr>
  </w:style>
  <w:style w:type="paragraph" w:styleId="Revision">
    <w:name w:val="Revision"/>
    <w:hidden/>
    <w:uiPriority w:val="99"/>
    <w:semiHidden/>
    <w:rsid w:val="00D36955"/>
    <w:rPr>
      <w:sz w:val="24"/>
    </w:rPr>
  </w:style>
  <w:style w:type="paragraph" w:styleId="NoSpacing">
    <w:name w:val="No Spacing"/>
    <w:link w:val="NoSpacingChar"/>
    <w:uiPriority w:val="1"/>
    <w:qFormat/>
    <w:rsid w:val="00D36955"/>
    <w:rPr>
      <w:rFonts w:ascii="Calibri" w:eastAsia="Calibri" w:hAnsi="Calibri"/>
      <w:sz w:val="22"/>
      <w:szCs w:val="22"/>
    </w:rPr>
  </w:style>
  <w:style w:type="character" w:customStyle="1" w:styleId="NoSpacingChar">
    <w:name w:val="No Spacing Char"/>
    <w:link w:val="NoSpacing"/>
    <w:uiPriority w:val="1"/>
    <w:locked/>
    <w:rsid w:val="00D36955"/>
    <w:rPr>
      <w:rFonts w:ascii="Calibri" w:eastAsia="Calibri" w:hAnsi="Calibri"/>
      <w:sz w:val="22"/>
      <w:szCs w:val="22"/>
    </w:rPr>
  </w:style>
  <w:style w:type="character" w:styleId="UnresolvedMention">
    <w:name w:val="Unresolved Mention"/>
    <w:uiPriority w:val="99"/>
    <w:semiHidden/>
    <w:unhideWhenUsed/>
    <w:rsid w:val="00D3695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hudexchange.info/programs/hmis/hmis-data-and-technical-standards/" TargetMode="External"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govinfo.gov/content/pkg/USCODE-2018-title42/html/USCODE-2018-title42-chap119.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9" ma:contentTypeDescription="Create a new document." ma:contentTypeScope="" ma:versionID="d90dfa2cff6cfb46cb55e09fff85b58f">
  <xsd:schema xmlns:xsd="http://www.w3.org/2001/XMLSchema" xmlns:xs="http://www.w3.org/2001/XMLSchema" xmlns:p="http://schemas.microsoft.com/office/2006/metadata/properties" xmlns:ns1="http://schemas.microsoft.com/sharepoint/v3" xmlns:ns3="c6d93d11-28f8-4e6d-ae4f-5893c68de00b" targetNamespace="http://schemas.microsoft.com/office/2006/metadata/properties" ma:root="true" ma:fieldsID="ff2878398517a6040330cde16783e480" ns1:_="" ns3:_="">
    <xsd:import namespace="http://schemas.microsoft.com/sharepoint/v3"/>
    <xsd:import namespace="c6d93d11-28f8-4e6d-ae4f-5893c68de00b"/>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B7782-02BD-4EFC-ABDD-E5EB6B32463E}">
  <ds:schemaRefs>
    <ds:schemaRef ds:uri="http://schemas.microsoft.com/sharepoint/v3/contenttype/forms"/>
  </ds:schemaRefs>
</ds:datastoreItem>
</file>

<file path=customXml/itemProps2.xml><?xml version="1.0" encoding="utf-8"?>
<ds:datastoreItem xmlns:ds="http://schemas.openxmlformats.org/officeDocument/2006/customXml" ds:itemID="{C6F01091-BF72-4B3E-88B9-34BB13B5C7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d93d11-28f8-4e6d-ae4f-5893c68de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EC86D7-B7B0-45C9-94ED-DEB24A9249F7}">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ED6498FC-6795-48B0-84B3-443031ABB9C1}">
  <ds:schemaRefs>
    <ds:schemaRef ds:uri="http://schemas.openxmlformats.org/officeDocument/2006/bibliography"/>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17</Pages>
  <Words>7408</Words>
  <Characters>42232</Characters>
  <Application>Microsoft Office Word</Application>
  <DocSecurity>2</DocSecurity>
  <Lines>351</Lines>
  <Paragraphs>99</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49541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HUDWARE II</dc:creator>
  <cp:lastModifiedBy>Johnson, Urnell</cp:lastModifiedBy>
  <cp:revision>2</cp:revision>
  <cp:lastPrinted>2016-10-19T20:19:00Z</cp:lastPrinted>
  <dcterms:created xsi:type="dcterms:W3CDTF">2025-09-18T14:49:00Z</dcterms:created>
  <dcterms:modified xsi:type="dcterms:W3CDTF">2025-09-18T14:49:00Z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0x0101001A2A00A75FB2BD469FC5BABC27835FFD</vt:lpwstr>
  </property>
  <property fmtid="{D5CDD505-2E9C-101B-9397-08002B2CF9AE}" pid="3" name="_NewReviewCycle">
    <vt:lpwstr/>
  </property>
</Properties>
</file>