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63B366FE" w:rsidRPr="00CB038B" w:rsidP="11AB4B38" w14:paraId="46692DEB" w14:textId="18E8CE09">
      <w:pPr>
        <w:spacing w:after="0"/>
        <w:jc w:val="center"/>
        <w:rPr>
          <w:sz w:val="32"/>
          <w:szCs w:val="32"/>
        </w:rPr>
      </w:pPr>
      <w:bookmarkStart w:id="0" w:name="_Toc49148152"/>
      <w:bookmarkStart w:id="1" w:name="_Hlk16607524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A1409D" w14:paraId="7B82FD92" w14:textId="0879148F">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A1409D" w:rsidR="00A1409D">
        <w:rPr>
          <w:rFonts w:cstheme="minorHAnsi"/>
        </w:rPr>
        <w:t>Information Collection Request for the Clean Watersheds Needs Survey (Renewal)</w:t>
      </w:r>
    </w:p>
    <w:p w:rsidR="00EE2403" w:rsidRPr="00BB3410" w:rsidP="00BB432F" w14:paraId="71D5121E" w14:textId="525FE420">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B23110" w:rsidR="00B23110">
        <w:rPr>
          <w:rFonts w:cstheme="minorHAnsi"/>
        </w:rPr>
        <w:t>2040-0050</w:t>
      </w:r>
    </w:p>
    <w:p w:rsidR="00EE2403" w:rsidRPr="00BB3410" w:rsidP="00ED57A4" w14:paraId="4FB77BCA" w14:textId="436A9DCD">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D777EE" w:rsidR="00D777EE">
        <w:rPr>
          <w:rFonts w:cstheme="minorHAnsi"/>
        </w:rPr>
        <w:t>0318.14</w:t>
      </w:r>
    </w:p>
    <w:p w:rsidR="002D6498" w:rsidP="002D6498" w14:paraId="01B36E5E" w14:textId="77777777">
      <w:pPr>
        <w:spacing w:before="240"/>
      </w:pPr>
      <w:r w:rsidRPr="4BDBF0A0">
        <w:rPr>
          <w:b/>
          <w:bCs/>
        </w:rPr>
        <w:t>Abstract:</w:t>
      </w:r>
      <w:r w:rsidRPr="4BDBF0A0" w:rsidR="00BB432F">
        <w:t xml:space="preserve"> </w:t>
      </w:r>
      <w:r>
        <w:t xml:space="preserve">The Clean Watersheds Needs Survey (CWNS) is required by the Clean Water Act (CWA) section 516(b)(1)(B) as well as CWA section 609, which was added by the Infrastructure Investment and Jobs Act (IIJA), P.L. 117-58, November 15, 2021. It is a periodic inventory of existing and planned publicly owned wastewater conveyance and treatment, combined sewer overflow correction, stormwater management and other water pollution control infrastructure in the United States, as well as an estimate of how much of this infrastructure may need to be repaired or upgraded. The CWNS also asked for information regarding new infrastructure that is needed. The CWNS is a joint effort between the EPA and the states. The CWNS collects cost and technical data from states that is associated with POTWs and other water pollution control facilities, existing and planned. The respondents who provide this information to the EPA are state and territory agencies responsible for environmental pollution control (states) and local facility contacts who provide documentation to the states (facilities). </w:t>
      </w:r>
    </w:p>
    <w:p w:rsidR="00BB432F" w:rsidRPr="00BB3410" w:rsidP="002D6498" w14:paraId="6A3E928D" w14:textId="5B9DC71E">
      <w:pPr>
        <w:spacing w:before="240"/>
        <w:rPr>
          <w:color w:val="000000"/>
        </w:rPr>
      </w:pPr>
      <w:r>
        <w:t>No confidential information is used, nor is sensitive information protected from release under the Public Information Act. The EPA achieves national consistency in the final results through the application of uniform guidelines and validation techniques.</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2" w:name="_Toc156593368"/>
      <w:r w:rsidRPr="00E3122D">
        <w:rPr>
          <w:rFonts w:cstheme="minorHAnsi"/>
          <w:b/>
          <w:bCs/>
        </w:rPr>
        <w:t>NEED AND AUTHORITY FOR THE COLLECTION</w:t>
      </w:r>
      <w:bookmarkEnd w:id="2"/>
    </w:p>
    <w:p w:rsidR="004162D5" w:rsidRPr="004162D5" w:rsidP="004162D5" w14:paraId="756BE8BA" w14:textId="212C6AD3">
      <w:pPr>
        <w:keepNext/>
        <w:rPr>
          <w:rFonts w:cstheme="minorHAnsi"/>
        </w:rPr>
      </w:pPr>
      <w:r w:rsidRPr="004162D5">
        <w:rPr>
          <w:rFonts w:cstheme="minorHAnsi"/>
        </w:rPr>
        <w:t xml:space="preserve">Per Clean Water Action (CWA) section 516(b)(1)(B), the EPA must provide “a detailed estimate, biennially revised, of the cost of construction of all needed publicly owned treatment works in all of the States and of the cost of construction of all needed publicly owned treatment works in each of the States.” </w:t>
      </w:r>
    </w:p>
    <w:p w:rsidR="00BB432F" w:rsidRPr="00BB3410" w:rsidP="004162D5" w14:paraId="61662F16" w14:textId="47CC0BAD">
      <w:pPr>
        <w:keepNext/>
        <w:rPr>
          <w:rFonts w:cstheme="minorHAnsi"/>
        </w:rPr>
      </w:pPr>
      <w:r w:rsidRPr="004162D5">
        <w:rPr>
          <w:rFonts w:cstheme="minorHAnsi"/>
        </w:rPr>
        <w:t>Per the CWA, the CWNS was initially conducted every two years. In 1994, a survey was mandated for the collection of drinking water infrastructure needs. Therefore, after the completion of the CWNS 1992, the CWNS was conducted every four years, alternating with the drinking water needs survey. The next survey will be the 18th since the enactment of the CWA in 1972. The last CWNS collection occurred in 2022.</w:t>
      </w:r>
    </w:p>
    <w:p w:rsidR="00D47CB3" w:rsidRPr="00E3122D" w:rsidP="00854AAE" w14:paraId="24F38A28" w14:textId="1123A129">
      <w:pPr>
        <w:pStyle w:val="ListParagraph"/>
        <w:numPr>
          <w:ilvl w:val="0"/>
          <w:numId w:val="25"/>
        </w:numPr>
        <w:pBdr>
          <w:bottom w:val="single" w:sz="4" w:space="1" w:color="auto"/>
        </w:pBdr>
        <w:spacing w:before="240" w:after="0"/>
        <w:rPr>
          <w:rFonts w:cstheme="minorHAnsi"/>
          <w:b/>
          <w:bCs/>
        </w:rPr>
      </w:pPr>
      <w:bookmarkStart w:id="3" w:name="_Toc156593369"/>
      <w:r w:rsidRPr="00E3122D">
        <w:rPr>
          <w:rFonts w:cstheme="minorHAnsi"/>
          <w:b/>
          <w:bCs/>
        </w:rPr>
        <w:t>PRACTICAL UTILITY/USERS OF THE DATA</w:t>
      </w:r>
      <w:bookmarkEnd w:id="3"/>
    </w:p>
    <w:p w:rsidR="00593BAE" w:rsidRPr="00593BAE" w:rsidP="00593BAE" w14:paraId="53191113" w14:textId="4E88985B">
      <w:pPr>
        <w:pBdr>
          <w:top w:val="single" w:sz="6" w:space="0" w:color="FFFFFF"/>
          <w:left w:val="single" w:sz="6" w:space="0" w:color="FFFFFF"/>
          <w:bottom w:val="single" w:sz="6" w:space="0" w:color="FFFFFF"/>
          <w:right w:val="single" w:sz="6" w:space="0" w:color="FFFFFF"/>
        </w:pBdr>
        <w:rPr>
          <w:rFonts w:cstheme="minorHAnsi"/>
        </w:rPr>
      </w:pPr>
      <w:r w:rsidRPr="00593BAE">
        <w:rPr>
          <w:rFonts w:cstheme="minorHAnsi"/>
        </w:rPr>
        <w:t>Congress utilizes the data collected in the CWNS to assist deliberations on specific legislation and funding measures related to water pollution control. Additional uses of the data include:</w:t>
      </w:r>
    </w:p>
    <w:p w:rsidR="00593BAE" w:rsidRPr="00593BAE" w:rsidP="00593BAE" w14:paraId="03B0DD0C" w14:textId="4C65A4F3">
      <w:pPr>
        <w:pStyle w:val="ListParagraph"/>
        <w:numPr>
          <w:ilvl w:val="0"/>
          <w:numId w:val="29"/>
        </w:numPr>
        <w:pBdr>
          <w:top w:val="single" w:sz="6" w:space="0" w:color="FFFFFF"/>
          <w:left w:val="single" w:sz="6" w:space="0" w:color="FFFFFF"/>
          <w:bottom w:val="single" w:sz="6" w:space="0" w:color="FFFFFF"/>
          <w:right w:val="single" w:sz="6" w:space="0" w:color="FFFFFF"/>
        </w:pBdr>
        <w:rPr>
          <w:rFonts w:cstheme="minorHAnsi"/>
        </w:rPr>
      </w:pPr>
      <w:r w:rsidRPr="00593BAE">
        <w:rPr>
          <w:rFonts w:cstheme="minorHAnsi"/>
        </w:rPr>
        <w:t>Local, state, and other uses of the data for NPDES permit writing, Total Maximum Daily Load (TMDL) analyses, and other environmental program support,</w:t>
      </w:r>
    </w:p>
    <w:p w:rsidR="00593BAE" w:rsidRPr="00593BAE" w:rsidP="00593BAE" w14:paraId="331CD25A" w14:textId="2E978112">
      <w:pPr>
        <w:pStyle w:val="ListParagraph"/>
        <w:numPr>
          <w:ilvl w:val="0"/>
          <w:numId w:val="29"/>
        </w:numPr>
        <w:pBdr>
          <w:top w:val="single" w:sz="6" w:space="0" w:color="FFFFFF"/>
          <w:left w:val="single" w:sz="6" w:space="0" w:color="FFFFFF"/>
          <w:bottom w:val="single" w:sz="6" w:space="0" w:color="FFFFFF"/>
          <w:right w:val="single" w:sz="6" w:space="0" w:color="FFFFFF"/>
        </w:pBdr>
        <w:rPr>
          <w:rFonts w:cstheme="minorHAnsi"/>
        </w:rPr>
      </w:pPr>
      <w:r w:rsidRPr="00593BAE">
        <w:rPr>
          <w:rFonts w:cstheme="minorHAnsi"/>
        </w:rPr>
        <w:t>Wastewater treatment technology and environmental measures support related to the EPA’s Sustainable Infrastructure Initiative,</w:t>
      </w:r>
    </w:p>
    <w:p w:rsidR="00593BAE" w:rsidRPr="00593BAE" w:rsidP="00593BAE" w14:paraId="73BE9AFD" w14:textId="6B560FF2">
      <w:pPr>
        <w:pStyle w:val="ListParagraph"/>
        <w:numPr>
          <w:ilvl w:val="0"/>
          <w:numId w:val="29"/>
        </w:numPr>
        <w:pBdr>
          <w:top w:val="single" w:sz="6" w:space="0" w:color="FFFFFF"/>
          <w:left w:val="single" w:sz="6" w:space="0" w:color="FFFFFF"/>
          <w:bottom w:val="single" w:sz="6" w:space="0" w:color="FFFFFF"/>
          <w:right w:val="single" w:sz="6" w:space="0" w:color="FFFFFF"/>
        </w:pBdr>
        <w:rPr>
          <w:rFonts w:cstheme="minorHAnsi"/>
        </w:rPr>
      </w:pPr>
      <w:r w:rsidRPr="00593BAE">
        <w:rPr>
          <w:rFonts w:cstheme="minorHAnsi"/>
        </w:rPr>
        <w:t xml:space="preserve">Private efforts to target technical support for facilities, </w:t>
      </w:r>
    </w:p>
    <w:p w:rsidR="00593BAE" w:rsidRPr="00593BAE" w:rsidP="00593BAE" w14:paraId="724CC302" w14:textId="48BA396D">
      <w:pPr>
        <w:pStyle w:val="ListParagraph"/>
        <w:numPr>
          <w:ilvl w:val="0"/>
          <w:numId w:val="29"/>
        </w:numPr>
        <w:pBdr>
          <w:top w:val="single" w:sz="6" w:space="0" w:color="FFFFFF"/>
          <w:left w:val="single" w:sz="6" w:space="0" w:color="FFFFFF"/>
          <w:bottom w:val="single" w:sz="6" w:space="0" w:color="FFFFFF"/>
          <w:right w:val="single" w:sz="6" w:space="0" w:color="FFFFFF"/>
        </w:pBdr>
        <w:rPr>
          <w:rFonts w:cstheme="minorHAnsi"/>
        </w:rPr>
      </w:pPr>
      <w:r w:rsidRPr="00593BAE">
        <w:rPr>
          <w:rFonts w:cstheme="minorHAnsi"/>
        </w:rPr>
        <w:t>Baseline data for the EPA, Department of Homeland Security, and other agencies for use in more specialized reports and for providing program focus,</w:t>
      </w:r>
    </w:p>
    <w:p w:rsidR="00593BAE" w:rsidRPr="00593BAE" w:rsidP="00593BAE" w14:paraId="05E22189" w14:textId="681FC14C">
      <w:pPr>
        <w:pStyle w:val="ListParagraph"/>
        <w:numPr>
          <w:ilvl w:val="0"/>
          <w:numId w:val="29"/>
        </w:numPr>
        <w:pBdr>
          <w:top w:val="single" w:sz="6" w:space="0" w:color="FFFFFF"/>
          <w:left w:val="single" w:sz="6" w:space="0" w:color="FFFFFF"/>
          <w:bottom w:val="single" w:sz="6" w:space="0" w:color="FFFFFF"/>
          <w:right w:val="single" w:sz="6" w:space="0" w:color="FFFFFF"/>
        </w:pBdr>
        <w:rPr>
          <w:rFonts w:cstheme="minorHAnsi"/>
        </w:rPr>
      </w:pPr>
      <w:r w:rsidRPr="00593BAE">
        <w:rPr>
          <w:rFonts w:cstheme="minorHAnsi"/>
        </w:rPr>
        <w:t>Development of the allotment formula for the new EPA Overflow and Stormwater Grant program, and</w:t>
      </w:r>
    </w:p>
    <w:p w:rsidR="00593BAE" w:rsidRPr="00593BAE" w:rsidP="00593BAE" w14:paraId="14B11C1D" w14:textId="6B7526C8">
      <w:pPr>
        <w:pStyle w:val="ListParagraph"/>
        <w:numPr>
          <w:ilvl w:val="0"/>
          <w:numId w:val="29"/>
        </w:numPr>
        <w:pBdr>
          <w:top w:val="single" w:sz="6" w:space="0" w:color="FFFFFF"/>
          <w:left w:val="single" w:sz="6" w:space="0" w:color="FFFFFF"/>
          <w:bottom w:val="single" w:sz="6" w:space="0" w:color="FFFFFF"/>
          <w:right w:val="single" w:sz="6" w:space="0" w:color="FFFFFF"/>
        </w:pBdr>
        <w:rPr>
          <w:rFonts w:cstheme="minorHAnsi"/>
        </w:rPr>
      </w:pPr>
      <w:r w:rsidRPr="00593BAE">
        <w:rPr>
          <w:rFonts w:cstheme="minorHAnsi"/>
        </w:rPr>
        <w:t>Data used by professional industry groups and academia as the only comprehensive review of all capital needs for wastewater and stormwater infrastructure in the United States.</w:t>
      </w:r>
    </w:p>
    <w:p w:rsidR="00BB432F" w:rsidRPr="00BB3410" w:rsidP="00593BAE" w14:paraId="1E879A61" w14:textId="07B54DD7">
      <w:pPr>
        <w:pBdr>
          <w:top w:val="single" w:sz="6" w:space="0" w:color="FFFFFF"/>
          <w:left w:val="single" w:sz="6" w:space="0" w:color="FFFFFF"/>
          <w:bottom w:val="single" w:sz="6" w:space="0" w:color="FFFFFF"/>
          <w:right w:val="single" w:sz="6" w:space="0" w:color="FFFFFF"/>
        </w:pBdr>
        <w:rPr>
          <w:rFonts w:cstheme="minorHAnsi"/>
          <w:color w:val="FF0000"/>
        </w:rPr>
      </w:pPr>
      <w:r w:rsidRPr="00593BAE">
        <w:rPr>
          <w:rFonts w:cstheme="minorHAnsi"/>
        </w:rPr>
        <w:t xml:space="preserve">At the end of each CWNS, the EPA develops a Report to Congress highlighting the national results of the survey and describing the methodology used to collect, document, and quality assure all of the state data included therein. The appendices of the Report are detailed state-by-state and national summary tables. In addition, the EPA makes the data available to the public via a CWNS dashboard and they are integrated into a number of other EPA data platforms. Past Reports and data are publicly available at </w:t>
      </w:r>
      <w:hyperlink r:id="rId10" w:history="1">
        <w:r w:rsidRPr="00593BAE">
          <w:rPr>
            <w:rStyle w:val="Hyperlink"/>
            <w:rFonts w:cstheme="minorHAnsi"/>
          </w:rPr>
          <w:t>http://www.epa.gov/cwns/.</w:t>
        </w:r>
      </w:hyperlink>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4" w:name="_Toc156593370"/>
      <w:r w:rsidRPr="00E3122D">
        <w:rPr>
          <w:rFonts w:cstheme="minorHAnsi"/>
          <w:b/>
          <w:bCs/>
        </w:rPr>
        <w:t>USE OF TECHNOLOGY</w:t>
      </w:r>
      <w:bookmarkEnd w:id="4"/>
    </w:p>
    <w:p w:rsidR="00514FEF" w:rsidRPr="00514FEF" w:rsidP="00514FEF" w14:paraId="271F27F6" w14:textId="77777777">
      <w:pPr>
        <w:pStyle w:val="BodyText"/>
        <w:rPr>
          <w:rFonts w:asciiTheme="minorHAnsi" w:hAnsiTheme="minorHAnsi" w:cstheme="minorHAnsi"/>
          <w:sz w:val="22"/>
          <w:szCs w:val="22"/>
        </w:rPr>
      </w:pPr>
      <w:bookmarkStart w:id="5" w:name="_Toc156593371"/>
      <w:r w:rsidRPr="00514FEF">
        <w:rPr>
          <w:rFonts w:asciiTheme="minorHAnsi" w:hAnsiTheme="minorHAnsi" w:cstheme="minorHAnsi"/>
          <w:sz w:val="22"/>
          <w:szCs w:val="22"/>
        </w:rPr>
        <w:t>The EPA uses current technology to complete the CWNS. Since 1988, the CWNS review and update processes have been computerized to reduce the workload for the states and Regions in collecting and updating facility data. For the 2022 survey, the EPA made additional enhancements to the data entry portal to streamline data entry, including:</w:t>
      </w:r>
    </w:p>
    <w:p w:rsidR="00514FEF" w:rsidRPr="00514FEF" w:rsidP="00514FEF" w14:paraId="714CD3BE" w14:textId="77777777">
      <w:pPr>
        <w:pStyle w:val="ListBullet"/>
        <w:rPr>
          <w:rFonts w:eastAsia="Batang" w:asciiTheme="minorHAnsi" w:hAnsiTheme="minorHAnsi" w:cstheme="minorHAnsi"/>
          <w:sz w:val="22"/>
          <w:szCs w:val="22"/>
        </w:rPr>
      </w:pPr>
      <w:r w:rsidRPr="00514FEF">
        <w:rPr>
          <w:rFonts w:eastAsia="Batang" w:asciiTheme="minorHAnsi" w:hAnsiTheme="minorHAnsi" w:cstheme="minorHAnsi"/>
          <w:sz w:val="22"/>
          <w:szCs w:val="22"/>
        </w:rPr>
        <w:t>Restructuring data entry flow to allow users to work on similar sections sequentially,</w:t>
      </w:r>
    </w:p>
    <w:p w:rsidR="00514FEF" w:rsidRPr="00514FEF" w:rsidP="00514FEF" w14:paraId="2B6415E3" w14:textId="77777777">
      <w:pPr>
        <w:pStyle w:val="ListBullet"/>
        <w:rPr>
          <w:rFonts w:eastAsia="Batang" w:asciiTheme="minorHAnsi" w:hAnsiTheme="minorHAnsi" w:cstheme="minorHAnsi"/>
          <w:sz w:val="22"/>
          <w:szCs w:val="22"/>
        </w:rPr>
      </w:pPr>
      <w:r w:rsidRPr="00514FEF">
        <w:rPr>
          <w:rFonts w:eastAsia="Batang" w:asciiTheme="minorHAnsi" w:hAnsiTheme="minorHAnsi" w:cstheme="minorHAnsi"/>
          <w:sz w:val="22"/>
          <w:szCs w:val="22"/>
        </w:rPr>
        <w:t>Splitting submission of data for the facility information and needs, allowing the review process to start sooner on submitted elements while states wait for data to fill in other information,</w:t>
      </w:r>
    </w:p>
    <w:p w:rsidR="00514FEF" w:rsidRPr="00514FEF" w:rsidP="00514FEF" w14:paraId="39A874AA" w14:textId="77777777">
      <w:pPr>
        <w:pStyle w:val="ListBullet"/>
        <w:rPr>
          <w:rFonts w:eastAsia="Batang" w:asciiTheme="minorHAnsi" w:hAnsiTheme="minorHAnsi" w:cstheme="minorHAnsi"/>
          <w:sz w:val="22"/>
          <w:szCs w:val="22"/>
        </w:rPr>
      </w:pPr>
      <w:r w:rsidRPr="00514FEF">
        <w:rPr>
          <w:rFonts w:eastAsia="Batang" w:asciiTheme="minorHAnsi" w:hAnsiTheme="minorHAnsi" w:cstheme="minorHAnsi"/>
          <w:sz w:val="22"/>
          <w:szCs w:val="22"/>
        </w:rPr>
        <w:t>Changing the page layout to a scrolling design up to reduce page load time,</w:t>
      </w:r>
    </w:p>
    <w:p w:rsidR="00514FEF" w:rsidRPr="00514FEF" w:rsidP="00514FEF" w14:paraId="0E907760" w14:textId="77777777">
      <w:pPr>
        <w:pStyle w:val="ListBullet"/>
        <w:rPr>
          <w:rFonts w:eastAsia="Batang" w:asciiTheme="minorHAnsi" w:hAnsiTheme="minorHAnsi" w:cstheme="minorHAnsi"/>
          <w:sz w:val="22"/>
          <w:szCs w:val="22"/>
        </w:rPr>
      </w:pPr>
      <w:r w:rsidRPr="00514FEF">
        <w:rPr>
          <w:rFonts w:eastAsia="Batang" w:asciiTheme="minorHAnsi" w:hAnsiTheme="minorHAnsi" w:cstheme="minorHAnsi"/>
          <w:sz w:val="22"/>
          <w:szCs w:val="22"/>
        </w:rPr>
        <w:t>Reducing the total number of data elements,</w:t>
      </w:r>
    </w:p>
    <w:p w:rsidR="00514FEF" w:rsidRPr="00514FEF" w:rsidP="00514FEF" w14:paraId="57405AA4" w14:textId="77777777">
      <w:pPr>
        <w:pStyle w:val="ListBullet"/>
        <w:rPr>
          <w:rFonts w:eastAsia="Batang" w:asciiTheme="minorHAnsi" w:hAnsiTheme="minorHAnsi" w:cstheme="minorHAnsi"/>
          <w:sz w:val="22"/>
          <w:szCs w:val="22"/>
        </w:rPr>
      </w:pPr>
      <w:r w:rsidRPr="00514FEF">
        <w:rPr>
          <w:rFonts w:eastAsia="Batang" w:asciiTheme="minorHAnsi" w:hAnsiTheme="minorHAnsi" w:cstheme="minorHAnsi"/>
          <w:sz w:val="22"/>
          <w:szCs w:val="22"/>
        </w:rPr>
        <w:t>Using conditional branching to create an efficient path through the survey based on previous inputs,</w:t>
      </w:r>
    </w:p>
    <w:p w:rsidR="00514FEF" w:rsidRPr="00514FEF" w:rsidP="00514FEF" w14:paraId="5AE22B54" w14:textId="77777777">
      <w:pPr>
        <w:pStyle w:val="ListBullet"/>
        <w:rPr>
          <w:rFonts w:eastAsia="Batang" w:asciiTheme="minorHAnsi" w:hAnsiTheme="minorHAnsi" w:cstheme="minorHAnsi"/>
          <w:sz w:val="22"/>
          <w:szCs w:val="22"/>
        </w:rPr>
      </w:pPr>
      <w:r w:rsidRPr="00514FEF">
        <w:rPr>
          <w:rFonts w:eastAsia="Batang" w:asciiTheme="minorHAnsi" w:hAnsiTheme="minorHAnsi" w:cstheme="minorHAnsi"/>
          <w:sz w:val="22"/>
          <w:szCs w:val="22"/>
        </w:rPr>
        <w:t>Providing a NPDES link for CWNS numbers early in the survey and giving the user an option to pull data from ICIS NPDES in several places where possible, and</w:t>
      </w:r>
    </w:p>
    <w:p w:rsidR="00514FEF" w:rsidRPr="00514FEF" w:rsidP="00514FEF" w14:paraId="31A528FB" w14:textId="77777777">
      <w:pPr>
        <w:pStyle w:val="ListBulletlast"/>
        <w:rPr>
          <w:rFonts w:eastAsia="Batang" w:asciiTheme="minorHAnsi" w:hAnsiTheme="minorHAnsi" w:cstheme="minorHAnsi"/>
          <w:sz w:val="22"/>
          <w:szCs w:val="22"/>
        </w:rPr>
      </w:pPr>
      <w:r w:rsidRPr="00514FEF">
        <w:rPr>
          <w:rFonts w:eastAsia="Batang" w:asciiTheme="minorHAnsi" w:hAnsiTheme="minorHAnsi" w:cstheme="minorHAnsi"/>
          <w:sz w:val="22"/>
          <w:szCs w:val="22"/>
        </w:rPr>
        <w:t>Providing states a view that will quickly inform them of missing facilities in the network of conveyance and treatment facilities and/or unbalanced population estimates.</w:t>
      </w:r>
    </w:p>
    <w:p w:rsidR="006060FD" w:rsidRPr="00514FEF" w:rsidP="006060FD" w14:paraId="1B713BD4" w14:textId="09DC5B3A">
      <w:pPr>
        <w:pStyle w:val="BodyText"/>
        <w:spacing w:after="100" w:afterAutospacing="1"/>
        <w:rPr>
          <w:rFonts w:asciiTheme="minorHAnsi" w:hAnsiTheme="minorHAnsi" w:cstheme="minorHAnsi"/>
          <w:sz w:val="22"/>
          <w:szCs w:val="22"/>
        </w:rPr>
      </w:pPr>
      <w:r w:rsidRPr="00514FEF">
        <w:rPr>
          <w:rFonts w:asciiTheme="minorHAnsi" w:hAnsiTheme="minorHAnsi" w:cstheme="minorHAnsi"/>
          <w:sz w:val="22"/>
          <w:szCs w:val="22"/>
        </w:rPr>
        <w:t>These enhancements will also be a part of the 18</w:t>
      </w:r>
      <w:r w:rsidRPr="00514FEF">
        <w:rPr>
          <w:rFonts w:asciiTheme="minorHAnsi" w:hAnsiTheme="minorHAnsi" w:cstheme="minorHAnsi"/>
          <w:sz w:val="22"/>
          <w:szCs w:val="22"/>
          <w:vertAlign w:val="superscript"/>
        </w:rPr>
        <w:t>th</w:t>
      </w:r>
      <w:r w:rsidRPr="00514FEF">
        <w:rPr>
          <w:rFonts w:asciiTheme="minorHAnsi" w:hAnsiTheme="minorHAnsi" w:cstheme="minorHAnsi"/>
          <w:sz w:val="22"/>
          <w:szCs w:val="22"/>
        </w:rPr>
        <w:t xml:space="preserve"> CWNS.</w:t>
      </w:r>
      <w:r>
        <w:rPr>
          <w:rFonts w:asciiTheme="minorHAnsi" w:hAnsiTheme="minorHAnsi" w:cstheme="minorHAnsi"/>
          <w:sz w:val="22"/>
          <w:szCs w:val="22"/>
        </w:rPr>
        <w:t xml:space="preserve"> All data entry interfaces associated with the survey will display this collection’s OMB Control Number (2040-0050), its latest expiration date, and a PRA Burden Statement on home pages/instructions sections where a user will see them before beginning an entry. </w:t>
      </w:r>
    </w:p>
    <w:p w:rsidR="00514FEF" w:rsidRPr="00514FEF" w:rsidP="00514FEF" w14:paraId="3ABA40EE" w14:textId="77777777">
      <w:pPr>
        <w:pStyle w:val="BodyText"/>
        <w:spacing w:after="100" w:afterAutospacing="1"/>
        <w:rPr>
          <w:rFonts w:asciiTheme="minorHAnsi" w:hAnsiTheme="minorHAnsi" w:cstheme="minorHAnsi"/>
          <w:sz w:val="22"/>
          <w:szCs w:val="22"/>
        </w:rPr>
      </w:pPr>
      <w:r w:rsidRPr="00514FEF">
        <w:rPr>
          <w:rFonts w:asciiTheme="minorHAnsi" w:hAnsiTheme="minorHAnsi" w:cstheme="minorHAnsi"/>
          <w:sz w:val="22"/>
          <w:szCs w:val="22"/>
        </w:rPr>
        <w:t>In addition, the EPA reviews supporting documentation submitted by states to ensure that it is current and specific to the need being described. To that end, the CWNS specifies the following documentation requirements:</w:t>
      </w:r>
    </w:p>
    <w:p w:rsidR="00514FEF" w:rsidRPr="00514FEF" w:rsidP="00514FEF" w14:paraId="1659C5BA" w14:textId="77777777">
      <w:pPr>
        <w:pStyle w:val="ListBullet"/>
        <w:spacing w:before="60" w:after="100" w:afterAutospacing="1"/>
        <w:rPr>
          <w:rFonts w:eastAsia="Batang" w:asciiTheme="minorHAnsi" w:hAnsiTheme="minorHAnsi" w:cstheme="minorHAnsi"/>
          <w:sz w:val="22"/>
          <w:szCs w:val="22"/>
        </w:rPr>
      </w:pPr>
      <w:r w:rsidRPr="00514FEF">
        <w:rPr>
          <w:rFonts w:eastAsia="Batang" w:asciiTheme="minorHAnsi" w:hAnsiTheme="minorHAnsi" w:cstheme="minorHAnsi"/>
          <w:sz w:val="22"/>
          <w:szCs w:val="22"/>
        </w:rPr>
        <w:t>A description of the current or potential water quality impairment or human health issue, or “problem,”</w:t>
      </w:r>
    </w:p>
    <w:p w:rsidR="00514FEF" w:rsidRPr="00514FEF" w:rsidP="00514FEF" w14:paraId="0D032D31" w14:textId="77777777">
      <w:pPr>
        <w:pStyle w:val="ListBullet"/>
        <w:spacing w:before="60" w:after="100" w:afterAutospacing="1"/>
        <w:rPr>
          <w:rFonts w:eastAsia="Batang" w:asciiTheme="minorHAnsi" w:hAnsiTheme="minorHAnsi" w:cstheme="minorHAnsi"/>
          <w:sz w:val="22"/>
          <w:szCs w:val="22"/>
        </w:rPr>
      </w:pPr>
      <w:r w:rsidRPr="00514FEF">
        <w:rPr>
          <w:rFonts w:eastAsia="Batang" w:asciiTheme="minorHAnsi" w:hAnsiTheme="minorHAnsi" w:cstheme="minorHAnsi"/>
          <w:sz w:val="22"/>
          <w:szCs w:val="22"/>
        </w:rPr>
        <w:t>The location of the problem,</w:t>
      </w:r>
    </w:p>
    <w:p w:rsidR="00514FEF" w:rsidRPr="00514FEF" w:rsidP="00514FEF" w14:paraId="4DE96241" w14:textId="77777777">
      <w:pPr>
        <w:pStyle w:val="ListBullet"/>
        <w:spacing w:before="60" w:after="100" w:afterAutospacing="1"/>
        <w:rPr>
          <w:rFonts w:eastAsia="Batang" w:asciiTheme="minorHAnsi" w:hAnsiTheme="minorHAnsi" w:cstheme="minorHAnsi"/>
          <w:sz w:val="22"/>
          <w:szCs w:val="22"/>
        </w:rPr>
      </w:pPr>
      <w:r w:rsidRPr="00514FEF">
        <w:rPr>
          <w:rFonts w:eastAsia="Batang" w:asciiTheme="minorHAnsi" w:hAnsiTheme="minorHAnsi" w:cstheme="minorHAnsi"/>
          <w:sz w:val="22"/>
          <w:szCs w:val="22"/>
        </w:rPr>
        <w:t>A description of the project that will solve the problem,</w:t>
      </w:r>
    </w:p>
    <w:p w:rsidR="00514FEF" w:rsidRPr="00514FEF" w:rsidP="00514FEF" w14:paraId="0D6B2CF6" w14:textId="77777777">
      <w:pPr>
        <w:pStyle w:val="ListBullet"/>
        <w:spacing w:before="60" w:after="100" w:afterAutospacing="1"/>
        <w:rPr>
          <w:rFonts w:eastAsia="Batang" w:asciiTheme="minorHAnsi" w:hAnsiTheme="minorHAnsi" w:cstheme="minorHAnsi"/>
          <w:sz w:val="22"/>
          <w:szCs w:val="22"/>
        </w:rPr>
      </w:pPr>
      <w:r w:rsidRPr="00514FEF">
        <w:rPr>
          <w:rFonts w:eastAsia="Batang" w:asciiTheme="minorHAnsi" w:hAnsiTheme="minorHAnsi" w:cstheme="minorHAnsi"/>
          <w:sz w:val="22"/>
          <w:szCs w:val="22"/>
        </w:rPr>
        <w:t>The cost of each project,</w:t>
      </w:r>
    </w:p>
    <w:p w:rsidR="00514FEF" w:rsidRPr="00514FEF" w:rsidP="00514FEF" w14:paraId="63A88892" w14:textId="77777777">
      <w:pPr>
        <w:pStyle w:val="ListBullet"/>
        <w:spacing w:before="60" w:after="100" w:afterAutospacing="1"/>
        <w:rPr>
          <w:rFonts w:eastAsia="Batang" w:asciiTheme="minorHAnsi" w:hAnsiTheme="minorHAnsi" w:cstheme="minorHAnsi"/>
          <w:sz w:val="22"/>
          <w:szCs w:val="22"/>
        </w:rPr>
      </w:pPr>
      <w:r w:rsidRPr="00514FEF">
        <w:rPr>
          <w:rFonts w:eastAsia="Batang" w:asciiTheme="minorHAnsi" w:hAnsiTheme="minorHAnsi" w:cstheme="minorHAnsi"/>
          <w:sz w:val="22"/>
          <w:szCs w:val="22"/>
        </w:rPr>
        <w:t>The source of the cost, and</w:t>
      </w:r>
    </w:p>
    <w:p w:rsidR="00514FEF" w:rsidRPr="00514FEF" w:rsidP="00514FEF" w14:paraId="538C3383" w14:textId="77777777">
      <w:pPr>
        <w:pStyle w:val="ListBullet"/>
        <w:spacing w:before="60" w:after="100" w:afterAutospacing="1"/>
        <w:rPr>
          <w:rFonts w:eastAsia="Batang" w:asciiTheme="minorHAnsi" w:hAnsiTheme="minorHAnsi" w:cstheme="minorHAnsi"/>
          <w:sz w:val="22"/>
          <w:szCs w:val="22"/>
        </w:rPr>
      </w:pPr>
      <w:r w:rsidRPr="00514FEF">
        <w:rPr>
          <w:rFonts w:eastAsia="Batang" w:asciiTheme="minorHAnsi" w:hAnsiTheme="minorHAnsi" w:cstheme="minorHAnsi"/>
          <w:sz w:val="22"/>
          <w:szCs w:val="22"/>
        </w:rPr>
        <w:t>The total cost for all projects that address the problem.</w:t>
      </w:r>
    </w:p>
    <w:p w:rsidR="00514FEF" w:rsidRPr="00514FEF" w:rsidP="00514FEF" w14:paraId="44A106B3" w14:textId="77777777">
      <w:pPr>
        <w:pStyle w:val="BodyText"/>
        <w:rPr>
          <w:rFonts w:asciiTheme="minorHAnsi" w:hAnsiTheme="minorHAnsi" w:cstheme="minorHAnsi"/>
          <w:sz w:val="22"/>
          <w:szCs w:val="22"/>
        </w:rPr>
      </w:pPr>
      <w:r w:rsidRPr="00514FEF">
        <w:rPr>
          <w:rFonts w:asciiTheme="minorHAnsi" w:hAnsiTheme="minorHAnsi" w:cstheme="minorHAnsi"/>
          <w:sz w:val="22"/>
          <w:szCs w:val="22"/>
        </w:rPr>
        <w:t>In addition to these criteria, the CWNS required that documents must be current (i.e., published within the prior six years) and establishes document types that are pre-approved for use in documenting needs and related costs. Cost estimation tools are utilized to estimate costs for documented needs that do not have documented costs.</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r w:rsidRPr="00E3122D">
        <w:rPr>
          <w:rFonts w:cstheme="minorHAnsi"/>
          <w:b/>
          <w:bCs/>
        </w:rPr>
        <w:t>EFFORTS TO IDENTIFY DUPLICATION</w:t>
      </w:r>
      <w:bookmarkEnd w:id="5"/>
    </w:p>
    <w:p w:rsidR="00B357D8" w:rsidRPr="00B357D8" w:rsidP="00B357D8" w14:paraId="32D1F312" w14:textId="6ECCF529">
      <w:pPr>
        <w:rPr>
          <w:rFonts w:cstheme="minorHAnsi"/>
        </w:rPr>
      </w:pPr>
      <w:r w:rsidRPr="00B357D8">
        <w:rPr>
          <w:rFonts w:cstheme="minorHAnsi"/>
        </w:rPr>
        <w:t xml:space="preserve">The EPA avoids duplication of effort in several ways. States and the EPA Regions are informed of the data and document update procedures during CWNS state trainings and through a provided user manual. </w:t>
      </w:r>
    </w:p>
    <w:p w:rsidR="00B357D8" w:rsidRPr="00B357D8" w:rsidP="00B357D8" w14:paraId="3B66D5C7" w14:textId="77777777">
      <w:pPr>
        <w:rPr>
          <w:rFonts w:cstheme="minorHAnsi"/>
        </w:rPr>
      </w:pPr>
      <w:r w:rsidRPr="00B357D8">
        <w:rPr>
          <w:rFonts w:cstheme="minorHAnsi"/>
        </w:rPr>
        <w:t>A new data entry portal was developed for the 2022 CWNS and will be used for the 18</w:t>
      </w:r>
      <w:r w:rsidRPr="00B357D8">
        <w:rPr>
          <w:rFonts w:cstheme="minorHAnsi"/>
          <w:vertAlign w:val="superscript"/>
        </w:rPr>
        <w:t>th</w:t>
      </w:r>
      <w:r w:rsidRPr="00B357D8">
        <w:rPr>
          <w:rFonts w:cstheme="minorHAnsi"/>
        </w:rPr>
        <w:t xml:space="preserve"> CWNS. This portal limits duplication of effort through the ability to:</w:t>
      </w:r>
    </w:p>
    <w:p w:rsidR="00B357D8" w:rsidRPr="00B357D8" w:rsidP="00B357D8" w14:paraId="7323FDC5" w14:textId="77777777">
      <w:pPr>
        <w:pStyle w:val="ListParagraph"/>
        <w:numPr>
          <w:ilvl w:val="0"/>
          <w:numId w:val="30"/>
        </w:numPr>
        <w:rPr>
          <w:rFonts w:cstheme="minorHAnsi"/>
        </w:rPr>
      </w:pPr>
      <w:r w:rsidRPr="00B357D8">
        <w:rPr>
          <w:rFonts w:cstheme="minorHAnsi"/>
        </w:rPr>
        <w:t>Transfer wastewater discharge permit and location data from the ICIS NPDES database,</w:t>
      </w:r>
    </w:p>
    <w:p w:rsidR="00B357D8" w:rsidRPr="00B357D8" w:rsidP="00B357D8" w14:paraId="46CB5D89" w14:textId="77777777">
      <w:pPr>
        <w:pStyle w:val="ListParagraph"/>
        <w:numPr>
          <w:ilvl w:val="0"/>
          <w:numId w:val="30"/>
        </w:numPr>
        <w:rPr>
          <w:rFonts w:cstheme="minorHAnsi"/>
        </w:rPr>
      </w:pPr>
      <w:r w:rsidRPr="00B357D8">
        <w:rPr>
          <w:rFonts w:cstheme="minorHAnsi"/>
        </w:rPr>
        <w:t>Import facility and contact information for facilities existing from the past survey.</w:t>
      </w:r>
    </w:p>
    <w:p w:rsidR="00ED57A4" w:rsidRPr="00B357D8" w:rsidP="00854AAE" w14:paraId="0E470EF3" w14:textId="405F62AF">
      <w:pPr>
        <w:rPr>
          <w:rFonts w:cstheme="minorHAnsi"/>
        </w:rPr>
      </w:pPr>
      <w:r w:rsidRPr="00B357D8">
        <w:rPr>
          <w:rFonts w:cstheme="minorHAnsi"/>
        </w:rPr>
        <w:t>System enhancements for the 18</w:t>
      </w:r>
      <w:r w:rsidRPr="00B357D8">
        <w:rPr>
          <w:rFonts w:cstheme="minorHAnsi"/>
          <w:vertAlign w:val="superscript"/>
        </w:rPr>
        <w:t>th</w:t>
      </w:r>
      <w:r w:rsidRPr="00B357D8">
        <w:rPr>
          <w:rFonts w:cstheme="minorHAnsi"/>
        </w:rPr>
        <w:t xml:space="preserve"> CWNS will assist in preventing duplicative efforts by providing upfront validation checks to prevent users from having to re-enter data based on a validation check later in the survey. Data quality assurance methods have also been streamlined to require less respondent time while preserving data quality assurance.</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CA1FDF" w:rsidRPr="00CA1FDF" w:rsidP="00CA1FDF" w14:paraId="24400772" w14:textId="1B6E99FE">
      <w:pPr>
        <w:rPr>
          <w:rFonts w:cstheme="minorHAnsi"/>
        </w:rPr>
      </w:pPr>
      <w:r w:rsidRPr="00CA1FDF">
        <w:rPr>
          <w:rFonts w:cstheme="minorHAnsi"/>
        </w:rPr>
        <w:t>The primary respondents are the states, usually the state water pollution control agency or the department of environmental protection. States need to gather small community needs, however, the EPA wants to minimize the burden to these communities. The majority of small communities have wastewater needs. Therefore, instead of requesting documentation from all small communities, the EPA proposes to sample 500 small publicly owned treatment works (POTWs) with a design capacity less than 1 MGD to estimate wastewater needs of small communities (see Part B). This will reduce the overall burden to this subset of small communities.</w:t>
      </w:r>
    </w:p>
    <w:p w:rsidR="00ED57A4" w:rsidRPr="00BB3410" w:rsidP="00854AAE" w14:paraId="518B46AB" w14:textId="3B750D76">
      <w:pPr>
        <w:rPr>
          <w:rFonts w:cstheme="minorHAnsi"/>
        </w:rPr>
      </w:pPr>
      <w:r w:rsidRPr="00CA1FDF">
        <w:rPr>
          <w:rFonts w:cstheme="minorHAnsi"/>
        </w:rPr>
        <w:t xml:space="preserve">For small communities that have non-wastewater needs, the EPA allows them to submit a simplified form (provided by the states or EPA) in lieu of independent documentation based on the presumption that these communities may not reasonably meet CWNS need documentation requirements. </w:t>
      </w:r>
    </w:p>
    <w:p w:rsidR="004252C1" w:rsidRPr="00E3122D" w:rsidP="4BDBF0A0" w14:paraId="1FF5A778" w14:textId="64337F83">
      <w:pPr>
        <w:pStyle w:val="ListParagraph"/>
        <w:numPr>
          <w:ilvl w:val="0"/>
          <w:numId w:val="25"/>
        </w:numPr>
        <w:pBdr>
          <w:bottom w:val="single" w:sz="4" w:space="1" w:color="auto"/>
        </w:pBdr>
        <w:spacing w:before="240" w:after="0"/>
        <w:rPr>
          <w:b/>
          <w:bCs/>
        </w:rPr>
      </w:pPr>
      <w:bookmarkStart w:id="7" w:name="_Toc156593373"/>
      <w:r w:rsidRPr="4BDBF0A0">
        <w:rPr>
          <w:b/>
          <w:bCs/>
        </w:rPr>
        <w:t>CONSEQUENCES</w:t>
      </w:r>
      <w:r w:rsidRPr="4BDBF0A0" w:rsidR="00061A77">
        <w:rPr>
          <w:b/>
          <w:bCs/>
        </w:rPr>
        <w:t xml:space="preserve"> OF LESS FREQUENT COLLECTION</w:t>
      </w:r>
      <w:bookmarkEnd w:id="7"/>
    </w:p>
    <w:p w:rsidR="00ED57A4" w:rsidRPr="00BB3410" w:rsidP="00854AAE" w14:paraId="5934FB28" w14:textId="189FC703">
      <w:pPr>
        <w:pBdr>
          <w:top w:val="single" w:sz="6" w:space="0" w:color="FFFFFF"/>
          <w:left w:val="single" w:sz="6" w:space="0" w:color="FFFFFF"/>
          <w:bottom w:val="single" w:sz="6" w:space="0" w:color="FFFFFF"/>
          <w:right w:val="single" w:sz="6" w:space="0" w:color="FFFFFF"/>
        </w:pBdr>
        <w:rPr>
          <w:rFonts w:cstheme="minorHAnsi"/>
          <w:color w:val="000000"/>
        </w:rPr>
      </w:pPr>
      <w:r w:rsidRPr="00EA6EEA">
        <w:rPr>
          <w:rFonts w:cstheme="minorHAnsi"/>
          <w:color w:val="000000"/>
        </w:rPr>
        <w:t>Failure to conduct the CWNS every four years could put the EPA in the position of being unable to respond in a timely and accurate manner to CWA mandates. Additionally, the data requires regular updates to support the variety of additional uses described at the end of Section 2.</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8" w:name="_Toc156593374"/>
      <w:r w:rsidRPr="00E3122D">
        <w:rPr>
          <w:rFonts w:cstheme="minorHAnsi"/>
          <w:b/>
          <w:bCs/>
        </w:rPr>
        <w:t>GENERAL GUIDELINES</w:t>
      </w:r>
      <w:bookmarkEnd w:id="8"/>
    </w:p>
    <w:p w:rsidR="00602211" w:rsidRPr="00602211" w:rsidP="00602211" w14:paraId="208D8C98" w14:textId="3F43DC8E">
      <w:pPr>
        <w:pBdr>
          <w:top w:val="single" w:sz="6" w:space="0" w:color="FFFFFF"/>
          <w:left w:val="single" w:sz="6" w:space="0" w:color="FFFFFF"/>
          <w:bottom w:val="single" w:sz="6" w:space="0" w:color="FFFFFF"/>
          <w:right w:val="single" w:sz="6" w:space="0" w:color="FFFFFF"/>
        </w:pBdr>
        <w:rPr>
          <w:rFonts w:cstheme="minorHAnsi"/>
          <w:color w:val="000000"/>
        </w:rPr>
      </w:pPr>
      <w:r w:rsidRPr="00602211">
        <w:rPr>
          <w:rFonts w:cstheme="minorHAnsi"/>
          <w:color w:val="000000"/>
        </w:rPr>
        <w:t>The CWNS follows OMB’s general guidelines and does not ask respondents to:</w:t>
      </w:r>
    </w:p>
    <w:p w:rsidR="00602211" w:rsidRPr="00602211" w:rsidP="00602211" w14:paraId="71576980" w14:textId="77777777">
      <w:pPr>
        <w:pStyle w:val="ListParagraph"/>
        <w:numPr>
          <w:ilvl w:val="0"/>
          <w:numId w:val="31"/>
        </w:numPr>
        <w:pBdr>
          <w:top w:val="single" w:sz="6" w:space="0" w:color="FFFFFF"/>
          <w:left w:val="single" w:sz="6" w:space="0" w:color="FFFFFF"/>
          <w:bottom w:val="single" w:sz="6" w:space="0" w:color="FFFFFF"/>
          <w:right w:val="single" w:sz="6" w:space="0" w:color="FFFFFF"/>
        </w:pBdr>
        <w:rPr>
          <w:rFonts w:cstheme="minorHAnsi"/>
          <w:color w:val="000000"/>
        </w:rPr>
      </w:pPr>
      <w:r w:rsidRPr="00602211">
        <w:rPr>
          <w:rFonts w:cstheme="minorHAnsi"/>
          <w:color w:val="000000"/>
        </w:rPr>
        <w:t>Report information to the Agency more often than quarterly;</w:t>
      </w:r>
    </w:p>
    <w:p w:rsidR="00602211" w:rsidRPr="00602211" w:rsidP="00602211" w14:paraId="41773BE0" w14:textId="77777777">
      <w:pPr>
        <w:pStyle w:val="ListParagraph"/>
        <w:numPr>
          <w:ilvl w:val="0"/>
          <w:numId w:val="31"/>
        </w:numPr>
        <w:pBdr>
          <w:top w:val="single" w:sz="6" w:space="0" w:color="FFFFFF"/>
          <w:left w:val="single" w:sz="6" w:space="0" w:color="FFFFFF"/>
          <w:bottom w:val="single" w:sz="6" w:space="0" w:color="FFFFFF"/>
          <w:right w:val="single" w:sz="6" w:space="0" w:color="FFFFFF"/>
        </w:pBdr>
        <w:rPr>
          <w:rFonts w:cstheme="minorHAnsi"/>
          <w:color w:val="000000"/>
        </w:rPr>
      </w:pPr>
      <w:r w:rsidRPr="00602211">
        <w:rPr>
          <w:rFonts w:cstheme="minorHAnsi"/>
          <w:color w:val="000000"/>
        </w:rPr>
        <w:t>Prepare a written response to a collection of information in fewer than 30 days after receipt of a request;</w:t>
      </w:r>
    </w:p>
    <w:p w:rsidR="00602211" w:rsidRPr="00602211" w:rsidP="00602211" w14:paraId="1640DB44" w14:textId="77777777">
      <w:pPr>
        <w:pStyle w:val="ListParagraph"/>
        <w:numPr>
          <w:ilvl w:val="0"/>
          <w:numId w:val="31"/>
        </w:numPr>
        <w:pBdr>
          <w:top w:val="single" w:sz="6" w:space="0" w:color="FFFFFF"/>
          <w:left w:val="single" w:sz="6" w:space="0" w:color="FFFFFF"/>
          <w:bottom w:val="single" w:sz="6" w:space="0" w:color="FFFFFF"/>
          <w:right w:val="single" w:sz="6" w:space="0" w:color="FFFFFF"/>
        </w:pBdr>
        <w:rPr>
          <w:rFonts w:cstheme="minorHAnsi"/>
          <w:color w:val="000000"/>
        </w:rPr>
      </w:pPr>
      <w:r w:rsidRPr="00602211">
        <w:rPr>
          <w:rFonts w:cstheme="minorHAnsi"/>
          <w:color w:val="000000"/>
        </w:rPr>
        <w:t>Submit more than an original and two copies of any document;</w:t>
      </w:r>
    </w:p>
    <w:p w:rsidR="00602211" w:rsidRPr="00602211" w:rsidP="00602211" w14:paraId="51287FD7" w14:textId="77777777">
      <w:pPr>
        <w:pStyle w:val="ListParagraph"/>
        <w:numPr>
          <w:ilvl w:val="0"/>
          <w:numId w:val="31"/>
        </w:numPr>
        <w:pBdr>
          <w:top w:val="single" w:sz="6" w:space="0" w:color="FFFFFF"/>
          <w:left w:val="single" w:sz="6" w:space="0" w:color="FFFFFF"/>
          <w:bottom w:val="single" w:sz="6" w:space="0" w:color="FFFFFF"/>
          <w:right w:val="single" w:sz="6" w:space="0" w:color="FFFFFF"/>
        </w:pBdr>
        <w:rPr>
          <w:rFonts w:cstheme="minorHAnsi"/>
          <w:color w:val="000000"/>
        </w:rPr>
      </w:pPr>
      <w:r w:rsidRPr="00602211">
        <w:rPr>
          <w:rFonts w:cstheme="minorHAnsi"/>
          <w:color w:val="000000"/>
        </w:rPr>
        <w:t>Retain records, other than health, medical, government contract, grant-in-aid, or tax records, for more than three years;</w:t>
      </w:r>
    </w:p>
    <w:p w:rsidR="00602211" w:rsidRPr="00602211" w:rsidP="00602211" w14:paraId="19BD4788" w14:textId="77777777">
      <w:pPr>
        <w:pStyle w:val="ListParagraph"/>
        <w:numPr>
          <w:ilvl w:val="0"/>
          <w:numId w:val="31"/>
        </w:numPr>
        <w:pBdr>
          <w:top w:val="single" w:sz="6" w:space="0" w:color="FFFFFF"/>
          <w:left w:val="single" w:sz="6" w:space="0" w:color="FFFFFF"/>
          <w:bottom w:val="single" w:sz="6" w:space="0" w:color="FFFFFF"/>
          <w:right w:val="single" w:sz="6" w:space="0" w:color="FFFFFF"/>
        </w:pBdr>
        <w:rPr>
          <w:rFonts w:cstheme="minorHAnsi"/>
          <w:color w:val="000000"/>
        </w:rPr>
      </w:pPr>
      <w:r w:rsidRPr="00602211">
        <w:rPr>
          <w:rFonts w:cstheme="minorHAnsi"/>
          <w:color w:val="000000"/>
        </w:rPr>
        <w:t>Participate in a statistical survey that is not designed to produce data that can be generalized to the universe of the study;</w:t>
      </w:r>
    </w:p>
    <w:p w:rsidR="00602211" w:rsidRPr="00602211" w:rsidP="00602211" w14:paraId="0D6DD984" w14:textId="77777777">
      <w:pPr>
        <w:pStyle w:val="ListParagraph"/>
        <w:numPr>
          <w:ilvl w:val="0"/>
          <w:numId w:val="31"/>
        </w:numPr>
        <w:pBdr>
          <w:top w:val="single" w:sz="6" w:space="0" w:color="FFFFFF"/>
          <w:left w:val="single" w:sz="6" w:space="0" w:color="FFFFFF"/>
          <w:bottom w:val="single" w:sz="6" w:space="0" w:color="FFFFFF"/>
          <w:right w:val="single" w:sz="6" w:space="0" w:color="FFFFFF"/>
        </w:pBdr>
        <w:rPr>
          <w:rFonts w:cstheme="minorHAnsi"/>
          <w:color w:val="000000"/>
        </w:rPr>
      </w:pPr>
      <w:r w:rsidRPr="00602211">
        <w:rPr>
          <w:rFonts w:cstheme="minorHAnsi"/>
          <w:color w:val="000000"/>
        </w:rPr>
        <w:t>Utilize a statistical data classification that has not been reviewed and approved by OMB;</w:t>
      </w:r>
    </w:p>
    <w:p w:rsidR="00602211" w:rsidRPr="00602211" w:rsidP="00602211" w14:paraId="4A3E5DC4" w14:textId="77777777">
      <w:pPr>
        <w:pStyle w:val="ListParagraph"/>
        <w:numPr>
          <w:ilvl w:val="0"/>
          <w:numId w:val="31"/>
        </w:numPr>
        <w:pBdr>
          <w:top w:val="single" w:sz="6" w:space="0" w:color="FFFFFF"/>
          <w:left w:val="single" w:sz="6" w:space="0" w:color="FFFFFF"/>
          <w:bottom w:val="single" w:sz="6" w:space="0" w:color="FFFFFF"/>
          <w:right w:val="single" w:sz="6" w:space="0" w:color="FFFFFF"/>
        </w:pBdr>
        <w:rPr>
          <w:rFonts w:cstheme="minorHAnsi"/>
          <w:color w:val="000000"/>
        </w:rPr>
      </w:pPr>
      <w:r w:rsidRPr="00602211">
        <w:rPr>
          <w:rFonts w:cstheme="minorHAnsi"/>
          <w:color w:val="000000"/>
        </w:rPr>
        <w:t xml:space="preserve">Receive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11663" w:rsidP="00602211" w14:paraId="775EDF16" w14:textId="6BD9E2C9">
      <w:pPr>
        <w:pStyle w:val="ListParagraph"/>
        <w:numPr>
          <w:ilvl w:val="0"/>
          <w:numId w:val="31"/>
        </w:numPr>
        <w:pBdr>
          <w:top w:val="single" w:sz="6" w:space="0" w:color="FFFFFF"/>
          <w:left w:val="single" w:sz="6" w:space="0" w:color="FFFFFF"/>
          <w:bottom w:val="single" w:sz="6" w:space="0" w:color="FFFFFF"/>
          <w:right w:val="single" w:sz="6" w:space="0" w:color="FFFFFF"/>
        </w:pBdr>
        <w:rPr>
          <w:rFonts w:cstheme="minorHAnsi"/>
          <w:color w:val="000000"/>
        </w:rPr>
      </w:pPr>
      <w:r w:rsidRPr="00602211">
        <w:rPr>
          <w:rFonts w:cstheme="minorHAnsi"/>
          <w:color w:val="000000"/>
        </w:rPr>
        <w:t>Submit proprietary, trade secret, or other confidential information unless the Agency can demonstrate that it has instituted procedures to protect the information’s confidentiality to the extent permitted by law.</w:t>
      </w:r>
    </w:p>
    <w:p w:rsidR="00602211" w:rsidRPr="00602211" w:rsidP="00602211" w14:paraId="32279160" w14:textId="77777777">
      <w:pPr>
        <w:pStyle w:val="ListParagraph"/>
        <w:pBdr>
          <w:top w:val="single" w:sz="6" w:space="0" w:color="FFFFFF"/>
          <w:left w:val="single" w:sz="6" w:space="0" w:color="FFFFFF"/>
          <w:bottom w:val="single" w:sz="6" w:space="0" w:color="FFFFFF"/>
          <w:right w:val="single" w:sz="6" w:space="0" w:color="FFFFFF"/>
        </w:pBdr>
        <w:rPr>
          <w:rFonts w:cstheme="minorHAnsi"/>
          <w:color w:val="000000"/>
        </w:rPr>
      </w:pP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3B4CB7" w:rsidRPr="003B4CB7" w:rsidP="003B4CB7" w14:paraId="0054B8E9" w14:textId="6ADA8BD4">
      <w:pPr>
        <w:pBdr>
          <w:top w:val="single" w:sz="6" w:space="0" w:color="FFFFFF"/>
          <w:left w:val="single" w:sz="6" w:space="0" w:color="FFFFFF"/>
          <w:bottom w:val="single" w:sz="6" w:space="0" w:color="FFFFFF"/>
          <w:right w:val="single" w:sz="6" w:space="0" w:color="FFFFFF"/>
        </w:pBdr>
        <w:rPr>
          <w:rFonts w:cstheme="minorHAnsi"/>
          <w:color w:val="000000"/>
        </w:rPr>
      </w:pPr>
      <w:r w:rsidRPr="003B4CB7">
        <w:rPr>
          <w:rFonts w:cstheme="minorHAnsi"/>
          <w:color w:val="000000"/>
        </w:rPr>
        <w:t>In compliance with the 1995 PRA, the EPA will solicit public comments for a 30-day period to determine realistic burden estimates for respondents.</w:t>
      </w:r>
    </w:p>
    <w:p w:rsidR="003B4CB7" w:rsidRPr="003B4CB7" w:rsidP="00CA557D" w14:paraId="204E760B" w14:textId="0046ABCD">
      <w:pPr>
        <w:rPr>
          <w:rFonts w:cstheme="minorHAnsi"/>
          <w:color w:val="000000"/>
        </w:rPr>
      </w:pPr>
      <w:r w:rsidRPr="003B4CB7">
        <w:rPr>
          <w:rFonts w:cstheme="minorHAnsi"/>
          <w:color w:val="000000"/>
        </w:rPr>
        <w:t>During the previous comment period</w:t>
      </w:r>
      <w:r w:rsidR="000B5659">
        <w:rPr>
          <w:rFonts w:cstheme="minorHAnsi"/>
          <w:color w:val="000000"/>
        </w:rPr>
        <w:t xml:space="preserve"> (published March 11,</w:t>
      </w:r>
      <w:r w:rsidR="00CA557D">
        <w:rPr>
          <w:rFonts w:cstheme="minorHAnsi"/>
          <w:color w:val="000000"/>
        </w:rPr>
        <w:t xml:space="preserve"> </w:t>
      </w:r>
      <w:r w:rsidR="000B5659">
        <w:rPr>
          <w:rFonts w:cstheme="minorHAnsi"/>
          <w:color w:val="000000"/>
        </w:rPr>
        <w:t>2024</w:t>
      </w:r>
      <w:r w:rsidR="00CA557D">
        <w:rPr>
          <w:rFonts w:cstheme="minorHAnsi"/>
          <w:color w:val="000000"/>
        </w:rPr>
        <w:t xml:space="preserve">, </w:t>
      </w:r>
      <w:r w:rsidRPr="00CA557D" w:rsidR="00CA557D">
        <w:rPr>
          <w:rFonts w:cstheme="minorHAnsi"/>
          <w:color w:val="000000"/>
        </w:rPr>
        <w:t>89 FR 17464</w:t>
      </w:r>
      <w:r w:rsidR="00CA557D">
        <w:rPr>
          <w:rFonts w:cstheme="minorHAnsi"/>
          <w:color w:val="000000"/>
        </w:rPr>
        <w:t xml:space="preserve">, pages </w:t>
      </w:r>
      <w:r w:rsidRPr="00CA557D" w:rsidR="00CA557D">
        <w:rPr>
          <w:rFonts w:cstheme="minorHAnsi"/>
          <w:color w:val="000000"/>
        </w:rPr>
        <w:t>17464-17465</w:t>
      </w:r>
      <w:r w:rsidR="00CA557D">
        <w:rPr>
          <w:rFonts w:cstheme="minorHAnsi"/>
          <w:color w:val="000000"/>
        </w:rPr>
        <w:t>)</w:t>
      </w:r>
      <w:r w:rsidRPr="003B4CB7">
        <w:rPr>
          <w:rFonts w:cstheme="minorHAnsi"/>
          <w:color w:val="000000"/>
        </w:rPr>
        <w:t xml:space="preserve">, the EPA received a comment detailing challenges with collecting and reporting stormwater needs. Although the reported 2022 stormwater needs were significantly higher than in past surveys, the EPA understands the difficulty of documenting and reporting needs for stormwater projects, which are typically smaller, more varied, and less documented than wastewater projects. This also applies to the nonpoint source control and decentralized wastewater treatment projects. The EPA is committed to streamlining the data entry process to the greatest extent possible in order help states most efficiently capture documented needs. The EPA plans to make improvements to the data entry portal to better accommodate non-wastewater infrastructure types and continue to improve its usability. The EPA is also dedicated to improving training and resources for state coordinators in addition to maintaining continuity of data collection to avoid the loss of institutional knowledge and data networks that occurred between the 2012 and 2022 CWNS data collection timeframes. </w:t>
      </w:r>
    </w:p>
    <w:p w:rsidR="00ED57A4" w:rsidP="003B4CB7" w14:paraId="102C4D0F" w14:textId="1822C2E3">
      <w:pPr>
        <w:pBdr>
          <w:top w:val="single" w:sz="6" w:space="0" w:color="FFFFFF"/>
          <w:left w:val="single" w:sz="6" w:space="0" w:color="FFFFFF"/>
          <w:bottom w:val="single" w:sz="6" w:space="0" w:color="FFFFFF"/>
          <w:right w:val="single" w:sz="6" w:space="0" w:color="FFFFFF"/>
        </w:pBdr>
        <w:rPr>
          <w:rFonts w:cstheme="minorHAnsi"/>
          <w:color w:val="000000"/>
        </w:rPr>
      </w:pPr>
      <w:r w:rsidRPr="003B4CB7">
        <w:rPr>
          <w:rFonts w:cstheme="minorHAnsi"/>
          <w:color w:val="000000"/>
        </w:rPr>
        <w:t>The EPA received another comment reiterating previously reported issues on collecting small community needs (refer to section 8(b)) that proposed implementing a “probabilistic approach.” Per this suggestion, the EPA has outlined a statistical method (see Part B of this ICR), to better capture the needs of small POTWs and reduce the burden on the state respondents.</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7312A9" w:rsidRPr="007312A9" w:rsidP="007312A9" w14:paraId="3EC77B74" w14:textId="56CD42F4">
      <w:pPr>
        <w:rPr>
          <w:rFonts w:cstheme="minorHAnsi"/>
        </w:rPr>
      </w:pPr>
      <w:r w:rsidRPr="007312A9">
        <w:rPr>
          <w:rFonts w:cstheme="minorHAnsi"/>
        </w:rPr>
        <w:t xml:space="preserve">Prior to the 2022 CWNS, the EPA consulted nine states to estimate the total amount of time it takes them to update the information for one facility, as well as estimate the percentage of that time they spent on each activity. The states confirmed at that time that the previous estimate of 1.47 hours to update and submit data for one facility was correct. In 2023, at the conclusion of the 2022 survey, 56 state coordinators and their contractors provided feedback about the 2022 CWNS. This feedback confirmed that this estimate was generally correct for an average on a per facility basis. This activity burden has been retained in this ICR for technical data and needs entries. </w:t>
      </w:r>
    </w:p>
    <w:p w:rsidR="00111663" w:rsidRPr="00BB3410" w:rsidP="00854AAE" w14:paraId="5E198479" w14:textId="7D166569">
      <w:pPr>
        <w:rPr>
          <w:rFonts w:cstheme="minorHAnsi"/>
        </w:rPr>
      </w:pPr>
      <w:r w:rsidRPr="007312A9">
        <w:rPr>
          <w:rFonts w:cstheme="minorHAnsi"/>
        </w:rPr>
        <w:t>State coordinators indicated that gathering technical data and needs documentation from small community contacts via a webform was difficult. Many states indicated having more success with one-on-one phone calls with the contacts to walk them through the form. This approach meant that the overall effort of collecting data from small communities required much more time than previous estimates, EPA is proposing to estimate needs for POTWs with a design flow less than 1 MGD (which contain the majority of estimable needs from small communities) using a statistical approach (see Part B).</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2" w:name="_Toc156593378"/>
      <w:r w:rsidRPr="00E3122D">
        <w:rPr>
          <w:rFonts w:cstheme="minorHAnsi"/>
          <w:b/>
          <w:bCs/>
        </w:rPr>
        <w:t>PAYMENTS OR GIFTS TO RESPONDENTS</w:t>
      </w:r>
      <w:bookmarkEnd w:id="12"/>
    </w:p>
    <w:p w:rsidR="00ED57A4" w:rsidRPr="00BB3410" w:rsidP="00854AAE" w14:paraId="0D75D3D3" w14:textId="33C2DCA4">
      <w:pPr>
        <w:rPr>
          <w:rFonts w:cstheme="minorHAnsi"/>
        </w:rPr>
      </w:pPr>
      <w:r w:rsidRPr="00BB0F9F">
        <w:rPr>
          <w:rStyle w:val="normaltextrun"/>
          <w:color w:val="000000"/>
          <w:bdr w:val="none" w:sz="0" w:space="0" w:color="auto" w:frame="1"/>
        </w:rPr>
        <w:t>No payments or gifts to respondents are involved in this information collection.</w:t>
      </w:r>
    </w:p>
    <w:p w:rsidR="4C04BBF2" w:rsidP="4BDBF0A0" w14:paraId="333FE36D" w14:textId="1A3185A5">
      <w:pPr>
        <w:pStyle w:val="ListParagraph"/>
        <w:numPr>
          <w:ilvl w:val="0"/>
          <w:numId w:val="25"/>
        </w:numPr>
        <w:pBdr>
          <w:bottom w:val="single" w:sz="4" w:space="1" w:color="auto"/>
        </w:pBdr>
        <w:spacing w:before="240" w:after="0"/>
        <w:rPr>
          <w:b/>
          <w:bCs/>
        </w:rPr>
      </w:pPr>
      <w:r w:rsidRPr="4BDBF0A0">
        <w:rPr>
          <w:b/>
          <w:bCs/>
        </w:rPr>
        <w:t>ASSURANCE OF CONFIDENTIALITY</w:t>
      </w:r>
    </w:p>
    <w:p w:rsidR="009F1E00" w:rsidRPr="00BB3410" w:rsidP="00854AAE" w14:paraId="3676EBC5" w14:textId="75879A25">
      <w:pPr>
        <w:pBdr>
          <w:top w:val="single" w:sz="6" w:space="0" w:color="FFFFFF"/>
          <w:left w:val="single" w:sz="6" w:space="0" w:color="FFFFFF"/>
          <w:bottom w:val="single" w:sz="6" w:space="0" w:color="FFFFFF"/>
          <w:right w:val="single" w:sz="6" w:space="0" w:color="FFFFFF"/>
        </w:pBdr>
        <w:rPr>
          <w:rFonts w:cstheme="minorHAnsi"/>
          <w:color w:val="000000"/>
        </w:rPr>
      </w:pPr>
      <w:r w:rsidRPr="006832A2">
        <w:rPr>
          <w:rFonts w:cstheme="minorHAnsi"/>
          <w:color w:val="000000"/>
        </w:rPr>
        <w:t>No confidential information will be collected</w:t>
      </w:r>
      <w:r w:rsidR="00F122E0">
        <w:rPr>
          <w:rFonts w:cstheme="minorHAnsi"/>
          <w:color w:val="000000"/>
        </w:rPr>
        <w:t xml:space="preserve"> that</w:t>
      </w:r>
      <w:r w:rsidRPr="006832A2">
        <w:rPr>
          <w:rFonts w:cstheme="minorHAnsi"/>
          <w:color w:val="000000"/>
        </w:rPr>
        <w:t xml:space="preserve"> falls within the types of confidential data protected from release under the Public Information Act. However, the survey does ask for personally identifying information (PII). For example, the CWNS collects the name and title of individuals associated with their entries, and work addresses and phone numbers as optional fields. This information will not be included in the public data downloads. Any respondent that considers this information to be of a confidential nature may request that such information be treated as confidential. All confidential data will be handled in accordance with 40 CFR 122.7, 40 CFR part 2, and the EPA’s Security Manual part III, chapter 9, dated August 9, 1976.</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3" w:name="_Toc156593380"/>
      <w:r w:rsidRPr="4BDBF0A0">
        <w:rPr>
          <w:b/>
          <w:bCs/>
        </w:rPr>
        <w:t>JUSTIFICATION FOR SENSITIVE QUESTIONS</w:t>
      </w:r>
      <w:bookmarkEnd w:id="13"/>
    </w:p>
    <w:p w:rsidR="009F1E00" w:rsidRPr="00BB3410" w:rsidP="00854AAE" w14:paraId="77467D05" w14:textId="35BBDEA1">
      <w:pPr>
        <w:pBdr>
          <w:top w:val="single" w:sz="6" w:space="0" w:color="FFFFFF"/>
          <w:left w:val="single" w:sz="6" w:space="0" w:color="FFFFFF"/>
          <w:bottom w:val="single" w:sz="6" w:space="0" w:color="FFFFFF"/>
          <w:right w:val="single" w:sz="6" w:space="0" w:color="FFFFFF"/>
        </w:pBdr>
        <w:rPr>
          <w:rFonts w:cstheme="minorHAnsi"/>
          <w:color w:val="000000"/>
        </w:rPr>
      </w:pPr>
      <w:r w:rsidRPr="00024E42">
        <w:rPr>
          <w:rFonts w:cstheme="minorHAnsi"/>
          <w:color w:val="000000"/>
        </w:rPr>
        <w:t>No sensitive questions pertaining to private or personal information, such as sexual behavior or religious beliefs, are included in this information collection.</w:t>
      </w:r>
    </w:p>
    <w:p w:rsidR="001172FE" w:rsidRPr="00E3122D" w:rsidP="00854AAE" w14:paraId="637A8E82" w14:textId="77777777">
      <w:pPr>
        <w:pStyle w:val="ListParagraph"/>
        <w:numPr>
          <w:ilvl w:val="0"/>
          <w:numId w:val="25"/>
        </w:numPr>
        <w:spacing w:before="240" w:after="0"/>
        <w:rPr>
          <w:rFonts w:cstheme="minorHAnsi"/>
          <w:b/>
          <w:bCs/>
        </w:rPr>
      </w:pPr>
      <w:bookmarkStart w:id="14" w:name="_Toc156593381"/>
      <w:r w:rsidRPr="4BDBF0A0">
        <w:rPr>
          <w:b/>
          <w:bCs/>
        </w:rPr>
        <w:t>RESPONDENT BURDEN HOURS</w:t>
      </w:r>
      <w:r w:rsidRPr="4BDBF0A0" w:rsidR="00DB799B">
        <w:rPr>
          <w:b/>
          <w:bCs/>
        </w:rPr>
        <w:t xml:space="preserve"> &amp; LABOR COSTS</w:t>
      </w:r>
      <w:bookmarkStart w:id="15" w:name="_Toc156593382"/>
      <w:bookmarkEnd w:id="14"/>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A32DF7" w:rsidRPr="00A32DF7" w:rsidP="00A32DF7" w14:paraId="2BC5018B" w14:textId="77777777">
      <w:pPr>
        <w:pStyle w:val="BodyText"/>
        <w:keepNext/>
        <w:rPr>
          <w:rFonts w:asciiTheme="minorHAnsi" w:hAnsiTheme="minorHAnsi" w:cstheme="minorHAnsi"/>
          <w:sz w:val="22"/>
          <w:szCs w:val="22"/>
        </w:rPr>
      </w:pPr>
      <w:r w:rsidRPr="00A32DF7">
        <w:rPr>
          <w:rFonts w:asciiTheme="minorHAnsi" w:hAnsiTheme="minorHAnsi" w:cstheme="minorHAnsi"/>
          <w:sz w:val="22"/>
          <w:szCs w:val="22"/>
        </w:rPr>
        <w:t xml:space="preserve">The primary respondents for the CWNS will be 56 states and territories. </w:t>
      </w:r>
    </w:p>
    <w:p w:rsidR="00A32DF7" w:rsidRPr="0076735C" w:rsidP="00A32DF7" w14:paraId="3FD8FC93" w14:textId="77777777">
      <w:pPr>
        <w:widowControl w:val="0"/>
        <w:tabs>
          <w:tab w:val="left" w:pos="0"/>
          <w:tab w:val="left" w:pos="1584"/>
          <w:tab w:val="left" w:pos="4464"/>
          <w:tab w:val="right" w:pos="8928"/>
        </w:tabs>
      </w:pPr>
      <w:r w:rsidRPr="0076735C">
        <w:t>The North American Industry Classification System (NAICS) information for the facility respondents affected by this collection activity are as follows:</w:t>
      </w:r>
    </w:p>
    <w:p w:rsidR="00A32DF7" w:rsidRPr="0076735C" w:rsidP="00A32DF7" w14:paraId="025E6D65" w14:textId="77777777">
      <w:pPr>
        <w:widowControl w:val="0"/>
        <w:tabs>
          <w:tab w:val="left" w:pos="0"/>
          <w:tab w:val="left" w:pos="1584"/>
          <w:tab w:val="left" w:pos="4464"/>
          <w:tab w:val="right" w:pos="8928"/>
        </w:tabs>
      </w:pPr>
    </w:p>
    <w:tbl>
      <w:tblPr>
        <w:tblStyle w:val="TableGrid"/>
        <w:tblW w:w="0" w:type="auto"/>
        <w:tblInd w:w="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5"/>
        <w:gridCol w:w="270"/>
        <w:gridCol w:w="2125"/>
        <w:gridCol w:w="236"/>
        <w:gridCol w:w="2759"/>
      </w:tblGrid>
      <w:tr w14:paraId="21F82BC0" w14:textId="77777777" w:rsidTr="00563B45">
        <w:tblPrEx>
          <w:tblW w:w="0" w:type="auto"/>
          <w:tblInd w:w="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85" w:type="dxa"/>
            <w:tcBorders>
              <w:bottom w:val="single" w:sz="4" w:space="0" w:color="auto"/>
            </w:tcBorders>
          </w:tcPr>
          <w:p w:rsidR="00A32DF7" w:rsidRPr="0076735C" w14:paraId="7B9774EF" w14:textId="77777777">
            <w:pPr>
              <w:keepNext/>
              <w:widowControl w:val="0"/>
              <w:tabs>
                <w:tab w:val="left" w:pos="0"/>
                <w:tab w:val="left" w:pos="1584"/>
                <w:tab w:val="left" w:pos="4464"/>
                <w:tab w:val="right" w:pos="8928"/>
              </w:tabs>
              <w:rPr>
                <w:b/>
                <w:bCs/>
                <w:color w:val="000000"/>
              </w:rPr>
            </w:pPr>
            <w:r w:rsidRPr="0076735C">
              <w:rPr>
                <w:b/>
                <w:bCs/>
                <w:color w:val="000000"/>
              </w:rPr>
              <w:t>Description</w:t>
            </w:r>
          </w:p>
        </w:tc>
        <w:tc>
          <w:tcPr>
            <w:tcW w:w="270" w:type="dxa"/>
          </w:tcPr>
          <w:p w:rsidR="00A32DF7" w:rsidRPr="0076735C" w14:paraId="7C6DEC55" w14:textId="77777777">
            <w:pPr>
              <w:keepNext/>
              <w:widowControl w:val="0"/>
              <w:tabs>
                <w:tab w:val="left" w:pos="0"/>
                <w:tab w:val="left" w:pos="1584"/>
                <w:tab w:val="left" w:pos="4464"/>
                <w:tab w:val="right" w:pos="8928"/>
              </w:tabs>
              <w:jc w:val="center"/>
              <w:rPr>
                <w:b/>
                <w:bCs/>
                <w:color w:val="000000"/>
              </w:rPr>
            </w:pPr>
          </w:p>
        </w:tc>
        <w:tc>
          <w:tcPr>
            <w:tcW w:w="2125" w:type="dxa"/>
            <w:tcBorders>
              <w:bottom w:val="single" w:sz="4" w:space="0" w:color="auto"/>
            </w:tcBorders>
          </w:tcPr>
          <w:p w:rsidR="00A32DF7" w:rsidRPr="0076735C" w14:paraId="20108539" w14:textId="77777777">
            <w:pPr>
              <w:keepNext/>
              <w:widowControl w:val="0"/>
              <w:tabs>
                <w:tab w:val="left" w:pos="0"/>
                <w:tab w:val="left" w:pos="1584"/>
                <w:tab w:val="left" w:pos="4464"/>
                <w:tab w:val="right" w:pos="8928"/>
              </w:tabs>
              <w:jc w:val="center"/>
              <w:rPr>
                <w:b/>
                <w:bCs/>
                <w:color w:val="000000"/>
              </w:rPr>
            </w:pPr>
            <w:r w:rsidRPr="0076735C">
              <w:rPr>
                <w:b/>
                <w:bCs/>
                <w:color w:val="000000"/>
              </w:rPr>
              <w:t>Group Number</w:t>
            </w:r>
          </w:p>
        </w:tc>
        <w:tc>
          <w:tcPr>
            <w:tcW w:w="236" w:type="dxa"/>
          </w:tcPr>
          <w:p w:rsidR="00A32DF7" w:rsidRPr="0076735C" w14:paraId="34D3976D" w14:textId="77777777">
            <w:pPr>
              <w:keepNext/>
              <w:widowControl w:val="0"/>
              <w:tabs>
                <w:tab w:val="left" w:pos="0"/>
                <w:tab w:val="left" w:pos="1584"/>
                <w:tab w:val="left" w:pos="4464"/>
                <w:tab w:val="right" w:pos="8928"/>
              </w:tabs>
              <w:jc w:val="center"/>
              <w:rPr>
                <w:b/>
                <w:bCs/>
                <w:color w:val="000000"/>
              </w:rPr>
            </w:pPr>
          </w:p>
        </w:tc>
        <w:tc>
          <w:tcPr>
            <w:tcW w:w="2759" w:type="dxa"/>
            <w:tcBorders>
              <w:bottom w:val="single" w:sz="4" w:space="0" w:color="auto"/>
            </w:tcBorders>
          </w:tcPr>
          <w:p w:rsidR="00A32DF7" w:rsidRPr="0076735C" w14:paraId="34650185" w14:textId="77777777">
            <w:pPr>
              <w:keepNext/>
              <w:widowControl w:val="0"/>
              <w:tabs>
                <w:tab w:val="left" w:pos="0"/>
                <w:tab w:val="left" w:pos="1584"/>
                <w:tab w:val="left" w:pos="4464"/>
                <w:tab w:val="right" w:pos="8928"/>
              </w:tabs>
              <w:jc w:val="center"/>
              <w:rPr>
                <w:b/>
                <w:bCs/>
                <w:color w:val="000000"/>
              </w:rPr>
            </w:pPr>
            <w:r w:rsidRPr="0076735C">
              <w:rPr>
                <w:b/>
                <w:bCs/>
                <w:color w:val="000000"/>
              </w:rPr>
              <w:t>Industry Number</w:t>
            </w:r>
          </w:p>
        </w:tc>
      </w:tr>
      <w:tr w14:paraId="182C16B1" w14:textId="77777777" w:rsidTr="00563B45">
        <w:tblPrEx>
          <w:tblW w:w="0" w:type="auto"/>
          <w:tblInd w:w="551" w:type="dxa"/>
          <w:tblLook w:val="04A0"/>
        </w:tblPrEx>
        <w:tc>
          <w:tcPr>
            <w:tcW w:w="2885" w:type="dxa"/>
            <w:tcBorders>
              <w:top w:val="single" w:sz="4" w:space="0" w:color="auto"/>
            </w:tcBorders>
          </w:tcPr>
          <w:p w:rsidR="00A32DF7" w:rsidRPr="0076735C" w14:paraId="48B335D2" w14:textId="77777777">
            <w:pPr>
              <w:keepNext/>
              <w:widowControl w:val="0"/>
              <w:tabs>
                <w:tab w:val="left" w:pos="0"/>
                <w:tab w:val="left" w:pos="1584"/>
                <w:tab w:val="left" w:pos="4464"/>
                <w:tab w:val="right" w:pos="8928"/>
              </w:tabs>
              <w:rPr>
                <w:color w:val="000000"/>
              </w:rPr>
            </w:pPr>
            <w:r w:rsidRPr="0076735C">
              <w:rPr>
                <w:color w:val="000000"/>
              </w:rPr>
              <w:t>Administration of Air and Water Resource and Solid Waste Management Programs</w:t>
            </w:r>
          </w:p>
        </w:tc>
        <w:tc>
          <w:tcPr>
            <w:tcW w:w="270" w:type="dxa"/>
          </w:tcPr>
          <w:p w:rsidR="00A32DF7" w:rsidRPr="0076735C" w14:paraId="1E24A7A9" w14:textId="77777777">
            <w:pPr>
              <w:keepNext/>
              <w:widowControl w:val="0"/>
              <w:tabs>
                <w:tab w:val="left" w:pos="0"/>
                <w:tab w:val="left" w:pos="1584"/>
                <w:tab w:val="left" w:pos="4464"/>
                <w:tab w:val="right" w:pos="8928"/>
              </w:tabs>
              <w:jc w:val="center"/>
              <w:rPr>
                <w:color w:val="000000"/>
              </w:rPr>
            </w:pPr>
          </w:p>
        </w:tc>
        <w:tc>
          <w:tcPr>
            <w:tcW w:w="2125" w:type="dxa"/>
            <w:tcBorders>
              <w:top w:val="single" w:sz="4" w:space="0" w:color="auto"/>
            </w:tcBorders>
          </w:tcPr>
          <w:p w:rsidR="00A32DF7" w:rsidRPr="0076735C" w14:paraId="7F40C739" w14:textId="77777777">
            <w:pPr>
              <w:keepNext/>
              <w:widowControl w:val="0"/>
              <w:tabs>
                <w:tab w:val="left" w:pos="0"/>
                <w:tab w:val="left" w:pos="1584"/>
                <w:tab w:val="left" w:pos="4464"/>
                <w:tab w:val="right" w:pos="8928"/>
              </w:tabs>
              <w:jc w:val="center"/>
              <w:rPr>
                <w:color w:val="000000"/>
              </w:rPr>
            </w:pPr>
            <w:r w:rsidRPr="0076735C">
              <w:rPr>
                <w:color w:val="000000"/>
              </w:rPr>
              <w:t>924</w:t>
            </w:r>
          </w:p>
        </w:tc>
        <w:tc>
          <w:tcPr>
            <w:tcW w:w="236" w:type="dxa"/>
          </w:tcPr>
          <w:p w:rsidR="00A32DF7" w:rsidRPr="0076735C" w14:paraId="7327C4D3" w14:textId="77777777">
            <w:pPr>
              <w:keepNext/>
              <w:widowControl w:val="0"/>
              <w:tabs>
                <w:tab w:val="left" w:pos="0"/>
                <w:tab w:val="left" w:pos="1584"/>
                <w:tab w:val="left" w:pos="4464"/>
                <w:tab w:val="right" w:pos="8928"/>
              </w:tabs>
              <w:jc w:val="center"/>
              <w:rPr>
                <w:color w:val="000000"/>
              </w:rPr>
            </w:pPr>
          </w:p>
        </w:tc>
        <w:tc>
          <w:tcPr>
            <w:tcW w:w="2759" w:type="dxa"/>
            <w:tcBorders>
              <w:top w:val="single" w:sz="4" w:space="0" w:color="auto"/>
            </w:tcBorders>
          </w:tcPr>
          <w:p w:rsidR="00A32DF7" w:rsidRPr="0076735C" w14:paraId="57B6BAE0" w14:textId="77777777">
            <w:pPr>
              <w:keepNext/>
              <w:widowControl w:val="0"/>
              <w:tabs>
                <w:tab w:val="left" w:pos="0"/>
                <w:tab w:val="left" w:pos="1584"/>
                <w:tab w:val="left" w:pos="4464"/>
                <w:tab w:val="right" w:pos="8928"/>
              </w:tabs>
              <w:jc w:val="center"/>
              <w:rPr>
                <w:color w:val="000000"/>
              </w:rPr>
            </w:pPr>
            <w:r w:rsidRPr="0076735C">
              <w:rPr>
                <w:color w:val="000000"/>
              </w:rPr>
              <w:t>924110</w:t>
            </w:r>
          </w:p>
        </w:tc>
      </w:tr>
      <w:tr w14:paraId="2249F756" w14:textId="77777777" w:rsidTr="00563B45">
        <w:tblPrEx>
          <w:tblW w:w="0" w:type="auto"/>
          <w:tblInd w:w="551" w:type="dxa"/>
          <w:tblLook w:val="04A0"/>
        </w:tblPrEx>
        <w:tc>
          <w:tcPr>
            <w:tcW w:w="2885" w:type="dxa"/>
          </w:tcPr>
          <w:p w:rsidR="00A32DF7" w:rsidRPr="0076735C" w14:paraId="6E6F4CAE" w14:textId="77777777">
            <w:pPr>
              <w:widowControl w:val="0"/>
              <w:tabs>
                <w:tab w:val="left" w:pos="0"/>
                <w:tab w:val="left" w:pos="1584"/>
                <w:tab w:val="left" w:pos="4464"/>
                <w:tab w:val="right" w:pos="8928"/>
              </w:tabs>
              <w:rPr>
                <w:color w:val="000000"/>
              </w:rPr>
            </w:pPr>
            <w:r w:rsidRPr="0076735C">
              <w:rPr>
                <w:color w:val="000000"/>
              </w:rPr>
              <w:t>Sewage Plants and Collection Systems</w:t>
            </w:r>
          </w:p>
        </w:tc>
        <w:tc>
          <w:tcPr>
            <w:tcW w:w="270" w:type="dxa"/>
          </w:tcPr>
          <w:p w:rsidR="00A32DF7" w:rsidRPr="0076735C" w14:paraId="3EDD9AE2" w14:textId="77777777">
            <w:pPr>
              <w:widowControl w:val="0"/>
              <w:tabs>
                <w:tab w:val="left" w:pos="0"/>
                <w:tab w:val="left" w:pos="1584"/>
                <w:tab w:val="left" w:pos="4464"/>
                <w:tab w:val="right" w:pos="8928"/>
              </w:tabs>
              <w:jc w:val="center"/>
              <w:rPr>
                <w:color w:val="000000"/>
              </w:rPr>
            </w:pPr>
          </w:p>
        </w:tc>
        <w:tc>
          <w:tcPr>
            <w:tcW w:w="2125" w:type="dxa"/>
          </w:tcPr>
          <w:p w:rsidR="00A32DF7" w:rsidRPr="0076735C" w14:paraId="568BAAB0" w14:textId="77777777">
            <w:pPr>
              <w:widowControl w:val="0"/>
              <w:tabs>
                <w:tab w:val="left" w:pos="0"/>
                <w:tab w:val="left" w:pos="1584"/>
                <w:tab w:val="left" w:pos="4464"/>
                <w:tab w:val="right" w:pos="8928"/>
              </w:tabs>
              <w:jc w:val="center"/>
              <w:rPr>
                <w:color w:val="000000"/>
              </w:rPr>
            </w:pPr>
            <w:r w:rsidRPr="0076735C">
              <w:rPr>
                <w:color w:val="000000"/>
              </w:rPr>
              <w:t>221</w:t>
            </w:r>
          </w:p>
        </w:tc>
        <w:tc>
          <w:tcPr>
            <w:tcW w:w="236" w:type="dxa"/>
          </w:tcPr>
          <w:p w:rsidR="00A32DF7" w:rsidRPr="0076735C" w14:paraId="472012EE" w14:textId="77777777">
            <w:pPr>
              <w:widowControl w:val="0"/>
              <w:tabs>
                <w:tab w:val="left" w:pos="0"/>
                <w:tab w:val="left" w:pos="1584"/>
                <w:tab w:val="left" w:pos="4464"/>
                <w:tab w:val="right" w:pos="8928"/>
              </w:tabs>
              <w:jc w:val="center"/>
              <w:rPr>
                <w:color w:val="000000"/>
              </w:rPr>
            </w:pPr>
          </w:p>
        </w:tc>
        <w:tc>
          <w:tcPr>
            <w:tcW w:w="2759" w:type="dxa"/>
          </w:tcPr>
          <w:p w:rsidR="00A32DF7" w:rsidRPr="0076735C" w14:paraId="34830B01" w14:textId="77777777">
            <w:pPr>
              <w:widowControl w:val="0"/>
              <w:tabs>
                <w:tab w:val="left" w:pos="0"/>
                <w:tab w:val="left" w:pos="1584"/>
                <w:tab w:val="left" w:pos="4464"/>
                <w:tab w:val="right" w:pos="8928"/>
              </w:tabs>
              <w:jc w:val="center"/>
              <w:rPr>
                <w:color w:val="000000"/>
              </w:rPr>
            </w:pPr>
            <w:r w:rsidRPr="0076735C">
              <w:rPr>
                <w:color w:val="000000"/>
              </w:rPr>
              <w:t>221320</w:t>
            </w:r>
          </w:p>
        </w:tc>
      </w:tr>
      <w:tr w14:paraId="2EE8641B" w14:textId="77777777" w:rsidTr="00563B45">
        <w:tblPrEx>
          <w:tblW w:w="0" w:type="auto"/>
          <w:tblInd w:w="551" w:type="dxa"/>
          <w:tblLook w:val="04A0"/>
        </w:tblPrEx>
        <w:tc>
          <w:tcPr>
            <w:tcW w:w="2885" w:type="dxa"/>
          </w:tcPr>
          <w:p w:rsidR="00A32DF7" w:rsidRPr="0076735C" w14:paraId="0AA26D25" w14:textId="77777777">
            <w:pPr>
              <w:widowControl w:val="0"/>
              <w:tabs>
                <w:tab w:val="left" w:pos="0"/>
                <w:tab w:val="left" w:pos="1584"/>
                <w:tab w:val="left" w:pos="4464"/>
                <w:tab w:val="right" w:pos="8928"/>
              </w:tabs>
              <w:rPr>
                <w:color w:val="000000"/>
              </w:rPr>
            </w:pPr>
            <w:r w:rsidRPr="0076735C">
              <w:rPr>
                <w:color w:val="000000"/>
              </w:rPr>
              <w:t>City, Town, County Executive Offices</w:t>
            </w:r>
          </w:p>
        </w:tc>
        <w:tc>
          <w:tcPr>
            <w:tcW w:w="270" w:type="dxa"/>
          </w:tcPr>
          <w:p w:rsidR="00A32DF7" w:rsidRPr="0076735C" w14:paraId="1441E22F" w14:textId="77777777">
            <w:pPr>
              <w:widowControl w:val="0"/>
              <w:tabs>
                <w:tab w:val="left" w:pos="0"/>
                <w:tab w:val="left" w:pos="1584"/>
                <w:tab w:val="left" w:pos="4464"/>
                <w:tab w:val="right" w:pos="8928"/>
              </w:tabs>
              <w:jc w:val="center"/>
              <w:rPr>
                <w:color w:val="000000"/>
              </w:rPr>
            </w:pPr>
          </w:p>
        </w:tc>
        <w:tc>
          <w:tcPr>
            <w:tcW w:w="2125" w:type="dxa"/>
          </w:tcPr>
          <w:p w:rsidR="00A32DF7" w:rsidRPr="0076735C" w14:paraId="3E8EF253" w14:textId="77777777">
            <w:pPr>
              <w:widowControl w:val="0"/>
              <w:tabs>
                <w:tab w:val="left" w:pos="0"/>
                <w:tab w:val="left" w:pos="1584"/>
                <w:tab w:val="left" w:pos="4464"/>
                <w:tab w:val="right" w:pos="8928"/>
              </w:tabs>
              <w:jc w:val="center"/>
              <w:rPr>
                <w:color w:val="000000"/>
              </w:rPr>
            </w:pPr>
            <w:r w:rsidRPr="0076735C">
              <w:rPr>
                <w:color w:val="000000"/>
              </w:rPr>
              <w:t>921</w:t>
            </w:r>
          </w:p>
        </w:tc>
        <w:tc>
          <w:tcPr>
            <w:tcW w:w="236" w:type="dxa"/>
          </w:tcPr>
          <w:p w:rsidR="00A32DF7" w:rsidRPr="0076735C" w14:paraId="0CF33E69" w14:textId="77777777">
            <w:pPr>
              <w:widowControl w:val="0"/>
              <w:tabs>
                <w:tab w:val="left" w:pos="0"/>
                <w:tab w:val="left" w:pos="1584"/>
                <w:tab w:val="left" w:pos="4464"/>
                <w:tab w:val="right" w:pos="8928"/>
              </w:tabs>
              <w:jc w:val="center"/>
              <w:rPr>
                <w:color w:val="000000"/>
              </w:rPr>
            </w:pPr>
          </w:p>
        </w:tc>
        <w:tc>
          <w:tcPr>
            <w:tcW w:w="2759" w:type="dxa"/>
          </w:tcPr>
          <w:p w:rsidR="00A32DF7" w:rsidRPr="0076735C" w14:paraId="6AADF6F7" w14:textId="77777777">
            <w:pPr>
              <w:widowControl w:val="0"/>
              <w:tabs>
                <w:tab w:val="left" w:pos="0"/>
                <w:tab w:val="left" w:pos="1584"/>
                <w:tab w:val="left" w:pos="4464"/>
                <w:tab w:val="right" w:pos="8928"/>
              </w:tabs>
              <w:jc w:val="center"/>
              <w:rPr>
                <w:color w:val="000000"/>
              </w:rPr>
            </w:pPr>
            <w:r w:rsidRPr="0076735C">
              <w:rPr>
                <w:color w:val="000000"/>
              </w:rPr>
              <w:t>921110</w:t>
            </w:r>
          </w:p>
        </w:tc>
      </w:tr>
    </w:tbl>
    <w:p w:rsidR="00A32DF7" w:rsidRPr="0076735C" w:rsidP="00A32DF7" w14:paraId="24553BBF" w14:textId="77777777">
      <w:pPr>
        <w:widowControl w:val="0"/>
        <w:tabs>
          <w:tab w:val="left" w:pos="0"/>
          <w:tab w:val="left" w:pos="1584"/>
          <w:tab w:val="left" w:pos="4464"/>
          <w:tab w:val="right" w:pos="8928"/>
        </w:tabs>
        <w:rPr>
          <w:color w:val="000000"/>
        </w:rPr>
      </w:pP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7" w:name="_Toc156593384"/>
      <w:bookmarkEnd w:id="16"/>
    </w:p>
    <w:p w:rsidR="00BB3410" w:rsidP="00854AAE" w14:paraId="42074A5E" w14:textId="057DE2B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70D2A">
        <w:rPr>
          <w:rFonts w:cstheme="minorHAnsi"/>
          <w:color w:val="000000"/>
        </w:rPr>
        <w:t>The types of data that will be collected relate to wastewater infrastructure and the costs thereof, including publicly owned wastewater treatment and conveyance systems that need to be built or upgraded to control wastewater, stormwater, nonpoint source discharges, decentralized systems, and combined sewer/sanitary sewer overflows.</w:t>
      </w:r>
    </w:p>
    <w:p w:rsidR="005A6057" w:rsidRPr="005A6057" w:rsidP="005A6057" w14:paraId="03853C7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Respondents will utilize an online data entry portal to submit information. Appendix A includes screenshots of the data entry portal.</w:t>
      </w:r>
    </w:p>
    <w:p w:rsidR="005A6057" w:rsidRPr="005A6057" w:rsidP="005A6057" w14:paraId="296DD61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The survey will collect information in the following data areas:</w:t>
      </w:r>
    </w:p>
    <w:p w:rsidR="005A6057" w:rsidRPr="005A6057" w:rsidP="005A6057" w14:paraId="75BBB614"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Facility/Change Type</w:t>
      </w:r>
    </w:p>
    <w:p w:rsidR="005A6057" w:rsidRPr="005A6057" w:rsidP="005A6057" w14:paraId="3D45092A"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Permit</w:t>
      </w:r>
    </w:p>
    <w:p w:rsidR="005A6057" w:rsidRPr="005A6057" w:rsidP="005A6057" w14:paraId="1C7D5951"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Point of Contact</w:t>
      </w:r>
    </w:p>
    <w:p w:rsidR="005A6057" w:rsidRPr="005A6057" w:rsidP="005A6057" w14:paraId="0FD82FBA"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Location</w:t>
      </w:r>
    </w:p>
    <w:p w:rsidR="005A6057" w:rsidRPr="005A6057" w:rsidP="005A6057" w14:paraId="73ABA7FE"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Population</w:t>
      </w:r>
    </w:p>
    <w:p w:rsidR="005A6057" w:rsidRPr="005A6057" w:rsidP="005A6057" w14:paraId="1B58A8AC"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Flow</w:t>
      </w:r>
    </w:p>
    <w:p w:rsidR="005A6057" w:rsidRPr="005A6057" w:rsidP="005A6057" w14:paraId="334B8974"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Discharge</w:t>
      </w:r>
    </w:p>
    <w:p w:rsidR="005A6057" w:rsidRPr="005A6057" w:rsidP="005A6057" w14:paraId="73E4FF1B"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Effluent</w:t>
      </w:r>
    </w:p>
    <w:p w:rsidR="005A6057" w:rsidRPr="005A6057" w:rsidP="005A6057" w14:paraId="331B9217"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Unit Processes</w:t>
      </w:r>
    </w:p>
    <w:p w:rsidR="005A6057" w:rsidRPr="005A6057" w:rsidP="005A6057" w14:paraId="43C049C2"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Asset management</w:t>
      </w:r>
    </w:p>
    <w:p w:rsidR="005A6057" w:rsidRPr="005A6057" w:rsidP="005A6057" w14:paraId="42DA634E"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 xml:space="preserve">Needs </w:t>
      </w:r>
    </w:p>
    <w:p w:rsidR="005A6057" w:rsidRPr="005A6057" w:rsidP="005A6057" w14:paraId="4F207A48"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Areas Related to Needs</w:t>
      </w:r>
    </w:p>
    <w:p w:rsidR="005A6057" w:rsidRPr="005A6057" w:rsidP="005A6057" w14:paraId="2BFFF8EB"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Cost Model Inputs</w:t>
      </w:r>
    </w:p>
    <w:p w:rsidR="005A6057" w:rsidRPr="00BB3410" w:rsidP="00854AAE" w14:paraId="52F31EED" w14:textId="6D29C82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This collection does not require record keeping by respondents as all data and documentation will be submitted to the EPA for review and archiving.</w:t>
      </w: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8" w:name="_Toc156593385"/>
      <w:bookmarkEnd w:id="17"/>
    </w:p>
    <w:p w:rsidR="00A457CA" w:rsidRPr="00A457CA" w:rsidP="00A457CA" w14:paraId="529A4E40" w14:textId="3C535805">
      <w:pPr>
        <w:spacing w:before="60"/>
        <w:rPr>
          <w:rFonts w:cstheme="minorHAnsi"/>
        </w:rPr>
      </w:pPr>
      <w:r w:rsidRPr="00A457CA">
        <w:rPr>
          <w:rFonts w:cstheme="minorHAnsi"/>
        </w:rPr>
        <w:t xml:space="preserve">States will be inputting and submitting CWNS information and conducting the following activities that are not customary and usual business practice. </w:t>
      </w:r>
    </w:p>
    <w:p w:rsidR="00A457CA" w:rsidRPr="00A457CA" w:rsidP="00A457CA" w14:paraId="04B8E045" w14:textId="602DFFA2">
      <w:pPr>
        <w:pStyle w:val="ListParagraph"/>
        <w:numPr>
          <w:ilvl w:val="0"/>
          <w:numId w:val="35"/>
        </w:numPr>
        <w:spacing w:before="60"/>
        <w:rPr>
          <w:rFonts w:cstheme="minorHAnsi"/>
        </w:rPr>
      </w:pPr>
      <w:r w:rsidRPr="00A457CA">
        <w:rPr>
          <w:rFonts w:cstheme="minorHAnsi"/>
        </w:rPr>
        <w:t>Obtain access &amp; training for the data entry portal</w:t>
      </w:r>
    </w:p>
    <w:p w:rsidR="00A457CA" w:rsidRPr="00A457CA" w:rsidP="00A457CA" w14:paraId="43806393" w14:textId="4CB1B493">
      <w:pPr>
        <w:pStyle w:val="ListParagraph"/>
        <w:numPr>
          <w:ilvl w:val="0"/>
          <w:numId w:val="35"/>
        </w:numPr>
        <w:spacing w:before="60"/>
        <w:rPr>
          <w:rFonts w:cstheme="minorHAnsi"/>
        </w:rPr>
      </w:pPr>
      <w:r w:rsidRPr="00A457CA">
        <w:rPr>
          <w:rFonts w:cstheme="minorHAnsi"/>
        </w:rPr>
        <w:t>Work with primary data suppliers</w:t>
      </w:r>
    </w:p>
    <w:p w:rsidR="00A457CA" w:rsidRPr="00A457CA" w:rsidP="00A457CA" w14:paraId="2F78D432" w14:textId="7323BD86">
      <w:pPr>
        <w:pStyle w:val="ListParagraph"/>
        <w:numPr>
          <w:ilvl w:val="0"/>
          <w:numId w:val="35"/>
        </w:numPr>
        <w:spacing w:before="60"/>
        <w:rPr>
          <w:rFonts w:cstheme="minorHAnsi"/>
        </w:rPr>
      </w:pPr>
      <w:r w:rsidRPr="00A457CA">
        <w:rPr>
          <w:rFonts w:cstheme="minorHAnsi"/>
        </w:rPr>
        <w:t>Compile data from data suppliers</w:t>
      </w:r>
    </w:p>
    <w:p w:rsidR="00A457CA" w:rsidRPr="00A457CA" w:rsidP="00A457CA" w14:paraId="49715B2E" w14:textId="1F16E180">
      <w:pPr>
        <w:pStyle w:val="ListParagraph"/>
        <w:numPr>
          <w:ilvl w:val="0"/>
          <w:numId w:val="35"/>
        </w:numPr>
        <w:spacing w:before="60"/>
        <w:rPr>
          <w:rFonts w:cstheme="minorHAnsi"/>
        </w:rPr>
      </w:pPr>
      <w:r w:rsidRPr="00A457CA">
        <w:rPr>
          <w:rFonts w:cstheme="minorHAnsi"/>
        </w:rPr>
        <w:t>Conduct data entry and document review</w:t>
      </w:r>
    </w:p>
    <w:p w:rsidR="00A457CA" w:rsidRPr="00A457CA" w:rsidP="00A457CA" w14:paraId="1CC3C576" w14:textId="265B3D2E">
      <w:pPr>
        <w:pStyle w:val="ListParagraph"/>
        <w:numPr>
          <w:ilvl w:val="0"/>
          <w:numId w:val="35"/>
        </w:numPr>
        <w:spacing w:before="60"/>
        <w:rPr>
          <w:rFonts w:cstheme="minorHAnsi"/>
        </w:rPr>
      </w:pPr>
      <w:r w:rsidRPr="00A457CA">
        <w:rPr>
          <w:rFonts w:cstheme="minorHAnsi"/>
        </w:rPr>
        <w:t xml:space="preserve">Conduct data quality assurance </w:t>
      </w:r>
    </w:p>
    <w:p w:rsidR="009F1E00" w:rsidP="00A457CA" w14:paraId="3C4B52CA" w14:textId="0A730D87">
      <w:pPr>
        <w:spacing w:before="60"/>
        <w:rPr>
          <w:rFonts w:cstheme="minorHAnsi"/>
        </w:rPr>
      </w:pPr>
      <w:r w:rsidRPr="00A457CA">
        <w:rPr>
          <w:rFonts w:cstheme="minorHAnsi"/>
        </w:rPr>
        <w:t>States and EPA will ask facilities for limited information to be able to complete the survey. Therefore, facilities will be asked to submit documents, but they will not be entering data into the data entry portal.</w:t>
      </w:r>
    </w:p>
    <w:p w:rsidR="007A789E" w:rsidRPr="007A789E" w:rsidP="007A789E" w14:paraId="185B78FE" w14:textId="77777777">
      <w:pPr>
        <w:spacing w:before="60"/>
        <w:rPr>
          <w:rFonts w:cstheme="minorHAnsi"/>
          <w:b/>
          <w:bCs/>
        </w:rPr>
      </w:pPr>
      <w:bookmarkStart w:id="19" w:name="_Toc58398334"/>
      <w:bookmarkStart w:id="20" w:name="_Toc168484456"/>
      <w:r w:rsidRPr="007A789E">
        <w:rPr>
          <w:rFonts w:cstheme="minorHAnsi"/>
          <w:b/>
          <w:bCs/>
        </w:rPr>
        <w:t>Collection Schedule</w:t>
      </w:r>
      <w:bookmarkEnd w:id="19"/>
      <w:bookmarkEnd w:id="20"/>
    </w:p>
    <w:p w:rsidR="007A789E" w:rsidRPr="00BB3410" w:rsidP="00A457CA" w14:paraId="4C098CCA" w14:textId="4AFC4CD0">
      <w:pPr>
        <w:spacing w:before="60"/>
        <w:rPr>
          <w:rFonts w:cstheme="minorHAnsi"/>
        </w:rPr>
      </w:pPr>
      <w:r w:rsidRPr="007A789E">
        <w:rPr>
          <w:rFonts w:cstheme="minorHAnsi"/>
        </w:rPr>
        <w:t>The 18th CWNS data collection and entry period is dependent on the completion date of the data collection stage of the Drinking Water Infrastructure Needs Survey and Assessment (DWINSA). The two surveys have historically been staggered to not overburden states’ resources with data collection. Presuming the DWINSA’s data collection is completed per the existing schedule, the CWNS data collection and entry period is estimated to be January 5, 2026</w:t>
      </w:r>
      <w:r>
        <w:rPr>
          <w:rFonts w:cstheme="minorHAnsi"/>
          <w:vertAlign w:val="superscript"/>
        </w:rPr>
        <w:footnoteReference w:id="3"/>
      </w:r>
      <w:r w:rsidRPr="007A789E">
        <w:rPr>
          <w:rFonts w:cstheme="minorHAnsi"/>
        </w:rPr>
        <w:t xml:space="preserve"> through January 4, 2027. Data quality assurance and analysis activities will be performed January 2027 through April 2027. The Report to Congress will be developed and submitted to OMB for review in Fall 2027. If the DWINSA schedule is delayed, the CWNS survey also will be delayed accordingly.</w:t>
      </w:r>
    </w:p>
    <w:p w:rsidR="00D92ED6" w:rsidRPr="00163C69" w:rsidP="00854AAE" w14:paraId="0B6BE1C2" w14:textId="3F49A8F0">
      <w:pPr>
        <w:spacing w:before="120" w:after="0"/>
        <w:rPr>
          <w:rFonts w:cstheme="minorHAnsi"/>
          <w:b/>
          <w:bCs/>
        </w:rPr>
      </w:pPr>
      <w:r w:rsidRPr="00163C69">
        <w:rPr>
          <w:rFonts w:cstheme="minorHAnsi"/>
          <w:b/>
          <w:bCs/>
        </w:rPr>
        <w:t xml:space="preserve">12d. 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8"/>
      <w:r w:rsidRPr="00163C69" w:rsidR="00BB2B15">
        <w:rPr>
          <w:rFonts w:cstheme="minorHAnsi"/>
          <w:b/>
          <w:bCs/>
        </w:rPr>
        <w:t>Costs</w:t>
      </w:r>
    </w:p>
    <w:p w:rsidR="0098622B" w:rsidRPr="0098622B" w:rsidP="0098622B" w14:paraId="363C1F97" w14:textId="7AD3A0FD">
      <w:pPr>
        <w:spacing w:before="60"/>
        <w:rPr>
          <w:rFonts w:cstheme="minorHAnsi"/>
          <w:b/>
          <w:bCs/>
          <w:color w:val="000000"/>
        </w:rPr>
      </w:pPr>
      <w:bookmarkStart w:id="21" w:name="_Toc168484458"/>
      <w:r w:rsidRPr="0098622B">
        <w:rPr>
          <w:rFonts w:cstheme="minorHAnsi"/>
          <w:b/>
          <w:bCs/>
          <w:color w:val="000000"/>
        </w:rPr>
        <w:t>Facilities</w:t>
      </w:r>
      <w:bookmarkEnd w:id="21"/>
    </w:p>
    <w:p w:rsidR="0098622B" w:rsidRPr="0098622B" w:rsidP="0098622B" w14:paraId="3B94BC6C" w14:textId="77777777">
      <w:pPr>
        <w:spacing w:before="60"/>
        <w:rPr>
          <w:rFonts w:cstheme="minorHAnsi"/>
          <w:color w:val="000000"/>
        </w:rPr>
      </w:pPr>
      <w:r w:rsidRPr="0098622B">
        <w:rPr>
          <w:rFonts w:cstheme="minorHAnsi"/>
          <w:color w:val="000000"/>
        </w:rPr>
        <w:t xml:space="preserve">There is only one activity for facilities: responding to state inquiries for data and/or documentation of needs. The estimates for the time for facilities to respond to requests from states is 0.33 hours for facilities documenting technical data and needs and 2 hours for POTWs under 1 MGD that are statistically sampled. POTWs under 1 MGD that are not statistically sampled will have no burden. </w:t>
      </w:r>
    </w:p>
    <w:p w:rsidR="0098622B" w:rsidRPr="0098622B" w:rsidP="0098622B" w14:paraId="540D4989" w14:textId="77777777">
      <w:pPr>
        <w:spacing w:before="60"/>
        <w:rPr>
          <w:rFonts w:cstheme="minorHAnsi"/>
          <w:b/>
          <w:bCs/>
          <w:color w:val="000000"/>
        </w:rPr>
      </w:pPr>
      <w:bookmarkStart w:id="22" w:name="_Toc168484459"/>
      <w:r w:rsidRPr="0098622B">
        <w:rPr>
          <w:rFonts w:cstheme="minorHAnsi"/>
          <w:b/>
          <w:bCs/>
          <w:color w:val="000000"/>
        </w:rPr>
        <w:t>States</w:t>
      </w:r>
      <w:bookmarkEnd w:id="22"/>
    </w:p>
    <w:p w:rsidR="0098622B" w:rsidRPr="0098622B" w:rsidP="0098622B" w14:paraId="1CCADF7E" w14:textId="77777777">
      <w:pPr>
        <w:spacing w:before="60"/>
        <w:rPr>
          <w:rFonts w:cstheme="minorHAnsi"/>
          <w:color w:val="000000"/>
        </w:rPr>
      </w:pPr>
      <w:r w:rsidRPr="0098622B">
        <w:rPr>
          <w:rFonts w:cstheme="minorHAnsi"/>
          <w:color w:val="000000"/>
        </w:rPr>
        <w:fldChar w:fldCharType="begin"/>
      </w:r>
      <w:r w:rsidRPr="0098622B">
        <w:rPr>
          <w:rFonts w:cstheme="minorHAnsi"/>
          <w:color w:val="000000"/>
        </w:rPr>
        <w:instrText xml:space="preserve"> REF _Ref158632512 \h  \* MERGEFORMAT </w:instrText>
      </w:r>
      <w:r w:rsidRPr="0098622B">
        <w:rPr>
          <w:rFonts w:cstheme="minorHAnsi"/>
          <w:color w:val="000000"/>
        </w:rPr>
        <w:fldChar w:fldCharType="separate"/>
      </w:r>
      <w:r w:rsidRPr="0098622B">
        <w:rPr>
          <w:rFonts w:cstheme="minorHAnsi"/>
          <w:color w:val="000000"/>
        </w:rPr>
        <w:t>Table 12</w:t>
      </w:r>
      <w:r w:rsidRPr="0098622B">
        <w:rPr>
          <w:rFonts w:cstheme="minorHAnsi"/>
          <w:color w:val="000000"/>
        </w:rPr>
        <w:noBreakHyphen/>
        <w:t>1</w:t>
      </w:r>
      <w:r w:rsidRPr="0098622B">
        <w:rPr>
          <w:rFonts w:cstheme="minorHAnsi"/>
          <w:color w:val="000000"/>
        </w:rPr>
        <w:fldChar w:fldCharType="end"/>
      </w:r>
      <w:r w:rsidRPr="0098622B">
        <w:rPr>
          <w:rFonts w:cstheme="minorHAnsi"/>
          <w:color w:val="000000"/>
        </w:rPr>
        <w:t xml:space="preserve"> shows the activities states will conduct per facility and data entry type and the burden hours for each. States will not be gathering data in the statistical survey, which is covered under Agency burden.</w:t>
      </w:r>
    </w:p>
    <w:p w:rsidR="0098622B" w:rsidRPr="0098622B" w:rsidP="006659BE" w14:paraId="2DECACA2" w14:textId="77777777">
      <w:pPr>
        <w:spacing w:before="60" w:after="0"/>
        <w:jc w:val="center"/>
        <w:rPr>
          <w:rFonts w:cstheme="minorHAnsi"/>
          <w:b/>
          <w:bCs/>
          <w:color w:val="000000"/>
        </w:rPr>
      </w:pPr>
      <w:bookmarkStart w:id="23" w:name="_Ref158632512"/>
      <w:bookmarkStart w:id="24" w:name="_Toc168484471"/>
      <w:r w:rsidRPr="0098622B">
        <w:rPr>
          <w:rFonts w:cstheme="minorHAnsi"/>
          <w:b/>
          <w:bCs/>
          <w:color w:val="000000"/>
        </w:rPr>
        <w:t xml:space="preserve">Table </w:t>
      </w:r>
      <w:r w:rsidRPr="0098622B">
        <w:rPr>
          <w:rFonts w:cstheme="minorHAnsi"/>
          <w:b/>
          <w:bCs/>
          <w:color w:val="000000"/>
        </w:rPr>
        <w:fldChar w:fldCharType="begin"/>
      </w:r>
      <w:r w:rsidRPr="0098622B">
        <w:rPr>
          <w:rFonts w:cstheme="minorHAnsi"/>
          <w:b/>
          <w:bCs/>
          <w:color w:val="000000"/>
        </w:rPr>
        <w:instrText xml:space="preserve"> STYLEREF 2 \s </w:instrText>
      </w:r>
      <w:r w:rsidRPr="0098622B">
        <w:rPr>
          <w:rFonts w:cstheme="minorHAnsi"/>
          <w:b/>
          <w:bCs/>
          <w:color w:val="000000"/>
        </w:rPr>
        <w:fldChar w:fldCharType="separate"/>
      </w:r>
      <w:r w:rsidRPr="0098622B">
        <w:rPr>
          <w:rFonts w:cstheme="minorHAnsi"/>
          <w:b/>
          <w:bCs/>
          <w:color w:val="000000"/>
        </w:rPr>
        <w:t>12</w:t>
      </w:r>
      <w:r w:rsidRPr="0098622B">
        <w:rPr>
          <w:rFonts w:cstheme="minorHAnsi"/>
          <w:color w:val="000000"/>
        </w:rPr>
        <w:fldChar w:fldCharType="end"/>
      </w:r>
      <w:r w:rsidRPr="0098622B">
        <w:rPr>
          <w:rFonts w:cstheme="minorHAnsi"/>
          <w:b/>
          <w:bCs/>
          <w:color w:val="000000"/>
        </w:rPr>
        <w:noBreakHyphen/>
      </w:r>
      <w:r w:rsidRPr="0098622B">
        <w:rPr>
          <w:rFonts w:cstheme="minorHAnsi"/>
          <w:b/>
          <w:bCs/>
          <w:color w:val="000000"/>
        </w:rPr>
        <w:fldChar w:fldCharType="begin"/>
      </w:r>
      <w:r w:rsidRPr="0098622B">
        <w:rPr>
          <w:rFonts w:cstheme="minorHAnsi"/>
          <w:b/>
          <w:bCs/>
          <w:color w:val="000000"/>
        </w:rPr>
        <w:instrText xml:space="preserve"> SEQ Table \* ARABIC \s 2 </w:instrText>
      </w:r>
      <w:r w:rsidRPr="0098622B">
        <w:rPr>
          <w:rFonts w:cstheme="minorHAnsi"/>
          <w:b/>
          <w:bCs/>
          <w:color w:val="000000"/>
        </w:rPr>
        <w:fldChar w:fldCharType="separate"/>
      </w:r>
      <w:r w:rsidRPr="0098622B">
        <w:rPr>
          <w:rFonts w:cstheme="minorHAnsi"/>
          <w:b/>
          <w:bCs/>
          <w:color w:val="000000"/>
        </w:rPr>
        <w:t>1</w:t>
      </w:r>
      <w:r w:rsidRPr="0098622B">
        <w:rPr>
          <w:rFonts w:cstheme="minorHAnsi"/>
          <w:color w:val="000000"/>
        </w:rPr>
        <w:fldChar w:fldCharType="end"/>
      </w:r>
      <w:bookmarkEnd w:id="23"/>
      <w:r w:rsidRPr="0098622B">
        <w:rPr>
          <w:rFonts w:cstheme="minorHAnsi"/>
          <w:b/>
          <w:bCs/>
          <w:color w:val="000000"/>
        </w:rPr>
        <w:t>. State Hours per Activity per Facility and Data Entry Type</w:t>
      </w:r>
      <w:bookmarkEnd w:id="24"/>
    </w:p>
    <w:tbl>
      <w:tblPr>
        <w:tblStyle w:val="TableGrid"/>
        <w:tblW w:w="10406" w:type="dxa"/>
        <w:jc w:val="center"/>
        <w:tblLook w:val="04A0"/>
      </w:tblPr>
      <w:tblGrid>
        <w:gridCol w:w="3313"/>
        <w:gridCol w:w="1800"/>
        <w:gridCol w:w="1710"/>
        <w:gridCol w:w="1710"/>
        <w:gridCol w:w="1873"/>
      </w:tblGrid>
      <w:tr w14:paraId="463A60B7" w14:textId="77777777" w:rsidTr="00563B45">
        <w:tblPrEx>
          <w:tblW w:w="10406" w:type="dxa"/>
          <w:jc w:val="center"/>
          <w:tblLook w:val="04A0"/>
        </w:tblPrEx>
        <w:trPr>
          <w:trHeight w:val="579"/>
          <w:tblHeader/>
          <w:jc w:val="center"/>
        </w:trPr>
        <w:tc>
          <w:tcPr>
            <w:tcW w:w="3313" w:type="dxa"/>
            <w:shd w:val="clear" w:color="auto" w:fill="D9D9D9" w:themeFill="background1" w:themeFillShade="D9"/>
            <w:vAlign w:val="center"/>
            <w:hideMark/>
          </w:tcPr>
          <w:p w:rsidR="0098622B" w:rsidRPr="0098622B" w:rsidP="00563B45" w14:paraId="6BA77DBE" w14:textId="77777777">
            <w:pPr>
              <w:spacing w:before="60" w:after="160" w:line="259" w:lineRule="auto"/>
              <w:jc w:val="center"/>
              <w:rPr>
                <w:rFonts w:cstheme="minorHAnsi"/>
                <w:b/>
                <w:bCs/>
                <w:color w:val="000000"/>
              </w:rPr>
            </w:pPr>
            <w:r w:rsidRPr="0098622B">
              <w:rPr>
                <w:rFonts w:cstheme="minorHAnsi"/>
                <w:b/>
                <w:bCs/>
                <w:color w:val="000000"/>
              </w:rPr>
              <w:t>Activity</w:t>
            </w:r>
          </w:p>
        </w:tc>
        <w:tc>
          <w:tcPr>
            <w:tcW w:w="1800" w:type="dxa"/>
            <w:shd w:val="clear" w:color="auto" w:fill="D9D9D9" w:themeFill="background1" w:themeFillShade="D9"/>
            <w:vAlign w:val="center"/>
            <w:hideMark/>
          </w:tcPr>
          <w:p w:rsidR="0098622B" w:rsidRPr="0098622B" w:rsidP="00563B45" w14:paraId="138FD963" w14:textId="35434498">
            <w:pPr>
              <w:spacing w:before="60" w:after="160" w:line="259" w:lineRule="auto"/>
              <w:jc w:val="center"/>
              <w:rPr>
                <w:rFonts w:cstheme="minorHAnsi"/>
                <w:b/>
                <w:bCs/>
                <w:color w:val="000000"/>
              </w:rPr>
            </w:pPr>
            <w:r w:rsidRPr="0098622B">
              <w:rPr>
                <w:rFonts w:cstheme="minorHAnsi"/>
                <w:b/>
                <w:bCs/>
                <w:color w:val="000000"/>
              </w:rPr>
              <w:t xml:space="preserve">Time Allocation (%) for Technical Data and Needs </w:t>
            </w:r>
            <w:r w:rsidRPr="0098622B" w:rsidR="00FE0A23">
              <w:rPr>
                <w:rFonts w:cstheme="minorHAnsi"/>
                <w:b/>
                <w:bCs/>
                <w:color w:val="000000"/>
              </w:rPr>
              <w:t>Entries</w:t>
            </w:r>
          </w:p>
        </w:tc>
        <w:tc>
          <w:tcPr>
            <w:tcW w:w="1710" w:type="dxa"/>
            <w:shd w:val="clear" w:color="auto" w:fill="D9D9D9" w:themeFill="background1" w:themeFillShade="D9"/>
            <w:vAlign w:val="center"/>
          </w:tcPr>
          <w:p w:rsidR="0098622B" w:rsidRPr="0098622B" w:rsidP="00563B45" w14:paraId="10936C15" w14:textId="77E25282">
            <w:pPr>
              <w:spacing w:before="60" w:after="160" w:line="259" w:lineRule="auto"/>
              <w:jc w:val="center"/>
              <w:rPr>
                <w:rFonts w:cstheme="minorHAnsi"/>
                <w:b/>
                <w:bCs/>
                <w:color w:val="000000"/>
              </w:rPr>
            </w:pPr>
            <w:r w:rsidRPr="0098622B">
              <w:rPr>
                <w:rFonts w:cstheme="minorHAnsi"/>
                <w:b/>
                <w:bCs/>
                <w:color w:val="000000"/>
              </w:rPr>
              <w:t xml:space="preserve">Burden Hours for Technical Data and Needs </w:t>
            </w:r>
            <w:r w:rsidRPr="0098622B" w:rsidR="00FE0A23">
              <w:rPr>
                <w:rFonts w:cstheme="minorHAnsi"/>
                <w:b/>
                <w:bCs/>
                <w:color w:val="000000"/>
              </w:rPr>
              <w:t>Entries</w:t>
            </w:r>
          </w:p>
        </w:tc>
        <w:tc>
          <w:tcPr>
            <w:tcW w:w="1710" w:type="dxa"/>
            <w:shd w:val="clear" w:color="auto" w:fill="D9D9D9" w:themeFill="background1" w:themeFillShade="D9"/>
            <w:vAlign w:val="center"/>
          </w:tcPr>
          <w:p w:rsidR="0098622B" w:rsidRPr="0098622B" w:rsidP="00563B45" w14:paraId="02A60F30" w14:textId="77777777">
            <w:pPr>
              <w:spacing w:before="60" w:after="160" w:line="259" w:lineRule="auto"/>
              <w:jc w:val="center"/>
              <w:rPr>
                <w:rFonts w:cstheme="minorHAnsi"/>
                <w:b/>
                <w:bCs/>
                <w:color w:val="000000"/>
              </w:rPr>
            </w:pPr>
            <w:r w:rsidRPr="0098622B">
              <w:rPr>
                <w:rFonts w:cstheme="minorHAnsi"/>
                <w:b/>
                <w:bCs/>
                <w:color w:val="000000"/>
              </w:rPr>
              <w:t>Time Allocation (%) for Technical Data Only Entries</w:t>
            </w:r>
          </w:p>
        </w:tc>
        <w:tc>
          <w:tcPr>
            <w:tcW w:w="1873" w:type="dxa"/>
            <w:shd w:val="clear" w:color="auto" w:fill="D9D9D9" w:themeFill="background1" w:themeFillShade="D9"/>
            <w:vAlign w:val="center"/>
          </w:tcPr>
          <w:p w:rsidR="0098622B" w:rsidRPr="0098622B" w:rsidP="00563B45" w14:paraId="37A168B3" w14:textId="77777777">
            <w:pPr>
              <w:spacing w:before="60" w:after="160" w:line="259" w:lineRule="auto"/>
              <w:jc w:val="center"/>
              <w:rPr>
                <w:rFonts w:cstheme="minorHAnsi"/>
                <w:b/>
                <w:bCs/>
                <w:color w:val="000000"/>
              </w:rPr>
            </w:pPr>
            <w:r w:rsidRPr="0098622B">
              <w:rPr>
                <w:rFonts w:cstheme="minorHAnsi"/>
                <w:b/>
                <w:bCs/>
                <w:color w:val="000000"/>
              </w:rPr>
              <w:t>Burden Hours for Technical Data Only Entries</w:t>
            </w:r>
          </w:p>
        </w:tc>
      </w:tr>
      <w:tr w14:paraId="23A724A8" w14:textId="77777777" w:rsidTr="00563B45">
        <w:tblPrEx>
          <w:tblW w:w="10406" w:type="dxa"/>
          <w:jc w:val="center"/>
          <w:tblLook w:val="04A0"/>
        </w:tblPrEx>
        <w:trPr>
          <w:trHeight w:val="579"/>
          <w:jc w:val="center"/>
        </w:trPr>
        <w:tc>
          <w:tcPr>
            <w:tcW w:w="3313" w:type="dxa"/>
            <w:vAlign w:val="center"/>
            <w:hideMark/>
          </w:tcPr>
          <w:p w:rsidR="0098622B" w:rsidRPr="0098622B" w:rsidP="00563B45" w14:paraId="489D141D" w14:textId="77777777">
            <w:pPr>
              <w:spacing w:before="60" w:line="259" w:lineRule="auto"/>
              <w:rPr>
                <w:rFonts w:cstheme="minorHAnsi"/>
                <w:color w:val="000000"/>
              </w:rPr>
            </w:pPr>
            <w:r w:rsidRPr="0098622B">
              <w:rPr>
                <w:rFonts w:cstheme="minorHAnsi"/>
                <w:color w:val="000000"/>
              </w:rPr>
              <w:t>Obtain access &amp; training for the data entry portal</w:t>
            </w:r>
          </w:p>
        </w:tc>
        <w:tc>
          <w:tcPr>
            <w:tcW w:w="1800" w:type="dxa"/>
            <w:noWrap/>
            <w:vAlign w:val="center"/>
            <w:hideMark/>
          </w:tcPr>
          <w:p w:rsidR="0098622B" w:rsidRPr="0098622B" w:rsidP="00563B45" w14:paraId="4D1968E3" w14:textId="77777777">
            <w:pPr>
              <w:spacing w:before="60" w:line="259" w:lineRule="auto"/>
              <w:jc w:val="center"/>
              <w:rPr>
                <w:rFonts w:cstheme="minorHAnsi"/>
                <w:color w:val="000000"/>
              </w:rPr>
            </w:pPr>
            <w:r w:rsidRPr="0098622B">
              <w:rPr>
                <w:rFonts w:cstheme="minorHAnsi"/>
                <w:color w:val="000000"/>
              </w:rPr>
              <w:t>2%</w:t>
            </w:r>
          </w:p>
        </w:tc>
        <w:tc>
          <w:tcPr>
            <w:tcW w:w="1710" w:type="dxa"/>
            <w:vAlign w:val="center"/>
          </w:tcPr>
          <w:p w:rsidR="0098622B" w:rsidRPr="0098622B" w:rsidP="00563B45" w14:paraId="62D9A9D3" w14:textId="77777777">
            <w:pPr>
              <w:spacing w:before="60" w:line="259" w:lineRule="auto"/>
              <w:jc w:val="center"/>
              <w:rPr>
                <w:rFonts w:cstheme="minorHAnsi"/>
                <w:color w:val="000000"/>
              </w:rPr>
            </w:pPr>
            <w:r w:rsidRPr="0098622B">
              <w:rPr>
                <w:rFonts w:cstheme="minorHAnsi"/>
                <w:color w:val="000000"/>
              </w:rPr>
              <w:t>0.03</w:t>
            </w:r>
          </w:p>
        </w:tc>
        <w:tc>
          <w:tcPr>
            <w:tcW w:w="1710" w:type="dxa"/>
            <w:vAlign w:val="center"/>
          </w:tcPr>
          <w:p w:rsidR="0098622B" w:rsidRPr="0098622B" w:rsidP="00563B45" w14:paraId="5354E9EE" w14:textId="77777777">
            <w:pPr>
              <w:spacing w:before="60" w:line="259" w:lineRule="auto"/>
              <w:jc w:val="center"/>
              <w:rPr>
                <w:rFonts w:cstheme="minorHAnsi"/>
                <w:color w:val="000000"/>
              </w:rPr>
            </w:pPr>
            <w:r w:rsidRPr="0098622B">
              <w:rPr>
                <w:rFonts w:cstheme="minorHAnsi"/>
                <w:color w:val="000000"/>
              </w:rPr>
              <w:t>2%</w:t>
            </w:r>
          </w:p>
        </w:tc>
        <w:tc>
          <w:tcPr>
            <w:tcW w:w="1873" w:type="dxa"/>
            <w:vAlign w:val="center"/>
          </w:tcPr>
          <w:p w:rsidR="0098622B" w:rsidRPr="0098622B" w:rsidP="00563B45" w14:paraId="7B9F26F9" w14:textId="77777777">
            <w:pPr>
              <w:spacing w:before="60" w:line="259" w:lineRule="auto"/>
              <w:jc w:val="center"/>
              <w:rPr>
                <w:rFonts w:cstheme="minorHAnsi"/>
                <w:color w:val="000000"/>
              </w:rPr>
            </w:pPr>
            <w:r w:rsidRPr="0098622B">
              <w:rPr>
                <w:rFonts w:cstheme="minorHAnsi"/>
                <w:color w:val="000000"/>
              </w:rPr>
              <w:t>0.01</w:t>
            </w:r>
          </w:p>
        </w:tc>
      </w:tr>
      <w:tr w14:paraId="48BDA603" w14:textId="77777777" w:rsidTr="00563B45">
        <w:tblPrEx>
          <w:tblW w:w="10406" w:type="dxa"/>
          <w:jc w:val="center"/>
          <w:tblLook w:val="04A0"/>
        </w:tblPrEx>
        <w:trPr>
          <w:trHeight w:val="579"/>
          <w:jc w:val="center"/>
        </w:trPr>
        <w:tc>
          <w:tcPr>
            <w:tcW w:w="3313" w:type="dxa"/>
            <w:vAlign w:val="center"/>
            <w:hideMark/>
          </w:tcPr>
          <w:p w:rsidR="0098622B" w:rsidRPr="0098622B" w:rsidP="00563B45" w14:paraId="5E3600CB" w14:textId="77777777">
            <w:pPr>
              <w:spacing w:before="60" w:line="259" w:lineRule="auto"/>
              <w:rPr>
                <w:rFonts w:cstheme="minorHAnsi"/>
                <w:color w:val="000000"/>
              </w:rPr>
            </w:pPr>
            <w:r w:rsidRPr="0098622B">
              <w:rPr>
                <w:rFonts w:cstheme="minorHAnsi"/>
                <w:color w:val="000000"/>
              </w:rPr>
              <w:t>Work with primary data suppliers (local facilities)</w:t>
            </w:r>
          </w:p>
        </w:tc>
        <w:tc>
          <w:tcPr>
            <w:tcW w:w="1800" w:type="dxa"/>
            <w:noWrap/>
            <w:vAlign w:val="center"/>
            <w:hideMark/>
          </w:tcPr>
          <w:p w:rsidR="0098622B" w:rsidRPr="0098622B" w:rsidP="00563B45" w14:paraId="58C95BB0" w14:textId="77777777">
            <w:pPr>
              <w:spacing w:before="60" w:line="259" w:lineRule="auto"/>
              <w:jc w:val="center"/>
              <w:rPr>
                <w:rFonts w:cstheme="minorHAnsi"/>
                <w:color w:val="000000"/>
              </w:rPr>
            </w:pPr>
            <w:r w:rsidRPr="0098622B">
              <w:rPr>
                <w:rFonts w:cstheme="minorHAnsi"/>
                <w:color w:val="000000"/>
              </w:rPr>
              <w:t>43%</w:t>
            </w:r>
          </w:p>
        </w:tc>
        <w:tc>
          <w:tcPr>
            <w:tcW w:w="1710" w:type="dxa"/>
            <w:vAlign w:val="center"/>
          </w:tcPr>
          <w:p w:rsidR="0098622B" w:rsidRPr="0098622B" w:rsidP="00563B45" w14:paraId="3FCF5703" w14:textId="77777777">
            <w:pPr>
              <w:spacing w:before="60" w:line="259" w:lineRule="auto"/>
              <w:jc w:val="center"/>
              <w:rPr>
                <w:rFonts w:cstheme="minorHAnsi"/>
                <w:color w:val="000000"/>
              </w:rPr>
            </w:pPr>
            <w:r w:rsidRPr="0098622B">
              <w:rPr>
                <w:rFonts w:cstheme="minorHAnsi"/>
                <w:color w:val="000000"/>
              </w:rPr>
              <w:t>0.63</w:t>
            </w:r>
          </w:p>
        </w:tc>
        <w:tc>
          <w:tcPr>
            <w:tcW w:w="1710" w:type="dxa"/>
            <w:vAlign w:val="center"/>
          </w:tcPr>
          <w:p w:rsidR="0098622B" w:rsidRPr="0098622B" w:rsidP="00563B45" w14:paraId="1049F365" w14:textId="77777777">
            <w:pPr>
              <w:spacing w:before="60" w:line="259" w:lineRule="auto"/>
              <w:jc w:val="center"/>
              <w:rPr>
                <w:rFonts w:cstheme="minorHAnsi"/>
                <w:color w:val="000000"/>
              </w:rPr>
            </w:pPr>
            <w:r w:rsidRPr="0098622B">
              <w:rPr>
                <w:rFonts w:cstheme="minorHAnsi"/>
                <w:color w:val="000000"/>
              </w:rPr>
              <w:t>0%</w:t>
            </w:r>
          </w:p>
        </w:tc>
        <w:tc>
          <w:tcPr>
            <w:tcW w:w="1873" w:type="dxa"/>
            <w:vAlign w:val="center"/>
          </w:tcPr>
          <w:p w:rsidR="0098622B" w:rsidRPr="0098622B" w:rsidP="00563B45" w14:paraId="000B335A" w14:textId="77777777">
            <w:pPr>
              <w:spacing w:before="60" w:line="259" w:lineRule="auto"/>
              <w:jc w:val="center"/>
              <w:rPr>
                <w:rFonts w:cstheme="minorHAnsi"/>
                <w:color w:val="000000"/>
              </w:rPr>
            </w:pPr>
            <w:r w:rsidRPr="0098622B">
              <w:rPr>
                <w:rFonts w:cstheme="minorHAnsi"/>
                <w:color w:val="000000"/>
              </w:rPr>
              <w:t>0.00</w:t>
            </w:r>
          </w:p>
        </w:tc>
      </w:tr>
      <w:tr w14:paraId="41D2E567" w14:textId="77777777" w:rsidTr="00563B45">
        <w:tblPrEx>
          <w:tblW w:w="10406" w:type="dxa"/>
          <w:jc w:val="center"/>
          <w:tblLook w:val="04A0"/>
        </w:tblPrEx>
        <w:trPr>
          <w:trHeight w:val="289"/>
          <w:jc w:val="center"/>
        </w:trPr>
        <w:tc>
          <w:tcPr>
            <w:tcW w:w="3313" w:type="dxa"/>
            <w:vAlign w:val="center"/>
            <w:hideMark/>
          </w:tcPr>
          <w:p w:rsidR="0098622B" w:rsidRPr="0098622B" w:rsidP="00563B45" w14:paraId="2E96A246" w14:textId="77777777">
            <w:pPr>
              <w:spacing w:before="60" w:line="259" w:lineRule="auto"/>
              <w:rPr>
                <w:rFonts w:cstheme="minorHAnsi"/>
                <w:color w:val="000000"/>
              </w:rPr>
            </w:pPr>
            <w:r w:rsidRPr="0098622B">
              <w:rPr>
                <w:rFonts w:cstheme="minorHAnsi"/>
                <w:color w:val="000000"/>
              </w:rPr>
              <w:t>Compile data from data suppliers</w:t>
            </w:r>
          </w:p>
        </w:tc>
        <w:tc>
          <w:tcPr>
            <w:tcW w:w="1800" w:type="dxa"/>
            <w:noWrap/>
            <w:vAlign w:val="center"/>
            <w:hideMark/>
          </w:tcPr>
          <w:p w:rsidR="0098622B" w:rsidRPr="0098622B" w:rsidP="00563B45" w14:paraId="63DC2F18" w14:textId="77777777">
            <w:pPr>
              <w:spacing w:before="60" w:line="259" w:lineRule="auto"/>
              <w:jc w:val="center"/>
              <w:rPr>
                <w:rFonts w:cstheme="minorHAnsi"/>
                <w:color w:val="000000"/>
              </w:rPr>
            </w:pPr>
            <w:r w:rsidRPr="0098622B">
              <w:rPr>
                <w:rFonts w:cstheme="minorHAnsi"/>
                <w:color w:val="000000"/>
              </w:rPr>
              <w:t>21%</w:t>
            </w:r>
          </w:p>
        </w:tc>
        <w:tc>
          <w:tcPr>
            <w:tcW w:w="1710" w:type="dxa"/>
            <w:vAlign w:val="center"/>
          </w:tcPr>
          <w:p w:rsidR="0098622B" w:rsidRPr="0098622B" w:rsidP="00563B45" w14:paraId="1107997E" w14:textId="77777777">
            <w:pPr>
              <w:spacing w:before="60" w:line="259" w:lineRule="auto"/>
              <w:jc w:val="center"/>
              <w:rPr>
                <w:rFonts w:cstheme="minorHAnsi"/>
                <w:color w:val="000000"/>
              </w:rPr>
            </w:pPr>
            <w:r w:rsidRPr="0098622B">
              <w:rPr>
                <w:rFonts w:cstheme="minorHAnsi"/>
                <w:color w:val="000000"/>
              </w:rPr>
              <w:t>0.31</w:t>
            </w:r>
          </w:p>
        </w:tc>
        <w:tc>
          <w:tcPr>
            <w:tcW w:w="1710" w:type="dxa"/>
            <w:vAlign w:val="center"/>
          </w:tcPr>
          <w:p w:rsidR="0098622B" w:rsidRPr="0098622B" w:rsidP="00563B45" w14:paraId="6B982E38" w14:textId="77777777">
            <w:pPr>
              <w:spacing w:before="60" w:line="259" w:lineRule="auto"/>
              <w:jc w:val="center"/>
              <w:rPr>
                <w:rFonts w:cstheme="minorHAnsi"/>
                <w:color w:val="000000"/>
              </w:rPr>
            </w:pPr>
            <w:r w:rsidRPr="0098622B">
              <w:rPr>
                <w:rFonts w:cstheme="minorHAnsi"/>
                <w:color w:val="000000"/>
              </w:rPr>
              <w:t>0%</w:t>
            </w:r>
          </w:p>
        </w:tc>
        <w:tc>
          <w:tcPr>
            <w:tcW w:w="1873" w:type="dxa"/>
            <w:vAlign w:val="center"/>
          </w:tcPr>
          <w:p w:rsidR="0098622B" w:rsidRPr="0098622B" w:rsidP="00563B45" w14:paraId="48320411" w14:textId="77777777">
            <w:pPr>
              <w:spacing w:before="60" w:line="259" w:lineRule="auto"/>
              <w:jc w:val="center"/>
              <w:rPr>
                <w:rFonts w:cstheme="minorHAnsi"/>
                <w:color w:val="000000"/>
              </w:rPr>
            </w:pPr>
            <w:r w:rsidRPr="0098622B">
              <w:rPr>
                <w:rFonts w:cstheme="minorHAnsi"/>
                <w:color w:val="000000"/>
              </w:rPr>
              <w:t>0.00</w:t>
            </w:r>
          </w:p>
        </w:tc>
      </w:tr>
      <w:tr w14:paraId="72F3AA1C" w14:textId="77777777" w:rsidTr="00563B45">
        <w:tblPrEx>
          <w:tblW w:w="10406" w:type="dxa"/>
          <w:jc w:val="center"/>
          <w:tblLook w:val="04A0"/>
        </w:tblPrEx>
        <w:trPr>
          <w:trHeight w:val="555"/>
          <w:jc w:val="center"/>
        </w:trPr>
        <w:tc>
          <w:tcPr>
            <w:tcW w:w="3313" w:type="dxa"/>
            <w:vAlign w:val="center"/>
            <w:hideMark/>
          </w:tcPr>
          <w:p w:rsidR="0098622B" w:rsidRPr="0098622B" w:rsidP="00563B45" w14:paraId="52B78977" w14:textId="77777777">
            <w:pPr>
              <w:spacing w:before="60" w:line="259" w:lineRule="auto"/>
              <w:rPr>
                <w:rFonts w:cstheme="minorHAnsi"/>
                <w:color w:val="000000"/>
              </w:rPr>
            </w:pPr>
            <w:r w:rsidRPr="0098622B">
              <w:rPr>
                <w:rFonts w:cstheme="minorHAnsi"/>
                <w:color w:val="000000"/>
              </w:rPr>
              <w:t>Conduct data entry &amp; document submission</w:t>
            </w:r>
          </w:p>
        </w:tc>
        <w:tc>
          <w:tcPr>
            <w:tcW w:w="1800" w:type="dxa"/>
            <w:noWrap/>
            <w:vAlign w:val="center"/>
            <w:hideMark/>
          </w:tcPr>
          <w:p w:rsidR="0098622B" w:rsidRPr="0098622B" w:rsidP="00563B45" w14:paraId="66218D65" w14:textId="77777777">
            <w:pPr>
              <w:spacing w:before="60" w:line="259" w:lineRule="auto"/>
              <w:jc w:val="center"/>
              <w:rPr>
                <w:rFonts w:cstheme="minorHAnsi"/>
                <w:color w:val="000000"/>
              </w:rPr>
            </w:pPr>
            <w:r w:rsidRPr="0098622B">
              <w:rPr>
                <w:rFonts w:cstheme="minorHAnsi"/>
                <w:color w:val="000000"/>
              </w:rPr>
              <w:t>21%</w:t>
            </w:r>
          </w:p>
        </w:tc>
        <w:tc>
          <w:tcPr>
            <w:tcW w:w="1710" w:type="dxa"/>
            <w:vAlign w:val="center"/>
          </w:tcPr>
          <w:p w:rsidR="0098622B" w:rsidRPr="0098622B" w:rsidP="00563B45" w14:paraId="303A3C80" w14:textId="77777777">
            <w:pPr>
              <w:spacing w:before="60" w:line="259" w:lineRule="auto"/>
              <w:jc w:val="center"/>
              <w:rPr>
                <w:rFonts w:cstheme="minorHAnsi"/>
                <w:color w:val="000000"/>
              </w:rPr>
            </w:pPr>
            <w:r w:rsidRPr="0098622B">
              <w:rPr>
                <w:rFonts w:cstheme="minorHAnsi"/>
                <w:color w:val="000000"/>
              </w:rPr>
              <w:t>0.31</w:t>
            </w:r>
          </w:p>
        </w:tc>
        <w:tc>
          <w:tcPr>
            <w:tcW w:w="1710" w:type="dxa"/>
            <w:vAlign w:val="center"/>
          </w:tcPr>
          <w:p w:rsidR="0098622B" w:rsidRPr="0098622B" w:rsidP="00563B45" w14:paraId="452FC80D" w14:textId="77777777">
            <w:pPr>
              <w:spacing w:before="60" w:line="259" w:lineRule="auto"/>
              <w:jc w:val="center"/>
              <w:rPr>
                <w:rFonts w:cstheme="minorHAnsi"/>
                <w:color w:val="000000"/>
              </w:rPr>
            </w:pPr>
            <w:r w:rsidRPr="0098622B">
              <w:rPr>
                <w:rFonts w:cstheme="minorHAnsi"/>
                <w:color w:val="000000"/>
              </w:rPr>
              <w:t>88%</w:t>
            </w:r>
          </w:p>
        </w:tc>
        <w:tc>
          <w:tcPr>
            <w:tcW w:w="1873" w:type="dxa"/>
            <w:vAlign w:val="center"/>
          </w:tcPr>
          <w:p w:rsidR="0098622B" w:rsidRPr="0098622B" w:rsidP="00563B45" w14:paraId="551A747C" w14:textId="77777777">
            <w:pPr>
              <w:spacing w:before="60" w:line="259" w:lineRule="auto"/>
              <w:jc w:val="center"/>
              <w:rPr>
                <w:rFonts w:cstheme="minorHAnsi"/>
                <w:color w:val="000000"/>
              </w:rPr>
            </w:pPr>
            <w:r w:rsidRPr="0098622B">
              <w:rPr>
                <w:rFonts w:cstheme="minorHAnsi"/>
                <w:color w:val="000000"/>
              </w:rPr>
              <w:t>0.29</w:t>
            </w:r>
          </w:p>
        </w:tc>
      </w:tr>
      <w:tr w14:paraId="68915413" w14:textId="77777777" w:rsidTr="00563B45">
        <w:tblPrEx>
          <w:tblW w:w="10406" w:type="dxa"/>
          <w:jc w:val="center"/>
          <w:tblLook w:val="04A0"/>
        </w:tblPrEx>
        <w:trPr>
          <w:trHeight w:val="289"/>
          <w:jc w:val="center"/>
        </w:trPr>
        <w:tc>
          <w:tcPr>
            <w:tcW w:w="3313" w:type="dxa"/>
            <w:vAlign w:val="center"/>
            <w:hideMark/>
          </w:tcPr>
          <w:p w:rsidR="0098622B" w:rsidRPr="0098622B" w:rsidP="00563B45" w14:paraId="08D1F80D" w14:textId="77777777">
            <w:pPr>
              <w:spacing w:before="60" w:line="259" w:lineRule="auto"/>
              <w:rPr>
                <w:rFonts w:cstheme="minorHAnsi"/>
                <w:color w:val="000000"/>
              </w:rPr>
            </w:pPr>
            <w:r w:rsidRPr="0098622B">
              <w:rPr>
                <w:rFonts w:cstheme="minorHAnsi"/>
                <w:color w:val="000000"/>
              </w:rPr>
              <w:t>Conduct data quality assurance activities</w:t>
            </w:r>
          </w:p>
        </w:tc>
        <w:tc>
          <w:tcPr>
            <w:tcW w:w="1800" w:type="dxa"/>
            <w:noWrap/>
            <w:vAlign w:val="center"/>
            <w:hideMark/>
          </w:tcPr>
          <w:p w:rsidR="0098622B" w:rsidRPr="0098622B" w:rsidP="00563B45" w14:paraId="7A25B235" w14:textId="77777777">
            <w:pPr>
              <w:spacing w:before="60" w:line="259" w:lineRule="auto"/>
              <w:jc w:val="center"/>
              <w:rPr>
                <w:rFonts w:cstheme="minorHAnsi"/>
                <w:color w:val="000000"/>
              </w:rPr>
            </w:pPr>
            <w:r w:rsidRPr="0098622B">
              <w:rPr>
                <w:rFonts w:cstheme="minorHAnsi"/>
                <w:color w:val="000000"/>
              </w:rPr>
              <w:t>13%</w:t>
            </w:r>
          </w:p>
        </w:tc>
        <w:tc>
          <w:tcPr>
            <w:tcW w:w="1710" w:type="dxa"/>
            <w:vAlign w:val="center"/>
          </w:tcPr>
          <w:p w:rsidR="0098622B" w:rsidRPr="0098622B" w:rsidP="00563B45" w14:paraId="133290E5" w14:textId="77777777">
            <w:pPr>
              <w:spacing w:before="60" w:line="259" w:lineRule="auto"/>
              <w:jc w:val="center"/>
              <w:rPr>
                <w:rFonts w:cstheme="minorHAnsi"/>
                <w:color w:val="000000"/>
              </w:rPr>
            </w:pPr>
            <w:r w:rsidRPr="0098622B">
              <w:rPr>
                <w:rFonts w:cstheme="minorHAnsi"/>
                <w:color w:val="000000"/>
              </w:rPr>
              <w:t>0.19</w:t>
            </w:r>
          </w:p>
        </w:tc>
        <w:tc>
          <w:tcPr>
            <w:tcW w:w="1710" w:type="dxa"/>
            <w:vAlign w:val="center"/>
          </w:tcPr>
          <w:p w:rsidR="0098622B" w:rsidRPr="0098622B" w:rsidP="00563B45" w14:paraId="15ED5B90" w14:textId="77777777">
            <w:pPr>
              <w:spacing w:before="60" w:line="259" w:lineRule="auto"/>
              <w:jc w:val="center"/>
              <w:rPr>
                <w:rFonts w:cstheme="minorHAnsi"/>
                <w:color w:val="000000"/>
              </w:rPr>
            </w:pPr>
            <w:r w:rsidRPr="0098622B">
              <w:rPr>
                <w:rFonts w:cstheme="minorHAnsi"/>
                <w:color w:val="000000"/>
              </w:rPr>
              <w:t>10%</w:t>
            </w:r>
          </w:p>
        </w:tc>
        <w:tc>
          <w:tcPr>
            <w:tcW w:w="1873" w:type="dxa"/>
            <w:vAlign w:val="center"/>
          </w:tcPr>
          <w:p w:rsidR="0098622B" w:rsidRPr="0098622B" w:rsidP="00563B45" w14:paraId="4DDE69E5" w14:textId="77777777">
            <w:pPr>
              <w:spacing w:before="60" w:line="259" w:lineRule="auto"/>
              <w:jc w:val="center"/>
              <w:rPr>
                <w:rFonts w:cstheme="minorHAnsi"/>
                <w:color w:val="000000"/>
              </w:rPr>
            </w:pPr>
            <w:r w:rsidRPr="0098622B">
              <w:rPr>
                <w:rFonts w:cstheme="minorHAnsi"/>
                <w:color w:val="000000"/>
              </w:rPr>
              <w:t>0.03</w:t>
            </w:r>
          </w:p>
        </w:tc>
      </w:tr>
      <w:tr w14:paraId="5D95C13D" w14:textId="77777777" w:rsidTr="00563B45">
        <w:tblPrEx>
          <w:tblW w:w="10406" w:type="dxa"/>
          <w:jc w:val="center"/>
          <w:tblLook w:val="04A0"/>
        </w:tblPrEx>
        <w:trPr>
          <w:trHeight w:val="289"/>
          <w:jc w:val="center"/>
        </w:trPr>
        <w:tc>
          <w:tcPr>
            <w:tcW w:w="3313" w:type="dxa"/>
            <w:vAlign w:val="center"/>
          </w:tcPr>
          <w:p w:rsidR="0098622B" w:rsidRPr="0098622B" w:rsidP="00563B45" w14:paraId="2A534D99" w14:textId="77777777">
            <w:pPr>
              <w:spacing w:before="60" w:line="259" w:lineRule="auto"/>
              <w:rPr>
                <w:rFonts w:cstheme="minorHAnsi"/>
                <w:b/>
                <w:bCs/>
                <w:color w:val="000000"/>
              </w:rPr>
            </w:pPr>
            <w:r w:rsidRPr="0098622B">
              <w:rPr>
                <w:rFonts w:cstheme="minorHAnsi"/>
                <w:b/>
                <w:bCs/>
                <w:color w:val="000000"/>
              </w:rPr>
              <w:t>Total</w:t>
            </w:r>
          </w:p>
        </w:tc>
        <w:tc>
          <w:tcPr>
            <w:tcW w:w="1800" w:type="dxa"/>
            <w:noWrap/>
            <w:vAlign w:val="center"/>
          </w:tcPr>
          <w:p w:rsidR="0098622B" w:rsidRPr="0098622B" w:rsidP="00563B45" w14:paraId="58D4A140" w14:textId="77777777">
            <w:pPr>
              <w:spacing w:before="60" w:line="259" w:lineRule="auto"/>
              <w:jc w:val="center"/>
              <w:rPr>
                <w:rFonts w:cstheme="minorHAnsi"/>
                <w:b/>
                <w:bCs/>
                <w:color w:val="000000"/>
              </w:rPr>
            </w:pPr>
            <w:r w:rsidRPr="0098622B">
              <w:rPr>
                <w:rFonts w:cstheme="minorHAnsi"/>
                <w:color w:val="000000"/>
              </w:rPr>
              <w:t>100%</w:t>
            </w:r>
          </w:p>
        </w:tc>
        <w:tc>
          <w:tcPr>
            <w:tcW w:w="1710" w:type="dxa"/>
            <w:vAlign w:val="center"/>
          </w:tcPr>
          <w:p w:rsidR="0098622B" w:rsidRPr="0098622B" w:rsidP="00563B45" w14:paraId="703AF6B4" w14:textId="77777777">
            <w:pPr>
              <w:spacing w:before="60" w:line="259" w:lineRule="auto"/>
              <w:jc w:val="center"/>
              <w:rPr>
                <w:rFonts w:cstheme="minorHAnsi"/>
                <w:b/>
                <w:bCs/>
                <w:color w:val="000000"/>
              </w:rPr>
            </w:pPr>
            <w:r w:rsidRPr="0098622B">
              <w:rPr>
                <w:rFonts w:cstheme="minorHAnsi"/>
                <w:color w:val="000000"/>
              </w:rPr>
              <w:t>1.47</w:t>
            </w:r>
          </w:p>
        </w:tc>
        <w:tc>
          <w:tcPr>
            <w:tcW w:w="1710" w:type="dxa"/>
            <w:vAlign w:val="center"/>
          </w:tcPr>
          <w:p w:rsidR="0098622B" w:rsidRPr="0098622B" w:rsidP="00563B45" w14:paraId="21174B28" w14:textId="77777777">
            <w:pPr>
              <w:spacing w:before="60" w:line="259" w:lineRule="auto"/>
              <w:jc w:val="center"/>
              <w:rPr>
                <w:rFonts w:cstheme="minorHAnsi"/>
                <w:b/>
                <w:bCs/>
                <w:color w:val="000000"/>
              </w:rPr>
            </w:pPr>
            <w:r w:rsidRPr="0098622B">
              <w:rPr>
                <w:rFonts w:cstheme="minorHAnsi"/>
                <w:color w:val="000000"/>
              </w:rPr>
              <w:t>100%</w:t>
            </w:r>
          </w:p>
        </w:tc>
        <w:tc>
          <w:tcPr>
            <w:tcW w:w="1873" w:type="dxa"/>
            <w:vAlign w:val="center"/>
          </w:tcPr>
          <w:p w:rsidR="0098622B" w:rsidRPr="0098622B" w:rsidP="00563B45" w14:paraId="15AB0970" w14:textId="77777777">
            <w:pPr>
              <w:spacing w:before="60" w:line="259" w:lineRule="auto"/>
              <w:jc w:val="center"/>
              <w:rPr>
                <w:rFonts w:cstheme="minorHAnsi"/>
                <w:b/>
                <w:bCs/>
                <w:color w:val="000000"/>
              </w:rPr>
            </w:pPr>
            <w:r w:rsidRPr="0098622B">
              <w:rPr>
                <w:rFonts w:cstheme="minorHAnsi"/>
                <w:color w:val="000000"/>
              </w:rPr>
              <w:t>0.33</w:t>
            </w:r>
          </w:p>
        </w:tc>
      </w:tr>
    </w:tbl>
    <w:p w:rsidR="0098622B" w:rsidRPr="0098622B" w:rsidP="006659BE" w14:paraId="3EA1A2BE" w14:textId="77777777">
      <w:pPr>
        <w:spacing w:before="240"/>
        <w:rPr>
          <w:rFonts w:cstheme="minorHAnsi"/>
          <w:b/>
          <w:bCs/>
          <w:color w:val="000000"/>
        </w:rPr>
      </w:pPr>
      <w:bookmarkStart w:id="25" w:name="_Toc168484460"/>
      <w:r w:rsidRPr="0098622B">
        <w:rPr>
          <w:rFonts w:cstheme="minorHAnsi"/>
          <w:b/>
          <w:bCs/>
          <w:color w:val="000000"/>
        </w:rPr>
        <w:t>Estimating Respondent Labor Costs</w:t>
      </w:r>
      <w:bookmarkEnd w:id="25"/>
    </w:p>
    <w:p w:rsidR="0098622B" w:rsidRPr="0098622B" w:rsidP="0098622B" w14:paraId="792FBF5A" w14:textId="1073920C">
      <w:pPr>
        <w:spacing w:before="60"/>
        <w:rPr>
          <w:rFonts w:cstheme="minorHAnsi"/>
          <w:color w:val="000000"/>
        </w:rPr>
      </w:pPr>
      <w:r w:rsidRPr="0098622B">
        <w:rPr>
          <w:rFonts w:cstheme="minorHAnsi"/>
          <w:color w:val="000000"/>
        </w:rPr>
        <w:t>The average cost to states for staff compensation including salary and benefits is estimated to be $59.90 per hour (Department of Labor, September 2023</w:t>
      </w:r>
      <w:r>
        <w:rPr>
          <w:rFonts w:cstheme="minorHAnsi"/>
          <w:color w:val="000000"/>
          <w:vertAlign w:val="superscript"/>
        </w:rPr>
        <w:footnoteReference w:id="4"/>
      </w:r>
      <w:r w:rsidRPr="0098622B">
        <w:rPr>
          <w:rFonts w:cstheme="minorHAnsi"/>
          <w:color w:val="000000"/>
        </w:rPr>
        <w:t xml:space="preserve">), the annual state burden hour estimate of 10,839 hours equates to annual state costs of $649,249.  </w:t>
      </w:r>
    </w:p>
    <w:p w:rsidR="0098622B" w:rsidRPr="0098622B" w:rsidP="0098622B" w14:paraId="37CCE3CB" w14:textId="77777777">
      <w:pPr>
        <w:spacing w:before="60"/>
        <w:rPr>
          <w:rFonts w:cstheme="minorHAnsi"/>
          <w:color w:val="000000"/>
        </w:rPr>
      </w:pPr>
      <w:r w:rsidRPr="0098622B">
        <w:rPr>
          <w:rFonts w:cstheme="minorHAnsi"/>
          <w:color w:val="000000"/>
        </w:rPr>
        <w:t>The average cost to local facilities of staff compensation and benefits is estimated to be $59.90 per hour (Department of Labor, September 2023</w:t>
      </w:r>
      <w:r>
        <w:rPr>
          <w:rFonts w:cstheme="minorHAnsi"/>
          <w:color w:val="000000"/>
          <w:vertAlign w:val="superscript"/>
        </w:rPr>
        <w:footnoteReference w:id="5"/>
      </w:r>
      <w:r w:rsidRPr="0098622B">
        <w:rPr>
          <w:rFonts w:cstheme="minorHAnsi"/>
          <w:color w:val="000000"/>
        </w:rPr>
        <w:t xml:space="preserve">), the annual facility burden hour estimate of 2,503 hours equates to annual facility costs of $149,959.  There are no additional costs beyond costs associated with the above labor burden hour estimate. This information is summarized in </w:t>
      </w:r>
      <w:r w:rsidRPr="0098622B">
        <w:rPr>
          <w:rFonts w:cstheme="minorHAnsi"/>
          <w:color w:val="000000"/>
        </w:rPr>
        <w:fldChar w:fldCharType="begin"/>
      </w:r>
      <w:r w:rsidRPr="0098622B">
        <w:rPr>
          <w:rFonts w:cstheme="minorHAnsi"/>
          <w:color w:val="000000"/>
        </w:rPr>
        <w:instrText xml:space="preserve"> REF _Ref158632574 \h  \* MERGEFORMAT </w:instrText>
      </w:r>
      <w:r w:rsidRPr="0098622B">
        <w:rPr>
          <w:rFonts w:cstheme="minorHAnsi"/>
          <w:color w:val="000000"/>
        </w:rPr>
        <w:fldChar w:fldCharType="separate"/>
      </w:r>
      <w:r w:rsidRPr="0098622B">
        <w:rPr>
          <w:rFonts w:cstheme="minorHAnsi"/>
          <w:color w:val="000000"/>
        </w:rPr>
        <w:t>Table 12</w:t>
      </w:r>
      <w:r w:rsidRPr="0098622B">
        <w:rPr>
          <w:rFonts w:cstheme="minorHAnsi"/>
          <w:color w:val="000000"/>
        </w:rPr>
        <w:noBreakHyphen/>
        <w:t>2</w:t>
      </w:r>
      <w:r w:rsidRPr="0098622B">
        <w:rPr>
          <w:rFonts w:cstheme="minorHAnsi"/>
          <w:color w:val="000000"/>
        </w:rPr>
        <w:fldChar w:fldCharType="end"/>
      </w:r>
      <w:r w:rsidRPr="0098622B">
        <w:rPr>
          <w:rFonts w:cstheme="minorHAnsi"/>
          <w:color w:val="000000"/>
        </w:rPr>
        <w:t>.</w:t>
      </w:r>
    </w:p>
    <w:p w:rsidR="0098622B" w:rsidRPr="0098622B" w:rsidP="0098622B" w14:paraId="4A4BC594" w14:textId="77777777">
      <w:pPr>
        <w:spacing w:before="60"/>
        <w:rPr>
          <w:rFonts w:cstheme="minorHAnsi"/>
          <w:color w:val="000000"/>
        </w:rPr>
      </w:pPr>
      <w:bookmarkStart w:id="27" w:name="_Toc168484461"/>
      <w:r w:rsidRPr="0098622B">
        <w:rPr>
          <w:rFonts w:cstheme="minorHAnsi"/>
          <w:b/>
          <w:bCs/>
          <w:color w:val="000000"/>
        </w:rPr>
        <w:t>Estimating the Respondent Universe and Total Burden and Costs</w:t>
      </w:r>
      <w:bookmarkEnd w:id="27"/>
    </w:p>
    <w:p w:rsidR="0098622B" w:rsidRPr="0098622B" w:rsidP="0098622B" w14:paraId="6871FF86" w14:textId="22C599E9">
      <w:pPr>
        <w:spacing w:before="60"/>
        <w:rPr>
          <w:rFonts w:cstheme="minorHAnsi"/>
          <w:color w:val="000000"/>
        </w:rPr>
      </w:pPr>
      <w:r w:rsidRPr="0098622B">
        <w:rPr>
          <w:rFonts w:cstheme="minorHAnsi"/>
          <w:color w:val="000000"/>
        </w:rPr>
        <w:t>The state respondent universe is 56 states and territories.</w:t>
      </w:r>
    </w:p>
    <w:p w:rsidR="0098622B" w:rsidRPr="0098622B" w:rsidP="0098622B" w14:paraId="7864B2DC" w14:textId="1A190B85">
      <w:pPr>
        <w:spacing w:before="60"/>
        <w:rPr>
          <w:rFonts w:cstheme="minorHAnsi"/>
          <w:color w:val="000000"/>
        </w:rPr>
        <w:sectPr w:rsidSect="0098622B">
          <w:headerReference w:type="default" r:id="rId11"/>
          <w:footerReference w:type="default" r:id="rId12"/>
          <w:footnotePr>
            <w:numFmt w:val="lowerLetter"/>
          </w:footnotePr>
          <w:endnotePr>
            <w:numFmt w:val="lowerLetter"/>
          </w:endnotePr>
          <w:pgSz w:w="12240" w:h="15840" w:code="1"/>
          <w:pgMar w:top="1440" w:right="1440" w:bottom="1440" w:left="1440" w:header="720" w:footer="720" w:gutter="0"/>
          <w:pgNumType w:start="1"/>
          <w:cols w:space="720"/>
        </w:sectPr>
      </w:pPr>
      <w:r w:rsidRPr="0098622B">
        <w:rPr>
          <w:rFonts w:cstheme="minorHAnsi"/>
          <w:color w:val="000000"/>
        </w:rPr>
        <w:t>The facility respondent universe was determined by counting the total number of facilities that were updated in the prior survey or 30,881 facilities over the three-year period of this ICR. This value annualized is 10,294 facilities to be entered in by the 56 states and territories over the period of the ICR. Of those facilities, states had indicated that 11,330 (or 3,777 annually) had a flow of less than 1 MGD in the 2022 survey. Five hundred of these small facilities will be surveyed (see Part B), resulting in an annual number of 167 sampled facilities.</w:t>
      </w:r>
      <w:r w:rsidRPr="0098622B">
        <w:rPr>
          <w:rFonts w:cstheme="minorHAnsi"/>
          <w:b/>
          <w:bCs/>
          <w:color w:val="000000"/>
        </w:rPr>
        <w:t xml:space="preserve"> </w:t>
      </w:r>
      <w:r w:rsidRPr="0098622B">
        <w:rPr>
          <w:rFonts w:cstheme="minorHAnsi"/>
          <w:b/>
          <w:bCs/>
          <w:color w:val="000000"/>
        </w:rPr>
        <w:fldChar w:fldCharType="begin"/>
      </w:r>
      <w:r w:rsidRPr="0098622B">
        <w:rPr>
          <w:rFonts w:cstheme="minorHAnsi"/>
          <w:b/>
          <w:bCs/>
          <w:color w:val="000000"/>
        </w:rPr>
        <w:instrText xml:space="preserve"> REF _Ref158632574 \h  \* MERGEFORMAT </w:instrText>
      </w:r>
      <w:r w:rsidRPr="0098622B">
        <w:rPr>
          <w:rFonts w:cstheme="minorHAnsi"/>
          <w:b/>
          <w:bCs/>
          <w:color w:val="000000"/>
        </w:rPr>
        <w:fldChar w:fldCharType="separate"/>
      </w:r>
      <w:r w:rsidRPr="0098622B">
        <w:rPr>
          <w:rFonts w:cstheme="minorHAnsi"/>
          <w:bCs/>
          <w:color w:val="000000"/>
        </w:rPr>
        <w:t>Table 12</w:t>
      </w:r>
      <w:r w:rsidRPr="0098622B">
        <w:rPr>
          <w:rFonts w:cstheme="minorHAnsi"/>
          <w:bCs/>
          <w:color w:val="000000"/>
        </w:rPr>
        <w:noBreakHyphen/>
        <w:t>2</w:t>
      </w:r>
      <w:r w:rsidRPr="0098622B">
        <w:rPr>
          <w:rFonts w:cstheme="minorHAnsi"/>
          <w:color w:val="000000"/>
        </w:rPr>
        <w:fldChar w:fldCharType="end"/>
      </w:r>
      <w:r w:rsidRPr="0098622B">
        <w:rPr>
          <w:rFonts w:cstheme="minorHAnsi"/>
          <w:b/>
          <w:bCs/>
          <w:color w:val="000000"/>
        </w:rPr>
        <w:t xml:space="preserve"> </w:t>
      </w:r>
      <w:r w:rsidRPr="0098622B">
        <w:rPr>
          <w:rFonts w:cstheme="minorHAnsi"/>
          <w:color w:val="000000"/>
        </w:rPr>
        <w:t>and</w:t>
      </w:r>
      <w:r w:rsidRPr="0098622B">
        <w:rPr>
          <w:rFonts w:cstheme="minorHAnsi"/>
          <w:b/>
          <w:bCs/>
          <w:color w:val="000000"/>
        </w:rPr>
        <w:t xml:space="preserve"> </w:t>
      </w:r>
      <w:r w:rsidRPr="0098622B">
        <w:rPr>
          <w:rFonts w:cstheme="minorHAnsi"/>
          <w:b/>
          <w:bCs/>
          <w:color w:val="000000"/>
        </w:rPr>
        <w:fldChar w:fldCharType="begin"/>
      </w:r>
      <w:r w:rsidRPr="0098622B">
        <w:rPr>
          <w:rFonts w:cstheme="minorHAnsi"/>
          <w:b/>
          <w:bCs/>
          <w:color w:val="000000"/>
        </w:rPr>
        <w:instrText xml:space="preserve"> REF _Ref158632578 \h  \* MERGEFORMAT </w:instrText>
      </w:r>
      <w:r w:rsidRPr="0098622B">
        <w:rPr>
          <w:rFonts w:cstheme="minorHAnsi"/>
          <w:b/>
          <w:bCs/>
          <w:color w:val="000000"/>
        </w:rPr>
        <w:fldChar w:fldCharType="separate"/>
      </w:r>
      <w:r w:rsidRPr="0098622B">
        <w:rPr>
          <w:rFonts w:cstheme="minorHAnsi"/>
          <w:bCs/>
          <w:color w:val="000000"/>
        </w:rPr>
        <w:t>Table 12</w:t>
      </w:r>
      <w:r w:rsidRPr="0098622B">
        <w:rPr>
          <w:rFonts w:cstheme="minorHAnsi"/>
          <w:bCs/>
          <w:color w:val="000000"/>
        </w:rPr>
        <w:noBreakHyphen/>
        <w:t>3</w:t>
      </w:r>
      <w:r w:rsidRPr="0098622B">
        <w:rPr>
          <w:rFonts w:cstheme="minorHAnsi"/>
          <w:color w:val="000000"/>
        </w:rPr>
        <w:fldChar w:fldCharType="end"/>
      </w:r>
      <w:r w:rsidRPr="0098622B">
        <w:rPr>
          <w:rFonts w:cstheme="minorHAnsi"/>
          <w:b/>
          <w:bCs/>
          <w:color w:val="000000"/>
        </w:rPr>
        <w:t xml:space="preserve"> </w:t>
      </w:r>
      <w:r w:rsidRPr="0098622B">
        <w:rPr>
          <w:rFonts w:cstheme="minorHAnsi"/>
          <w:color w:val="000000"/>
        </w:rPr>
        <w:t>present the total respondent burden and costs based on this respondent universe.</w:t>
      </w:r>
    </w:p>
    <w:p w:rsidR="0098622B" w:rsidRPr="0098622B" w:rsidP="0098622B" w14:paraId="4A2E9370" w14:textId="77777777">
      <w:pPr>
        <w:spacing w:before="60"/>
        <w:rPr>
          <w:rFonts w:cstheme="minorHAnsi"/>
          <w:color w:val="000000"/>
        </w:rPr>
      </w:pPr>
    </w:p>
    <w:p w:rsidR="0098622B" w:rsidRPr="0098622B" w:rsidP="006659BE" w14:paraId="77DB10B7" w14:textId="77777777">
      <w:pPr>
        <w:spacing w:before="60"/>
        <w:jc w:val="center"/>
        <w:rPr>
          <w:rFonts w:cstheme="minorHAnsi"/>
          <w:b/>
          <w:bCs/>
          <w:color w:val="000000"/>
        </w:rPr>
      </w:pPr>
      <w:bookmarkStart w:id="28" w:name="_Ref158632574"/>
      <w:bookmarkStart w:id="29" w:name="_Toc168484472"/>
      <w:r w:rsidRPr="0098622B">
        <w:rPr>
          <w:rFonts w:cstheme="minorHAnsi"/>
          <w:b/>
          <w:bCs/>
          <w:color w:val="000000"/>
        </w:rPr>
        <w:t xml:space="preserve">Table </w:t>
      </w:r>
      <w:r w:rsidRPr="0098622B">
        <w:rPr>
          <w:rFonts w:cstheme="minorHAnsi"/>
          <w:b/>
          <w:bCs/>
          <w:color w:val="000000"/>
        </w:rPr>
        <w:fldChar w:fldCharType="begin"/>
      </w:r>
      <w:r w:rsidRPr="0098622B">
        <w:rPr>
          <w:rFonts w:cstheme="minorHAnsi"/>
          <w:b/>
          <w:bCs/>
          <w:color w:val="000000"/>
        </w:rPr>
        <w:instrText xml:space="preserve"> STYLEREF 2 \s </w:instrText>
      </w:r>
      <w:r w:rsidRPr="0098622B">
        <w:rPr>
          <w:rFonts w:cstheme="minorHAnsi"/>
          <w:b/>
          <w:bCs/>
          <w:color w:val="000000"/>
        </w:rPr>
        <w:fldChar w:fldCharType="separate"/>
      </w:r>
      <w:r w:rsidRPr="0098622B">
        <w:rPr>
          <w:rFonts w:cstheme="minorHAnsi"/>
          <w:b/>
          <w:bCs/>
          <w:color w:val="000000"/>
        </w:rPr>
        <w:t>12</w:t>
      </w:r>
      <w:r w:rsidRPr="0098622B">
        <w:rPr>
          <w:rFonts w:cstheme="minorHAnsi"/>
          <w:color w:val="000000"/>
        </w:rPr>
        <w:fldChar w:fldCharType="end"/>
      </w:r>
      <w:r w:rsidRPr="0098622B">
        <w:rPr>
          <w:rFonts w:cstheme="minorHAnsi"/>
          <w:b/>
          <w:bCs/>
          <w:color w:val="000000"/>
        </w:rPr>
        <w:noBreakHyphen/>
      </w:r>
      <w:r w:rsidRPr="0098622B">
        <w:rPr>
          <w:rFonts w:cstheme="minorHAnsi"/>
          <w:b/>
          <w:bCs/>
          <w:color w:val="000000"/>
        </w:rPr>
        <w:fldChar w:fldCharType="begin"/>
      </w:r>
      <w:r w:rsidRPr="0098622B">
        <w:rPr>
          <w:rFonts w:cstheme="minorHAnsi"/>
          <w:b/>
          <w:bCs/>
          <w:color w:val="000000"/>
        </w:rPr>
        <w:instrText xml:space="preserve"> SEQ Table \* ARABIC \s 2 </w:instrText>
      </w:r>
      <w:r w:rsidRPr="0098622B">
        <w:rPr>
          <w:rFonts w:cstheme="minorHAnsi"/>
          <w:b/>
          <w:bCs/>
          <w:color w:val="000000"/>
        </w:rPr>
        <w:fldChar w:fldCharType="separate"/>
      </w:r>
      <w:r w:rsidRPr="0098622B">
        <w:rPr>
          <w:rFonts w:cstheme="minorHAnsi"/>
          <w:b/>
          <w:bCs/>
          <w:color w:val="000000"/>
        </w:rPr>
        <w:t>2</w:t>
      </w:r>
      <w:r w:rsidRPr="0098622B">
        <w:rPr>
          <w:rFonts w:cstheme="minorHAnsi"/>
          <w:color w:val="000000"/>
        </w:rPr>
        <w:fldChar w:fldCharType="end"/>
      </w:r>
      <w:bookmarkEnd w:id="28"/>
      <w:r w:rsidRPr="0098622B">
        <w:rPr>
          <w:rFonts w:cstheme="minorHAnsi"/>
          <w:b/>
          <w:bCs/>
          <w:color w:val="000000"/>
        </w:rPr>
        <w:t>. Annual Respondent Burden and Cost for Technical Data and Needs Entries</w:t>
      </w:r>
      <w:bookmarkEnd w:id="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tblPr>
      <w:tblGrid>
        <w:gridCol w:w="2780"/>
        <w:gridCol w:w="1018"/>
        <w:gridCol w:w="1195"/>
        <w:gridCol w:w="1166"/>
        <w:gridCol w:w="908"/>
        <w:gridCol w:w="1255"/>
        <w:gridCol w:w="1044"/>
        <w:gridCol w:w="1331"/>
        <w:gridCol w:w="1125"/>
        <w:gridCol w:w="1224"/>
      </w:tblGrid>
      <w:tr w14:paraId="1BD6A269" w14:textId="77777777" w:rsidTr="00563B4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tblPrEx>
        <w:trPr>
          <w:trHeight w:val="756"/>
          <w:tblHeader/>
          <w:jc w:val="center"/>
        </w:trPr>
        <w:tc>
          <w:tcPr>
            <w:tcW w:w="1065" w:type="pct"/>
            <w:vMerge w:val="restart"/>
            <w:shd w:val="clear" w:color="auto" w:fill="E7E6E6" w:themeFill="background2"/>
            <w:vAlign w:val="center"/>
          </w:tcPr>
          <w:p w:rsidR="0098622B" w:rsidRPr="0098622B" w:rsidP="00563B45" w14:paraId="2A1D454D" w14:textId="77777777">
            <w:pPr>
              <w:spacing w:before="60"/>
              <w:jc w:val="center"/>
              <w:rPr>
                <w:rFonts w:cstheme="minorHAnsi"/>
                <w:b/>
                <w:color w:val="000000"/>
              </w:rPr>
            </w:pPr>
            <w:r w:rsidRPr="0098622B">
              <w:rPr>
                <w:rFonts w:cstheme="minorHAnsi"/>
                <w:b/>
                <w:color w:val="000000"/>
              </w:rPr>
              <w:t>Activity</w:t>
            </w:r>
          </w:p>
        </w:tc>
        <w:tc>
          <w:tcPr>
            <w:tcW w:w="1295" w:type="pct"/>
            <w:gridSpan w:val="3"/>
            <w:shd w:val="clear" w:color="auto" w:fill="E7E6E6" w:themeFill="background2"/>
            <w:vAlign w:val="center"/>
          </w:tcPr>
          <w:p w:rsidR="0098622B" w:rsidRPr="0098622B" w:rsidP="00563B45" w14:paraId="3FF86886" w14:textId="77777777">
            <w:pPr>
              <w:spacing w:before="60"/>
              <w:jc w:val="center"/>
              <w:rPr>
                <w:rFonts w:cstheme="minorHAnsi"/>
                <w:b/>
                <w:color w:val="000000"/>
              </w:rPr>
            </w:pPr>
            <w:r w:rsidRPr="0098622B">
              <w:rPr>
                <w:rFonts w:cstheme="minorHAnsi"/>
                <w:b/>
                <w:color w:val="000000"/>
              </w:rPr>
              <w:t>Hours and Costs Per State Respondent</w:t>
            </w:r>
          </w:p>
        </w:tc>
        <w:tc>
          <w:tcPr>
            <w:tcW w:w="1229" w:type="pct"/>
            <w:gridSpan w:val="3"/>
            <w:shd w:val="clear" w:color="auto" w:fill="E7E6E6" w:themeFill="background2"/>
            <w:vAlign w:val="center"/>
          </w:tcPr>
          <w:p w:rsidR="0098622B" w:rsidRPr="0098622B" w:rsidP="00563B45" w14:paraId="37CEB672" w14:textId="77777777">
            <w:pPr>
              <w:spacing w:before="60"/>
              <w:jc w:val="center"/>
              <w:rPr>
                <w:rFonts w:cstheme="minorHAnsi"/>
                <w:b/>
                <w:color w:val="000000"/>
              </w:rPr>
            </w:pPr>
            <w:r w:rsidRPr="0098622B">
              <w:rPr>
                <w:rFonts w:cstheme="minorHAnsi"/>
                <w:b/>
                <w:color w:val="000000"/>
              </w:rPr>
              <w:t>Hours and Costs Per Facility Respondent</w:t>
            </w:r>
          </w:p>
        </w:tc>
        <w:tc>
          <w:tcPr>
            <w:tcW w:w="1410" w:type="pct"/>
            <w:gridSpan w:val="3"/>
            <w:shd w:val="clear" w:color="auto" w:fill="E7E6E6" w:themeFill="background2"/>
            <w:vAlign w:val="center"/>
          </w:tcPr>
          <w:p w:rsidR="0098622B" w:rsidRPr="0098622B" w:rsidP="00563B45" w14:paraId="1039FE1F" w14:textId="77777777">
            <w:pPr>
              <w:spacing w:before="60"/>
              <w:jc w:val="center"/>
              <w:rPr>
                <w:rFonts w:cstheme="minorHAnsi"/>
                <w:b/>
                <w:color w:val="000000"/>
              </w:rPr>
            </w:pPr>
            <w:r w:rsidRPr="0098622B">
              <w:rPr>
                <w:rFonts w:cstheme="minorHAnsi"/>
                <w:b/>
                <w:color w:val="000000"/>
              </w:rPr>
              <w:t>Total Annual</w:t>
            </w:r>
          </w:p>
        </w:tc>
      </w:tr>
      <w:tr w14:paraId="0A707AF4" w14:textId="77777777" w:rsidTr="00563B45">
        <w:tblPrEx>
          <w:tblW w:w="5000" w:type="pct"/>
          <w:jc w:val="center"/>
          <w:tblLayout w:type="fixed"/>
          <w:tblCellMar>
            <w:left w:w="43" w:type="dxa"/>
            <w:right w:w="43" w:type="dxa"/>
          </w:tblCellMar>
          <w:tblLook w:val="04A0"/>
        </w:tblPrEx>
        <w:trPr>
          <w:trHeight w:val="756"/>
          <w:tblHeader/>
          <w:jc w:val="center"/>
        </w:trPr>
        <w:tc>
          <w:tcPr>
            <w:tcW w:w="1065" w:type="pct"/>
            <w:vMerge/>
            <w:shd w:val="clear" w:color="auto" w:fill="E7E6E6" w:themeFill="background2"/>
            <w:vAlign w:val="bottom"/>
            <w:hideMark/>
          </w:tcPr>
          <w:p w:rsidR="0098622B" w:rsidRPr="0098622B" w:rsidP="00563B45" w14:paraId="142163FF" w14:textId="77777777">
            <w:pPr>
              <w:spacing w:before="60"/>
              <w:jc w:val="center"/>
              <w:rPr>
                <w:rFonts w:cstheme="minorHAnsi"/>
                <w:b/>
                <w:color w:val="000000"/>
              </w:rPr>
            </w:pPr>
          </w:p>
        </w:tc>
        <w:tc>
          <w:tcPr>
            <w:tcW w:w="390" w:type="pct"/>
            <w:shd w:val="clear" w:color="auto" w:fill="E7E6E6" w:themeFill="background2"/>
            <w:vAlign w:val="center"/>
          </w:tcPr>
          <w:p w:rsidR="0098622B" w:rsidRPr="0098622B" w:rsidP="00563B45" w14:paraId="6005FCE9" w14:textId="77777777">
            <w:pPr>
              <w:spacing w:before="60"/>
              <w:jc w:val="center"/>
              <w:rPr>
                <w:rFonts w:cstheme="minorHAnsi"/>
                <w:b/>
                <w:color w:val="000000"/>
              </w:rPr>
            </w:pPr>
            <w:r w:rsidRPr="0098622B">
              <w:rPr>
                <w:rFonts w:cstheme="minorHAnsi"/>
                <w:b/>
                <w:color w:val="000000"/>
              </w:rPr>
              <w:t>Labor Rate/Hr</w:t>
            </w:r>
          </w:p>
        </w:tc>
        <w:tc>
          <w:tcPr>
            <w:tcW w:w="458" w:type="pct"/>
            <w:shd w:val="clear" w:color="auto" w:fill="E7E6E6" w:themeFill="background2"/>
            <w:vAlign w:val="center"/>
            <w:hideMark/>
          </w:tcPr>
          <w:p w:rsidR="0098622B" w:rsidRPr="0098622B" w:rsidP="00563B45" w14:paraId="60C4573A" w14:textId="77777777">
            <w:pPr>
              <w:spacing w:before="60"/>
              <w:jc w:val="center"/>
              <w:rPr>
                <w:rFonts w:cstheme="minorHAnsi"/>
                <w:b/>
                <w:color w:val="000000"/>
              </w:rPr>
            </w:pPr>
            <w:r w:rsidRPr="0098622B">
              <w:rPr>
                <w:rFonts w:cstheme="minorHAnsi"/>
                <w:b/>
                <w:color w:val="000000"/>
              </w:rPr>
              <w:t>Respondent Hrs/Year</w:t>
            </w:r>
          </w:p>
        </w:tc>
        <w:tc>
          <w:tcPr>
            <w:tcW w:w="447" w:type="pct"/>
            <w:shd w:val="clear" w:color="auto" w:fill="E7E6E6" w:themeFill="background2"/>
            <w:vAlign w:val="center"/>
          </w:tcPr>
          <w:p w:rsidR="0098622B" w:rsidRPr="0098622B" w:rsidP="00563B45" w14:paraId="67532B14" w14:textId="77777777">
            <w:pPr>
              <w:spacing w:before="60"/>
              <w:jc w:val="center"/>
              <w:rPr>
                <w:rFonts w:cstheme="minorHAnsi"/>
                <w:b/>
                <w:color w:val="000000"/>
              </w:rPr>
            </w:pPr>
            <w:r w:rsidRPr="0098622B">
              <w:rPr>
                <w:rFonts w:cstheme="minorHAnsi"/>
                <w:b/>
                <w:color w:val="000000"/>
              </w:rPr>
              <w:t>Labor Cost/Year</w:t>
            </w:r>
          </w:p>
        </w:tc>
        <w:tc>
          <w:tcPr>
            <w:tcW w:w="348" w:type="pct"/>
            <w:shd w:val="clear" w:color="auto" w:fill="E7E6E6" w:themeFill="background2"/>
            <w:vAlign w:val="center"/>
          </w:tcPr>
          <w:p w:rsidR="0098622B" w:rsidRPr="0098622B" w:rsidP="00563B45" w14:paraId="7CA88464" w14:textId="77777777">
            <w:pPr>
              <w:spacing w:before="60"/>
              <w:jc w:val="center"/>
              <w:rPr>
                <w:rFonts w:cstheme="minorHAnsi"/>
                <w:b/>
                <w:color w:val="000000"/>
              </w:rPr>
            </w:pPr>
            <w:r w:rsidRPr="0098622B">
              <w:rPr>
                <w:rFonts w:cstheme="minorHAnsi"/>
                <w:b/>
                <w:color w:val="000000"/>
              </w:rPr>
              <w:t>Labor Rate/Hr</w:t>
            </w:r>
          </w:p>
        </w:tc>
        <w:tc>
          <w:tcPr>
            <w:tcW w:w="481" w:type="pct"/>
            <w:shd w:val="clear" w:color="auto" w:fill="E7E6E6" w:themeFill="background2"/>
            <w:vAlign w:val="center"/>
            <w:hideMark/>
          </w:tcPr>
          <w:p w:rsidR="0098622B" w:rsidRPr="0098622B" w:rsidP="00563B45" w14:paraId="67EBE045" w14:textId="77777777">
            <w:pPr>
              <w:spacing w:before="60"/>
              <w:jc w:val="center"/>
              <w:rPr>
                <w:rFonts w:cstheme="minorHAnsi"/>
                <w:b/>
                <w:color w:val="000000"/>
              </w:rPr>
            </w:pPr>
            <w:r w:rsidRPr="0098622B">
              <w:rPr>
                <w:rFonts w:cstheme="minorHAnsi"/>
                <w:b/>
                <w:color w:val="000000"/>
              </w:rPr>
              <w:t>Respondent Hrs/Year</w:t>
            </w:r>
          </w:p>
        </w:tc>
        <w:tc>
          <w:tcPr>
            <w:tcW w:w="400" w:type="pct"/>
            <w:shd w:val="clear" w:color="auto" w:fill="E7E6E6" w:themeFill="background2"/>
            <w:vAlign w:val="center"/>
          </w:tcPr>
          <w:p w:rsidR="0098622B" w:rsidRPr="0098622B" w:rsidP="00563B45" w14:paraId="5F079F4A" w14:textId="77777777">
            <w:pPr>
              <w:spacing w:before="60"/>
              <w:jc w:val="center"/>
              <w:rPr>
                <w:rFonts w:cstheme="minorHAnsi"/>
                <w:b/>
                <w:color w:val="000000"/>
              </w:rPr>
            </w:pPr>
            <w:r w:rsidRPr="0098622B">
              <w:rPr>
                <w:rFonts w:cstheme="minorHAnsi"/>
                <w:b/>
                <w:color w:val="000000"/>
              </w:rPr>
              <w:t>Labor Cost/Year</w:t>
            </w:r>
          </w:p>
        </w:tc>
        <w:tc>
          <w:tcPr>
            <w:tcW w:w="510" w:type="pct"/>
            <w:shd w:val="clear" w:color="auto" w:fill="E7E6E6" w:themeFill="background2"/>
            <w:vAlign w:val="center"/>
          </w:tcPr>
          <w:p w:rsidR="0098622B" w:rsidRPr="0098622B" w:rsidP="00563B45" w14:paraId="4276CD1F" w14:textId="77777777">
            <w:pPr>
              <w:spacing w:before="60"/>
              <w:jc w:val="center"/>
              <w:rPr>
                <w:rFonts w:cstheme="minorHAnsi"/>
                <w:b/>
                <w:color w:val="000000"/>
              </w:rPr>
            </w:pPr>
            <w:r w:rsidRPr="0098622B">
              <w:rPr>
                <w:rFonts w:cstheme="minorHAnsi"/>
                <w:b/>
                <w:color w:val="000000"/>
              </w:rPr>
              <w:t>Respondents</w:t>
            </w:r>
          </w:p>
        </w:tc>
        <w:tc>
          <w:tcPr>
            <w:tcW w:w="431" w:type="pct"/>
            <w:shd w:val="clear" w:color="auto" w:fill="E7E6E6" w:themeFill="background2"/>
            <w:vAlign w:val="center"/>
          </w:tcPr>
          <w:p w:rsidR="0098622B" w:rsidRPr="0098622B" w:rsidP="00563B45" w14:paraId="62A80609" w14:textId="77777777">
            <w:pPr>
              <w:spacing w:before="60"/>
              <w:jc w:val="center"/>
              <w:rPr>
                <w:rFonts w:cstheme="minorHAnsi"/>
                <w:b/>
                <w:color w:val="000000"/>
              </w:rPr>
            </w:pPr>
            <w:r w:rsidRPr="0098622B">
              <w:rPr>
                <w:rFonts w:cstheme="minorHAnsi"/>
                <w:b/>
                <w:color w:val="000000"/>
              </w:rPr>
              <w:t>Hours</w:t>
            </w:r>
          </w:p>
        </w:tc>
        <w:tc>
          <w:tcPr>
            <w:tcW w:w="469" w:type="pct"/>
            <w:shd w:val="clear" w:color="auto" w:fill="E7E6E6" w:themeFill="background2"/>
            <w:vAlign w:val="center"/>
          </w:tcPr>
          <w:p w:rsidR="0098622B" w:rsidRPr="0098622B" w:rsidP="00563B45" w14:paraId="62FC7710" w14:textId="77777777">
            <w:pPr>
              <w:spacing w:before="60"/>
              <w:jc w:val="center"/>
              <w:rPr>
                <w:rFonts w:cstheme="minorHAnsi"/>
                <w:b/>
                <w:color w:val="000000"/>
              </w:rPr>
            </w:pPr>
            <w:r w:rsidRPr="0098622B">
              <w:rPr>
                <w:rFonts w:cstheme="minorHAnsi"/>
                <w:b/>
                <w:color w:val="000000"/>
              </w:rPr>
              <w:t>Costs</w:t>
            </w:r>
          </w:p>
        </w:tc>
      </w:tr>
      <w:tr w14:paraId="18C0C7C2" w14:textId="77777777" w:rsidTr="00563B45">
        <w:tblPrEx>
          <w:tblW w:w="5000" w:type="pct"/>
          <w:jc w:val="center"/>
          <w:tblLayout w:type="fixed"/>
          <w:tblCellMar>
            <w:left w:w="43" w:type="dxa"/>
            <w:right w:w="43" w:type="dxa"/>
          </w:tblCellMar>
          <w:tblLook w:val="04A0"/>
        </w:tblPrEx>
        <w:trPr>
          <w:trHeight w:val="343"/>
          <w:jc w:val="center"/>
        </w:trPr>
        <w:tc>
          <w:tcPr>
            <w:tcW w:w="1065" w:type="pct"/>
            <w:vAlign w:val="center"/>
            <w:hideMark/>
          </w:tcPr>
          <w:p w:rsidR="0098622B" w:rsidRPr="0098622B" w:rsidP="0098622B" w14:paraId="1829A9D3" w14:textId="77777777">
            <w:pPr>
              <w:spacing w:before="60"/>
              <w:rPr>
                <w:rFonts w:cstheme="minorHAnsi"/>
                <w:color w:val="000000"/>
              </w:rPr>
            </w:pPr>
            <w:r w:rsidRPr="0098622B">
              <w:rPr>
                <w:rFonts w:cstheme="minorHAnsi"/>
                <w:color w:val="000000"/>
              </w:rPr>
              <w:t>1) Obtain access &amp; training for the Data Entry Portal (DEP)</w:t>
            </w:r>
          </w:p>
        </w:tc>
        <w:tc>
          <w:tcPr>
            <w:tcW w:w="390" w:type="pct"/>
            <w:vAlign w:val="center"/>
          </w:tcPr>
          <w:p w:rsidR="0098622B" w:rsidRPr="0098622B" w:rsidP="00563B45" w14:paraId="1164CC90" w14:textId="77777777">
            <w:pPr>
              <w:spacing w:before="60"/>
              <w:jc w:val="center"/>
              <w:rPr>
                <w:rFonts w:cstheme="minorHAnsi"/>
                <w:color w:val="000000"/>
              </w:rPr>
            </w:pPr>
            <w:r w:rsidRPr="0098622B">
              <w:rPr>
                <w:rFonts w:cstheme="minorHAnsi"/>
                <w:color w:val="000000"/>
              </w:rPr>
              <w:t>59.9</w:t>
            </w:r>
          </w:p>
        </w:tc>
        <w:tc>
          <w:tcPr>
            <w:tcW w:w="458" w:type="pct"/>
            <w:noWrap/>
            <w:vAlign w:val="center"/>
            <w:hideMark/>
          </w:tcPr>
          <w:p w:rsidR="0098622B" w:rsidRPr="0098622B" w:rsidP="00563B45" w14:paraId="630859AC" w14:textId="77777777">
            <w:pPr>
              <w:spacing w:before="60"/>
              <w:jc w:val="center"/>
              <w:rPr>
                <w:rFonts w:cstheme="minorHAnsi"/>
                <w:color w:val="000000"/>
              </w:rPr>
            </w:pPr>
            <w:r w:rsidRPr="0098622B">
              <w:rPr>
                <w:rFonts w:cstheme="minorHAnsi"/>
                <w:color w:val="000000"/>
              </w:rPr>
              <w:t>3.4</w:t>
            </w:r>
          </w:p>
        </w:tc>
        <w:tc>
          <w:tcPr>
            <w:tcW w:w="447" w:type="pct"/>
            <w:vAlign w:val="center"/>
          </w:tcPr>
          <w:p w:rsidR="0098622B" w:rsidRPr="0098622B" w:rsidP="00563B45" w14:paraId="5264FF83" w14:textId="1BCB38C0">
            <w:pPr>
              <w:spacing w:before="60"/>
              <w:jc w:val="center"/>
              <w:rPr>
                <w:rFonts w:cstheme="minorHAnsi"/>
                <w:color w:val="000000"/>
              </w:rPr>
            </w:pPr>
            <w:r w:rsidRPr="0098622B">
              <w:rPr>
                <w:rFonts w:cstheme="minorHAnsi"/>
                <w:color w:val="000000"/>
              </w:rPr>
              <w:t>$11,477</w:t>
            </w:r>
          </w:p>
        </w:tc>
        <w:tc>
          <w:tcPr>
            <w:tcW w:w="348" w:type="pct"/>
            <w:vAlign w:val="center"/>
          </w:tcPr>
          <w:p w:rsidR="0098622B" w:rsidRPr="0098622B" w:rsidP="00563B45" w14:paraId="07AB313D" w14:textId="77777777">
            <w:pPr>
              <w:spacing w:before="60"/>
              <w:jc w:val="center"/>
              <w:rPr>
                <w:rFonts w:cstheme="minorHAnsi"/>
                <w:color w:val="000000"/>
              </w:rPr>
            </w:pPr>
            <w:r w:rsidRPr="0098622B">
              <w:rPr>
                <w:rFonts w:cstheme="minorHAnsi"/>
                <w:color w:val="000000"/>
              </w:rPr>
              <w:t>59.9</w:t>
            </w:r>
          </w:p>
        </w:tc>
        <w:tc>
          <w:tcPr>
            <w:tcW w:w="481" w:type="pct"/>
            <w:noWrap/>
            <w:vAlign w:val="center"/>
          </w:tcPr>
          <w:p w:rsidR="0098622B" w:rsidRPr="0098622B" w:rsidP="00563B45" w14:paraId="4D8CB32C" w14:textId="77777777">
            <w:pPr>
              <w:spacing w:before="60"/>
              <w:jc w:val="center"/>
              <w:rPr>
                <w:rFonts w:cstheme="minorHAnsi"/>
                <w:color w:val="000000"/>
              </w:rPr>
            </w:pPr>
            <w:r w:rsidRPr="0098622B">
              <w:rPr>
                <w:rFonts w:cstheme="minorHAnsi"/>
                <w:color w:val="000000"/>
              </w:rPr>
              <w:t>-</w:t>
            </w:r>
          </w:p>
        </w:tc>
        <w:tc>
          <w:tcPr>
            <w:tcW w:w="400" w:type="pct"/>
            <w:vAlign w:val="center"/>
          </w:tcPr>
          <w:p w:rsidR="0098622B" w:rsidRPr="0098622B" w:rsidP="00563B45" w14:paraId="29C279CD" w14:textId="77777777">
            <w:pPr>
              <w:spacing w:before="60"/>
              <w:jc w:val="center"/>
              <w:rPr>
                <w:rFonts w:cstheme="minorHAnsi"/>
                <w:color w:val="000000"/>
              </w:rPr>
            </w:pPr>
            <w:r w:rsidRPr="0098622B">
              <w:rPr>
                <w:rFonts w:cstheme="minorHAnsi"/>
                <w:color w:val="000000"/>
              </w:rPr>
              <w:t>-</w:t>
            </w:r>
          </w:p>
        </w:tc>
        <w:tc>
          <w:tcPr>
            <w:tcW w:w="510" w:type="pct"/>
            <w:vAlign w:val="center"/>
          </w:tcPr>
          <w:p w:rsidR="0098622B" w:rsidRPr="0098622B" w:rsidP="00563B45" w14:paraId="24C766A5" w14:textId="77777777">
            <w:pPr>
              <w:spacing w:before="60"/>
              <w:jc w:val="center"/>
              <w:rPr>
                <w:rFonts w:cstheme="minorHAnsi"/>
                <w:color w:val="000000"/>
              </w:rPr>
            </w:pPr>
            <w:r w:rsidRPr="0098622B">
              <w:rPr>
                <w:rFonts w:cstheme="minorHAnsi"/>
                <w:color w:val="000000"/>
              </w:rPr>
              <w:t>56</w:t>
            </w:r>
          </w:p>
        </w:tc>
        <w:tc>
          <w:tcPr>
            <w:tcW w:w="431" w:type="pct"/>
            <w:vAlign w:val="center"/>
          </w:tcPr>
          <w:p w:rsidR="0098622B" w:rsidRPr="0098622B" w:rsidP="00563B45" w14:paraId="10B99220" w14:textId="77777777">
            <w:pPr>
              <w:spacing w:before="60"/>
              <w:jc w:val="center"/>
              <w:rPr>
                <w:rFonts w:cstheme="minorHAnsi"/>
                <w:color w:val="000000"/>
              </w:rPr>
            </w:pPr>
            <w:r w:rsidRPr="0098622B">
              <w:rPr>
                <w:rFonts w:cstheme="minorHAnsi"/>
                <w:color w:val="000000"/>
              </w:rPr>
              <w:t>192</w:t>
            </w:r>
          </w:p>
        </w:tc>
        <w:tc>
          <w:tcPr>
            <w:tcW w:w="469" w:type="pct"/>
            <w:vAlign w:val="center"/>
          </w:tcPr>
          <w:p w:rsidR="0098622B" w:rsidRPr="0098622B" w:rsidP="00563B45" w14:paraId="3A27825C" w14:textId="5E4CE29C">
            <w:pPr>
              <w:spacing w:before="60"/>
              <w:jc w:val="center"/>
              <w:rPr>
                <w:rFonts w:cstheme="minorHAnsi"/>
                <w:color w:val="000000"/>
              </w:rPr>
            </w:pPr>
            <w:r w:rsidRPr="0098622B">
              <w:rPr>
                <w:rFonts w:cstheme="minorHAnsi"/>
                <w:color w:val="000000"/>
              </w:rPr>
              <w:t>$11,477</w:t>
            </w:r>
          </w:p>
        </w:tc>
      </w:tr>
      <w:tr w14:paraId="0F3259E8" w14:textId="77777777" w:rsidTr="00563B45">
        <w:tblPrEx>
          <w:tblW w:w="5000" w:type="pct"/>
          <w:jc w:val="center"/>
          <w:tblLayout w:type="fixed"/>
          <w:tblCellMar>
            <w:left w:w="43" w:type="dxa"/>
            <w:right w:w="43" w:type="dxa"/>
          </w:tblCellMar>
          <w:tblLook w:val="04A0"/>
        </w:tblPrEx>
        <w:trPr>
          <w:trHeight w:val="343"/>
          <w:jc w:val="center"/>
        </w:trPr>
        <w:tc>
          <w:tcPr>
            <w:tcW w:w="1065" w:type="pct"/>
            <w:vAlign w:val="center"/>
            <w:hideMark/>
          </w:tcPr>
          <w:p w:rsidR="0098622B" w:rsidRPr="0098622B" w:rsidP="0098622B" w14:paraId="36BC2A21" w14:textId="77777777">
            <w:pPr>
              <w:spacing w:before="60"/>
              <w:rPr>
                <w:rFonts w:cstheme="minorHAnsi"/>
                <w:color w:val="000000"/>
              </w:rPr>
            </w:pPr>
            <w:r w:rsidRPr="0098622B">
              <w:rPr>
                <w:rFonts w:cstheme="minorHAnsi"/>
                <w:color w:val="000000"/>
              </w:rPr>
              <w:t>2) Work with primary data suppliers</w:t>
            </w:r>
          </w:p>
        </w:tc>
        <w:tc>
          <w:tcPr>
            <w:tcW w:w="390" w:type="pct"/>
            <w:vAlign w:val="center"/>
          </w:tcPr>
          <w:p w:rsidR="0098622B" w:rsidRPr="0098622B" w:rsidP="00563B45" w14:paraId="6BA906DB" w14:textId="77777777">
            <w:pPr>
              <w:spacing w:before="60"/>
              <w:jc w:val="center"/>
              <w:rPr>
                <w:rFonts w:cstheme="minorHAnsi"/>
                <w:color w:val="000000"/>
              </w:rPr>
            </w:pPr>
            <w:r w:rsidRPr="0098622B">
              <w:rPr>
                <w:rFonts w:cstheme="minorHAnsi"/>
                <w:color w:val="000000"/>
              </w:rPr>
              <w:t>59.9</w:t>
            </w:r>
          </w:p>
        </w:tc>
        <w:tc>
          <w:tcPr>
            <w:tcW w:w="458" w:type="pct"/>
            <w:noWrap/>
            <w:vAlign w:val="center"/>
            <w:hideMark/>
          </w:tcPr>
          <w:p w:rsidR="0098622B" w:rsidRPr="0098622B" w:rsidP="00563B45" w14:paraId="4E78FBB7" w14:textId="77777777">
            <w:pPr>
              <w:spacing w:before="60"/>
              <w:jc w:val="center"/>
              <w:rPr>
                <w:rFonts w:cstheme="minorHAnsi"/>
                <w:color w:val="000000"/>
              </w:rPr>
            </w:pPr>
            <w:r w:rsidRPr="0098622B">
              <w:rPr>
                <w:rFonts w:cstheme="minorHAnsi"/>
                <w:color w:val="000000"/>
              </w:rPr>
              <w:t>73.6</w:t>
            </w:r>
          </w:p>
        </w:tc>
        <w:tc>
          <w:tcPr>
            <w:tcW w:w="447" w:type="pct"/>
            <w:vAlign w:val="center"/>
          </w:tcPr>
          <w:p w:rsidR="0098622B" w:rsidRPr="0098622B" w:rsidP="00563B45" w14:paraId="125D7493" w14:textId="469E51BD">
            <w:pPr>
              <w:spacing w:before="60"/>
              <w:jc w:val="center"/>
              <w:rPr>
                <w:rFonts w:cstheme="minorHAnsi"/>
                <w:color w:val="000000"/>
              </w:rPr>
            </w:pPr>
            <w:r w:rsidRPr="0098622B">
              <w:rPr>
                <w:rFonts w:cstheme="minorHAnsi"/>
                <w:color w:val="000000"/>
              </w:rPr>
              <w:t>$246,752</w:t>
            </w:r>
          </w:p>
        </w:tc>
        <w:tc>
          <w:tcPr>
            <w:tcW w:w="348" w:type="pct"/>
            <w:vAlign w:val="center"/>
          </w:tcPr>
          <w:p w:rsidR="0098622B" w:rsidRPr="0098622B" w:rsidP="00563B45" w14:paraId="264DDDC2" w14:textId="77777777">
            <w:pPr>
              <w:spacing w:before="60"/>
              <w:jc w:val="center"/>
              <w:rPr>
                <w:rFonts w:cstheme="minorHAnsi"/>
                <w:color w:val="000000"/>
              </w:rPr>
            </w:pPr>
            <w:r w:rsidRPr="0098622B">
              <w:rPr>
                <w:rFonts w:cstheme="minorHAnsi"/>
                <w:color w:val="000000"/>
              </w:rPr>
              <w:t>59.9</w:t>
            </w:r>
          </w:p>
        </w:tc>
        <w:tc>
          <w:tcPr>
            <w:tcW w:w="481" w:type="pct"/>
            <w:noWrap/>
            <w:vAlign w:val="center"/>
          </w:tcPr>
          <w:p w:rsidR="0098622B" w:rsidRPr="0098622B" w:rsidP="00563B45" w14:paraId="1441115A" w14:textId="77777777">
            <w:pPr>
              <w:spacing w:before="60"/>
              <w:jc w:val="center"/>
              <w:rPr>
                <w:rFonts w:cstheme="minorHAnsi"/>
                <w:color w:val="000000"/>
              </w:rPr>
            </w:pPr>
            <w:r w:rsidRPr="0098622B">
              <w:rPr>
                <w:rFonts w:cstheme="minorHAnsi"/>
                <w:color w:val="000000"/>
              </w:rPr>
              <w:t>-</w:t>
            </w:r>
          </w:p>
        </w:tc>
        <w:tc>
          <w:tcPr>
            <w:tcW w:w="400" w:type="pct"/>
            <w:vAlign w:val="center"/>
          </w:tcPr>
          <w:p w:rsidR="0098622B" w:rsidRPr="0098622B" w:rsidP="00563B45" w14:paraId="1F43742D" w14:textId="77777777">
            <w:pPr>
              <w:spacing w:before="60"/>
              <w:jc w:val="center"/>
              <w:rPr>
                <w:rFonts w:cstheme="minorHAnsi"/>
                <w:color w:val="000000"/>
              </w:rPr>
            </w:pPr>
            <w:r w:rsidRPr="0098622B">
              <w:rPr>
                <w:rFonts w:cstheme="minorHAnsi"/>
                <w:color w:val="000000"/>
              </w:rPr>
              <w:t>-</w:t>
            </w:r>
          </w:p>
        </w:tc>
        <w:tc>
          <w:tcPr>
            <w:tcW w:w="510" w:type="pct"/>
            <w:vAlign w:val="center"/>
          </w:tcPr>
          <w:p w:rsidR="0098622B" w:rsidRPr="0098622B" w:rsidP="00563B45" w14:paraId="79CCAAF3" w14:textId="77777777">
            <w:pPr>
              <w:spacing w:before="60"/>
              <w:jc w:val="center"/>
              <w:rPr>
                <w:rFonts w:cstheme="minorHAnsi"/>
                <w:color w:val="000000"/>
              </w:rPr>
            </w:pPr>
            <w:r w:rsidRPr="0098622B">
              <w:rPr>
                <w:rFonts w:cstheme="minorHAnsi"/>
                <w:color w:val="000000"/>
              </w:rPr>
              <w:t>56</w:t>
            </w:r>
          </w:p>
        </w:tc>
        <w:tc>
          <w:tcPr>
            <w:tcW w:w="431" w:type="pct"/>
            <w:vAlign w:val="center"/>
          </w:tcPr>
          <w:p w:rsidR="0098622B" w:rsidRPr="0098622B" w:rsidP="00563B45" w14:paraId="3BC72CDB" w14:textId="77777777">
            <w:pPr>
              <w:spacing w:before="60"/>
              <w:jc w:val="center"/>
              <w:rPr>
                <w:rFonts w:cstheme="minorHAnsi"/>
                <w:color w:val="000000"/>
              </w:rPr>
            </w:pPr>
            <w:r w:rsidRPr="0098622B">
              <w:rPr>
                <w:rFonts w:cstheme="minorHAnsi"/>
                <w:color w:val="000000"/>
              </w:rPr>
              <w:t>4,119</w:t>
            </w:r>
          </w:p>
        </w:tc>
        <w:tc>
          <w:tcPr>
            <w:tcW w:w="469" w:type="pct"/>
            <w:vAlign w:val="center"/>
          </w:tcPr>
          <w:p w:rsidR="0098622B" w:rsidRPr="0098622B" w:rsidP="00563B45" w14:paraId="63109BB5" w14:textId="42B29C0C">
            <w:pPr>
              <w:spacing w:before="60"/>
              <w:jc w:val="center"/>
              <w:rPr>
                <w:rFonts w:cstheme="minorHAnsi"/>
                <w:color w:val="000000"/>
              </w:rPr>
            </w:pPr>
            <w:r w:rsidRPr="0098622B">
              <w:rPr>
                <w:rFonts w:cstheme="minorHAnsi"/>
                <w:color w:val="000000"/>
              </w:rPr>
              <w:t>$246,752</w:t>
            </w:r>
          </w:p>
        </w:tc>
      </w:tr>
      <w:tr w14:paraId="7AC40D63" w14:textId="77777777" w:rsidTr="00563B45">
        <w:tblPrEx>
          <w:tblW w:w="5000" w:type="pct"/>
          <w:jc w:val="center"/>
          <w:tblLayout w:type="fixed"/>
          <w:tblCellMar>
            <w:left w:w="43" w:type="dxa"/>
            <w:right w:w="43" w:type="dxa"/>
          </w:tblCellMar>
          <w:tblLook w:val="04A0"/>
        </w:tblPrEx>
        <w:trPr>
          <w:trHeight w:val="229"/>
          <w:jc w:val="center"/>
        </w:trPr>
        <w:tc>
          <w:tcPr>
            <w:tcW w:w="1065" w:type="pct"/>
            <w:vAlign w:val="center"/>
            <w:hideMark/>
          </w:tcPr>
          <w:p w:rsidR="0098622B" w:rsidRPr="0098622B" w:rsidP="0098622B" w14:paraId="19AFC305" w14:textId="77777777">
            <w:pPr>
              <w:spacing w:before="60"/>
              <w:rPr>
                <w:rFonts w:cstheme="minorHAnsi"/>
                <w:color w:val="000000"/>
              </w:rPr>
            </w:pPr>
            <w:r w:rsidRPr="0098622B">
              <w:rPr>
                <w:rFonts w:cstheme="minorHAnsi"/>
                <w:color w:val="000000"/>
              </w:rPr>
              <w:t>3) Compile data from data suppliers</w:t>
            </w:r>
          </w:p>
        </w:tc>
        <w:tc>
          <w:tcPr>
            <w:tcW w:w="390" w:type="pct"/>
            <w:vAlign w:val="center"/>
          </w:tcPr>
          <w:p w:rsidR="0098622B" w:rsidRPr="0098622B" w:rsidP="00563B45" w14:paraId="06D950F7" w14:textId="77777777">
            <w:pPr>
              <w:spacing w:before="60"/>
              <w:jc w:val="center"/>
              <w:rPr>
                <w:rFonts w:cstheme="minorHAnsi"/>
                <w:color w:val="000000"/>
              </w:rPr>
            </w:pPr>
            <w:r w:rsidRPr="0098622B">
              <w:rPr>
                <w:rFonts w:cstheme="minorHAnsi"/>
                <w:color w:val="000000"/>
              </w:rPr>
              <w:t>59.9</w:t>
            </w:r>
          </w:p>
        </w:tc>
        <w:tc>
          <w:tcPr>
            <w:tcW w:w="458" w:type="pct"/>
            <w:noWrap/>
            <w:vAlign w:val="center"/>
            <w:hideMark/>
          </w:tcPr>
          <w:p w:rsidR="0098622B" w:rsidRPr="0098622B" w:rsidP="00563B45" w14:paraId="5A03C568" w14:textId="77777777">
            <w:pPr>
              <w:spacing w:before="60"/>
              <w:jc w:val="center"/>
              <w:rPr>
                <w:rFonts w:cstheme="minorHAnsi"/>
                <w:color w:val="000000"/>
              </w:rPr>
            </w:pPr>
            <w:r w:rsidRPr="0098622B">
              <w:rPr>
                <w:rFonts w:cstheme="minorHAnsi"/>
                <w:color w:val="000000"/>
              </w:rPr>
              <w:t>35.9</w:t>
            </w:r>
          </w:p>
        </w:tc>
        <w:tc>
          <w:tcPr>
            <w:tcW w:w="447" w:type="pct"/>
            <w:vAlign w:val="center"/>
          </w:tcPr>
          <w:p w:rsidR="0098622B" w:rsidRPr="0098622B" w:rsidP="00563B45" w14:paraId="5DB91107" w14:textId="591950C6">
            <w:pPr>
              <w:spacing w:before="60"/>
              <w:jc w:val="center"/>
              <w:rPr>
                <w:rFonts w:cstheme="minorHAnsi"/>
                <w:color w:val="000000"/>
              </w:rPr>
            </w:pPr>
            <w:r w:rsidRPr="0098622B">
              <w:rPr>
                <w:rFonts w:cstheme="minorHAnsi"/>
                <w:color w:val="000000"/>
              </w:rPr>
              <w:t>$120,507</w:t>
            </w:r>
          </w:p>
        </w:tc>
        <w:tc>
          <w:tcPr>
            <w:tcW w:w="348" w:type="pct"/>
            <w:vAlign w:val="center"/>
          </w:tcPr>
          <w:p w:rsidR="0098622B" w:rsidRPr="0098622B" w:rsidP="00563B45" w14:paraId="1FCF291D" w14:textId="77777777">
            <w:pPr>
              <w:spacing w:before="60"/>
              <w:jc w:val="center"/>
              <w:rPr>
                <w:rFonts w:cstheme="minorHAnsi"/>
                <w:color w:val="000000"/>
              </w:rPr>
            </w:pPr>
            <w:r w:rsidRPr="0098622B">
              <w:rPr>
                <w:rFonts w:cstheme="minorHAnsi"/>
                <w:color w:val="000000"/>
              </w:rPr>
              <w:t>59.9</w:t>
            </w:r>
          </w:p>
        </w:tc>
        <w:tc>
          <w:tcPr>
            <w:tcW w:w="481" w:type="pct"/>
            <w:noWrap/>
            <w:vAlign w:val="center"/>
          </w:tcPr>
          <w:p w:rsidR="0098622B" w:rsidRPr="0098622B" w:rsidP="00563B45" w14:paraId="696902C4" w14:textId="77777777">
            <w:pPr>
              <w:spacing w:before="60"/>
              <w:jc w:val="center"/>
              <w:rPr>
                <w:rFonts w:cstheme="minorHAnsi"/>
                <w:color w:val="000000"/>
              </w:rPr>
            </w:pPr>
            <w:r w:rsidRPr="0098622B">
              <w:rPr>
                <w:rFonts w:cstheme="minorHAnsi"/>
                <w:color w:val="000000"/>
              </w:rPr>
              <w:t>-</w:t>
            </w:r>
          </w:p>
        </w:tc>
        <w:tc>
          <w:tcPr>
            <w:tcW w:w="400" w:type="pct"/>
            <w:vAlign w:val="center"/>
          </w:tcPr>
          <w:p w:rsidR="0098622B" w:rsidRPr="0098622B" w:rsidP="00563B45" w14:paraId="7C9C131C" w14:textId="77777777">
            <w:pPr>
              <w:spacing w:before="60"/>
              <w:jc w:val="center"/>
              <w:rPr>
                <w:rFonts w:cstheme="minorHAnsi"/>
                <w:color w:val="000000"/>
              </w:rPr>
            </w:pPr>
            <w:r w:rsidRPr="0098622B">
              <w:rPr>
                <w:rFonts w:cstheme="minorHAnsi"/>
                <w:color w:val="000000"/>
              </w:rPr>
              <w:t>-</w:t>
            </w:r>
          </w:p>
        </w:tc>
        <w:tc>
          <w:tcPr>
            <w:tcW w:w="510" w:type="pct"/>
            <w:vAlign w:val="center"/>
          </w:tcPr>
          <w:p w:rsidR="0098622B" w:rsidRPr="0098622B" w:rsidP="00563B45" w14:paraId="0A960752" w14:textId="77777777">
            <w:pPr>
              <w:spacing w:before="60"/>
              <w:jc w:val="center"/>
              <w:rPr>
                <w:rFonts w:cstheme="minorHAnsi"/>
                <w:color w:val="000000"/>
              </w:rPr>
            </w:pPr>
            <w:r w:rsidRPr="0098622B">
              <w:rPr>
                <w:rFonts w:cstheme="minorHAnsi"/>
                <w:color w:val="000000"/>
              </w:rPr>
              <w:t>56</w:t>
            </w:r>
          </w:p>
        </w:tc>
        <w:tc>
          <w:tcPr>
            <w:tcW w:w="431" w:type="pct"/>
            <w:vAlign w:val="center"/>
          </w:tcPr>
          <w:p w:rsidR="0098622B" w:rsidRPr="0098622B" w:rsidP="00563B45" w14:paraId="38A388DD" w14:textId="77777777">
            <w:pPr>
              <w:spacing w:before="60"/>
              <w:jc w:val="center"/>
              <w:rPr>
                <w:rFonts w:cstheme="minorHAnsi"/>
                <w:color w:val="000000"/>
              </w:rPr>
            </w:pPr>
            <w:r w:rsidRPr="0098622B">
              <w:rPr>
                <w:rFonts w:cstheme="minorHAnsi"/>
                <w:color w:val="000000"/>
              </w:rPr>
              <w:t>2,012</w:t>
            </w:r>
          </w:p>
        </w:tc>
        <w:tc>
          <w:tcPr>
            <w:tcW w:w="469" w:type="pct"/>
            <w:vAlign w:val="center"/>
          </w:tcPr>
          <w:p w:rsidR="0098622B" w:rsidRPr="0098622B" w:rsidP="00563B45" w14:paraId="74C66956" w14:textId="3B3CA2A8">
            <w:pPr>
              <w:spacing w:before="60"/>
              <w:jc w:val="center"/>
              <w:rPr>
                <w:rFonts w:cstheme="minorHAnsi"/>
                <w:color w:val="000000"/>
              </w:rPr>
            </w:pPr>
            <w:r w:rsidRPr="0098622B">
              <w:rPr>
                <w:rFonts w:cstheme="minorHAnsi"/>
                <w:color w:val="000000"/>
              </w:rPr>
              <w:t>$120,507</w:t>
            </w:r>
          </w:p>
        </w:tc>
      </w:tr>
      <w:tr w14:paraId="0C70BE68" w14:textId="77777777" w:rsidTr="00563B45">
        <w:tblPrEx>
          <w:tblW w:w="5000" w:type="pct"/>
          <w:jc w:val="center"/>
          <w:tblLayout w:type="fixed"/>
          <w:tblCellMar>
            <w:left w:w="43" w:type="dxa"/>
            <w:right w:w="43" w:type="dxa"/>
          </w:tblCellMar>
          <w:tblLook w:val="04A0"/>
        </w:tblPrEx>
        <w:trPr>
          <w:trHeight w:val="343"/>
          <w:jc w:val="center"/>
        </w:trPr>
        <w:tc>
          <w:tcPr>
            <w:tcW w:w="1065" w:type="pct"/>
            <w:vAlign w:val="center"/>
            <w:hideMark/>
          </w:tcPr>
          <w:p w:rsidR="0098622B" w:rsidRPr="0098622B" w:rsidP="0098622B" w14:paraId="4E4286A0" w14:textId="77777777">
            <w:pPr>
              <w:spacing w:before="60"/>
              <w:rPr>
                <w:rFonts w:cstheme="minorHAnsi"/>
                <w:color w:val="000000"/>
              </w:rPr>
            </w:pPr>
            <w:r w:rsidRPr="0098622B">
              <w:rPr>
                <w:rFonts w:cstheme="minorHAnsi"/>
                <w:color w:val="000000"/>
              </w:rPr>
              <w:t>4) Conduct Data Entry &amp; Document Submission</w:t>
            </w:r>
          </w:p>
        </w:tc>
        <w:tc>
          <w:tcPr>
            <w:tcW w:w="390" w:type="pct"/>
            <w:vAlign w:val="center"/>
          </w:tcPr>
          <w:p w:rsidR="0098622B" w:rsidRPr="0098622B" w:rsidP="00563B45" w14:paraId="6933851C" w14:textId="77777777">
            <w:pPr>
              <w:spacing w:before="60"/>
              <w:jc w:val="center"/>
              <w:rPr>
                <w:rFonts w:cstheme="minorHAnsi"/>
                <w:color w:val="000000"/>
              </w:rPr>
            </w:pPr>
            <w:r w:rsidRPr="0098622B">
              <w:rPr>
                <w:rFonts w:cstheme="minorHAnsi"/>
                <w:color w:val="000000"/>
              </w:rPr>
              <w:t>59.9</w:t>
            </w:r>
          </w:p>
        </w:tc>
        <w:tc>
          <w:tcPr>
            <w:tcW w:w="458" w:type="pct"/>
            <w:noWrap/>
            <w:vAlign w:val="center"/>
            <w:hideMark/>
          </w:tcPr>
          <w:p w:rsidR="0098622B" w:rsidRPr="0098622B" w:rsidP="00563B45" w14:paraId="78866CF8" w14:textId="77777777">
            <w:pPr>
              <w:spacing w:before="60"/>
              <w:jc w:val="center"/>
              <w:rPr>
                <w:rFonts w:cstheme="minorHAnsi"/>
                <w:color w:val="000000"/>
              </w:rPr>
            </w:pPr>
            <w:r w:rsidRPr="0098622B">
              <w:rPr>
                <w:rFonts w:cstheme="minorHAnsi"/>
                <w:color w:val="000000"/>
              </w:rPr>
              <w:t>35.9</w:t>
            </w:r>
          </w:p>
        </w:tc>
        <w:tc>
          <w:tcPr>
            <w:tcW w:w="447" w:type="pct"/>
            <w:vAlign w:val="center"/>
          </w:tcPr>
          <w:p w:rsidR="0098622B" w:rsidRPr="0098622B" w:rsidP="00563B45" w14:paraId="580F5237" w14:textId="2038E1FF">
            <w:pPr>
              <w:spacing w:before="60"/>
              <w:jc w:val="center"/>
              <w:rPr>
                <w:rFonts w:cstheme="minorHAnsi"/>
                <w:color w:val="000000"/>
              </w:rPr>
            </w:pPr>
            <w:r w:rsidRPr="0098622B">
              <w:rPr>
                <w:rFonts w:cstheme="minorHAnsi"/>
                <w:color w:val="000000"/>
              </w:rPr>
              <w:t>$120,507</w:t>
            </w:r>
          </w:p>
        </w:tc>
        <w:tc>
          <w:tcPr>
            <w:tcW w:w="348" w:type="pct"/>
            <w:vAlign w:val="center"/>
          </w:tcPr>
          <w:p w:rsidR="0098622B" w:rsidRPr="0098622B" w:rsidP="00563B45" w14:paraId="5ED1E604" w14:textId="77777777">
            <w:pPr>
              <w:spacing w:before="60"/>
              <w:jc w:val="center"/>
              <w:rPr>
                <w:rFonts w:cstheme="minorHAnsi"/>
                <w:color w:val="000000"/>
              </w:rPr>
            </w:pPr>
            <w:r w:rsidRPr="0098622B">
              <w:rPr>
                <w:rFonts w:cstheme="minorHAnsi"/>
                <w:color w:val="000000"/>
              </w:rPr>
              <w:t>59.9</w:t>
            </w:r>
          </w:p>
        </w:tc>
        <w:tc>
          <w:tcPr>
            <w:tcW w:w="481" w:type="pct"/>
            <w:noWrap/>
            <w:vAlign w:val="center"/>
            <w:hideMark/>
          </w:tcPr>
          <w:p w:rsidR="0098622B" w:rsidRPr="0098622B" w:rsidP="00563B45" w14:paraId="3571FFB8" w14:textId="77777777">
            <w:pPr>
              <w:spacing w:before="60"/>
              <w:jc w:val="center"/>
              <w:rPr>
                <w:rFonts w:cstheme="minorHAnsi"/>
                <w:color w:val="000000"/>
              </w:rPr>
            </w:pPr>
            <w:r w:rsidRPr="0098622B">
              <w:rPr>
                <w:rFonts w:cstheme="minorHAnsi"/>
                <w:color w:val="000000"/>
              </w:rPr>
              <w:t>0.33</w:t>
            </w:r>
          </w:p>
        </w:tc>
        <w:tc>
          <w:tcPr>
            <w:tcW w:w="400" w:type="pct"/>
            <w:vAlign w:val="center"/>
          </w:tcPr>
          <w:p w:rsidR="0098622B" w:rsidRPr="0098622B" w:rsidP="00563B45" w14:paraId="716C0EA2" w14:textId="4142BABE">
            <w:pPr>
              <w:spacing w:before="60"/>
              <w:jc w:val="center"/>
              <w:rPr>
                <w:rFonts w:cstheme="minorHAnsi"/>
                <w:color w:val="000000"/>
              </w:rPr>
            </w:pPr>
            <w:r w:rsidRPr="0098622B">
              <w:rPr>
                <w:rFonts w:cstheme="minorHAnsi"/>
                <w:color w:val="000000"/>
              </w:rPr>
              <w:t>$129,993</w:t>
            </w:r>
          </w:p>
        </w:tc>
        <w:tc>
          <w:tcPr>
            <w:tcW w:w="510" w:type="pct"/>
            <w:vAlign w:val="center"/>
          </w:tcPr>
          <w:p w:rsidR="0098622B" w:rsidRPr="0098622B" w:rsidP="00563B45" w14:paraId="597A400E" w14:textId="77777777">
            <w:pPr>
              <w:spacing w:before="60"/>
              <w:jc w:val="center"/>
              <w:rPr>
                <w:rFonts w:cstheme="minorHAnsi"/>
                <w:color w:val="000000"/>
              </w:rPr>
            </w:pPr>
            <w:r w:rsidRPr="0098622B">
              <w:rPr>
                <w:rFonts w:cstheme="minorHAnsi"/>
                <w:color w:val="000000"/>
              </w:rPr>
              <w:t>6,573</w:t>
            </w:r>
          </w:p>
        </w:tc>
        <w:tc>
          <w:tcPr>
            <w:tcW w:w="431" w:type="pct"/>
            <w:vAlign w:val="center"/>
          </w:tcPr>
          <w:p w:rsidR="0098622B" w:rsidRPr="0098622B" w:rsidP="00563B45" w14:paraId="41F845CF" w14:textId="77777777">
            <w:pPr>
              <w:spacing w:before="60"/>
              <w:jc w:val="center"/>
              <w:rPr>
                <w:rFonts w:cstheme="minorHAnsi"/>
                <w:color w:val="000000"/>
              </w:rPr>
            </w:pPr>
            <w:r w:rsidRPr="0098622B">
              <w:rPr>
                <w:rFonts w:cstheme="minorHAnsi"/>
                <w:color w:val="000000"/>
              </w:rPr>
              <w:t>4,182</w:t>
            </w:r>
          </w:p>
        </w:tc>
        <w:tc>
          <w:tcPr>
            <w:tcW w:w="469" w:type="pct"/>
            <w:vAlign w:val="center"/>
          </w:tcPr>
          <w:p w:rsidR="0098622B" w:rsidRPr="0098622B" w:rsidP="00563B45" w14:paraId="6C9ADF2D" w14:textId="3802F353">
            <w:pPr>
              <w:spacing w:before="60"/>
              <w:jc w:val="center"/>
              <w:rPr>
                <w:rFonts w:cstheme="minorHAnsi"/>
                <w:color w:val="000000"/>
              </w:rPr>
            </w:pPr>
            <w:r w:rsidRPr="0098622B">
              <w:rPr>
                <w:rFonts w:cstheme="minorHAnsi"/>
                <w:color w:val="000000"/>
              </w:rPr>
              <w:t>$250,499</w:t>
            </w:r>
          </w:p>
        </w:tc>
      </w:tr>
      <w:tr w14:paraId="15FEA256" w14:textId="77777777" w:rsidTr="00563B45">
        <w:tblPrEx>
          <w:tblW w:w="5000" w:type="pct"/>
          <w:jc w:val="center"/>
          <w:tblLayout w:type="fixed"/>
          <w:tblCellMar>
            <w:left w:w="43" w:type="dxa"/>
            <w:right w:w="43" w:type="dxa"/>
          </w:tblCellMar>
          <w:tblLook w:val="04A0"/>
        </w:tblPrEx>
        <w:trPr>
          <w:trHeight w:val="373"/>
          <w:jc w:val="center"/>
        </w:trPr>
        <w:tc>
          <w:tcPr>
            <w:tcW w:w="1065" w:type="pct"/>
            <w:vAlign w:val="center"/>
            <w:hideMark/>
          </w:tcPr>
          <w:p w:rsidR="0098622B" w:rsidRPr="0098622B" w:rsidP="0098622B" w14:paraId="5C455566" w14:textId="77777777">
            <w:pPr>
              <w:spacing w:before="60"/>
              <w:rPr>
                <w:rFonts w:cstheme="minorHAnsi"/>
                <w:color w:val="000000"/>
              </w:rPr>
            </w:pPr>
            <w:r w:rsidRPr="0098622B">
              <w:rPr>
                <w:rFonts w:cstheme="minorHAnsi"/>
                <w:color w:val="000000"/>
              </w:rPr>
              <w:t>5) Conduct Data Quality Assurance Activities</w:t>
            </w:r>
          </w:p>
        </w:tc>
        <w:tc>
          <w:tcPr>
            <w:tcW w:w="390" w:type="pct"/>
            <w:vAlign w:val="center"/>
          </w:tcPr>
          <w:p w:rsidR="0098622B" w:rsidRPr="0098622B" w:rsidP="00563B45" w14:paraId="6AEA1E0B" w14:textId="77777777">
            <w:pPr>
              <w:spacing w:before="60"/>
              <w:jc w:val="center"/>
              <w:rPr>
                <w:rFonts w:cstheme="minorHAnsi"/>
                <w:color w:val="000000"/>
              </w:rPr>
            </w:pPr>
            <w:r w:rsidRPr="0098622B">
              <w:rPr>
                <w:rFonts w:cstheme="minorHAnsi"/>
                <w:color w:val="000000"/>
              </w:rPr>
              <w:t>59.9</w:t>
            </w:r>
          </w:p>
        </w:tc>
        <w:tc>
          <w:tcPr>
            <w:tcW w:w="458" w:type="pct"/>
            <w:noWrap/>
            <w:vAlign w:val="center"/>
            <w:hideMark/>
          </w:tcPr>
          <w:p w:rsidR="0098622B" w:rsidRPr="0098622B" w:rsidP="00563B45" w14:paraId="328F6CBB" w14:textId="77777777">
            <w:pPr>
              <w:spacing w:before="60"/>
              <w:jc w:val="center"/>
              <w:rPr>
                <w:rFonts w:cstheme="minorHAnsi"/>
                <w:color w:val="000000"/>
              </w:rPr>
            </w:pPr>
            <w:r w:rsidRPr="0098622B">
              <w:rPr>
                <w:rFonts w:cstheme="minorHAnsi"/>
                <w:color w:val="000000"/>
              </w:rPr>
              <w:t>22.2</w:t>
            </w:r>
          </w:p>
        </w:tc>
        <w:tc>
          <w:tcPr>
            <w:tcW w:w="447" w:type="pct"/>
            <w:vAlign w:val="center"/>
          </w:tcPr>
          <w:p w:rsidR="0098622B" w:rsidRPr="0098622B" w:rsidP="00563B45" w14:paraId="434B0897" w14:textId="643D8AFF">
            <w:pPr>
              <w:spacing w:before="60"/>
              <w:jc w:val="center"/>
              <w:rPr>
                <w:rFonts w:cstheme="minorHAnsi"/>
                <w:color w:val="000000"/>
              </w:rPr>
            </w:pPr>
            <w:r w:rsidRPr="0098622B">
              <w:rPr>
                <w:rFonts w:cstheme="minorHAnsi"/>
                <w:color w:val="000000"/>
              </w:rPr>
              <w:t>$74,599</w:t>
            </w:r>
          </w:p>
        </w:tc>
        <w:tc>
          <w:tcPr>
            <w:tcW w:w="348" w:type="pct"/>
            <w:vAlign w:val="center"/>
          </w:tcPr>
          <w:p w:rsidR="0098622B" w:rsidRPr="0098622B" w:rsidP="00563B45" w14:paraId="30956DB6" w14:textId="77777777">
            <w:pPr>
              <w:spacing w:before="60"/>
              <w:jc w:val="center"/>
              <w:rPr>
                <w:rFonts w:cstheme="minorHAnsi"/>
                <w:color w:val="000000"/>
              </w:rPr>
            </w:pPr>
            <w:r w:rsidRPr="0098622B">
              <w:rPr>
                <w:rFonts w:cstheme="minorHAnsi"/>
                <w:color w:val="000000"/>
              </w:rPr>
              <w:t>59.9</w:t>
            </w:r>
          </w:p>
        </w:tc>
        <w:tc>
          <w:tcPr>
            <w:tcW w:w="481" w:type="pct"/>
            <w:noWrap/>
            <w:vAlign w:val="center"/>
          </w:tcPr>
          <w:p w:rsidR="0098622B" w:rsidRPr="0098622B" w:rsidP="00563B45" w14:paraId="6F9EA553" w14:textId="77777777">
            <w:pPr>
              <w:spacing w:before="60"/>
              <w:jc w:val="center"/>
              <w:rPr>
                <w:rFonts w:cstheme="minorHAnsi"/>
                <w:color w:val="000000"/>
              </w:rPr>
            </w:pPr>
            <w:r w:rsidRPr="0098622B">
              <w:rPr>
                <w:rFonts w:cstheme="minorHAnsi"/>
                <w:color w:val="000000"/>
              </w:rPr>
              <w:t>-</w:t>
            </w:r>
          </w:p>
        </w:tc>
        <w:tc>
          <w:tcPr>
            <w:tcW w:w="400" w:type="pct"/>
            <w:vAlign w:val="center"/>
          </w:tcPr>
          <w:p w:rsidR="0098622B" w:rsidRPr="0098622B" w:rsidP="00563B45" w14:paraId="3439428F" w14:textId="77777777">
            <w:pPr>
              <w:spacing w:before="60"/>
              <w:jc w:val="center"/>
              <w:rPr>
                <w:rFonts w:cstheme="minorHAnsi"/>
                <w:color w:val="000000"/>
              </w:rPr>
            </w:pPr>
            <w:r w:rsidRPr="0098622B">
              <w:rPr>
                <w:rFonts w:cstheme="minorHAnsi"/>
                <w:color w:val="000000"/>
              </w:rPr>
              <w:t>-</w:t>
            </w:r>
          </w:p>
        </w:tc>
        <w:tc>
          <w:tcPr>
            <w:tcW w:w="510" w:type="pct"/>
            <w:vAlign w:val="center"/>
          </w:tcPr>
          <w:p w:rsidR="0098622B" w:rsidRPr="0098622B" w:rsidP="00563B45" w14:paraId="13BB46E3" w14:textId="77777777">
            <w:pPr>
              <w:spacing w:before="60"/>
              <w:jc w:val="center"/>
              <w:rPr>
                <w:rFonts w:cstheme="minorHAnsi"/>
                <w:color w:val="000000"/>
              </w:rPr>
            </w:pPr>
            <w:r w:rsidRPr="0098622B">
              <w:rPr>
                <w:rFonts w:cstheme="minorHAnsi"/>
                <w:color w:val="000000"/>
              </w:rPr>
              <w:t>56</w:t>
            </w:r>
          </w:p>
        </w:tc>
        <w:tc>
          <w:tcPr>
            <w:tcW w:w="431" w:type="pct"/>
            <w:vAlign w:val="center"/>
          </w:tcPr>
          <w:p w:rsidR="0098622B" w:rsidRPr="0098622B" w:rsidP="00563B45" w14:paraId="129B2B43" w14:textId="77777777">
            <w:pPr>
              <w:spacing w:before="60"/>
              <w:jc w:val="center"/>
              <w:rPr>
                <w:rFonts w:cstheme="minorHAnsi"/>
                <w:color w:val="000000"/>
              </w:rPr>
            </w:pPr>
            <w:r w:rsidRPr="0098622B">
              <w:rPr>
                <w:rFonts w:cstheme="minorHAnsi"/>
                <w:color w:val="000000"/>
              </w:rPr>
              <w:t>1,245</w:t>
            </w:r>
          </w:p>
        </w:tc>
        <w:tc>
          <w:tcPr>
            <w:tcW w:w="469" w:type="pct"/>
            <w:vAlign w:val="center"/>
          </w:tcPr>
          <w:p w:rsidR="0098622B" w:rsidRPr="0098622B" w:rsidP="00563B45" w14:paraId="65D7770A" w14:textId="280A3C4B">
            <w:pPr>
              <w:spacing w:before="60"/>
              <w:jc w:val="center"/>
              <w:rPr>
                <w:rFonts w:cstheme="minorHAnsi"/>
                <w:color w:val="000000"/>
              </w:rPr>
            </w:pPr>
            <w:r w:rsidRPr="0098622B">
              <w:rPr>
                <w:rFonts w:cstheme="minorHAnsi"/>
                <w:color w:val="000000"/>
              </w:rPr>
              <w:t>$74,599</w:t>
            </w:r>
          </w:p>
        </w:tc>
      </w:tr>
      <w:tr w14:paraId="7FA9FA70" w14:textId="77777777" w:rsidTr="00563B45">
        <w:tblPrEx>
          <w:tblW w:w="5000" w:type="pct"/>
          <w:jc w:val="center"/>
          <w:tblLayout w:type="fixed"/>
          <w:tblCellMar>
            <w:left w:w="43" w:type="dxa"/>
            <w:right w:w="43" w:type="dxa"/>
          </w:tblCellMar>
          <w:tblLook w:val="04A0"/>
        </w:tblPrEx>
        <w:trPr>
          <w:trHeight w:val="122"/>
          <w:jc w:val="center"/>
        </w:trPr>
        <w:tc>
          <w:tcPr>
            <w:tcW w:w="1065" w:type="pct"/>
            <w:shd w:val="clear" w:color="auto" w:fill="F2F2F2" w:themeFill="background1" w:themeFillShade="F2"/>
            <w:vAlign w:val="center"/>
            <w:hideMark/>
          </w:tcPr>
          <w:p w:rsidR="0098622B" w:rsidRPr="0098622B" w:rsidP="0098622B" w14:paraId="64A67FB4" w14:textId="77777777">
            <w:pPr>
              <w:spacing w:before="60"/>
              <w:rPr>
                <w:rFonts w:cstheme="minorHAnsi"/>
                <w:b/>
                <w:color w:val="000000"/>
              </w:rPr>
            </w:pPr>
            <w:r w:rsidRPr="0098622B">
              <w:rPr>
                <w:rFonts w:cstheme="minorHAnsi"/>
                <w:b/>
                <w:color w:val="000000"/>
              </w:rPr>
              <w:t>Annual Totals</w:t>
            </w:r>
          </w:p>
        </w:tc>
        <w:tc>
          <w:tcPr>
            <w:tcW w:w="390" w:type="pct"/>
            <w:shd w:val="clear" w:color="auto" w:fill="F2F2F2" w:themeFill="background1" w:themeFillShade="F2"/>
            <w:vAlign w:val="center"/>
          </w:tcPr>
          <w:p w:rsidR="0098622B" w:rsidRPr="0098622B" w:rsidP="00563B45" w14:paraId="627DFAA6" w14:textId="77777777">
            <w:pPr>
              <w:spacing w:before="60"/>
              <w:jc w:val="center"/>
              <w:rPr>
                <w:rFonts w:cstheme="minorHAnsi"/>
                <w:b/>
                <w:color w:val="000000"/>
              </w:rPr>
            </w:pPr>
          </w:p>
        </w:tc>
        <w:tc>
          <w:tcPr>
            <w:tcW w:w="458" w:type="pct"/>
            <w:shd w:val="clear" w:color="auto" w:fill="F2F2F2" w:themeFill="background1" w:themeFillShade="F2"/>
            <w:noWrap/>
            <w:vAlign w:val="center"/>
            <w:hideMark/>
          </w:tcPr>
          <w:p w:rsidR="0098622B" w:rsidRPr="0098622B" w:rsidP="00563B45" w14:paraId="16059F7A" w14:textId="77777777">
            <w:pPr>
              <w:spacing w:before="60"/>
              <w:jc w:val="center"/>
              <w:rPr>
                <w:rFonts w:cstheme="minorHAnsi"/>
                <w:b/>
                <w:color w:val="000000"/>
              </w:rPr>
            </w:pPr>
            <w:r w:rsidRPr="0098622B">
              <w:rPr>
                <w:rFonts w:cstheme="minorHAnsi"/>
                <w:color w:val="000000"/>
              </w:rPr>
              <w:t>171</w:t>
            </w:r>
          </w:p>
        </w:tc>
        <w:tc>
          <w:tcPr>
            <w:tcW w:w="447" w:type="pct"/>
            <w:shd w:val="clear" w:color="auto" w:fill="F2F2F2" w:themeFill="background1" w:themeFillShade="F2"/>
            <w:vAlign w:val="center"/>
          </w:tcPr>
          <w:p w:rsidR="0098622B" w:rsidRPr="0098622B" w:rsidP="00563B45" w14:paraId="70C3D7BF" w14:textId="2BB7D30D">
            <w:pPr>
              <w:spacing w:before="60"/>
              <w:jc w:val="center"/>
              <w:rPr>
                <w:rFonts w:cstheme="minorHAnsi"/>
                <w:b/>
                <w:color w:val="000000"/>
              </w:rPr>
            </w:pPr>
            <w:r w:rsidRPr="0098622B">
              <w:rPr>
                <w:rFonts w:cstheme="minorHAnsi"/>
                <w:color w:val="000000"/>
              </w:rPr>
              <w:t>$573,841</w:t>
            </w:r>
          </w:p>
        </w:tc>
        <w:tc>
          <w:tcPr>
            <w:tcW w:w="348" w:type="pct"/>
            <w:shd w:val="clear" w:color="auto" w:fill="F2F2F2" w:themeFill="background1" w:themeFillShade="F2"/>
            <w:vAlign w:val="center"/>
          </w:tcPr>
          <w:p w:rsidR="0098622B" w:rsidRPr="0098622B" w:rsidP="00563B45" w14:paraId="24389EB8" w14:textId="77777777">
            <w:pPr>
              <w:spacing w:before="60"/>
              <w:jc w:val="center"/>
              <w:rPr>
                <w:rFonts w:cstheme="minorHAnsi"/>
                <w:b/>
                <w:color w:val="000000"/>
              </w:rPr>
            </w:pPr>
          </w:p>
        </w:tc>
        <w:tc>
          <w:tcPr>
            <w:tcW w:w="481" w:type="pct"/>
            <w:shd w:val="clear" w:color="auto" w:fill="F2F2F2" w:themeFill="background1" w:themeFillShade="F2"/>
            <w:noWrap/>
            <w:vAlign w:val="center"/>
            <w:hideMark/>
          </w:tcPr>
          <w:p w:rsidR="0098622B" w:rsidRPr="0098622B" w:rsidP="00563B45" w14:paraId="2B2DB4B7" w14:textId="77777777">
            <w:pPr>
              <w:spacing w:before="60"/>
              <w:jc w:val="center"/>
              <w:rPr>
                <w:rFonts w:cstheme="minorHAnsi"/>
                <w:b/>
                <w:color w:val="000000"/>
              </w:rPr>
            </w:pPr>
            <w:r w:rsidRPr="0098622B">
              <w:rPr>
                <w:rFonts w:cstheme="minorHAnsi"/>
                <w:color w:val="000000"/>
              </w:rPr>
              <w:t>0.33</w:t>
            </w:r>
          </w:p>
        </w:tc>
        <w:tc>
          <w:tcPr>
            <w:tcW w:w="400" w:type="pct"/>
            <w:shd w:val="clear" w:color="auto" w:fill="F2F2F2" w:themeFill="background1" w:themeFillShade="F2"/>
            <w:vAlign w:val="center"/>
          </w:tcPr>
          <w:p w:rsidR="0098622B" w:rsidRPr="0098622B" w:rsidP="00563B45" w14:paraId="137A88FB" w14:textId="46287057">
            <w:pPr>
              <w:spacing w:before="60"/>
              <w:jc w:val="center"/>
              <w:rPr>
                <w:rFonts w:cstheme="minorHAnsi"/>
                <w:b/>
                <w:color w:val="000000"/>
              </w:rPr>
            </w:pPr>
            <w:r w:rsidRPr="0098622B">
              <w:rPr>
                <w:rFonts w:cstheme="minorHAnsi"/>
                <w:color w:val="000000"/>
              </w:rPr>
              <w:t>$129,993</w:t>
            </w:r>
          </w:p>
        </w:tc>
        <w:tc>
          <w:tcPr>
            <w:tcW w:w="510" w:type="pct"/>
            <w:shd w:val="clear" w:color="auto" w:fill="F2F2F2" w:themeFill="background1" w:themeFillShade="F2"/>
            <w:vAlign w:val="center"/>
          </w:tcPr>
          <w:p w:rsidR="0098622B" w:rsidRPr="0098622B" w:rsidP="00563B45" w14:paraId="5EE5B702" w14:textId="186A928C">
            <w:pPr>
              <w:spacing w:before="60"/>
              <w:jc w:val="center"/>
              <w:rPr>
                <w:rFonts w:cstheme="minorHAnsi"/>
                <w:b/>
                <w:color w:val="000000"/>
              </w:rPr>
            </w:pPr>
            <w:r w:rsidRPr="0098622B">
              <w:rPr>
                <w:rFonts w:cstheme="minorHAnsi"/>
                <w:color w:val="000000"/>
              </w:rPr>
              <w:t>6,853</w:t>
            </w:r>
          </w:p>
        </w:tc>
        <w:tc>
          <w:tcPr>
            <w:tcW w:w="431" w:type="pct"/>
            <w:shd w:val="clear" w:color="auto" w:fill="F2F2F2" w:themeFill="background1" w:themeFillShade="F2"/>
            <w:vAlign w:val="center"/>
          </w:tcPr>
          <w:p w:rsidR="0098622B" w:rsidRPr="0098622B" w:rsidP="00563B45" w14:paraId="2DAABFEA" w14:textId="4B84CFA3">
            <w:pPr>
              <w:spacing w:before="60"/>
              <w:jc w:val="center"/>
              <w:rPr>
                <w:rFonts w:cstheme="minorHAnsi"/>
                <w:b/>
                <w:color w:val="000000"/>
              </w:rPr>
            </w:pPr>
            <w:r w:rsidRPr="0098622B">
              <w:rPr>
                <w:rFonts w:cstheme="minorHAnsi"/>
                <w:color w:val="000000"/>
              </w:rPr>
              <w:t>11,750</w:t>
            </w:r>
          </w:p>
        </w:tc>
        <w:tc>
          <w:tcPr>
            <w:tcW w:w="469" w:type="pct"/>
            <w:shd w:val="clear" w:color="auto" w:fill="F2F2F2" w:themeFill="background1" w:themeFillShade="F2"/>
            <w:vAlign w:val="center"/>
          </w:tcPr>
          <w:p w:rsidR="0098622B" w:rsidRPr="0098622B" w:rsidP="00563B45" w14:paraId="0A9134F9" w14:textId="411E84B2">
            <w:pPr>
              <w:spacing w:before="60"/>
              <w:jc w:val="center"/>
              <w:rPr>
                <w:rFonts w:cstheme="minorHAnsi"/>
                <w:b/>
                <w:color w:val="000000"/>
              </w:rPr>
            </w:pPr>
            <w:r w:rsidRPr="0098622B">
              <w:rPr>
                <w:rFonts w:cstheme="minorHAnsi"/>
                <w:color w:val="000000"/>
              </w:rPr>
              <w:t>$703,834</w:t>
            </w:r>
          </w:p>
        </w:tc>
      </w:tr>
      <w:tr w14:paraId="2C9227D0" w14:textId="77777777" w:rsidTr="00563B45">
        <w:tblPrEx>
          <w:tblW w:w="5000" w:type="pct"/>
          <w:jc w:val="center"/>
          <w:tblLayout w:type="fixed"/>
          <w:tblCellMar>
            <w:left w:w="43" w:type="dxa"/>
            <w:right w:w="43" w:type="dxa"/>
          </w:tblCellMar>
          <w:tblLook w:val="04A0"/>
        </w:tblPrEx>
        <w:trPr>
          <w:trHeight w:val="122"/>
          <w:jc w:val="center"/>
        </w:trPr>
        <w:tc>
          <w:tcPr>
            <w:tcW w:w="1065" w:type="pct"/>
            <w:shd w:val="clear" w:color="auto" w:fill="D9D9D9" w:themeFill="background1" w:themeFillShade="D9"/>
            <w:vAlign w:val="center"/>
            <w:hideMark/>
          </w:tcPr>
          <w:p w:rsidR="0098622B" w:rsidRPr="0098622B" w:rsidP="0098622B" w14:paraId="36F98D8E" w14:textId="77777777">
            <w:pPr>
              <w:spacing w:before="60"/>
              <w:rPr>
                <w:rFonts w:cstheme="minorHAnsi"/>
                <w:b/>
                <w:color w:val="000000"/>
              </w:rPr>
            </w:pPr>
            <w:r w:rsidRPr="0098622B">
              <w:rPr>
                <w:rFonts w:cstheme="minorHAnsi"/>
                <w:b/>
                <w:color w:val="000000"/>
              </w:rPr>
              <w:t>3-Year Totals</w:t>
            </w:r>
          </w:p>
        </w:tc>
        <w:tc>
          <w:tcPr>
            <w:tcW w:w="390" w:type="pct"/>
            <w:shd w:val="clear" w:color="auto" w:fill="D9D9D9" w:themeFill="background1" w:themeFillShade="D9"/>
            <w:vAlign w:val="center"/>
          </w:tcPr>
          <w:p w:rsidR="0098622B" w:rsidRPr="0098622B" w:rsidP="00563B45" w14:paraId="1EB84599" w14:textId="77777777">
            <w:pPr>
              <w:spacing w:before="60"/>
              <w:jc w:val="center"/>
              <w:rPr>
                <w:rFonts w:cstheme="minorHAnsi"/>
                <w:b/>
                <w:color w:val="000000"/>
              </w:rPr>
            </w:pPr>
          </w:p>
        </w:tc>
        <w:tc>
          <w:tcPr>
            <w:tcW w:w="458" w:type="pct"/>
            <w:shd w:val="clear" w:color="auto" w:fill="D9D9D9" w:themeFill="background1" w:themeFillShade="D9"/>
            <w:noWrap/>
            <w:vAlign w:val="center"/>
            <w:hideMark/>
          </w:tcPr>
          <w:p w:rsidR="0098622B" w:rsidRPr="0098622B" w:rsidP="00563B45" w14:paraId="1E52BD39" w14:textId="77777777">
            <w:pPr>
              <w:spacing w:before="60"/>
              <w:jc w:val="center"/>
              <w:rPr>
                <w:rFonts w:cstheme="minorHAnsi"/>
                <w:b/>
                <w:color w:val="000000"/>
              </w:rPr>
            </w:pPr>
            <w:r w:rsidRPr="0098622B">
              <w:rPr>
                <w:rFonts w:cstheme="minorHAnsi"/>
                <w:color w:val="000000"/>
              </w:rPr>
              <w:t>513</w:t>
            </w:r>
          </w:p>
        </w:tc>
        <w:tc>
          <w:tcPr>
            <w:tcW w:w="447" w:type="pct"/>
            <w:shd w:val="clear" w:color="auto" w:fill="D9D9D9" w:themeFill="background1" w:themeFillShade="D9"/>
            <w:vAlign w:val="center"/>
          </w:tcPr>
          <w:p w:rsidR="0098622B" w:rsidRPr="0098622B" w:rsidP="00563B45" w14:paraId="673207D9" w14:textId="4AD56A65">
            <w:pPr>
              <w:spacing w:before="60"/>
              <w:jc w:val="center"/>
              <w:rPr>
                <w:rFonts w:cstheme="minorHAnsi"/>
                <w:b/>
                <w:color w:val="000000"/>
              </w:rPr>
            </w:pPr>
            <w:r w:rsidRPr="0098622B">
              <w:rPr>
                <w:rFonts w:cstheme="minorHAnsi"/>
                <w:color w:val="000000"/>
              </w:rPr>
              <w:t>$1,721,524</w:t>
            </w:r>
          </w:p>
        </w:tc>
        <w:tc>
          <w:tcPr>
            <w:tcW w:w="348" w:type="pct"/>
            <w:shd w:val="clear" w:color="auto" w:fill="D9D9D9" w:themeFill="background1" w:themeFillShade="D9"/>
            <w:vAlign w:val="center"/>
          </w:tcPr>
          <w:p w:rsidR="0098622B" w:rsidRPr="0098622B" w:rsidP="00563B45" w14:paraId="05640F5D" w14:textId="77777777">
            <w:pPr>
              <w:spacing w:before="60"/>
              <w:jc w:val="center"/>
              <w:rPr>
                <w:rFonts w:cstheme="minorHAnsi"/>
                <w:b/>
                <w:color w:val="000000"/>
              </w:rPr>
            </w:pPr>
          </w:p>
        </w:tc>
        <w:tc>
          <w:tcPr>
            <w:tcW w:w="481" w:type="pct"/>
            <w:shd w:val="clear" w:color="auto" w:fill="D9D9D9" w:themeFill="background1" w:themeFillShade="D9"/>
            <w:noWrap/>
            <w:vAlign w:val="center"/>
            <w:hideMark/>
          </w:tcPr>
          <w:p w:rsidR="0098622B" w:rsidRPr="0098622B" w:rsidP="00563B45" w14:paraId="6AAE1C1A" w14:textId="77777777">
            <w:pPr>
              <w:spacing w:before="60"/>
              <w:jc w:val="center"/>
              <w:rPr>
                <w:rFonts w:cstheme="minorHAnsi"/>
                <w:b/>
                <w:color w:val="000000"/>
              </w:rPr>
            </w:pPr>
            <w:r w:rsidRPr="0098622B">
              <w:rPr>
                <w:rFonts w:cstheme="minorHAnsi"/>
                <w:color w:val="000000"/>
              </w:rPr>
              <w:t>1</w:t>
            </w:r>
          </w:p>
        </w:tc>
        <w:tc>
          <w:tcPr>
            <w:tcW w:w="400" w:type="pct"/>
            <w:shd w:val="clear" w:color="auto" w:fill="D9D9D9" w:themeFill="background1" w:themeFillShade="D9"/>
            <w:vAlign w:val="center"/>
          </w:tcPr>
          <w:p w:rsidR="0098622B" w:rsidRPr="0098622B" w:rsidP="00563B45" w14:paraId="34790FED" w14:textId="785F7456">
            <w:pPr>
              <w:spacing w:before="60"/>
              <w:jc w:val="center"/>
              <w:rPr>
                <w:rFonts w:cstheme="minorHAnsi"/>
                <w:b/>
                <w:color w:val="000000"/>
              </w:rPr>
            </w:pPr>
            <w:r w:rsidRPr="0098622B">
              <w:rPr>
                <w:rFonts w:cstheme="minorHAnsi"/>
                <w:color w:val="000000"/>
              </w:rPr>
              <w:t>$389,978</w:t>
            </w:r>
          </w:p>
        </w:tc>
        <w:tc>
          <w:tcPr>
            <w:tcW w:w="510" w:type="pct"/>
            <w:shd w:val="clear" w:color="auto" w:fill="D9D9D9" w:themeFill="background1" w:themeFillShade="D9"/>
            <w:vAlign w:val="center"/>
          </w:tcPr>
          <w:p w:rsidR="0098622B" w:rsidRPr="0098622B" w:rsidP="00563B45" w14:paraId="2364C1F4" w14:textId="00FF0AAC">
            <w:pPr>
              <w:spacing w:before="60"/>
              <w:jc w:val="center"/>
              <w:rPr>
                <w:rFonts w:cstheme="minorHAnsi"/>
                <w:b/>
                <w:color w:val="000000"/>
              </w:rPr>
            </w:pPr>
            <w:r w:rsidRPr="0098622B">
              <w:rPr>
                <w:rFonts w:cstheme="minorHAnsi"/>
                <w:color w:val="000000"/>
              </w:rPr>
              <w:t>20,559</w:t>
            </w:r>
          </w:p>
        </w:tc>
        <w:tc>
          <w:tcPr>
            <w:tcW w:w="431" w:type="pct"/>
            <w:shd w:val="clear" w:color="auto" w:fill="D9D9D9" w:themeFill="background1" w:themeFillShade="D9"/>
            <w:vAlign w:val="center"/>
          </w:tcPr>
          <w:p w:rsidR="0098622B" w:rsidRPr="0098622B" w:rsidP="00563B45" w14:paraId="6B7172B9" w14:textId="53490CAD">
            <w:pPr>
              <w:spacing w:before="60"/>
              <w:jc w:val="center"/>
              <w:rPr>
                <w:rFonts w:cstheme="minorHAnsi"/>
                <w:b/>
                <w:color w:val="000000"/>
              </w:rPr>
            </w:pPr>
            <w:r w:rsidRPr="0098622B">
              <w:rPr>
                <w:rFonts w:cstheme="minorHAnsi"/>
                <w:color w:val="000000"/>
              </w:rPr>
              <w:t>35,250</w:t>
            </w:r>
          </w:p>
        </w:tc>
        <w:tc>
          <w:tcPr>
            <w:tcW w:w="469" w:type="pct"/>
            <w:shd w:val="clear" w:color="auto" w:fill="D9D9D9" w:themeFill="background1" w:themeFillShade="D9"/>
            <w:vAlign w:val="center"/>
          </w:tcPr>
          <w:p w:rsidR="0098622B" w:rsidRPr="0098622B" w:rsidP="00563B45" w14:paraId="7A4B0F2D" w14:textId="3478186C">
            <w:pPr>
              <w:spacing w:before="60"/>
              <w:jc w:val="center"/>
              <w:rPr>
                <w:rFonts w:cstheme="minorHAnsi"/>
                <w:b/>
                <w:color w:val="000000"/>
              </w:rPr>
            </w:pPr>
            <w:r w:rsidRPr="0098622B">
              <w:rPr>
                <w:rFonts w:cstheme="minorHAnsi"/>
                <w:color w:val="000000"/>
              </w:rPr>
              <w:t>$2,111,502</w:t>
            </w:r>
          </w:p>
        </w:tc>
      </w:tr>
    </w:tbl>
    <w:p w:rsidR="0098622B" w:rsidRPr="0098622B" w:rsidP="0098622B" w14:paraId="7E0E10C7" w14:textId="77777777">
      <w:pPr>
        <w:spacing w:before="60"/>
        <w:rPr>
          <w:rFonts w:cstheme="minorHAnsi"/>
          <w:color w:val="000000"/>
        </w:rPr>
      </w:pPr>
    </w:p>
    <w:p w:rsidR="0098622B" w:rsidRPr="0098622B" w:rsidP="0098622B" w14:paraId="7CA6A7A9" w14:textId="77777777">
      <w:pPr>
        <w:spacing w:before="60"/>
        <w:rPr>
          <w:rFonts w:cstheme="minorHAnsi"/>
          <w:b/>
          <w:bCs/>
          <w:color w:val="000000"/>
        </w:rPr>
      </w:pPr>
      <w:r w:rsidRPr="0098622B">
        <w:rPr>
          <w:rFonts w:cstheme="minorHAnsi"/>
          <w:b/>
          <w:bCs/>
          <w:i/>
          <w:iCs/>
          <w:color w:val="000000"/>
        </w:rPr>
        <w:br w:type="page"/>
      </w:r>
    </w:p>
    <w:p w:rsidR="0098622B" w:rsidRPr="0098622B" w:rsidP="006659BE" w14:paraId="207B0AE3" w14:textId="77777777">
      <w:pPr>
        <w:spacing w:before="60"/>
        <w:jc w:val="center"/>
        <w:rPr>
          <w:rFonts w:cstheme="minorHAnsi"/>
          <w:b/>
          <w:bCs/>
          <w:color w:val="000000"/>
        </w:rPr>
      </w:pPr>
      <w:bookmarkStart w:id="30" w:name="_Ref158632578"/>
      <w:bookmarkStart w:id="31" w:name="_Toc168484473"/>
      <w:r w:rsidRPr="0098622B">
        <w:rPr>
          <w:rFonts w:cstheme="minorHAnsi"/>
          <w:b/>
          <w:bCs/>
          <w:color w:val="000000"/>
        </w:rPr>
        <w:t xml:space="preserve">Table </w:t>
      </w:r>
      <w:r w:rsidRPr="0098622B">
        <w:rPr>
          <w:rFonts w:cstheme="minorHAnsi"/>
          <w:b/>
          <w:bCs/>
          <w:color w:val="000000"/>
        </w:rPr>
        <w:fldChar w:fldCharType="begin"/>
      </w:r>
      <w:r w:rsidRPr="0098622B">
        <w:rPr>
          <w:rFonts w:cstheme="minorHAnsi"/>
          <w:b/>
          <w:bCs/>
          <w:color w:val="000000"/>
        </w:rPr>
        <w:instrText xml:space="preserve"> STYLEREF 2 \s </w:instrText>
      </w:r>
      <w:r w:rsidRPr="0098622B">
        <w:rPr>
          <w:rFonts w:cstheme="minorHAnsi"/>
          <w:b/>
          <w:bCs/>
          <w:color w:val="000000"/>
        </w:rPr>
        <w:fldChar w:fldCharType="separate"/>
      </w:r>
      <w:r w:rsidRPr="0098622B">
        <w:rPr>
          <w:rFonts w:cstheme="minorHAnsi"/>
          <w:b/>
          <w:bCs/>
          <w:color w:val="000000"/>
        </w:rPr>
        <w:t>12</w:t>
      </w:r>
      <w:r w:rsidRPr="0098622B">
        <w:rPr>
          <w:rFonts w:cstheme="minorHAnsi"/>
          <w:color w:val="000000"/>
        </w:rPr>
        <w:fldChar w:fldCharType="end"/>
      </w:r>
      <w:r w:rsidRPr="0098622B">
        <w:rPr>
          <w:rFonts w:cstheme="minorHAnsi"/>
          <w:b/>
          <w:bCs/>
          <w:color w:val="000000"/>
        </w:rPr>
        <w:noBreakHyphen/>
      </w:r>
      <w:r w:rsidRPr="0098622B">
        <w:rPr>
          <w:rFonts w:cstheme="minorHAnsi"/>
          <w:b/>
          <w:bCs/>
          <w:color w:val="000000"/>
        </w:rPr>
        <w:fldChar w:fldCharType="begin"/>
      </w:r>
      <w:r w:rsidRPr="0098622B">
        <w:rPr>
          <w:rFonts w:cstheme="minorHAnsi"/>
          <w:b/>
          <w:bCs/>
          <w:color w:val="000000"/>
        </w:rPr>
        <w:instrText xml:space="preserve"> SEQ Table \* ARABIC \s 2 </w:instrText>
      </w:r>
      <w:r w:rsidRPr="0098622B">
        <w:rPr>
          <w:rFonts w:cstheme="minorHAnsi"/>
          <w:b/>
          <w:bCs/>
          <w:color w:val="000000"/>
        </w:rPr>
        <w:fldChar w:fldCharType="separate"/>
      </w:r>
      <w:r w:rsidRPr="0098622B">
        <w:rPr>
          <w:rFonts w:cstheme="minorHAnsi"/>
          <w:b/>
          <w:bCs/>
          <w:color w:val="000000"/>
        </w:rPr>
        <w:t>3</w:t>
      </w:r>
      <w:r w:rsidRPr="0098622B">
        <w:rPr>
          <w:rFonts w:cstheme="minorHAnsi"/>
          <w:color w:val="000000"/>
        </w:rPr>
        <w:fldChar w:fldCharType="end"/>
      </w:r>
      <w:bookmarkEnd w:id="30"/>
      <w:r w:rsidRPr="0098622B">
        <w:rPr>
          <w:rFonts w:cstheme="minorHAnsi"/>
          <w:b/>
          <w:bCs/>
          <w:color w:val="000000"/>
        </w:rPr>
        <w:t>. Annual Respondent Burden and Cost for Technical Data only Entries and Statistical Sample</w:t>
      </w:r>
      <w:bookmarkEnd w:id="3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tblPr>
      <w:tblGrid>
        <w:gridCol w:w="2780"/>
        <w:gridCol w:w="1018"/>
        <w:gridCol w:w="1195"/>
        <w:gridCol w:w="1166"/>
        <w:gridCol w:w="908"/>
        <w:gridCol w:w="1255"/>
        <w:gridCol w:w="1044"/>
        <w:gridCol w:w="1331"/>
        <w:gridCol w:w="1125"/>
        <w:gridCol w:w="1224"/>
      </w:tblGrid>
      <w:tr w14:paraId="0F53B8AE" w14:textId="77777777" w:rsidTr="00563B4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tblPrEx>
        <w:trPr>
          <w:trHeight w:val="756"/>
          <w:tblHeader/>
          <w:jc w:val="center"/>
        </w:trPr>
        <w:tc>
          <w:tcPr>
            <w:tcW w:w="1065" w:type="pct"/>
            <w:vMerge w:val="restart"/>
            <w:shd w:val="clear" w:color="auto" w:fill="E7E6E6" w:themeFill="background2"/>
            <w:vAlign w:val="center"/>
          </w:tcPr>
          <w:p w:rsidR="0098622B" w:rsidRPr="0098622B" w:rsidP="00563B45" w14:paraId="2B5D701F" w14:textId="77777777">
            <w:pPr>
              <w:spacing w:before="60"/>
              <w:jc w:val="center"/>
              <w:rPr>
                <w:rFonts w:cstheme="minorHAnsi"/>
                <w:b/>
                <w:color w:val="000000"/>
              </w:rPr>
            </w:pPr>
            <w:r w:rsidRPr="0098622B">
              <w:rPr>
                <w:rFonts w:cstheme="minorHAnsi"/>
                <w:b/>
                <w:color w:val="000000"/>
              </w:rPr>
              <w:t>Activity</w:t>
            </w:r>
          </w:p>
        </w:tc>
        <w:tc>
          <w:tcPr>
            <w:tcW w:w="1295" w:type="pct"/>
            <w:gridSpan w:val="3"/>
            <w:shd w:val="clear" w:color="auto" w:fill="E7E6E6" w:themeFill="background2"/>
            <w:vAlign w:val="center"/>
          </w:tcPr>
          <w:p w:rsidR="0098622B" w:rsidRPr="0098622B" w:rsidP="00563B45" w14:paraId="3AA31DF1" w14:textId="77777777">
            <w:pPr>
              <w:spacing w:before="60"/>
              <w:jc w:val="center"/>
              <w:rPr>
                <w:rFonts w:cstheme="minorHAnsi"/>
                <w:b/>
                <w:color w:val="000000"/>
              </w:rPr>
            </w:pPr>
            <w:r w:rsidRPr="0098622B">
              <w:rPr>
                <w:rFonts w:cstheme="minorHAnsi"/>
                <w:b/>
                <w:color w:val="000000"/>
              </w:rPr>
              <w:t>Hours and Costs Per State Respondent</w:t>
            </w:r>
          </w:p>
        </w:tc>
        <w:tc>
          <w:tcPr>
            <w:tcW w:w="1229" w:type="pct"/>
            <w:gridSpan w:val="3"/>
            <w:shd w:val="clear" w:color="auto" w:fill="E7E6E6" w:themeFill="background2"/>
            <w:vAlign w:val="center"/>
          </w:tcPr>
          <w:p w:rsidR="0098622B" w:rsidRPr="0098622B" w:rsidP="00563B45" w14:paraId="1EC087BC" w14:textId="77777777">
            <w:pPr>
              <w:spacing w:before="60"/>
              <w:jc w:val="center"/>
              <w:rPr>
                <w:rFonts w:cstheme="minorHAnsi"/>
                <w:b/>
                <w:color w:val="000000"/>
              </w:rPr>
            </w:pPr>
            <w:r w:rsidRPr="0098622B">
              <w:rPr>
                <w:rFonts w:cstheme="minorHAnsi"/>
                <w:b/>
                <w:color w:val="000000"/>
              </w:rPr>
              <w:t>Hours and Costs Per Facility Respondent for Statistical Sample</w:t>
            </w:r>
          </w:p>
        </w:tc>
        <w:tc>
          <w:tcPr>
            <w:tcW w:w="1410" w:type="pct"/>
            <w:gridSpan w:val="3"/>
            <w:shd w:val="clear" w:color="auto" w:fill="E7E6E6" w:themeFill="background2"/>
            <w:vAlign w:val="center"/>
          </w:tcPr>
          <w:p w:rsidR="0098622B" w:rsidRPr="0098622B" w:rsidP="00563B45" w14:paraId="5B240153" w14:textId="77777777">
            <w:pPr>
              <w:spacing w:before="60"/>
              <w:jc w:val="center"/>
              <w:rPr>
                <w:rFonts w:cstheme="minorHAnsi"/>
                <w:b/>
                <w:color w:val="000000"/>
              </w:rPr>
            </w:pPr>
            <w:r w:rsidRPr="0098622B">
              <w:rPr>
                <w:rFonts w:cstheme="minorHAnsi"/>
                <w:b/>
                <w:color w:val="000000"/>
              </w:rPr>
              <w:t>Total Annual</w:t>
            </w:r>
          </w:p>
        </w:tc>
      </w:tr>
      <w:tr w14:paraId="1E6AA6AE" w14:textId="77777777" w:rsidTr="00563B45">
        <w:tblPrEx>
          <w:tblW w:w="5000" w:type="pct"/>
          <w:jc w:val="center"/>
          <w:tblLayout w:type="fixed"/>
          <w:tblCellMar>
            <w:left w:w="43" w:type="dxa"/>
            <w:right w:w="43" w:type="dxa"/>
          </w:tblCellMar>
          <w:tblLook w:val="04A0"/>
        </w:tblPrEx>
        <w:trPr>
          <w:trHeight w:val="756"/>
          <w:tblHeader/>
          <w:jc w:val="center"/>
        </w:trPr>
        <w:tc>
          <w:tcPr>
            <w:tcW w:w="1065" w:type="pct"/>
            <w:vMerge/>
            <w:shd w:val="clear" w:color="auto" w:fill="E7E6E6" w:themeFill="background2"/>
            <w:vAlign w:val="bottom"/>
            <w:hideMark/>
          </w:tcPr>
          <w:p w:rsidR="0098622B" w:rsidRPr="0098622B" w:rsidP="00563B45" w14:paraId="19E0916D" w14:textId="77777777">
            <w:pPr>
              <w:spacing w:before="60"/>
              <w:jc w:val="center"/>
              <w:rPr>
                <w:rFonts w:cstheme="minorHAnsi"/>
                <w:b/>
                <w:color w:val="000000"/>
              </w:rPr>
            </w:pPr>
          </w:p>
        </w:tc>
        <w:tc>
          <w:tcPr>
            <w:tcW w:w="390" w:type="pct"/>
            <w:shd w:val="clear" w:color="auto" w:fill="E7E6E6" w:themeFill="background2"/>
            <w:vAlign w:val="center"/>
          </w:tcPr>
          <w:p w:rsidR="0098622B" w:rsidRPr="0098622B" w:rsidP="00563B45" w14:paraId="5737CE80" w14:textId="77777777">
            <w:pPr>
              <w:spacing w:before="60"/>
              <w:jc w:val="center"/>
              <w:rPr>
                <w:rFonts w:cstheme="minorHAnsi"/>
                <w:b/>
                <w:color w:val="000000"/>
              </w:rPr>
            </w:pPr>
            <w:r w:rsidRPr="0098622B">
              <w:rPr>
                <w:rFonts w:cstheme="minorHAnsi"/>
                <w:b/>
                <w:color w:val="000000"/>
              </w:rPr>
              <w:t>Labor Rate/Hr</w:t>
            </w:r>
          </w:p>
        </w:tc>
        <w:tc>
          <w:tcPr>
            <w:tcW w:w="458" w:type="pct"/>
            <w:shd w:val="clear" w:color="auto" w:fill="E7E6E6" w:themeFill="background2"/>
            <w:vAlign w:val="center"/>
            <w:hideMark/>
          </w:tcPr>
          <w:p w:rsidR="0098622B" w:rsidRPr="0098622B" w:rsidP="00563B45" w14:paraId="12F9DE6B" w14:textId="77777777">
            <w:pPr>
              <w:spacing w:before="60"/>
              <w:jc w:val="center"/>
              <w:rPr>
                <w:rFonts w:cstheme="minorHAnsi"/>
                <w:b/>
                <w:color w:val="000000"/>
              </w:rPr>
            </w:pPr>
            <w:r w:rsidRPr="0098622B">
              <w:rPr>
                <w:rFonts w:cstheme="minorHAnsi"/>
                <w:b/>
                <w:color w:val="000000"/>
              </w:rPr>
              <w:t>Respondent Hrs/Year</w:t>
            </w:r>
          </w:p>
        </w:tc>
        <w:tc>
          <w:tcPr>
            <w:tcW w:w="447" w:type="pct"/>
            <w:shd w:val="clear" w:color="auto" w:fill="E7E6E6" w:themeFill="background2"/>
          </w:tcPr>
          <w:p w:rsidR="0098622B" w:rsidRPr="0098622B" w:rsidP="00563B45" w14:paraId="16D66127" w14:textId="77777777">
            <w:pPr>
              <w:spacing w:before="60"/>
              <w:jc w:val="center"/>
              <w:rPr>
                <w:rFonts w:cstheme="minorHAnsi"/>
                <w:b/>
                <w:color w:val="000000"/>
              </w:rPr>
            </w:pPr>
            <w:r w:rsidRPr="0098622B">
              <w:rPr>
                <w:rFonts w:cstheme="minorHAnsi"/>
                <w:b/>
                <w:color w:val="000000"/>
              </w:rPr>
              <w:t>Labor Cost/Year</w:t>
            </w:r>
          </w:p>
        </w:tc>
        <w:tc>
          <w:tcPr>
            <w:tcW w:w="348" w:type="pct"/>
            <w:shd w:val="clear" w:color="auto" w:fill="E7E6E6" w:themeFill="background2"/>
            <w:vAlign w:val="center"/>
          </w:tcPr>
          <w:p w:rsidR="0098622B" w:rsidRPr="0098622B" w:rsidP="00563B45" w14:paraId="3959C413" w14:textId="77777777">
            <w:pPr>
              <w:spacing w:before="60"/>
              <w:jc w:val="center"/>
              <w:rPr>
                <w:rFonts w:cstheme="minorHAnsi"/>
                <w:b/>
                <w:color w:val="000000"/>
              </w:rPr>
            </w:pPr>
            <w:r w:rsidRPr="0098622B">
              <w:rPr>
                <w:rFonts w:cstheme="minorHAnsi"/>
                <w:b/>
                <w:color w:val="000000"/>
              </w:rPr>
              <w:t>Labor Rate/Hr</w:t>
            </w:r>
          </w:p>
        </w:tc>
        <w:tc>
          <w:tcPr>
            <w:tcW w:w="481" w:type="pct"/>
            <w:shd w:val="clear" w:color="auto" w:fill="E7E6E6" w:themeFill="background2"/>
            <w:vAlign w:val="center"/>
            <w:hideMark/>
          </w:tcPr>
          <w:p w:rsidR="0098622B" w:rsidRPr="0098622B" w:rsidP="00563B45" w14:paraId="43C3DB81" w14:textId="77777777">
            <w:pPr>
              <w:spacing w:before="60"/>
              <w:jc w:val="center"/>
              <w:rPr>
                <w:rFonts w:cstheme="minorHAnsi"/>
                <w:b/>
                <w:color w:val="000000"/>
              </w:rPr>
            </w:pPr>
            <w:r w:rsidRPr="0098622B">
              <w:rPr>
                <w:rFonts w:cstheme="minorHAnsi"/>
                <w:b/>
                <w:color w:val="000000"/>
              </w:rPr>
              <w:t>Respondent Hrs/Year</w:t>
            </w:r>
          </w:p>
        </w:tc>
        <w:tc>
          <w:tcPr>
            <w:tcW w:w="400" w:type="pct"/>
            <w:shd w:val="clear" w:color="auto" w:fill="E7E6E6" w:themeFill="background2"/>
          </w:tcPr>
          <w:p w:rsidR="0098622B" w:rsidRPr="0098622B" w:rsidP="00563B45" w14:paraId="4BC8AC18" w14:textId="77777777">
            <w:pPr>
              <w:spacing w:before="60"/>
              <w:jc w:val="center"/>
              <w:rPr>
                <w:rFonts w:cstheme="minorHAnsi"/>
                <w:b/>
                <w:color w:val="000000"/>
              </w:rPr>
            </w:pPr>
            <w:r w:rsidRPr="0098622B">
              <w:rPr>
                <w:rFonts w:cstheme="minorHAnsi"/>
                <w:b/>
                <w:color w:val="000000"/>
              </w:rPr>
              <w:t>Labor Cost/Year</w:t>
            </w:r>
          </w:p>
        </w:tc>
        <w:tc>
          <w:tcPr>
            <w:tcW w:w="510" w:type="pct"/>
            <w:shd w:val="clear" w:color="auto" w:fill="E7E6E6" w:themeFill="background2"/>
          </w:tcPr>
          <w:p w:rsidR="0098622B" w:rsidRPr="0098622B" w:rsidP="00563B45" w14:paraId="6C7EF274" w14:textId="77777777">
            <w:pPr>
              <w:spacing w:before="60"/>
              <w:jc w:val="center"/>
              <w:rPr>
                <w:rFonts w:cstheme="minorHAnsi"/>
                <w:b/>
                <w:color w:val="000000"/>
              </w:rPr>
            </w:pPr>
            <w:r w:rsidRPr="0098622B">
              <w:rPr>
                <w:rFonts w:cstheme="minorHAnsi"/>
                <w:b/>
                <w:color w:val="000000"/>
              </w:rPr>
              <w:t>Respondents</w:t>
            </w:r>
          </w:p>
        </w:tc>
        <w:tc>
          <w:tcPr>
            <w:tcW w:w="431" w:type="pct"/>
            <w:shd w:val="clear" w:color="auto" w:fill="E7E6E6" w:themeFill="background2"/>
          </w:tcPr>
          <w:p w:rsidR="0098622B" w:rsidRPr="0098622B" w:rsidP="00563B45" w14:paraId="5D282EE5" w14:textId="77777777">
            <w:pPr>
              <w:spacing w:before="60"/>
              <w:jc w:val="center"/>
              <w:rPr>
                <w:rFonts w:cstheme="minorHAnsi"/>
                <w:b/>
                <w:color w:val="000000"/>
              </w:rPr>
            </w:pPr>
            <w:r w:rsidRPr="0098622B">
              <w:rPr>
                <w:rFonts w:cstheme="minorHAnsi"/>
                <w:b/>
                <w:color w:val="000000"/>
              </w:rPr>
              <w:t>Hours</w:t>
            </w:r>
          </w:p>
        </w:tc>
        <w:tc>
          <w:tcPr>
            <w:tcW w:w="469" w:type="pct"/>
            <w:shd w:val="clear" w:color="auto" w:fill="E7E6E6" w:themeFill="background2"/>
          </w:tcPr>
          <w:p w:rsidR="0098622B" w:rsidRPr="0098622B" w:rsidP="00563B45" w14:paraId="699BF09D" w14:textId="77777777">
            <w:pPr>
              <w:spacing w:before="60"/>
              <w:jc w:val="center"/>
              <w:rPr>
                <w:rFonts w:cstheme="minorHAnsi"/>
                <w:b/>
                <w:color w:val="000000"/>
              </w:rPr>
            </w:pPr>
            <w:r w:rsidRPr="0098622B">
              <w:rPr>
                <w:rFonts w:cstheme="minorHAnsi"/>
                <w:b/>
                <w:color w:val="000000"/>
              </w:rPr>
              <w:t>Costs</w:t>
            </w:r>
          </w:p>
        </w:tc>
      </w:tr>
      <w:tr w14:paraId="3030930D" w14:textId="77777777" w:rsidTr="00563B45">
        <w:tblPrEx>
          <w:tblW w:w="5000" w:type="pct"/>
          <w:jc w:val="center"/>
          <w:tblLayout w:type="fixed"/>
          <w:tblCellMar>
            <w:left w:w="43" w:type="dxa"/>
            <w:right w:w="43" w:type="dxa"/>
          </w:tblCellMar>
          <w:tblLook w:val="04A0"/>
        </w:tblPrEx>
        <w:trPr>
          <w:trHeight w:val="343"/>
          <w:jc w:val="center"/>
        </w:trPr>
        <w:tc>
          <w:tcPr>
            <w:tcW w:w="1065" w:type="pct"/>
            <w:vAlign w:val="center"/>
            <w:hideMark/>
          </w:tcPr>
          <w:p w:rsidR="0098622B" w:rsidRPr="0098622B" w:rsidP="00ED35A4" w14:paraId="7C892D69" w14:textId="77777777">
            <w:pPr>
              <w:spacing w:before="60" w:after="0"/>
              <w:rPr>
                <w:rFonts w:cstheme="minorHAnsi"/>
                <w:color w:val="000000"/>
              </w:rPr>
            </w:pPr>
            <w:r w:rsidRPr="0098622B">
              <w:rPr>
                <w:rFonts w:cstheme="minorHAnsi"/>
                <w:color w:val="000000"/>
              </w:rPr>
              <w:t>1) Obtain access &amp; training for the Data Entry Portal (DEP)</w:t>
            </w:r>
          </w:p>
        </w:tc>
        <w:tc>
          <w:tcPr>
            <w:tcW w:w="390" w:type="pct"/>
            <w:vAlign w:val="center"/>
          </w:tcPr>
          <w:p w:rsidR="0098622B" w:rsidRPr="0098622B" w:rsidP="00ED35A4" w14:paraId="35A00AEF" w14:textId="77777777">
            <w:pPr>
              <w:spacing w:before="60" w:after="0"/>
              <w:jc w:val="center"/>
              <w:rPr>
                <w:rFonts w:cstheme="minorHAnsi"/>
                <w:color w:val="000000"/>
              </w:rPr>
            </w:pPr>
            <w:r w:rsidRPr="0098622B">
              <w:rPr>
                <w:rFonts w:cstheme="minorHAnsi"/>
                <w:color w:val="000000"/>
              </w:rPr>
              <w:t>59.9</w:t>
            </w:r>
          </w:p>
        </w:tc>
        <w:tc>
          <w:tcPr>
            <w:tcW w:w="458" w:type="pct"/>
            <w:noWrap/>
            <w:vAlign w:val="center"/>
            <w:hideMark/>
          </w:tcPr>
          <w:p w:rsidR="0098622B" w:rsidRPr="0098622B" w:rsidP="00ED35A4" w14:paraId="57D03AFB" w14:textId="77777777">
            <w:pPr>
              <w:spacing w:before="60" w:after="0"/>
              <w:jc w:val="center"/>
              <w:rPr>
                <w:rFonts w:cstheme="minorHAnsi"/>
                <w:color w:val="000000"/>
              </w:rPr>
            </w:pPr>
            <w:r w:rsidRPr="0098622B">
              <w:rPr>
                <w:rFonts w:cstheme="minorHAnsi"/>
                <w:color w:val="000000"/>
              </w:rPr>
              <w:t>0.4</w:t>
            </w:r>
          </w:p>
        </w:tc>
        <w:tc>
          <w:tcPr>
            <w:tcW w:w="447" w:type="pct"/>
            <w:vAlign w:val="center"/>
          </w:tcPr>
          <w:p w:rsidR="0098622B" w:rsidRPr="0098622B" w:rsidP="00ED35A4" w14:paraId="6A7385F3" w14:textId="68FD8D02">
            <w:pPr>
              <w:spacing w:before="60" w:after="0"/>
              <w:jc w:val="center"/>
              <w:rPr>
                <w:rFonts w:cstheme="minorHAnsi"/>
                <w:color w:val="000000"/>
              </w:rPr>
            </w:pPr>
            <w:r w:rsidRPr="0098622B">
              <w:rPr>
                <w:rFonts w:cstheme="minorHAnsi"/>
                <w:color w:val="000000"/>
              </w:rPr>
              <w:t>$1,508</w:t>
            </w:r>
          </w:p>
        </w:tc>
        <w:tc>
          <w:tcPr>
            <w:tcW w:w="348" w:type="pct"/>
            <w:vAlign w:val="center"/>
          </w:tcPr>
          <w:p w:rsidR="0098622B" w:rsidRPr="0098622B" w:rsidP="00ED35A4" w14:paraId="6CE6A227" w14:textId="77777777">
            <w:pPr>
              <w:spacing w:before="60" w:after="0"/>
              <w:jc w:val="center"/>
              <w:rPr>
                <w:rFonts w:cstheme="minorHAnsi"/>
                <w:color w:val="000000"/>
              </w:rPr>
            </w:pPr>
            <w:r w:rsidRPr="0098622B">
              <w:rPr>
                <w:rFonts w:cstheme="minorHAnsi"/>
                <w:color w:val="000000"/>
              </w:rPr>
              <w:t>59.9</w:t>
            </w:r>
          </w:p>
        </w:tc>
        <w:tc>
          <w:tcPr>
            <w:tcW w:w="481" w:type="pct"/>
            <w:noWrap/>
            <w:vAlign w:val="center"/>
          </w:tcPr>
          <w:p w:rsidR="0098622B" w:rsidRPr="0098622B" w:rsidP="00ED35A4" w14:paraId="66E79B11" w14:textId="77777777">
            <w:pPr>
              <w:spacing w:before="60" w:after="0"/>
              <w:jc w:val="center"/>
              <w:rPr>
                <w:rFonts w:cstheme="minorHAnsi"/>
                <w:color w:val="000000"/>
              </w:rPr>
            </w:pPr>
            <w:r w:rsidRPr="0098622B">
              <w:rPr>
                <w:rFonts w:cstheme="minorHAnsi"/>
                <w:color w:val="000000"/>
              </w:rPr>
              <w:t>-</w:t>
            </w:r>
          </w:p>
        </w:tc>
        <w:tc>
          <w:tcPr>
            <w:tcW w:w="400" w:type="pct"/>
            <w:vAlign w:val="center"/>
          </w:tcPr>
          <w:p w:rsidR="0098622B" w:rsidRPr="0098622B" w:rsidP="00ED35A4" w14:paraId="5E34C067" w14:textId="77777777">
            <w:pPr>
              <w:spacing w:before="60" w:after="0"/>
              <w:jc w:val="center"/>
              <w:rPr>
                <w:rFonts w:cstheme="minorHAnsi"/>
                <w:color w:val="000000"/>
              </w:rPr>
            </w:pPr>
            <w:r w:rsidRPr="0098622B">
              <w:rPr>
                <w:rFonts w:cstheme="minorHAnsi"/>
                <w:color w:val="000000"/>
              </w:rPr>
              <w:t>-</w:t>
            </w:r>
          </w:p>
        </w:tc>
        <w:tc>
          <w:tcPr>
            <w:tcW w:w="510" w:type="pct"/>
            <w:vAlign w:val="center"/>
          </w:tcPr>
          <w:p w:rsidR="0098622B" w:rsidRPr="0098622B" w:rsidP="00ED35A4" w14:paraId="28C61878" w14:textId="77777777">
            <w:pPr>
              <w:spacing w:before="60" w:after="0"/>
              <w:jc w:val="center"/>
              <w:rPr>
                <w:rFonts w:cstheme="minorHAnsi"/>
                <w:color w:val="000000"/>
              </w:rPr>
            </w:pPr>
            <w:r w:rsidRPr="0098622B">
              <w:rPr>
                <w:rFonts w:cstheme="minorHAnsi"/>
                <w:color w:val="000000"/>
              </w:rPr>
              <w:t>56</w:t>
            </w:r>
          </w:p>
        </w:tc>
        <w:tc>
          <w:tcPr>
            <w:tcW w:w="431" w:type="pct"/>
            <w:vAlign w:val="center"/>
          </w:tcPr>
          <w:p w:rsidR="0098622B" w:rsidRPr="0098622B" w:rsidP="00ED35A4" w14:paraId="52A58065" w14:textId="77777777">
            <w:pPr>
              <w:spacing w:before="60" w:after="0"/>
              <w:jc w:val="center"/>
              <w:rPr>
                <w:rFonts w:cstheme="minorHAnsi"/>
                <w:color w:val="000000"/>
              </w:rPr>
            </w:pPr>
            <w:r w:rsidRPr="0098622B">
              <w:rPr>
                <w:rFonts w:cstheme="minorHAnsi"/>
                <w:color w:val="000000"/>
              </w:rPr>
              <w:t>25</w:t>
            </w:r>
          </w:p>
        </w:tc>
        <w:tc>
          <w:tcPr>
            <w:tcW w:w="469" w:type="pct"/>
            <w:vAlign w:val="center"/>
          </w:tcPr>
          <w:p w:rsidR="0098622B" w:rsidRPr="0098622B" w:rsidP="00ED35A4" w14:paraId="323B8380" w14:textId="621771C5">
            <w:pPr>
              <w:spacing w:before="60" w:after="0"/>
              <w:jc w:val="center"/>
              <w:rPr>
                <w:rFonts w:cstheme="minorHAnsi"/>
                <w:color w:val="000000"/>
              </w:rPr>
            </w:pPr>
            <w:r w:rsidRPr="0098622B">
              <w:rPr>
                <w:rFonts w:cstheme="minorHAnsi"/>
                <w:color w:val="000000"/>
              </w:rPr>
              <w:t>$1,508</w:t>
            </w:r>
          </w:p>
        </w:tc>
      </w:tr>
      <w:tr w14:paraId="71479E6F" w14:textId="77777777" w:rsidTr="00563B45">
        <w:tblPrEx>
          <w:tblW w:w="5000" w:type="pct"/>
          <w:jc w:val="center"/>
          <w:tblLayout w:type="fixed"/>
          <w:tblCellMar>
            <w:left w:w="43" w:type="dxa"/>
            <w:right w:w="43" w:type="dxa"/>
          </w:tblCellMar>
          <w:tblLook w:val="04A0"/>
        </w:tblPrEx>
        <w:trPr>
          <w:trHeight w:val="343"/>
          <w:jc w:val="center"/>
        </w:trPr>
        <w:tc>
          <w:tcPr>
            <w:tcW w:w="1065" w:type="pct"/>
            <w:vAlign w:val="center"/>
            <w:hideMark/>
          </w:tcPr>
          <w:p w:rsidR="0098622B" w:rsidRPr="0098622B" w:rsidP="00ED35A4" w14:paraId="5286337C" w14:textId="77777777">
            <w:pPr>
              <w:spacing w:before="60" w:after="0"/>
              <w:rPr>
                <w:rFonts w:cstheme="minorHAnsi"/>
                <w:color w:val="000000"/>
              </w:rPr>
            </w:pPr>
            <w:r w:rsidRPr="0098622B">
              <w:rPr>
                <w:rFonts w:cstheme="minorHAnsi"/>
                <w:color w:val="000000"/>
              </w:rPr>
              <w:t>2) Work with primary data suppliers</w:t>
            </w:r>
          </w:p>
        </w:tc>
        <w:tc>
          <w:tcPr>
            <w:tcW w:w="390" w:type="pct"/>
            <w:vAlign w:val="center"/>
          </w:tcPr>
          <w:p w:rsidR="0098622B" w:rsidRPr="0098622B" w:rsidP="00ED35A4" w14:paraId="01720D1E" w14:textId="77777777">
            <w:pPr>
              <w:spacing w:before="60" w:after="0"/>
              <w:jc w:val="center"/>
              <w:rPr>
                <w:rFonts w:cstheme="minorHAnsi"/>
                <w:color w:val="000000"/>
              </w:rPr>
            </w:pPr>
            <w:r w:rsidRPr="0098622B">
              <w:rPr>
                <w:rFonts w:cstheme="minorHAnsi"/>
                <w:color w:val="000000"/>
              </w:rPr>
              <w:t>59.9</w:t>
            </w:r>
          </w:p>
        </w:tc>
        <w:tc>
          <w:tcPr>
            <w:tcW w:w="458" w:type="pct"/>
            <w:noWrap/>
            <w:vAlign w:val="center"/>
            <w:hideMark/>
          </w:tcPr>
          <w:p w:rsidR="0098622B" w:rsidRPr="0098622B" w:rsidP="00ED35A4" w14:paraId="0F6DEF0D" w14:textId="77777777">
            <w:pPr>
              <w:spacing w:before="60" w:after="0"/>
              <w:jc w:val="center"/>
              <w:rPr>
                <w:rFonts w:cstheme="minorHAnsi"/>
                <w:color w:val="000000"/>
              </w:rPr>
            </w:pPr>
            <w:r w:rsidRPr="0098622B">
              <w:rPr>
                <w:rFonts w:cstheme="minorHAnsi"/>
                <w:color w:val="000000"/>
              </w:rPr>
              <w:t>0.0</w:t>
            </w:r>
          </w:p>
        </w:tc>
        <w:tc>
          <w:tcPr>
            <w:tcW w:w="447" w:type="pct"/>
            <w:vAlign w:val="center"/>
          </w:tcPr>
          <w:p w:rsidR="0098622B" w:rsidRPr="0098622B" w:rsidP="00ED35A4" w14:paraId="07786D37" w14:textId="38748FEC">
            <w:pPr>
              <w:spacing w:before="60" w:after="0"/>
              <w:jc w:val="center"/>
              <w:rPr>
                <w:rFonts w:cstheme="minorHAnsi"/>
                <w:color w:val="000000"/>
              </w:rPr>
            </w:pPr>
            <w:r w:rsidRPr="0098622B">
              <w:rPr>
                <w:rFonts w:cstheme="minorHAnsi"/>
                <w:color w:val="000000"/>
              </w:rPr>
              <w:t>$0</w:t>
            </w:r>
          </w:p>
        </w:tc>
        <w:tc>
          <w:tcPr>
            <w:tcW w:w="348" w:type="pct"/>
            <w:vAlign w:val="center"/>
          </w:tcPr>
          <w:p w:rsidR="0098622B" w:rsidRPr="0098622B" w:rsidP="00ED35A4" w14:paraId="32028B65" w14:textId="77777777">
            <w:pPr>
              <w:spacing w:before="60" w:after="0"/>
              <w:jc w:val="center"/>
              <w:rPr>
                <w:rFonts w:cstheme="minorHAnsi"/>
                <w:color w:val="000000"/>
              </w:rPr>
            </w:pPr>
            <w:r w:rsidRPr="0098622B">
              <w:rPr>
                <w:rFonts w:cstheme="minorHAnsi"/>
                <w:color w:val="000000"/>
              </w:rPr>
              <w:t>59.9</w:t>
            </w:r>
          </w:p>
        </w:tc>
        <w:tc>
          <w:tcPr>
            <w:tcW w:w="481" w:type="pct"/>
            <w:noWrap/>
            <w:vAlign w:val="center"/>
          </w:tcPr>
          <w:p w:rsidR="0098622B" w:rsidRPr="0098622B" w:rsidP="00ED35A4" w14:paraId="26AA6A90" w14:textId="77777777">
            <w:pPr>
              <w:spacing w:before="60" w:after="0"/>
              <w:jc w:val="center"/>
              <w:rPr>
                <w:rFonts w:cstheme="minorHAnsi"/>
                <w:color w:val="000000"/>
              </w:rPr>
            </w:pPr>
            <w:r w:rsidRPr="0098622B">
              <w:rPr>
                <w:rFonts w:cstheme="minorHAnsi"/>
                <w:color w:val="000000"/>
              </w:rPr>
              <w:t>-</w:t>
            </w:r>
          </w:p>
        </w:tc>
        <w:tc>
          <w:tcPr>
            <w:tcW w:w="400" w:type="pct"/>
            <w:vAlign w:val="center"/>
          </w:tcPr>
          <w:p w:rsidR="0098622B" w:rsidRPr="0098622B" w:rsidP="00ED35A4" w14:paraId="72C6CF5E" w14:textId="77777777">
            <w:pPr>
              <w:spacing w:before="60" w:after="0"/>
              <w:jc w:val="center"/>
              <w:rPr>
                <w:rFonts w:cstheme="minorHAnsi"/>
                <w:color w:val="000000"/>
              </w:rPr>
            </w:pPr>
            <w:r w:rsidRPr="0098622B">
              <w:rPr>
                <w:rFonts w:cstheme="minorHAnsi"/>
                <w:color w:val="000000"/>
              </w:rPr>
              <w:t>-</w:t>
            </w:r>
          </w:p>
        </w:tc>
        <w:tc>
          <w:tcPr>
            <w:tcW w:w="510" w:type="pct"/>
            <w:vAlign w:val="center"/>
          </w:tcPr>
          <w:p w:rsidR="0098622B" w:rsidRPr="0098622B" w:rsidP="00ED35A4" w14:paraId="500E426B" w14:textId="77777777">
            <w:pPr>
              <w:spacing w:before="60" w:after="0"/>
              <w:jc w:val="center"/>
              <w:rPr>
                <w:rFonts w:cstheme="minorHAnsi"/>
                <w:color w:val="000000"/>
              </w:rPr>
            </w:pPr>
            <w:r w:rsidRPr="0098622B">
              <w:rPr>
                <w:rFonts w:cstheme="minorHAnsi"/>
                <w:color w:val="000000"/>
              </w:rPr>
              <w:t>56</w:t>
            </w:r>
          </w:p>
        </w:tc>
        <w:tc>
          <w:tcPr>
            <w:tcW w:w="431" w:type="pct"/>
            <w:vAlign w:val="center"/>
          </w:tcPr>
          <w:p w:rsidR="0098622B" w:rsidRPr="0098622B" w:rsidP="00ED35A4" w14:paraId="4E16EF71" w14:textId="77777777">
            <w:pPr>
              <w:spacing w:before="60" w:after="0"/>
              <w:jc w:val="center"/>
              <w:rPr>
                <w:rFonts w:cstheme="minorHAnsi"/>
                <w:color w:val="000000"/>
              </w:rPr>
            </w:pPr>
            <w:r w:rsidRPr="0098622B">
              <w:rPr>
                <w:rFonts w:cstheme="minorHAnsi"/>
                <w:color w:val="000000"/>
              </w:rPr>
              <w:t>0</w:t>
            </w:r>
          </w:p>
        </w:tc>
        <w:tc>
          <w:tcPr>
            <w:tcW w:w="469" w:type="pct"/>
            <w:vAlign w:val="center"/>
          </w:tcPr>
          <w:p w:rsidR="0098622B" w:rsidRPr="0098622B" w:rsidP="00ED35A4" w14:paraId="60ECA375" w14:textId="6AC22626">
            <w:pPr>
              <w:spacing w:before="60" w:after="0"/>
              <w:jc w:val="center"/>
              <w:rPr>
                <w:rFonts w:cstheme="minorHAnsi"/>
                <w:color w:val="000000"/>
              </w:rPr>
            </w:pPr>
            <w:r w:rsidRPr="0098622B">
              <w:rPr>
                <w:rFonts w:cstheme="minorHAnsi"/>
                <w:color w:val="000000"/>
              </w:rPr>
              <w:t>$0</w:t>
            </w:r>
          </w:p>
        </w:tc>
      </w:tr>
      <w:tr w14:paraId="6170302A" w14:textId="77777777" w:rsidTr="00563B45">
        <w:tblPrEx>
          <w:tblW w:w="5000" w:type="pct"/>
          <w:jc w:val="center"/>
          <w:tblLayout w:type="fixed"/>
          <w:tblCellMar>
            <w:left w:w="43" w:type="dxa"/>
            <w:right w:w="43" w:type="dxa"/>
          </w:tblCellMar>
          <w:tblLook w:val="04A0"/>
        </w:tblPrEx>
        <w:trPr>
          <w:trHeight w:val="229"/>
          <w:jc w:val="center"/>
        </w:trPr>
        <w:tc>
          <w:tcPr>
            <w:tcW w:w="1065" w:type="pct"/>
            <w:vAlign w:val="center"/>
            <w:hideMark/>
          </w:tcPr>
          <w:p w:rsidR="0098622B" w:rsidRPr="0098622B" w:rsidP="00ED35A4" w14:paraId="63960DD8" w14:textId="77777777">
            <w:pPr>
              <w:spacing w:before="60" w:after="0"/>
              <w:rPr>
                <w:rFonts w:cstheme="minorHAnsi"/>
                <w:color w:val="000000"/>
              </w:rPr>
            </w:pPr>
            <w:r w:rsidRPr="0098622B">
              <w:rPr>
                <w:rFonts w:cstheme="minorHAnsi"/>
                <w:color w:val="000000"/>
              </w:rPr>
              <w:t>3) Compile data from data suppliers</w:t>
            </w:r>
          </w:p>
        </w:tc>
        <w:tc>
          <w:tcPr>
            <w:tcW w:w="390" w:type="pct"/>
            <w:vAlign w:val="center"/>
          </w:tcPr>
          <w:p w:rsidR="0098622B" w:rsidRPr="0098622B" w:rsidP="00ED35A4" w14:paraId="0E9E0BB0" w14:textId="77777777">
            <w:pPr>
              <w:spacing w:before="60" w:after="0"/>
              <w:jc w:val="center"/>
              <w:rPr>
                <w:rFonts w:cstheme="minorHAnsi"/>
                <w:color w:val="000000"/>
              </w:rPr>
            </w:pPr>
            <w:r w:rsidRPr="0098622B">
              <w:rPr>
                <w:rFonts w:cstheme="minorHAnsi"/>
                <w:color w:val="000000"/>
              </w:rPr>
              <w:t>59.9</w:t>
            </w:r>
          </w:p>
        </w:tc>
        <w:tc>
          <w:tcPr>
            <w:tcW w:w="458" w:type="pct"/>
            <w:noWrap/>
            <w:vAlign w:val="center"/>
            <w:hideMark/>
          </w:tcPr>
          <w:p w:rsidR="0098622B" w:rsidRPr="0098622B" w:rsidP="00ED35A4" w14:paraId="603307D9" w14:textId="77777777">
            <w:pPr>
              <w:spacing w:before="60" w:after="0"/>
              <w:jc w:val="center"/>
              <w:rPr>
                <w:rFonts w:cstheme="minorHAnsi"/>
                <w:color w:val="000000"/>
              </w:rPr>
            </w:pPr>
            <w:r w:rsidRPr="0098622B">
              <w:rPr>
                <w:rFonts w:cstheme="minorHAnsi"/>
                <w:color w:val="000000"/>
              </w:rPr>
              <w:t>0.0</w:t>
            </w:r>
          </w:p>
        </w:tc>
        <w:tc>
          <w:tcPr>
            <w:tcW w:w="447" w:type="pct"/>
            <w:vAlign w:val="center"/>
          </w:tcPr>
          <w:p w:rsidR="0098622B" w:rsidRPr="0098622B" w:rsidP="00ED35A4" w14:paraId="20C0F06B" w14:textId="353E82B5">
            <w:pPr>
              <w:spacing w:before="60" w:after="0"/>
              <w:jc w:val="center"/>
              <w:rPr>
                <w:rFonts w:cstheme="minorHAnsi"/>
                <w:color w:val="000000"/>
              </w:rPr>
            </w:pPr>
            <w:r w:rsidRPr="0098622B">
              <w:rPr>
                <w:rFonts w:cstheme="minorHAnsi"/>
                <w:color w:val="000000"/>
              </w:rPr>
              <w:t>$0</w:t>
            </w:r>
          </w:p>
        </w:tc>
        <w:tc>
          <w:tcPr>
            <w:tcW w:w="348" w:type="pct"/>
            <w:vAlign w:val="center"/>
          </w:tcPr>
          <w:p w:rsidR="0098622B" w:rsidRPr="0098622B" w:rsidP="00ED35A4" w14:paraId="24D3F185" w14:textId="77777777">
            <w:pPr>
              <w:spacing w:before="60" w:after="0"/>
              <w:jc w:val="center"/>
              <w:rPr>
                <w:rFonts w:cstheme="minorHAnsi"/>
                <w:color w:val="000000"/>
              </w:rPr>
            </w:pPr>
            <w:r w:rsidRPr="0098622B">
              <w:rPr>
                <w:rFonts w:cstheme="minorHAnsi"/>
                <w:color w:val="000000"/>
              </w:rPr>
              <w:t>59.9</w:t>
            </w:r>
          </w:p>
        </w:tc>
        <w:tc>
          <w:tcPr>
            <w:tcW w:w="481" w:type="pct"/>
            <w:noWrap/>
            <w:vAlign w:val="center"/>
          </w:tcPr>
          <w:p w:rsidR="0098622B" w:rsidRPr="0098622B" w:rsidP="00ED35A4" w14:paraId="71E53B14" w14:textId="77777777">
            <w:pPr>
              <w:spacing w:before="60" w:after="0"/>
              <w:jc w:val="center"/>
              <w:rPr>
                <w:rFonts w:cstheme="minorHAnsi"/>
                <w:color w:val="000000"/>
              </w:rPr>
            </w:pPr>
            <w:r w:rsidRPr="0098622B">
              <w:rPr>
                <w:rFonts w:cstheme="minorHAnsi"/>
                <w:color w:val="000000"/>
              </w:rPr>
              <w:t>-</w:t>
            </w:r>
          </w:p>
        </w:tc>
        <w:tc>
          <w:tcPr>
            <w:tcW w:w="400" w:type="pct"/>
            <w:vAlign w:val="center"/>
          </w:tcPr>
          <w:p w:rsidR="0098622B" w:rsidRPr="0098622B" w:rsidP="00ED35A4" w14:paraId="02185E36" w14:textId="77777777">
            <w:pPr>
              <w:spacing w:before="60" w:after="0"/>
              <w:jc w:val="center"/>
              <w:rPr>
                <w:rFonts w:cstheme="minorHAnsi"/>
                <w:color w:val="000000"/>
              </w:rPr>
            </w:pPr>
            <w:r w:rsidRPr="0098622B">
              <w:rPr>
                <w:rFonts w:cstheme="minorHAnsi"/>
                <w:color w:val="000000"/>
              </w:rPr>
              <w:t>-</w:t>
            </w:r>
          </w:p>
        </w:tc>
        <w:tc>
          <w:tcPr>
            <w:tcW w:w="510" w:type="pct"/>
            <w:vAlign w:val="center"/>
          </w:tcPr>
          <w:p w:rsidR="0098622B" w:rsidRPr="0098622B" w:rsidP="00ED35A4" w14:paraId="7BE2FF7A" w14:textId="77777777">
            <w:pPr>
              <w:spacing w:before="60" w:after="0"/>
              <w:jc w:val="center"/>
              <w:rPr>
                <w:rFonts w:cstheme="minorHAnsi"/>
                <w:color w:val="000000"/>
              </w:rPr>
            </w:pPr>
            <w:r w:rsidRPr="0098622B">
              <w:rPr>
                <w:rFonts w:cstheme="minorHAnsi"/>
                <w:color w:val="000000"/>
              </w:rPr>
              <w:t>56</w:t>
            </w:r>
          </w:p>
        </w:tc>
        <w:tc>
          <w:tcPr>
            <w:tcW w:w="431" w:type="pct"/>
            <w:vAlign w:val="center"/>
          </w:tcPr>
          <w:p w:rsidR="0098622B" w:rsidRPr="0098622B" w:rsidP="00ED35A4" w14:paraId="4E6FDE90" w14:textId="77777777">
            <w:pPr>
              <w:spacing w:before="60" w:after="0"/>
              <w:jc w:val="center"/>
              <w:rPr>
                <w:rFonts w:cstheme="minorHAnsi"/>
                <w:color w:val="000000"/>
              </w:rPr>
            </w:pPr>
            <w:r w:rsidRPr="0098622B">
              <w:rPr>
                <w:rFonts w:cstheme="minorHAnsi"/>
                <w:color w:val="000000"/>
              </w:rPr>
              <w:t>0</w:t>
            </w:r>
          </w:p>
        </w:tc>
        <w:tc>
          <w:tcPr>
            <w:tcW w:w="469" w:type="pct"/>
            <w:vAlign w:val="center"/>
          </w:tcPr>
          <w:p w:rsidR="0098622B" w:rsidRPr="0098622B" w:rsidP="00ED35A4" w14:paraId="34BA12CE" w14:textId="3A2919BE">
            <w:pPr>
              <w:spacing w:before="60" w:after="0"/>
              <w:jc w:val="center"/>
              <w:rPr>
                <w:rFonts w:cstheme="minorHAnsi"/>
                <w:color w:val="000000"/>
              </w:rPr>
            </w:pPr>
            <w:r w:rsidRPr="0098622B">
              <w:rPr>
                <w:rFonts w:cstheme="minorHAnsi"/>
                <w:color w:val="000000"/>
              </w:rPr>
              <w:t>$0</w:t>
            </w:r>
          </w:p>
        </w:tc>
      </w:tr>
      <w:tr w14:paraId="610EF4FC" w14:textId="77777777" w:rsidTr="00563B45">
        <w:tblPrEx>
          <w:tblW w:w="5000" w:type="pct"/>
          <w:jc w:val="center"/>
          <w:tblLayout w:type="fixed"/>
          <w:tblCellMar>
            <w:left w:w="43" w:type="dxa"/>
            <w:right w:w="43" w:type="dxa"/>
          </w:tblCellMar>
          <w:tblLook w:val="04A0"/>
        </w:tblPrEx>
        <w:trPr>
          <w:trHeight w:val="343"/>
          <w:jc w:val="center"/>
        </w:trPr>
        <w:tc>
          <w:tcPr>
            <w:tcW w:w="1065" w:type="pct"/>
            <w:vAlign w:val="center"/>
            <w:hideMark/>
          </w:tcPr>
          <w:p w:rsidR="0098622B" w:rsidRPr="0098622B" w:rsidP="00ED35A4" w14:paraId="27F4B877" w14:textId="77777777">
            <w:pPr>
              <w:spacing w:before="60" w:after="0"/>
              <w:rPr>
                <w:rFonts w:cstheme="minorHAnsi"/>
                <w:color w:val="000000"/>
              </w:rPr>
            </w:pPr>
            <w:r w:rsidRPr="0098622B">
              <w:rPr>
                <w:rFonts w:cstheme="minorHAnsi"/>
                <w:color w:val="000000"/>
              </w:rPr>
              <w:t>4) Conduct Data Entry &amp; Document Submission</w:t>
            </w:r>
          </w:p>
        </w:tc>
        <w:tc>
          <w:tcPr>
            <w:tcW w:w="390" w:type="pct"/>
            <w:vAlign w:val="center"/>
          </w:tcPr>
          <w:p w:rsidR="0098622B" w:rsidRPr="0098622B" w:rsidP="00ED35A4" w14:paraId="725574B6" w14:textId="77777777">
            <w:pPr>
              <w:spacing w:before="60" w:after="0"/>
              <w:jc w:val="center"/>
              <w:rPr>
                <w:rFonts w:cstheme="minorHAnsi"/>
                <w:color w:val="000000"/>
              </w:rPr>
            </w:pPr>
            <w:r w:rsidRPr="0098622B">
              <w:rPr>
                <w:rFonts w:cstheme="minorHAnsi"/>
                <w:color w:val="000000"/>
              </w:rPr>
              <w:t>59.9</w:t>
            </w:r>
          </w:p>
        </w:tc>
        <w:tc>
          <w:tcPr>
            <w:tcW w:w="458" w:type="pct"/>
            <w:noWrap/>
            <w:vAlign w:val="center"/>
            <w:hideMark/>
          </w:tcPr>
          <w:p w:rsidR="0098622B" w:rsidRPr="0098622B" w:rsidP="00ED35A4" w14:paraId="536B4EE5" w14:textId="77777777">
            <w:pPr>
              <w:spacing w:before="60" w:after="0"/>
              <w:jc w:val="center"/>
              <w:rPr>
                <w:rFonts w:cstheme="minorHAnsi"/>
                <w:color w:val="000000"/>
              </w:rPr>
            </w:pPr>
            <w:r w:rsidRPr="0098622B">
              <w:rPr>
                <w:rFonts w:cstheme="minorHAnsi"/>
                <w:color w:val="000000"/>
              </w:rPr>
              <w:t>19.8</w:t>
            </w:r>
          </w:p>
        </w:tc>
        <w:tc>
          <w:tcPr>
            <w:tcW w:w="447" w:type="pct"/>
            <w:vAlign w:val="center"/>
          </w:tcPr>
          <w:p w:rsidR="0098622B" w:rsidRPr="0098622B" w:rsidP="00ED35A4" w14:paraId="56BE8CDE" w14:textId="55CD6C82">
            <w:pPr>
              <w:spacing w:before="60" w:after="0"/>
              <w:jc w:val="center"/>
              <w:rPr>
                <w:rFonts w:cstheme="minorHAnsi"/>
                <w:color w:val="000000"/>
              </w:rPr>
            </w:pPr>
            <w:r w:rsidRPr="0098622B">
              <w:rPr>
                <w:rFonts w:cstheme="minorHAnsi"/>
                <w:color w:val="000000"/>
              </w:rPr>
              <w:t>$66,359</w:t>
            </w:r>
          </w:p>
        </w:tc>
        <w:tc>
          <w:tcPr>
            <w:tcW w:w="348" w:type="pct"/>
            <w:vAlign w:val="center"/>
          </w:tcPr>
          <w:p w:rsidR="0098622B" w:rsidRPr="0098622B" w:rsidP="00ED35A4" w14:paraId="672F0D24" w14:textId="77777777">
            <w:pPr>
              <w:spacing w:before="60" w:after="0"/>
              <w:jc w:val="center"/>
              <w:rPr>
                <w:rFonts w:cstheme="minorHAnsi"/>
                <w:color w:val="000000"/>
              </w:rPr>
            </w:pPr>
            <w:r w:rsidRPr="0098622B">
              <w:rPr>
                <w:rFonts w:cstheme="minorHAnsi"/>
                <w:color w:val="000000"/>
              </w:rPr>
              <w:t>59.9</w:t>
            </w:r>
          </w:p>
        </w:tc>
        <w:tc>
          <w:tcPr>
            <w:tcW w:w="481" w:type="pct"/>
            <w:noWrap/>
            <w:vAlign w:val="center"/>
            <w:hideMark/>
          </w:tcPr>
          <w:p w:rsidR="0098622B" w:rsidRPr="0098622B" w:rsidP="00ED35A4" w14:paraId="13181EE2" w14:textId="77777777">
            <w:pPr>
              <w:spacing w:before="60" w:after="0"/>
              <w:jc w:val="center"/>
              <w:rPr>
                <w:rFonts w:cstheme="minorHAnsi"/>
                <w:color w:val="000000"/>
              </w:rPr>
            </w:pPr>
            <w:r w:rsidRPr="0098622B">
              <w:rPr>
                <w:rFonts w:cstheme="minorHAnsi"/>
                <w:color w:val="000000"/>
              </w:rPr>
              <w:t>2.00</w:t>
            </w:r>
          </w:p>
        </w:tc>
        <w:tc>
          <w:tcPr>
            <w:tcW w:w="400" w:type="pct"/>
            <w:vAlign w:val="center"/>
          </w:tcPr>
          <w:p w:rsidR="0098622B" w:rsidRPr="0098622B" w:rsidP="00ED35A4" w14:paraId="1F6580CC" w14:textId="44C892F0">
            <w:pPr>
              <w:spacing w:before="60" w:after="0"/>
              <w:jc w:val="center"/>
              <w:rPr>
                <w:rFonts w:cstheme="minorHAnsi"/>
                <w:color w:val="000000"/>
              </w:rPr>
            </w:pPr>
            <w:r w:rsidRPr="0098622B">
              <w:rPr>
                <w:rFonts w:cstheme="minorHAnsi"/>
                <w:color w:val="000000"/>
              </w:rPr>
              <w:t>$19,967</w:t>
            </w:r>
          </w:p>
        </w:tc>
        <w:tc>
          <w:tcPr>
            <w:tcW w:w="510" w:type="pct"/>
            <w:vAlign w:val="center"/>
          </w:tcPr>
          <w:p w:rsidR="0098622B" w:rsidRPr="0098622B" w:rsidP="00ED35A4" w14:paraId="140ACA89" w14:textId="77777777">
            <w:pPr>
              <w:spacing w:before="60" w:after="0"/>
              <w:jc w:val="center"/>
              <w:rPr>
                <w:rFonts w:cstheme="minorHAnsi"/>
                <w:color w:val="000000"/>
              </w:rPr>
            </w:pPr>
            <w:r w:rsidRPr="0098622B">
              <w:rPr>
                <w:rFonts w:cstheme="minorHAnsi"/>
                <w:color w:val="000000"/>
              </w:rPr>
              <w:t>223</w:t>
            </w:r>
          </w:p>
        </w:tc>
        <w:tc>
          <w:tcPr>
            <w:tcW w:w="431" w:type="pct"/>
            <w:vAlign w:val="center"/>
          </w:tcPr>
          <w:p w:rsidR="0098622B" w:rsidRPr="0098622B" w:rsidP="00ED35A4" w14:paraId="7D0894A0" w14:textId="77777777">
            <w:pPr>
              <w:spacing w:before="60" w:after="0"/>
              <w:jc w:val="center"/>
              <w:rPr>
                <w:rFonts w:cstheme="minorHAnsi"/>
                <w:color w:val="000000"/>
              </w:rPr>
            </w:pPr>
            <w:r w:rsidRPr="0098622B">
              <w:rPr>
                <w:rFonts w:cstheme="minorHAnsi"/>
                <w:color w:val="000000"/>
              </w:rPr>
              <w:t>1,441</w:t>
            </w:r>
          </w:p>
        </w:tc>
        <w:tc>
          <w:tcPr>
            <w:tcW w:w="469" w:type="pct"/>
            <w:vAlign w:val="center"/>
          </w:tcPr>
          <w:p w:rsidR="0098622B" w:rsidRPr="0098622B" w:rsidP="00ED35A4" w14:paraId="4D3ABA6E" w14:textId="5DB9E79D">
            <w:pPr>
              <w:spacing w:before="60" w:after="0"/>
              <w:jc w:val="center"/>
              <w:rPr>
                <w:rFonts w:cstheme="minorHAnsi"/>
                <w:color w:val="000000"/>
              </w:rPr>
            </w:pPr>
            <w:r w:rsidRPr="0098622B">
              <w:rPr>
                <w:rFonts w:cstheme="minorHAnsi"/>
                <w:color w:val="000000"/>
              </w:rPr>
              <w:t>$86,325</w:t>
            </w:r>
          </w:p>
        </w:tc>
      </w:tr>
      <w:tr w14:paraId="6637A2D1" w14:textId="77777777" w:rsidTr="00563B45">
        <w:tblPrEx>
          <w:tblW w:w="5000" w:type="pct"/>
          <w:jc w:val="center"/>
          <w:tblLayout w:type="fixed"/>
          <w:tblCellMar>
            <w:left w:w="43" w:type="dxa"/>
            <w:right w:w="43" w:type="dxa"/>
          </w:tblCellMar>
          <w:tblLook w:val="04A0"/>
        </w:tblPrEx>
        <w:trPr>
          <w:trHeight w:val="373"/>
          <w:jc w:val="center"/>
        </w:trPr>
        <w:tc>
          <w:tcPr>
            <w:tcW w:w="1065" w:type="pct"/>
            <w:vAlign w:val="center"/>
            <w:hideMark/>
          </w:tcPr>
          <w:p w:rsidR="0098622B" w:rsidRPr="0098622B" w:rsidP="00ED35A4" w14:paraId="15D95E63" w14:textId="77777777">
            <w:pPr>
              <w:spacing w:before="60" w:after="0"/>
              <w:rPr>
                <w:rFonts w:cstheme="minorHAnsi"/>
                <w:color w:val="000000"/>
              </w:rPr>
            </w:pPr>
            <w:r w:rsidRPr="0098622B">
              <w:rPr>
                <w:rFonts w:cstheme="minorHAnsi"/>
                <w:color w:val="000000"/>
              </w:rPr>
              <w:t>5) Conduct Data Quality Assurance Activities</w:t>
            </w:r>
          </w:p>
        </w:tc>
        <w:tc>
          <w:tcPr>
            <w:tcW w:w="390" w:type="pct"/>
            <w:vAlign w:val="center"/>
          </w:tcPr>
          <w:p w:rsidR="0098622B" w:rsidRPr="0098622B" w:rsidP="00ED35A4" w14:paraId="4F06B296" w14:textId="77777777">
            <w:pPr>
              <w:spacing w:before="60" w:after="0"/>
              <w:jc w:val="center"/>
              <w:rPr>
                <w:rFonts w:cstheme="minorHAnsi"/>
                <w:color w:val="000000"/>
              </w:rPr>
            </w:pPr>
            <w:r w:rsidRPr="0098622B">
              <w:rPr>
                <w:rFonts w:cstheme="minorHAnsi"/>
                <w:color w:val="000000"/>
              </w:rPr>
              <w:t>59.9</w:t>
            </w:r>
          </w:p>
        </w:tc>
        <w:tc>
          <w:tcPr>
            <w:tcW w:w="458" w:type="pct"/>
            <w:noWrap/>
            <w:vAlign w:val="center"/>
            <w:hideMark/>
          </w:tcPr>
          <w:p w:rsidR="0098622B" w:rsidRPr="0098622B" w:rsidP="00ED35A4" w14:paraId="4EFE0E4A" w14:textId="77777777">
            <w:pPr>
              <w:spacing w:before="60" w:after="0"/>
              <w:jc w:val="center"/>
              <w:rPr>
                <w:rFonts w:cstheme="minorHAnsi"/>
                <w:color w:val="000000"/>
              </w:rPr>
            </w:pPr>
            <w:r w:rsidRPr="0098622B">
              <w:rPr>
                <w:rFonts w:cstheme="minorHAnsi"/>
                <w:color w:val="000000"/>
              </w:rPr>
              <w:t>2.2</w:t>
            </w:r>
          </w:p>
        </w:tc>
        <w:tc>
          <w:tcPr>
            <w:tcW w:w="447" w:type="pct"/>
            <w:vAlign w:val="center"/>
          </w:tcPr>
          <w:p w:rsidR="0098622B" w:rsidRPr="0098622B" w:rsidP="00ED35A4" w14:paraId="03771902" w14:textId="3FF7577D">
            <w:pPr>
              <w:spacing w:before="60" w:after="0"/>
              <w:jc w:val="center"/>
              <w:rPr>
                <w:rFonts w:cstheme="minorHAnsi"/>
                <w:color w:val="000000"/>
              </w:rPr>
            </w:pPr>
            <w:r w:rsidRPr="0098622B">
              <w:rPr>
                <w:rFonts w:cstheme="minorHAnsi"/>
                <w:color w:val="000000"/>
              </w:rPr>
              <w:t>$7,541</w:t>
            </w:r>
          </w:p>
        </w:tc>
        <w:tc>
          <w:tcPr>
            <w:tcW w:w="348" w:type="pct"/>
            <w:vAlign w:val="center"/>
          </w:tcPr>
          <w:p w:rsidR="0098622B" w:rsidRPr="0098622B" w:rsidP="00ED35A4" w14:paraId="0B071954" w14:textId="77777777">
            <w:pPr>
              <w:spacing w:before="60" w:after="0"/>
              <w:jc w:val="center"/>
              <w:rPr>
                <w:rFonts w:cstheme="minorHAnsi"/>
                <w:color w:val="000000"/>
              </w:rPr>
            </w:pPr>
            <w:r w:rsidRPr="0098622B">
              <w:rPr>
                <w:rFonts w:cstheme="minorHAnsi"/>
                <w:color w:val="000000"/>
              </w:rPr>
              <w:t>59.9</w:t>
            </w:r>
          </w:p>
        </w:tc>
        <w:tc>
          <w:tcPr>
            <w:tcW w:w="481" w:type="pct"/>
            <w:noWrap/>
            <w:vAlign w:val="center"/>
          </w:tcPr>
          <w:p w:rsidR="0098622B" w:rsidRPr="0098622B" w:rsidP="00ED35A4" w14:paraId="2A635674" w14:textId="77777777">
            <w:pPr>
              <w:spacing w:before="60" w:after="0"/>
              <w:jc w:val="center"/>
              <w:rPr>
                <w:rFonts w:cstheme="minorHAnsi"/>
                <w:color w:val="000000"/>
              </w:rPr>
            </w:pPr>
            <w:r w:rsidRPr="0098622B">
              <w:rPr>
                <w:rFonts w:cstheme="minorHAnsi"/>
                <w:color w:val="000000"/>
              </w:rPr>
              <w:t>-</w:t>
            </w:r>
          </w:p>
        </w:tc>
        <w:tc>
          <w:tcPr>
            <w:tcW w:w="400" w:type="pct"/>
            <w:vAlign w:val="center"/>
          </w:tcPr>
          <w:p w:rsidR="0098622B" w:rsidRPr="0098622B" w:rsidP="00ED35A4" w14:paraId="3FF856B0" w14:textId="77777777">
            <w:pPr>
              <w:spacing w:before="60" w:after="0"/>
              <w:jc w:val="center"/>
              <w:rPr>
                <w:rFonts w:cstheme="minorHAnsi"/>
                <w:color w:val="000000"/>
              </w:rPr>
            </w:pPr>
            <w:r w:rsidRPr="0098622B">
              <w:rPr>
                <w:rFonts w:cstheme="minorHAnsi"/>
                <w:color w:val="000000"/>
              </w:rPr>
              <w:t>-</w:t>
            </w:r>
          </w:p>
        </w:tc>
        <w:tc>
          <w:tcPr>
            <w:tcW w:w="510" w:type="pct"/>
            <w:vAlign w:val="center"/>
          </w:tcPr>
          <w:p w:rsidR="0098622B" w:rsidRPr="0098622B" w:rsidP="00ED35A4" w14:paraId="352280C5" w14:textId="77777777">
            <w:pPr>
              <w:spacing w:before="60" w:after="0"/>
              <w:jc w:val="center"/>
              <w:rPr>
                <w:rFonts w:cstheme="minorHAnsi"/>
                <w:color w:val="000000"/>
              </w:rPr>
            </w:pPr>
            <w:r w:rsidRPr="0098622B">
              <w:rPr>
                <w:rFonts w:cstheme="minorHAnsi"/>
                <w:color w:val="000000"/>
              </w:rPr>
              <w:t>56</w:t>
            </w:r>
          </w:p>
        </w:tc>
        <w:tc>
          <w:tcPr>
            <w:tcW w:w="431" w:type="pct"/>
            <w:vAlign w:val="center"/>
          </w:tcPr>
          <w:p w:rsidR="0098622B" w:rsidRPr="0098622B" w:rsidP="00ED35A4" w14:paraId="07B2CF73" w14:textId="77777777">
            <w:pPr>
              <w:spacing w:before="60" w:after="0"/>
              <w:jc w:val="center"/>
              <w:rPr>
                <w:rFonts w:cstheme="minorHAnsi"/>
                <w:color w:val="000000"/>
              </w:rPr>
            </w:pPr>
            <w:r w:rsidRPr="0098622B">
              <w:rPr>
                <w:rFonts w:cstheme="minorHAnsi"/>
                <w:color w:val="000000"/>
              </w:rPr>
              <w:t>126</w:t>
            </w:r>
          </w:p>
        </w:tc>
        <w:tc>
          <w:tcPr>
            <w:tcW w:w="469" w:type="pct"/>
            <w:vAlign w:val="center"/>
          </w:tcPr>
          <w:p w:rsidR="0098622B" w:rsidRPr="0098622B" w:rsidP="00ED35A4" w14:paraId="71CD25FF" w14:textId="0EE42E01">
            <w:pPr>
              <w:spacing w:before="60" w:after="0"/>
              <w:jc w:val="center"/>
              <w:rPr>
                <w:rFonts w:cstheme="minorHAnsi"/>
                <w:color w:val="000000"/>
              </w:rPr>
            </w:pPr>
            <w:r w:rsidRPr="0098622B">
              <w:rPr>
                <w:rFonts w:cstheme="minorHAnsi"/>
                <w:color w:val="000000"/>
              </w:rPr>
              <w:t>$7,541</w:t>
            </w:r>
          </w:p>
        </w:tc>
      </w:tr>
      <w:tr w14:paraId="2CB85DC4" w14:textId="77777777" w:rsidTr="00563B45">
        <w:tblPrEx>
          <w:tblW w:w="5000" w:type="pct"/>
          <w:jc w:val="center"/>
          <w:tblLayout w:type="fixed"/>
          <w:tblCellMar>
            <w:left w:w="43" w:type="dxa"/>
            <w:right w:w="43" w:type="dxa"/>
          </w:tblCellMar>
          <w:tblLook w:val="04A0"/>
        </w:tblPrEx>
        <w:trPr>
          <w:trHeight w:val="122"/>
          <w:jc w:val="center"/>
        </w:trPr>
        <w:tc>
          <w:tcPr>
            <w:tcW w:w="1065" w:type="pct"/>
            <w:shd w:val="clear" w:color="auto" w:fill="F2F2F2" w:themeFill="background1" w:themeFillShade="F2"/>
            <w:vAlign w:val="center"/>
            <w:hideMark/>
          </w:tcPr>
          <w:p w:rsidR="0098622B" w:rsidRPr="0098622B" w:rsidP="00ED35A4" w14:paraId="7F6E1D70" w14:textId="77777777">
            <w:pPr>
              <w:spacing w:before="60" w:after="0"/>
              <w:rPr>
                <w:rFonts w:cstheme="minorHAnsi"/>
                <w:b/>
                <w:color w:val="000000"/>
              </w:rPr>
            </w:pPr>
            <w:r w:rsidRPr="0098622B">
              <w:rPr>
                <w:rFonts w:cstheme="minorHAnsi"/>
                <w:b/>
                <w:color w:val="000000"/>
              </w:rPr>
              <w:t>Annual Totals</w:t>
            </w:r>
          </w:p>
        </w:tc>
        <w:tc>
          <w:tcPr>
            <w:tcW w:w="390" w:type="pct"/>
            <w:shd w:val="clear" w:color="auto" w:fill="F2F2F2" w:themeFill="background1" w:themeFillShade="F2"/>
            <w:vAlign w:val="center"/>
          </w:tcPr>
          <w:p w:rsidR="0098622B" w:rsidRPr="0098622B" w:rsidP="00ED35A4" w14:paraId="3E6C5902" w14:textId="77777777">
            <w:pPr>
              <w:spacing w:before="60" w:after="0"/>
              <w:jc w:val="center"/>
              <w:rPr>
                <w:rFonts w:cstheme="minorHAnsi"/>
                <w:b/>
                <w:color w:val="000000"/>
              </w:rPr>
            </w:pPr>
          </w:p>
        </w:tc>
        <w:tc>
          <w:tcPr>
            <w:tcW w:w="458" w:type="pct"/>
            <w:shd w:val="clear" w:color="auto" w:fill="F2F2F2" w:themeFill="background1" w:themeFillShade="F2"/>
            <w:noWrap/>
            <w:vAlign w:val="center"/>
            <w:hideMark/>
          </w:tcPr>
          <w:p w:rsidR="0098622B" w:rsidRPr="0098622B" w:rsidP="00ED35A4" w14:paraId="5D9F7D5D" w14:textId="77777777">
            <w:pPr>
              <w:spacing w:before="60" w:after="0"/>
              <w:jc w:val="center"/>
              <w:rPr>
                <w:rFonts w:cstheme="minorHAnsi"/>
                <w:b/>
                <w:color w:val="000000"/>
              </w:rPr>
            </w:pPr>
            <w:r w:rsidRPr="0098622B">
              <w:rPr>
                <w:rFonts w:cstheme="minorHAnsi"/>
                <w:color w:val="000000"/>
              </w:rPr>
              <w:t>22</w:t>
            </w:r>
          </w:p>
        </w:tc>
        <w:tc>
          <w:tcPr>
            <w:tcW w:w="447" w:type="pct"/>
            <w:shd w:val="clear" w:color="auto" w:fill="F2F2F2" w:themeFill="background1" w:themeFillShade="F2"/>
            <w:vAlign w:val="center"/>
          </w:tcPr>
          <w:p w:rsidR="0098622B" w:rsidRPr="0098622B" w:rsidP="00ED35A4" w14:paraId="4A99383E" w14:textId="62C59CCD">
            <w:pPr>
              <w:spacing w:before="60" w:after="0"/>
              <w:jc w:val="center"/>
              <w:rPr>
                <w:rFonts w:cstheme="minorHAnsi"/>
                <w:b/>
                <w:color w:val="000000"/>
              </w:rPr>
            </w:pPr>
            <w:r w:rsidRPr="0098622B">
              <w:rPr>
                <w:rFonts w:cstheme="minorHAnsi"/>
                <w:color w:val="000000"/>
              </w:rPr>
              <w:t>$75,407</w:t>
            </w:r>
          </w:p>
        </w:tc>
        <w:tc>
          <w:tcPr>
            <w:tcW w:w="348" w:type="pct"/>
            <w:shd w:val="clear" w:color="auto" w:fill="F2F2F2" w:themeFill="background1" w:themeFillShade="F2"/>
            <w:vAlign w:val="center"/>
          </w:tcPr>
          <w:p w:rsidR="0098622B" w:rsidRPr="0098622B" w:rsidP="00ED35A4" w14:paraId="730F8C18" w14:textId="77777777">
            <w:pPr>
              <w:spacing w:before="60" w:after="0"/>
              <w:jc w:val="center"/>
              <w:rPr>
                <w:rFonts w:cstheme="minorHAnsi"/>
                <w:b/>
                <w:color w:val="000000"/>
              </w:rPr>
            </w:pPr>
          </w:p>
        </w:tc>
        <w:tc>
          <w:tcPr>
            <w:tcW w:w="481" w:type="pct"/>
            <w:shd w:val="clear" w:color="auto" w:fill="F2F2F2" w:themeFill="background1" w:themeFillShade="F2"/>
            <w:noWrap/>
            <w:vAlign w:val="center"/>
            <w:hideMark/>
          </w:tcPr>
          <w:p w:rsidR="0098622B" w:rsidRPr="0098622B" w:rsidP="00ED35A4" w14:paraId="367E724D" w14:textId="77777777">
            <w:pPr>
              <w:spacing w:before="60" w:after="0"/>
              <w:jc w:val="center"/>
              <w:rPr>
                <w:rFonts w:cstheme="minorHAnsi"/>
                <w:b/>
                <w:color w:val="000000"/>
              </w:rPr>
            </w:pPr>
            <w:r w:rsidRPr="0098622B">
              <w:rPr>
                <w:rFonts w:cstheme="minorHAnsi"/>
                <w:color w:val="000000"/>
              </w:rPr>
              <w:t>2</w:t>
            </w:r>
          </w:p>
        </w:tc>
        <w:tc>
          <w:tcPr>
            <w:tcW w:w="400" w:type="pct"/>
            <w:shd w:val="clear" w:color="auto" w:fill="F2F2F2" w:themeFill="background1" w:themeFillShade="F2"/>
            <w:vAlign w:val="center"/>
          </w:tcPr>
          <w:p w:rsidR="0098622B" w:rsidRPr="0098622B" w:rsidP="00ED35A4" w14:paraId="2BF3B7EF" w14:textId="521D4667">
            <w:pPr>
              <w:spacing w:before="60" w:after="0"/>
              <w:jc w:val="center"/>
              <w:rPr>
                <w:rFonts w:cstheme="minorHAnsi"/>
                <w:b/>
                <w:color w:val="000000"/>
              </w:rPr>
            </w:pPr>
            <w:r w:rsidRPr="0098622B">
              <w:rPr>
                <w:rFonts w:cstheme="minorHAnsi"/>
                <w:color w:val="000000"/>
              </w:rPr>
              <w:t>$19,967</w:t>
            </w:r>
          </w:p>
        </w:tc>
        <w:tc>
          <w:tcPr>
            <w:tcW w:w="510" w:type="pct"/>
            <w:shd w:val="clear" w:color="auto" w:fill="F2F2F2" w:themeFill="background1" w:themeFillShade="F2"/>
            <w:vAlign w:val="center"/>
          </w:tcPr>
          <w:p w:rsidR="0098622B" w:rsidRPr="0098622B" w:rsidP="00ED35A4" w14:paraId="3FE41BFF" w14:textId="4822C6C4">
            <w:pPr>
              <w:spacing w:before="60" w:after="0"/>
              <w:jc w:val="center"/>
              <w:rPr>
                <w:rFonts w:cstheme="minorHAnsi"/>
                <w:b/>
                <w:color w:val="000000"/>
              </w:rPr>
            </w:pPr>
            <w:r w:rsidRPr="0098622B">
              <w:rPr>
                <w:rFonts w:cstheme="minorHAnsi"/>
                <w:color w:val="000000"/>
              </w:rPr>
              <w:t>503</w:t>
            </w:r>
          </w:p>
        </w:tc>
        <w:tc>
          <w:tcPr>
            <w:tcW w:w="431" w:type="pct"/>
            <w:shd w:val="clear" w:color="auto" w:fill="F2F2F2" w:themeFill="background1" w:themeFillShade="F2"/>
            <w:vAlign w:val="center"/>
          </w:tcPr>
          <w:p w:rsidR="0098622B" w:rsidRPr="0098622B" w:rsidP="00ED35A4" w14:paraId="2D12ED1D" w14:textId="793035E0">
            <w:pPr>
              <w:spacing w:before="60" w:after="0"/>
              <w:jc w:val="center"/>
              <w:rPr>
                <w:rFonts w:cstheme="minorHAnsi"/>
                <w:b/>
                <w:color w:val="000000"/>
              </w:rPr>
            </w:pPr>
            <w:r w:rsidRPr="0098622B">
              <w:rPr>
                <w:rFonts w:cstheme="minorHAnsi"/>
                <w:color w:val="000000"/>
              </w:rPr>
              <w:t>1,592</w:t>
            </w:r>
          </w:p>
        </w:tc>
        <w:tc>
          <w:tcPr>
            <w:tcW w:w="469" w:type="pct"/>
            <w:shd w:val="clear" w:color="auto" w:fill="F2F2F2" w:themeFill="background1" w:themeFillShade="F2"/>
            <w:vAlign w:val="center"/>
          </w:tcPr>
          <w:p w:rsidR="0098622B" w:rsidRPr="0098622B" w:rsidP="00ED35A4" w14:paraId="4A1F4574" w14:textId="498FC910">
            <w:pPr>
              <w:spacing w:before="60" w:after="0"/>
              <w:jc w:val="center"/>
              <w:rPr>
                <w:rFonts w:cstheme="minorHAnsi"/>
                <w:b/>
                <w:color w:val="000000"/>
              </w:rPr>
            </w:pPr>
            <w:r w:rsidRPr="0098622B">
              <w:rPr>
                <w:rFonts w:cstheme="minorHAnsi"/>
                <w:color w:val="000000"/>
              </w:rPr>
              <w:t>$95,374</w:t>
            </w:r>
          </w:p>
        </w:tc>
      </w:tr>
      <w:tr w14:paraId="696A0BB2" w14:textId="77777777" w:rsidTr="00563B45">
        <w:tblPrEx>
          <w:tblW w:w="5000" w:type="pct"/>
          <w:jc w:val="center"/>
          <w:tblLayout w:type="fixed"/>
          <w:tblCellMar>
            <w:left w:w="43" w:type="dxa"/>
            <w:right w:w="43" w:type="dxa"/>
          </w:tblCellMar>
          <w:tblLook w:val="04A0"/>
        </w:tblPrEx>
        <w:trPr>
          <w:trHeight w:val="122"/>
          <w:jc w:val="center"/>
        </w:trPr>
        <w:tc>
          <w:tcPr>
            <w:tcW w:w="1065" w:type="pct"/>
            <w:shd w:val="clear" w:color="auto" w:fill="D9D9D9" w:themeFill="background1" w:themeFillShade="D9"/>
            <w:vAlign w:val="center"/>
            <w:hideMark/>
          </w:tcPr>
          <w:p w:rsidR="0098622B" w:rsidRPr="0098622B" w:rsidP="00ED35A4" w14:paraId="37F1EDE3" w14:textId="77777777">
            <w:pPr>
              <w:spacing w:before="60" w:after="0"/>
              <w:rPr>
                <w:rFonts w:cstheme="minorHAnsi"/>
                <w:b/>
                <w:color w:val="000000"/>
              </w:rPr>
            </w:pPr>
            <w:r w:rsidRPr="0098622B">
              <w:rPr>
                <w:rFonts w:cstheme="minorHAnsi"/>
                <w:b/>
                <w:color w:val="000000"/>
              </w:rPr>
              <w:t>3-Year Totals</w:t>
            </w:r>
          </w:p>
        </w:tc>
        <w:tc>
          <w:tcPr>
            <w:tcW w:w="390" w:type="pct"/>
            <w:shd w:val="clear" w:color="auto" w:fill="D9D9D9" w:themeFill="background1" w:themeFillShade="D9"/>
            <w:vAlign w:val="center"/>
          </w:tcPr>
          <w:p w:rsidR="0098622B" w:rsidRPr="0098622B" w:rsidP="00ED35A4" w14:paraId="573FF475" w14:textId="77777777">
            <w:pPr>
              <w:spacing w:before="60" w:after="0"/>
              <w:jc w:val="center"/>
              <w:rPr>
                <w:rFonts w:cstheme="minorHAnsi"/>
                <w:b/>
                <w:color w:val="000000"/>
              </w:rPr>
            </w:pPr>
          </w:p>
        </w:tc>
        <w:tc>
          <w:tcPr>
            <w:tcW w:w="458" w:type="pct"/>
            <w:shd w:val="clear" w:color="auto" w:fill="D9D9D9" w:themeFill="background1" w:themeFillShade="D9"/>
            <w:noWrap/>
            <w:vAlign w:val="center"/>
            <w:hideMark/>
          </w:tcPr>
          <w:p w:rsidR="0098622B" w:rsidRPr="0098622B" w:rsidP="00ED35A4" w14:paraId="4B9201EC" w14:textId="77777777">
            <w:pPr>
              <w:spacing w:before="60" w:after="0"/>
              <w:jc w:val="center"/>
              <w:rPr>
                <w:rFonts w:cstheme="minorHAnsi"/>
                <w:b/>
                <w:color w:val="000000"/>
              </w:rPr>
            </w:pPr>
            <w:r w:rsidRPr="0098622B">
              <w:rPr>
                <w:rFonts w:cstheme="minorHAnsi"/>
                <w:color w:val="000000"/>
              </w:rPr>
              <w:t>67</w:t>
            </w:r>
          </w:p>
        </w:tc>
        <w:tc>
          <w:tcPr>
            <w:tcW w:w="447" w:type="pct"/>
            <w:shd w:val="clear" w:color="auto" w:fill="D9D9D9" w:themeFill="background1" w:themeFillShade="D9"/>
            <w:vAlign w:val="center"/>
          </w:tcPr>
          <w:p w:rsidR="0098622B" w:rsidRPr="0098622B" w:rsidP="00ED35A4" w14:paraId="3B609745" w14:textId="2C2139DD">
            <w:pPr>
              <w:spacing w:before="60" w:after="0"/>
              <w:jc w:val="center"/>
              <w:rPr>
                <w:rFonts w:cstheme="minorHAnsi"/>
                <w:b/>
                <w:color w:val="000000"/>
              </w:rPr>
            </w:pPr>
            <w:r w:rsidRPr="0098622B">
              <w:rPr>
                <w:rFonts w:cstheme="minorHAnsi"/>
                <w:color w:val="000000"/>
              </w:rPr>
              <w:t>$226,222</w:t>
            </w:r>
          </w:p>
        </w:tc>
        <w:tc>
          <w:tcPr>
            <w:tcW w:w="348" w:type="pct"/>
            <w:shd w:val="clear" w:color="auto" w:fill="D9D9D9" w:themeFill="background1" w:themeFillShade="D9"/>
            <w:vAlign w:val="center"/>
          </w:tcPr>
          <w:p w:rsidR="0098622B" w:rsidRPr="0098622B" w:rsidP="00ED35A4" w14:paraId="0398186C" w14:textId="77777777">
            <w:pPr>
              <w:spacing w:before="60" w:after="0"/>
              <w:jc w:val="center"/>
              <w:rPr>
                <w:rFonts w:cstheme="minorHAnsi"/>
                <w:b/>
                <w:color w:val="000000"/>
              </w:rPr>
            </w:pPr>
          </w:p>
        </w:tc>
        <w:tc>
          <w:tcPr>
            <w:tcW w:w="481" w:type="pct"/>
            <w:shd w:val="clear" w:color="auto" w:fill="D9D9D9" w:themeFill="background1" w:themeFillShade="D9"/>
            <w:noWrap/>
            <w:vAlign w:val="center"/>
            <w:hideMark/>
          </w:tcPr>
          <w:p w:rsidR="0098622B" w:rsidRPr="0098622B" w:rsidP="00ED35A4" w14:paraId="7CED9F5A" w14:textId="77777777">
            <w:pPr>
              <w:spacing w:before="60" w:after="0"/>
              <w:jc w:val="center"/>
              <w:rPr>
                <w:rFonts w:cstheme="minorHAnsi"/>
                <w:b/>
                <w:color w:val="000000"/>
              </w:rPr>
            </w:pPr>
            <w:r w:rsidRPr="0098622B">
              <w:rPr>
                <w:rFonts w:cstheme="minorHAnsi"/>
                <w:color w:val="000000"/>
              </w:rPr>
              <w:t>6</w:t>
            </w:r>
          </w:p>
        </w:tc>
        <w:tc>
          <w:tcPr>
            <w:tcW w:w="400" w:type="pct"/>
            <w:shd w:val="clear" w:color="auto" w:fill="D9D9D9" w:themeFill="background1" w:themeFillShade="D9"/>
            <w:vAlign w:val="center"/>
          </w:tcPr>
          <w:p w:rsidR="0098622B" w:rsidRPr="0098622B" w:rsidP="00ED35A4" w14:paraId="430741C5" w14:textId="11B59EF7">
            <w:pPr>
              <w:spacing w:before="60" w:after="0"/>
              <w:jc w:val="center"/>
              <w:rPr>
                <w:rFonts w:cstheme="minorHAnsi"/>
                <w:b/>
                <w:color w:val="000000"/>
              </w:rPr>
            </w:pPr>
            <w:r w:rsidRPr="0098622B">
              <w:rPr>
                <w:rFonts w:cstheme="minorHAnsi"/>
                <w:color w:val="000000"/>
              </w:rPr>
              <w:t>$59,900</w:t>
            </w:r>
          </w:p>
        </w:tc>
        <w:tc>
          <w:tcPr>
            <w:tcW w:w="510" w:type="pct"/>
            <w:shd w:val="clear" w:color="auto" w:fill="D9D9D9" w:themeFill="background1" w:themeFillShade="D9"/>
            <w:vAlign w:val="center"/>
          </w:tcPr>
          <w:p w:rsidR="0098622B" w:rsidRPr="0098622B" w:rsidP="00ED35A4" w14:paraId="087308FF" w14:textId="7FA02EBC">
            <w:pPr>
              <w:spacing w:before="60" w:after="0"/>
              <w:jc w:val="center"/>
              <w:rPr>
                <w:rFonts w:cstheme="minorHAnsi"/>
                <w:b/>
                <w:color w:val="000000"/>
              </w:rPr>
            </w:pPr>
            <w:r w:rsidRPr="0098622B">
              <w:rPr>
                <w:rFonts w:cstheme="minorHAnsi"/>
                <w:color w:val="000000"/>
              </w:rPr>
              <w:t>1,508</w:t>
            </w:r>
          </w:p>
        </w:tc>
        <w:tc>
          <w:tcPr>
            <w:tcW w:w="431" w:type="pct"/>
            <w:shd w:val="clear" w:color="auto" w:fill="D9D9D9" w:themeFill="background1" w:themeFillShade="D9"/>
            <w:vAlign w:val="center"/>
          </w:tcPr>
          <w:p w:rsidR="0098622B" w:rsidRPr="0098622B" w:rsidP="00ED35A4" w14:paraId="402CDDBA" w14:textId="3F2DEDAA">
            <w:pPr>
              <w:spacing w:before="60" w:after="0"/>
              <w:jc w:val="center"/>
              <w:rPr>
                <w:rFonts w:cstheme="minorHAnsi"/>
                <w:b/>
                <w:color w:val="000000"/>
              </w:rPr>
            </w:pPr>
            <w:r w:rsidRPr="0098622B">
              <w:rPr>
                <w:rFonts w:cstheme="minorHAnsi"/>
                <w:color w:val="000000"/>
              </w:rPr>
              <w:t>4,777</w:t>
            </w:r>
          </w:p>
        </w:tc>
        <w:tc>
          <w:tcPr>
            <w:tcW w:w="469" w:type="pct"/>
            <w:shd w:val="clear" w:color="auto" w:fill="D9D9D9" w:themeFill="background1" w:themeFillShade="D9"/>
            <w:vAlign w:val="center"/>
          </w:tcPr>
          <w:p w:rsidR="0098622B" w:rsidRPr="0098622B" w:rsidP="00ED35A4" w14:paraId="1443002A" w14:textId="600366E7">
            <w:pPr>
              <w:spacing w:before="60" w:after="0"/>
              <w:jc w:val="center"/>
              <w:rPr>
                <w:rFonts w:cstheme="minorHAnsi"/>
                <w:b/>
                <w:color w:val="000000"/>
              </w:rPr>
            </w:pPr>
            <w:r w:rsidRPr="0098622B">
              <w:rPr>
                <w:rFonts w:cstheme="minorHAnsi"/>
                <w:color w:val="000000"/>
              </w:rPr>
              <w:t>$286,122</w:t>
            </w:r>
          </w:p>
        </w:tc>
      </w:tr>
    </w:tbl>
    <w:p w:rsidR="0098622B" w:rsidRPr="0098622B" w:rsidP="0098622B" w14:paraId="244F8D99" w14:textId="77777777">
      <w:pPr>
        <w:spacing w:before="60"/>
        <w:rPr>
          <w:rFonts w:cstheme="minorHAnsi"/>
          <w:color w:val="000000"/>
        </w:rPr>
      </w:pPr>
    </w:p>
    <w:p w:rsidR="0098622B" w:rsidRPr="0098622B" w:rsidP="0098622B" w14:paraId="1AF7E992" w14:textId="77777777">
      <w:pPr>
        <w:spacing w:before="60"/>
        <w:rPr>
          <w:rFonts w:cstheme="minorHAnsi"/>
          <w:color w:val="000000"/>
        </w:rPr>
        <w:sectPr w:rsidSect="0098622B">
          <w:headerReference w:type="default" r:id="rId13"/>
          <w:footerReference w:type="default" r:id="rId14"/>
          <w:footnotePr>
            <w:numFmt w:val="lowerLetter"/>
          </w:footnotePr>
          <w:endnotePr>
            <w:numFmt w:val="lowerLetter"/>
          </w:endnotePr>
          <w:pgSz w:w="15840" w:h="12240" w:orient="landscape" w:code="1"/>
          <w:pgMar w:top="1440" w:right="1440" w:bottom="1440" w:left="1440" w:header="720" w:footer="720" w:gutter="0"/>
          <w:pgNumType w:start="11"/>
          <w:cols w:space="720"/>
          <w:docGrid w:linePitch="326"/>
        </w:sectPr>
      </w:pPr>
    </w:p>
    <w:p w:rsidR="0098622B" w:rsidRPr="0098622B" w:rsidP="0098622B" w14:paraId="33C8485A" w14:textId="77777777">
      <w:pPr>
        <w:spacing w:before="60"/>
        <w:rPr>
          <w:rFonts w:cstheme="minorHAnsi"/>
          <w:b/>
          <w:bCs/>
          <w:color w:val="000000"/>
        </w:rPr>
      </w:pPr>
      <w:bookmarkStart w:id="32" w:name="_Toc168484462"/>
      <w:r w:rsidRPr="0098622B">
        <w:rPr>
          <w:rFonts w:cstheme="minorHAnsi"/>
          <w:b/>
          <w:bCs/>
          <w:color w:val="000000"/>
        </w:rPr>
        <w:t>Bottom Line Burden Hours and Costs Tables</w:t>
      </w:r>
      <w:bookmarkEnd w:id="32"/>
    </w:p>
    <w:p w:rsidR="0098622B" w:rsidRPr="0098622B" w:rsidP="0098622B" w14:paraId="258C7505" w14:textId="77777777">
      <w:pPr>
        <w:spacing w:before="60"/>
        <w:rPr>
          <w:rFonts w:cstheme="minorHAnsi"/>
          <w:b/>
          <w:bCs/>
          <w:color w:val="000000"/>
        </w:rPr>
      </w:pPr>
      <w:r w:rsidRPr="0098622B">
        <w:rPr>
          <w:rFonts w:cstheme="minorHAnsi"/>
          <w:b/>
          <w:bCs/>
          <w:color w:val="000000"/>
        </w:rPr>
        <w:t>Respondent Tally</w:t>
      </w:r>
    </w:p>
    <w:p w:rsidR="0098622B" w:rsidRPr="0098622B" w:rsidP="0098622B" w14:paraId="6AD78353" w14:textId="36DF1C5F">
      <w:pPr>
        <w:spacing w:before="60"/>
        <w:rPr>
          <w:rFonts w:cstheme="minorHAnsi"/>
          <w:color w:val="000000"/>
        </w:rPr>
      </w:pPr>
      <w:r w:rsidRPr="0098622B">
        <w:rPr>
          <w:rFonts w:cstheme="minorHAnsi"/>
          <w:color w:val="000000"/>
        </w:rPr>
        <w:t xml:space="preserve">The total burden and costs for states and facility respondents is presented in </w:t>
      </w:r>
      <w:r w:rsidRPr="0098622B">
        <w:rPr>
          <w:rFonts w:cstheme="minorHAnsi"/>
          <w:color w:val="000000"/>
        </w:rPr>
        <w:fldChar w:fldCharType="begin"/>
      </w:r>
      <w:r w:rsidRPr="0098622B">
        <w:rPr>
          <w:rFonts w:cstheme="minorHAnsi"/>
          <w:color w:val="000000"/>
        </w:rPr>
        <w:instrText xml:space="preserve"> REF _Ref158632608 \h  \* MERGEFORMAT </w:instrText>
      </w:r>
      <w:r w:rsidRPr="0098622B">
        <w:rPr>
          <w:rFonts w:cstheme="minorHAnsi"/>
          <w:color w:val="000000"/>
        </w:rPr>
        <w:fldChar w:fldCharType="separate"/>
      </w:r>
      <w:r w:rsidRPr="0098622B">
        <w:rPr>
          <w:rFonts w:cstheme="minorHAnsi"/>
          <w:color w:val="000000"/>
        </w:rPr>
        <w:t>Table 12</w:t>
      </w:r>
      <w:r w:rsidRPr="0098622B">
        <w:rPr>
          <w:rFonts w:cstheme="minorHAnsi"/>
          <w:color w:val="000000"/>
        </w:rPr>
        <w:noBreakHyphen/>
        <w:t>4</w:t>
      </w:r>
      <w:r w:rsidRPr="0098622B">
        <w:rPr>
          <w:rFonts w:cstheme="minorHAnsi"/>
          <w:color w:val="000000"/>
        </w:rPr>
        <w:fldChar w:fldCharType="end"/>
      </w:r>
      <w:r w:rsidRPr="0098622B">
        <w:rPr>
          <w:rFonts w:cstheme="minorHAnsi"/>
          <w:color w:val="000000"/>
        </w:rPr>
        <w:t>.</w:t>
      </w:r>
    </w:p>
    <w:p w:rsidR="0098622B" w:rsidRPr="0098622B" w:rsidP="006659BE" w14:paraId="68D5F286" w14:textId="77777777">
      <w:pPr>
        <w:spacing w:before="60"/>
        <w:jc w:val="center"/>
        <w:rPr>
          <w:rFonts w:cstheme="minorHAnsi"/>
          <w:b/>
          <w:bCs/>
          <w:color w:val="000000"/>
        </w:rPr>
      </w:pPr>
      <w:bookmarkStart w:id="33" w:name="_Ref158632608"/>
      <w:bookmarkStart w:id="34" w:name="_Toc168484474"/>
      <w:r w:rsidRPr="0098622B">
        <w:rPr>
          <w:rFonts w:cstheme="minorHAnsi"/>
          <w:b/>
          <w:bCs/>
          <w:color w:val="000000"/>
        </w:rPr>
        <w:t xml:space="preserve">Table </w:t>
      </w:r>
      <w:r w:rsidRPr="0098622B">
        <w:rPr>
          <w:rFonts w:cstheme="minorHAnsi"/>
          <w:b/>
          <w:bCs/>
          <w:color w:val="000000"/>
        </w:rPr>
        <w:fldChar w:fldCharType="begin"/>
      </w:r>
      <w:r w:rsidRPr="0098622B">
        <w:rPr>
          <w:rFonts w:cstheme="minorHAnsi"/>
          <w:b/>
          <w:bCs/>
          <w:color w:val="000000"/>
        </w:rPr>
        <w:instrText xml:space="preserve"> STYLEREF 2 \s </w:instrText>
      </w:r>
      <w:r w:rsidRPr="0098622B">
        <w:rPr>
          <w:rFonts w:cstheme="minorHAnsi"/>
          <w:b/>
          <w:bCs/>
          <w:color w:val="000000"/>
        </w:rPr>
        <w:fldChar w:fldCharType="separate"/>
      </w:r>
      <w:r w:rsidRPr="0098622B">
        <w:rPr>
          <w:rFonts w:cstheme="minorHAnsi"/>
          <w:b/>
          <w:bCs/>
          <w:color w:val="000000"/>
        </w:rPr>
        <w:t>12</w:t>
      </w:r>
      <w:r w:rsidRPr="0098622B">
        <w:rPr>
          <w:rFonts w:cstheme="minorHAnsi"/>
          <w:color w:val="000000"/>
        </w:rPr>
        <w:fldChar w:fldCharType="end"/>
      </w:r>
      <w:r w:rsidRPr="0098622B">
        <w:rPr>
          <w:rFonts w:cstheme="minorHAnsi"/>
          <w:b/>
          <w:bCs/>
          <w:color w:val="000000"/>
        </w:rPr>
        <w:noBreakHyphen/>
      </w:r>
      <w:r w:rsidRPr="0098622B">
        <w:rPr>
          <w:rFonts w:cstheme="minorHAnsi"/>
          <w:b/>
          <w:bCs/>
          <w:color w:val="000000"/>
        </w:rPr>
        <w:fldChar w:fldCharType="begin"/>
      </w:r>
      <w:r w:rsidRPr="0098622B">
        <w:rPr>
          <w:rFonts w:cstheme="minorHAnsi"/>
          <w:b/>
          <w:bCs/>
          <w:color w:val="000000"/>
        </w:rPr>
        <w:instrText xml:space="preserve"> SEQ Table \* ARABIC \s 2 </w:instrText>
      </w:r>
      <w:r w:rsidRPr="0098622B">
        <w:rPr>
          <w:rFonts w:cstheme="minorHAnsi"/>
          <w:b/>
          <w:bCs/>
          <w:color w:val="000000"/>
        </w:rPr>
        <w:fldChar w:fldCharType="separate"/>
      </w:r>
      <w:r w:rsidRPr="0098622B">
        <w:rPr>
          <w:rFonts w:cstheme="minorHAnsi"/>
          <w:b/>
          <w:bCs/>
          <w:color w:val="000000"/>
        </w:rPr>
        <w:t>4</w:t>
      </w:r>
      <w:r w:rsidRPr="0098622B">
        <w:rPr>
          <w:rFonts w:cstheme="minorHAnsi"/>
          <w:color w:val="000000"/>
        </w:rPr>
        <w:fldChar w:fldCharType="end"/>
      </w:r>
      <w:bookmarkEnd w:id="33"/>
      <w:r w:rsidRPr="0098622B">
        <w:rPr>
          <w:rFonts w:cstheme="minorHAnsi"/>
          <w:b/>
          <w:bCs/>
          <w:color w:val="000000"/>
        </w:rPr>
        <w:t>. Bottom Line Burden Hours and Costs for Respondents</w:t>
      </w:r>
      <w:bookmarkEnd w:id="34"/>
    </w:p>
    <w:tbl>
      <w:tblPr>
        <w:tblW w:w="936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560"/>
        <w:gridCol w:w="1560"/>
        <w:gridCol w:w="1560"/>
        <w:gridCol w:w="1560"/>
        <w:gridCol w:w="1560"/>
      </w:tblGrid>
      <w:tr w14:paraId="3852D467" w14:textId="77777777" w:rsidTr="00563B45">
        <w:tblPrEx>
          <w:tblW w:w="936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8"/>
        </w:trPr>
        <w:tc>
          <w:tcPr>
            <w:tcW w:w="1560" w:type="dxa"/>
            <w:vMerge w:val="restart"/>
            <w:shd w:val="clear" w:color="auto" w:fill="D9D9D9" w:themeFill="background1" w:themeFillShade="D9"/>
            <w:vAlign w:val="center"/>
            <w:hideMark/>
          </w:tcPr>
          <w:p w:rsidR="0098622B" w:rsidRPr="0098622B" w:rsidP="00563B45" w14:paraId="72C5E3C1" w14:textId="77777777">
            <w:pPr>
              <w:spacing w:before="60"/>
              <w:jc w:val="center"/>
              <w:rPr>
                <w:rFonts w:cstheme="minorHAnsi"/>
                <w:b/>
                <w:bCs/>
                <w:color w:val="000000"/>
              </w:rPr>
            </w:pPr>
            <w:r w:rsidRPr="0098622B">
              <w:rPr>
                <w:rFonts w:cstheme="minorHAnsi"/>
                <w:b/>
                <w:bCs/>
                <w:color w:val="000000"/>
              </w:rPr>
              <w:t>Respondent</w:t>
            </w:r>
          </w:p>
        </w:tc>
        <w:tc>
          <w:tcPr>
            <w:tcW w:w="1560" w:type="dxa"/>
            <w:vMerge w:val="restart"/>
            <w:shd w:val="clear" w:color="auto" w:fill="D9D9D9" w:themeFill="background1" w:themeFillShade="D9"/>
            <w:vAlign w:val="center"/>
            <w:hideMark/>
          </w:tcPr>
          <w:p w:rsidR="0098622B" w:rsidRPr="0098622B" w:rsidP="00563B45" w14:paraId="2CBF6497" w14:textId="68414CAD">
            <w:pPr>
              <w:spacing w:before="60"/>
              <w:jc w:val="center"/>
              <w:rPr>
                <w:rFonts w:cstheme="minorHAnsi"/>
                <w:b/>
                <w:bCs/>
                <w:color w:val="000000"/>
              </w:rPr>
            </w:pPr>
            <w:r w:rsidRPr="0098622B">
              <w:rPr>
                <w:rFonts w:cstheme="minorHAnsi"/>
                <w:b/>
                <w:bCs/>
                <w:color w:val="000000"/>
              </w:rPr>
              <w:t>Labor Hours / Respondent / Year</w:t>
            </w:r>
          </w:p>
        </w:tc>
        <w:tc>
          <w:tcPr>
            <w:tcW w:w="1560" w:type="dxa"/>
            <w:vMerge w:val="restart"/>
            <w:shd w:val="clear" w:color="auto" w:fill="D9D9D9" w:themeFill="background1" w:themeFillShade="D9"/>
            <w:vAlign w:val="center"/>
            <w:hideMark/>
          </w:tcPr>
          <w:p w:rsidR="0098622B" w:rsidRPr="0098622B" w:rsidP="00563B45" w14:paraId="4582C9E6" w14:textId="77777777">
            <w:pPr>
              <w:spacing w:before="60"/>
              <w:jc w:val="center"/>
              <w:rPr>
                <w:rFonts w:cstheme="minorHAnsi"/>
                <w:b/>
                <w:bCs/>
                <w:color w:val="000000"/>
              </w:rPr>
            </w:pPr>
            <w:r w:rsidRPr="0098622B">
              <w:rPr>
                <w:rFonts w:cstheme="minorHAnsi"/>
                <w:b/>
                <w:bCs/>
                <w:color w:val="000000"/>
              </w:rPr>
              <w:t>Number of Respondents</w:t>
            </w:r>
          </w:p>
        </w:tc>
        <w:tc>
          <w:tcPr>
            <w:tcW w:w="1560" w:type="dxa"/>
            <w:vMerge w:val="restart"/>
            <w:shd w:val="clear" w:color="auto" w:fill="D9D9D9" w:themeFill="background1" w:themeFillShade="D9"/>
            <w:vAlign w:val="center"/>
            <w:hideMark/>
          </w:tcPr>
          <w:p w:rsidR="0098622B" w:rsidRPr="0098622B" w:rsidP="00563B45" w14:paraId="45885C9D" w14:textId="77777777">
            <w:pPr>
              <w:spacing w:before="60"/>
              <w:jc w:val="center"/>
              <w:rPr>
                <w:rFonts w:cstheme="minorHAnsi"/>
                <w:b/>
                <w:bCs/>
                <w:color w:val="000000"/>
              </w:rPr>
            </w:pPr>
            <w:r w:rsidRPr="0098622B">
              <w:rPr>
                <w:rFonts w:cstheme="minorHAnsi"/>
                <w:b/>
                <w:bCs/>
                <w:color w:val="000000"/>
              </w:rPr>
              <w:t>Labor Rate</w:t>
            </w:r>
          </w:p>
        </w:tc>
        <w:tc>
          <w:tcPr>
            <w:tcW w:w="1560" w:type="dxa"/>
            <w:vMerge w:val="restart"/>
            <w:shd w:val="clear" w:color="auto" w:fill="D9D9D9" w:themeFill="background1" w:themeFillShade="D9"/>
            <w:vAlign w:val="center"/>
            <w:hideMark/>
          </w:tcPr>
          <w:p w:rsidR="0098622B" w:rsidRPr="0098622B" w:rsidP="00563B45" w14:paraId="1B55C7A2" w14:textId="77777777">
            <w:pPr>
              <w:spacing w:before="60"/>
              <w:jc w:val="center"/>
              <w:rPr>
                <w:rFonts w:cstheme="minorHAnsi"/>
                <w:b/>
                <w:bCs/>
                <w:color w:val="000000"/>
              </w:rPr>
            </w:pPr>
            <w:r w:rsidRPr="0098622B">
              <w:rPr>
                <w:rFonts w:cstheme="minorHAnsi"/>
                <w:b/>
                <w:bCs/>
                <w:color w:val="000000"/>
              </w:rPr>
              <w:t>Labor Respondent Hours</w:t>
            </w:r>
          </w:p>
        </w:tc>
        <w:tc>
          <w:tcPr>
            <w:tcW w:w="1560" w:type="dxa"/>
            <w:vMerge w:val="restart"/>
            <w:shd w:val="clear" w:color="auto" w:fill="D9D9D9" w:themeFill="background1" w:themeFillShade="D9"/>
            <w:vAlign w:val="center"/>
            <w:hideMark/>
          </w:tcPr>
          <w:p w:rsidR="0098622B" w:rsidRPr="0098622B" w:rsidP="00563B45" w14:paraId="44D8481A" w14:textId="77777777">
            <w:pPr>
              <w:spacing w:before="60"/>
              <w:jc w:val="center"/>
              <w:rPr>
                <w:rFonts w:cstheme="minorHAnsi"/>
                <w:b/>
                <w:bCs/>
                <w:color w:val="000000"/>
              </w:rPr>
            </w:pPr>
            <w:r w:rsidRPr="0098622B">
              <w:rPr>
                <w:rFonts w:cstheme="minorHAnsi"/>
                <w:b/>
                <w:bCs/>
                <w:color w:val="000000"/>
              </w:rPr>
              <w:t>Total Labor Costs / Year</w:t>
            </w:r>
          </w:p>
        </w:tc>
      </w:tr>
      <w:tr w14:paraId="03A0ED13" w14:textId="77777777" w:rsidTr="00563B45">
        <w:tblPrEx>
          <w:tblW w:w="9360" w:type="dxa"/>
          <w:tblInd w:w="-20" w:type="dxa"/>
          <w:tblLayout w:type="fixed"/>
          <w:tblLook w:val="04A0"/>
        </w:tblPrEx>
        <w:trPr>
          <w:trHeight w:val="458"/>
        </w:trPr>
        <w:tc>
          <w:tcPr>
            <w:tcW w:w="1560" w:type="dxa"/>
            <w:vMerge/>
            <w:shd w:val="clear" w:color="auto" w:fill="D9D9D9" w:themeFill="background1" w:themeFillShade="D9"/>
            <w:vAlign w:val="center"/>
            <w:hideMark/>
          </w:tcPr>
          <w:p w:rsidR="0098622B" w:rsidRPr="0098622B" w:rsidP="0098622B" w14:paraId="5CAB4DC8" w14:textId="77777777">
            <w:pPr>
              <w:spacing w:before="60"/>
              <w:rPr>
                <w:rFonts w:cstheme="minorHAnsi"/>
                <w:b/>
                <w:bCs/>
                <w:color w:val="000000"/>
              </w:rPr>
            </w:pPr>
          </w:p>
        </w:tc>
        <w:tc>
          <w:tcPr>
            <w:tcW w:w="1560" w:type="dxa"/>
            <w:vMerge/>
            <w:shd w:val="clear" w:color="auto" w:fill="D9D9D9" w:themeFill="background1" w:themeFillShade="D9"/>
            <w:vAlign w:val="center"/>
            <w:hideMark/>
          </w:tcPr>
          <w:p w:rsidR="0098622B" w:rsidRPr="0098622B" w:rsidP="0098622B" w14:paraId="32D3CDBF" w14:textId="77777777">
            <w:pPr>
              <w:spacing w:before="60"/>
              <w:rPr>
                <w:rFonts w:cstheme="minorHAnsi"/>
                <w:b/>
                <w:bCs/>
                <w:color w:val="000000"/>
              </w:rPr>
            </w:pPr>
          </w:p>
        </w:tc>
        <w:tc>
          <w:tcPr>
            <w:tcW w:w="1560" w:type="dxa"/>
            <w:vMerge/>
            <w:shd w:val="clear" w:color="auto" w:fill="D9D9D9" w:themeFill="background1" w:themeFillShade="D9"/>
            <w:vAlign w:val="center"/>
            <w:hideMark/>
          </w:tcPr>
          <w:p w:rsidR="0098622B" w:rsidRPr="0098622B" w:rsidP="0098622B" w14:paraId="0288D4EF" w14:textId="77777777">
            <w:pPr>
              <w:spacing w:before="60"/>
              <w:rPr>
                <w:rFonts w:cstheme="minorHAnsi"/>
                <w:b/>
                <w:bCs/>
                <w:color w:val="000000"/>
              </w:rPr>
            </w:pPr>
          </w:p>
        </w:tc>
        <w:tc>
          <w:tcPr>
            <w:tcW w:w="1560" w:type="dxa"/>
            <w:vMerge/>
            <w:shd w:val="clear" w:color="auto" w:fill="D9D9D9" w:themeFill="background1" w:themeFillShade="D9"/>
            <w:vAlign w:val="center"/>
            <w:hideMark/>
          </w:tcPr>
          <w:p w:rsidR="0098622B" w:rsidRPr="0098622B" w:rsidP="0098622B" w14:paraId="565D7F4F" w14:textId="77777777">
            <w:pPr>
              <w:spacing w:before="60"/>
              <w:rPr>
                <w:rFonts w:cstheme="minorHAnsi"/>
                <w:b/>
                <w:bCs/>
                <w:color w:val="000000"/>
              </w:rPr>
            </w:pPr>
          </w:p>
        </w:tc>
        <w:tc>
          <w:tcPr>
            <w:tcW w:w="1560" w:type="dxa"/>
            <w:vMerge/>
            <w:shd w:val="clear" w:color="auto" w:fill="D9D9D9" w:themeFill="background1" w:themeFillShade="D9"/>
            <w:vAlign w:val="center"/>
            <w:hideMark/>
          </w:tcPr>
          <w:p w:rsidR="0098622B" w:rsidRPr="0098622B" w:rsidP="0098622B" w14:paraId="5BE9D32A" w14:textId="77777777">
            <w:pPr>
              <w:spacing w:before="60"/>
              <w:rPr>
                <w:rFonts w:cstheme="minorHAnsi"/>
                <w:b/>
                <w:bCs/>
                <w:color w:val="000000"/>
              </w:rPr>
            </w:pPr>
          </w:p>
        </w:tc>
        <w:tc>
          <w:tcPr>
            <w:tcW w:w="1560" w:type="dxa"/>
            <w:vMerge/>
            <w:shd w:val="clear" w:color="auto" w:fill="D9D9D9" w:themeFill="background1" w:themeFillShade="D9"/>
            <w:vAlign w:val="center"/>
            <w:hideMark/>
          </w:tcPr>
          <w:p w:rsidR="0098622B" w:rsidRPr="0098622B" w:rsidP="0098622B" w14:paraId="3456DE75" w14:textId="77777777">
            <w:pPr>
              <w:spacing w:before="60"/>
              <w:rPr>
                <w:rFonts w:cstheme="minorHAnsi"/>
                <w:b/>
                <w:bCs/>
                <w:color w:val="000000"/>
              </w:rPr>
            </w:pPr>
          </w:p>
        </w:tc>
      </w:tr>
      <w:tr w14:paraId="6174E45B" w14:textId="77777777" w:rsidTr="00563B45">
        <w:tblPrEx>
          <w:tblW w:w="9360" w:type="dxa"/>
          <w:tblInd w:w="-20" w:type="dxa"/>
          <w:tblLayout w:type="fixed"/>
          <w:tblLook w:val="04A0"/>
        </w:tblPrEx>
        <w:trPr>
          <w:trHeight w:val="129"/>
        </w:trPr>
        <w:tc>
          <w:tcPr>
            <w:tcW w:w="1560" w:type="dxa"/>
            <w:hideMark/>
          </w:tcPr>
          <w:p w:rsidR="0098622B" w:rsidRPr="0098622B" w:rsidP="00ED35A4" w14:paraId="4FB398B7" w14:textId="77777777">
            <w:pPr>
              <w:spacing w:after="0"/>
              <w:rPr>
                <w:rFonts w:cstheme="minorHAnsi"/>
                <w:color w:val="000000"/>
              </w:rPr>
            </w:pPr>
            <w:r w:rsidRPr="0098622B">
              <w:rPr>
                <w:rFonts w:cstheme="minorHAnsi"/>
                <w:color w:val="000000"/>
              </w:rPr>
              <w:t>State - Technical Data and Needs</w:t>
            </w:r>
          </w:p>
        </w:tc>
        <w:tc>
          <w:tcPr>
            <w:tcW w:w="1560" w:type="dxa"/>
            <w:noWrap/>
            <w:vAlign w:val="center"/>
            <w:hideMark/>
          </w:tcPr>
          <w:p w:rsidR="0098622B" w:rsidRPr="0098622B" w:rsidP="00ED35A4" w14:paraId="37F681C4" w14:textId="77777777">
            <w:pPr>
              <w:spacing w:after="0"/>
              <w:jc w:val="center"/>
              <w:rPr>
                <w:rFonts w:cstheme="minorHAnsi"/>
                <w:color w:val="000000"/>
              </w:rPr>
            </w:pPr>
            <w:r w:rsidRPr="0098622B">
              <w:rPr>
                <w:rFonts w:cstheme="minorHAnsi"/>
                <w:color w:val="000000"/>
              </w:rPr>
              <w:t>171.07</w:t>
            </w:r>
          </w:p>
        </w:tc>
        <w:tc>
          <w:tcPr>
            <w:tcW w:w="1560" w:type="dxa"/>
            <w:noWrap/>
            <w:vAlign w:val="center"/>
            <w:hideMark/>
          </w:tcPr>
          <w:p w:rsidR="0098622B" w:rsidRPr="0098622B" w:rsidP="00ED35A4" w14:paraId="06DD1B84" w14:textId="77777777">
            <w:pPr>
              <w:spacing w:after="0"/>
              <w:jc w:val="center"/>
              <w:rPr>
                <w:rFonts w:cstheme="minorHAnsi"/>
                <w:color w:val="000000"/>
              </w:rPr>
            </w:pPr>
            <w:r w:rsidRPr="0098622B">
              <w:rPr>
                <w:rFonts w:cstheme="minorHAnsi"/>
                <w:color w:val="000000"/>
              </w:rPr>
              <w:t>56</w:t>
            </w:r>
          </w:p>
        </w:tc>
        <w:tc>
          <w:tcPr>
            <w:tcW w:w="1560" w:type="dxa"/>
            <w:noWrap/>
            <w:vAlign w:val="center"/>
            <w:hideMark/>
          </w:tcPr>
          <w:p w:rsidR="0098622B" w:rsidRPr="0098622B" w:rsidP="00ED35A4" w14:paraId="6B754C3A" w14:textId="77777777">
            <w:pPr>
              <w:spacing w:after="0"/>
              <w:jc w:val="center"/>
              <w:rPr>
                <w:rFonts w:cstheme="minorHAnsi"/>
                <w:color w:val="000000"/>
              </w:rPr>
            </w:pPr>
            <w:r w:rsidRPr="0098622B">
              <w:rPr>
                <w:rFonts w:cstheme="minorHAnsi"/>
                <w:color w:val="000000"/>
              </w:rPr>
              <w:t>$59.90 / hr.</w:t>
            </w:r>
          </w:p>
        </w:tc>
        <w:tc>
          <w:tcPr>
            <w:tcW w:w="1560" w:type="dxa"/>
            <w:noWrap/>
            <w:vAlign w:val="center"/>
            <w:hideMark/>
          </w:tcPr>
          <w:p w:rsidR="0098622B" w:rsidRPr="0098622B" w:rsidP="00ED35A4" w14:paraId="0DFA2C88" w14:textId="77777777">
            <w:pPr>
              <w:spacing w:after="0"/>
              <w:jc w:val="center"/>
              <w:rPr>
                <w:rFonts w:cstheme="minorHAnsi"/>
                <w:color w:val="000000"/>
              </w:rPr>
            </w:pPr>
            <w:r w:rsidRPr="0098622B">
              <w:rPr>
                <w:rFonts w:cstheme="minorHAnsi"/>
                <w:color w:val="000000"/>
              </w:rPr>
              <w:t>9,580</w:t>
            </w:r>
          </w:p>
        </w:tc>
        <w:tc>
          <w:tcPr>
            <w:tcW w:w="1560" w:type="dxa"/>
            <w:noWrap/>
            <w:vAlign w:val="center"/>
            <w:hideMark/>
          </w:tcPr>
          <w:p w:rsidR="0098622B" w:rsidRPr="0098622B" w:rsidP="00ED35A4" w14:paraId="518B20C4" w14:textId="7D780AF9">
            <w:pPr>
              <w:spacing w:after="0"/>
              <w:jc w:val="center"/>
              <w:rPr>
                <w:rFonts w:cstheme="minorHAnsi"/>
                <w:color w:val="000000"/>
              </w:rPr>
            </w:pPr>
            <w:r w:rsidRPr="0098622B">
              <w:rPr>
                <w:rFonts w:cstheme="minorHAnsi"/>
                <w:color w:val="000000"/>
              </w:rPr>
              <w:t>$573,841</w:t>
            </w:r>
          </w:p>
        </w:tc>
      </w:tr>
      <w:tr w14:paraId="763F5FB2" w14:textId="77777777" w:rsidTr="00563B45">
        <w:tblPrEx>
          <w:tblW w:w="9360" w:type="dxa"/>
          <w:tblInd w:w="-20" w:type="dxa"/>
          <w:tblLayout w:type="fixed"/>
          <w:tblLook w:val="04A0"/>
        </w:tblPrEx>
        <w:trPr>
          <w:trHeight w:val="129"/>
        </w:trPr>
        <w:tc>
          <w:tcPr>
            <w:tcW w:w="1560" w:type="dxa"/>
          </w:tcPr>
          <w:p w:rsidR="0098622B" w:rsidRPr="0098622B" w:rsidP="00ED35A4" w14:paraId="5C695923" w14:textId="77777777">
            <w:pPr>
              <w:spacing w:after="0"/>
              <w:rPr>
                <w:rFonts w:cstheme="minorHAnsi"/>
                <w:color w:val="000000"/>
              </w:rPr>
            </w:pPr>
            <w:r w:rsidRPr="0098622B">
              <w:rPr>
                <w:rFonts w:cstheme="minorHAnsi"/>
                <w:color w:val="000000"/>
              </w:rPr>
              <w:t>State - Technical Data Only</w:t>
            </w:r>
          </w:p>
        </w:tc>
        <w:tc>
          <w:tcPr>
            <w:tcW w:w="1560" w:type="dxa"/>
            <w:noWrap/>
            <w:vAlign w:val="center"/>
          </w:tcPr>
          <w:p w:rsidR="0098622B" w:rsidRPr="0098622B" w:rsidP="00ED35A4" w14:paraId="508D8B00" w14:textId="77777777">
            <w:pPr>
              <w:spacing w:after="0"/>
              <w:jc w:val="center"/>
              <w:rPr>
                <w:rFonts w:cstheme="minorHAnsi"/>
                <w:color w:val="000000"/>
              </w:rPr>
            </w:pPr>
            <w:r w:rsidRPr="0098622B">
              <w:rPr>
                <w:rFonts w:cstheme="minorHAnsi"/>
                <w:color w:val="000000"/>
              </w:rPr>
              <w:t>22.48</w:t>
            </w:r>
          </w:p>
        </w:tc>
        <w:tc>
          <w:tcPr>
            <w:tcW w:w="1560" w:type="dxa"/>
            <w:noWrap/>
            <w:vAlign w:val="center"/>
          </w:tcPr>
          <w:p w:rsidR="0098622B" w:rsidRPr="0098622B" w:rsidP="00ED35A4" w14:paraId="611A5F6E" w14:textId="77777777">
            <w:pPr>
              <w:spacing w:after="0"/>
              <w:jc w:val="center"/>
              <w:rPr>
                <w:rFonts w:cstheme="minorHAnsi"/>
                <w:color w:val="000000"/>
              </w:rPr>
            </w:pPr>
            <w:r w:rsidRPr="0098622B">
              <w:rPr>
                <w:rFonts w:cstheme="minorHAnsi"/>
                <w:color w:val="000000"/>
              </w:rPr>
              <w:t>56</w:t>
            </w:r>
          </w:p>
        </w:tc>
        <w:tc>
          <w:tcPr>
            <w:tcW w:w="1560" w:type="dxa"/>
            <w:noWrap/>
            <w:vAlign w:val="center"/>
          </w:tcPr>
          <w:p w:rsidR="0098622B" w:rsidRPr="0098622B" w:rsidP="00ED35A4" w14:paraId="4BCBF665" w14:textId="77777777">
            <w:pPr>
              <w:spacing w:after="0"/>
              <w:jc w:val="center"/>
              <w:rPr>
                <w:rFonts w:cstheme="minorHAnsi"/>
                <w:color w:val="000000"/>
              </w:rPr>
            </w:pPr>
            <w:r w:rsidRPr="0098622B">
              <w:rPr>
                <w:rFonts w:cstheme="minorHAnsi"/>
                <w:color w:val="000000"/>
              </w:rPr>
              <w:t>$59.90 / hr.</w:t>
            </w:r>
          </w:p>
        </w:tc>
        <w:tc>
          <w:tcPr>
            <w:tcW w:w="1560" w:type="dxa"/>
            <w:noWrap/>
            <w:vAlign w:val="center"/>
          </w:tcPr>
          <w:p w:rsidR="0098622B" w:rsidRPr="0098622B" w:rsidP="00ED35A4" w14:paraId="6AB86F0F" w14:textId="77777777">
            <w:pPr>
              <w:spacing w:after="0"/>
              <w:jc w:val="center"/>
              <w:rPr>
                <w:rFonts w:cstheme="minorHAnsi"/>
                <w:color w:val="000000"/>
              </w:rPr>
            </w:pPr>
            <w:r w:rsidRPr="0098622B">
              <w:rPr>
                <w:rFonts w:cstheme="minorHAnsi"/>
                <w:color w:val="000000"/>
              </w:rPr>
              <w:t>1,259</w:t>
            </w:r>
          </w:p>
        </w:tc>
        <w:tc>
          <w:tcPr>
            <w:tcW w:w="1560" w:type="dxa"/>
            <w:noWrap/>
            <w:vAlign w:val="center"/>
          </w:tcPr>
          <w:p w:rsidR="0098622B" w:rsidRPr="0098622B" w:rsidP="00ED35A4" w14:paraId="408981A5" w14:textId="0149FE34">
            <w:pPr>
              <w:spacing w:after="0"/>
              <w:jc w:val="center"/>
              <w:rPr>
                <w:rFonts w:cstheme="minorHAnsi"/>
                <w:color w:val="000000"/>
              </w:rPr>
            </w:pPr>
            <w:r w:rsidRPr="0098622B">
              <w:rPr>
                <w:rFonts w:cstheme="minorHAnsi"/>
                <w:color w:val="000000"/>
              </w:rPr>
              <w:t>$75,407</w:t>
            </w:r>
          </w:p>
        </w:tc>
      </w:tr>
      <w:tr w14:paraId="4A698087" w14:textId="77777777" w:rsidTr="00563B45">
        <w:tblPrEx>
          <w:tblW w:w="9360" w:type="dxa"/>
          <w:tblInd w:w="-20" w:type="dxa"/>
          <w:tblLayout w:type="fixed"/>
          <w:tblLook w:val="04A0"/>
        </w:tblPrEx>
        <w:trPr>
          <w:trHeight w:val="129"/>
        </w:trPr>
        <w:tc>
          <w:tcPr>
            <w:tcW w:w="1560" w:type="dxa"/>
            <w:hideMark/>
          </w:tcPr>
          <w:p w:rsidR="0098622B" w:rsidRPr="0098622B" w:rsidP="00ED35A4" w14:paraId="784717D0" w14:textId="77777777">
            <w:pPr>
              <w:spacing w:after="0"/>
              <w:rPr>
                <w:rFonts w:cstheme="minorHAnsi"/>
                <w:color w:val="000000"/>
              </w:rPr>
            </w:pPr>
            <w:r w:rsidRPr="0098622B">
              <w:rPr>
                <w:rFonts w:cstheme="minorHAnsi"/>
                <w:color w:val="000000"/>
              </w:rPr>
              <w:t>Facility - Technical Data and Needs</w:t>
            </w:r>
          </w:p>
        </w:tc>
        <w:tc>
          <w:tcPr>
            <w:tcW w:w="1560" w:type="dxa"/>
            <w:noWrap/>
            <w:vAlign w:val="center"/>
            <w:hideMark/>
          </w:tcPr>
          <w:p w:rsidR="0098622B" w:rsidRPr="0098622B" w:rsidP="00ED35A4" w14:paraId="5A6972FC" w14:textId="77777777">
            <w:pPr>
              <w:spacing w:after="0"/>
              <w:jc w:val="center"/>
              <w:rPr>
                <w:rFonts w:cstheme="minorHAnsi"/>
                <w:color w:val="000000"/>
              </w:rPr>
            </w:pPr>
            <w:r w:rsidRPr="0098622B">
              <w:rPr>
                <w:rFonts w:cstheme="minorHAnsi"/>
                <w:color w:val="000000"/>
              </w:rPr>
              <w:t>0.33</w:t>
            </w:r>
          </w:p>
        </w:tc>
        <w:tc>
          <w:tcPr>
            <w:tcW w:w="1560" w:type="dxa"/>
            <w:noWrap/>
            <w:vAlign w:val="center"/>
            <w:hideMark/>
          </w:tcPr>
          <w:p w:rsidR="0098622B" w:rsidRPr="0098622B" w:rsidP="00ED35A4" w14:paraId="1A6D0118" w14:textId="77777777">
            <w:pPr>
              <w:spacing w:after="0"/>
              <w:jc w:val="center"/>
              <w:rPr>
                <w:rFonts w:cstheme="minorHAnsi"/>
                <w:color w:val="000000"/>
              </w:rPr>
            </w:pPr>
            <w:r w:rsidRPr="0098622B">
              <w:rPr>
                <w:rFonts w:cstheme="minorHAnsi"/>
                <w:color w:val="000000"/>
              </w:rPr>
              <w:t>6,517</w:t>
            </w:r>
          </w:p>
        </w:tc>
        <w:tc>
          <w:tcPr>
            <w:tcW w:w="1560" w:type="dxa"/>
            <w:noWrap/>
            <w:vAlign w:val="center"/>
            <w:hideMark/>
          </w:tcPr>
          <w:p w:rsidR="0098622B" w:rsidRPr="0098622B" w:rsidP="00ED35A4" w14:paraId="62CFBD80" w14:textId="77777777">
            <w:pPr>
              <w:spacing w:after="0"/>
              <w:jc w:val="center"/>
              <w:rPr>
                <w:rFonts w:cstheme="minorHAnsi"/>
                <w:color w:val="000000"/>
              </w:rPr>
            </w:pPr>
            <w:r w:rsidRPr="0098622B">
              <w:rPr>
                <w:rFonts w:cstheme="minorHAnsi"/>
                <w:color w:val="000000"/>
              </w:rPr>
              <w:t>$59.90 / hr.</w:t>
            </w:r>
          </w:p>
        </w:tc>
        <w:tc>
          <w:tcPr>
            <w:tcW w:w="1560" w:type="dxa"/>
            <w:noWrap/>
            <w:vAlign w:val="center"/>
            <w:hideMark/>
          </w:tcPr>
          <w:p w:rsidR="0098622B" w:rsidRPr="0098622B" w:rsidP="00ED35A4" w14:paraId="56A5B1CA" w14:textId="77777777">
            <w:pPr>
              <w:spacing w:after="0"/>
              <w:jc w:val="center"/>
              <w:rPr>
                <w:rFonts w:cstheme="minorHAnsi"/>
                <w:color w:val="000000"/>
              </w:rPr>
            </w:pPr>
            <w:r w:rsidRPr="0098622B">
              <w:rPr>
                <w:rFonts w:cstheme="minorHAnsi"/>
                <w:color w:val="000000"/>
              </w:rPr>
              <w:t>2,170</w:t>
            </w:r>
          </w:p>
        </w:tc>
        <w:tc>
          <w:tcPr>
            <w:tcW w:w="1560" w:type="dxa"/>
            <w:noWrap/>
            <w:vAlign w:val="center"/>
            <w:hideMark/>
          </w:tcPr>
          <w:p w:rsidR="0098622B" w:rsidRPr="0098622B" w:rsidP="00ED35A4" w14:paraId="2DA26781" w14:textId="0EA9BB3A">
            <w:pPr>
              <w:spacing w:after="0"/>
              <w:jc w:val="center"/>
              <w:rPr>
                <w:rFonts w:cstheme="minorHAnsi"/>
                <w:color w:val="000000"/>
              </w:rPr>
            </w:pPr>
            <w:r w:rsidRPr="0098622B">
              <w:rPr>
                <w:rFonts w:cstheme="minorHAnsi"/>
                <w:color w:val="000000"/>
              </w:rPr>
              <w:t>$129,993</w:t>
            </w:r>
          </w:p>
        </w:tc>
      </w:tr>
      <w:tr w14:paraId="34755F16" w14:textId="77777777" w:rsidTr="00563B45">
        <w:tblPrEx>
          <w:tblW w:w="9360" w:type="dxa"/>
          <w:tblInd w:w="-20" w:type="dxa"/>
          <w:tblLayout w:type="fixed"/>
          <w:tblLook w:val="04A0"/>
        </w:tblPrEx>
        <w:trPr>
          <w:trHeight w:val="129"/>
        </w:trPr>
        <w:tc>
          <w:tcPr>
            <w:tcW w:w="1560" w:type="dxa"/>
          </w:tcPr>
          <w:p w:rsidR="0098622B" w:rsidRPr="0098622B" w:rsidP="00ED35A4" w14:paraId="4C748B84" w14:textId="77777777">
            <w:pPr>
              <w:spacing w:after="0"/>
              <w:rPr>
                <w:rFonts w:cstheme="minorHAnsi"/>
                <w:b/>
                <w:bCs/>
                <w:color w:val="000000"/>
              </w:rPr>
            </w:pPr>
            <w:r w:rsidRPr="0098622B">
              <w:rPr>
                <w:rFonts w:cstheme="minorHAnsi"/>
                <w:color w:val="000000"/>
              </w:rPr>
              <w:t>Facility - Sampled</w:t>
            </w:r>
          </w:p>
        </w:tc>
        <w:tc>
          <w:tcPr>
            <w:tcW w:w="1560" w:type="dxa"/>
            <w:noWrap/>
            <w:vAlign w:val="center"/>
          </w:tcPr>
          <w:p w:rsidR="0098622B" w:rsidRPr="0098622B" w:rsidP="00ED35A4" w14:paraId="2E1923F1" w14:textId="77777777">
            <w:pPr>
              <w:spacing w:after="0"/>
              <w:jc w:val="center"/>
              <w:rPr>
                <w:rFonts w:cstheme="minorHAnsi"/>
                <w:color w:val="000000"/>
              </w:rPr>
            </w:pPr>
            <w:r w:rsidRPr="0098622B">
              <w:rPr>
                <w:rFonts w:cstheme="minorHAnsi"/>
                <w:color w:val="000000"/>
              </w:rPr>
              <w:t>2.00</w:t>
            </w:r>
          </w:p>
        </w:tc>
        <w:tc>
          <w:tcPr>
            <w:tcW w:w="1560" w:type="dxa"/>
            <w:noWrap/>
            <w:vAlign w:val="center"/>
          </w:tcPr>
          <w:p w:rsidR="0098622B" w:rsidRPr="0098622B" w:rsidP="00ED35A4" w14:paraId="158497FD" w14:textId="77777777">
            <w:pPr>
              <w:spacing w:after="0"/>
              <w:jc w:val="center"/>
              <w:rPr>
                <w:rFonts w:cstheme="minorHAnsi"/>
                <w:color w:val="000000"/>
              </w:rPr>
            </w:pPr>
            <w:r w:rsidRPr="0098622B">
              <w:rPr>
                <w:rFonts w:cstheme="minorHAnsi"/>
                <w:color w:val="000000"/>
              </w:rPr>
              <w:t>167</w:t>
            </w:r>
          </w:p>
        </w:tc>
        <w:tc>
          <w:tcPr>
            <w:tcW w:w="1560" w:type="dxa"/>
            <w:noWrap/>
            <w:vAlign w:val="center"/>
          </w:tcPr>
          <w:p w:rsidR="0098622B" w:rsidRPr="0098622B" w:rsidP="00ED35A4" w14:paraId="1AC78AAC" w14:textId="77777777">
            <w:pPr>
              <w:spacing w:after="0"/>
              <w:jc w:val="center"/>
              <w:rPr>
                <w:rFonts w:cstheme="minorHAnsi"/>
                <w:color w:val="000000"/>
              </w:rPr>
            </w:pPr>
            <w:r w:rsidRPr="0098622B">
              <w:rPr>
                <w:rFonts w:cstheme="minorHAnsi"/>
                <w:color w:val="000000"/>
              </w:rPr>
              <w:t>$59.90 / hr.</w:t>
            </w:r>
          </w:p>
        </w:tc>
        <w:tc>
          <w:tcPr>
            <w:tcW w:w="1560" w:type="dxa"/>
            <w:noWrap/>
            <w:vAlign w:val="center"/>
          </w:tcPr>
          <w:p w:rsidR="0098622B" w:rsidRPr="0098622B" w:rsidP="00ED35A4" w14:paraId="741FA014" w14:textId="77777777">
            <w:pPr>
              <w:spacing w:after="0"/>
              <w:jc w:val="center"/>
              <w:rPr>
                <w:rFonts w:cstheme="minorHAnsi"/>
                <w:color w:val="000000"/>
              </w:rPr>
            </w:pPr>
            <w:r w:rsidRPr="0098622B">
              <w:rPr>
                <w:rFonts w:cstheme="minorHAnsi"/>
                <w:color w:val="000000"/>
              </w:rPr>
              <w:t>333</w:t>
            </w:r>
          </w:p>
        </w:tc>
        <w:tc>
          <w:tcPr>
            <w:tcW w:w="1560" w:type="dxa"/>
            <w:noWrap/>
            <w:vAlign w:val="center"/>
          </w:tcPr>
          <w:p w:rsidR="0098622B" w:rsidRPr="0098622B" w:rsidP="00ED35A4" w14:paraId="7C4D16EC" w14:textId="20806B9A">
            <w:pPr>
              <w:spacing w:after="0"/>
              <w:jc w:val="center"/>
              <w:rPr>
                <w:rFonts w:cstheme="minorHAnsi"/>
                <w:color w:val="000000"/>
              </w:rPr>
            </w:pPr>
            <w:r w:rsidRPr="0098622B">
              <w:rPr>
                <w:rFonts w:cstheme="minorHAnsi"/>
                <w:color w:val="000000"/>
              </w:rPr>
              <w:t>$19,967</w:t>
            </w:r>
          </w:p>
        </w:tc>
      </w:tr>
      <w:tr w14:paraId="1296E705" w14:textId="77777777" w:rsidTr="00563B45">
        <w:tblPrEx>
          <w:tblW w:w="9360" w:type="dxa"/>
          <w:tblInd w:w="-20" w:type="dxa"/>
          <w:tblLayout w:type="fixed"/>
          <w:tblLook w:val="04A0"/>
        </w:tblPrEx>
        <w:trPr>
          <w:trHeight w:val="129"/>
        </w:trPr>
        <w:tc>
          <w:tcPr>
            <w:tcW w:w="1560" w:type="dxa"/>
            <w:hideMark/>
          </w:tcPr>
          <w:p w:rsidR="0098622B" w:rsidRPr="0098622B" w:rsidP="00ED35A4" w14:paraId="15CD9281" w14:textId="77777777">
            <w:pPr>
              <w:spacing w:after="0"/>
              <w:rPr>
                <w:rFonts w:cstheme="minorHAnsi"/>
                <w:b/>
                <w:bCs/>
                <w:color w:val="000000"/>
              </w:rPr>
            </w:pPr>
            <w:r w:rsidRPr="0098622B">
              <w:rPr>
                <w:rFonts w:cstheme="minorHAnsi"/>
                <w:color w:val="000000"/>
              </w:rPr>
              <w:t>Annual Total</w:t>
            </w:r>
          </w:p>
        </w:tc>
        <w:tc>
          <w:tcPr>
            <w:tcW w:w="1560" w:type="dxa"/>
            <w:noWrap/>
            <w:vAlign w:val="center"/>
            <w:hideMark/>
          </w:tcPr>
          <w:p w:rsidR="0098622B" w:rsidRPr="0098622B" w:rsidP="00ED35A4" w14:paraId="0A7A2B98" w14:textId="77777777">
            <w:pPr>
              <w:spacing w:after="0"/>
              <w:jc w:val="center"/>
              <w:rPr>
                <w:rFonts w:cstheme="minorHAnsi"/>
                <w:color w:val="000000"/>
              </w:rPr>
            </w:pPr>
            <w:r w:rsidRPr="0098622B">
              <w:rPr>
                <w:rFonts w:cstheme="minorHAnsi"/>
                <w:color w:val="000000"/>
              </w:rPr>
              <w:t>195.88</w:t>
            </w:r>
          </w:p>
        </w:tc>
        <w:tc>
          <w:tcPr>
            <w:tcW w:w="1560" w:type="dxa"/>
            <w:noWrap/>
            <w:vAlign w:val="center"/>
            <w:hideMark/>
          </w:tcPr>
          <w:p w:rsidR="0098622B" w:rsidRPr="0098622B" w:rsidP="00ED35A4" w14:paraId="0BE719B3" w14:textId="77777777">
            <w:pPr>
              <w:spacing w:after="0"/>
              <w:jc w:val="center"/>
              <w:rPr>
                <w:rFonts w:cstheme="minorHAnsi"/>
                <w:color w:val="000000"/>
              </w:rPr>
            </w:pPr>
          </w:p>
        </w:tc>
        <w:tc>
          <w:tcPr>
            <w:tcW w:w="1560" w:type="dxa"/>
            <w:noWrap/>
            <w:vAlign w:val="center"/>
            <w:hideMark/>
          </w:tcPr>
          <w:p w:rsidR="0098622B" w:rsidRPr="0098622B" w:rsidP="00ED35A4" w14:paraId="3BD19356" w14:textId="77777777">
            <w:pPr>
              <w:spacing w:after="0"/>
              <w:jc w:val="center"/>
              <w:rPr>
                <w:rFonts w:cstheme="minorHAnsi"/>
                <w:color w:val="000000"/>
              </w:rPr>
            </w:pPr>
          </w:p>
        </w:tc>
        <w:tc>
          <w:tcPr>
            <w:tcW w:w="1560" w:type="dxa"/>
            <w:noWrap/>
            <w:vAlign w:val="center"/>
            <w:hideMark/>
          </w:tcPr>
          <w:p w:rsidR="0098622B" w:rsidRPr="0098622B" w:rsidP="00ED35A4" w14:paraId="720E23A1" w14:textId="77777777">
            <w:pPr>
              <w:spacing w:after="0"/>
              <w:jc w:val="center"/>
              <w:rPr>
                <w:rFonts w:cstheme="minorHAnsi"/>
                <w:color w:val="000000"/>
              </w:rPr>
            </w:pPr>
            <w:r w:rsidRPr="0098622B">
              <w:rPr>
                <w:rFonts w:cstheme="minorHAnsi"/>
                <w:color w:val="000000"/>
              </w:rPr>
              <w:t>13,342</w:t>
            </w:r>
          </w:p>
        </w:tc>
        <w:tc>
          <w:tcPr>
            <w:tcW w:w="1560" w:type="dxa"/>
            <w:noWrap/>
            <w:vAlign w:val="center"/>
            <w:hideMark/>
          </w:tcPr>
          <w:p w:rsidR="0098622B" w:rsidRPr="0098622B" w:rsidP="00ED35A4" w14:paraId="2379CC14" w14:textId="79ACB584">
            <w:pPr>
              <w:spacing w:after="0"/>
              <w:jc w:val="center"/>
              <w:rPr>
                <w:rFonts w:cstheme="minorHAnsi"/>
                <w:color w:val="000000"/>
              </w:rPr>
            </w:pPr>
            <w:r w:rsidRPr="0098622B">
              <w:rPr>
                <w:rFonts w:cstheme="minorHAnsi"/>
                <w:color w:val="000000"/>
              </w:rPr>
              <w:t>$799,208</w:t>
            </w:r>
          </w:p>
        </w:tc>
      </w:tr>
      <w:tr w14:paraId="253909F8" w14:textId="77777777" w:rsidTr="00563B45">
        <w:tblPrEx>
          <w:tblW w:w="9360" w:type="dxa"/>
          <w:tblInd w:w="-20" w:type="dxa"/>
          <w:tblLayout w:type="fixed"/>
          <w:tblLook w:val="04A0"/>
        </w:tblPrEx>
        <w:trPr>
          <w:trHeight w:val="129"/>
        </w:trPr>
        <w:tc>
          <w:tcPr>
            <w:tcW w:w="1560" w:type="dxa"/>
            <w:hideMark/>
          </w:tcPr>
          <w:p w:rsidR="0098622B" w:rsidRPr="0098622B" w:rsidP="00ED35A4" w14:paraId="422976CB" w14:textId="77777777">
            <w:pPr>
              <w:spacing w:after="0"/>
              <w:rPr>
                <w:rFonts w:cstheme="minorHAnsi"/>
                <w:b/>
                <w:bCs/>
                <w:color w:val="000000"/>
              </w:rPr>
            </w:pPr>
            <w:r w:rsidRPr="0098622B">
              <w:rPr>
                <w:rFonts w:cstheme="minorHAnsi"/>
                <w:color w:val="000000"/>
              </w:rPr>
              <w:t>3-Year Total</w:t>
            </w:r>
          </w:p>
        </w:tc>
        <w:tc>
          <w:tcPr>
            <w:tcW w:w="1560" w:type="dxa"/>
            <w:noWrap/>
            <w:vAlign w:val="center"/>
            <w:hideMark/>
          </w:tcPr>
          <w:p w:rsidR="0098622B" w:rsidRPr="0098622B" w:rsidP="00ED35A4" w14:paraId="4BBF2AA1" w14:textId="77777777">
            <w:pPr>
              <w:spacing w:after="0"/>
              <w:jc w:val="center"/>
              <w:rPr>
                <w:rFonts w:cstheme="minorHAnsi"/>
                <w:color w:val="000000"/>
              </w:rPr>
            </w:pPr>
            <w:r w:rsidRPr="0098622B">
              <w:rPr>
                <w:rFonts w:cstheme="minorHAnsi"/>
                <w:color w:val="000000"/>
              </w:rPr>
              <w:t>587.65</w:t>
            </w:r>
          </w:p>
        </w:tc>
        <w:tc>
          <w:tcPr>
            <w:tcW w:w="1560" w:type="dxa"/>
            <w:noWrap/>
            <w:vAlign w:val="center"/>
            <w:hideMark/>
          </w:tcPr>
          <w:p w:rsidR="0098622B" w:rsidRPr="0098622B" w:rsidP="00ED35A4" w14:paraId="7FD33701" w14:textId="77777777">
            <w:pPr>
              <w:spacing w:after="0"/>
              <w:jc w:val="center"/>
              <w:rPr>
                <w:rFonts w:cstheme="minorHAnsi"/>
                <w:color w:val="000000"/>
              </w:rPr>
            </w:pPr>
          </w:p>
        </w:tc>
        <w:tc>
          <w:tcPr>
            <w:tcW w:w="1560" w:type="dxa"/>
            <w:noWrap/>
            <w:vAlign w:val="center"/>
            <w:hideMark/>
          </w:tcPr>
          <w:p w:rsidR="0098622B" w:rsidRPr="0098622B" w:rsidP="00ED35A4" w14:paraId="64F21D5E" w14:textId="77777777">
            <w:pPr>
              <w:spacing w:after="0"/>
              <w:jc w:val="center"/>
              <w:rPr>
                <w:rFonts w:cstheme="minorHAnsi"/>
                <w:color w:val="000000"/>
              </w:rPr>
            </w:pPr>
          </w:p>
        </w:tc>
        <w:tc>
          <w:tcPr>
            <w:tcW w:w="1560" w:type="dxa"/>
            <w:noWrap/>
            <w:vAlign w:val="center"/>
            <w:hideMark/>
          </w:tcPr>
          <w:p w:rsidR="0098622B" w:rsidRPr="0098622B" w:rsidP="00ED35A4" w14:paraId="375D90AA" w14:textId="77777777">
            <w:pPr>
              <w:spacing w:after="0"/>
              <w:jc w:val="center"/>
              <w:rPr>
                <w:rFonts w:cstheme="minorHAnsi"/>
                <w:color w:val="000000"/>
              </w:rPr>
            </w:pPr>
            <w:r w:rsidRPr="0098622B">
              <w:rPr>
                <w:rFonts w:cstheme="minorHAnsi"/>
                <w:color w:val="000000"/>
              </w:rPr>
              <w:t>40,027</w:t>
            </w:r>
          </w:p>
        </w:tc>
        <w:tc>
          <w:tcPr>
            <w:tcW w:w="1560" w:type="dxa"/>
            <w:noWrap/>
            <w:vAlign w:val="center"/>
            <w:hideMark/>
          </w:tcPr>
          <w:p w:rsidR="0098622B" w:rsidRPr="0098622B" w:rsidP="00ED35A4" w14:paraId="1B83AAB8" w14:textId="71BC84D8">
            <w:pPr>
              <w:spacing w:after="0"/>
              <w:jc w:val="center"/>
              <w:rPr>
                <w:rFonts w:cstheme="minorHAnsi"/>
                <w:color w:val="000000"/>
              </w:rPr>
            </w:pPr>
            <w:r w:rsidRPr="0098622B">
              <w:rPr>
                <w:rFonts w:cstheme="minorHAnsi"/>
                <w:color w:val="000000"/>
              </w:rPr>
              <w:t>$2,397,624</w:t>
            </w:r>
          </w:p>
        </w:tc>
      </w:tr>
    </w:tbl>
    <w:p w:rsidR="00ED57A4" w:rsidRPr="00BB3410" w:rsidP="006659BE" w14:paraId="68F435BE" w14:textId="6D25DE06">
      <w:pPr>
        <w:spacing w:after="0"/>
        <w:rPr>
          <w:rFonts w:cstheme="minorHAnsi"/>
        </w:rPr>
      </w:pPr>
    </w:p>
    <w:p w:rsidR="00BB2B15" w:rsidRPr="00163C69" w:rsidP="00854AAE" w14:paraId="5D1B71A2" w14:textId="2ADBBFA0">
      <w:pPr>
        <w:pStyle w:val="ListParagraph"/>
        <w:numPr>
          <w:ilvl w:val="0"/>
          <w:numId w:val="25"/>
        </w:numPr>
        <w:spacing w:before="240" w:after="0"/>
        <w:rPr>
          <w:rFonts w:cstheme="minorHAnsi"/>
          <w:b/>
          <w:bCs/>
          <w:caps/>
        </w:rPr>
      </w:pPr>
      <w:bookmarkStart w:id="35"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35"/>
      <w:r w:rsidRPr="4BDBF0A0" w:rsidR="004E3CB0">
        <w:rPr>
          <w:b/>
          <w:bCs/>
          <w:caps/>
        </w:rPr>
        <w:t xml:space="preserve"> </w:t>
      </w:r>
    </w:p>
    <w:p w:rsidR="00BB3410" w:rsidRPr="00BB3410" w:rsidP="00854AAE" w14:paraId="678BA42F" w14:textId="08740A9B">
      <w:pPr>
        <w:pBdr>
          <w:top w:val="single" w:sz="6" w:space="0" w:color="FFFFFF"/>
          <w:left w:val="single" w:sz="6" w:space="0" w:color="FFFFFF"/>
          <w:bottom w:val="single" w:sz="6" w:space="0" w:color="FFFFFF"/>
          <w:right w:val="single" w:sz="6" w:space="0" w:color="FFFFFF"/>
        </w:pBdr>
        <w:rPr>
          <w:rFonts w:cstheme="minorHAnsi"/>
          <w:color w:val="000000"/>
        </w:rPr>
      </w:pPr>
      <w:r w:rsidRPr="009315CD">
        <w:rPr>
          <w:rFonts w:cstheme="minorHAnsi"/>
          <w:color w:val="000000"/>
        </w:rPr>
        <w:t>The only respondent costs for this collection are labor costs. There are no capital or operations and maintenance costs associated with this collection.</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36" w:name="_Toc156593387"/>
      <w:r w:rsidRPr="4BDBF0A0">
        <w:rPr>
          <w:b/>
          <w:bCs/>
        </w:rPr>
        <w:t xml:space="preserve">AGENCY </w:t>
      </w:r>
      <w:bookmarkStart w:id="37" w:name="_Toc156593388"/>
      <w:bookmarkEnd w:id="36"/>
      <w:r w:rsidRPr="4BDBF0A0" w:rsidR="00BB2B15">
        <w:rPr>
          <w:b/>
          <w:bCs/>
        </w:rPr>
        <w:t>COSTS</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C91A70" w:rsidRPr="00C91A70" w:rsidP="00C91A70" w14:paraId="10D231AF" w14:textId="6C51EABA">
      <w:pPr>
        <w:spacing w:line="240" w:lineRule="auto"/>
        <w:rPr>
          <w:rFonts w:cstheme="minorHAnsi"/>
        </w:rPr>
      </w:pPr>
      <w:r w:rsidRPr="00C91A70">
        <w:rPr>
          <w:rFonts w:cstheme="minorHAnsi"/>
        </w:rPr>
        <w:t>Over four years, the EPA collects, reviews and summarized CWNS data in order to prepare the final Report to Congress. The Agency conducts the following activities:</w:t>
      </w:r>
    </w:p>
    <w:p w:rsidR="00C91A70" w:rsidRPr="00C91A70" w:rsidP="00C91A70" w14:paraId="6AC8D3C0" w14:textId="77777777">
      <w:pPr>
        <w:pStyle w:val="ListParagraph"/>
        <w:numPr>
          <w:ilvl w:val="0"/>
          <w:numId w:val="36"/>
        </w:numPr>
        <w:rPr>
          <w:rFonts w:cstheme="minorHAnsi"/>
        </w:rPr>
      </w:pPr>
      <w:r w:rsidRPr="00C91A70">
        <w:rPr>
          <w:rFonts w:cstheme="minorHAnsi"/>
        </w:rPr>
        <w:t>Contract Management</w:t>
      </w:r>
    </w:p>
    <w:p w:rsidR="00C91A70" w:rsidRPr="00C91A70" w:rsidP="00C91A70" w14:paraId="35704A09" w14:textId="77777777">
      <w:pPr>
        <w:pStyle w:val="ListParagraph"/>
        <w:numPr>
          <w:ilvl w:val="0"/>
          <w:numId w:val="36"/>
        </w:numPr>
        <w:rPr>
          <w:rFonts w:cstheme="minorHAnsi"/>
        </w:rPr>
      </w:pPr>
      <w:r w:rsidRPr="00C91A70">
        <w:rPr>
          <w:rFonts w:cstheme="minorHAnsi"/>
        </w:rPr>
        <w:t>Assistance to States</w:t>
      </w:r>
    </w:p>
    <w:p w:rsidR="00C91A70" w:rsidRPr="00C91A70" w:rsidP="00C91A70" w14:paraId="2FD51AA8" w14:textId="77777777">
      <w:pPr>
        <w:pStyle w:val="ListParagraph"/>
        <w:numPr>
          <w:ilvl w:val="1"/>
          <w:numId w:val="36"/>
        </w:numPr>
        <w:rPr>
          <w:rFonts w:cstheme="minorHAnsi"/>
        </w:rPr>
      </w:pPr>
      <w:r w:rsidRPr="00C91A70">
        <w:rPr>
          <w:rFonts w:cstheme="minorHAnsi"/>
        </w:rPr>
        <w:t>Promoting states’ full participation in CWNS</w:t>
      </w:r>
    </w:p>
    <w:p w:rsidR="00C91A70" w:rsidRPr="00C91A70" w:rsidP="00C91A70" w14:paraId="1D6C5B47" w14:textId="77777777">
      <w:pPr>
        <w:pStyle w:val="ListParagraph"/>
        <w:numPr>
          <w:ilvl w:val="1"/>
          <w:numId w:val="36"/>
        </w:numPr>
        <w:rPr>
          <w:rFonts w:cstheme="minorHAnsi"/>
        </w:rPr>
      </w:pPr>
      <w:r w:rsidRPr="00C91A70">
        <w:rPr>
          <w:rFonts w:cstheme="minorHAnsi"/>
        </w:rPr>
        <w:t>Assisting states with data collection and methodologies</w:t>
      </w:r>
    </w:p>
    <w:p w:rsidR="00C91A70" w:rsidRPr="00C91A70" w:rsidP="00C91A70" w14:paraId="60F667C4" w14:textId="77777777">
      <w:pPr>
        <w:pStyle w:val="ListParagraph"/>
        <w:numPr>
          <w:ilvl w:val="1"/>
          <w:numId w:val="36"/>
        </w:numPr>
        <w:rPr>
          <w:rFonts w:cstheme="minorHAnsi"/>
        </w:rPr>
      </w:pPr>
      <w:r w:rsidRPr="00C91A70">
        <w:rPr>
          <w:rFonts w:cstheme="minorHAnsi"/>
        </w:rPr>
        <w:t>Assisting states in addressing states’ submissions evaluated by the EPA as not meeting CWNS criteria</w:t>
      </w:r>
    </w:p>
    <w:p w:rsidR="00C91A70" w:rsidRPr="00C91A70" w:rsidP="00C91A70" w14:paraId="67F7B426" w14:textId="77777777">
      <w:pPr>
        <w:pStyle w:val="ListParagraph"/>
        <w:numPr>
          <w:ilvl w:val="1"/>
          <w:numId w:val="36"/>
        </w:numPr>
        <w:rPr>
          <w:rFonts w:cstheme="minorHAnsi"/>
        </w:rPr>
      </w:pPr>
      <w:r w:rsidRPr="00C91A70">
        <w:rPr>
          <w:rFonts w:cstheme="minorHAnsi"/>
        </w:rPr>
        <w:t>Arranging trainings for data collection</w:t>
      </w:r>
    </w:p>
    <w:p w:rsidR="00C91A70" w:rsidRPr="00C91A70" w:rsidP="00C91A70" w14:paraId="24C70FDD" w14:textId="77777777">
      <w:pPr>
        <w:pStyle w:val="ListParagraph"/>
        <w:numPr>
          <w:ilvl w:val="0"/>
          <w:numId w:val="36"/>
        </w:numPr>
        <w:rPr>
          <w:rFonts w:cstheme="minorHAnsi"/>
        </w:rPr>
      </w:pPr>
      <w:r w:rsidRPr="00C91A70">
        <w:rPr>
          <w:rFonts w:cstheme="minorHAnsi"/>
        </w:rPr>
        <w:t>Plan, Implement, &amp; Manage Survey</w:t>
      </w:r>
    </w:p>
    <w:p w:rsidR="00C91A70" w:rsidRPr="00C91A70" w:rsidP="00C91A70" w14:paraId="03B86702" w14:textId="77777777">
      <w:pPr>
        <w:pStyle w:val="ListParagraph"/>
        <w:numPr>
          <w:ilvl w:val="1"/>
          <w:numId w:val="36"/>
        </w:numPr>
        <w:rPr>
          <w:rFonts w:cstheme="minorHAnsi"/>
        </w:rPr>
      </w:pPr>
      <w:r w:rsidRPr="00C91A70">
        <w:rPr>
          <w:rFonts w:cstheme="minorHAnsi"/>
        </w:rPr>
        <w:t>Managing the survey and its data base to ensure national consistency</w:t>
      </w:r>
    </w:p>
    <w:p w:rsidR="00C91A70" w:rsidRPr="00C91A70" w:rsidP="00C91A70" w14:paraId="54546369" w14:textId="77777777">
      <w:pPr>
        <w:pStyle w:val="ListParagraph"/>
        <w:numPr>
          <w:ilvl w:val="1"/>
          <w:numId w:val="36"/>
        </w:numPr>
        <w:rPr>
          <w:rFonts w:cstheme="minorHAnsi"/>
        </w:rPr>
      </w:pPr>
      <w:r w:rsidRPr="00C91A70">
        <w:rPr>
          <w:rFonts w:cstheme="minorHAnsi"/>
        </w:rPr>
        <w:t>Setting national documentation standards and identifying data sources</w:t>
      </w:r>
    </w:p>
    <w:p w:rsidR="00C91A70" w:rsidRPr="00C91A70" w:rsidP="00C91A70" w14:paraId="44768903" w14:textId="77777777">
      <w:pPr>
        <w:pStyle w:val="ListParagraph"/>
        <w:numPr>
          <w:ilvl w:val="1"/>
          <w:numId w:val="36"/>
        </w:numPr>
        <w:rPr>
          <w:rFonts w:cstheme="minorHAnsi"/>
        </w:rPr>
      </w:pPr>
      <w:r w:rsidRPr="00C91A70">
        <w:rPr>
          <w:rFonts w:cstheme="minorHAnsi"/>
        </w:rPr>
        <w:t>Updating the database to keep it current and accurate</w:t>
      </w:r>
    </w:p>
    <w:p w:rsidR="00C91A70" w:rsidRPr="00C91A70" w:rsidP="00C91A70" w14:paraId="12731813" w14:textId="77777777">
      <w:pPr>
        <w:pStyle w:val="ListParagraph"/>
        <w:numPr>
          <w:ilvl w:val="0"/>
          <w:numId w:val="36"/>
        </w:numPr>
        <w:rPr>
          <w:rFonts w:cstheme="minorHAnsi"/>
        </w:rPr>
      </w:pPr>
      <w:r w:rsidRPr="00C91A70">
        <w:rPr>
          <w:rFonts w:cstheme="minorHAnsi"/>
        </w:rPr>
        <w:t>Provide Logistics Support</w:t>
      </w:r>
    </w:p>
    <w:p w:rsidR="00C91A70" w:rsidRPr="00C91A70" w:rsidP="00C91A70" w14:paraId="646F5E87" w14:textId="77777777">
      <w:pPr>
        <w:pStyle w:val="ListParagraph"/>
        <w:numPr>
          <w:ilvl w:val="0"/>
          <w:numId w:val="36"/>
        </w:numPr>
        <w:rPr>
          <w:rFonts w:cstheme="minorHAnsi"/>
        </w:rPr>
      </w:pPr>
      <w:r w:rsidRPr="00C91A70">
        <w:rPr>
          <w:rFonts w:cstheme="minorHAnsi"/>
        </w:rPr>
        <w:t>Refine Modeling Approaches</w:t>
      </w:r>
    </w:p>
    <w:p w:rsidR="00C91A70" w:rsidRPr="00C91A70" w:rsidP="00C91A70" w14:paraId="1F8A41C7" w14:textId="77777777">
      <w:pPr>
        <w:pStyle w:val="ListParagraph"/>
        <w:numPr>
          <w:ilvl w:val="0"/>
          <w:numId w:val="36"/>
        </w:numPr>
        <w:rPr>
          <w:rFonts w:cstheme="minorHAnsi"/>
        </w:rPr>
      </w:pPr>
      <w:r w:rsidRPr="00C91A70">
        <w:rPr>
          <w:rFonts w:cstheme="minorHAnsi"/>
        </w:rPr>
        <w:t>Provide Data Entry Portal support</w:t>
      </w:r>
    </w:p>
    <w:p w:rsidR="00C91A70" w:rsidRPr="00C91A70" w:rsidP="00C91A70" w14:paraId="160A35E1" w14:textId="77777777">
      <w:pPr>
        <w:pStyle w:val="ListParagraph"/>
        <w:numPr>
          <w:ilvl w:val="0"/>
          <w:numId w:val="36"/>
        </w:numPr>
        <w:rPr>
          <w:rFonts w:cstheme="minorHAnsi"/>
        </w:rPr>
      </w:pPr>
      <w:r w:rsidRPr="00C91A70">
        <w:rPr>
          <w:rFonts w:cstheme="minorHAnsi"/>
        </w:rPr>
        <w:t>Provide Technical Support</w:t>
      </w:r>
    </w:p>
    <w:p w:rsidR="00C91A70" w:rsidRPr="00C91A70" w:rsidP="00C91A70" w14:paraId="20C1B043" w14:textId="77777777">
      <w:pPr>
        <w:pStyle w:val="ListParagraph"/>
        <w:numPr>
          <w:ilvl w:val="0"/>
          <w:numId w:val="36"/>
        </w:numPr>
        <w:rPr>
          <w:rFonts w:cstheme="minorHAnsi"/>
        </w:rPr>
      </w:pPr>
      <w:r w:rsidRPr="00C91A70">
        <w:rPr>
          <w:rFonts w:cstheme="minorHAnsi"/>
        </w:rPr>
        <w:t xml:space="preserve">Workgroup Facilitation &amp; Support </w:t>
      </w:r>
    </w:p>
    <w:p w:rsidR="00C91A70" w:rsidRPr="00C91A70" w:rsidP="00C91A70" w14:paraId="4193C4AB" w14:textId="77777777">
      <w:pPr>
        <w:pStyle w:val="ListParagraph"/>
        <w:numPr>
          <w:ilvl w:val="0"/>
          <w:numId w:val="36"/>
        </w:numPr>
        <w:rPr>
          <w:rFonts w:cstheme="minorHAnsi"/>
        </w:rPr>
      </w:pPr>
      <w:r w:rsidRPr="00C91A70">
        <w:rPr>
          <w:rFonts w:cstheme="minorHAnsi"/>
        </w:rPr>
        <w:t>Provide Statistical Sample Support</w:t>
      </w:r>
    </w:p>
    <w:p w:rsidR="00C91A70" w:rsidRPr="00C91A70" w:rsidP="00C91A70" w14:paraId="5CECB527" w14:textId="77777777">
      <w:pPr>
        <w:pStyle w:val="ListParagraph"/>
        <w:numPr>
          <w:ilvl w:val="1"/>
          <w:numId w:val="36"/>
        </w:numPr>
        <w:rPr>
          <w:rFonts w:cstheme="minorHAnsi"/>
        </w:rPr>
      </w:pPr>
      <w:r w:rsidRPr="00C91A70">
        <w:rPr>
          <w:rFonts w:cstheme="minorHAnsi"/>
        </w:rPr>
        <w:t>Determine sample frame and generate random sample</w:t>
      </w:r>
    </w:p>
    <w:p w:rsidR="00C91A70" w:rsidRPr="00C91A70" w:rsidP="00C91A70" w14:paraId="7FEE7B9F" w14:textId="77777777">
      <w:pPr>
        <w:pStyle w:val="ListParagraph"/>
        <w:numPr>
          <w:ilvl w:val="1"/>
          <w:numId w:val="36"/>
        </w:numPr>
        <w:rPr>
          <w:rFonts w:cstheme="minorHAnsi"/>
        </w:rPr>
      </w:pPr>
      <w:r w:rsidRPr="00C91A70">
        <w:rPr>
          <w:rFonts w:cstheme="minorHAnsi"/>
        </w:rPr>
        <w:t>Contact POTWs and perform virtual site visits</w:t>
      </w:r>
    </w:p>
    <w:p w:rsidR="00C91A70" w:rsidRPr="00C91A70" w:rsidP="00C91A70" w14:paraId="7B097686" w14:textId="77777777">
      <w:pPr>
        <w:pStyle w:val="ListParagraph"/>
        <w:numPr>
          <w:ilvl w:val="1"/>
          <w:numId w:val="36"/>
        </w:numPr>
        <w:rPr>
          <w:rFonts w:cstheme="minorHAnsi"/>
        </w:rPr>
      </w:pPr>
      <w:r w:rsidRPr="00C91A70">
        <w:rPr>
          <w:rFonts w:cstheme="minorHAnsi"/>
        </w:rPr>
        <w:t>Enter gathered data into the Data Entry Portal</w:t>
      </w:r>
    </w:p>
    <w:p w:rsidR="00C91A70" w:rsidRPr="00C91A70" w:rsidP="00C91A70" w14:paraId="3514E4F2" w14:textId="77777777">
      <w:pPr>
        <w:pStyle w:val="ListParagraph"/>
        <w:numPr>
          <w:ilvl w:val="1"/>
          <w:numId w:val="36"/>
        </w:numPr>
        <w:rPr>
          <w:rFonts w:cstheme="minorHAnsi"/>
        </w:rPr>
      </w:pPr>
      <w:r w:rsidRPr="00C91A70">
        <w:rPr>
          <w:rFonts w:cstheme="minorHAnsi"/>
        </w:rPr>
        <w:t>Analyze data and estimate total small POTW needs by state</w:t>
      </w:r>
    </w:p>
    <w:p w:rsidR="00C91A70" w:rsidRPr="00C91A70" w:rsidP="00C91A70" w14:paraId="7D9FF1E6" w14:textId="77777777">
      <w:pPr>
        <w:pStyle w:val="ListParagraph"/>
        <w:numPr>
          <w:ilvl w:val="1"/>
          <w:numId w:val="36"/>
        </w:numPr>
        <w:rPr>
          <w:rFonts w:cstheme="minorHAnsi"/>
        </w:rPr>
      </w:pPr>
      <w:r w:rsidRPr="00C91A70">
        <w:rPr>
          <w:rFonts w:cstheme="minorHAnsi"/>
        </w:rPr>
        <w:t>Perform quality assurance checks</w:t>
      </w:r>
    </w:p>
    <w:p w:rsidR="00C91A70" w:rsidRPr="00C91A70" w:rsidP="00C91A70" w14:paraId="7C100A86" w14:textId="77777777">
      <w:pPr>
        <w:pStyle w:val="ListParagraph"/>
        <w:numPr>
          <w:ilvl w:val="0"/>
          <w:numId w:val="36"/>
        </w:numPr>
        <w:rPr>
          <w:rFonts w:cstheme="minorHAnsi"/>
        </w:rPr>
      </w:pPr>
      <w:r w:rsidRPr="00C91A70">
        <w:rPr>
          <w:rFonts w:cstheme="minorHAnsi"/>
        </w:rPr>
        <w:t>Review, Q/A, and Reconcile Data</w:t>
      </w:r>
    </w:p>
    <w:p w:rsidR="00C91A70" w:rsidRPr="00C91A70" w:rsidP="00C91A70" w14:paraId="0E70AE32" w14:textId="77777777">
      <w:pPr>
        <w:pStyle w:val="ListParagraph"/>
        <w:numPr>
          <w:ilvl w:val="1"/>
          <w:numId w:val="36"/>
        </w:numPr>
        <w:rPr>
          <w:rFonts w:cstheme="minorHAnsi"/>
        </w:rPr>
      </w:pPr>
      <w:r w:rsidRPr="00C91A70">
        <w:rPr>
          <w:rFonts w:cstheme="minorHAnsi"/>
        </w:rPr>
        <w:t>Reviewing documentation to ensure its acceptability and updating records</w:t>
      </w:r>
    </w:p>
    <w:p w:rsidR="00C91A70" w:rsidRPr="00C91A70" w:rsidP="00C91A70" w14:paraId="13D75CDA" w14:textId="77777777">
      <w:pPr>
        <w:pStyle w:val="ListParagraph"/>
        <w:numPr>
          <w:ilvl w:val="1"/>
          <w:numId w:val="36"/>
        </w:numPr>
        <w:rPr>
          <w:rFonts w:cstheme="minorHAnsi"/>
        </w:rPr>
      </w:pPr>
      <w:r w:rsidRPr="00C91A70">
        <w:rPr>
          <w:rFonts w:cstheme="minorHAnsi"/>
        </w:rPr>
        <w:t>Reviewing and approving new facility data submitted by the states</w:t>
      </w:r>
    </w:p>
    <w:p w:rsidR="00C91A70" w:rsidRPr="00C91A70" w:rsidP="00C91A70" w14:paraId="4811E2DF" w14:textId="77777777">
      <w:pPr>
        <w:pStyle w:val="ListParagraph"/>
        <w:numPr>
          <w:ilvl w:val="1"/>
          <w:numId w:val="36"/>
        </w:numPr>
        <w:rPr>
          <w:rFonts w:cstheme="minorHAnsi"/>
        </w:rPr>
      </w:pPr>
      <w:r w:rsidRPr="00C91A70">
        <w:rPr>
          <w:rFonts w:cstheme="minorHAnsi"/>
        </w:rPr>
        <w:t>Performing quality assurance checks on needs and population data</w:t>
      </w:r>
    </w:p>
    <w:p w:rsidR="00C91A70" w:rsidRPr="00C91A70" w:rsidP="00C91A70" w14:paraId="71397062" w14:textId="77777777">
      <w:pPr>
        <w:pStyle w:val="ListParagraph"/>
        <w:numPr>
          <w:ilvl w:val="1"/>
          <w:numId w:val="36"/>
        </w:numPr>
        <w:rPr>
          <w:rFonts w:cstheme="minorHAnsi"/>
        </w:rPr>
      </w:pPr>
      <w:r w:rsidRPr="00C91A70">
        <w:rPr>
          <w:rFonts w:cstheme="minorHAnsi"/>
        </w:rPr>
        <w:t>Deleting needs estimates for facilities that cannot be properly documented in accordance with established documentation requirements</w:t>
      </w:r>
    </w:p>
    <w:p w:rsidR="00C91A70" w:rsidRPr="00C91A70" w:rsidP="00C91A70" w14:paraId="4399449B" w14:textId="77777777">
      <w:pPr>
        <w:pStyle w:val="ListParagraph"/>
        <w:numPr>
          <w:ilvl w:val="0"/>
          <w:numId w:val="36"/>
        </w:numPr>
        <w:rPr>
          <w:rFonts w:cstheme="minorHAnsi"/>
        </w:rPr>
      </w:pPr>
      <w:r w:rsidRPr="00C91A70">
        <w:rPr>
          <w:rFonts w:cstheme="minorHAnsi"/>
        </w:rPr>
        <w:t>Market and Promote CWNS</w:t>
      </w:r>
    </w:p>
    <w:p w:rsidR="00C91A70" w:rsidRPr="00C91A70" w:rsidP="00C91A70" w14:paraId="69E9C273" w14:textId="77777777">
      <w:pPr>
        <w:pStyle w:val="ListParagraph"/>
        <w:numPr>
          <w:ilvl w:val="0"/>
          <w:numId w:val="36"/>
        </w:numPr>
        <w:rPr>
          <w:rFonts w:cstheme="minorHAnsi"/>
        </w:rPr>
      </w:pPr>
      <w:r w:rsidRPr="00C91A70">
        <w:rPr>
          <w:rFonts w:cstheme="minorHAnsi"/>
        </w:rPr>
        <w:t>Prepare Final Report</w:t>
      </w:r>
    </w:p>
    <w:p w:rsidR="009F1E00" w:rsidRPr="00C91A70" w:rsidP="00C91A70" w14:paraId="647FDC77" w14:textId="3CB6C2F2">
      <w:pPr>
        <w:pStyle w:val="ListParagraph"/>
        <w:numPr>
          <w:ilvl w:val="0"/>
          <w:numId w:val="36"/>
        </w:numPr>
        <w:rPr>
          <w:rFonts w:cstheme="minorHAnsi"/>
        </w:rPr>
      </w:pPr>
      <w:r w:rsidRPr="00C91A70">
        <w:rPr>
          <w:rFonts w:cstheme="minorHAnsi"/>
        </w:rPr>
        <w:t>Develop &amp; Maintain Web Reports</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FF5464" w:rsidP="00FF5464" w14:paraId="597DBD8D" w14:textId="5D6D737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F5464">
        <w:rPr>
          <w:rFonts w:cstheme="minorHAnsi"/>
          <w:color w:val="000000"/>
        </w:rPr>
        <w:t>Agency costs were estimated by applying full time equivalent (FTE) hours to each activity and multiplying by an average yearly full-time compensation of an Agency employee</w:t>
      </w:r>
      <w:r>
        <w:rPr>
          <w:rFonts w:cstheme="minorHAnsi"/>
          <w:color w:val="000000"/>
          <w:vertAlign w:val="superscript"/>
        </w:rPr>
        <w:footnoteReference w:id="6"/>
      </w:r>
      <w:r w:rsidRPr="00FF5464">
        <w:rPr>
          <w:rFonts w:cstheme="minorHAnsi"/>
          <w:color w:val="000000"/>
        </w:rPr>
        <w:t xml:space="preserve">, determined through using the 2024 GS salary rate schedule and applying a factor to account for benefits. </w:t>
      </w:r>
    </w:p>
    <w:p w:rsidR="00B32603" w:rsidRPr="00FF5464" w:rsidP="00FF5464" w14:paraId="492993C6" w14:textId="0F63318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56B8B">
        <w:rPr>
          <w:rFonts w:cstheme="minorHAnsi"/>
        </w:rPr>
        <w:t>The annualized estimate for the total</w:t>
      </w:r>
      <w:r>
        <w:rPr>
          <w:rFonts w:cstheme="minorHAnsi"/>
        </w:rPr>
        <w:t xml:space="preserve"> Agency labor</w:t>
      </w:r>
      <w:r w:rsidRPr="00156B8B">
        <w:rPr>
          <w:rFonts w:cstheme="minorHAnsi"/>
        </w:rPr>
        <w:t xml:space="preserve"> cost</w:t>
      </w:r>
      <w:r>
        <w:rPr>
          <w:rFonts w:cstheme="minorHAnsi"/>
        </w:rPr>
        <w:t xml:space="preserve"> is </w:t>
      </w:r>
      <w:r w:rsidRPr="00B32603">
        <w:rPr>
          <w:rFonts w:cstheme="minorHAnsi"/>
        </w:rPr>
        <w:t>$553,697</w:t>
      </w:r>
      <w:r>
        <w:rPr>
          <w:rFonts w:cstheme="minorHAnsi"/>
        </w:rPr>
        <w:t xml:space="preserve">. </w:t>
      </w:r>
      <w:r w:rsidRPr="00156B8B">
        <w:rPr>
          <w:rFonts w:cstheme="minorHAnsi"/>
        </w:rPr>
        <w:t>Table 14</w:t>
      </w:r>
      <w:r>
        <w:rPr>
          <w:rFonts w:cstheme="minorHAnsi"/>
        </w:rPr>
        <w:t>-1</w:t>
      </w:r>
      <w:r w:rsidRPr="00156B8B">
        <w:rPr>
          <w:rFonts w:cstheme="minorHAnsi"/>
        </w:rPr>
        <w:t xml:space="preserve"> shows Agency </w:t>
      </w:r>
      <w:r>
        <w:rPr>
          <w:rFonts w:cstheme="minorHAnsi"/>
        </w:rPr>
        <w:t>labor burden and cost</w:t>
      </w:r>
      <w:r w:rsidRPr="00156B8B">
        <w:rPr>
          <w:rFonts w:cstheme="minorHAnsi"/>
        </w:rPr>
        <w:t xml:space="preserve"> </w:t>
      </w:r>
      <w:r>
        <w:rPr>
          <w:rFonts w:cstheme="minorHAnsi"/>
        </w:rPr>
        <w:t>by activity</w:t>
      </w:r>
      <w:r w:rsidRPr="00156B8B">
        <w:rPr>
          <w:rFonts w:cstheme="minorHAnsi"/>
        </w:rPr>
        <w:t>.</w:t>
      </w:r>
    </w:p>
    <w:p w:rsidR="003D4484" w:rsidRPr="006659BE" w:rsidP="003D4484" w14:paraId="7ADD2DD3" w14:textId="77777777">
      <w:pPr>
        <w:pStyle w:val="Caption"/>
        <w:jc w:val="center"/>
        <w:rPr>
          <w:b w:val="0"/>
          <w:bCs w:val="0"/>
          <w:i/>
          <w:iCs/>
          <w:smallCaps w:val="0"/>
          <w:color w:val="auto"/>
        </w:rPr>
      </w:pPr>
      <w:bookmarkStart w:id="38" w:name="_Ref158632919"/>
      <w:bookmarkStart w:id="39" w:name="_Toc168484475"/>
      <w:r w:rsidRPr="006659BE">
        <w:rPr>
          <w:smallCaps w:val="0"/>
          <w:color w:val="auto"/>
        </w:rPr>
        <w:t xml:space="preserve">Table </w:t>
      </w:r>
      <w:r w:rsidRPr="006659BE">
        <w:rPr>
          <w:b w:val="0"/>
          <w:bCs w:val="0"/>
          <w:i/>
          <w:iCs/>
          <w:smallCaps w:val="0"/>
          <w:color w:val="auto"/>
        </w:rPr>
        <w:fldChar w:fldCharType="begin"/>
      </w:r>
      <w:r w:rsidRPr="006659BE">
        <w:rPr>
          <w:smallCaps w:val="0"/>
          <w:color w:val="auto"/>
        </w:rPr>
        <w:instrText xml:space="preserve"> STYLEREF 2 \s </w:instrText>
      </w:r>
      <w:r w:rsidRPr="006659BE">
        <w:rPr>
          <w:b w:val="0"/>
          <w:bCs w:val="0"/>
          <w:i/>
          <w:iCs/>
          <w:smallCaps w:val="0"/>
          <w:color w:val="auto"/>
        </w:rPr>
        <w:fldChar w:fldCharType="separate"/>
      </w:r>
      <w:r w:rsidRPr="006659BE">
        <w:rPr>
          <w:smallCaps w:val="0"/>
          <w:color w:val="auto"/>
        </w:rPr>
        <w:t>14</w:t>
      </w:r>
      <w:r w:rsidRPr="006659BE">
        <w:rPr>
          <w:b w:val="0"/>
          <w:bCs w:val="0"/>
          <w:i/>
          <w:iCs/>
          <w:smallCaps w:val="0"/>
          <w:color w:val="auto"/>
        </w:rPr>
        <w:fldChar w:fldCharType="end"/>
      </w:r>
      <w:r w:rsidRPr="006659BE">
        <w:rPr>
          <w:smallCaps w:val="0"/>
          <w:color w:val="auto"/>
        </w:rPr>
        <w:noBreakHyphen/>
      </w:r>
      <w:r w:rsidRPr="006659BE">
        <w:rPr>
          <w:b w:val="0"/>
          <w:bCs w:val="0"/>
          <w:i/>
          <w:iCs/>
          <w:smallCaps w:val="0"/>
          <w:color w:val="auto"/>
        </w:rPr>
        <w:fldChar w:fldCharType="begin"/>
      </w:r>
      <w:r w:rsidRPr="006659BE">
        <w:rPr>
          <w:smallCaps w:val="0"/>
          <w:color w:val="auto"/>
        </w:rPr>
        <w:instrText xml:space="preserve"> SEQ Table \* ARABIC \s 2 </w:instrText>
      </w:r>
      <w:r w:rsidRPr="006659BE">
        <w:rPr>
          <w:b w:val="0"/>
          <w:bCs w:val="0"/>
          <w:i/>
          <w:iCs/>
          <w:smallCaps w:val="0"/>
          <w:color w:val="auto"/>
        </w:rPr>
        <w:fldChar w:fldCharType="separate"/>
      </w:r>
      <w:r w:rsidRPr="006659BE">
        <w:rPr>
          <w:smallCaps w:val="0"/>
          <w:color w:val="auto"/>
        </w:rPr>
        <w:t>1</w:t>
      </w:r>
      <w:r w:rsidRPr="006659BE">
        <w:rPr>
          <w:b w:val="0"/>
          <w:bCs w:val="0"/>
          <w:i/>
          <w:iCs/>
          <w:smallCaps w:val="0"/>
          <w:color w:val="auto"/>
        </w:rPr>
        <w:fldChar w:fldCharType="end"/>
      </w:r>
      <w:bookmarkEnd w:id="38"/>
      <w:r w:rsidRPr="006659BE">
        <w:rPr>
          <w:smallCaps w:val="0"/>
          <w:color w:val="auto"/>
        </w:rPr>
        <w:t>. Agency Burden and Cost</w:t>
      </w:r>
      <w:bookmarkEnd w:id="39"/>
    </w:p>
    <w:tbl>
      <w:tblPr>
        <w:tblW w:w="7822" w:type="dxa"/>
        <w:jc w:val="center"/>
        <w:tblLook w:val="0620"/>
      </w:tblPr>
      <w:tblGrid>
        <w:gridCol w:w="3318"/>
        <w:gridCol w:w="1915"/>
        <w:gridCol w:w="2589"/>
      </w:tblGrid>
      <w:tr w14:paraId="327020ED" w14:textId="77777777" w:rsidTr="00C23990">
        <w:tblPrEx>
          <w:tblW w:w="7822" w:type="dxa"/>
          <w:jc w:val="center"/>
          <w:tblLook w:val="0620"/>
        </w:tblPrEx>
        <w:trPr>
          <w:trHeight w:val="450"/>
          <w:tblHeader/>
          <w:jc w:val="center"/>
        </w:trPr>
        <w:tc>
          <w:tcPr>
            <w:tcW w:w="3318" w:type="dxa"/>
            <w:vMerge w:val="restart"/>
            <w:tcBorders>
              <w:top w:val="single" w:sz="8" w:space="0" w:color="auto"/>
              <w:left w:val="single" w:sz="4" w:space="0" w:color="auto"/>
              <w:bottom w:val="single" w:sz="8" w:space="0" w:color="000000" w:themeColor="text1"/>
              <w:right w:val="single" w:sz="4" w:space="0" w:color="auto"/>
            </w:tcBorders>
            <w:shd w:val="clear" w:color="auto" w:fill="BFBFBF" w:themeFill="background1" w:themeFillShade="BF"/>
            <w:vAlign w:val="center"/>
            <w:hideMark/>
          </w:tcPr>
          <w:p w:rsidR="00B32603" w:rsidRPr="00597461" w:rsidP="00C23990" w14:paraId="1233F516" w14:textId="77777777">
            <w:pPr>
              <w:spacing w:after="100" w:afterAutospacing="1" w:line="240" w:lineRule="auto"/>
              <w:jc w:val="center"/>
              <w:rPr>
                <w:b/>
                <w:bCs/>
                <w:color w:val="000000"/>
              </w:rPr>
            </w:pPr>
            <w:r w:rsidRPr="00597461">
              <w:rPr>
                <w:b/>
                <w:bCs/>
                <w:color w:val="000000"/>
              </w:rPr>
              <w:t>Activity</w:t>
            </w:r>
          </w:p>
        </w:tc>
        <w:tc>
          <w:tcPr>
            <w:tcW w:w="1915" w:type="dxa"/>
            <w:vMerge w:val="restart"/>
            <w:tcBorders>
              <w:top w:val="single" w:sz="8" w:space="0" w:color="auto"/>
              <w:left w:val="single" w:sz="4" w:space="0" w:color="auto"/>
              <w:bottom w:val="single" w:sz="8" w:space="0" w:color="000000" w:themeColor="text1"/>
              <w:right w:val="single" w:sz="4" w:space="0" w:color="auto"/>
            </w:tcBorders>
            <w:shd w:val="clear" w:color="auto" w:fill="BFBFBF" w:themeFill="background1" w:themeFillShade="BF"/>
            <w:vAlign w:val="center"/>
            <w:hideMark/>
          </w:tcPr>
          <w:p w:rsidR="00B32603" w:rsidRPr="00BE60DE" w:rsidP="00C23990" w14:paraId="41DC489C" w14:textId="7EEED45C">
            <w:pPr>
              <w:spacing w:after="100" w:afterAutospacing="1" w:line="240" w:lineRule="auto"/>
              <w:jc w:val="center"/>
              <w:rPr>
                <w:b/>
              </w:rPr>
            </w:pPr>
            <w:r w:rsidRPr="001F027F">
              <w:rPr>
                <w:b/>
              </w:rPr>
              <w:t>Agency Labor Hours / Year [FTE]</w:t>
            </w:r>
          </w:p>
        </w:tc>
        <w:tc>
          <w:tcPr>
            <w:tcW w:w="2589" w:type="dxa"/>
            <w:vMerge w:val="restart"/>
            <w:tcBorders>
              <w:top w:val="single" w:sz="8" w:space="0" w:color="auto"/>
              <w:left w:val="single" w:sz="4" w:space="0" w:color="auto"/>
              <w:bottom w:val="single" w:sz="8" w:space="0" w:color="000000" w:themeColor="text1"/>
              <w:right w:val="single" w:sz="4" w:space="0" w:color="auto"/>
            </w:tcBorders>
            <w:shd w:val="clear" w:color="auto" w:fill="BFBFBF" w:themeFill="background1" w:themeFillShade="BF"/>
            <w:vAlign w:val="center"/>
            <w:hideMark/>
          </w:tcPr>
          <w:p w:rsidR="00B32603" w:rsidRPr="00597461" w:rsidP="00C23990" w14:paraId="67BA04FC" w14:textId="4A0CEE73">
            <w:pPr>
              <w:spacing w:after="100" w:afterAutospacing="1" w:line="240" w:lineRule="auto"/>
              <w:jc w:val="center"/>
              <w:rPr>
                <w:b/>
                <w:bCs/>
                <w:color w:val="000000"/>
              </w:rPr>
            </w:pPr>
            <w:r w:rsidRPr="001F027F">
              <w:rPr>
                <w:b/>
              </w:rPr>
              <w:t>Agency Labor Costs / Year  [$190,930 / FTE]</w:t>
            </w:r>
          </w:p>
        </w:tc>
      </w:tr>
      <w:tr w14:paraId="1D238FCD" w14:textId="77777777" w:rsidTr="00C23990">
        <w:tblPrEx>
          <w:tblW w:w="7822" w:type="dxa"/>
          <w:jc w:val="center"/>
          <w:tblLook w:val="0620"/>
        </w:tblPrEx>
        <w:trPr>
          <w:trHeight w:val="450"/>
          <w:jc w:val="center"/>
        </w:trPr>
        <w:tc>
          <w:tcPr>
            <w:tcW w:w="3318" w:type="dxa"/>
            <w:vMerge/>
            <w:tcBorders>
              <w:left w:val="single" w:sz="4" w:space="0" w:color="auto"/>
              <w:right w:val="single" w:sz="4" w:space="0" w:color="auto"/>
            </w:tcBorders>
            <w:vAlign w:val="center"/>
            <w:hideMark/>
          </w:tcPr>
          <w:p w:rsidR="00B32603" w:rsidRPr="00597461" w14:paraId="12ABEA3C" w14:textId="77777777">
            <w:pPr>
              <w:rPr>
                <w:b/>
                <w:bCs/>
                <w:color w:val="000000"/>
              </w:rPr>
            </w:pPr>
          </w:p>
        </w:tc>
        <w:tc>
          <w:tcPr>
            <w:tcW w:w="1915" w:type="dxa"/>
            <w:vMerge/>
            <w:tcBorders>
              <w:left w:val="single" w:sz="4" w:space="0" w:color="auto"/>
              <w:right w:val="single" w:sz="4" w:space="0" w:color="auto"/>
            </w:tcBorders>
            <w:hideMark/>
          </w:tcPr>
          <w:p w:rsidR="00B32603" w:rsidRPr="00597461" w14:paraId="6845B3DF" w14:textId="77777777">
            <w:pPr>
              <w:rPr>
                <w:b/>
                <w:bCs/>
                <w:color w:val="000000"/>
              </w:rPr>
            </w:pPr>
          </w:p>
        </w:tc>
        <w:tc>
          <w:tcPr>
            <w:tcW w:w="2589" w:type="dxa"/>
            <w:vMerge/>
            <w:tcBorders>
              <w:left w:val="single" w:sz="4" w:space="0" w:color="auto"/>
              <w:right w:val="single" w:sz="4" w:space="0" w:color="auto"/>
            </w:tcBorders>
            <w:hideMark/>
          </w:tcPr>
          <w:p w:rsidR="00B32603" w:rsidRPr="00597461" w14:paraId="55125511" w14:textId="77777777">
            <w:pPr>
              <w:rPr>
                <w:b/>
                <w:bCs/>
                <w:color w:val="000000"/>
              </w:rPr>
            </w:pPr>
          </w:p>
        </w:tc>
      </w:tr>
      <w:tr w14:paraId="4E8EEFE8" w14:textId="77777777" w:rsidTr="00C23990">
        <w:tblPrEx>
          <w:tblW w:w="7822" w:type="dxa"/>
          <w:jc w:val="center"/>
          <w:tblLook w:val="0620"/>
        </w:tblPrEx>
        <w:trPr>
          <w:trHeight w:val="450"/>
          <w:jc w:val="center"/>
        </w:trPr>
        <w:tc>
          <w:tcPr>
            <w:tcW w:w="3318" w:type="dxa"/>
            <w:vMerge/>
            <w:tcBorders>
              <w:left w:val="single" w:sz="4" w:space="0" w:color="auto"/>
              <w:right w:val="single" w:sz="4" w:space="0" w:color="auto"/>
            </w:tcBorders>
            <w:vAlign w:val="center"/>
            <w:hideMark/>
          </w:tcPr>
          <w:p w:rsidR="00B32603" w:rsidRPr="00597461" w14:paraId="78506C22" w14:textId="77777777">
            <w:pPr>
              <w:rPr>
                <w:b/>
                <w:bCs/>
                <w:color w:val="000000"/>
              </w:rPr>
            </w:pPr>
          </w:p>
        </w:tc>
        <w:tc>
          <w:tcPr>
            <w:tcW w:w="1915" w:type="dxa"/>
            <w:vMerge/>
            <w:tcBorders>
              <w:left w:val="single" w:sz="4" w:space="0" w:color="auto"/>
              <w:right w:val="single" w:sz="4" w:space="0" w:color="auto"/>
            </w:tcBorders>
            <w:hideMark/>
          </w:tcPr>
          <w:p w:rsidR="00B32603" w:rsidRPr="00597461" w14:paraId="40514B30" w14:textId="77777777">
            <w:pPr>
              <w:rPr>
                <w:b/>
                <w:bCs/>
                <w:color w:val="000000"/>
              </w:rPr>
            </w:pPr>
          </w:p>
        </w:tc>
        <w:tc>
          <w:tcPr>
            <w:tcW w:w="2589" w:type="dxa"/>
            <w:vMerge/>
            <w:tcBorders>
              <w:left w:val="single" w:sz="4" w:space="0" w:color="auto"/>
              <w:right w:val="single" w:sz="4" w:space="0" w:color="auto"/>
            </w:tcBorders>
            <w:hideMark/>
          </w:tcPr>
          <w:p w:rsidR="00B32603" w:rsidRPr="00597461" w14:paraId="09BE4D94" w14:textId="77777777">
            <w:pPr>
              <w:rPr>
                <w:b/>
                <w:bCs/>
                <w:color w:val="000000"/>
              </w:rPr>
            </w:pPr>
          </w:p>
        </w:tc>
      </w:tr>
      <w:tr w14:paraId="4B36E643" w14:textId="77777777" w:rsidTr="00ED35A4">
        <w:tblPrEx>
          <w:tblW w:w="7822" w:type="dxa"/>
          <w:jc w:val="center"/>
          <w:tblLook w:val="0620"/>
        </w:tblPrEx>
        <w:trPr>
          <w:trHeight w:val="234"/>
          <w:jc w:val="center"/>
        </w:trPr>
        <w:tc>
          <w:tcPr>
            <w:tcW w:w="3318" w:type="dxa"/>
            <w:tcBorders>
              <w:top w:val="single" w:sz="4" w:space="0" w:color="auto"/>
              <w:left w:val="single" w:sz="4" w:space="0" w:color="auto"/>
              <w:bottom w:val="single" w:sz="4" w:space="0" w:color="auto"/>
              <w:right w:val="single" w:sz="4" w:space="0" w:color="auto"/>
            </w:tcBorders>
            <w:vAlign w:val="center"/>
            <w:hideMark/>
          </w:tcPr>
          <w:p w:rsidR="00B32603" w:rsidRPr="00597461" w:rsidP="00ED35A4" w14:paraId="5C9687E6" w14:textId="77777777">
            <w:pPr>
              <w:spacing w:before="20" w:after="20" w:line="240" w:lineRule="auto"/>
            </w:pPr>
            <w:r w:rsidRPr="00597461">
              <w:t>Contract Management</w:t>
            </w:r>
          </w:p>
        </w:tc>
        <w:tc>
          <w:tcPr>
            <w:tcW w:w="1915" w:type="dxa"/>
            <w:tcBorders>
              <w:top w:val="single" w:sz="4" w:space="0" w:color="auto"/>
              <w:left w:val="nil"/>
              <w:bottom w:val="single" w:sz="4" w:space="0" w:color="auto"/>
              <w:right w:val="single" w:sz="4" w:space="0" w:color="auto"/>
            </w:tcBorders>
            <w:vAlign w:val="center"/>
            <w:hideMark/>
          </w:tcPr>
          <w:p w:rsidR="00B32603" w:rsidRPr="00B55C88" w:rsidP="00ED35A4" w14:paraId="15E85C9F" w14:textId="77777777">
            <w:pPr>
              <w:spacing w:before="20" w:after="20" w:line="240" w:lineRule="auto"/>
              <w:jc w:val="center"/>
              <w:rPr>
                <w:sz w:val="20"/>
              </w:rPr>
            </w:pPr>
            <w:r w:rsidRPr="00B55C88">
              <w:rPr>
                <w:sz w:val="20"/>
              </w:rPr>
              <w:t>0.3</w:t>
            </w:r>
          </w:p>
        </w:tc>
        <w:tc>
          <w:tcPr>
            <w:tcW w:w="2589" w:type="dxa"/>
            <w:tcBorders>
              <w:top w:val="single" w:sz="4" w:space="0" w:color="auto"/>
              <w:left w:val="nil"/>
              <w:bottom w:val="single" w:sz="4" w:space="0" w:color="auto"/>
              <w:right w:val="single" w:sz="4" w:space="0" w:color="auto"/>
            </w:tcBorders>
            <w:vAlign w:val="center"/>
            <w:hideMark/>
          </w:tcPr>
          <w:p w:rsidR="00B32603" w:rsidRPr="00B55C88" w:rsidP="00ED35A4" w14:paraId="0E35FFFB" w14:textId="39BCAE86">
            <w:pPr>
              <w:spacing w:before="20" w:after="20" w:line="240" w:lineRule="auto"/>
              <w:jc w:val="center"/>
              <w:rPr>
                <w:sz w:val="20"/>
              </w:rPr>
            </w:pPr>
            <w:r w:rsidRPr="00B55C88">
              <w:rPr>
                <w:sz w:val="20"/>
              </w:rPr>
              <w:t>$57,279</w:t>
            </w:r>
          </w:p>
        </w:tc>
      </w:tr>
      <w:tr w14:paraId="6D371A47"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vAlign w:val="center"/>
            <w:hideMark/>
          </w:tcPr>
          <w:p w:rsidR="00B32603" w:rsidRPr="00597461" w:rsidP="00ED35A4" w14:paraId="142C733B" w14:textId="77777777">
            <w:pPr>
              <w:spacing w:before="20" w:after="20" w:line="240" w:lineRule="auto"/>
            </w:pPr>
            <w:r w:rsidRPr="00597461">
              <w:t>Regional Assistance to States</w:t>
            </w:r>
          </w:p>
        </w:tc>
        <w:tc>
          <w:tcPr>
            <w:tcW w:w="1915" w:type="dxa"/>
            <w:tcBorders>
              <w:top w:val="nil"/>
              <w:left w:val="nil"/>
              <w:bottom w:val="single" w:sz="4" w:space="0" w:color="auto"/>
              <w:right w:val="single" w:sz="4" w:space="0" w:color="auto"/>
            </w:tcBorders>
            <w:vAlign w:val="center"/>
            <w:hideMark/>
          </w:tcPr>
          <w:p w:rsidR="00B32603" w:rsidRPr="00B55C88" w:rsidP="00ED35A4" w14:paraId="084D5E93" w14:textId="77777777">
            <w:pPr>
              <w:spacing w:before="20" w:after="20" w:line="240" w:lineRule="auto"/>
              <w:jc w:val="center"/>
              <w:rPr>
                <w:sz w:val="20"/>
              </w:rPr>
            </w:pPr>
            <w:r w:rsidRPr="00B55C88">
              <w:rPr>
                <w:sz w:val="20"/>
              </w:rPr>
              <w:t>0.35</w:t>
            </w:r>
          </w:p>
        </w:tc>
        <w:tc>
          <w:tcPr>
            <w:tcW w:w="2589" w:type="dxa"/>
            <w:tcBorders>
              <w:top w:val="nil"/>
              <w:left w:val="nil"/>
              <w:bottom w:val="single" w:sz="4" w:space="0" w:color="auto"/>
              <w:right w:val="single" w:sz="4" w:space="0" w:color="auto"/>
            </w:tcBorders>
            <w:vAlign w:val="center"/>
            <w:hideMark/>
          </w:tcPr>
          <w:p w:rsidR="00B32603" w:rsidRPr="00B55C88" w:rsidP="00ED35A4" w14:paraId="1B31F376" w14:textId="16801EFA">
            <w:pPr>
              <w:spacing w:before="20" w:after="20" w:line="240" w:lineRule="auto"/>
              <w:jc w:val="center"/>
              <w:rPr>
                <w:sz w:val="20"/>
              </w:rPr>
            </w:pPr>
            <w:r w:rsidRPr="00B55C88">
              <w:rPr>
                <w:sz w:val="20"/>
              </w:rPr>
              <w:t>$66,826</w:t>
            </w:r>
          </w:p>
        </w:tc>
      </w:tr>
      <w:tr w14:paraId="4544F803"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vAlign w:val="center"/>
            <w:hideMark/>
          </w:tcPr>
          <w:p w:rsidR="00B32603" w:rsidRPr="00597461" w:rsidP="00ED35A4" w14:paraId="75F810E6" w14:textId="77777777">
            <w:pPr>
              <w:spacing w:before="20" w:after="20" w:line="240" w:lineRule="auto"/>
            </w:pPr>
            <w:r w:rsidRPr="00597461">
              <w:t>Plan, Implement, &amp; Manage Survey</w:t>
            </w:r>
          </w:p>
        </w:tc>
        <w:tc>
          <w:tcPr>
            <w:tcW w:w="1915" w:type="dxa"/>
            <w:tcBorders>
              <w:top w:val="nil"/>
              <w:left w:val="nil"/>
              <w:bottom w:val="single" w:sz="4" w:space="0" w:color="auto"/>
              <w:right w:val="single" w:sz="4" w:space="0" w:color="auto"/>
            </w:tcBorders>
            <w:vAlign w:val="center"/>
            <w:hideMark/>
          </w:tcPr>
          <w:p w:rsidR="00B32603" w:rsidRPr="00B55C88" w:rsidP="00ED35A4" w14:paraId="48AD322D" w14:textId="77777777">
            <w:pPr>
              <w:spacing w:before="20" w:after="20" w:line="240" w:lineRule="auto"/>
              <w:jc w:val="center"/>
              <w:rPr>
                <w:sz w:val="20"/>
              </w:rPr>
            </w:pPr>
            <w:r w:rsidRPr="00B55C88">
              <w:rPr>
                <w:sz w:val="20"/>
              </w:rPr>
              <w:t>0.3</w:t>
            </w:r>
          </w:p>
        </w:tc>
        <w:tc>
          <w:tcPr>
            <w:tcW w:w="2589" w:type="dxa"/>
            <w:tcBorders>
              <w:top w:val="nil"/>
              <w:left w:val="nil"/>
              <w:bottom w:val="single" w:sz="4" w:space="0" w:color="auto"/>
              <w:right w:val="single" w:sz="4" w:space="0" w:color="auto"/>
            </w:tcBorders>
            <w:vAlign w:val="center"/>
            <w:hideMark/>
          </w:tcPr>
          <w:p w:rsidR="00B32603" w:rsidRPr="00B55C88" w:rsidP="00ED35A4" w14:paraId="376AD478" w14:textId="77777777">
            <w:pPr>
              <w:spacing w:before="20" w:after="20" w:line="240" w:lineRule="auto"/>
              <w:jc w:val="center"/>
              <w:rPr>
                <w:sz w:val="20"/>
              </w:rPr>
            </w:pPr>
            <w:r w:rsidRPr="00B55C88">
              <w:rPr>
                <w:sz w:val="20"/>
              </w:rPr>
              <w:t>$57,279</w:t>
            </w:r>
          </w:p>
        </w:tc>
      </w:tr>
      <w:tr w14:paraId="388B868C"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vAlign w:val="center"/>
            <w:hideMark/>
          </w:tcPr>
          <w:p w:rsidR="00B32603" w:rsidRPr="00597461" w:rsidP="00ED35A4" w14:paraId="01EB6DED" w14:textId="77777777">
            <w:pPr>
              <w:spacing w:before="20" w:after="20" w:line="240" w:lineRule="auto"/>
            </w:pPr>
            <w:r w:rsidRPr="00597461">
              <w:t>Provide Logistics Support</w:t>
            </w:r>
          </w:p>
        </w:tc>
        <w:tc>
          <w:tcPr>
            <w:tcW w:w="1915" w:type="dxa"/>
            <w:tcBorders>
              <w:top w:val="nil"/>
              <w:left w:val="nil"/>
              <w:bottom w:val="single" w:sz="4" w:space="0" w:color="auto"/>
              <w:right w:val="single" w:sz="4" w:space="0" w:color="auto"/>
            </w:tcBorders>
            <w:vAlign w:val="center"/>
            <w:hideMark/>
          </w:tcPr>
          <w:p w:rsidR="00B32603" w:rsidRPr="00B55C88" w:rsidP="00ED35A4" w14:paraId="3FE4C09D" w14:textId="77777777">
            <w:pPr>
              <w:spacing w:before="20" w:after="20" w:line="240" w:lineRule="auto"/>
              <w:jc w:val="center"/>
              <w:rPr>
                <w:sz w:val="20"/>
              </w:rPr>
            </w:pPr>
            <w:r w:rsidRPr="00B55C88">
              <w:rPr>
                <w:sz w:val="20"/>
              </w:rPr>
              <w:t>0.05</w:t>
            </w:r>
          </w:p>
        </w:tc>
        <w:tc>
          <w:tcPr>
            <w:tcW w:w="2589" w:type="dxa"/>
            <w:tcBorders>
              <w:top w:val="nil"/>
              <w:left w:val="nil"/>
              <w:bottom w:val="single" w:sz="4" w:space="0" w:color="auto"/>
              <w:right w:val="single" w:sz="4" w:space="0" w:color="auto"/>
            </w:tcBorders>
            <w:vAlign w:val="center"/>
            <w:hideMark/>
          </w:tcPr>
          <w:p w:rsidR="00B32603" w:rsidRPr="00B55C88" w:rsidP="00ED35A4" w14:paraId="45BE249F" w14:textId="77777777">
            <w:pPr>
              <w:spacing w:before="20" w:after="20" w:line="240" w:lineRule="auto"/>
              <w:jc w:val="center"/>
              <w:rPr>
                <w:sz w:val="20"/>
              </w:rPr>
            </w:pPr>
            <w:r w:rsidRPr="00B55C88">
              <w:rPr>
                <w:sz w:val="20"/>
              </w:rPr>
              <w:t>$9,547</w:t>
            </w:r>
          </w:p>
        </w:tc>
      </w:tr>
      <w:tr w14:paraId="496EE5C1"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vAlign w:val="center"/>
            <w:hideMark/>
          </w:tcPr>
          <w:p w:rsidR="00B32603" w:rsidRPr="00597461" w:rsidP="00ED35A4" w14:paraId="5BB58445" w14:textId="77777777">
            <w:pPr>
              <w:spacing w:before="20" w:after="20" w:line="240" w:lineRule="auto"/>
            </w:pPr>
            <w:r w:rsidRPr="00597461">
              <w:t>Refine Modeling Approaches</w:t>
            </w:r>
          </w:p>
        </w:tc>
        <w:tc>
          <w:tcPr>
            <w:tcW w:w="1915" w:type="dxa"/>
            <w:tcBorders>
              <w:top w:val="nil"/>
              <w:left w:val="nil"/>
              <w:bottom w:val="single" w:sz="4" w:space="0" w:color="auto"/>
              <w:right w:val="single" w:sz="4" w:space="0" w:color="auto"/>
            </w:tcBorders>
            <w:vAlign w:val="center"/>
            <w:hideMark/>
          </w:tcPr>
          <w:p w:rsidR="00B32603" w:rsidRPr="00B55C88" w:rsidP="00ED35A4" w14:paraId="5DA03BFB" w14:textId="77777777">
            <w:pPr>
              <w:spacing w:before="20" w:after="20" w:line="240" w:lineRule="auto"/>
              <w:jc w:val="center"/>
              <w:rPr>
                <w:sz w:val="20"/>
              </w:rPr>
            </w:pPr>
            <w:r w:rsidRPr="00B55C88">
              <w:rPr>
                <w:sz w:val="20"/>
              </w:rPr>
              <w:t>0.05</w:t>
            </w:r>
          </w:p>
        </w:tc>
        <w:tc>
          <w:tcPr>
            <w:tcW w:w="2589" w:type="dxa"/>
            <w:tcBorders>
              <w:top w:val="nil"/>
              <w:left w:val="nil"/>
              <w:bottom w:val="single" w:sz="4" w:space="0" w:color="auto"/>
              <w:right w:val="single" w:sz="4" w:space="0" w:color="auto"/>
            </w:tcBorders>
            <w:vAlign w:val="center"/>
            <w:hideMark/>
          </w:tcPr>
          <w:p w:rsidR="00B32603" w:rsidRPr="00B55C88" w:rsidP="00ED35A4" w14:paraId="672A021E" w14:textId="77777777">
            <w:pPr>
              <w:spacing w:before="20" w:after="20" w:line="240" w:lineRule="auto"/>
              <w:jc w:val="center"/>
              <w:rPr>
                <w:sz w:val="20"/>
              </w:rPr>
            </w:pPr>
            <w:r w:rsidRPr="00B55C88">
              <w:rPr>
                <w:sz w:val="20"/>
              </w:rPr>
              <w:t>$9,547</w:t>
            </w:r>
          </w:p>
        </w:tc>
      </w:tr>
      <w:tr w14:paraId="31E1BBE3"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vAlign w:val="center"/>
            <w:hideMark/>
          </w:tcPr>
          <w:p w:rsidR="00B32603" w:rsidRPr="00597461" w:rsidP="00ED35A4" w14:paraId="3E70FEF8" w14:textId="77777777">
            <w:pPr>
              <w:spacing w:before="20" w:after="20" w:line="240" w:lineRule="auto"/>
            </w:pPr>
            <w:r w:rsidRPr="00597461">
              <w:t>Provide Data Entry Portal support</w:t>
            </w:r>
          </w:p>
        </w:tc>
        <w:tc>
          <w:tcPr>
            <w:tcW w:w="1915" w:type="dxa"/>
            <w:tcBorders>
              <w:top w:val="nil"/>
              <w:left w:val="nil"/>
              <w:bottom w:val="single" w:sz="4" w:space="0" w:color="auto"/>
              <w:right w:val="single" w:sz="4" w:space="0" w:color="auto"/>
            </w:tcBorders>
            <w:vAlign w:val="center"/>
            <w:hideMark/>
          </w:tcPr>
          <w:p w:rsidR="00B32603" w:rsidRPr="00B55C88" w:rsidP="00ED35A4" w14:paraId="0FF2527A" w14:textId="77777777">
            <w:pPr>
              <w:spacing w:before="20" w:after="20" w:line="240" w:lineRule="auto"/>
              <w:jc w:val="center"/>
              <w:rPr>
                <w:sz w:val="20"/>
              </w:rPr>
            </w:pPr>
            <w:r w:rsidRPr="00B55C88">
              <w:rPr>
                <w:sz w:val="20"/>
              </w:rPr>
              <w:t>0.15</w:t>
            </w:r>
          </w:p>
        </w:tc>
        <w:tc>
          <w:tcPr>
            <w:tcW w:w="2589" w:type="dxa"/>
            <w:tcBorders>
              <w:top w:val="nil"/>
              <w:left w:val="nil"/>
              <w:bottom w:val="single" w:sz="4" w:space="0" w:color="auto"/>
              <w:right w:val="single" w:sz="4" w:space="0" w:color="auto"/>
            </w:tcBorders>
            <w:vAlign w:val="center"/>
            <w:hideMark/>
          </w:tcPr>
          <w:p w:rsidR="00B32603" w:rsidRPr="00B55C88" w:rsidP="00ED35A4" w14:paraId="5E52D8C0" w14:textId="77777777">
            <w:pPr>
              <w:spacing w:before="20" w:after="20" w:line="240" w:lineRule="auto"/>
              <w:jc w:val="center"/>
              <w:rPr>
                <w:sz w:val="20"/>
              </w:rPr>
            </w:pPr>
            <w:r w:rsidRPr="00B55C88">
              <w:rPr>
                <w:sz w:val="20"/>
              </w:rPr>
              <w:t>$28,640</w:t>
            </w:r>
          </w:p>
        </w:tc>
      </w:tr>
      <w:tr w14:paraId="16F71D91"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vAlign w:val="center"/>
            <w:hideMark/>
          </w:tcPr>
          <w:p w:rsidR="00B32603" w:rsidRPr="00597461" w:rsidP="00ED35A4" w14:paraId="3BF1B69A" w14:textId="77777777">
            <w:pPr>
              <w:spacing w:before="20" w:after="20" w:line="240" w:lineRule="auto"/>
            </w:pPr>
            <w:r w:rsidRPr="00597461">
              <w:t>Provide Technical Support</w:t>
            </w:r>
          </w:p>
        </w:tc>
        <w:tc>
          <w:tcPr>
            <w:tcW w:w="1915" w:type="dxa"/>
            <w:tcBorders>
              <w:top w:val="nil"/>
              <w:left w:val="nil"/>
              <w:bottom w:val="single" w:sz="4" w:space="0" w:color="auto"/>
              <w:right w:val="single" w:sz="4" w:space="0" w:color="auto"/>
            </w:tcBorders>
            <w:vAlign w:val="center"/>
            <w:hideMark/>
          </w:tcPr>
          <w:p w:rsidR="00B32603" w:rsidRPr="00B55C88" w:rsidP="00ED35A4" w14:paraId="42F70232" w14:textId="77777777">
            <w:pPr>
              <w:spacing w:before="20" w:after="20" w:line="240" w:lineRule="auto"/>
              <w:jc w:val="center"/>
              <w:rPr>
                <w:sz w:val="20"/>
              </w:rPr>
            </w:pPr>
            <w:r w:rsidRPr="00B55C88">
              <w:rPr>
                <w:sz w:val="20"/>
              </w:rPr>
              <w:t>0.15</w:t>
            </w:r>
          </w:p>
        </w:tc>
        <w:tc>
          <w:tcPr>
            <w:tcW w:w="2589" w:type="dxa"/>
            <w:tcBorders>
              <w:top w:val="nil"/>
              <w:left w:val="nil"/>
              <w:bottom w:val="single" w:sz="4" w:space="0" w:color="auto"/>
              <w:right w:val="single" w:sz="4" w:space="0" w:color="auto"/>
            </w:tcBorders>
            <w:vAlign w:val="center"/>
            <w:hideMark/>
          </w:tcPr>
          <w:p w:rsidR="00B32603" w:rsidRPr="00B55C88" w:rsidP="00ED35A4" w14:paraId="191C003F" w14:textId="77777777">
            <w:pPr>
              <w:spacing w:before="20" w:after="20" w:line="240" w:lineRule="auto"/>
              <w:jc w:val="center"/>
              <w:rPr>
                <w:sz w:val="20"/>
              </w:rPr>
            </w:pPr>
            <w:r w:rsidRPr="00B55C88">
              <w:rPr>
                <w:sz w:val="20"/>
              </w:rPr>
              <w:t>$28,640</w:t>
            </w:r>
          </w:p>
        </w:tc>
      </w:tr>
      <w:tr w14:paraId="68D26A7D"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vAlign w:val="center"/>
            <w:hideMark/>
          </w:tcPr>
          <w:p w:rsidR="00B32603" w:rsidRPr="00597461" w:rsidP="00ED35A4" w14:paraId="21360611" w14:textId="77777777">
            <w:pPr>
              <w:spacing w:before="20" w:after="20" w:line="240" w:lineRule="auto"/>
            </w:pPr>
            <w:r w:rsidRPr="00597461">
              <w:t xml:space="preserve">Workgroup Facilitation &amp; Support </w:t>
            </w:r>
          </w:p>
        </w:tc>
        <w:tc>
          <w:tcPr>
            <w:tcW w:w="1915" w:type="dxa"/>
            <w:tcBorders>
              <w:top w:val="nil"/>
              <w:left w:val="nil"/>
              <w:bottom w:val="single" w:sz="4" w:space="0" w:color="auto"/>
              <w:right w:val="single" w:sz="4" w:space="0" w:color="auto"/>
            </w:tcBorders>
            <w:vAlign w:val="center"/>
            <w:hideMark/>
          </w:tcPr>
          <w:p w:rsidR="00B32603" w:rsidRPr="00B55C88" w:rsidP="00ED35A4" w14:paraId="30936B1B" w14:textId="77777777">
            <w:pPr>
              <w:spacing w:before="20" w:after="20" w:line="240" w:lineRule="auto"/>
              <w:jc w:val="center"/>
              <w:rPr>
                <w:sz w:val="20"/>
              </w:rPr>
            </w:pPr>
            <w:r w:rsidRPr="00B55C88">
              <w:rPr>
                <w:sz w:val="20"/>
              </w:rPr>
              <w:t>0.1</w:t>
            </w:r>
          </w:p>
        </w:tc>
        <w:tc>
          <w:tcPr>
            <w:tcW w:w="2589" w:type="dxa"/>
            <w:tcBorders>
              <w:top w:val="nil"/>
              <w:left w:val="nil"/>
              <w:bottom w:val="single" w:sz="4" w:space="0" w:color="auto"/>
              <w:right w:val="single" w:sz="4" w:space="0" w:color="auto"/>
            </w:tcBorders>
            <w:vAlign w:val="center"/>
            <w:hideMark/>
          </w:tcPr>
          <w:p w:rsidR="00B32603" w:rsidRPr="00B55C88" w:rsidP="00ED35A4" w14:paraId="2280B5BD" w14:textId="77777777">
            <w:pPr>
              <w:spacing w:before="20" w:after="20" w:line="240" w:lineRule="auto"/>
              <w:jc w:val="center"/>
              <w:rPr>
                <w:sz w:val="20"/>
              </w:rPr>
            </w:pPr>
            <w:r w:rsidRPr="00B55C88">
              <w:rPr>
                <w:sz w:val="20"/>
              </w:rPr>
              <w:t>$19,093</w:t>
            </w:r>
          </w:p>
        </w:tc>
      </w:tr>
      <w:tr w14:paraId="04D90726"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vAlign w:val="center"/>
          </w:tcPr>
          <w:p w:rsidR="00B32603" w:rsidRPr="00597461" w:rsidP="00ED35A4" w14:paraId="6B4C39CA" w14:textId="77777777">
            <w:pPr>
              <w:spacing w:before="20" w:after="20" w:line="240" w:lineRule="auto"/>
            </w:pPr>
            <w:r>
              <w:t>Run Statistical Survey</w:t>
            </w:r>
          </w:p>
        </w:tc>
        <w:tc>
          <w:tcPr>
            <w:tcW w:w="1915" w:type="dxa"/>
            <w:tcBorders>
              <w:top w:val="nil"/>
              <w:left w:val="nil"/>
              <w:bottom w:val="single" w:sz="4" w:space="0" w:color="auto"/>
              <w:right w:val="single" w:sz="4" w:space="0" w:color="auto"/>
            </w:tcBorders>
            <w:vAlign w:val="center"/>
          </w:tcPr>
          <w:p w:rsidR="00B32603" w:rsidRPr="00B55C88" w:rsidP="00ED35A4" w14:paraId="6651E84D" w14:textId="77777777">
            <w:pPr>
              <w:spacing w:before="20" w:after="20" w:line="240" w:lineRule="auto"/>
              <w:jc w:val="center"/>
              <w:rPr>
                <w:sz w:val="20"/>
              </w:rPr>
            </w:pPr>
            <w:r w:rsidRPr="00BF08F9">
              <w:rPr>
                <w:sz w:val="20"/>
              </w:rPr>
              <w:t>0.5</w:t>
            </w:r>
          </w:p>
        </w:tc>
        <w:tc>
          <w:tcPr>
            <w:tcW w:w="2589" w:type="dxa"/>
            <w:tcBorders>
              <w:top w:val="nil"/>
              <w:left w:val="nil"/>
              <w:bottom w:val="single" w:sz="4" w:space="0" w:color="auto"/>
              <w:right w:val="single" w:sz="4" w:space="0" w:color="auto"/>
            </w:tcBorders>
            <w:vAlign w:val="center"/>
          </w:tcPr>
          <w:p w:rsidR="00B32603" w:rsidRPr="004C6D4F" w:rsidP="00ED35A4" w14:paraId="6F49BDCB" w14:textId="4C311D8F">
            <w:pPr>
              <w:spacing w:before="20" w:after="20" w:line="240" w:lineRule="auto"/>
              <w:jc w:val="center"/>
              <w:rPr>
                <w:sz w:val="20"/>
              </w:rPr>
            </w:pPr>
            <w:r w:rsidRPr="00BF08F9">
              <w:rPr>
                <w:sz w:val="20"/>
              </w:rPr>
              <w:t>$95,465</w:t>
            </w:r>
          </w:p>
        </w:tc>
      </w:tr>
      <w:tr w14:paraId="004E8557"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vAlign w:val="center"/>
            <w:hideMark/>
          </w:tcPr>
          <w:p w:rsidR="00B32603" w:rsidRPr="00597461" w:rsidP="00ED35A4" w14:paraId="14F3DFB9" w14:textId="77777777">
            <w:pPr>
              <w:spacing w:before="20" w:after="20" w:line="240" w:lineRule="auto"/>
            </w:pPr>
            <w:r w:rsidRPr="00597461">
              <w:t>Review, Q/A, and Reconcile Data</w:t>
            </w:r>
          </w:p>
        </w:tc>
        <w:tc>
          <w:tcPr>
            <w:tcW w:w="1915" w:type="dxa"/>
            <w:tcBorders>
              <w:top w:val="nil"/>
              <w:left w:val="nil"/>
              <w:bottom w:val="single" w:sz="4" w:space="0" w:color="auto"/>
              <w:right w:val="single" w:sz="4" w:space="0" w:color="auto"/>
            </w:tcBorders>
            <w:vAlign w:val="center"/>
            <w:hideMark/>
          </w:tcPr>
          <w:p w:rsidR="00B32603" w:rsidRPr="00B55C88" w:rsidP="00ED35A4" w14:paraId="6ADA8868" w14:textId="77777777">
            <w:pPr>
              <w:spacing w:before="20" w:after="20" w:line="240" w:lineRule="auto"/>
              <w:jc w:val="center"/>
              <w:rPr>
                <w:sz w:val="20"/>
              </w:rPr>
            </w:pPr>
            <w:r w:rsidRPr="00B55C88">
              <w:rPr>
                <w:sz w:val="20"/>
              </w:rPr>
              <w:t>0.1</w:t>
            </w:r>
          </w:p>
        </w:tc>
        <w:tc>
          <w:tcPr>
            <w:tcW w:w="2589" w:type="dxa"/>
            <w:tcBorders>
              <w:top w:val="nil"/>
              <w:left w:val="nil"/>
              <w:bottom w:val="single" w:sz="4" w:space="0" w:color="auto"/>
              <w:right w:val="single" w:sz="4" w:space="0" w:color="auto"/>
            </w:tcBorders>
            <w:vAlign w:val="center"/>
            <w:hideMark/>
          </w:tcPr>
          <w:p w:rsidR="00B32603" w:rsidRPr="00B55C88" w:rsidP="00ED35A4" w14:paraId="5CAFF391" w14:textId="77777777">
            <w:pPr>
              <w:spacing w:before="20" w:after="20" w:line="240" w:lineRule="auto"/>
              <w:jc w:val="center"/>
              <w:rPr>
                <w:sz w:val="20"/>
              </w:rPr>
            </w:pPr>
            <w:r w:rsidRPr="00B55C88">
              <w:rPr>
                <w:sz w:val="20"/>
              </w:rPr>
              <w:t>$19,093</w:t>
            </w:r>
          </w:p>
        </w:tc>
      </w:tr>
      <w:tr w14:paraId="72931992"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vAlign w:val="center"/>
            <w:hideMark/>
          </w:tcPr>
          <w:p w:rsidR="00B32603" w:rsidRPr="00597461" w:rsidP="00ED35A4" w14:paraId="5F5E1D24" w14:textId="77777777">
            <w:pPr>
              <w:spacing w:before="20" w:after="20" w:line="240" w:lineRule="auto"/>
            </w:pPr>
            <w:r w:rsidRPr="00597461">
              <w:t>Market and promote CWNS</w:t>
            </w:r>
          </w:p>
        </w:tc>
        <w:tc>
          <w:tcPr>
            <w:tcW w:w="1915" w:type="dxa"/>
            <w:tcBorders>
              <w:top w:val="nil"/>
              <w:left w:val="nil"/>
              <w:bottom w:val="single" w:sz="4" w:space="0" w:color="auto"/>
              <w:right w:val="single" w:sz="4" w:space="0" w:color="auto"/>
            </w:tcBorders>
            <w:vAlign w:val="center"/>
            <w:hideMark/>
          </w:tcPr>
          <w:p w:rsidR="00B32603" w:rsidRPr="00B55C88" w:rsidP="00ED35A4" w14:paraId="3890D34F" w14:textId="77777777">
            <w:pPr>
              <w:spacing w:before="20" w:after="20" w:line="240" w:lineRule="auto"/>
              <w:jc w:val="center"/>
              <w:rPr>
                <w:sz w:val="20"/>
              </w:rPr>
            </w:pPr>
            <w:r w:rsidRPr="00B55C88">
              <w:rPr>
                <w:sz w:val="20"/>
              </w:rPr>
              <w:t>0.3</w:t>
            </w:r>
          </w:p>
        </w:tc>
        <w:tc>
          <w:tcPr>
            <w:tcW w:w="2589" w:type="dxa"/>
            <w:tcBorders>
              <w:top w:val="nil"/>
              <w:left w:val="nil"/>
              <w:bottom w:val="single" w:sz="4" w:space="0" w:color="auto"/>
              <w:right w:val="single" w:sz="4" w:space="0" w:color="auto"/>
            </w:tcBorders>
            <w:vAlign w:val="center"/>
            <w:hideMark/>
          </w:tcPr>
          <w:p w:rsidR="00B32603" w:rsidRPr="00B55C88" w:rsidP="00ED35A4" w14:paraId="27074EC6" w14:textId="77777777">
            <w:pPr>
              <w:spacing w:before="20" w:after="20" w:line="240" w:lineRule="auto"/>
              <w:jc w:val="center"/>
              <w:rPr>
                <w:sz w:val="20"/>
              </w:rPr>
            </w:pPr>
            <w:r w:rsidRPr="00B55C88">
              <w:rPr>
                <w:sz w:val="20"/>
              </w:rPr>
              <w:t>$57,279</w:t>
            </w:r>
          </w:p>
        </w:tc>
      </w:tr>
      <w:tr w14:paraId="532AAD16"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vAlign w:val="center"/>
            <w:hideMark/>
          </w:tcPr>
          <w:p w:rsidR="00B32603" w:rsidRPr="00597461" w:rsidP="00ED35A4" w14:paraId="1048DE32" w14:textId="77777777">
            <w:pPr>
              <w:spacing w:before="20" w:after="20" w:line="240" w:lineRule="auto"/>
            </w:pPr>
            <w:r w:rsidRPr="00597461">
              <w:t>Prepare Final Report</w:t>
            </w:r>
          </w:p>
        </w:tc>
        <w:tc>
          <w:tcPr>
            <w:tcW w:w="1915" w:type="dxa"/>
            <w:tcBorders>
              <w:top w:val="nil"/>
              <w:left w:val="nil"/>
              <w:bottom w:val="single" w:sz="4" w:space="0" w:color="auto"/>
              <w:right w:val="single" w:sz="4" w:space="0" w:color="auto"/>
            </w:tcBorders>
            <w:vAlign w:val="center"/>
            <w:hideMark/>
          </w:tcPr>
          <w:p w:rsidR="00B32603" w:rsidRPr="00B55C88" w:rsidP="00ED35A4" w14:paraId="5680DAC9" w14:textId="77777777">
            <w:pPr>
              <w:spacing w:before="20" w:after="20" w:line="240" w:lineRule="auto"/>
              <w:jc w:val="center"/>
              <w:rPr>
                <w:sz w:val="20"/>
              </w:rPr>
            </w:pPr>
            <w:r w:rsidRPr="00B55C88">
              <w:rPr>
                <w:sz w:val="20"/>
              </w:rPr>
              <w:t>0.45</w:t>
            </w:r>
          </w:p>
        </w:tc>
        <w:tc>
          <w:tcPr>
            <w:tcW w:w="2589" w:type="dxa"/>
            <w:tcBorders>
              <w:top w:val="nil"/>
              <w:left w:val="nil"/>
              <w:bottom w:val="single" w:sz="4" w:space="0" w:color="auto"/>
              <w:right w:val="single" w:sz="4" w:space="0" w:color="auto"/>
            </w:tcBorders>
            <w:vAlign w:val="center"/>
            <w:hideMark/>
          </w:tcPr>
          <w:p w:rsidR="00B32603" w:rsidRPr="00B55C88" w:rsidP="00ED35A4" w14:paraId="28563AD2" w14:textId="77777777">
            <w:pPr>
              <w:spacing w:before="20" w:after="20" w:line="240" w:lineRule="auto"/>
              <w:jc w:val="center"/>
              <w:rPr>
                <w:sz w:val="20"/>
              </w:rPr>
            </w:pPr>
            <w:r w:rsidRPr="00B55C88">
              <w:rPr>
                <w:sz w:val="20"/>
              </w:rPr>
              <w:t>$85,919</w:t>
            </w:r>
          </w:p>
        </w:tc>
      </w:tr>
      <w:tr w14:paraId="57F9035C"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vAlign w:val="center"/>
            <w:hideMark/>
          </w:tcPr>
          <w:p w:rsidR="00B32603" w:rsidRPr="00597461" w:rsidP="00ED35A4" w14:paraId="273F01E8" w14:textId="77777777">
            <w:pPr>
              <w:spacing w:before="20" w:after="20" w:line="240" w:lineRule="auto"/>
            </w:pPr>
            <w:r w:rsidRPr="00597461">
              <w:t>Develop &amp; Maintain Web Reports</w:t>
            </w:r>
          </w:p>
        </w:tc>
        <w:tc>
          <w:tcPr>
            <w:tcW w:w="1915" w:type="dxa"/>
            <w:tcBorders>
              <w:top w:val="nil"/>
              <w:left w:val="nil"/>
              <w:bottom w:val="single" w:sz="4" w:space="0" w:color="auto"/>
              <w:right w:val="single" w:sz="4" w:space="0" w:color="auto"/>
            </w:tcBorders>
            <w:vAlign w:val="center"/>
            <w:hideMark/>
          </w:tcPr>
          <w:p w:rsidR="00B32603" w:rsidRPr="00B55C88" w:rsidP="00ED35A4" w14:paraId="3738DDC0" w14:textId="77777777">
            <w:pPr>
              <w:spacing w:before="20" w:after="20" w:line="240" w:lineRule="auto"/>
              <w:jc w:val="center"/>
              <w:rPr>
                <w:sz w:val="20"/>
              </w:rPr>
            </w:pPr>
            <w:r w:rsidRPr="00B55C88">
              <w:rPr>
                <w:sz w:val="20"/>
              </w:rPr>
              <w:t>0.1</w:t>
            </w:r>
          </w:p>
        </w:tc>
        <w:tc>
          <w:tcPr>
            <w:tcW w:w="2589" w:type="dxa"/>
            <w:tcBorders>
              <w:top w:val="nil"/>
              <w:left w:val="nil"/>
              <w:bottom w:val="single" w:sz="4" w:space="0" w:color="auto"/>
              <w:right w:val="single" w:sz="4" w:space="0" w:color="auto"/>
            </w:tcBorders>
            <w:vAlign w:val="center"/>
            <w:hideMark/>
          </w:tcPr>
          <w:p w:rsidR="00B32603" w:rsidRPr="00B55C88" w:rsidP="00ED35A4" w14:paraId="1B9FD8A2" w14:textId="77777777">
            <w:pPr>
              <w:spacing w:before="20" w:after="20" w:line="240" w:lineRule="auto"/>
              <w:jc w:val="center"/>
              <w:rPr>
                <w:sz w:val="20"/>
              </w:rPr>
            </w:pPr>
            <w:r w:rsidRPr="00B55C88">
              <w:rPr>
                <w:sz w:val="20"/>
              </w:rPr>
              <w:t>$19,093</w:t>
            </w:r>
          </w:p>
        </w:tc>
      </w:tr>
      <w:tr w14:paraId="56286D4B"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vAlign w:val="center"/>
            <w:hideMark/>
          </w:tcPr>
          <w:p w:rsidR="00B32603" w:rsidRPr="00597461" w:rsidP="00ED35A4" w14:paraId="0702C162" w14:textId="77777777">
            <w:pPr>
              <w:spacing w:before="20" w:after="20" w:line="240" w:lineRule="auto"/>
            </w:pPr>
            <w:r w:rsidRPr="00597461">
              <w:t>Annual Totals</w:t>
            </w:r>
          </w:p>
        </w:tc>
        <w:tc>
          <w:tcPr>
            <w:tcW w:w="1915" w:type="dxa"/>
            <w:tcBorders>
              <w:top w:val="nil"/>
              <w:left w:val="nil"/>
              <w:bottom w:val="single" w:sz="4" w:space="0" w:color="auto"/>
              <w:right w:val="single" w:sz="4" w:space="0" w:color="auto"/>
            </w:tcBorders>
            <w:vAlign w:val="center"/>
            <w:hideMark/>
          </w:tcPr>
          <w:p w:rsidR="00B32603" w:rsidRPr="00B55C88" w:rsidP="00ED35A4" w14:paraId="0FC181BB" w14:textId="77777777">
            <w:pPr>
              <w:spacing w:before="20" w:after="20" w:line="240" w:lineRule="auto"/>
              <w:jc w:val="center"/>
              <w:rPr>
                <w:sz w:val="20"/>
              </w:rPr>
            </w:pPr>
            <w:r w:rsidRPr="00BF08F9">
              <w:rPr>
                <w:sz w:val="20"/>
              </w:rPr>
              <w:t>2.9</w:t>
            </w:r>
          </w:p>
        </w:tc>
        <w:tc>
          <w:tcPr>
            <w:tcW w:w="2589" w:type="dxa"/>
            <w:tcBorders>
              <w:top w:val="nil"/>
              <w:left w:val="nil"/>
              <w:bottom w:val="single" w:sz="4" w:space="0" w:color="auto"/>
              <w:right w:val="single" w:sz="4" w:space="0" w:color="auto"/>
            </w:tcBorders>
            <w:vAlign w:val="center"/>
            <w:hideMark/>
          </w:tcPr>
          <w:p w:rsidR="00B32603" w:rsidRPr="00B55C88" w:rsidP="00ED35A4" w14:paraId="0D9A8E18" w14:textId="1347CE65">
            <w:pPr>
              <w:spacing w:before="20" w:after="20" w:line="240" w:lineRule="auto"/>
              <w:jc w:val="center"/>
              <w:rPr>
                <w:sz w:val="20"/>
              </w:rPr>
            </w:pPr>
            <w:r w:rsidRPr="00BF08F9">
              <w:rPr>
                <w:sz w:val="20"/>
              </w:rPr>
              <w:t>$553,697</w:t>
            </w:r>
          </w:p>
        </w:tc>
      </w:tr>
      <w:tr w14:paraId="2C06F57C"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vAlign w:val="center"/>
            <w:hideMark/>
          </w:tcPr>
          <w:p w:rsidR="00B32603" w:rsidRPr="00597461" w:rsidP="00ED35A4" w14:paraId="67F5B734" w14:textId="77777777">
            <w:pPr>
              <w:spacing w:before="20" w:after="20" w:line="240" w:lineRule="auto"/>
            </w:pPr>
            <w:r w:rsidRPr="00597461">
              <w:t>3-Year Totals</w:t>
            </w:r>
          </w:p>
        </w:tc>
        <w:tc>
          <w:tcPr>
            <w:tcW w:w="1915" w:type="dxa"/>
            <w:tcBorders>
              <w:top w:val="nil"/>
              <w:left w:val="nil"/>
              <w:bottom w:val="single" w:sz="4" w:space="0" w:color="auto"/>
              <w:right w:val="single" w:sz="4" w:space="0" w:color="auto"/>
            </w:tcBorders>
            <w:noWrap/>
            <w:vAlign w:val="center"/>
            <w:hideMark/>
          </w:tcPr>
          <w:p w:rsidR="00B32603" w:rsidRPr="00B55C88" w:rsidP="00ED35A4" w14:paraId="58822160" w14:textId="77777777">
            <w:pPr>
              <w:spacing w:before="20" w:after="20" w:line="240" w:lineRule="auto"/>
              <w:jc w:val="center"/>
              <w:rPr>
                <w:sz w:val="20"/>
              </w:rPr>
            </w:pPr>
            <w:r w:rsidRPr="00BF08F9">
              <w:rPr>
                <w:sz w:val="20"/>
              </w:rPr>
              <w:t>8.7</w:t>
            </w:r>
          </w:p>
        </w:tc>
        <w:tc>
          <w:tcPr>
            <w:tcW w:w="2589" w:type="dxa"/>
            <w:tcBorders>
              <w:top w:val="nil"/>
              <w:left w:val="nil"/>
              <w:bottom w:val="single" w:sz="4" w:space="0" w:color="auto"/>
              <w:right w:val="single" w:sz="4" w:space="0" w:color="auto"/>
            </w:tcBorders>
            <w:vAlign w:val="center"/>
            <w:hideMark/>
          </w:tcPr>
          <w:p w:rsidR="00B32603" w:rsidRPr="00B55C88" w:rsidP="00ED35A4" w14:paraId="134757C3" w14:textId="44C5AB31">
            <w:pPr>
              <w:spacing w:before="20" w:after="20" w:line="240" w:lineRule="auto"/>
              <w:jc w:val="center"/>
              <w:rPr>
                <w:sz w:val="20"/>
              </w:rPr>
            </w:pPr>
            <w:r w:rsidRPr="00BF08F9">
              <w:rPr>
                <w:sz w:val="20"/>
              </w:rPr>
              <w:t>$1,661,092</w:t>
            </w:r>
          </w:p>
        </w:tc>
      </w:tr>
    </w:tbl>
    <w:p w:rsidR="00BB3410" w:rsidRPr="00BB3410" w:rsidP="00854AAE" w14:paraId="5BA12778" w14:textId="02BDFA82">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D17BB9" w:rsidRPr="00163C69" w:rsidP="00854AAE" w14:paraId="164B7E2B" w14:textId="2BCAACF4">
      <w:pPr>
        <w:spacing w:before="120" w:after="0"/>
        <w:rPr>
          <w:rFonts w:cstheme="minorHAnsi"/>
          <w:b/>
          <w:bCs/>
        </w:rPr>
      </w:pPr>
      <w:r w:rsidRPr="00163C69">
        <w:rPr>
          <w:rFonts w:eastAsiaTheme="majorEastAsia" w:cstheme="minorHAnsi"/>
          <w:b/>
          <w:bCs/>
        </w:rPr>
        <w:t>14c. Agency Non-Labor Costs</w:t>
      </w:r>
    </w:p>
    <w:p w:rsidR="00B11DB9" w:rsidP="00854AAE" w14:paraId="0978C84D" w14:textId="2C21B351">
      <w:pPr>
        <w:spacing w:before="60"/>
        <w:rPr>
          <w:rFonts w:cstheme="minorHAnsi"/>
        </w:rPr>
      </w:pPr>
      <w:r w:rsidRPr="00156B8B">
        <w:rPr>
          <w:rFonts w:cstheme="minorHAnsi"/>
        </w:rPr>
        <w:t>Agency contactor costs were estimated based on actual pre-collection contract costs and prior survey estimates. The annualized estimate for the total</w:t>
      </w:r>
      <w:r>
        <w:rPr>
          <w:rFonts w:cstheme="minorHAnsi"/>
        </w:rPr>
        <w:t xml:space="preserve"> non-labor</w:t>
      </w:r>
      <w:r w:rsidRPr="00156B8B">
        <w:rPr>
          <w:rFonts w:cstheme="minorHAnsi"/>
        </w:rPr>
        <w:t xml:space="preserve"> cost</w:t>
      </w:r>
      <w:r>
        <w:rPr>
          <w:rFonts w:cstheme="minorHAnsi"/>
        </w:rPr>
        <w:t xml:space="preserve"> is </w:t>
      </w:r>
      <w:r w:rsidRPr="00B11DB9">
        <w:rPr>
          <w:rFonts w:cstheme="minorHAnsi"/>
        </w:rPr>
        <w:t>$865,000</w:t>
      </w:r>
      <w:r>
        <w:rPr>
          <w:rFonts w:cstheme="minorHAnsi"/>
        </w:rPr>
        <w:t>.</w:t>
      </w:r>
      <w:r w:rsidR="00B32603">
        <w:rPr>
          <w:rFonts w:cstheme="minorHAnsi"/>
        </w:rPr>
        <w:t xml:space="preserve"> </w:t>
      </w:r>
      <w:r w:rsidRPr="00156B8B" w:rsidR="00B32603">
        <w:rPr>
          <w:rFonts w:cstheme="minorHAnsi"/>
        </w:rPr>
        <w:t>Table 14</w:t>
      </w:r>
      <w:r w:rsidR="00B32603">
        <w:rPr>
          <w:rFonts w:cstheme="minorHAnsi"/>
        </w:rPr>
        <w:t>-2</w:t>
      </w:r>
      <w:r w:rsidRPr="00156B8B" w:rsidR="00B32603">
        <w:rPr>
          <w:rFonts w:cstheme="minorHAnsi"/>
        </w:rPr>
        <w:t xml:space="preserve"> shows Agency </w:t>
      </w:r>
      <w:r w:rsidR="00B32603">
        <w:rPr>
          <w:rFonts w:cstheme="minorHAnsi"/>
        </w:rPr>
        <w:t>non-labor burden and cost</w:t>
      </w:r>
      <w:r w:rsidRPr="00156B8B" w:rsidR="00B32603">
        <w:rPr>
          <w:rFonts w:cstheme="minorHAnsi"/>
        </w:rPr>
        <w:t xml:space="preserve"> </w:t>
      </w:r>
      <w:r w:rsidR="00B32603">
        <w:rPr>
          <w:rFonts w:cstheme="minorHAnsi"/>
        </w:rPr>
        <w:t>by activity</w:t>
      </w:r>
      <w:r w:rsidRPr="00156B8B" w:rsidR="00B32603">
        <w:rPr>
          <w:rFonts w:cstheme="minorHAnsi"/>
        </w:rPr>
        <w:t>.</w:t>
      </w:r>
    </w:p>
    <w:p w:rsidR="001F5CCE" w:rsidRPr="003B711F" w:rsidP="001F5CCE" w14:paraId="01EBC0FA" w14:textId="4F7BA5A3">
      <w:pPr>
        <w:pStyle w:val="Caption"/>
        <w:jc w:val="center"/>
        <w:rPr>
          <w:b w:val="0"/>
          <w:bCs w:val="0"/>
          <w:i/>
          <w:iCs/>
          <w:color w:val="auto"/>
        </w:rPr>
      </w:pPr>
      <w:r w:rsidRPr="003B711F">
        <w:rPr>
          <w:color w:val="auto"/>
        </w:rPr>
        <w:t xml:space="preserve">Table </w:t>
      </w:r>
      <w:r>
        <w:rPr>
          <w:b w:val="0"/>
          <w:bCs w:val="0"/>
          <w:i/>
          <w:iCs/>
          <w:color w:val="auto"/>
        </w:rPr>
        <w:fldChar w:fldCharType="begin"/>
      </w:r>
      <w:r>
        <w:rPr>
          <w:color w:val="auto"/>
        </w:rPr>
        <w:instrText xml:space="preserve"> STYLEREF 2 \s </w:instrText>
      </w:r>
      <w:r>
        <w:rPr>
          <w:b w:val="0"/>
          <w:bCs w:val="0"/>
          <w:i/>
          <w:iCs/>
          <w:color w:val="auto"/>
        </w:rPr>
        <w:fldChar w:fldCharType="separate"/>
      </w:r>
      <w:r>
        <w:rPr>
          <w:noProof/>
          <w:color w:val="auto"/>
        </w:rPr>
        <w:t>14</w:t>
      </w:r>
      <w:r>
        <w:rPr>
          <w:b w:val="0"/>
          <w:bCs w:val="0"/>
          <w:i/>
          <w:iCs/>
          <w:color w:val="auto"/>
        </w:rPr>
        <w:fldChar w:fldCharType="end"/>
      </w:r>
      <w:r>
        <w:rPr>
          <w:color w:val="auto"/>
        </w:rPr>
        <w:noBreakHyphen/>
      </w:r>
      <w:r w:rsidRPr="00B11DB9" w:rsidR="00B11DB9">
        <w:rPr>
          <w:color w:val="auto"/>
        </w:rPr>
        <w:t>2</w:t>
      </w:r>
      <w:r w:rsidRPr="003B711F">
        <w:rPr>
          <w:color w:val="auto"/>
        </w:rPr>
        <w:t>. Agency Burden and Cost</w:t>
      </w:r>
    </w:p>
    <w:tbl>
      <w:tblPr>
        <w:tblW w:w="0" w:type="auto"/>
        <w:jc w:val="center"/>
        <w:tblLook w:val="0620"/>
      </w:tblPr>
      <w:tblGrid>
        <w:gridCol w:w="3371"/>
        <w:gridCol w:w="2339"/>
      </w:tblGrid>
      <w:tr w14:paraId="359D814C" w14:textId="77777777" w:rsidTr="00ED35A4">
        <w:tblPrEx>
          <w:tblW w:w="0" w:type="auto"/>
          <w:jc w:val="center"/>
          <w:tblLook w:val="0620"/>
        </w:tblPrEx>
        <w:trPr>
          <w:trHeight w:val="450"/>
          <w:tblHeader/>
          <w:jc w:val="center"/>
        </w:trPr>
        <w:tc>
          <w:tcPr>
            <w:tcW w:w="0" w:type="auto"/>
            <w:vMerge w:val="restart"/>
            <w:tcBorders>
              <w:top w:val="single" w:sz="8" w:space="0" w:color="auto"/>
              <w:left w:val="single" w:sz="4" w:space="0" w:color="auto"/>
              <w:bottom w:val="single" w:sz="8" w:space="0" w:color="000000" w:themeColor="text1"/>
              <w:right w:val="single" w:sz="4" w:space="0" w:color="auto"/>
            </w:tcBorders>
            <w:shd w:val="clear" w:color="auto" w:fill="BFBFBF" w:themeFill="background1" w:themeFillShade="BF"/>
            <w:vAlign w:val="center"/>
            <w:hideMark/>
          </w:tcPr>
          <w:p w:rsidR="00B32603" w:rsidRPr="00597461" w:rsidP="00ED35A4" w14:paraId="4C56F037" w14:textId="77777777">
            <w:pPr>
              <w:spacing w:after="0" w:line="240" w:lineRule="auto"/>
              <w:jc w:val="center"/>
              <w:rPr>
                <w:b/>
                <w:bCs/>
                <w:color w:val="000000"/>
              </w:rPr>
            </w:pPr>
            <w:r w:rsidRPr="00597461">
              <w:rPr>
                <w:b/>
                <w:bCs/>
                <w:color w:val="000000"/>
              </w:rPr>
              <w:t>Activity</w:t>
            </w:r>
          </w:p>
        </w:tc>
        <w:tc>
          <w:tcPr>
            <w:tcW w:w="0" w:type="auto"/>
            <w:vMerge w:val="restart"/>
            <w:tcBorders>
              <w:top w:val="single" w:sz="8" w:space="0" w:color="auto"/>
              <w:left w:val="single" w:sz="4" w:space="0" w:color="auto"/>
              <w:bottom w:val="single" w:sz="8" w:space="0" w:color="000000" w:themeColor="text1"/>
              <w:right w:val="single" w:sz="4" w:space="0" w:color="auto"/>
            </w:tcBorders>
            <w:shd w:val="clear" w:color="auto" w:fill="BFBFBF" w:themeFill="background1" w:themeFillShade="BF"/>
            <w:vAlign w:val="center"/>
            <w:hideMark/>
          </w:tcPr>
          <w:p w:rsidR="00B32603" w:rsidRPr="00597461" w:rsidP="00ED35A4" w14:paraId="6F8E6766" w14:textId="327D0BB8">
            <w:pPr>
              <w:spacing w:after="0" w:line="240" w:lineRule="auto"/>
              <w:jc w:val="center"/>
              <w:rPr>
                <w:b/>
                <w:bCs/>
                <w:color w:val="000000"/>
              </w:rPr>
            </w:pPr>
            <w:r w:rsidRPr="001F027F">
              <w:rPr>
                <w:b/>
              </w:rPr>
              <w:t>Contractor Costs / Year</w:t>
            </w:r>
          </w:p>
        </w:tc>
      </w:tr>
      <w:tr w14:paraId="64F8B2B5" w14:textId="77777777" w:rsidTr="00ED35A4">
        <w:tblPrEx>
          <w:tblW w:w="0" w:type="auto"/>
          <w:jc w:val="center"/>
          <w:tblLook w:val="0620"/>
        </w:tblPrEx>
        <w:trPr>
          <w:trHeight w:val="450"/>
          <w:jc w:val="center"/>
        </w:trPr>
        <w:tc>
          <w:tcPr>
            <w:tcW w:w="0" w:type="auto"/>
            <w:vMerge/>
            <w:tcBorders>
              <w:left w:val="single" w:sz="4" w:space="0" w:color="auto"/>
              <w:right w:val="single" w:sz="4" w:space="0" w:color="auto"/>
            </w:tcBorders>
            <w:vAlign w:val="center"/>
            <w:hideMark/>
          </w:tcPr>
          <w:p w:rsidR="00B32603" w:rsidRPr="00597461" w14:paraId="76761C05" w14:textId="77777777">
            <w:pPr>
              <w:rPr>
                <w:b/>
                <w:bCs/>
                <w:color w:val="000000"/>
              </w:rPr>
            </w:pPr>
          </w:p>
        </w:tc>
        <w:tc>
          <w:tcPr>
            <w:tcW w:w="0" w:type="auto"/>
            <w:vMerge/>
            <w:tcBorders>
              <w:left w:val="single" w:sz="4" w:space="0" w:color="auto"/>
              <w:right w:val="single" w:sz="4" w:space="0" w:color="auto"/>
            </w:tcBorders>
            <w:hideMark/>
          </w:tcPr>
          <w:p w:rsidR="00B32603" w:rsidRPr="00597461" w14:paraId="61340BF9" w14:textId="77777777">
            <w:pPr>
              <w:rPr>
                <w:b/>
                <w:bCs/>
                <w:color w:val="000000"/>
              </w:rPr>
            </w:pPr>
          </w:p>
        </w:tc>
      </w:tr>
      <w:tr w14:paraId="78DAB72E" w14:textId="77777777" w:rsidTr="00ED35A4">
        <w:tblPrEx>
          <w:tblW w:w="0" w:type="auto"/>
          <w:jc w:val="center"/>
          <w:tblLook w:val="0620"/>
        </w:tblPrEx>
        <w:trPr>
          <w:trHeight w:val="450"/>
          <w:jc w:val="center"/>
        </w:trPr>
        <w:tc>
          <w:tcPr>
            <w:tcW w:w="0" w:type="auto"/>
            <w:vMerge/>
            <w:tcBorders>
              <w:left w:val="single" w:sz="4" w:space="0" w:color="auto"/>
              <w:right w:val="single" w:sz="4" w:space="0" w:color="auto"/>
            </w:tcBorders>
            <w:vAlign w:val="center"/>
            <w:hideMark/>
          </w:tcPr>
          <w:p w:rsidR="00B32603" w:rsidRPr="00597461" w14:paraId="33ECA817" w14:textId="77777777">
            <w:pPr>
              <w:rPr>
                <w:b/>
                <w:bCs/>
                <w:color w:val="000000"/>
              </w:rPr>
            </w:pPr>
          </w:p>
        </w:tc>
        <w:tc>
          <w:tcPr>
            <w:tcW w:w="0" w:type="auto"/>
            <w:vMerge/>
            <w:tcBorders>
              <w:left w:val="single" w:sz="4" w:space="0" w:color="auto"/>
              <w:right w:val="single" w:sz="4" w:space="0" w:color="auto"/>
            </w:tcBorders>
            <w:hideMark/>
          </w:tcPr>
          <w:p w:rsidR="00B32603" w:rsidRPr="00597461" w14:paraId="75C5F9BB" w14:textId="77777777">
            <w:pPr>
              <w:rPr>
                <w:b/>
                <w:bCs/>
                <w:color w:val="000000"/>
              </w:rPr>
            </w:pPr>
          </w:p>
        </w:tc>
      </w:tr>
      <w:tr w14:paraId="65DA0E73" w14:textId="77777777" w:rsidTr="00ED35A4">
        <w:tblPrEx>
          <w:tblW w:w="0" w:type="auto"/>
          <w:jc w:val="center"/>
          <w:tblLook w:val="0620"/>
        </w:tblPrEx>
        <w:trPr>
          <w:trHeight w:val="1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2603" w:rsidRPr="00597461" w:rsidP="00ED35A4" w14:paraId="79B26B39" w14:textId="77777777">
            <w:pPr>
              <w:spacing w:before="20" w:after="20" w:line="240" w:lineRule="auto"/>
            </w:pPr>
            <w:r w:rsidRPr="00597461">
              <w:t>Contract Management</w:t>
            </w:r>
          </w:p>
        </w:tc>
        <w:tc>
          <w:tcPr>
            <w:tcW w:w="0" w:type="auto"/>
            <w:tcBorders>
              <w:top w:val="single" w:sz="4" w:space="0" w:color="auto"/>
              <w:left w:val="nil"/>
              <w:bottom w:val="single" w:sz="4" w:space="0" w:color="auto"/>
              <w:right w:val="single" w:sz="4" w:space="0" w:color="auto"/>
            </w:tcBorders>
            <w:vAlign w:val="center"/>
            <w:hideMark/>
          </w:tcPr>
          <w:p w:rsidR="00B32603" w:rsidRPr="00B55C88" w:rsidP="00ED35A4" w14:paraId="6608ED70" w14:textId="77777777">
            <w:pPr>
              <w:spacing w:before="20" w:after="20" w:line="240" w:lineRule="auto"/>
              <w:jc w:val="center"/>
              <w:rPr>
                <w:sz w:val="20"/>
              </w:rPr>
            </w:pPr>
            <w:r w:rsidRPr="00B55C88">
              <w:rPr>
                <w:sz w:val="20"/>
              </w:rPr>
              <w:t xml:space="preserve">$18,000 </w:t>
            </w:r>
          </w:p>
        </w:tc>
      </w:tr>
      <w:tr w14:paraId="63DE1B97"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vAlign w:val="center"/>
            <w:hideMark/>
          </w:tcPr>
          <w:p w:rsidR="00B32603" w:rsidRPr="00597461" w:rsidP="00ED35A4" w14:paraId="4116784E" w14:textId="77777777">
            <w:pPr>
              <w:spacing w:before="20" w:after="20" w:line="240" w:lineRule="auto"/>
            </w:pPr>
            <w:r w:rsidRPr="00597461">
              <w:t>Plan, Implement, &amp; Manage Survey</w:t>
            </w:r>
          </w:p>
        </w:tc>
        <w:tc>
          <w:tcPr>
            <w:tcW w:w="0" w:type="auto"/>
            <w:tcBorders>
              <w:top w:val="nil"/>
              <w:left w:val="nil"/>
              <w:bottom w:val="single" w:sz="4" w:space="0" w:color="auto"/>
              <w:right w:val="single" w:sz="4" w:space="0" w:color="auto"/>
            </w:tcBorders>
            <w:vAlign w:val="center"/>
            <w:hideMark/>
          </w:tcPr>
          <w:p w:rsidR="00B32603" w:rsidRPr="00B55C88" w:rsidP="00ED35A4" w14:paraId="467F89C1" w14:textId="77777777">
            <w:pPr>
              <w:spacing w:before="20" w:after="20" w:line="240" w:lineRule="auto"/>
              <w:jc w:val="center"/>
              <w:rPr>
                <w:sz w:val="20"/>
              </w:rPr>
            </w:pPr>
            <w:r w:rsidRPr="00B55C88">
              <w:rPr>
                <w:sz w:val="20"/>
              </w:rPr>
              <w:t>$55,000</w:t>
            </w:r>
          </w:p>
        </w:tc>
      </w:tr>
      <w:tr w14:paraId="523B4956"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vAlign w:val="center"/>
            <w:hideMark/>
          </w:tcPr>
          <w:p w:rsidR="00B32603" w:rsidRPr="00597461" w:rsidP="00ED35A4" w14:paraId="5AD55622" w14:textId="77777777">
            <w:pPr>
              <w:spacing w:before="20" w:after="20" w:line="240" w:lineRule="auto"/>
            </w:pPr>
            <w:r w:rsidRPr="00597461">
              <w:t>Provide Logistics Support</w:t>
            </w:r>
          </w:p>
        </w:tc>
        <w:tc>
          <w:tcPr>
            <w:tcW w:w="0" w:type="auto"/>
            <w:tcBorders>
              <w:top w:val="nil"/>
              <w:left w:val="nil"/>
              <w:bottom w:val="single" w:sz="4" w:space="0" w:color="auto"/>
              <w:right w:val="single" w:sz="4" w:space="0" w:color="auto"/>
            </w:tcBorders>
            <w:vAlign w:val="center"/>
            <w:hideMark/>
          </w:tcPr>
          <w:p w:rsidR="00B32603" w:rsidRPr="00B55C88" w:rsidP="00ED35A4" w14:paraId="771CBDBC" w14:textId="77777777">
            <w:pPr>
              <w:spacing w:before="20" w:after="20" w:line="240" w:lineRule="auto"/>
              <w:jc w:val="center"/>
              <w:rPr>
                <w:sz w:val="20"/>
              </w:rPr>
            </w:pPr>
            <w:r w:rsidRPr="00B55C88">
              <w:rPr>
                <w:sz w:val="20"/>
              </w:rPr>
              <w:t>$27,000</w:t>
            </w:r>
          </w:p>
        </w:tc>
      </w:tr>
      <w:tr w14:paraId="7CB09664"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vAlign w:val="center"/>
            <w:hideMark/>
          </w:tcPr>
          <w:p w:rsidR="00B32603" w:rsidRPr="00597461" w:rsidP="00ED35A4" w14:paraId="47795424" w14:textId="77777777">
            <w:pPr>
              <w:spacing w:before="20" w:after="20" w:line="240" w:lineRule="auto"/>
            </w:pPr>
            <w:r w:rsidRPr="00597461">
              <w:t>Refine Modeling Approaches</w:t>
            </w:r>
          </w:p>
        </w:tc>
        <w:tc>
          <w:tcPr>
            <w:tcW w:w="0" w:type="auto"/>
            <w:tcBorders>
              <w:top w:val="nil"/>
              <w:left w:val="nil"/>
              <w:bottom w:val="single" w:sz="4" w:space="0" w:color="auto"/>
              <w:right w:val="single" w:sz="4" w:space="0" w:color="auto"/>
            </w:tcBorders>
            <w:vAlign w:val="center"/>
            <w:hideMark/>
          </w:tcPr>
          <w:p w:rsidR="00B32603" w:rsidRPr="00B55C88" w:rsidP="00ED35A4" w14:paraId="05526EE2" w14:textId="77777777">
            <w:pPr>
              <w:spacing w:before="20" w:after="20" w:line="240" w:lineRule="auto"/>
              <w:jc w:val="center"/>
              <w:rPr>
                <w:sz w:val="20"/>
              </w:rPr>
            </w:pPr>
            <w:r w:rsidRPr="00B55C88">
              <w:rPr>
                <w:sz w:val="20"/>
              </w:rPr>
              <w:t>$55,000</w:t>
            </w:r>
          </w:p>
        </w:tc>
      </w:tr>
      <w:tr w14:paraId="48D74D75"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vAlign w:val="center"/>
            <w:hideMark/>
          </w:tcPr>
          <w:p w:rsidR="00B32603" w:rsidRPr="00597461" w:rsidP="00ED35A4" w14:paraId="1D867FB4" w14:textId="77777777">
            <w:pPr>
              <w:spacing w:before="20" w:after="20" w:line="240" w:lineRule="auto"/>
            </w:pPr>
            <w:r w:rsidRPr="00597461">
              <w:t>Provide Data Entry Portal support</w:t>
            </w:r>
          </w:p>
        </w:tc>
        <w:tc>
          <w:tcPr>
            <w:tcW w:w="0" w:type="auto"/>
            <w:tcBorders>
              <w:top w:val="nil"/>
              <w:left w:val="nil"/>
              <w:bottom w:val="single" w:sz="4" w:space="0" w:color="auto"/>
              <w:right w:val="single" w:sz="4" w:space="0" w:color="auto"/>
            </w:tcBorders>
            <w:vAlign w:val="center"/>
            <w:hideMark/>
          </w:tcPr>
          <w:p w:rsidR="00B32603" w:rsidRPr="00B55C88" w:rsidP="00ED35A4" w14:paraId="3B317E3F" w14:textId="77777777">
            <w:pPr>
              <w:spacing w:before="20" w:after="20" w:line="240" w:lineRule="auto"/>
              <w:jc w:val="center"/>
              <w:rPr>
                <w:sz w:val="20"/>
              </w:rPr>
            </w:pPr>
            <w:r w:rsidRPr="00B55C88">
              <w:rPr>
                <w:sz w:val="20"/>
              </w:rPr>
              <w:t>$150,000</w:t>
            </w:r>
          </w:p>
        </w:tc>
      </w:tr>
      <w:tr w14:paraId="0A088ECF"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vAlign w:val="center"/>
            <w:hideMark/>
          </w:tcPr>
          <w:p w:rsidR="00B32603" w:rsidRPr="00597461" w:rsidP="00ED35A4" w14:paraId="06C34A43" w14:textId="77777777">
            <w:pPr>
              <w:spacing w:before="20" w:after="20" w:line="240" w:lineRule="auto"/>
            </w:pPr>
            <w:r w:rsidRPr="00597461">
              <w:t>Provide Technical Support</w:t>
            </w:r>
          </w:p>
        </w:tc>
        <w:tc>
          <w:tcPr>
            <w:tcW w:w="0" w:type="auto"/>
            <w:tcBorders>
              <w:top w:val="nil"/>
              <w:left w:val="nil"/>
              <w:bottom w:val="single" w:sz="4" w:space="0" w:color="auto"/>
              <w:right w:val="single" w:sz="4" w:space="0" w:color="auto"/>
            </w:tcBorders>
            <w:vAlign w:val="center"/>
            <w:hideMark/>
          </w:tcPr>
          <w:p w:rsidR="00B32603" w:rsidRPr="00B55C88" w:rsidP="00ED35A4" w14:paraId="10EB5617" w14:textId="77777777">
            <w:pPr>
              <w:spacing w:before="20" w:after="20" w:line="240" w:lineRule="auto"/>
              <w:jc w:val="center"/>
              <w:rPr>
                <w:sz w:val="20"/>
              </w:rPr>
            </w:pPr>
            <w:r w:rsidRPr="00B55C88">
              <w:rPr>
                <w:sz w:val="20"/>
              </w:rPr>
              <w:t>$70,000</w:t>
            </w:r>
          </w:p>
        </w:tc>
      </w:tr>
      <w:tr w14:paraId="21A3A2BC"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vAlign w:val="center"/>
            <w:hideMark/>
          </w:tcPr>
          <w:p w:rsidR="00B32603" w:rsidRPr="00597461" w:rsidP="00ED35A4" w14:paraId="055B50A1" w14:textId="77777777">
            <w:pPr>
              <w:spacing w:before="20" w:after="20" w:line="240" w:lineRule="auto"/>
            </w:pPr>
            <w:r w:rsidRPr="00597461">
              <w:t xml:space="preserve">Workgroup Facilitation &amp; Support </w:t>
            </w:r>
          </w:p>
        </w:tc>
        <w:tc>
          <w:tcPr>
            <w:tcW w:w="0" w:type="auto"/>
            <w:tcBorders>
              <w:top w:val="nil"/>
              <w:left w:val="nil"/>
              <w:bottom w:val="single" w:sz="4" w:space="0" w:color="auto"/>
              <w:right w:val="single" w:sz="4" w:space="0" w:color="auto"/>
            </w:tcBorders>
            <w:vAlign w:val="center"/>
            <w:hideMark/>
          </w:tcPr>
          <w:p w:rsidR="00B32603" w:rsidRPr="00B55C88" w:rsidP="00ED35A4" w14:paraId="10C41241" w14:textId="77777777">
            <w:pPr>
              <w:spacing w:before="20" w:after="20" w:line="240" w:lineRule="auto"/>
              <w:jc w:val="center"/>
              <w:rPr>
                <w:sz w:val="20"/>
              </w:rPr>
            </w:pPr>
            <w:r w:rsidRPr="00B55C88">
              <w:rPr>
                <w:sz w:val="20"/>
              </w:rPr>
              <w:t>$35,000</w:t>
            </w:r>
          </w:p>
        </w:tc>
      </w:tr>
      <w:tr w14:paraId="6863FB9A"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vAlign w:val="center"/>
          </w:tcPr>
          <w:p w:rsidR="00B32603" w:rsidRPr="00597461" w:rsidP="00ED35A4" w14:paraId="1DA6CB29" w14:textId="77777777">
            <w:pPr>
              <w:spacing w:before="20" w:after="20" w:line="240" w:lineRule="auto"/>
            </w:pPr>
            <w:r>
              <w:t>Run Statistical Survey</w:t>
            </w:r>
          </w:p>
        </w:tc>
        <w:tc>
          <w:tcPr>
            <w:tcW w:w="0" w:type="auto"/>
            <w:tcBorders>
              <w:top w:val="nil"/>
              <w:left w:val="nil"/>
              <w:bottom w:val="single" w:sz="4" w:space="0" w:color="auto"/>
              <w:right w:val="single" w:sz="4" w:space="0" w:color="auto"/>
            </w:tcBorders>
            <w:vAlign w:val="center"/>
          </w:tcPr>
          <w:p w:rsidR="00B32603" w:rsidRPr="004C6D4F" w:rsidP="00ED35A4" w14:paraId="0EEC3B83" w14:textId="77777777">
            <w:pPr>
              <w:spacing w:before="20" w:after="20" w:line="240" w:lineRule="auto"/>
              <w:jc w:val="center"/>
              <w:rPr>
                <w:sz w:val="20"/>
              </w:rPr>
            </w:pPr>
            <w:r w:rsidRPr="00BF08F9">
              <w:rPr>
                <w:sz w:val="20"/>
              </w:rPr>
              <w:t>$1</w:t>
            </w:r>
            <w:r>
              <w:rPr>
                <w:sz w:val="20"/>
              </w:rPr>
              <w:t>25</w:t>
            </w:r>
            <w:r w:rsidRPr="00BF08F9">
              <w:rPr>
                <w:sz w:val="20"/>
              </w:rPr>
              <w:t xml:space="preserve">,000 </w:t>
            </w:r>
          </w:p>
        </w:tc>
      </w:tr>
      <w:tr w14:paraId="7538B092"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vAlign w:val="center"/>
            <w:hideMark/>
          </w:tcPr>
          <w:p w:rsidR="00B32603" w:rsidRPr="00597461" w:rsidP="00ED35A4" w14:paraId="5EB8306A" w14:textId="77777777">
            <w:pPr>
              <w:spacing w:before="20" w:after="20" w:line="240" w:lineRule="auto"/>
            </w:pPr>
            <w:r w:rsidRPr="00597461">
              <w:t>Review, Q/A, and Reconcile Data</w:t>
            </w:r>
          </w:p>
        </w:tc>
        <w:tc>
          <w:tcPr>
            <w:tcW w:w="0" w:type="auto"/>
            <w:tcBorders>
              <w:top w:val="nil"/>
              <w:left w:val="nil"/>
              <w:bottom w:val="single" w:sz="4" w:space="0" w:color="auto"/>
              <w:right w:val="single" w:sz="4" w:space="0" w:color="auto"/>
            </w:tcBorders>
            <w:vAlign w:val="center"/>
            <w:hideMark/>
          </w:tcPr>
          <w:p w:rsidR="00B32603" w:rsidRPr="00B55C88" w:rsidP="00ED35A4" w14:paraId="0C07E8A7" w14:textId="77777777">
            <w:pPr>
              <w:spacing w:before="20" w:after="20" w:line="240" w:lineRule="auto"/>
              <w:jc w:val="center"/>
              <w:rPr>
                <w:sz w:val="20"/>
              </w:rPr>
            </w:pPr>
            <w:r w:rsidRPr="00B55C88">
              <w:rPr>
                <w:sz w:val="20"/>
              </w:rPr>
              <w:t>$200,000</w:t>
            </w:r>
          </w:p>
        </w:tc>
      </w:tr>
      <w:tr w14:paraId="0392E7E6"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vAlign w:val="center"/>
            <w:hideMark/>
          </w:tcPr>
          <w:p w:rsidR="00B32603" w:rsidRPr="00597461" w:rsidP="00ED35A4" w14:paraId="1ADAD058" w14:textId="77777777">
            <w:pPr>
              <w:spacing w:before="20" w:after="20" w:line="240" w:lineRule="auto"/>
            </w:pPr>
            <w:r w:rsidRPr="00597461">
              <w:t>Market and promote CWNS</w:t>
            </w:r>
          </w:p>
        </w:tc>
        <w:tc>
          <w:tcPr>
            <w:tcW w:w="0" w:type="auto"/>
            <w:tcBorders>
              <w:top w:val="nil"/>
              <w:left w:val="nil"/>
              <w:bottom w:val="single" w:sz="4" w:space="0" w:color="auto"/>
              <w:right w:val="single" w:sz="4" w:space="0" w:color="auto"/>
            </w:tcBorders>
            <w:vAlign w:val="center"/>
            <w:hideMark/>
          </w:tcPr>
          <w:p w:rsidR="00B32603" w:rsidRPr="00B55C88" w:rsidP="00ED35A4" w14:paraId="74B86944" w14:textId="77777777">
            <w:pPr>
              <w:spacing w:before="20" w:after="20" w:line="240" w:lineRule="auto"/>
              <w:jc w:val="center"/>
              <w:rPr>
                <w:sz w:val="20"/>
              </w:rPr>
            </w:pPr>
            <w:r w:rsidRPr="00B55C88">
              <w:rPr>
                <w:sz w:val="20"/>
              </w:rPr>
              <w:t>$25,000</w:t>
            </w:r>
          </w:p>
        </w:tc>
      </w:tr>
      <w:tr w14:paraId="6F7B5482"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vAlign w:val="center"/>
            <w:hideMark/>
          </w:tcPr>
          <w:p w:rsidR="00B32603" w:rsidRPr="00597461" w:rsidP="00ED35A4" w14:paraId="35D7185B" w14:textId="77777777">
            <w:pPr>
              <w:spacing w:before="20" w:after="20" w:line="240" w:lineRule="auto"/>
            </w:pPr>
            <w:r w:rsidRPr="00597461">
              <w:t>Prepare Final Report</w:t>
            </w:r>
          </w:p>
        </w:tc>
        <w:tc>
          <w:tcPr>
            <w:tcW w:w="0" w:type="auto"/>
            <w:tcBorders>
              <w:top w:val="nil"/>
              <w:left w:val="nil"/>
              <w:bottom w:val="single" w:sz="4" w:space="0" w:color="auto"/>
              <w:right w:val="single" w:sz="4" w:space="0" w:color="auto"/>
            </w:tcBorders>
            <w:vAlign w:val="center"/>
            <w:hideMark/>
          </w:tcPr>
          <w:p w:rsidR="00B32603" w:rsidRPr="00B55C88" w:rsidP="00ED35A4" w14:paraId="5B6CA00A" w14:textId="77777777">
            <w:pPr>
              <w:spacing w:before="20" w:after="20" w:line="240" w:lineRule="auto"/>
              <w:jc w:val="center"/>
              <w:rPr>
                <w:sz w:val="20"/>
              </w:rPr>
            </w:pPr>
            <w:r w:rsidRPr="00B55C88">
              <w:rPr>
                <w:sz w:val="20"/>
              </w:rPr>
              <w:t>$45,000</w:t>
            </w:r>
          </w:p>
        </w:tc>
      </w:tr>
      <w:tr w14:paraId="5C3ECD9E"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vAlign w:val="center"/>
            <w:hideMark/>
          </w:tcPr>
          <w:p w:rsidR="00B32603" w:rsidRPr="00597461" w:rsidP="00ED35A4" w14:paraId="6965F3E3" w14:textId="77777777">
            <w:pPr>
              <w:spacing w:before="20" w:after="20" w:line="240" w:lineRule="auto"/>
            </w:pPr>
            <w:r w:rsidRPr="00597461">
              <w:t>Develop &amp; Maintain Web Reports</w:t>
            </w:r>
          </w:p>
        </w:tc>
        <w:tc>
          <w:tcPr>
            <w:tcW w:w="0" w:type="auto"/>
            <w:tcBorders>
              <w:top w:val="nil"/>
              <w:left w:val="nil"/>
              <w:bottom w:val="single" w:sz="4" w:space="0" w:color="auto"/>
              <w:right w:val="single" w:sz="4" w:space="0" w:color="auto"/>
            </w:tcBorders>
            <w:vAlign w:val="center"/>
            <w:hideMark/>
          </w:tcPr>
          <w:p w:rsidR="00B32603" w:rsidRPr="00B55C88" w:rsidP="00ED35A4" w14:paraId="36C1536A" w14:textId="77777777">
            <w:pPr>
              <w:spacing w:before="20" w:after="20" w:line="240" w:lineRule="auto"/>
              <w:jc w:val="center"/>
              <w:rPr>
                <w:sz w:val="20"/>
              </w:rPr>
            </w:pPr>
            <w:r w:rsidRPr="00B55C88">
              <w:rPr>
                <w:sz w:val="20"/>
              </w:rPr>
              <w:t>$60,000</w:t>
            </w:r>
          </w:p>
        </w:tc>
      </w:tr>
      <w:tr w14:paraId="28E9469A"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vAlign w:val="center"/>
            <w:hideMark/>
          </w:tcPr>
          <w:p w:rsidR="00B32603" w:rsidRPr="00597461" w:rsidP="00ED35A4" w14:paraId="7063051B" w14:textId="77777777">
            <w:pPr>
              <w:spacing w:before="20" w:after="20" w:line="240" w:lineRule="auto"/>
            </w:pPr>
            <w:r w:rsidRPr="00597461">
              <w:t>Annual Totals</w:t>
            </w:r>
          </w:p>
        </w:tc>
        <w:tc>
          <w:tcPr>
            <w:tcW w:w="0" w:type="auto"/>
            <w:tcBorders>
              <w:top w:val="nil"/>
              <w:left w:val="nil"/>
              <w:bottom w:val="single" w:sz="4" w:space="0" w:color="auto"/>
              <w:right w:val="single" w:sz="4" w:space="0" w:color="auto"/>
            </w:tcBorders>
            <w:hideMark/>
          </w:tcPr>
          <w:p w:rsidR="00B32603" w:rsidRPr="00B55C88" w:rsidP="00ED35A4" w14:paraId="44F621D8" w14:textId="77777777">
            <w:pPr>
              <w:spacing w:before="20" w:after="20" w:line="240" w:lineRule="auto"/>
              <w:jc w:val="center"/>
              <w:rPr>
                <w:sz w:val="20"/>
              </w:rPr>
            </w:pPr>
            <w:r w:rsidRPr="00BF08F9">
              <w:rPr>
                <w:sz w:val="20"/>
              </w:rPr>
              <w:t>$8</w:t>
            </w:r>
            <w:r>
              <w:rPr>
                <w:sz w:val="20"/>
              </w:rPr>
              <w:t>65</w:t>
            </w:r>
            <w:r w:rsidRPr="00BF08F9">
              <w:rPr>
                <w:sz w:val="20"/>
              </w:rPr>
              <w:t xml:space="preserve">,000 </w:t>
            </w:r>
          </w:p>
        </w:tc>
      </w:tr>
      <w:tr w14:paraId="17524545"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vAlign w:val="center"/>
            <w:hideMark/>
          </w:tcPr>
          <w:p w:rsidR="00B32603" w:rsidRPr="00597461" w:rsidP="00ED35A4" w14:paraId="18463F9D" w14:textId="77777777">
            <w:pPr>
              <w:spacing w:before="20" w:after="20" w:line="240" w:lineRule="auto"/>
            </w:pPr>
            <w:r w:rsidRPr="00597461">
              <w:t>3-Year Totals</w:t>
            </w:r>
          </w:p>
        </w:tc>
        <w:tc>
          <w:tcPr>
            <w:tcW w:w="0" w:type="auto"/>
            <w:tcBorders>
              <w:top w:val="nil"/>
              <w:left w:val="nil"/>
              <w:bottom w:val="single" w:sz="4" w:space="0" w:color="auto"/>
              <w:right w:val="single" w:sz="4" w:space="0" w:color="auto"/>
            </w:tcBorders>
            <w:hideMark/>
          </w:tcPr>
          <w:p w:rsidR="00B32603" w:rsidRPr="00B55C88" w:rsidP="00ED35A4" w14:paraId="01D7424A" w14:textId="77777777">
            <w:pPr>
              <w:spacing w:before="20" w:after="20" w:line="240" w:lineRule="auto"/>
              <w:jc w:val="center"/>
              <w:rPr>
                <w:sz w:val="20"/>
              </w:rPr>
            </w:pPr>
            <w:r w:rsidRPr="00BF08F9">
              <w:rPr>
                <w:sz w:val="20"/>
              </w:rPr>
              <w:t>$2,5</w:t>
            </w:r>
            <w:r>
              <w:rPr>
                <w:sz w:val="20"/>
              </w:rPr>
              <w:t>95</w:t>
            </w:r>
            <w:r w:rsidRPr="00BF08F9">
              <w:rPr>
                <w:sz w:val="20"/>
              </w:rPr>
              <w:t xml:space="preserve">,000 </w:t>
            </w:r>
          </w:p>
        </w:tc>
      </w:tr>
    </w:tbl>
    <w:p w:rsidR="001F5CCE" w:rsidRPr="00BB3410" w:rsidP="00854AAE" w14:paraId="5E8A7D0A" w14:textId="77777777">
      <w:pPr>
        <w:spacing w:before="60"/>
        <w:rPr>
          <w:rFonts w:cstheme="minorHAnsi"/>
        </w:rPr>
      </w:pP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37"/>
    </w:p>
    <w:p w:rsidR="00ED57A4" w:rsidRPr="004536D3" w:rsidP="00854AAE" w14:paraId="18F76AB6" w14:textId="383E5E31">
      <w:pPr>
        <w:pBdr>
          <w:top w:val="single" w:sz="6" w:space="0" w:color="FFFFFF"/>
          <w:left w:val="single" w:sz="6" w:space="0" w:color="FFFFFF"/>
          <w:bottom w:val="single" w:sz="6" w:space="0" w:color="FFFFFF"/>
          <w:right w:val="single" w:sz="6" w:space="0" w:color="FFFFFF"/>
        </w:pBdr>
        <w:rPr>
          <w:rFonts w:cstheme="minorHAnsi"/>
        </w:rPr>
      </w:pPr>
      <w:r w:rsidRPr="004536D3">
        <w:rPr>
          <w:rFonts w:cstheme="minorHAnsi"/>
        </w:rPr>
        <w:t>The prior burden approved by OMB (0318.13) was an annual burden of 9,645 hours and an annual cost of $505,004 for non-Agency respondents. This ICR estimates an annual burden increase of 3,698 hours and $294,204 in costs, for a total of 13,342 hours and $799,208 in cost. This adjustment is based upon an increase in facility universe</w:t>
      </w:r>
      <w:r w:rsidR="00F122E0">
        <w:rPr>
          <w:rFonts w:cstheme="minorHAnsi"/>
        </w:rPr>
        <w:t xml:space="preserve"> (likely due to the higher response rate in the previous survey)</w:t>
      </w:r>
      <w:r w:rsidRPr="004536D3">
        <w:rPr>
          <w:rFonts w:cstheme="minorHAnsi"/>
        </w:rPr>
        <w:t xml:space="preserve">, as well as an adjustment in labor rates and benefits. The prior ICR estimated that states would submit only half of their facilities (16,048). The majority of the states submitted most of their facilities in 2022 (30,881), almost doubling the estimated facility universe. </w:t>
      </w:r>
    </w:p>
    <w:p w:rsidR="005D140B" w:rsidRPr="00163C69" w:rsidP="4BDBF0A0" w14:paraId="3604F417" w14:textId="5D0F3160">
      <w:pPr>
        <w:pStyle w:val="ListParagraph"/>
        <w:numPr>
          <w:ilvl w:val="0"/>
          <w:numId w:val="27"/>
        </w:numPr>
        <w:spacing w:before="240" w:after="0"/>
        <w:rPr>
          <w:b/>
          <w:bCs/>
        </w:rPr>
      </w:pPr>
      <w:bookmarkStart w:id="40" w:name="_Toc156593389"/>
      <w:r w:rsidRPr="4BDBF0A0">
        <w:rPr>
          <w:b/>
          <w:bCs/>
        </w:rPr>
        <w:t xml:space="preserve">PUBLICATION OF </w:t>
      </w:r>
      <w:bookmarkStart w:id="41" w:name="_Toc156593390"/>
      <w:bookmarkEnd w:id="40"/>
      <w:r w:rsidR="00E73E81">
        <w:rPr>
          <w:b/>
          <w:bCs/>
        </w:rPr>
        <w:t>DATA</w:t>
      </w:r>
    </w:p>
    <w:p w:rsidR="001C071A" w:rsidP="001C071A" w14:paraId="7777FC1B" w14:textId="63F9E6CE">
      <w:pPr>
        <w:pBdr>
          <w:top w:val="single" w:sz="6" w:space="0" w:color="FFFFFF"/>
          <w:left w:val="single" w:sz="6" w:space="0" w:color="FFFFFF"/>
          <w:bottom w:val="single" w:sz="6" w:space="0" w:color="FFFFFF"/>
          <w:right w:val="single" w:sz="6" w:space="0" w:color="FFFFFF"/>
        </w:pBdr>
      </w:pPr>
      <w:r>
        <w:t>The</w:t>
      </w:r>
      <w:r w:rsidRPr="001C071A">
        <w:t xml:space="preserve"> </w:t>
      </w:r>
      <w:r>
        <w:t>18</w:t>
      </w:r>
      <w:r w:rsidRPr="001C071A">
        <w:rPr>
          <w:vertAlign w:val="superscript"/>
        </w:rPr>
        <w:t>th</w:t>
      </w:r>
      <w:r>
        <w:t xml:space="preserve"> CWNS data collection and entry period are dependent on the completion date of the data collection stage of the Drinking Water Infrastructure Needs Survey and Assessment (DWINSA). The two surveys have historically been staggered to not overburden states’ resources with data collection. Presuming the DWINSA’s data collection is completed per the existing schedule, the CWNS data collection and entry period will likely be in early 2027 and open for 12 months. Data quality assurance and analysis activities will be performed over approximately four months following the close of data collection. Data review includes a detailed comparison of reported populations served by publicly owned treatment works against the previous CWNS data and Census data for each state to check for potential double-counting or misreporting. </w:t>
      </w:r>
    </w:p>
    <w:p w:rsidR="0073767D" w:rsidRPr="0073767D" w:rsidP="007E5060" w14:paraId="5CBE5491" w14:textId="544943D2">
      <w:pPr>
        <w:pBdr>
          <w:top w:val="single" w:sz="6" w:space="0" w:color="FFFFFF"/>
          <w:left w:val="single" w:sz="6" w:space="0" w:color="FFFFFF"/>
          <w:bottom w:val="single" w:sz="6" w:space="0" w:color="FFFFFF"/>
          <w:right w:val="single" w:sz="6" w:space="0" w:color="FFFFFF"/>
        </w:pBdr>
      </w:pPr>
      <w:r>
        <w:t>The Report to Congress will be developed and submitted to OMB once data review is complete. The 2022 CWNS Report to Congress timeline was approximately a year from development to submission. The Report highlights the national results of the survey and describes the methodology used to collect, document, and quality assure all the state data included therein. The appendices of the Report are detailed state-by-state and national summary tables. Upon approval by OMB, the EPA makes the data available to the public via an online dashboard. If the DWINSA schedule is delayed, the CWNS survey also will be delayed accordingly.</w:t>
      </w:r>
    </w:p>
    <w:p w:rsidR="00627768" w:rsidRPr="00163C69" w:rsidP="4BDBF0A0" w14:paraId="54E9D2D0" w14:textId="74455DB0">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41"/>
      <w:r w:rsidRPr="4BDBF0A0" w:rsidR="00644EBE">
        <w:rPr>
          <w:b/>
          <w:bCs/>
        </w:rPr>
        <w:t xml:space="preserve"> </w:t>
      </w:r>
    </w:p>
    <w:p w:rsidR="006060FD" w:rsidRPr="00514FEF" w:rsidP="003E7CAA" w14:paraId="6306E11C" w14:textId="0BF9F352">
      <w:pPr>
        <w:pStyle w:val="BodyText"/>
        <w:spacing w:after="100" w:afterAutospacing="1"/>
        <w:rPr>
          <w:rFonts w:asciiTheme="minorHAnsi" w:hAnsiTheme="minorHAnsi" w:cstheme="minorHAnsi"/>
          <w:sz w:val="22"/>
          <w:szCs w:val="22"/>
        </w:rPr>
      </w:pPr>
      <w:r>
        <w:rPr>
          <w:rFonts w:asciiTheme="minorHAnsi" w:hAnsiTheme="minorHAnsi" w:cstheme="minorHAnsi"/>
          <w:sz w:val="22"/>
          <w:szCs w:val="22"/>
        </w:rPr>
        <w:t xml:space="preserve">All data entry interfaces associated with the survey will display this collection’s OMB Control Number (2040-0050), its latest expiration date, and a PRA Burden Statement on home pages/instructions sections where a user will see them before beginning an </w:t>
      </w:r>
      <w:r>
        <w:rPr>
          <w:rFonts w:asciiTheme="minorHAnsi" w:hAnsiTheme="minorHAnsi" w:cstheme="minorHAnsi"/>
          <w:sz w:val="22"/>
          <w:szCs w:val="22"/>
        </w:rPr>
        <w:t>entry .</w:t>
      </w:r>
      <w:r>
        <w:rPr>
          <w:rFonts w:asciiTheme="minorHAnsi" w:hAnsiTheme="minorHAnsi" w:cstheme="minorHAnsi"/>
          <w:sz w:val="22"/>
          <w:szCs w:val="22"/>
        </w:rPr>
        <w:t xml:space="preserve"> </w:t>
      </w:r>
    </w:p>
    <w:p w:rsidR="00691828" w:rsidRPr="00163C69" w:rsidP="00854AAE" w14:paraId="7CCB26DD" w14:textId="4CB12282">
      <w:pPr>
        <w:pStyle w:val="ListParagraph"/>
        <w:numPr>
          <w:ilvl w:val="0"/>
          <w:numId w:val="27"/>
        </w:numPr>
        <w:spacing w:before="240" w:after="0"/>
        <w:rPr>
          <w:rFonts w:cstheme="minorHAnsi"/>
          <w:b/>
          <w:bCs/>
        </w:rPr>
      </w:pPr>
      <w:bookmarkStart w:id="42" w:name="_Toc156593391"/>
      <w:r w:rsidRPr="00163C69">
        <w:rPr>
          <w:rFonts w:cstheme="minorHAnsi"/>
          <w:b/>
          <w:bCs/>
        </w:rPr>
        <w:t>CERTIFICATION STATEMENT</w:t>
      </w:r>
      <w:bookmarkEnd w:id="42"/>
    </w:p>
    <w:p w:rsidR="00BB3410" w:rsidRPr="00563B45" w:rsidP="00563B45" w14:paraId="0F10E677" w14:textId="58BFE0D4">
      <w:pPr>
        <w:pBdr>
          <w:top w:val="single" w:sz="6" w:space="0" w:color="FFFFFF"/>
          <w:left w:val="single" w:sz="6" w:space="0" w:color="FFFFFF"/>
          <w:bottom w:val="single" w:sz="6" w:space="0" w:color="FFFFFF"/>
          <w:right w:val="single" w:sz="6" w:space="0" w:color="FFFFFF"/>
        </w:pBdr>
        <w:spacing w:after="0"/>
        <w:sectPr>
          <w:footerReference w:type="default" r:id="rId15"/>
          <w:pgSz w:w="12240" w:h="15840"/>
          <w:pgMar w:top="1440" w:right="1440" w:bottom="1440" w:left="1440" w:header="720" w:footer="720" w:gutter="0"/>
          <w:cols w:space="720"/>
          <w:docGrid w:linePitch="360"/>
        </w:sectPr>
      </w:pPr>
      <w:r w:rsidRPr="00E057B1">
        <w:t>This information collection complies with all provisions of the Certification for Paperwork Reduction Act Submissions</w:t>
      </w:r>
      <w:r w:rsidR="00563B45">
        <w:t>.</w:t>
      </w:r>
    </w:p>
    <w:bookmarkEnd w:id="1"/>
    <w:p w:rsidR="00BB3410" w:rsidRPr="00BB3410" w:rsidP="00BB3410" w14:paraId="02BFB1B4" w14:textId="77777777">
      <w:pPr>
        <w:pStyle w:val="ListParagraph"/>
        <w:spacing w:before="240"/>
        <w:ind w:left="0"/>
        <w:rPr>
          <w:rFonts w:cstheme="minorHAnsi"/>
          <w:sz w:val="24"/>
          <w:szCs w:val="24"/>
        </w:rPr>
      </w:pPr>
    </w:p>
    <w:sectPr w:rsidSect="00BB3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622B" w14:paraId="4016CF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0" w:lineRule="atLeast"/>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622B" w14:paraId="34725FA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0" w:lineRule="atLeast"/>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094A" w:rsidP="002335AB" w14:paraId="12A51206" w14:textId="77777777">
      <w:pPr>
        <w:spacing w:after="0" w:line="240" w:lineRule="auto"/>
      </w:pPr>
      <w:r>
        <w:separator/>
      </w:r>
    </w:p>
  </w:footnote>
  <w:footnote w:type="continuationSeparator" w:id="1">
    <w:p w:rsidR="003D094A" w:rsidP="002335AB" w14:paraId="6618DA06" w14:textId="77777777">
      <w:pPr>
        <w:spacing w:after="0" w:line="240" w:lineRule="auto"/>
      </w:pPr>
      <w:r>
        <w:continuationSeparator/>
      </w:r>
    </w:p>
  </w:footnote>
  <w:footnote w:type="continuationNotice" w:id="2">
    <w:p w:rsidR="003D094A" w14:paraId="27C13946" w14:textId="77777777">
      <w:pPr>
        <w:spacing w:after="0" w:line="240" w:lineRule="auto"/>
      </w:pPr>
    </w:p>
  </w:footnote>
  <w:footnote w:id="3">
    <w:p w:rsidR="007A789E" w:rsidP="007A789E" w14:paraId="353AA352" w14:textId="77777777">
      <w:pPr>
        <w:pStyle w:val="FootnoteText"/>
      </w:pPr>
      <w:r>
        <w:rPr>
          <w:rStyle w:val="FootnoteReference"/>
        </w:rPr>
        <w:footnoteRef/>
      </w:r>
      <w:r>
        <w:t xml:space="preserve"> </w:t>
      </w:r>
      <w:r w:rsidRPr="00773496">
        <w:t xml:space="preserve">The actual date of the next survey </w:t>
      </w:r>
      <w:r>
        <w:t>is</w:t>
      </w:r>
      <w:r w:rsidRPr="00773496">
        <w:t xml:space="preserve"> dependent on when the</w:t>
      </w:r>
      <w:r w:rsidRPr="0094291C">
        <w:t xml:space="preserve"> Drinking Water Infrastructure Needs Survey and Assessment (DWINSA)</w:t>
      </w:r>
      <w:r w:rsidRPr="00773496">
        <w:t xml:space="preserve"> is scheduled</w:t>
      </w:r>
      <w:r>
        <w:t>. If the DWINSA is scheduled in 2025 or 2026, the CWNS may not begin until 2027.</w:t>
      </w:r>
    </w:p>
  </w:footnote>
  <w:footnote w:id="4">
    <w:p w:rsidR="0098622B" w:rsidP="0098622B" w14:paraId="73FBB8D9" w14:textId="77777777">
      <w:pPr>
        <w:pStyle w:val="FootnoteText"/>
      </w:pPr>
      <w:r>
        <w:rPr>
          <w:rStyle w:val="FootnoteReference"/>
        </w:rPr>
        <w:footnoteRef/>
      </w:r>
      <w:r>
        <w:t xml:space="preserve"> </w:t>
      </w:r>
      <w:bookmarkStart w:id="26" w:name="_Hlk167864801"/>
      <w:r w:rsidRPr="003C2567">
        <w:t>ECEC State and Local Government Workers - 2004 to Present</w:t>
      </w:r>
      <w:r>
        <w:t xml:space="preserve"> from </w:t>
      </w:r>
      <w:hyperlink r:id="rId1" w:history="1">
        <w:r w:rsidRPr="003C2567">
          <w:rPr>
            <w:rStyle w:val="Hyperlink"/>
          </w:rPr>
          <w:t>https://www.bls.gov/web/ecec.supp.toc.htm</w:t>
        </w:r>
      </w:hyperlink>
      <w:r>
        <w:t>, Period: September 2023. CMU3010000000000D.</w:t>
      </w:r>
      <w:bookmarkEnd w:id="26"/>
    </w:p>
  </w:footnote>
  <w:footnote w:id="5">
    <w:p w:rsidR="0098622B" w:rsidP="0098622B" w14:paraId="1AEF59AA" w14:textId="77777777">
      <w:pPr>
        <w:pStyle w:val="FootnoteText"/>
      </w:pPr>
      <w:r>
        <w:rPr>
          <w:rStyle w:val="FootnoteReference"/>
        </w:rPr>
        <w:footnoteRef/>
      </w:r>
      <w:r>
        <w:t xml:space="preserve"> </w:t>
      </w:r>
      <w:r w:rsidRPr="003C2567">
        <w:t>ECEC State and Local Government Workers - 2004 to Present</w:t>
      </w:r>
      <w:r>
        <w:t xml:space="preserve"> from </w:t>
      </w:r>
      <w:hyperlink r:id="rId1" w:history="1">
        <w:r w:rsidRPr="003C2567">
          <w:rPr>
            <w:rStyle w:val="Hyperlink"/>
          </w:rPr>
          <w:t>https://www.bls.gov/web/ecec.supp.toc.htm</w:t>
        </w:r>
      </w:hyperlink>
      <w:r>
        <w:t>, Period: September 2023. CMU3010000000000D.</w:t>
      </w:r>
    </w:p>
  </w:footnote>
  <w:footnote w:id="6">
    <w:p w:rsidR="00FF5464" w:rsidP="00FF5464" w14:paraId="1455B454" w14:textId="77777777">
      <w:pPr>
        <w:pStyle w:val="FootnoteText"/>
      </w:pPr>
      <w:r>
        <w:rPr>
          <w:rStyle w:val="FootnoteReference"/>
        </w:rPr>
        <w:footnoteRef/>
      </w:r>
      <w:r>
        <w:t xml:space="preserve"> </w:t>
      </w:r>
      <w:r w:rsidRPr="00D65441">
        <w:t>https://www.opm.gov/policy-data-oversight/pay-leave/salaries-wages/salary-tables/pdf/2024/DCB.pdf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622B" w14:paraId="6B4F99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622B" w14:paraId="4A3A72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64940"/>
    <w:multiLevelType w:val="hybridMultilevel"/>
    <w:tmpl w:val="9C0C03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616F7B"/>
    <w:multiLevelType w:val="hybridMultilevel"/>
    <w:tmpl w:val="0568DA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1DD7996"/>
    <w:multiLevelType w:val="hybridMultilevel"/>
    <w:tmpl w:val="A4ACD7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9C043F4"/>
    <w:multiLevelType w:val="hybridMultilevel"/>
    <w:tmpl w:val="77A6A0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F827B9F"/>
    <w:multiLevelType w:val="hybridMultilevel"/>
    <w:tmpl w:val="0BE83182"/>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EastAsia"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59C78C5"/>
    <w:multiLevelType w:val="hybridMultilevel"/>
    <w:tmpl w:val="F9503A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B77169"/>
    <w:multiLevelType w:val="hybridMultilevel"/>
    <w:tmpl w:val="2FF8A94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8">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4A832BE"/>
    <w:multiLevelType w:val="hybridMultilevel"/>
    <w:tmpl w:val="02D29D1A"/>
    <w:lvl w:ilvl="0">
      <w:start w:val="1"/>
      <w:numFmt w:val="bullet"/>
      <w:pStyle w:val="ListBullet"/>
      <w:lvlText w:val=""/>
      <w:lvlJc w:val="left"/>
      <w:pPr>
        <w:ind w:left="720" w:hanging="360"/>
      </w:pPr>
      <w:rPr>
        <w:rFonts w:ascii="Wingdings" w:hAnsi="Wingdings" w:cs="Times New Roman"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5E050D9"/>
    <w:multiLevelType w:val="hybridMultilevel"/>
    <w:tmpl w:val="C80AC2B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78286BA4"/>
    <w:multiLevelType w:val="hybridMultilevel"/>
    <w:tmpl w:val="9B0C9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1E153D"/>
    <w:multiLevelType w:val="hybridMultilevel"/>
    <w:tmpl w:val="FA4031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5"/>
  </w:num>
  <w:num w:numId="2" w16cid:durableId="1032609060">
    <w:abstractNumId w:val="7"/>
  </w:num>
  <w:num w:numId="3" w16cid:durableId="1158494831">
    <w:abstractNumId w:val="3"/>
  </w:num>
  <w:num w:numId="4" w16cid:durableId="493573829">
    <w:abstractNumId w:val="35"/>
  </w:num>
  <w:num w:numId="5" w16cid:durableId="2055687918">
    <w:abstractNumId w:val="22"/>
  </w:num>
  <w:num w:numId="6" w16cid:durableId="1603025219">
    <w:abstractNumId w:val="30"/>
  </w:num>
  <w:num w:numId="7" w16cid:durableId="423957196">
    <w:abstractNumId w:val="18"/>
  </w:num>
  <w:num w:numId="8" w16cid:durableId="2031829208">
    <w:abstractNumId w:val="26"/>
  </w:num>
  <w:num w:numId="9" w16cid:durableId="218439549">
    <w:abstractNumId w:val="10"/>
  </w:num>
  <w:num w:numId="10" w16cid:durableId="1285231924">
    <w:abstractNumId w:val="6"/>
  </w:num>
  <w:num w:numId="11" w16cid:durableId="327370686">
    <w:abstractNumId w:val="9"/>
  </w:num>
  <w:num w:numId="12" w16cid:durableId="1802993385">
    <w:abstractNumId w:val="12"/>
  </w:num>
  <w:num w:numId="13" w16cid:durableId="1792938267">
    <w:abstractNumId w:val="37"/>
  </w:num>
  <w:num w:numId="14" w16cid:durableId="239490726">
    <w:abstractNumId w:val="8"/>
  </w:num>
  <w:num w:numId="15" w16cid:durableId="1395350314">
    <w:abstractNumId w:val="11"/>
  </w:num>
  <w:num w:numId="16" w16cid:durableId="441535906">
    <w:abstractNumId w:val="16"/>
  </w:num>
  <w:num w:numId="17" w16cid:durableId="2008243381">
    <w:abstractNumId w:val="27"/>
  </w:num>
  <w:num w:numId="18" w16cid:durableId="840463183">
    <w:abstractNumId w:val="25"/>
  </w:num>
  <w:num w:numId="19" w16cid:durableId="469980091">
    <w:abstractNumId w:val="29"/>
  </w:num>
  <w:num w:numId="20" w16cid:durableId="2126730031">
    <w:abstractNumId w:val="14"/>
  </w:num>
  <w:num w:numId="21" w16cid:durableId="106124704">
    <w:abstractNumId w:val="2"/>
  </w:num>
  <w:num w:numId="22" w16cid:durableId="1552418013">
    <w:abstractNumId w:val="17"/>
  </w:num>
  <w:num w:numId="23" w16cid:durableId="1598828334">
    <w:abstractNumId w:val="31"/>
  </w:num>
  <w:num w:numId="24" w16cid:durableId="2051031068">
    <w:abstractNumId w:val="1"/>
  </w:num>
  <w:num w:numId="25" w16cid:durableId="258569098">
    <w:abstractNumId w:val="19"/>
  </w:num>
  <w:num w:numId="26" w16cid:durableId="331181582">
    <w:abstractNumId w:val="23"/>
  </w:num>
  <w:num w:numId="27" w16cid:durableId="1015961391">
    <w:abstractNumId w:val="28"/>
  </w:num>
  <w:num w:numId="28" w16cid:durableId="1007514385">
    <w:abstractNumId w:val="32"/>
  </w:num>
  <w:num w:numId="29" w16cid:durableId="1322005943">
    <w:abstractNumId w:val="34"/>
  </w:num>
  <w:num w:numId="30" w16cid:durableId="162429852">
    <w:abstractNumId w:val="21"/>
  </w:num>
  <w:num w:numId="31" w16cid:durableId="853113132">
    <w:abstractNumId w:val="20"/>
  </w:num>
  <w:num w:numId="32" w16cid:durableId="280499925">
    <w:abstractNumId w:val="13"/>
  </w:num>
  <w:num w:numId="33" w16cid:durableId="113251605">
    <w:abstractNumId w:val="0"/>
  </w:num>
  <w:num w:numId="34" w16cid:durableId="1796295274">
    <w:abstractNumId w:val="36"/>
  </w:num>
  <w:num w:numId="35" w16cid:durableId="1437213611">
    <w:abstractNumId w:val="5"/>
  </w:num>
  <w:num w:numId="36" w16cid:durableId="989138140">
    <w:abstractNumId w:val="4"/>
  </w:num>
  <w:num w:numId="37" w16cid:durableId="1842308611">
    <w:abstractNumId w:val="24"/>
  </w:num>
  <w:num w:numId="38" w16cid:durableId="819226356">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numFmt w:val="lowerLetter"/>
    <w:footnote w:id="0"/>
    <w:footnote w:id="1"/>
    <w:footnote w:id="2"/>
  </w:footnotePr>
  <w:endnotePr>
    <w:numFmt w:val="lowerLetter"/>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4E42"/>
    <w:rsid w:val="000267E1"/>
    <w:rsid w:val="00030670"/>
    <w:rsid w:val="0003166C"/>
    <w:rsid w:val="00032552"/>
    <w:rsid w:val="00033219"/>
    <w:rsid w:val="00035D75"/>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8"/>
    <w:rsid w:val="0006085E"/>
    <w:rsid w:val="0006128A"/>
    <w:rsid w:val="00061A77"/>
    <w:rsid w:val="00061BCE"/>
    <w:rsid w:val="00063CA7"/>
    <w:rsid w:val="00065167"/>
    <w:rsid w:val="00065411"/>
    <w:rsid w:val="00066059"/>
    <w:rsid w:val="000670C2"/>
    <w:rsid w:val="00070074"/>
    <w:rsid w:val="000703C3"/>
    <w:rsid w:val="000728E0"/>
    <w:rsid w:val="00073C3D"/>
    <w:rsid w:val="00074917"/>
    <w:rsid w:val="00074E51"/>
    <w:rsid w:val="00075C7A"/>
    <w:rsid w:val="000762A8"/>
    <w:rsid w:val="00076439"/>
    <w:rsid w:val="00076F0F"/>
    <w:rsid w:val="00077D8A"/>
    <w:rsid w:val="0008099D"/>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5659"/>
    <w:rsid w:val="000B7BBA"/>
    <w:rsid w:val="000C2F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0772C"/>
    <w:rsid w:val="00111663"/>
    <w:rsid w:val="0011220E"/>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56B8B"/>
    <w:rsid w:val="00160461"/>
    <w:rsid w:val="00161846"/>
    <w:rsid w:val="001636DA"/>
    <w:rsid w:val="00163C69"/>
    <w:rsid w:val="00164169"/>
    <w:rsid w:val="00166B27"/>
    <w:rsid w:val="00170329"/>
    <w:rsid w:val="00170689"/>
    <w:rsid w:val="00170D2A"/>
    <w:rsid w:val="00170EB8"/>
    <w:rsid w:val="00171DC0"/>
    <w:rsid w:val="00173422"/>
    <w:rsid w:val="00173E50"/>
    <w:rsid w:val="00175F89"/>
    <w:rsid w:val="00176BA8"/>
    <w:rsid w:val="001775F3"/>
    <w:rsid w:val="00177FE2"/>
    <w:rsid w:val="00180511"/>
    <w:rsid w:val="00181BDF"/>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071A"/>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27F"/>
    <w:rsid w:val="001F0834"/>
    <w:rsid w:val="001F0D3B"/>
    <w:rsid w:val="001F1A52"/>
    <w:rsid w:val="001F1F14"/>
    <w:rsid w:val="001F34A5"/>
    <w:rsid w:val="001F370A"/>
    <w:rsid w:val="001F5541"/>
    <w:rsid w:val="001F5CCE"/>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29E"/>
    <w:rsid w:val="00226D49"/>
    <w:rsid w:val="0022710C"/>
    <w:rsid w:val="002272EE"/>
    <w:rsid w:val="00227759"/>
    <w:rsid w:val="00230F45"/>
    <w:rsid w:val="00233342"/>
    <w:rsid w:val="002335AB"/>
    <w:rsid w:val="00234B8D"/>
    <w:rsid w:val="00235E79"/>
    <w:rsid w:val="002360BC"/>
    <w:rsid w:val="00240F23"/>
    <w:rsid w:val="0024158E"/>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B04"/>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0F31"/>
    <w:rsid w:val="002C1434"/>
    <w:rsid w:val="002C1646"/>
    <w:rsid w:val="002C4713"/>
    <w:rsid w:val="002C7DDE"/>
    <w:rsid w:val="002D3E1A"/>
    <w:rsid w:val="002D6498"/>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1C32"/>
    <w:rsid w:val="0038330C"/>
    <w:rsid w:val="003856DC"/>
    <w:rsid w:val="003901B8"/>
    <w:rsid w:val="003A1D0D"/>
    <w:rsid w:val="003A38FB"/>
    <w:rsid w:val="003A41A0"/>
    <w:rsid w:val="003A6BEF"/>
    <w:rsid w:val="003B04B9"/>
    <w:rsid w:val="003B0A8F"/>
    <w:rsid w:val="003B153D"/>
    <w:rsid w:val="003B4CB7"/>
    <w:rsid w:val="003B4D4F"/>
    <w:rsid w:val="003B711F"/>
    <w:rsid w:val="003C0BAD"/>
    <w:rsid w:val="003C0DBC"/>
    <w:rsid w:val="003C2567"/>
    <w:rsid w:val="003C2B04"/>
    <w:rsid w:val="003C321D"/>
    <w:rsid w:val="003C5631"/>
    <w:rsid w:val="003C68C2"/>
    <w:rsid w:val="003C6CE9"/>
    <w:rsid w:val="003D06CD"/>
    <w:rsid w:val="003D094A"/>
    <w:rsid w:val="003D0C03"/>
    <w:rsid w:val="003D1457"/>
    <w:rsid w:val="003D23D5"/>
    <w:rsid w:val="003D29E8"/>
    <w:rsid w:val="003D2F77"/>
    <w:rsid w:val="003D3498"/>
    <w:rsid w:val="003D4484"/>
    <w:rsid w:val="003D54D2"/>
    <w:rsid w:val="003D598C"/>
    <w:rsid w:val="003D7167"/>
    <w:rsid w:val="003D7919"/>
    <w:rsid w:val="003D7B2A"/>
    <w:rsid w:val="003E0BD2"/>
    <w:rsid w:val="003E133B"/>
    <w:rsid w:val="003E4B7A"/>
    <w:rsid w:val="003E5AAE"/>
    <w:rsid w:val="003E5D61"/>
    <w:rsid w:val="003E7CAA"/>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62D5"/>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468"/>
    <w:rsid w:val="00450C44"/>
    <w:rsid w:val="004536D3"/>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D4F"/>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4FEF"/>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3B45"/>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3BAE"/>
    <w:rsid w:val="005966D8"/>
    <w:rsid w:val="00597461"/>
    <w:rsid w:val="0059769C"/>
    <w:rsid w:val="005A0F75"/>
    <w:rsid w:val="005A129A"/>
    <w:rsid w:val="005A35B4"/>
    <w:rsid w:val="005A422E"/>
    <w:rsid w:val="005A6057"/>
    <w:rsid w:val="005A6B25"/>
    <w:rsid w:val="005A7235"/>
    <w:rsid w:val="005A7BA6"/>
    <w:rsid w:val="005B499E"/>
    <w:rsid w:val="005B6A8D"/>
    <w:rsid w:val="005B7065"/>
    <w:rsid w:val="005C195D"/>
    <w:rsid w:val="005C2031"/>
    <w:rsid w:val="005D0ACB"/>
    <w:rsid w:val="005D140B"/>
    <w:rsid w:val="005D1C36"/>
    <w:rsid w:val="005D1F2E"/>
    <w:rsid w:val="005D2654"/>
    <w:rsid w:val="005D2E6F"/>
    <w:rsid w:val="005D362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211"/>
    <w:rsid w:val="00602636"/>
    <w:rsid w:val="006036CD"/>
    <w:rsid w:val="00603CAA"/>
    <w:rsid w:val="00603CC1"/>
    <w:rsid w:val="0060451D"/>
    <w:rsid w:val="00604681"/>
    <w:rsid w:val="00604D35"/>
    <w:rsid w:val="0060549C"/>
    <w:rsid w:val="006060FD"/>
    <w:rsid w:val="006071E2"/>
    <w:rsid w:val="0060750F"/>
    <w:rsid w:val="006075FE"/>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9BE"/>
    <w:rsid w:val="00665EAF"/>
    <w:rsid w:val="00666566"/>
    <w:rsid w:val="00666D5A"/>
    <w:rsid w:val="00670897"/>
    <w:rsid w:val="00672A20"/>
    <w:rsid w:val="006737EC"/>
    <w:rsid w:val="006739CE"/>
    <w:rsid w:val="0068304A"/>
    <w:rsid w:val="00683207"/>
    <w:rsid w:val="006832A2"/>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6F4B43"/>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12A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1C4E"/>
    <w:rsid w:val="00753421"/>
    <w:rsid w:val="007534F8"/>
    <w:rsid w:val="0075404F"/>
    <w:rsid w:val="007558ED"/>
    <w:rsid w:val="007560AE"/>
    <w:rsid w:val="007560F1"/>
    <w:rsid w:val="00762228"/>
    <w:rsid w:val="00763E34"/>
    <w:rsid w:val="00764EF9"/>
    <w:rsid w:val="0076735C"/>
    <w:rsid w:val="00770A34"/>
    <w:rsid w:val="00770FC4"/>
    <w:rsid w:val="007711BC"/>
    <w:rsid w:val="007713C7"/>
    <w:rsid w:val="00772C87"/>
    <w:rsid w:val="00772D61"/>
    <w:rsid w:val="00773496"/>
    <w:rsid w:val="0077359C"/>
    <w:rsid w:val="00775025"/>
    <w:rsid w:val="00776C0D"/>
    <w:rsid w:val="0077747C"/>
    <w:rsid w:val="00780787"/>
    <w:rsid w:val="007837C6"/>
    <w:rsid w:val="007838DA"/>
    <w:rsid w:val="0078463B"/>
    <w:rsid w:val="007853D4"/>
    <w:rsid w:val="007860F8"/>
    <w:rsid w:val="0078620A"/>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A77AE"/>
    <w:rsid w:val="007A789E"/>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5060"/>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4A6F"/>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0A49"/>
    <w:rsid w:val="008B170E"/>
    <w:rsid w:val="008B37A1"/>
    <w:rsid w:val="008B4625"/>
    <w:rsid w:val="008B467F"/>
    <w:rsid w:val="008B57B0"/>
    <w:rsid w:val="008C06CB"/>
    <w:rsid w:val="008C0C83"/>
    <w:rsid w:val="008C582D"/>
    <w:rsid w:val="008C6A5F"/>
    <w:rsid w:val="008C7F35"/>
    <w:rsid w:val="008D0586"/>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6FC6"/>
    <w:rsid w:val="008F74C2"/>
    <w:rsid w:val="008F7CEE"/>
    <w:rsid w:val="00900326"/>
    <w:rsid w:val="00900E6F"/>
    <w:rsid w:val="00901847"/>
    <w:rsid w:val="00901C53"/>
    <w:rsid w:val="00902767"/>
    <w:rsid w:val="00902BB7"/>
    <w:rsid w:val="009048BF"/>
    <w:rsid w:val="00905579"/>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5CD"/>
    <w:rsid w:val="00931E9D"/>
    <w:rsid w:val="009328B3"/>
    <w:rsid w:val="00936A54"/>
    <w:rsid w:val="00937543"/>
    <w:rsid w:val="00937AC9"/>
    <w:rsid w:val="00940B0E"/>
    <w:rsid w:val="00940F81"/>
    <w:rsid w:val="00941552"/>
    <w:rsid w:val="0094291C"/>
    <w:rsid w:val="00942B82"/>
    <w:rsid w:val="00943C5A"/>
    <w:rsid w:val="00944273"/>
    <w:rsid w:val="00944C1D"/>
    <w:rsid w:val="00945D12"/>
    <w:rsid w:val="0095227C"/>
    <w:rsid w:val="009523A7"/>
    <w:rsid w:val="009523F2"/>
    <w:rsid w:val="00953FB7"/>
    <w:rsid w:val="009551C5"/>
    <w:rsid w:val="00956636"/>
    <w:rsid w:val="00957019"/>
    <w:rsid w:val="00961FE9"/>
    <w:rsid w:val="009620C0"/>
    <w:rsid w:val="009628DB"/>
    <w:rsid w:val="00963312"/>
    <w:rsid w:val="0096386A"/>
    <w:rsid w:val="0096508A"/>
    <w:rsid w:val="00965ABF"/>
    <w:rsid w:val="00971A41"/>
    <w:rsid w:val="00975BE8"/>
    <w:rsid w:val="00976A58"/>
    <w:rsid w:val="00977AA1"/>
    <w:rsid w:val="00980058"/>
    <w:rsid w:val="0098006B"/>
    <w:rsid w:val="00982445"/>
    <w:rsid w:val="00982777"/>
    <w:rsid w:val="00982C40"/>
    <w:rsid w:val="0098375D"/>
    <w:rsid w:val="00986137"/>
    <w:rsid w:val="0098622B"/>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2A08"/>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409D"/>
    <w:rsid w:val="00A15F64"/>
    <w:rsid w:val="00A233E0"/>
    <w:rsid w:val="00A24F5B"/>
    <w:rsid w:val="00A26353"/>
    <w:rsid w:val="00A26E89"/>
    <w:rsid w:val="00A274B4"/>
    <w:rsid w:val="00A27E5C"/>
    <w:rsid w:val="00A306EB"/>
    <w:rsid w:val="00A31484"/>
    <w:rsid w:val="00A32DF7"/>
    <w:rsid w:val="00A339E5"/>
    <w:rsid w:val="00A352DB"/>
    <w:rsid w:val="00A358CC"/>
    <w:rsid w:val="00A35BC3"/>
    <w:rsid w:val="00A35F5B"/>
    <w:rsid w:val="00A361CE"/>
    <w:rsid w:val="00A45770"/>
    <w:rsid w:val="00A457CA"/>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6FB4"/>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D6242"/>
    <w:rsid w:val="00AD692B"/>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1DB9"/>
    <w:rsid w:val="00B13545"/>
    <w:rsid w:val="00B13DEC"/>
    <w:rsid w:val="00B15AEE"/>
    <w:rsid w:val="00B15B9E"/>
    <w:rsid w:val="00B222EC"/>
    <w:rsid w:val="00B22810"/>
    <w:rsid w:val="00B22F84"/>
    <w:rsid w:val="00B23110"/>
    <w:rsid w:val="00B2326A"/>
    <w:rsid w:val="00B23E0D"/>
    <w:rsid w:val="00B24852"/>
    <w:rsid w:val="00B26757"/>
    <w:rsid w:val="00B31C31"/>
    <w:rsid w:val="00B32603"/>
    <w:rsid w:val="00B357D8"/>
    <w:rsid w:val="00B37C28"/>
    <w:rsid w:val="00B400AE"/>
    <w:rsid w:val="00B434D7"/>
    <w:rsid w:val="00B45BEF"/>
    <w:rsid w:val="00B47058"/>
    <w:rsid w:val="00B5068E"/>
    <w:rsid w:val="00B51024"/>
    <w:rsid w:val="00B524A9"/>
    <w:rsid w:val="00B55642"/>
    <w:rsid w:val="00B55C88"/>
    <w:rsid w:val="00B603E4"/>
    <w:rsid w:val="00B62988"/>
    <w:rsid w:val="00B63B97"/>
    <w:rsid w:val="00B642FD"/>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0F9F"/>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C53CE"/>
    <w:rsid w:val="00BD12E4"/>
    <w:rsid w:val="00BD6B16"/>
    <w:rsid w:val="00BE12E1"/>
    <w:rsid w:val="00BE1B26"/>
    <w:rsid w:val="00BE1F44"/>
    <w:rsid w:val="00BE3D6F"/>
    <w:rsid w:val="00BE4548"/>
    <w:rsid w:val="00BE53BF"/>
    <w:rsid w:val="00BE60DE"/>
    <w:rsid w:val="00BE63D7"/>
    <w:rsid w:val="00BF08F9"/>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17AD5"/>
    <w:rsid w:val="00C20372"/>
    <w:rsid w:val="00C2356F"/>
    <w:rsid w:val="00C23990"/>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0990"/>
    <w:rsid w:val="00C72590"/>
    <w:rsid w:val="00C72753"/>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1A70"/>
    <w:rsid w:val="00C93634"/>
    <w:rsid w:val="00C943C6"/>
    <w:rsid w:val="00C94D70"/>
    <w:rsid w:val="00C9517E"/>
    <w:rsid w:val="00C96032"/>
    <w:rsid w:val="00C96BDE"/>
    <w:rsid w:val="00CA1B73"/>
    <w:rsid w:val="00CA1FDF"/>
    <w:rsid w:val="00CA27B9"/>
    <w:rsid w:val="00CA32FE"/>
    <w:rsid w:val="00CA4137"/>
    <w:rsid w:val="00CA557D"/>
    <w:rsid w:val="00CA5AE4"/>
    <w:rsid w:val="00CA6BC6"/>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56F9"/>
    <w:rsid w:val="00D26124"/>
    <w:rsid w:val="00D31DCE"/>
    <w:rsid w:val="00D33817"/>
    <w:rsid w:val="00D3533B"/>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65441"/>
    <w:rsid w:val="00D73509"/>
    <w:rsid w:val="00D73DBE"/>
    <w:rsid w:val="00D73E09"/>
    <w:rsid w:val="00D74290"/>
    <w:rsid w:val="00D76DB3"/>
    <w:rsid w:val="00D777EE"/>
    <w:rsid w:val="00D77C8D"/>
    <w:rsid w:val="00D87764"/>
    <w:rsid w:val="00D90653"/>
    <w:rsid w:val="00D908D5"/>
    <w:rsid w:val="00D92ED6"/>
    <w:rsid w:val="00D9599C"/>
    <w:rsid w:val="00DA263D"/>
    <w:rsid w:val="00DA4019"/>
    <w:rsid w:val="00DA4E0C"/>
    <w:rsid w:val="00DA53F8"/>
    <w:rsid w:val="00DA7843"/>
    <w:rsid w:val="00DA7E80"/>
    <w:rsid w:val="00DB0E66"/>
    <w:rsid w:val="00DB13CB"/>
    <w:rsid w:val="00DB202D"/>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58B7"/>
    <w:rsid w:val="00DF6030"/>
    <w:rsid w:val="00DF7E5D"/>
    <w:rsid w:val="00E00589"/>
    <w:rsid w:val="00E0220E"/>
    <w:rsid w:val="00E034D9"/>
    <w:rsid w:val="00E03FC8"/>
    <w:rsid w:val="00E04947"/>
    <w:rsid w:val="00E057B1"/>
    <w:rsid w:val="00E076DF"/>
    <w:rsid w:val="00E10927"/>
    <w:rsid w:val="00E128B1"/>
    <w:rsid w:val="00E14467"/>
    <w:rsid w:val="00E14BF3"/>
    <w:rsid w:val="00E16410"/>
    <w:rsid w:val="00E205A3"/>
    <w:rsid w:val="00E2389F"/>
    <w:rsid w:val="00E25157"/>
    <w:rsid w:val="00E26191"/>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0FA9"/>
    <w:rsid w:val="00E63258"/>
    <w:rsid w:val="00E63B7C"/>
    <w:rsid w:val="00E63CBB"/>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A6EEA"/>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5A4"/>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22E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0704"/>
    <w:rsid w:val="00F62C65"/>
    <w:rsid w:val="00F63290"/>
    <w:rsid w:val="00F652A6"/>
    <w:rsid w:val="00F66728"/>
    <w:rsid w:val="00F67649"/>
    <w:rsid w:val="00F67C9A"/>
    <w:rsid w:val="00F7072E"/>
    <w:rsid w:val="00F71070"/>
    <w:rsid w:val="00F71C27"/>
    <w:rsid w:val="00F7283C"/>
    <w:rsid w:val="00F741CB"/>
    <w:rsid w:val="00F74FF8"/>
    <w:rsid w:val="00F7776D"/>
    <w:rsid w:val="00F823FF"/>
    <w:rsid w:val="00F84AF9"/>
    <w:rsid w:val="00F85BB1"/>
    <w:rsid w:val="00F8697C"/>
    <w:rsid w:val="00F904F9"/>
    <w:rsid w:val="00F90ACE"/>
    <w:rsid w:val="00F90B3F"/>
    <w:rsid w:val="00F9157A"/>
    <w:rsid w:val="00F916E8"/>
    <w:rsid w:val="00F91707"/>
    <w:rsid w:val="00F919C9"/>
    <w:rsid w:val="00F91EF0"/>
    <w:rsid w:val="00F92596"/>
    <w:rsid w:val="00F95973"/>
    <w:rsid w:val="00F96D20"/>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A23"/>
    <w:rsid w:val="00FE0BEA"/>
    <w:rsid w:val="00FE0D6A"/>
    <w:rsid w:val="00FE2C1F"/>
    <w:rsid w:val="00FE4665"/>
    <w:rsid w:val="00FE539F"/>
    <w:rsid w:val="00FF04B1"/>
    <w:rsid w:val="00FF0CC3"/>
    <w:rsid w:val="00FF0DE8"/>
    <w:rsid w:val="00FF11A9"/>
    <w:rsid w:val="00FF165F"/>
    <w:rsid w:val="00FF16DB"/>
    <w:rsid w:val="00FF3DDF"/>
    <w:rsid w:val="00FF5265"/>
    <w:rsid w:val="00FF5464"/>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4EFA36"/>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C7EBC76E-3702-47B1-BC80-A8DA7746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styleId="BodyText">
    <w:name w:val="Body Text"/>
    <w:link w:val="BodyTextChar"/>
    <w:rsid w:val="0077359C"/>
    <w:pPr>
      <w:spacing w:after="24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7359C"/>
    <w:rPr>
      <w:rFonts w:ascii="Times New Roman" w:eastAsia="Times New Roman" w:hAnsi="Times New Roman" w:cs="Times New Roman"/>
      <w:sz w:val="24"/>
      <w:szCs w:val="20"/>
    </w:rPr>
  </w:style>
  <w:style w:type="paragraph" w:styleId="ListBullet">
    <w:name w:val="List Bullet"/>
    <w:rsid w:val="0077359C"/>
    <w:pPr>
      <w:numPr>
        <w:numId w:val="28"/>
      </w:numPr>
      <w:spacing w:after="60" w:line="240" w:lineRule="auto"/>
    </w:pPr>
    <w:rPr>
      <w:rFonts w:ascii="Times New Roman" w:eastAsia="Times New Roman" w:hAnsi="Times New Roman" w:cs="Times New Roman"/>
      <w:sz w:val="24"/>
      <w:szCs w:val="20"/>
    </w:rPr>
  </w:style>
  <w:style w:type="paragraph" w:customStyle="1" w:styleId="ListBulletlast">
    <w:name w:val="List Bullet_last"/>
    <w:basedOn w:val="ListBullet"/>
    <w:qFormat/>
    <w:rsid w:val="0077359C"/>
    <w:pPr>
      <w:spacing w:after="200"/>
    </w:pPr>
  </w:style>
  <w:style w:type="character" w:styleId="PageNumber">
    <w:name w:val="page number"/>
    <w:basedOn w:val="DefaultParagraphFont"/>
    <w:rsid w:val="00986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pa.gov/cwn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web/ecec.supp.toc.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8" ma:contentTypeDescription="Create a new document." ma:contentTypeScope="" ma:versionID="312d34f8ed2d9a19618b6e7108fb249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04c65d1dfb247c5fe118c04c81543e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lcf76f155ced4ddcb4097134ff3c332f xmlns="02fe02c4-dc41-46ff-9d52-90c0a1b1f611">
      <Terms xmlns="http://schemas.microsoft.com/office/infopath/2007/PartnerControls"/>
    </lcf76f155ced4ddcb4097134ff3c332f>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2026-03-10T19:37:16+00:00</Document_x0020_Creation_x0020_Date>
    <EPA_x0020_Office xmlns="4ffa91fb-a0ff-4ac5-b2db-65c790d184a4"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E088DD81-65E3-4B6D-A1B0-7C909F49855E}">
  <ds:schemaRefs>
    <ds:schemaRef ds:uri="Microsoft.SharePoint.Taxonomy.ContentTypeSync"/>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003B32DB-B04B-425E-9DD2-DD5B5B241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
    <ds:schemaRef ds:uri="1562138c-4bcd-4fd2-8fce-5ba9c71963ed"/>
    <ds:schemaRef ds:uri="482368fe-1f2c-4925-aca9-7da8b158bdf4"/>
    <ds:schemaRef ds:uri="4ffa91fb-a0ff-4ac5-b2db-65c790d184a4"/>
    <ds:schemaRef ds:uri="02fe02c4-dc41-46ff-9d52-90c0a1b1f611"/>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4266</Words>
  <Characters>24318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28527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2</cp:revision>
  <dcterms:created xsi:type="dcterms:W3CDTF">2026-03-12T19:54:00Z</dcterms:created>
  <dcterms:modified xsi:type="dcterms:W3CDTF">2026-03-12T19:54:00Z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MediaServiceImageTags">
    <vt:lpwstr/>
  </property>
  <property fmtid="{D5CDD505-2E9C-101B-9397-08002B2CF9AE}" pid="10" name="TaxKeyword">
    <vt:lpwstr/>
  </property>
  <property fmtid="{D5CDD505-2E9C-101B-9397-08002B2CF9AE}" pid="11" name="_ExtendedDescription">
    <vt:lpwstr/>
  </property>
</Properties>
</file>