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FE1770" w14:textId="77777777">
      <w:bookmarkStart w:id="0" w:name="_Toc473880015"/>
    </w:p>
    <w:p w:rsidR="00304BBB" w:rsidP="009A79E1" w14:paraId="55FE1771" w14:textId="77777777"/>
    <w:p w:rsidR="00763241" w:rsidRPr="005C47FA" w:rsidP="004A13E8" w14:paraId="43985310" w14:textId="77777777">
      <w:pPr>
        <w:pStyle w:val="Heading2"/>
        <w:rPr>
          <w:rFonts w:asciiTheme="majorHAnsi" w:hAnsiTheme="majorHAnsi"/>
        </w:rPr>
      </w:pPr>
      <w:bookmarkStart w:id="1" w:name="_Toc172646899"/>
      <w:r w:rsidRPr="005C47FA">
        <w:rPr>
          <w:rFonts w:asciiTheme="majorHAnsi" w:hAnsiTheme="majorHAnsi"/>
        </w:rPr>
        <w:t>Use and Acceptability of the</w:t>
      </w:r>
      <w:bookmarkEnd w:id="1"/>
      <w:r w:rsidRPr="005C47FA">
        <w:rPr>
          <w:rFonts w:asciiTheme="majorHAnsi" w:hAnsiTheme="majorHAnsi"/>
        </w:rPr>
        <w:t xml:space="preserve"> </w:t>
      </w:r>
    </w:p>
    <w:p w:rsidR="004A13E8" w:rsidRPr="005C47FA" w:rsidP="004A13E8" w14:paraId="55FE1772" w14:textId="173BF590">
      <w:pPr>
        <w:pStyle w:val="Heading2"/>
        <w:rPr>
          <w:rFonts w:asciiTheme="majorHAnsi" w:hAnsiTheme="majorHAnsi"/>
        </w:rPr>
      </w:pPr>
      <w:bookmarkStart w:id="2" w:name="_Toc172646900"/>
      <w:r w:rsidRPr="005C47FA">
        <w:rPr>
          <w:rFonts w:asciiTheme="majorHAnsi" w:hAnsiTheme="majorHAnsi"/>
        </w:rPr>
        <w:t>Model Aquatic Health Code (202</w:t>
      </w:r>
      <w:r w:rsidRPr="005C47FA" w:rsidR="2190D7B9">
        <w:rPr>
          <w:rFonts w:asciiTheme="majorHAnsi" w:hAnsiTheme="majorHAnsi"/>
        </w:rPr>
        <w:t>4)</w:t>
      </w:r>
      <w:bookmarkEnd w:id="0"/>
      <w:bookmarkEnd w:id="2"/>
    </w:p>
    <w:p w:rsidR="004A13E8" w:rsidRPr="005C47FA" w:rsidP="004A13E8" w14:paraId="55FE1773" w14:textId="77777777">
      <w:pPr>
        <w:spacing w:after="0" w:line="240" w:lineRule="auto"/>
        <w:jc w:val="center"/>
        <w:rPr>
          <w:rFonts w:asciiTheme="majorHAnsi" w:hAnsiTheme="majorHAnsi"/>
          <w:b/>
        </w:rPr>
      </w:pPr>
    </w:p>
    <w:p w:rsidR="00763241" w:rsidRPr="005C47FA" w:rsidP="004A13E8" w14:paraId="3C81E25B" w14:textId="085B12C4">
      <w:pPr>
        <w:pStyle w:val="Heading3"/>
        <w:rPr>
          <w:rFonts w:asciiTheme="majorHAnsi" w:hAnsiTheme="majorHAnsi"/>
        </w:rPr>
      </w:pPr>
      <w:bookmarkStart w:id="3" w:name="_Toc172646901"/>
      <w:r>
        <w:rPr>
          <w:rFonts w:asciiTheme="majorHAnsi" w:hAnsiTheme="majorHAnsi"/>
        </w:rPr>
        <w:t>STLT Generic Information Collection Request</w:t>
      </w:r>
      <w:bookmarkEnd w:id="3"/>
      <w:r w:rsidRPr="005C47FA">
        <w:rPr>
          <w:rFonts w:asciiTheme="majorHAnsi" w:hAnsiTheme="majorHAnsi"/>
        </w:rPr>
        <w:t xml:space="preserve"> </w:t>
      </w:r>
    </w:p>
    <w:p w:rsidR="004A13E8" w:rsidRPr="005C47FA" w:rsidP="004A13E8" w14:paraId="55FE1774" w14:textId="5136C073">
      <w:pPr>
        <w:pStyle w:val="Heading3"/>
        <w:rPr>
          <w:rFonts w:asciiTheme="majorHAnsi" w:hAnsiTheme="majorHAnsi"/>
        </w:rPr>
      </w:pPr>
      <w:bookmarkStart w:id="4" w:name="_Toc172646902"/>
      <w:r w:rsidRPr="005C47FA">
        <w:rPr>
          <w:rFonts w:asciiTheme="majorHAnsi" w:hAnsiTheme="majorHAnsi"/>
        </w:rPr>
        <w:t>OMB No. 0920-0879</w:t>
      </w:r>
      <w:bookmarkEnd w:id="4"/>
    </w:p>
    <w:p w:rsidR="004A13E8" w:rsidRPr="005C47FA" w:rsidP="004A13E8" w14:paraId="55FE1775" w14:textId="77777777">
      <w:pPr>
        <w:spacing w:after="0" w:line="240" w:lineRule="auto"/>
        <w:jc w:val="center"/>
        <w:rPr>
          <w:rFonts w:asciiTheme="majorHAnsi" w:hAnsiTheme="majorHAnsi"/>
          <w:b/>
        </w:rPr>
      </w:pPr>
    </w:p>
    <w:p w:rsidR="004A13E8" w:rsidRPr="005C47FA" w:rsidP="004A13E8" w14:paraId="55FE1776" w14:textId="28EBAED0">
      <w:pPr>
        <w:pStyle w:val="Heading4"/>
        <w:rPr>
          <w:rFonts w:asciiTheme="majorHAnsi" w:hAnsiTheme="majorHAnsi"/>
        </w:rPr>
      </w:pPr>
      <w:r w:rsidRPr="005C47FA">
        <w:rPr>
          <w:rFonts w:asciiTheme="majorHAnsi" w:hAnsiTheme="majorHAnsi"/>
        </w:rPr>
        <w:t>Ju</w:t>
      </w:r>
      <w:r w:rsidRPr="005C47FA" w:rsidR="004F4D4E">
        <w:rPr>
          <w:rFonts w:asciiTheme="majorHAnsi" w:hAnsiTheme="majorHAnsi"/>
        </w:rPr>
        <w:t xml:space="preserve">ly </w:t>
      </w:r>
      <w:r w:rsidR="000A5077">
        <w:rPr>
          <w:rFonts w:asciiTheme="majorHAnsi" w:hAnsiTheme="majorHAnsi"/>
        </w:rPr>
        <w:t>23</w:t>
      </w:r>
      <w:r w:rsidRPr="005C47FA" w:rsidR="003859D9">
        <w:rPr>
          <w:rFonts w:asciiTheme="majorHAnsi" w:hAnsiTheme="majorHAnsi"/>
        </w:rPr>
        <w:t xml:space="preserve">, </w:t>
      </w:r>
      <w:r w:rsidRPr="005C47FA" w:rsidR="00763241">
        <w:rPr>
          <w:rFonts w:asciiTheme="majorHAnsi" w:hAnsiTheme="majorHAnsi"/>
        </w:rPr>
        <w:t>2024</w:t>
      </w:r>
    </w:p>
    <w:p w:rsidR="004A13E8" w:rsidP="004A13E8" w14:paraId="55FE1777" w14:textId="77777777">
      <w:pPr>
        <w:spacing w:after="0" w:line="240" w:lineRule="auto"/>
        <w:jc w:val="center"/>
        <w:rPr>
          <w:b/>
        </w:rPr>
      </w:pPr>
    </w:p>
    <w:p w:rsidR="004A13E8" w:rsidP="009A79E1" w14:paraId="55FE1778" w14:textId="77777777"/>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RPr="00D97019" w:rsidP="004A13E8" w14:paraId="55FE177F" w14:textId="2F52B5E0">
      <w:pPr>
        <w:pStyle w:val="Heading4"/>
        <w:rPr>
          <w:rFonts w:asciiTheme="majorHAnsi" w:hAnsiTheme="majorHAnsi" w:cstheme="minorHAnsi"/>
          <w:sz w:val="28"/>
          <w:szCs w:val="28"/>
        </w:rPr>
      </w:pPr>
      <w:r w:rsidRPr="00D97019">
        <w:rPr>
          <w:rFonts w:asciiTheme="majorHAnsi" w:hAnsiTheme="majorHAnsi" w:cstheme="minorHAnsi"/>
          <w:sz w:val="28"/>
          <w:szCs w:val="28"/>
        </w:rPr>
        <w:t>Supporting Statement</w:t>
      </w:r>
      <w:r w:rsidRPr="00D97019" w:rsidR="00080857">
        <w:rPr>
          <w:rFonts w:asciiTheme="majorHAnsi" w:hAnsiTheme="majorHAnsi" w:cstheme="minorHAnsi"/>
          <w:sz w:val="28"/>
          <w:szCs w:val="28"/>
        </w:rPr>
        <w:t xml:space="preserve"> - Section</w:t>
      </w:r>
      <w:r w:rsidRPr="00D97019">
        <w:rPr>
          <w:rFonts w:asciiTheme="majorHAnsi" w:hAnsiTheme="majorHAnsi" w:cstheme="minorHAnsi"/>
          <w:sz w:val="28"/>
          <w:szCs w:val="28"/>
        </w:rPr>
        <w:t xml:space="preserve"> A</w:t>
      </w:r>
    </w:p>
    <w:p w:rsidR="004A13E8" w:rsidRPr="005C47FA" w:rsidP="004A13E8" w14:paraId="55FE1780" w14:textId="77777777">
      <w:pPr>
        <w:spacing w:after="0" w:line="240" w:lineRule="auto"/>
        <w:rPr>
          <w:rFonts w:asciiTheme="minorHAnsi" w:hAnsiTheme="minorHAnsi" w:cstheme="minorHAnsi"/>
          <w:b/>
        </w:rPr>
      </w:pPr>
    </w:p>
    <w:p w:rsidR="004A13E8" w:rsidRPr="005C47FA" w:rsidP="004A13E8" w14:paraId="55FE1781" w14:textId="77777777">
      <w:pPr>
        <w:spacing w:after="0" w:line="240" w:lineRule="auto"/>
        <w:rPr>
          <w:rFonts w:asciiTheme="minorHAnsi" w:hAnsiTheme="minorHAnsi" w:cstheme="minorHAnsi"/>
          <w:b/>
        </w:rPr>
      </w:pPr>
    </w:p>
    <w:p w:rsidR="004A13E8" w:rsidRPr="005C47FA" w:rsidP="004A13E8" w14:paraId="55FE1782" w14:textId="77777777">
      <w:pPr>
        <w:spacing w:after="0" w:line="240" w:lineRule="auto"/>
        <w:rPr>
          <w:rFonts w:asciiTheme="minorHAnsi" w:hAnsiTheme="minorHAnsi" w:cstheme="minorHAnsi"/>
          <w:b/>
        </w:rPr>
      </w:pPr>
    </w:p>
    <w:p w:rsidR="004A13E8" w:rsidRPr="005C47FA" w:rsidP="004A13E8" w14:paraId="55FE1783" w14:textId="77777777">
      <w:pPr>
        <w:spacing w:after="0" w:line="240" w:lineRule="auto"/>
        <w:rPr>
          <w:rFonts w:asciiTheme="minorHAnsi" w:hAnsiTheme="minorHAnsi" w:cstheme="minorHAnsi"/>
          <w:b/>
        </w:rPr>
      </w:pPr>
    </w:p>
    <w:p w:rsidR="004A13E8" w:rsidRPr="005C47FA" w:rsidP="004A13E8" w14:paraId="55FE1784" w14:textId="77777777">
      <w:pPr>
        <w:spacing w:after="0" w:line="240" w:lineRule="auto"/>
        <w:rPr>
          <w:rFonts w:asciiTheme="minorHAnsi" w:hAnsiTheme="minorHAnsi" w:cstheme="minorHAnsi"/>
          <w:b/>
        </w:rPr>
      </w:pPr>
    </w:p>
    <w:p w:rsidR="004A13E8" w:rsidRPr="005C47FA" w:rsidP="004A13E8" w14:paraId="55FE1785" w14:textId="77777777">
      <w:pPr>
        <w:spacing w:after="0" w:line="240" w:lineRule="auto"/>
        <w:rPr>
          <w:rFonts w:asciiTheme="minorHAnsi" w:hAnsiTheme="minorHAnsi" w:cstheme="minorHAnsi"/>
          <w:b/>
        </w:rPr>
      </w:pPr>
    </w:p>
    <w:p w:rsidR="004A13E8" w:rsidRPr="005C47FA" w:rsidP="004A13E8" w14:paraId="55FE1786" w14:textId="77777777">
      <w:pPr>
        <w:spacing w:after="0" w:line="240" w:lineRule="auto"/>
        <w:rPr>
          <w:rFonts w:asciiTheme="minorHAnsi" w:hAnsiTheme="minorHAnsi" w:cstheme="minorHAnsi"/>
          <w:b/>
        </w:rPr>
      </w:pPr>
    </w:p>
    <w:p w:rsidR="004A13E8" w:rsidRPr="005C47FA" w:rsidP="004A13E8" w14:paraId="55FE1787" w14:textId="77777777">
      <w:pPr>
        <w:spacing w:after="0" w:line="240" w:lineRule="auto"/>
        <w:rPr>
          <w:rFonts w:asciiTheme="minorHAnsi" w:hAnsiTheme="minorHAnsi" w:cstheme="minorHAnsi"/>
          <w:b/>
        </w:rPr>
      </w:pPr>
    </w:p>
    <w:p w:rsidR="004A13E8" w:rsidRPr="005C47FA" w:rsidP="004A13E8" w14:paraId="55FE1788" w14:textId="77777777">
      <w:pPr>
        <w:spacing w:after="0" w:line="240" w:lineRule="auto"/>
        <w:rPr>
          <w:rFonts w:asciiTheme="minorHAnsi" w:hAnsiTheme="minorHAnsi" w:cstheme="minorHAnsi"/>
          <w:b/>
        </w:rPr>
      </w:pPr>
    </w:p>
    <w:p w:rsidR="004A13E8" w:rsidRPr="005C47FA" w:rsidP="004A13E8" w14:paraId="55FE1789" w14:textId="77777777">
      <w:pPr>
        <w:spacing w:after="0" w:line="240" w:lineRule="auto"/>
        <w:rPr>
          <w:rFonts w:asciiTheme="minorHAnsi" w:hAnsiTheme="minorHAnsi" w:cstheme="minorHAnsi"/>
          <w:b/>
        </w:rPr>
      </w:pPr>
    </w:p>
    <w:p w:rsidR="00304BBB" w:rsidRPr="005C47FA" w:rsidP="004A13E8" w14:paraId="55FE178A" w14:textId="77777777">
      <w:pPr>
        <w:spacing w:after="0" w:line="240" w:lineRule="auto"/>
        <w:rPr>
          <w:rFonts w:asciiTheme="minorHAnsi" w:hAnsiTheme="minorHAnsi" w:cstheme="minorHAnsi"/>
          <w:b/>
        </w:rPr>
      </w:pPr>
    </w:p>
    <w:p w:rsidR="00446A7C" w:rsidRPr="005C47FA" w:rsidP="004A13E8" w14:paraId="55FE178B" w14:textId="77777777">
      <w:pPr>
        <w:spacing w:after="0" w:line="240" w:lineRule="auto"/>
        <w:rPr>
          <w:rFonts w:asciiTheme="minorHAnsi" w:hAnsiTheme="minorHAnsi" w:cstheme="minorHAnsi"/>
          <w:b/>
        </w:rPr>
      </w:pPr>
    </w:p>
    <w:p w:rsidR="004A13E8" w:rsidRPr="00D97019" w:rsidP="004A13E8" w14:paraId="55FE178C" w14:textId="77777777">
      <w:pPr>
        <w:spacing w:after="0" w:line="240" w:lineRule="auto"/>
        <w:rPr>
          <w:rFonts w:asciiTheme="majorHAnsi" w:hAnsiTheme="majorHAnsi" w:cstheme="minorHAnsi"/>
          <w:b/>
        </w:rPr>
      </w:pPr>
    </w:p>
    <w:p w:rsidR="004A13E8" w:rsidRPr="00D97019" w:rsidP="004A13E8" w14:paraId="55FE178D" w14:textId="77777777">
      <w:pPr>
        <w:spacing w:after="0" w:line="240" w:lineRule="auto"/>
        <w:rPr>
          <w:rFonts w:asciiTheme="majorHAnsi" w:hAnsiTheme="majorHAnsi" w:cstheme="minorHAnsi"/>
          <w:b/>
        </w:rPr>
      </w:pPr>
    </w:p>
    <w:p w:rsidR="004A13E8" w:rsidRPr="00D97019" w:rsidP="004A13E8" w14:paraId="55FE178E" w14:textId="77777777">
      <w:pPr>
        <w:spacing w:after="0" w:line="240" w:lineRule="auto"/>
        <w:rPr>
          <w:rFonts w:asciiTheme="majorHAnsi" w:hAnsiTheme="majorHAnsi" w:cstheme="minorHAnsi"/>
          <w:b/>
        </w:rPr>
      </w:pPr>
    </w:p>
    <w:p w:rsidR="004A13E8" w:rsidRPr="00D97019" w:rsidP="004A13E8" w14:paraId="55FE178F" w14:textId="77777777">
      <w:pPr>
        <w:spacing w:after="0" w:line="240" w:lineRule="auto"/>
        <w:rPr>
          <w:rFonts w:asciiTheme="majorHAnsi" w:hAnsiTheme="majorHAnsi" w:cstheme="minorHAnsi"/>
          <w:b/>
        </w:rPr>
      </w:pPr>
    </w:p>
    <w:p w:rsidR="004A13E8" w:rsidRPr="00D97019" w:rsidP="004A13E8" w14:paraId="55FE1792" w14:textId="77777777">
      <w:pPr>
        <w:spacing w:after="0" w:line="240" w:lineRule="auto"/>
        <w:rPr>
          <w:rFonts w:asciiTheme="majorHAnsi" w:hAnsiTheme="majorHAnsi" w:cstheme="minorHAnsi"/>
          <w:b/>
        </w:rPr>
      </w:pPr>
    </w:p>
    <w:p w:rsidR="004A13E8" w:rsidRPr="00D97019" w:rsidP="009A79E1" w14:paraId="55FE1793" w14:textId="77777777">
      <w:pPr>
        <w:pStyle w:val="NoSpacing"/>
        <w:rPr>
          <w:rFonts w:asciiTheme="majorHAnsi" w:hAnsiTheme="majorHAnsi" w:cstheme="minorHAnsi"/>
          <w:b/>
        </w:rPr>
      </w:pPr>
      <w:r w:rsidRPr="00D97019">
        <w:rPr>
          <w:rFonts w:asciiTheme="majorHAnsi" w:hAnsiTheme="majorHAnsi" w:cstheme="minorHAnsi"/>
          <w:b/>
        </w:rPr>
        <w:t xml:space="preserve">Contact: </w:t>
      </w:r>
    </w:p>
    <w:p w:rsidR="004A13E8" w:rsidRPr="00D97019" w:rsidP="009A79E1" w14:paraId="55FE1794" w14:textId="7A3469F2">
      <w:pPr>
        <w:pStyle w:val="NoSpacing"/>
        <w:rPr>
          <w:rFonts w:asciiTheme="majorHAnsi" w:hAnsiTheme="majorHAnsi" w:cstheme="minorHAnsi"/>
        </w:rPr>
      </w:pPr>
      <w:r w:rsidRPr="00D97019">
        <w:rPr>
          <w:rFonts w:asciiTheme="majorHAnsi" w:hAnsiTheme="majorHAnsi" w:cstheme="minorHAnsi"/>
        </w:rPr>
        <w:t>Rudith Vice</w:t>
      </w:r>
    </w:p>
    <w:p w:rsidR="004A13E8" w:rsidRPr="00D97019" w:rsidP="009A79E1" w14:paraId="55FE1795" w14:textId="77777777">
      <w:pPr>
        <w:pStyle w:val="NoSpacing"/>
        <w:rPr>
          <w:rFonts w:asciiTheme="majorHAnsi" w:hAnsiTheme="majorHAnsi" w:cstheme="minorHAnsi"/>
        </w:rPr>
      </w:pPr>
      <w:r w:rsidRPr="00D97019">
        <w:rPr>
          <w:rFonts w:asciiTheme="majorHAnsi" w:hAnsiTheme="majorHAnsi" w:cstheme="minorHAnsi"/>
        </w:rPr>
        <w:t xml:space="preserve">National Center for Emerging and Zoonotic Infectious Diseases </w:t>
      </w:r>
    </w:p>
    <w:p w:rsidR="004A13E8" w:rsidRPr="00D97019" w:rsidP="009A79E1" w14:paraId="55FE1796" w14:textId="77777777">
      <w:pPr>
        <w:pStyle w:val="NoSpacing"/>
        <w:rPr>
          <w:rFonts w:asciiTheme="majorHAnsi" w:hAnsiTheme="majorHAnsi" w:cstheme="minorHAnsi"/>
        </w:rPr>
      </w:pPr>
      <w:r w:rsidRPr="00D97019">
        <w:rPr>
          <w:rFonts w:asciiTheme="majorHAnsi" w:hAnsiTheme="majorHAnsi" w:cstheme="minorHAnsi"/>
        </w:rPr>
        <w:t xml:space="preserve">Centers for Disease Control and Prevention </w:t>
      </w:r>
    </w:p>
    <w:p w:rsidR="004A13E8" w:rsidRPr="00D97019" w:rsidP="009A79E1" w14:paraId="55FE1797" w14:textId="77777777">
      <w:pPr>
        <w:pStyle w:val="NoSpacing"/>
        <w:rPr>
          <w:rFonts w:asciiTheme="majorHAnsi" w:hAnsiTheme="majorHAnsi" w:cstheme="minorHAnsi"/>
        </w:rPr>
      </w:pPr>
      <w:r w:rsidRPr="00D97019">
        <w:rPr>
          <w:rFonts w:asciiTheme="majorHAnsi" w:hAnsiTheme="majorHAnsi" w:cstheme="minorHAnsi"/>
        </w:rPr>
        <w:t xml:space="preserve">1600 Clifton Road, NE </w:t>
      </w:r>
    </w:p>
    <w:p w:rsidR="004A13E8" w:rsidRPr="00D97019" w:rsidP="009A79E1" w14:paraId="55FE1798" w14:textId="77777777">
      <w:pPr>
        <w:pStyle w:val="NoSpacing"/>
        <w:rPr>
          <w:rFonts w:asciiTheme="majorHAnsi" w:hAnsiTheme="majorHAnsi" w:cstheme="minorHAnsi"/>
        </w:rPr>
      </w:pPr>
      <w:r w:rsidRPr="00D97019">
        <w:rPr>
          <w:rFonts w:asciiTheme="majorHAnsi" w:hAnsiTheme="majorHAnsi" w:cstheme="minorHAnsi"/>
        </w:rPr>
        <w:t xml:space="preserve">Atlanta, Georgia 30333 </w:t>
      </w:r>
    </w:p>
    <w:p w:rsidR="004A13E8" w:rsidRPr="00D97019" w:rsidP="009A79E1" w14:paraId="55FE1799" w14:textId="423F2110">
      <w:pPr>
        <w:pStyle w:val="NoSpacing"/>
        <w:rPr>
          <w:rFonts w:asciiTheme="majorHAnsi" w:hAnsiTheme="majorHAnsi" w:cstheme="minorHAnsi"/>
        </w:rPr>
      </w:pPr>
      <w:r w:rsidRPr="00D97019">
        <w:rPr>
          <w:rFonts w:asciiTheme="majorHAnsi" w:hAnsiTheme="majorHAnsi" w:cstheme="minorHAnsi"/>
        </w:rPr>
        <w:t>Phone: (</w:t>
      </w:r>
      <w:r w:rsidRPr="00D97019" w:rsidR="00CA3902">
        <w:rPr>
          <w:rFonts w:asciiTheme="majorHAnsi" w:hAnsiTheme="majorHAnsi" w:cstheme="minorHAnsi"/>
        </w:rPr>
        <w:t>404) 718-7292</w:t>
      </w:r>
      <w:r w:rsidRPr="00D97019">
        <w:rPr>
          <w:rFonts w:asciiTheme="majorHAnsi" w:hAnsiTheme="majorHAnsi" w:cstheme="minorHAnsi"/>
        </w:rPr>
        <w:t xml:space="preserve"> </w:t>
      </w:r>
    </w:p>
    <w:p w:rsidR="004A13E8" w:rsidRPr="005C47FA" w:rsidP="009A79E1" w14:paraId="55FE179A" w14:textId="50BC9B09">
      <w:pPr>
        <w:pStyle w:val="NoSpacing"/>
        <w:rPr>
          <w:rFonts w:asciiTheme="minorHAnsi" w:hAnsiTheme="minorHAnsi" w:cstheme="minorHAnsi"/>
        </w:rPr>
      </w:pPr>
      <w:r w:rsidRPr="00D97019">
        <w:rPr>
          <w:rFonts w:asciiTheme="majorHAnsi" w:hAnsiTheme="majorHAnsi" w:cstheme="minorHAnsi"/>
        </w:rPr>
        <w:t xml:space="preserve">Email: </w:t>
      </w:r>
      <w:hyperlink r:id="rId8" w:history="1">
        <w:r w:rsidRPr="00D97019" w:rsidR="00CA3902">
          <w:rPr>
            <w:rStyle w:val="Hyperlink"/>
            <w:rFonts w:asciiTheme="majorHAnsi" w:hAnsiTheme="majorHAnsi" w:cstheme="minorHAnsi"/>
          </w:rPr>
          <w:t>nhr9@cdc.gov</w:t>
        </w:r>
      </w:hyperlink>
      <w:r w:rsidRPr="005C47FA" w:rsidR="00CA3902">
        <w:rPr>
          <w:rStyle w:val="Hyperlink"/>
          <w:rFonts w:asciiTheme="minorHAnsi" w:hAnsiTheme="minorHAnsi" w:cstheme="minorHAnsi"/>
        </w:rPr>
        <w:t xml:space="preserve"> </w:t>
      </w:r>
      <w:r w:rsidRPr="005C47FA">
        <w:rPr>
          <w:rFonts w:asciiTheme="minorHAnsi" w:hAnsiTheme="minorHAnsi" w:cstheme="minorHAnsi"/>
        </w:rPr>
        <w:br w:type="page"/>
      </w:r>
    </w:p>
    <w:sdt>
      <w:sdtPr>
        <w:rPr>
          <w:rFonts w:asciiTheme="majorHAnsi" w:hAnsiTheme="majorHAnsi" w:cstheme="minorHAnsi"/>
          <w:b w:val="0"/>
          <w:sz w:val="28"/>
          <w:szCs w:val="28"/>
        </w:rPr>
        <w:id w:val="1564836290"/>
        <w:docPartObj>
          <w:docPartGallery w:val="Table of Contents"/>
          <w:docPartUnique/>
        </w:docPartObj>
      </w:sdtPr>
      <w:sdtEndPr>
        <w:rPr>
          <w:rFonts w:asciiTheme="minorHAnsi" w:hAnsiTheme="minorHAnsi"/>
          <w:noProof/>
          <w:sz w:val="24"/>
          <w:szCs w:val="24"/>
        </w:rPr>
      </w:sdtEndPr>
      <w:sdtContent>
        <w:p w:rsidR="004A13E8" w:rsidRPr="003C77B8" w:rsidP="004A13E8" w14:paraId="55FE179B" w14:textId="77777777">
          <w:pPr>
            <w:pStyle w:val="Heading4"/>
            <w:rPr>
              <w:rFonts w:asciiTheme="majorHAnsi" w:hAnsiTheme="majorHAnsi" w:cstheme="minorHAnsi"/>
              <w:sz w:val="28"/>
              <w:szCs w:val="28"/>
            </w:rPr>
          </w:pPr>
          <w:r w:rsidRPr="003C77B8">
            <w:rPr>
              <w:rFonts w:asciiTheme="majorHAnsi" w:hAnsiTheme="majorHAnsi" w:cstheme="minorHAnsi"/>
              <w:sz w:val="28"/>
              <w:szCs w:val="28"/>
            </w:rPr>
            <w:t xml:space="preserve">Table of </w:t>
          </w:r>
          <w:r w:rsidRPr="003C77B8">
            <w:rPr>
              <w:rFonts w:asciiTheme="majorHAnsi" w:hAnsiTheme="majorHAnsi" w:cstheme="minorHAnsi"/>
              <w:sz w:val="28"/>
              <w:szCs w:val="28"/>
            </w:rPr>
            <w:t>Contents</w:t>
          </w:r>
        </w:p>
        <w:p w:rsidR="003C77B8" w:rsidP="003C77B8" w14:paraId="2AD96EF2" w14:textId="3CF5B488">
          <w:pPr>
            <w:pStyle w:val="TOC2"/>
            <w:tabs>
              <w:tab w:val="right" w:leader="dot" w:pos="10070"/>
            </w:tabs>
            <w:rPr>
              <w:rFonts w:asciiTheme="minorHAnsi" w:eastAsiaTheme="minorEastAsia" w:hAnsiTheme="minorHAnsi"/>
              <w:noProof/>
              <w:kern w:val="2"/>
              <w:sz w:val="22"/>
              <w14:ligatures w14:val="standardContextual"/>
            </w:rPr>
          </w:pPr>
          <w:r w:rsidRPr="005C47FA">
            <w:rPr>
              <w:rFonts w:asciiTheme="minorHAnsi" w:hAnsiTheme="minorHAnsi" w:cstheme="minorHAnsi"/>
            </w:rPr>
            <w:fldChar w:fldCharType="begin"/>
          </w:r>
          <w:r w:rsidRPr="005C47FA">
            <w:rPr>
              <w:rFonts w:asciiTheme="minorHAnsi" w:hAnsiTheme="minorHAnsi" w:cstheme="minorHAnsi"/>
            </w:rPr>
            <w:instrText xml:space="preserve"> TOC \o "1-3" \h \z \u </w:instrText>
          </w:r>
          <w:r w:rsidRPr="005C47FA">
            <w:rPr>
              <w:rFonts w:asciiTheme="minorHAnsi" w:hAnsiTheme="minorHAnsi" w:cstheme="minorHAnsi"/>
            </w:rPr>
            <w:fldChar w:fldCharType="separate"/>
          </w:r>
        </w:p>
        <w:p w:rsidR="003C77B8" w14:paraId="72820690" w14:textId="599A19FF">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2646903" w:history="1">
            <w:r w:rsidRPr="00DD1C09">
              <w:rPr>
                <w:rStyle w:val="Hyperlink"/>
                <w:rFonts w:asciiTheme="majorHAnsi" w:hAnsiTheme="majorHAnsi" w:cstheme="minorHAnsi"/>
                <w:noProof/>
              </w:rPr>
              <w:t>1.</w:t>
            </w:r>
            <w:r>
              <w:rPr>
                <w:rFonts w:asciiTheme="minorHAnsi" w:eastAsiaTheme="minorEastAsia" w:hAnsiTheme="minorHAnsi"/>
                <w:noProof/>
                <w:kern w:val="2"/>
                <w:sz w:val="22"/>
                <w14:ligatures w14:val="standardContextual"/>
              </w:rPr>
              <w:tab/>
            </w:r>
            <w:r w:rsidRPr="00DD1C09">
              <w:rPr>
                <w:rStyle w:val="Hyperlink"/>
                <w:rFonts w:asciiTheme="majorHAnsi" w:hAnsiTheme="majorHAnsi" w:cstheme="minorHAnsi"/>
                <w:noProof/>
              </w:rPr>
              <w:t>Circumstances Making the Collection of Information Necessary</w:t>
            </w:r>
            <w:r>
              <w:rPr>
                <w:noProof/>
                <w:webHidden/>
              </w:rPr>
              <w:tab/>
            </w:r>
            <w:r>
              <w:rPr>
                <w:noProof/>
                <w:webHidden/>
              </w:rPr>
              <w:fldChar w:fldCharType="begin"/>
            </w:r>
            <w:r>
              <w:rPr>
                <w:noProof/>
                <w:webHidden/>
              </w:rPr>
              <w:instrText xml:space="preserve"> PAGEREF _Toc172646903 \h </w:instrText>
            </w:r>
            <w:r>
              <w:rPr>
                <w:noProof/>
                <w:webHidden/>
              </w:rPr>
              <w:fldChar w:fldCharType="separate"/>
            </w:r>
            <w:r>
              <w:rPr>
                <w:noProof/>
                <w:webHidden/>
              </w:rPr>
              <w:t>3</w:t>
            </w:r>
            <w:r>
              <w:rPr>
                <w:noProof/>
                <w:webHidden/>
              </w:rPr>
              <w:fldChar w:fldCharType="end"/>
            </w:r>
          </w:hyperlink>
        </w:p>
        <w:p w:rsidR="003C77B8" w14:paraId="0142BB8D" w14:textId="1243278C">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2646904" w:history="1">
            <w:r w:rsidRPr="00DD1C09">
              <w:rPr>
                <w:rStyle w:val="Hyperlink"/>
                <w:rFonts w:asciiTheme="majorHAnsi" w:hAnsiTheme="majorHAnsi" w:cstheme="minorHAnsi"/>
                <w:noProof/>
              </w:rPr>
              <w:t>2.</w:t>
            </w:r>
            <w:r>
              <w:rPr>
                <w:rFonts w:asciiTheme="minorHAnsi" w:eastAsiaTheme="minorEastAsia" w:hAnsiTheme="minorHAnsi"/>
                <w:noProof/>
                <w:kern w:val="2"/>
                <w:sz w:val="22"/>
                <w14:ligatures w14:val="standardContextual"/>
              </w:rPr>
              <w:tab/>
            </w:r>
            <w:r w:rsidRPr="00DD1C09">
              <w:rPr>
                <w:rStyle w:val="Hyperlink"/>
                <w:rFonts w:asciiTheme="majorHAnsi" w:hAnsiTheme="majorHAnsi" w:cstheme="minorHAnsi"/>
                <w:noProof/>
              </w:rPr>
              <w:t>Purpose and Use of Information Collection</w:t>
            </w:r>
            <w:r>
              <w:rPr>
                <w:noProof/>
                <w:webHidden/>
              </w:rPr>
              <w:tab/>
            </w:r>
            <w:r>
              <w:rPr>
                <w:noProof/>
                <w:webHidden/>
              </w:rPr>
              <w:fldChar w:fldCharType="begin"/>
            </w:r>
            <w:r>
              <w:rPr>
                <w:noProof/>
                <w:webHidden/>
              </w:rPr>
              <w:instrText xml:space="preserve"> PAGEREF _Toc172646904 \h </w:instrText>
            </w:r>
            <w:r>
              <w:rPr>
                <w:noProof/>
                <w:webHidden/>
              </w:rPr>
              <w:fldChar w:fldCharType="separate"/>
            </w:r>
            <w:r>
              <w:rPr>
                <w:noProof/>
                <w:webHidden/>
              </w:rPr>
              <w:t>6</w:t>
            </w:r>
            <w:r>
              <w:rPr>
                <w:noProof/>
                <w:webHidden/>
              </w:rPr>
              <w:fldChar w:fldCharType="end"/>
            </w:r>
          </w:hyperlink>
        </w:p>
        <w:p w:rsidR="003C77B8" w14:paraId="7821BFCD" w14:textId="338455BC">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2646905" w:history="1">
            <w:r w:rsidRPr="00DD1C09">
              <w:rPr>
                <w:rStyle w:val="Hyperlink"/>
                <w:rFonts w:asciiTheme="majorHAnsi" w:hAnsiTheme="majorHAnsi" w:cstheme="minorHAnsi"/>
                <w:noProof/>
              </w:rPr>
              <w:t>3.</w:t>
            </w:r>
            <w:r>
              <w:rPr>
                <w:rFonts w:asciiTheme="minorHAnsi" w:eastAsiaTheme="minorEastAsia" w:hAnsiTheme="minorHAnsi"/>
                <w:noProof/>
                <w:kern w:val="2"/>
                <w:sz w:val="22"/>
                <w14:ligatures w14:val="standardContextual"/>
              </w:rPr>
              <w:tab/>
            </w:r>
            <w:r w:rsidRPr="00DD1C09">
              <w:rPr>
                <w:rStyle w:val="Hyperlink"/>
                <w:rFonts w:asciiTheme="majorHAnsi" w:hAnsiTheme="majorHAnsi" w:cstheme="minorHAnsi"/>
                <w:noProof/>
              </w:rPr>
              <w:t>Use of Improved Information Technology and Burden Reduction</w:t>
            </w:r>
            <w:r>
              <w:rPr>
                <w:noProof/>
                <w:webHidden/>
              </w:rPr>
              <w:tab/>
            </w:r>
            <w:r>
              <w:rPr>
                <w:noProof/>
                <w:webHidden/>
              </w:rPr>
              <w:fldChar w:fldCharType="begin"/>
            </w:r>
            <w:r>
              <w:rPr>
                <w:noProof/>
                <w:webHidden/>
              </w:rPr>
              <w:instrText xml:space="preserve"> PAGEREF _Toc172646905 \h </w:instrText>
            </w:r>
            <w:r>
              <w:rPr>
                <w:noProof/>
                <w:webHidden/>
              </w:rPr>
              <w:fldChar w:fldCharType="separate"/>
            </w:r>
            <w:r>
              <w:rPr>
                <w:noProof/>
                <w:webHidden/>
              </w:rPr>
              <w:t>7</w:t>
            </w:r>
            <w:r>
              <w:rPr>
                <w:noProof/>
                <w:webHidden/>
              </w:rPr>
              <w:fldChar w:fldCharType="end"/>
            </w:r>
          </w:hyperlink>
        </w:p>
        <w:p w:rsidR="003C77B8" w14:paraId="41C8026D" w14:textId="10E144E3">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2646906" w:history="1">
            <w:r w:rsidRPr="00DD1C09">
              <w:rPr>
                <w:rStyle w:val="Hyperlink"/>
                <w:rFonts w:asciiTheme="majorHAnsi" w:hAnsiTheme="majorHAnsi" w:cstheme="minorHAnsi"/>
                <w:noProof/>
              </w:rPr>
              <w:t>4.</w:t>
            </w:r>
            <w:r>
              <w:rPr>
                <w:rFonts w:asciiTheme="minorHAnsi" w:eastAsiaTheme="minorEastAsia" w:hAnsiTheme="minorHAnsi"/>
                <w:noProof/>
                <w:kern w:val="2"/>
                <w:sz w:val="22"/>
                <w14:ligatures w14:val="standardContextual"/>
              </w:rPr>
              <w:tab/>
            </w:r>
            <w:r w:rsidRPr="00DD1C09">
              <w:rPr>
                <w:rStyle w:val="Hyperlink"/>
                <w:rFonts w:asciiTheme="majorHAnsi" w:hAnsiTheme="majorHAnsi" w:cstheme="minorHAnsi"/>
                <w:noProof/>
              </w:rPr>
              <w:t>Efforts to Identify Duplication and Use of Similar Information</w:t>
            </w:r>
            <w:r>
              <w:rPr>
                <w:noProof/>
                <w:webHidden/>
              </w:rPr>
              <w:tab/>
            </w:r>
            <w:r>
              <w:rPr>
                <w:noProof/>
                <w:webHidden/>
              </w:rPr>
              <w:fldChar w:fldCharType="begin"/>
            </w:r>
            <w:r>
              <w:rPr>
                <w:noProof/>
                <w:webHidden/>
              </w:rPr>
              <w:instrText xml:space="preserve"> PAGEREF _Toc172646906 \h </w:instrText>
            </w:r>
            <w:r>
              <w:rPr>
                <w:noProof/>
                <w:webHidden/>
              </w:rPr>
              <w:fldChar w:fldCharType="separate"/>
            </w:r>
            <w:r>
              <w:rPr>
                <w:noProof/>
                <w:webHidden/>
              </w:rPr>
              <w:t>7</w:t>
            </w:r>
            <w:r>
              <w:rPr>
                <w:noProof/>
                <w:webHidden/>
              </w:rPr>
              <w:fldChar w:fldCharType="end"/>
            </w:r>
          </w:hyperlink>
        </w:p>
        <w:p w:rsidR="003C77B8" w14:paraId="3111E4A4" w14:textId="515E4494">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2646907" w:history="1">
            <w:r w:rsidRPr="00DD1C09">
              <w:rPr>
                <w:rStyle w:val="Hyperlink"/>
                <w:rFonts w:asciiTheme="majorHAnsi" w:hAnsiTheme="majorHAnsi" w:cstheme="minorHAnsi"/>
                <w:noProof/>
              </w:rPr>
              <w:t>5.</w:t>
            </w:r>
            <w:r>
              <w:rPr>
                <w:rFonts w:asciiTheme="minorHAnsi" w:eastAsiaTheme="minorEastAsia" w:hAnsiTheme="minorHAnsi"/>
                <w:noProof/>
                <w:kern w:val="2"/>
                <w:sz w:val="22"/>
                <w14:ligatures w14:val="standardContextual"/>
              </w:rPr>
              <w:tab/>
            </w:r>
            <w:r w:rsidRPr="00DD1C09">
              <w:rPr>
                <w:rStyle w:val="Hyperlink"/>
                <w:rFonts w:asciiTheme="majorHAnsi" w:hAnsiTheme="majorHAnsi" w:cstheme="minorHAnsi"/>
                <w:noProof/>
              </w:rPr>
              <w:t>Impact on Small Businesses or Other Small Entities</w:t>
            </w:r>
            <w:r>
              <w:rPr>
                <w:noProof/>
                <w:webHidden/>
              </w:rPr>
              <w:tab/>
            </w:r>
            <w:r>
              <w:rPr>
                <w:noProof/>
                <w:webHidden/>
              </w:rPr>
              <w:fldChar w:fldCharType="begin"/>
            </w:r>
            <w:r>
              <w:rPr>
                <w:noProof/>
                <w:webHidden/>
              </w:rPr>
              <w:instrText xml:space="preserve"> PAGEREF _Toc172646907 \h </w:instrText>
            </w:r>
            <w:r>
              <w:rPr>
                <w:noProof/>
                <w:webHidden/>
              </w:rPr>
              <w:fldChar w:fldCharType="separate"/>
            </w:r>
            <w:r>
              <w:rPr>
                <w:noProof/>
                <w:webHidden/>
              </w:rPr>
              <w:t>7</w:t>
            </w:r>
            <w:r>
              <w:rPr>
                <w:noProof/>
                <w:webHidden/>
              </w:rPr>
              <w:fldChar w:fldCharType="end"/>
            </w:r>
          </w:hyperlink>
        </w:p>
        <w:p w:rsidR="003C77B8" w14:paraId="167D47A4" w14:textId="765E27F3">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2646908" w:history="1">
            <w:r w:rsidRPr="00DD1C09">
              <w:rPr>
                <w:rStyle w:val="Hyperlink"/>
                <w:rFonts w:asciiTheme="majorHAnsi" w:hAnsiTheme="majorHAnsi" w:cstheme="minorHAnsi"/>
                <w:noProof/>
              </w:rPr>
              <w:t>6.</w:t>
            </w:r>
            <w:r>
              <w:rPr>
                <w:rFonts w:asciiTheme="minorHAnsi" w:eastAsiaTheme="minorEastAsia" w:hAnsiTheme="minorHAnsi"/>
                <w:noProof/>
                <w:kern w:val="2"/>
                <w:sz w:val="22"/>
                <w14:ligatures w14:val="standardContextual"/>
              </w:rPr>
              <w:tab/>
            </w:r>
            <w:r w:rsidRPr="00DD1C09">
              <w:rPr>
                <w:rStyle w:val="Hyperlink"/>
                <w:rFonts w:asciiTheme="majorHAnsi" w:hAnsiTheme="majorHAnsi" w:cstheme="minorHAnsi"/>
                <w:noProof/>
              </w:rPr>
              <w:t>Consequences of Collecting the Information Less Frequently</w:t>
            </w:r>
            <w:r>
              <w:rPr>
                <w:noProof/>
                <w:webHidden/>
              </w:rPr>
              <w:tab/>
            </w:r>
            <w:r>
              <w:rPr>
                <w:noProof/>
                <w:webHidden/>
              </w:rPr>
              <w:fldChar w:fldCharType="begin"/>
            </w:r>
            <w:r>
              <w:rPr>
                <w:noProof/>
                <w:webHidden/>
              </w:rPr>
              <w:instrText xml:space="preserve"> PAGEREF _Toc172646908 \h </w:instrText>
            </w:r>
            <w:r>
              <w:rPr>
                <w:noProof/>
                <w:webHidden/>
              </w:rPr>
              <w:fldChar w:fldCharType="separate"/>
            </w:r>
            <w:r>
              <w:rPr>
                <w:noProof/>
                <w:webHidden/>
              </w:rPr>
              <w:t>8</w:t>
            </w:r>
            <w:r>
              <w:rPr>
                <w:noProof/>
                <w:webHidden/>
              </w:rPr>
              <w:fldChar w:fldCharType="end"/>
            </w:r>
          </w:hyperlink>
        </w:p>
        <w:p w:rsidR="003C77B8" w14:paraId="5F320CCF" w14:textId="16E63148">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2646909" w:history="1">
            <w:r w:rsidRPr="00DD1C09">
              <w:rPr>
                <w:rStyle w:val="Hyperlink"/>
                <w:rFonts w:asciiTheme="majorHAnsi" w:hAnsiTheme="majorHAnsi" w:cstheme="minorHAnsi"/>
                <w:noProof/>
              </w:rPr>
              <w:t>7.</w:t>
            </w:r>
            <w:r>
              <w:rPr>
                <w:rFonts w:asciiTheme="minorHAnsi" w:eastAsiaTheme="minorEastAsia" w:hAnsiTheme="minorHAnsi"/>
                <w:noProof/>
                <w:kern w:val="2"/>
                <w:sz w:val="22"/>
                <w14:ligatures w14:val="standardContextual"/>
              </w:rPr>
              <w:tab/>
            </w:r>
            <w:r w:rsidRPr="00DD1C09">
              <w:rPr>
                <w:rStyle w:val="Hyperlink"/>
                <w:rFonts w:asciiTheme="majorHAnsi" w:hAnsiTheme="majorHAnsi" w:cstheme="minorHAnsi"/>
                <w:noProof/>
              </w:rPr>
              <w:t>Special Circumstances Relating to the Guidelines of 5 CFR 1320.5</w:t>
            </w:r>
            <w:r>
              <w:rPr>
                <w:noProof/>
                <w:webHidden/>
              </w:rPr>
              <w:tab/>
            </w:r>
            <w:r>
              <w:rPr>
                <w:noProof/>
                <w:webHidden/>
              </w:rPr>
              <w:fldChar w:fldCharType="begin"/>
            </w:r>
            <w:r>
              <w:rPr>
                <w:noProof/>
                <w:webHidden/>
              </w:rPr>
              <w:instrText xml:space="preserve"> PAGEREF _Toc172646909 \h </w:instrText>
            </w:r>
            <w:r>
              <w:rPr>
                <w:noProof/>
                <w:webHidden/>
              </w:rPr>
              <w:fldChar w:fldCharType="separate"/>
            </w:r>
            <w:r>
              <w:rPr>
                <w:noProof/>
                <w:webHidden/>
              </w:rPr>
              <w:t>8</w:t>
            </w:r>
            <w:r>
              <w:rPr>
                <w:noProof/>
                <w:webHidden/>
              </w:rPr>
              <w:fldChar w:fldCharType="end"/>
            </w:r>
          </w:hyperlink>
        </w:p>
        <w:p w:rsidR="003C77B8" w14:paraId="1E223DD0" w14:textId="0DEFFA2E">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2646910" w:history="1">
            <w:r w:rsidRPr="00DD1C09">
              <w:rPr>
                <w:rStyle w:val="Hyperlink"/>
                <w:rFonts w:asciiTheme="majorHAnsi" w:hAnsiTheme="majorHAnsi" w:cstheme="minorHAnsi"/>
                <w:noProof/>
              </w:rPr>
              <w:t>8.</w:t>
            </w:r>
            <w:r>
              <w:rPr>
                <w:rFonts w:asciiTheme="minorHAnsi" w:eastAsiaTheme="minorEastAsia" w:hAnsiTheme="minorHAnsi"/>
                <w:noProof/>
                <w:kern w:val="2"/>
                <w:sz w:val="22"/>
                <w14:ligatures w14:val="standardContextual"/>
              </w:rPr>
              <w:tab/>
            </w:r>
            <w:r w:rsidRPr="00DD1C09">
              <w:rPr>
                <w:rStyle w:val="Hyperlink"/>
                <w:rFonts w:asciiTheme="majorHAnsi" w:hAnsiTheme="majorHAnsi" w:cstheme="minorHAnsi"/>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_Toc172646910 \h </w:instrText>
            </w:r>
            <w:r>
              <w:rPr>
                <w:noProof/>
                <w:webHidden/>
              </w:rPr>
              <w:fldChar w:fldCharType="separate"/>
            </w:r>
            <w:r>
              <w:rPr>
                <w:noProof/>
                <w:webHidden/>
              </w:rPr>
              <w:t>8</w:t>
            </w:r>
            <w:r>
              <w:rPr>
                <w:noProof/>
                <w:webHidden/>
              </w:rPr>
              <w:fldChar w:fldCharType="end"/>
            </w:r>
          </w:hyperlink>
        </w:p>
        <w:p w:rsidR="003C77B8" w14:paraId="22AA1B86" w14:textId="0BE073DF">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2646911" w:history="1">
            <w:r w:rsidRPr="00DD1C09">
              <w:rPr>
                <w:rStyle w:val="Hyperlink"/>
                <w:rFonts w:asciiTheme="majorHAnsi" w:hAnsiTheme="majorHAnsi" w:cstheme="minorHAnsi"/>
                <w:noProof/>
              </w:rPr>
              <w:t>9.</w:t>
            </w:r>
            <w:r>
              <w:rPr>
                <w:rFonts w:asciiTheme="minorHAnsi" w:eastAsiaTheme="minorEastAsia" w:hAnsiTheme="minorHAnsi"/>
                <w:noProof/>
                <w:kern w:val="2"/>
                <w:sz w:val="22"/>
                <w14:ligatures w14:val="standardContextual"/>
              </w:rPr>
              <w:tab/>
            </w:r>
            <w:r w:rsidRPr="00DD1C09">
              <w:rPr>
                <w:rStyle w:val="Hyperlink"/>
                <w:rFonts w:asciiTheme="majorHAnsi" w:hAnsiTheme="majorHAnsi" w:cstheme="minorHAnsi"/>
                <w:noProof/>
              </w:rPr>
              <w:t>Explanation of Any Payment or Gift to Respondents</w:t>
            </w:r>
            <w:r>
              <w:rPr>
                <w:noProof/>
                <w:webHidden/>
              </w:rPr>
              <w:tab/>
            </w:r>
            <w:r>
              <w:rPr>
                <w:noProof/>
                <w:webHidden/>
              </w:rPr>
              <w:fldChar w:fldCharType="begin"/>
            </w:r>
            <w:r>
              <w:rPr>
                <w:noProof/>
                <w:webHidden/>
              </w:rPr>
              <w:instrText xml:space="preserve"> PAGEREF _Toc172646911 \h </w:instrText>
            </w:r>
            <w:r>
              <w:rPr>
                <w:noProof/>
                <w:webHidden/>
              </w:rPr>
              <w:fldChar w:fldCharType="separate"/>
            </w:r>
            <w:r>
              <w:rPr>
                <w:noProof/>
                <w:webHidden/>
              </w:rPr>
              <w:t>8</w:t>
            </w:r>
            <w:r>
              <w:rPr>
                <w:noProof/>
                <w:webHidden/>
              </w:rPr>
              <w:fldChar w:fldCharType="end"/>
            </w:r>
          </w:hyperlink>
        </w:p>
        <w:p w:rsidR="003C77B8" w14:paraId="72EE97AD" w14:textId="02CC566F">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2646912" w:history="1">
            <w:r w:rsidRPr="00DD1C09">
              <w:rPr>
                <w:rStyle w:val="Hyperlink"/>
                <w:rFonts w:asciiTheme="majorHAnsi" w:hAnsiTheme="majorHAnsi" w:cstheme="minorHAnsi"/>
                <w:noProof/>
              </w:rPr>
              <w:t>10.</w:t>
            </w:r>
            <w:r>
              <w:rPr>
                <w:rFonts w:asciiTheme="minorHAnsi" w:eastAsiaTheme="minorEastAsia" w:hAnsiTheme="minorHAnsi"/>
                <w:noProof/>
                <w:kern w:val="2"/>
                <w:sz w:val="22"/>
                <w14:ligatures w14:val="standardContextual"/>
              </w:rPr>
              <w:tab/>
            </w:r>
            <w:r w:rsidRPr="00DD1C09">
              <w:rPr>
                <w:rStyle w:val="Hyperlink"/>
                <w:rFonts w:asciiTheme="majorHAnsi" w:hAnsiTheme="majorHAnsi" w:cstheme="minorHAnsi"/>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_Toc172646912 \h </w:instrText>
            </w:r>
            <w:r>
              <w:rPr>
                <w:noProof/>
                <w:webHidden/>
              </w:rPr>
              <w:fldChar w:fldCharType="separate"/>
            </w:r>
            <w:r>
              <w:rPr>
                <w:noProof/>
                <w:webHidden/>
              </w:rPr>
              <w:t>8</w:t>
            </w:r>
            <w:r>
              <w:rPr>
                <w:noProof/>
                <w:webHidden/>
              </w:rPr>
              <w:fldChar w:fldCharType="end"/>
            </w:r>
          </w:hyperlink>
        </w:p>
        <w:p w:rsidR="003C77B8" w14:paraId="463DCA4C" w14:textId="34ABBAD4">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2646913" w:history="1">
            <w:r w:rsidRPr="00DD1C09">
              <w:rPr>
                <w:rStyle w:val="Hyperlink"/>
                <w:rFonts w:asciiTheme="majorHAnsi" w:hAnsiTheme="majorHAnsi" w:cstheme="minorHAnsi"/>
                <w:noProof/>
              </w:rPr>
              <w:t>11.</w:t>
            </w:r>
            <w:r>
              <w:rPr>
                <w:rFonts w:asciiTheme="minorHAnsi" w:eastAsiaTheme="minorEastAsia" w:hAnsiTheme="minorHAnsi"/>
                <w:noProof/>
                <w:kern w:val="2"/>
                <w:sz w:val="22"/>
                <w14:ligatures w14:val="standardContextual"/>
              </w:rPr>
              <w:tab/>
            </w:r>
            <w:r w:rsidRPr="00DD1C09">
              <w:rPr>
                <w:rStyle w:val="Hyperlink"/>
                <w:rFonts w:asciiTheme="majorHAnsi" w:hAnsiTheme="majorHAnsi" w:cstheme="minorHAnsi"/>
                <w:noProof/>
              </w:rPr>
              <w:t>Institutional Review Board (IRB) and Justification for Sensitive Questions</w:t>
            </w:r>
            <w:r>
              <w:rPr>
                <w:noProof/>
                <w:webHidden/>
              </w:rPr>
              <w:tab/>
            </w:r>
            <w:r>
              <w:rPr>
                <w:noProof/>
                <w:webHidden/>
              </w:rPr>
              <w:fldChar w:fldCharType="begin"/>
            </w:r>
            <w:r>
              <w:rPr>
                <w:noProof/>
                <w:webHidden/>
              </w:rPr>
              <w:instrText xml:space="preserve"> PAGEREF _Toc172646913 \h </w:instrText>
            </w:r>
            <w:r>
              <w:rPr>
                <w:noProof/>
                <w:webHidden/>
              </w:rPr>
              <w:fldChar w:fldCharType="separate"/>
            </w:r>
            <w:r>
              <w:rPr>
                <w:noProof/>
                <w:webHidden/>
              </w:rPr>
              <w:t>9</w:t>
            </w:r>
            <w:r>
              <w:rPr>
                <w:noProof/>
                <w:webHidden/>
              </w:rPr>
              <w:fldChar w:fldCharType="end"/>
            </w:r>
          </w:hyperlink>
        </w:p>
        <w:p w:rsidR="003C77B8" w14:paraId="4B86A897" w14:textId="104F57EC">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2646914" w:history="1">
            <w:r w:rsidRPr="00DD1C09">
              <w:rPr>
                <w:rStyle w:val="Hyperlink"/>
                <w:rFonts w:asciiTheme="majorHAnsi" w:hAnsiTheme="majorHAnsi" w:cstheme="minorHAnsi"/>
                <w:noProof/>
              </w:rPr>
              <w:t>12.</w:t>
            </w:r>
            <w:r>
              <w:rPr>
                <w:rFonts w:asciiTheme="minorHAnsi" w:eastAsiaTheme="minorEastAsia" w:hAnsiTheme="minorHAnsi"/>
                <w:noProof/>
                <w:kern w:val="2"/>
                <w:sz w:val="22"/>
                <w14:ligatures w14:val="standardContextual"/>
              </w:rPr>
              <w:tab/>
            </w:r>
            <w:r w:rsidRPr="00DD1C09">
              <w:rPr>
                <w:rStyle w:val="Hyperlink"/>
                <w:rFonts w:asciiTheme="majorHAnsi" w:hAnsiTheme="majorHAnsi" w:cstheme="minorHAnsi"/>
                <w:noProof/>
              </w:rPr>
              <w:t>Estimates of Annualized Burden Hours and Costs</w:t>
            </w:r>
            <w:r>
              <w:rPr>
                <w:noProof/>
                <w:webHidden/>
              </w:rPr>
              <w:tab/>
            </w:r>
            <w:r>
              <w:rPr>
                <w:noProof/>
                <w:webHidden/>
              </w:rPr>
              <w:fldChar w:fldCharType="begin"/>
            </w:r>
            <w:r>
              <w:rPr>
                <w:noProof/>
                <w:webHidden/>
              </w:rPr>
              <w:instrText xml:space="preserve"> PAGEREF _Toc172646914 \h </w:instrText>
            </w:r>
            <w:r>
              <w:rPr>
                <w:noProof/>
                <w:webHidden/>
              </w:rPr>
              <w:fldChar w:fldCharType="separate"/>
            </w:r>
            <w:r>
              <w:rPr>
                <w:noProof/>
                <w:webHidden/>
              </w:rPr>
              <w:t>9</w:t>
            </w:r>
            <w:r>
              <w:rPr>
                <w:noProof/>
                <w:webHidden/>
              </w:rPr>
              <w:fldChar w:fldCharType="end"/>
            </w:r>
          </w:hyperlink>
        </w:p>
        <w:p w:rsidR="003C77B8" w14:paraId="07FE80AD" w14:textId="4A4864C5">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2646915" w:history="1">
            <w:r w:rsidRPr="00DD1C09">
              <w:rPr>
                <w:rStyle w:val="Hyperlink"/>
                <w:rFonts w:asciiTheme="majorHAnsi" w:hAnsiTheme="majorHAnsi" w:cstheme="minorHAnsi"/>
                <w:noProof/>
              </w:rPr>
              <w:t>13.</w:t>
            </w:r>
            <w:r>
              <w:rPr>
                <w:rFonts w:asciiTheme="minorHAnsi" w:eastAsiaTheme="minorEastAsia" w:hAnsiTheme="minorHAnsi"/>
                <w:noProof/>
                <w:kern w:val="2"/>
                <w:sz w:val="22"/>
                <w14:ligatures w14:val="standardContextual"/>
              </w:rPr>
              <w:tab/>
            </w:r>
            <w:r w:rsidRPr="00DD1C09">
              <w:rPr>
                <w:rStyle w:val="Hyperlink"/>
                <w:rFonts w:asciiTheme="majorHAnsi" w:hAnsiTheme="majorHAnsi" w:cstheme="minorHAnsi"/>
                <w:noProof/>
              </w:rPr>
              <w:t>Estimates of Other Total Annual Cost Burden to Respondents or Record Keepers</w:t>
            </w:r>
            <w:r>
              <w:rPr>
                <w:noProof/>
                <w:webHidden/>
              </w:rPr>
              <w:tab/>
            </w:r>
            <w:r>
              <w:rPr>
                <w:noProof/>
                <w:webHidden/>
              </w:rPr>
              <w:fldChar w:fldCharType="begin"/>
            </w:r>
            <w:r>
              <w:rPr>
                <w:noProof/>
                <w:webHidden/>
              </w:rPr>
              <w:instrText xml:space="preserve"> PAGEREF _Toc172646915 \h </w:instrText>
            </w:r>
            <w:r>
              <w:rPr>
                <w:noProof/>
                <w:webHidden/>
              </w:rPr>
              <w:fldChar w:fldCharType="separate"/>
            </w:r>
            <w:r>
              <w:rPr>
                <w:noProof/>
                <w:webHidden/>
              </w:rPr>
              <w:t>10</w:t>
            </w:r>
            <w:r>
              <w:rPr>
                <w:noProof/>
                <w:webHidden/>
              </w:rPr>
              <w:fldChar w:fldCharType="end"/>
            </w:r>
          </w:hyperlink>
        </w:p>
        <w:p w:rsidR="003C77B8" w14:paraId="499B1BD4" w14:textId="72DAADFD">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2646916" w:history="1">
            <w:r w:rsidRPr="00DD1C09">
              <w:rPr>
                <w:rStyle w:val="Hyperlink"/>
                <w:rFonts w:asciiTheme="majorHAnsi" w:hAnsiTheme="majorHAnsi" w:cstheme="minorHAnsi"/>
                <w:noProof/>
              </w:rPr>
              <w:t>14.</w:t>
            </w:r>
            <w:r>
              <w:rPr>
                <w:rFonts w:asciiTheme="minorHAnsi" w:eastAsiaTheme="minorEastAsia" w:hAnsiTheme="minorHAnsi"/>
                <w:noProof/>
                <w:kern w:val="2"/>
                <w:sz w:val="22"/>
                <w14:ligatures w14:val="standardContextual"/>
              </w:rPr>
              <w:tab/>
            </w:r>
            <w:r w:rsidRPr="00DD1C09">
              <w:rPr>
                <w:rStyle w:val="Hyperlink"/>
                <w:rFonts w:asciiTheme="majorHAnsi" w:hAnsiTheme="majorHAnsi" w:cstheme="minorHAnsi"/>
                <w:noProof/>
              </w:rPr>
              <w:t>Annualized Cost to the Government</w:t>
            </w:r>
            <w:r>
              <w:rPr>
                <w:noProof/>
                <w:webHidden/>
              </w:rPr>
              <w:tab/>
            </w:r>
            <w:r>
              <w:rPr>
                <w:noProof/>
                <w:webHidden/>
              </w:rPr>
              <w:fldChar w:fldCharType="begin"/>
            </w:r>
            <w:r>
              <w:rPr>
                <w:noProof/>
                <w:webHidden/>
              </w:rPr>
              <w:instrText xml:space="preserve"> PAGEREF _Toc172646916 \h </w:instrText>
            </w:r>
            <w:r>
              <w:rPr>
                <w:noProof/>
                <w:webHidden/>
              </w:rPr>
              <w:fldChar w:fldCharType="separate"/>
            </w:r>
            <w:r>
              <w:rPr>
                <w:noProof/>
                <w:webHidden/>
              </w:rPr>
              <w:t>10</w:t>
            </w:r>
            <w:r>
              <w:rPr>
                <w:noProof/>
                <w:webHidden/>
              </w:rPr>
              <w:fldChar w:fldCharType="end"/>
            </w:r>
          </w:hyperlink>
        </w:p>
        <w:p w:rsidR="003C77B8" w14:paraId="5E876995" w14:textId="1F5CC8BA">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2646917" w:history="1">
            <w:r w:rsidRPr="00DD1C09">
              <w:rPr>
                <w:rStyle w:val="Hyperlink"/>
                <w:rFonts w:asciiTheme="majorHAnsi" w:hAnsiTheme="majorHAnsi" w:cstheme="minorHAnsi"/>
                <w:noProof/>
              </w:rPr>
              <w:t>15.</w:t>
            </w:r>
            <w:r>
              <w:rPr>
                <w:rFonts w:asciiTheme="minorHAnsi" w:eastAsiaTheme="minorEastAsia" w:hAnsiTheme="minorHAnsi"/>
                <w:noProof/>
                <w:kern w:val="2"/>
                <w:sz w:val="22"/>
                <w14:ligatures w14:val="standardContextual"/>
              </w:rPr>
              <w:tab/>
            </w:r>
            <w:r w:rsidRPr="00DD1C09">
              <w:rPr>
                <w:rStyle w:val="Hyperlink"/>
                <w:rFonts w:asciiTheme="majorHAnsi" w:hAnsiTheme="majorHAnsi" w:cstheme="minorHAnsi"/>
                <w:noProof/>
              </w:rPr>
              <w:t>Explanation for Program Changes or Adjustments</w:t>
            </w:r>
            <w:r>
              <w:rPr>
                <w:noProof/>
                <w:webHidden/>
              </w:rPr>
              <w:tab/>
            </w:r>
            <w:r>
              <w:rPr>
                <w:noProof/>
                <w:webHidden/>
              </w:rPr>
              <w:fldChar w:fldCharType="begin"/>
            </w:r>
            <w:r>
              <w:rPr>
                <w:noProof/>
                <w:webHidden/>
              </w:rPr>
              <w:instrText xml:space="preserve"> PAGEREF _Toc172646917 \h </w:instrText>
            </w:r>
            <w:r>
              <w:rPr>
                <w:noProof/>
                <w:webHidden/>
              </w:rPr>
              <w:fldChar w:fldCharType="separate"/>
            </w:r>
            <w:r>
              <w:rPr>
                <w:noProof/>
                <w:webHidden/>
              </w:rPr>
              <w:t>11</w:t>
            </w:r>
            <w:r>
              <w:rPr>
                <w:noProof/>
                <w:webHidden/>
              </w:rPr>
              <w:fldChar w:fldCharType="end"/>
            </w:r>
          </w:hyperlink>
        </w:p>
        <w:p w:rsidR="003C77B8" w14:paraId="0BEA639B" w14:textId="5A2F065F">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2646918" w:history="1">
            <w:r w:rsidRPr="00DD1C09">
              <w:rPr>
                <w:rStyle w:val="Hyperlink"/>
                <w:rFonts w:asciiTheme="majorHAnsi" w:hAnsiTheme="majorHAnsi" w:cstheme="minorHAnsi"/>
                <w:noProof/>
              </w:rPr>
              <w:t>16.</w:t>
            </w:r>
            <w:r>
              <w:rPr>
                <w:rFonts w:asciiTheme="minorHAnsi" w:eastAsiaTheme="minorEastAsia" w:hAnsiTheme="minorHAnsi"/>
                <w:noProof/>
                <w:kern w:val="2"/>
                <w:sz w:val="22"/>
                <w14:ligatures w14:val="standardContextual"/>
              </w:rPr>
              <w:tab/>
            </w:r>
            <w:r w:rsidRPr="00DD1C09">
              <w:rPr>
                <w:rStyle w:val="Hyperlink"/>
                <w:rFonts w:asciiTheme="majorHAnsi" w:hAnsiTheme="majorHAnsi" w:cstheme="minorHAnsi"/>
                <w:noProof/>
              </w:rPr>
              <w:t>Plans for Tabulation and Publication and Project Time Schedule</w:t>
            </w:r>
            <w:r>
              <w:rPr>
                <w:noProof/>
                <w:webHidden/>
              </w:rPr>
              <w:tab/>
            </w:r>
            <w:r>
              <w:rPr>
                <w:noProof/>
                <w:webHidden/>
              </w:rPr>
              <w:fldChar w:fldCharType="begin"/>
            </w:r>
            <w:r>
              <w:rPr>
                <w:noProof/>
                <w:webHidden/>
              </w:rPr>
              <w:instrText xml:space="preserve"> PAGEREF _Toc172646918 \h </w:instrText>
            </w:r>
            <w:r>
              <w:rPr>
                <w:noProof/>
                <w:webHidden/>
              </w:rPr>
              <w:fldChar w:fldCharType="separate"/>
            </w:r>
            <w:r>
              <w:rPr>
                <w:noProof/>
                <w:webHidden/>
              </w:rPr>
              <w:t>11</w:t>
            </w:r>
            <w:r>
              <w:rPr>
                <w:noProof/>
                <w:webHidden/>
              </w:rPr>
              <w:fldChar w:fldCharType="end"/>
            </w:r>
          </w:hyperlink>
        </w:p>
        <w:p w:rsidR="003C77B8" w14:paraId="39FBE90E" w14:textId="54D579CE">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2646919" w:history="1">
            <w:r w:rsidRPr="00DD1C09">
              <w:rPr>
                <w:rStyle w:val="Hyperlink"/>
                <w:rFonts w:asciiTheme="majorHAnsi" w:hAnsiTheme="majorHAnsi" w:cstheme="minorHAnsi"/>
                <w:noProof/>
              </w:rPr>
              <w:t>17.</w:t>
            </w:r>
            <w:r>
              <w:rPr>
                <w:rFonts w:asciiTheme="minorHAnsi" w:eastAsiaTheme="minorEastAsia" w:hAnsiTheme="minorHAnsi"/>
                <w:noProof/>
                <w:kern w:val="2"/>
                <w:sz w:val="22"/>
                <w14:ligatures w14:val="standardContextual"/>
              </w:rPr>
              <w:tab/>
            </w:r>
            <w:r w:rsidRPr="00DD1C09">
              <w:rPr>
                <w:rStyle w:val="Hyperlink"/>
                <w:rFonts w:asciiTheme="majorHAnsi" w:hAnsiTheme="majorHAnsi" w:cstheme="minorHAnsi"/>
                <w:noProof/>
              </w:rPr>
              <w:t>Reason(s) Display of OMB Expiration Date is Inappropriate</w:t>
            </w:r>
            <w:r>
              <w:rPr>
                <w:noProof/>
                <w:webHidden/>
              </w:rPr>
              <w:tab/>
            </w:r>
            <w:r>
              <w:rPr>
                <w:noProof/>
                <w:webHidden/>
              </w:rPr>
              <w:fldChar w:fldCharType="begin"/>
            </w:r>
            <w:r>
              <w:rPr>
                <w:noProof/>
                <w:webHidden/>
              </w:rPr>
              <w:instrText xml:space="preserve"> PAGEREF _Toc172646919 \h </w:instrText>
            </w:r>
            <w:r>
              <w:rPr>
                <w:noProof/>
                <w:webHidden/>
              </w:rPr>
              <w:fldChar w:fldCharType="separate"/>
            </w:r>
            <w:r>
              <w:rPr>
                <w:noProof/>
                <w:webHidden/>
              </w:rPr>
              <w:t>11</w:t>
            </w:r>
            <w:r>
              <w:rPr>
                <w:noProof/>
                <w:webHidden/>
              </w:rPr>
              <w:fldChar w:fldCharType="end"/>
            </w:r>
          </w:hyperlink>
        </w:p>
        <w:p w:rsidR="003C77B8" w14:paraId="10289D53" w14:textId="0E976AC8">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2646920" w:history="1">
            <w:r w:rsidRPr="00DD1C09">
              <w:rPr>
                <w:rStyle w:val="Hyperlink"/>
                <w:rFonts w:asciiTheme="majorHAnsi" w:hAnsiTheme="majorHAnsi" w:cstheme="minorHAnsi"/>
                <w:noProof/>
              </w:rPr>
              <w:t>18.</w:t>
            </w:r>
            <w:r>
              <w:rPr>
                <w:rFonts w:asciiTheme="minorHAnsi" w:eastAsiaTheme="minorEastAsia" w:hAnsiTheme="minorHAnsi"/>
                <w:noProof/>
                <w:kern w:val="2"/>
                <w:sz w:val="22"/>
                <w14:ligatures w14:val="standardContextual"/>
              </w:rPr>
              <w:tab/>
            </w:r>
            <w:r w:rsidRPr="00DD1C09">
              <w:rPr>
                <w:rStyle w:val="Hyperlink"/>
                <w:rFonts w:asciiTheme="majorHAnsi" w:hAnsiTheme="majorHAnsi" w:cstheme="minorHAnsi"/>
                <w:noProof/>
              </w:rPr>
              <w:t>Exceptions to Certification for Paperwork Reduction Act Submissions</w:t>
            </w:r>
            <w:r>
              <w:rPr>
                <w:noProof/>
                <w:webHidden/>
              </w:rPr>
              <w:tab/>
            </w:r>
            <w:r>
              <w:rPr>
                <w:noProof/>
                <w:webHidden/>
              </w:rPr>
              <w:fldChar w:fldCharType="begin"/>
            </w:r>
            <w:r>
              <w:rPr>
                <w:noProof/>
                <w:webHidden/>
              </w:rPr>
              <w:instrText xml:space="preserve"> PAGEREF _Toc172646920 \h </w:instrText>
            </w:r>
            <w:r>
              <w:rPr>
                <w:noProof/>
                <w:webHidden/>
              </w:rPr>
              <w:fldChar w:fldCharType="separate"/>
            </w:r>
            <w:r>
              <w:rPr>
                <w:noProof/>
                <w:webHidden/>
              </w:rPr>
              <w:t>11</w:t>
            </w:r>
            <w:r>
              <w:rPr>
                <w:noProof/>
                <w:webHidden/>
              </w:rPr>
              <w:fldChar w:fldCharType="end"/>
            </w:r>
          </w:hyperlink>
        </w:p>
        <w:p w:rsidR="004A13E8" w:rsidRPr="005C47FA" w14:paraId="55FE17B0" w14:textId="01282776">
          <w:pPr>
            <w:rPr>
              <w:rFonts w:asciiTheme="minorHAnsi" w:hAnsiTheme="minorHAnsi" w:cstheme="minorHAnsi"/>
            </w:rPr>
          </w:pPr>
          <w:r w:rsidRPr="005C47FA">
            <w:rPr>
              <w:rFonts w:asciiTheme="minorHAnsi" w:hAnsiTheme="minorHAnsi" w:cstheme="minorHAnsi"/>
              <w:b/>
              <w:bCs/>
              <w:noProof/>
            </w:rPr>
            <w:fldChar w:fldCharType="end"/>
          </w:r>
        </w:p>
      </w:sdtContent>
    </w:sdt>
    <w:p w:rsidR="004A13E8" w:rsidRPr="005C47FA" w14:paraId="55FE17B1" w14:textId="77777777">
      <w:pPr>
        <w:rPr>
          <w:rFonts w:asciiTheme="minorHAnsi" w:hAnsiTheme="minorHAnsi" w:cstheme="minorHAnsi"/>
        </w:rPr>
      </w:pPr>
      <w:r w:rsidRPr="005C47FA">
        <w:rPr>
          <w:rFonts w:asciiTheme="minorHAnsi" w:hAnsiTheme="minorHAnsi" w:cstheme="minorHAnsi"/>
        </w:rPr>
        <w:br w:type="page"/>
      </w:r>
    </w:p>
    <w:p w:rsidR="004A13E8" w:rsidP="004A13E8" w14:paraId="55FE17B2" w14:textId="50F69BDF">
      <w:pPr>
        <w:pStyle w:val="Subtitle"/>
      </w:pPr>
      <w:r w:rsidRPr="006E7652">
        <w:rPr>
          <w:b/>
          <w:noProof/>
        </w:rPr>
        <mc:AlternateContent>
          <mc:Choice Requires="wps">
            <w:drawing>
              <wp:anchor distT="0" distB="0" distL="114300" distR="114300" simplePos="0" relativeHeight="251658240" behindDoc="1" locked="0" layoutInCell="1" allowOverlap="1">
                <wp:simplePos x="0" y="0"/>
                <wp:positionH relativeFrom="column">
                  <wp:posOffset>9525</wp:posOffset>
                </wp:positionH>
                <wp:positionV relativeFrom="page">
                  <wp:posOffset>694690</wp:posOffset>
                </wp:positionV>
                <wp:extent cx="6477000" cy="3438525"/>
                <wp:effectExtent l="0" t="0" r="19050" b="28575"/>
                <wp:wrapTight wrapText="bothSides">
                  <wp:wrapPolygon>
                    <wp:start x="0" y="0"/>
                    <wp:lineTo x="0" y="21660"/>
                    <wp:lineTo x="21600" y="21660"/>
                    <wp:lineTo x="21600" y="0"/>
                    <wp:lineTo x="0" y="0"/>
                  </wp:wrapPolygon>
                </wp:wrapTight>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3438525"/>
                        </a:xfrm>
                        <a:prstGeom prst="rect">
                          <a:avLst/>
                        </a:prstGeom>
                        <a:solidFill>
                          <a:srgbClr val="FFFFFF"/>
                        </a:solidFill>
                        <a:ln w="9525">
                          <a:solidFill>
                            <a:srgbClr val="000000"/>
                          </a:solidFill>
                          <a:miter lim="800000"/>
                          <a:headEnd/>
                          <a:tailEnd/>
                        </a:ln>
                      </wps:spPr>
                      <wps:txbx>
                        <w:txbxContent>
                          <w:p w:rsidR="004A13E8" w:rsidRPr="00D97019" w:rsidP="004A13E8" w14:textId="0993FA23">
                            <w:pPr>
                              <w:pStyle w:val="Bullets"/>
                              <w:rPr>
                                <w:rFonts w:asciiTheme="majorHAnsi" w:hAnsiTheme="majorHAnsi" w:cstheme="minorHAnsi"/>
                                <w:b/>
                              </w:rPr>
                            </w:pPr>
                            <w:r w:rsidRPr="00D97019">
                              <w:rPr>
                                <w:rFonts w:asciiTheme="majorHAnsi" w:hAnsiTheme="majorHAnsi" w:cstheme="minorHAnsi"/>
                                <w:b/>
                              </w:rPr>
                              <w:t>Goal of the study:</w:t>
                            </w:r>
                            <w:r w:rsidRPr="00D97019" w:rsidR="001A58BE">
                              <w:rPr>
                                <w:rFonts w:asciiTheme="majorHAnsi" w:hAnsiTheme="majorHAnsi" w:cstheme="minorHAnsi"/>
                                <w:b/>
                              </w:rPr>
                              <w:t xml:space="preserve"> </w:t>
                            </w:r>
                            <w:r w:rsidRPr="00D97019" w:rsidR="00315C4A">
                              <w:rPr>
                                <w:rFonts w:asciiTheme="majorHAnsi" w:hAnsiTheme="majorHAnsi" w:cstheme="minorHAnsi"/>
                              </w:rPr>
                              <w:t>T</w:t>
                            </w:r>
                            <w:r w:rsidRPr="00D97019" w:rsidR="00620FB6">
                              <w:rPr>
                                <w:rFonts w:asciiTheme="majorHAnsi" w:hAnsiTheme="majorHAnsi" w:cstheme="minorHAnsi"/>
                              </w:rPr>
                              <w:t xml:space="preserve">o characterize use of the Model Aquatic Health Code (MAHC), MAHC acceptability amongst states, and assess the facilitators and barriers to MAHC </w:t>
                            </w:r>
                            <w:r w:rsidRPr="00D97019" w:rsidR="008C33F3">
                              <w:rPr>
                                <w:rFonts w:asciiTheme="majorHAnsi" w:hAnsiTheme="majorHAnsi" w:cstheme="minorHAnsi"/>
                              </w:rPr>
                              <w:t xml:space="preserve">use and implementation. </w:t>
                            </w:r>
                          </w:p>
                          <w:p w:rsidR="004A13E8" w:rsidRPr="00D97019" w:rsidP="004A13E8" w14:textId="7974AECD">
                            <w:pPr>
                              <w:pStyle w:val="Bullets"/>
                              <w:rPr>
                                <w:rFonts w:asciiTheme="majorHAnsi" w:hAnsiTheme="majorHAnsi" w:cstheme="minorHAnsi"/>
                                <w:b/>
                              </w:rPr>
                            </w:pPr>
                            <w:r w:rsidRPr="00D97019">
                              <w:rPr>
                                <w:rFonts w:asciiTheme="majorHAnsi" w:hAnsiTheme="majorHAnsi" w:cstheme="minorHAnsi"/>
                                <w:b/>
                              </w:rPr>
                              <w:t>Intended use of the resulting data:</w:t>
                            </w:r>
                            <w:r w:rsidRPr="00D97019" w:rsidR="001A58BE">
                              <w:rPr>
                                <w:rFonts w:asciiTheme="majorHAnsi" w:hAnsiTheme="majorHAnsi" w:cstheme="minorHAnsi"/>
                                <w:b/>
                              </w:rPr>
                              <w:t xml:space="preserve"> </w:t>
                            </w:r>
                            <w:r w:rsidRPr="00D97019" w:rsidR="00620FB6">
                              <w:rPr>
                                <w:rFonts w:asciiTheme="majorHAnsi" w:hAnsiTheme="majorHAnsi" w:cstheme="minorHAnsi"/>
                              </w:rPr>
                              <w:t xml:space="preserve">Results from this </w:t>
                            </w:r>
                            <w:r w:rsidRPr="00D97019" w:rsidR="005C7072">
                              <w:rPr>
                                <w:rFonts w:asciiTheme="majorHAnsi" w:hAnsiTheme="majorHAnsi" w:cstheme="minorHAnsi"/>
                              </w:rPr>
                              <w:t>assessment</w:t>
                            </w:r>
                            <w:r w:rsidRPr="00D97019" w:rsidR="00620FB6">
                              <w:rPr>
                                <w:rFonts w:asciiTheme="majorHAnsi" w:hAnsiTheme="majorHAnsi" w:cstheme="minorHAnsi"/>
                              </w:rPr>
                              <w:t xml:space="preserve"> will inform future planning and prioritization of CDC’s MAHC activities and optimize the MAHC as a resource for state, tribal, local, and territorial (STLT) public health partners and aquatics stakeholders.</w:t>
                            </w:r>
                          </w:p>
                          <w:p w:rsidR="004A13E8" w:rsidRPr="00D97019" w:rsidP="004A13E8" w14:textId="350DCFA4">
                            <w:pPr>
                              <w:pStyle w:val="Bullets"/>
                              <w:rPr>
                                <w:rFonts w:asciiTheme="majorHAnsi" w:hAnsiTheme="majorHAnsi" w:cstheme="minorHAnsi"/>
                                <w:b/>
                              </w:rPr>
                            </w:pPr>
                            <w:r w:rsidRPr="00D97019">
                              <w:rPr>
                                <w:rFonts w:asciiTheme="majorHAnsi" w:hAnsiTheme="majorHAnsi" w:cstheme="minorHAnsi"/>
                                <w:b/>
                              </w:rPr>
                              <w:t>Methods to be used to collect:</w:t>
                            </w:r>
                            <w:r w:rsidRPr="00D97019" w:rsidR="001A58BE">
                              <w:rPr>
                                <w:rFonts w:asciiTheme="majorHAnsi" w:hAnsiTheme="majorHAnsi" w:cstheme="minorHAnsi"/>
                                <w:b/>
                              </w:rPr>
                              <w:t xml:space="preserve"> </w:t>
                            </w:r>
                            <w:r w:rsidRPr="00D97019" w:rsidR="00315C4A">
                              <w:rPr>
                                <w:rFonts w:asciiTheme="majorHAnsi" w:hAnsiTheme="majorHAnsi" w:cstheme="minorHAnsi"/>
                                <w:bCs/>
                              </w:rPr>
                              <w:t>P</w:t>
                            </w:r>
                            <w:r w:rsidRPr="00D97019" w:rsidR="00620FB6">
                              <w:rPr>
                                <w:rFonts w:asciiTheme="majorHAnsi" w:hAnsiTheme="majorHAnsi" w:cstheme="minorHAnsi"/>
                              </w:rPr>
                              <w:t>rospective cohort quantitative survey</w:t>
                            </w:r>
                            <w:r w:rsidRPr="00D97019" w:rsidR="00295C5A">
                              <w:rPr>
                                <w:rFonts w:asciiTheme="majorHAnsi" w:hAnsiTheme="majorHAnsi" w:cstheme="minorHAnsi"/>
                              </w:rPr>
                              <w:t>;</w:t>
                            </w:r>
                            <w:r w:rsidRPr="00D97019" w:rsidR="00D6766E">
                              <w:rPr>
                                <w:rFonts w:asciiTheme="majorHAnsi" w:hAnsiTheme="majorHAnsi" w:cstheme="minorHAnsi"/>
                              </w:rPr>
                              <w:t xml:space="preserve"> </w:t>
                            </w:r>
                            <w:r w:rsidRPr="00D97019" w:rsidR="00620FB6">
                              <w:rPr>
                                <w:rFonts w:asciiTheme="majorHAnsi" w:hAnsiTheme="majorHAnsi" w:cstheme="minorHAnsi"/>
                              </w:rPr>
                              <w:t xml:space="preserve">focus groups with low, medium, and high MAHC adopters identified through the survey and using a semi-structured interview guide; case studies of jurisdictions to model strategies for MAHC use and implementation. </w:t>
                            </w:r>
                          </w:p>
                          <w:p w:rsidR="004A13E8" w:rsidRPr="00D97019" w:rsidP="004A13E8" w14:textId="47163C32">
                            <w:pPr>
                              <w:pStyle w:val="Bullets"/>
                              <w:rPr>
                                <w:rFonts w:asciiTheme="majorHAnsi" w:hAnsiTheme="majorHAnsi" w:cstheme="minorHAnsi"/>
                                <w:b/>
                              </w:rPr>
                            </w:pPr>
                            <w:r w:rsidRPr="00D97019">
                              <w:rPr>
                                <w:rFonts w:asciiTheme="majorHAnsi" w:hAnsiTheme="majorHAnsi" w:cstheme="minorHAnsi"/>
                                <w:b/>
                              </w:rPr>
                              <w:t>The subpopulation to be studied:</w:t>
                            </w:r>
                            <w:r w:rsidRPr="00D97019" w:rsidR="001A58BE">
                              <w:rPr>
                                <w:rFonts w:asciiTheme="majorHAnsi" w:hAnsiTheme="majorHAnsi" w:cstheme="minorHAnsi"/>
                                <w:b/>
                              </w:rPr>
                              <w:t xml:space="preserve"> </w:t>
                            </w:r>
                            <w:r w:rsidRPr="00D97019" w:rsidR="00620FB6">
                              <w:rPr>
                                <w:rFonts w:asciiTheme="majorHAnsi" w:hAnsiTheme="majorHAnsi" w:cstheme="minorHAnsi"/>
                              </w:rPr>
                              <w:t xml:space="preserve">State, tribal, local and territorial (STLT) public health partners. </w:t>
                            </w:r>
                          </w:p>
                          <w:p w:rsidR="004A13E8" w:rsidRPr="00D97019" w:rsidP="00C86C47" w14:textId="1FD89FC2">
                            <w:pPr>
                              <w:pStyle w:val="Bullets"/>
                              <w:rPr>
                                <w:rFonts w:asciiTheme="majorHAnsi" w:hAnsiTheme="majorHAnsi" w:cstheme="minorHAnsi"/>
                                <w:b/>
                              </w:rPr>
                            </w:pPr>
                            <w:r w:rsidRPr="00D97019">
                              <w:rPr>
                                <w:rFonts w:asciiTheme="majorHAnsi" w:hAnsiTheme="majorHAnsi" w:cstheme="minorHAnsi"/>
                                <w:b/>
                              </w:rPr>
                              <w:t>How data will be analyzed:</w:t>
                            </w:r>
                            <w:r w:rsidRPr="00D97019" w:rsidR="001A58BE">
                              <w:rPr>
                                <w:rFonts w:asciiTheme="majorHAnsi" w:hAnsiTheme="majorHAnsi" w:cstheme="minorHAnsi"/>
                                <w:b/>
                              </w:rPr>
                              <w:t xml:space="preserve"> </w:t>
                            </w:r>
                            <w:r w:rsidRPr="00D97019" w:rsidR="00295C5A">
                              <w:rPr>
                                <w:rFonts w:asciiTheme="majorHAnsi" w:hAnsiTheme="majorHAnsi" w:cstheme="minorHAnsi"/>
                              </w:rPr>
                              <w:t xml:space="preserve">Quantitative data will be analyzed in SAS and R for descriptive statistics to summarize findings. </w:t>
                            </w:r>
                            <w:r w:rsidRPr="00D97019" w:rsidR="00620FB6">
                              <w:rPr>
                                <w:rFonts w:asciiTheme="majorHAnsi" w:hAnsiTheme="majorHAnsi" w:cstheme="minorHAnsi"/>
                                <w:bCs/>
                              </w:rPr>
                              <w:t>Qualitative data will be analyzed in MAXQDA to in</w:t>
                            </w:r>
                            <w:r w:rsidRPr="00D97019" w:rsidR="00620FB6">
                              <w:rPr>
                                <w:rFonts w:asciiTheme="majorHAnsi" w:hAnsiTheme="majorHAnsi" w:cstheme="minorHAnsi"/>
                              </w:rPr>
                              <w:t xml:space="preserve">terpret key and emerging themes and highlight illustrative quotes. </w:t>
                            </w:r>
                            <w:r w:rsidRPr="00D97019" w:rsidR="00931212">
                              <w:rPr>
                                <w:rFonts w:asciiTheme="majorHAnsi" w:hAnsiTheme="majorHAnsi" w:cstheme="minorHAnsi"/>
                              </w:rPr>
                              <w:t>Case study data will be</w:t>
                            </w:r>
                            <w:r w:rsidRPr="00D97019" w:rsidR="00C86C47">
                              <w:rPr>
                                <w:rFonts w:asciiTheme="majorHAnsi" w:hAnsiTheme="majorHAnsi" w:cstheme="minorHAnsi"/>
                              </w:rPr>
                              <w:t xml:space="preserve"> analyzed using descriptive techniques. </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510pt;height:270.75pt;margin-top:54.7pt;margin-left:0.75pt;mso-height-percent:0;mso-height-relative:page;mso-position-vertical-relative:page;mso-width-percent:0;mso-width-relative:page;mso-wrap-distance-bottom:0;mso-wrap-distance-left:9pt;mso-wrap-distance-right:9pt;mso-wrap-distance-top:0;mso-wrap-style:square;position:absolute;visibility:visible;v-text-anchor:top;z-index:-251657216">
                <v:textbox>
                  <w:txbxContent>
                    <w:p w:rsidR="004A13E8" w:rsidRPr="00D97019" w:rsidP="004A13E8" w14:paraId="55FE1837" w14:textId="0993FA23">
                      <w:pPr>
                        <w:pStyle w:val="Bullets"/>
                        <w:rPr>
                          <w:rFonts w:asciiTheme="majorHAnsi" w:hAnsiTheme="majorHAnsi" w:cstheme="minorHAnsi"/>
                          <w:b/>
                        </w:rPr>
                      </w:pPr>
                      <w:r w:rsidRPr="00D97019">
                        <w:rPr>
                          <w:rFonts w:asciiTheme="majorHAnsi" w:hAnsiTheme="majorHAnsi" w:cstheme="minorHAnsi"/>
                          <w:b/>
                        </w:rPr>
                        <w:t>Goal of the study:</w:t>
                      </w:r>
                      <w:r w:rsidRPr="00D97019" w:rsidR="001A58BE">
                        <w:rPr>
                          <w:rFonts w:asciiTheme="majorHAnsi" w:hAnsiTheme="majorHAnsi" w:cstheme="minorHAnsi"/>
                          <w:b/>
                        </w:rPr>
                        <w:t xml:space="preserve"> </w:t>
                      </w:r>
                      <w:r w:rsidRPr="00D97019" w:rsidR="00315C4A">
                        <w:rPr>
                          <w:rFonts w:asciiTheme="majorHAnsi" w:hAnsiTheme="majorHAnsi" w:cstheme="minorHAnsi"/>
                        </w:rPr>
                        <w:t>T</w:t>
                      </w:r>
                      <w:r w:rsidRPr="00D97019" w:rsidR="00620FB6">
                        <w:rPr>
                          <w:rFonts w:asciiTheme="majorHAnsi" w:hAnsiTheme="majorHAnsi" w:cstheme="minorHAnsi"/>
                        </w:rPr>
                        <w:t xml:space="preserve">o characterize use of the Model Aquatic Health Code (MAHC), MAHC acceptability amongst states, and assess the facilitators and barriers to MAHC </w:t>
                      </w:r>
                      <w:r w:rsidRPr="00D97019" w:rsidR="008C33F3">
                        <w:rPr>
                          <w:rFonts w:asciiTheme="majorHAnsi" w:hAnsiTheme="majorHAnsi" w:cstheme="minorHAnsi"/>
                        </w:rPr>
                        <w:t xml:space="preserve">use and implementation. </w:t>
                      </w:r>
                    </w:p>
                    <w:p w:rsidR="004A13E8" w:rsidRPr="00D97019" w:rsidP="004A13E8" w14:paraId="55FE1838" w14:textId="7974AECD">
                      <w:pPr>
                        <w:pStyle w:val="Bullets"/>
                        <w:rPr>
                          <w:rFonts w:asciiTheme="majorHAnsi" w:hAnsiTheme="majorHAnsi" w:cstheme="minorHAnsi"/>
                          <w:b/>
                        </w:rPr>
                      </w:pPr>
                      <w:r w:rsidRPr="00D97019">
                        <w:rPr>
                          <w:rFonts w:asciiTheme="majorHAnsi" w:hAnsiTheme="majorHAnsi" w:cstheme="minorHAnsi"/>
                          <w:b/>
                        </w:rPr>
                        <w:t>Intended use of the resulting data:</w:t>
                      </w:r>
                      <w:r w:rsidRPr="00D97019" w:rsidR="001A58BE">
                        <w:rPr>
                          <w:rFonts w:asciiTheme="majorHAnsi" w:hAnsiTheme="majorHAnsi" w:cstheme="minorHAnsi"/>
                          <w:b/>
                        </w:rPr>
                        <w:t xml:space="preserve"> </w:t>
                      </w:r>
                      <w:r w:rsidRPr="00D97019" w:rsidR="00620FB6">
                        <w:rPr>
                          <w:rFonts w:asciiTheme="majorHAnsi" w:hAnsiTheme="majorHAnsi" w:cstheme="minorHAnsi"/>
                        </w:rPr>
                        <w:t xml:space="preserve">Results from this </w:t>
                      </w:r>
                      <w:r w:rsidRPr="00D97019" w:rsidR="005C7072">
                        <w:rPr>
                          <w:rFonts w:asciiTheme="majorHAnsi" w:hAnsiTheme="majorHAnsi" w:cstheme="minorHAnsi"/>
                        </w:rPr>
                        <w:t>assessment</w:t>
                      </w:r>
                      <w:r w:rsidRPr="00D97019" w:rsidR="00620FB6">
                        <w:rPr>
                          <w:rFonts w:asciiTheme="majorHAnsi" w:hAnsiTheme="majorHAnsi" w:cstheme="minorHAnsi"/>
                        </w:rPr>
                        <w:t xml:space="preserve"> will inform future planning and prioritization of CDC’s MAHC activities and optimize the MAHC as a resource for state, tribal, local, and territorial (STLT) public health partners and aquatics stakeholders.</w:t>
                      </w:r>
                    </w:p>
                    <w:p w:rsidR="004A13E8" w:rsidRPr="00D97019" w:rsidP="004A13E8" w14:paraId="55FE1839" w14:textId="350DCFA4">
                      <w:pPr>
                        <w:pStyle w:val="Bullets"/>
                        <w:rPr>
                          <w:rFonts w:asciiTheme="majorHAnsi" w:hAnsiTheme="majorHAnsi" w:cstheme="minorHAnsi"/>
                          <w:b/>
                        </w:rPr>
                      </w:pPr>
                      <w:r w:rsidRPr="00D97019">
                        <w:rPr>
                          <w:rFonts w:asciiTheme="majorHAnsi" w:hAnsiTheme="majorHAnsi" w:cstheme="minorHAnsi"/>
                          <w:b/>
                        </w:rPr>
                        <w:t>Methods to be used to collect:</w:t>
                      </w:r>
                      <w:r w:rsidRPr="00D97019" w:rsidR="001A58BE">
                        <w:rPr>
                          <w:rFonts w:asciiTheme="majorHAnsi" w:hAnsiTheme="majorHAnsi" w:cstheme="minorHAnsi"/>
                          <w:b/>
                        </w:rPr>
                        <w:t xml:space="preserve"> </w:t>
                      </w:r>
                      <w:r w:rsidRPr="00D97019" w:rsidR="00315C4A">
                        <w:rPr>
                          <w:rFonts w:asciiTheme="majorHAnsi" w:hAnsiTheme="majorHAnsi" w:cstheme="minorHAnsi"/>
                          <w:bCs/>
                        </w:rPr>
                        <w:t>P</w:t>
                      </w:r>
                      <w:r w:rsidRPr="00D97019" w:rsidR="00620FB6">
                        <w:rPr>
                          <w:rFonts w:asciiTheme="majorHAnsi" w:hAnsiTheme="majorHAnsi" w:cstheme="minorHAnsi"/>
                        </w:rPr>
                        <w:t>rospective cohort quantitative survey</w:t>
                      </w:r>
                      <w:r w:rsidRPr="00D97019" w:rsidR="00295C5A">
                        <w:rPr>
                          <w:rFonts w:asciiTheme="majorHAnsi" w:hAnsiTheme="majorHAnsi" w:cstheme="minorHAnsi"/>
                        </w:rPr>
                        <w:t>;</w:t>
                      </w:r>
                      <w:r w:rsidRPr="00D97019" w:rsidR="00D6766E">
                        <w:rPr>
                          <w:rFonts w:asciiTheme="majorHAnsi" w:hAnsiTheme="majorHAnsi" w:cstheme="minorHAnsi"/>
                        </w:rPr>
                        <w:t xml:space="preserve"> </w:t>
                      </w:r>
                      <w:r w:rsidRPr="00D97019" w:rsidR="00620FB6">
                        <w:rPr>
                          <w:rFonts w:asciiTheme="majorHAnsi" w:hAnsiTheme="majorHAnsi" w:cstheme="minorHAnsi"/>
                        </w:rPr>
                        <w:t xml:space="preserve">focus groups with low, medium, and high MAHC adopters identified through the survey and using a semi-structured interview guide; case studies of jurisdictions to model strategies for MAHC use and implementation. </w:t>
                      </w:r>
                    </w:p>
                    <w:p w:rsidR="004A13E8" w:rsidRPr="00D97019" w:rsidP="004A13E8" w14:paraId="55FE183A" w14:textId="47163C32">
                      <w:pPr>
                        <w:pStyle w:val="Bullets"/>
                        <w:rPr>
                          <w:rFonts w:asciiTheme="majorHAnsi" w:hAnsiTheme="majorHAnsi" w:cstheme="minorHAnsi"/>
                          <w:b/>
                        </w:rPr>
                      </w:pPr>
                      <w:r w:rsidRPr="00D97019">
                        <w:rPr>
                          <w:rFonts w:asciiTheme="majorHAnsi" w:hAnsiTheme="majorHAnsi" w:cstheme="minorHAnsi"/>
                          <w:b/>
                        </w:rPr>
                        <w:t>The subpopulation to be studied:</w:t>
                      </w:r>
                      <w:r w:rsidRPr="00D97019" w:rsidR="001A58BE">
                        <w:rPr>
                          <w:rFonts w:asciiTheme="majorHAnsi" w:hAnsiTheme="majorHAnsi" w:cstheme="minorHAnsi"/>
                          <w:b/>
                        </w:rPr>
                        <w:t xml:space="preserve"> </w:t>
                      </w:r>
                      <w:r w:rsidRPr="00D97019" w:rsidR="00620FB6">
                        <w:rPr>
                          <w:rFonts w:asciiTheme="majorHAnsi" w:hAnsiTheme="majorHAnsi" w:cstheme="minorHAnsi"/>
                        </w:rPr>
                        <w:t xml:space="preserve">State, tribal, local and territorial (STLT) public health partners. </w:t>
                      </w:r>
                    </w:p>
                    <w:p w:rsidR="004A13E8" w:rsidRPr="00D97019" w:rsidP="00C86C47" w14:paraId="55FE183D" w14:textId="1FD89FC2">
                      <w:pPr>
                        <w:pStyle w:val="Bullets"/>
                        <w:rPr>
                          <w:rFonts w:asciiTheme="majorHAnsi" w:hAnsiTheme="majorHAnsi" w:cstheme="minorHAnsi"/>
                          <w:b/>
                        </w:rPr>
                      </w:pPr>
                      <w:r w:rsidRPr="00D97019">
                        <w:rPr>
                          <w:rFonts w:asciiTheme="majorHAnsi" w:hAnsiTheme="majorHAnsi" w:cstheme="minorHAnsi"/>
                          <w:b/>
                        </w:rPr>
                        <w:t>How data will be analyzed:</w:t>
                      </w:r>
                      <w:r w:rsidRPr="00D97019" w:rsidR="001A58BE">
                        <w:rPr>
                          <w:rFonts w:asciiTheme="majorHAnsi" w:hAnsiTheme="majorHAnsi" w:cstheme="minorHAnsi"/>
                          <w:b/>
                        </w:rPr>
                        <w:t xml:space="preserve"> </w:t>
                      </w:r>
                      <w:r w:rsidRPr="00D97019" w:rsidR="00295C5A">
                        <w:rPr>
                          <w:rFonts w:asciiTheme="majorHAnsi" w:hAnsiTheme="majorHAnsi" w:cstheme="minorHAnsi"/>
                        </w:rPr>
                        <w:t xml:space="preserve">Quantitative data will be analyzed in SAS and R for descriptive statistics to summarize findings. </w:t>
                      </w:r>
                      <w:r w:rsidRPr="00D97019" w:rsidR="00620FB6">
                        <w:rPr>
                          <w:rFonts w:asciiTheme="majorHAnsi" w:hAnsiTheme="majorHAnsi" w:cstheme="minorHAnsi"/>
                          <w:bCs/>
                        </w:rPr>
                        <w:t>Qualitative data will be analyzed in MAXQDA to in</w:t>
                      </w:r>
                      <w:r w:rsidRPr="00D97019" w:rsidR="00620FB6">
                        <w:rPr>
                          <w:rFonts w:asciiTheme="majorHAnsi" w:hAnsiTheme="majorHAnsi" w:cstheme="minorHAnsi"/>
                        </w:rPr>
                        <w:t xml:space="preserve">terpret key and emerging themes and highlight illustrative quotes. </w:t>
                      </w:r>
                      <w:r w:rsidRPr="00D97019" w:rsidR="00931212">
                        <w:rPr>
                          <w:rFonts w:asciiTheme="majorHAnsi" w:hAnsiTheme="majorHAnsi" w:cstheme="minorHAnsi"/>
                        </w:rPr>
                        <w:t>Case study data will be</w:t>
                      </w:r>
                      <w:r w:rsidRPr="00D97019" w:rsidR="00C86C47">
                        <w:rPr>
                          <w:rFonts w:asciiTheme="majorHAnsi" w:hAnsiTheme="majorHAnsi" w:cstheme="minorHAnsi"/>
                        </w:rPr>
                        <w:t xml:space="preserve"> analyzed using descriptive techniques. </w:t>
                      </w:r>
                    </w:p>
                  </w:txbxContent>
                </v:textbox>
                <w10:wrap type="tight"/>
              </v:shape>
            </w:pict>
          </mc:Fallback>
        </mc:AlternateContent>
      </w:r>
    </w:p>
    <w:p w:rsidR="004A13E8" w:rsidRPr="005C47FA" w:rsidP="004A13E8" w14:paraId="55FE17B3" w14:textId="77777777">
      <w:pPr>
        <w:pStyle w:val="Heading1"/>
        <w:rPr>
          <w:rFonts w:asciiTheme="majorHAnsi" w:hAnsiTheme="majorHAnsi" w:cstheme="minorHAnsi"/>
        </w:rPr>
      </w:pPr>
      <w:bookmarkStart w:id="5" w:name="_Toc172646903"/>
      <w:r w:rsidRPr="005C47FA">
        <w:rPr>
          <w:rFonts w:asciiTheme="majorHAnsi" w:hAnsiTheme="majorHAnsi" w:cstheme="minorHAnsi"/>
        </w:rPr>
        <w:t>Circumstances Making the Collection of Information Necessary</w:t>
      </w:r>
      <w:bookmarkEnd w:id="5"/>
    </w:p>
    <w:p w:rsidR="004B65F1" w:rsidP="20DD1ED5" w14:paraId="53C43685" w14:textId="77777777">
      <w:pPr>
        <w:jc w:val="both"/>
        <w:rPr>
          <w:rFonts w:asciiTheme="majorHAnsi" w:hAnsiTheme="majorHAnsi" w:cstheme="minorHAnsi"/>
          <w:b/>
          <w:bCs/>
        </w:rPr>
      </w:pPr>
      <w:r w:rsidRPr="0069525A">
        <w:rPr>
          <w:rFonts w:asciiTheme="majorHAnsi" w:hAnsiTheme="majorHAnsi" w:cstheme="minorHAnsi"/>
          <w:b/>
          <w:bCs/>
        </w:rPr>
        <w:t>Background</w:t>
      </w:r>
    </w:p>
    <w:p w:rsidR="000D1FA4" w:rsidP="000D1FA4" w14:paraId="3EF2E017" w14:textId="77777777">
      <w:pPr>
        <w:jc w:val="both"/>
        <w:rPr>
          <w:rFonts w:asciiTheme="majorHAnsi" w:hAnsiTheme="majorHAnsi" w:cstheme="minorHAnsi"/>
        </w:rPr>
      </w:pPr>
      <w:r w:rsidRPr="005C47FA">
        <w:rPr>
          <w:rFonts w:asciiTheme="majorHAnsi" w:hAnsiTheme="majorHAnsi" w:cstheme="minorHAnsi"/>
        </w:rPr>
        <w:t>CDC’s Model Aquatic Health Code (MAHC) is guidance to prevent injury and illness linked to public aquatic venues, such as pools, hot tubs, and splash pads. MAHC guidance brings together the latest science and best practices into a model code that jurisdictions can voluntarily use or implement to save time and resources when they develop and update pool codes in their jurisdiction. Pool codes regulate how aquatic venues that are open to the public are designed, constructed, operated, and managed. These codes address topics such as how aquatic facilities are built, how lifeguards are trained and certified, and how chlorine levels in the water are tested.</w:t>
      </w:r>
    </w:p>
    <w:p w:rsidR="00E71767" w:rsidRPr="00BE2AF7" w:rsidP="20DD1ED5" w14:paraId="17E7B84A" w14:textId="1CB064A9">
      <w:pPr>
        <w:jc w:val="both"/>
        <w:rPr>
          <w:rFonts w:asciiTheme="majorHAnsi" w:hAnsiTheme="majorHAnsi" w:cstheme="minorHAnsi"/>
        </w:rPr>
      </w:pPr>
      <w:r w:rsidRPr="005C47FA">
        <w:rPr>
          <w:rFonts w:asciiTheme="majorHAnsi" w:hAnsiTheme="majorHAnsi" w:cstheme="minorHAnsi"/>
        </w:rPr>
        <w:t xml:space="preserve">While CDC’s focus has been on developing and keeping the MAHC current, the agency has thus far taken a </w:t>
      </w:r>
      <w:r w:rsidRPr="00BE2AF7">
        <w:rPr>
          <w:rFonts w:asciiTheme="majorHAnsi" w:hAnsiTheme="majorHAnsi" w:cstheme="minorHAnsi"/>
        </w:rPr>
        <w:t xml:space="preserve">passive approach to understanding stakeholder adoption of the MAHC.  Given that the first edition of the MAHC was released in 2014, there is a need to formally assess and characterize MAHC use and acceptability among STLT public health partners.  </w:t>
      </w:r>
    </w:p>
    <w:p w:rsidR="00C60CF4" w:rsidRPr="0069525A" w:rsidP="0069525A" w14:paraId="205671F4" w14:textId="3FDA7FB0">
      <w:pPr>
        <w:rPr>
          <w:rFonts w:asciiTheme="majorHAnsi" w:hAnsiTheme="majorHAnsi"/>
        </w:rPr>
      </w:pPr>
      <w:r w:rsidRPr="00BE2AF7">
        <w:rPr>
          <w:rFonts w:asciiTheme="majorHAnsi" w:hAnsiTheme="majorHAnsi"/>
        </w:rPr>
        <w:t xml:space="preserve">This information collection is being conducted using OMB No. 0920-0879 “Information Collections to Advance State, Tribal, Local and Territorial Governmental Agency System Performance, Capacity, and Program Delivery” nicknamed the “STLT Generic.” The respondent universe for this information collection aligns with that of the STLT Generic. Data will be collected from a total of </w:t>
      </w:r>
      <w:r w:rsidRPr="00BE2AF7" w:rsidR="00261B6F">
        <w:rPr>
          <w:rFonts w:asciiTheme="majorHAnsi" w:hAnsiTheme="majorHAnsi" w:cstheme="minorHAnsi"/>
        </w:rPr>
        <w:t xml:space="preserve">1,334 </w:t>
      </w:r>
      <w:r w:rsidRPr="00BE2AF7" w:rsidR="00D33CD2">
        <w:rPr>
          <w:rFonts w:asciiTheme="majorHAnsi" w:hAnsiTheme="majorHAnsi" w:cstheme="minorHAnsi"/>
        </w:rPr>
        <w:t xml:space="preserve">respondents </w:t>
      </w:r>
      <w:r w:rsidRPr="00BE2AF7">
        <w:rPr>
          <w:rFonts w:asciiTheme="majorHAnsi" w:hAnsiTheme="majorHAnsi"/>
        </w:rPr>
        <w:t xml:space="preserve">across </w:t>
      </w:r>
      <w:r w:rsidRPr="00BE2AF7" w:rsidR="008E5F15">
        <w:rPr>
          <w:rFonts w:asciiTheme="majorHAnsi" w:hAnsiTheme="majorHAnsi"/>
        </w:rPr>
        <w:t>4,000</w:t>
      </w:r>
      <w:r w:rsidRPr="00BE2AF7">
        <w:rPr>
          <w:rFonts w:asciiTheme="majorHAnsi" w:hAnsiTheme="majorHAnsi"/>
        </w:rPr>
        <w:t xml:space="preserve"> state, local, tribal, and territorial health</w:t>
      </w:r>
      <w:r w:rsidR="00BE2AF7">
        <w:rPr>
          <w:rFonts w:asciiTheme="majorHAnsi" w:hAnsiTheme="majorHAnsi"/>
        </w:rPr>
        <w:t xml:space="preserve"> </w:t>
      </w:r>
      <w:r w:rsidRPr="00BE2AF7">
        <w:rPr>
          <w:rFonts w:asciiTheme="majorHAnsi" w:hAnsiTheme="majorHAnsi"/>
        </w:rPr>
        <w:t>departments/</w:t>
      </w:r>
      <w:r w:rsidR="00BE2AF7">
        <w:rPr>
          <w:rFonts w:asciiTheme="majorHAnsi" w:hAnsiTheme="majorHAnsi"/>
        </w:rPr>
        <w:t xml:space="preserve"> </w:t>
      </w:r>
      <w:r w:rsidRPr="00BE2AF7">
        <w:rPr>
          <w:rFonts w:asciiTheme="majorHAnsi" w:hAnsiTheme="majorHAnsi"/>
        </w:rPr>
        <w:t xml:space="preserve">jurisdictions, </w:t>
      </w:r>
      <w:r w:rsidR="003C77B8">
        <w:rPr>
          <w:rFonts w:asciiTheme="majorHAnsi" w:hAnsiTheme="majorHAnsi"/>
        </w:rPr>
        <w:t xml:space="preserve">and </w:t>
      </w:r>
      <w:r w:rsidRPr="00BE2AF7">
        <w:rPr>
          <w:rFonts w:asciiTheme="majorHAnsi" w:hAnsiTheme="majorHAnsi"/>
        </w:rPr>
        <w:t xml:space="preserve">delegate organizations. Respondents acting in their official capacities include </w:t>
      </w:r>
      <w:r w:rsidRPr="00BE2AF7" w:rsidR="009A5EDC">
        <w:rPr>
          <w:rFonts w:asciiTheme="majorHAnsi" w:hAnsiTheme="majorHAnsi"/>
        </w:rPr>
        <w:t xml:space="preserve">STLT epidemiologists and </w:t>
      </w:r>
      <w:r w:rsidRPr="00BE2AF7" w:rsidR="009A5EDC">
        <w:rPr>
          <w:rFonts w:asciiTheme="majorHAnsi" w:hAnsiTheme="majorHAnsi" w:cstheme="minorHAnsi"/>
        </w:rPr>
        <w:t>environmental health specialists</w:t>
      </w:r>
      <w:r w:rsidRPr="00BE2AF7">
        <w:rPr>
          <w:rFonts w:asciiTheme="majorHAnsi" w:hAnsiTheme="majorHAnsi"/>
        </w:rPr>
        <w:t>.</w:t>
      </w:r>
      <w:r w:rsidRPr="0069525A">
        <w:rPr>
          <w:rFonts w:asciiTheme="majorHAnsi" w:hAnsiTheme="majorHAnsi"/>
        </w:rPr>
        <w:t xml:space="preserve"> </w:t>
      </w:r>
    </w:p>
    <w:p w:rsidR="00A50A8C" w:rsidRPr="00B9393A" w:rsidP="0069525A" w14:paraId="30D356BB" w14:textId="36021142">
      <w:pPr>
        <w:rPr>
          <w:rFonts w:asciiTheme="majorHAnsi" w:hAnsiTheme="majorHAnsi"/>
        </w:rPr>
      </w:pPr>
      <w:r w:rsidRPr="00B9393A">
        <w:rPr>
          <w:rFonts w:asciiTheme="majorHAnsi" w:hAnsiTheme="majorHAnsi"/>
        </w:rPr>
        <w:t xml:space="preserve">This information collection is authorized by Section 301 of the Public Health Service Act (42 U.S.C. 241). </w:t>
      </w:r>
      <w:r w:rsidRPr="00B9393A">
        <w:rPr>
          <w:rFonts w:asciiTheme="majorHAnsi" w:hAnsiTheme="majorHAnsi"/>
          <w:iCs/>
        </w:rPr>
        <w:t xml:space="preserve">This information collection falls under the essential public health service(s) of </w:t>
      </w:r>
    </w:p>
    <w:p w:rsidR="00A50A8C" w:rsidRPr="00B9393A" w:rsidP="00A50A8C" w14:paraId="36B3166E" w14:textId="77777777">
      <w:pPr>
        <w:ind w:left="360"/>
        <w:rPr>
          <w:rFonts w:eastAsia="Times New Roman" w:asciiTheme="majorHAnsi" w:hAnsiTheme="majorHAnsi" w:cs="Shruti"/>
          <w:sz w:val="16"/>
          <w:szCs w:val="14"/>
        </w:rPr>
      </w:pPr>
      <w:r w:rsidRPr="00B9393A">
        <w:rPr>
          <w:rFonts w:eastAsia="Times New Roman" w:asciiTheme="majorHAnsi" w:hAnsiTheme="majorHAnsi" w:cs="Shruti"/>
          <w:sz w:val="16"/>
          <w:szCs w:val="14"/>
        </w:rPr>
        <w:fldChar w:fldCharType="begin">
          <w:ffData>
            <w:name w:val="Check25"/>
            <w:enabled/>
            <w:calcOnExit w:val="0"/>
            <w:checkBox>
              <w:sizeAuto/>
              <w:default w:val="0"/>
            </w:checkBox>
          </w:ffData>
        </w:fldChar>
      </w:r>
      <w:bookmarkStart w:id="6" w:name="Check25"/>
      <w:r w:rsidRPr="00B9393A">
        <w:rPr>
          <w:rFonts w:eastAsia="Times New Roman" w:asciiTheme="majorHAnsi" w:hAnsiTheme="majorHAnsi" w:cs="Shruti"/>
          <w:sz w:val="16"/>
          <w:szCs w:val="14"/>
        </w:rPr>
        <w:instrText xml:space="preserve"> FORMCHECKBOX </w:instrText>
      </w:r>
      <w:r w:rsidRPr="00B9393A" w:rsidR="001252EC">
        <w:rPr>
          <w:rFonts w:eastAsia="Times New Roman" w:asciiTheme="majorHAnsi" w:hAnsiTheme="majorHAnsi" w:cs="Shruti"/>
          <w:sz w:val="16"/>
          <w:szCs w:val="14"/>
        </w:rPr>
        <w:fldChar w:fldCharType="separate"/>
      </w:r>
      <w:r w:rsidRPr="00B9393A">
        <w:rPr>
          <w:rFonts w:eastAsia="Times New Roman" w:asciiTheme="majorHAnsi" w:hAnsiTheme="majorHAnsi" w:cs="Shruti"/>
          <w:sz w:val="16"/>
          <w:szCs w:val="14"/>
        </w:rPr>
        <w:fldChar w:fldCharType="end"/>
      </w:r>
      <w:bookmarkEnd w:id="6"/>
      <w:r w:rsidRPr="00B9393A">
        <w:rPr>
          <w:rFonts w:eastAsia="Times New Roman" w:asciiTheme="majorHAnsi" w:hAnsiTheme="majorHAnsi" w:cs="Shruti"/>
          <w:sz w:val="16"/>
          <w:szCs w:val="14"/>
        </w:rPr>
        <w:t xml:space="preserve"> </w:t>
      </w:r>
      <w:r w:rsidRPr="00B9393A">
        <w:rPr>
          <w:rFonts w:asciiTheme="majorHAnsi" w:hAnsiTheme="majorHAnsi"/>
        </w:rPr>
        <w:t>1. Assess and monitor population health status, factors that influence health, and community needs and assets</w:t>
      </w:r>
      <w:r w:rsidRPr="00B9393A">
        <w:rPr>
          <w:rFonts w:eastAsia="Times New Roman" w:asciiTheme="majorHAnsi" w:hAnsiTheme="majorHAnsi" w:cs="Shruti"/>
          <w:sz w:val="16"/>
          <w:szCs w:val="14"/>
        </w:rPr>
        <w:t xml:space="preserve"> </w:t>
      </w:r>
    </w:p>
    <w:p w:rsidR="00A50A8C" w:rsidRPr="00B9393A" w:rsidP="00A50A8C" w14:paraId="0F705347" w14:textId="77777777">
      <w:pPr>
        <w:ind w:left="360"/>
        <w:rPr>
          <w:rFonts w:asciiTheme="majorHAnsi" w:hAnsiTheme="majorHAnsi"/>
        </w:rPr>
      </w:pPr>
      <w:r w:rsidRPr="00B9393A">
        <w:rPr>
          <w:rFonts w:eastAsia="Times New Roman" w:asciiTheme="majorHAnsi" w:hAnsiTheme="majorHAnsi" w:cs="Shruti"/>
          <w:sz w:val="16"/>
          <w:szCs w:val="14"/>
        </w:rPr>
        <w:fldChar w:fldCharType="begin">
          <w:ffData>
            <w:name w:val="Check25"/>
            <w:enabled/>
            <w:calcOnExit w:val="0"/>
            <w:checkBox>
              <w:sizeAuto/>
              <w:default w:val="0"/>
            </w:checkBox>
          </w:ffData>
        </w:fldChar>
      </w:r>
      <w:r w:rsidRPr="00B9393A">
        <w:rPr>
          <w:rFonts w:eastAsia="Times New Roman" w:asciiTheme="majorHAnsi" w:hAnsiTheme="majorHAnsi" w:cs="Shruti"/>
          <w:sz w:val="16"/>
          <w:szCs w:val="14"/>
        </w:rPr>
        <w:instrText xml:space="preserve"> FORMCHECKBOX </w:instrText>
      </w:r>
      <w:r w:rsidRPr="00B9393A" w:rsidR="001252EC">
        <w:rPr>
          <w:rFonts w:eastAsia="Times New Roman" w:asciiTheme="majorHAnsi" w:hAnsiTheme="majorHAnsi" w:cs="Shruti"/>
          <w:sz w:val="16"/>
          <w:szCs w:val="14"/>
        </w:rPr>
        <w:fldChar w:fldCharType="separate"/>
      </w:r>
      <w:r w:rsidRPr="00B9393A">
        <w:rPr>
          <w:rFonts w:eastAsia="Times New Roman" w:asciiTheme="majorHAnsi" w:hAnsiTheme="majorHAnsi" w:cs="Shruti"/>
          <w:sz w:val="16"/>
          <w:szCs w:val="14"/>
        </w:rPr>
        <w:fldChar w:fldCharType="end"/>
      </w:r>
      <w:r w:rsidRPr="00B9393A">
        <w:rPr>
          <w:rFonts w:eastAsia="Times New Roman" w:asciiTheme="majorHAnsi" w:hAnsiTheme="majorHAnsi" w:cs="Shruti"/>
          <w:sz w:val="16"/>
          <w:szCs w:val="14"/>
        </w:rPr>
        <w:t xml:space="preserve"> </w:t>
      </w:r>
      <w:r w:rsidRPr="00B9393A">
        <w:rPr>
          <w:rFonts w:asciiTheme="majorHAnsi" w:hAnsiTheme="majorHAnsi"/>
        </w:rPr>
        <w:t>2. Investigate, diagnose, and address health problems and hazards affecting the population</w:t>
      </w:r>
    </w:p>
    <w:p w:rsidR="00A50A8C" w:rsidRPr="00B9393A" w:rsidP="00A50A8C" w14:paraId="6337920C" w14:textId="77777777">
      <w:pPr>
        <w:ind w:left="360"/>
        <w:rPr>
          <w:rFonts w:asciiTheme="majorHAnsi" w:hAnsiTheme="majorHAnsi"/>
        </w:rPr>
      </w:pPr>
      <w:r w:rsidRPr="00B9393A">
        <w:rPr>
          <w:rFonts w:eastAsia="Times New Roman" w:asciiTheme="majorHAnsi" w:hAnsiTheme="majorHAnsi" w:cs="Shruti"/>
          <w:sz w:val="16"/>
          <w:szCs w:val="14"/>
        </w:rPr>
        <w:fldChar w:fldCharType="begin">
          <w:ffData>
            <w:name w:val="Check25"/>
            <w:enabled/>
            <w:calcOnExit w:val="0"/>
            <w:checkBox>
              <w:sizeAuto/>
              <w:default w:val="0"/>
            </w:checkBox>
          </w:ffData>
        </w:fldChar>
      </w:r>
      <w:r w:rsidRPr="00B9393A">
        <w:rPr>
          <w:rFonts w:eastAsia="Times New Roman" w:asciiTheme="majorHAnsi" w:hAnsiTheme="majorHAnsi" w:cs="Shruti"/>
          <w:sz w:val="16"/>
          <w:szCs w:val="14"/>
        </w:rPr>
        <w:instrText xml:space="preserve"> FORMCHECKBOX </w:instrText>
      </w:r>
      <w:r w:rsidRPr="00B9393A" w:rsidR="001252EC">
        <w:rPr>
          <w:rFonts w:eastAsia="Times New Roman" w:asciiTheme="majorHAnsi" w:hAnsiTheme="majorHAnsi" w:cs="Shruti"/>
          <w:sz w:val="16"/>
          <w:szCs w:val="14"/>
        </w:rPr>
        <w:fldChar w:fldCharType="separate"/>
      </w:r>
      <w:r w:rsidRPr="00B9393A">
        <w:rPr>
          <w:rFonts w:eastAsia="Times New Roman" w:asciiTheme="majorHAnsi" w:hAnsiTheme="majorHAnsi" w:cs="Shruti"/>
          <w:sz w:val="16"/>
          <w:szCs w:val="14"/>
        </w:rPr>
        <w:fldChar w:fldCharType="end"/>
      </w:r>
      <w:r w:rsidRPr="00B9393A">
        <w:rPr>
          <w:rFonts w:eastAsia="Times New Roman" w:asciiTheme="majorHAnsi" w:hAnsiTheme="majorHAnsi" w:cs="Shruti"/>
          <w:sz w:val="16"/>
          <w:szCs w:val="14"/>
        </w:rPr>
        <w:t xml:space="preserve"> </w:t>
      </w:r>
      <w:r w:rsidRPr="00B9393A">
        <w:rPr>
          <w:rFonts w:asciiTheme="majorHAnsi" w:hAnsiTheme="majorHAnsi"/>
        </w:rPr>
        <w:t>3. Communicate effectively to inform and educate people about health, factors that influence it, and how to improve it</w:t>
      </w:r>
    </w:p>
    <w:p w:rsidR="00A50A8C" w:rsidRPr="00B9393A" w:rsidP="00A50A8C" w14:paraId="65EACC98" w14:textId="77777777">
      <w:pPr>
        <w:ind w:left="360"/>
        <w:rPr>
          <w:rFonts w:eastAsia="Times New Roman" w:asciiTheme="majorHAnsi" w:hAnsiTheme="majorHAnsi" w:cs="Shruti"/>
          <w:sz w:val="16"/>
          <w:szCs w:val="14"/>
        </w:rPr>
      </w:pPr>
      <w:r w:rsidRPr="00B9393A">
        <w:rPr>
          <w:rFonts w:eastAsia="Times New Roman" w:asciiTheme="majorHAnsi" w:hAnsiTheme="majorHAnsi" w:cs="Shruti"/>
          <w:sz w:val="16"/>
          <w:szCs w:val="14"/>
        </w:rPr>
        <w:fldChar w:fldCharType="begin">
          <w:ffData>
            <w:name w:val="Check25"/>
            <w:enabled/>
            <w:calcOnExit w:val="0"/>
            <w:checkBox>
              <w:sizeAuto/>
              <w:default w:val="0"/>
            </w:checkBox>
          </w:ffData>
        </w:fldChar>
      </w:r>
      <w:r w:rsidRPr="00B9393A">
        <w:rPr>
          <w:rFonts w:eastAsia="Times New Roman" w:asciiTheme="majorHAnsi" w:hAnsiTheme="majorHAnsi" w:cs="Shruti"/>
          <w:sz w:val="16"/>
          <w:szCs w:val="14"/>
        </w:rPr>
        <w:instrText xml:space="preserve"> FORMCHECKBOX </w:instrText>
      </w:r>
      <w:r w:rsidRPr="00B9393A" w:rsidR="001252EC">
        <w:rPr>
          <w:rFonts w:eastAsia="Times New Roman" w:asciiTheme="majorHAnsi" w:hAnsiTheme="majorHAnsi" w:cs="Shruti"/>
          <w:sz w:val="16"/>
          <w:szCs w:val="14"/>
        </w:rPr>
        <w:fldChar w:fldCharType="separate"/>
      </w:r>
      <w:r w:rsidRPr="00B9393A">
        <w:rPr>
          <w:rFonts w:eastAsia="Times New Roman" w:asciiTheme="majorHAnsi" w:hAnsiTheme="majorHAnsi" w:cs="Shruti"/>
          <w:sz w:val="16"/>
          <w:szCs w:val="14"/>
        </w:rPr>
        <w:fldChar w:fldCharType="end"/>
      </w:r>
      <w:r w:rsidRPr="00B9393A">
        <w:rPr>
          <w:rFonts w:eastAsia="Times New Roman" w:asciiTheme="majorHAnsi" w:hAnsiTheme="majorHAnsi" w:cs="Shruti"/>
          <w:sz w:val="16"/>
          <w:szCs w:val="14"/>
        </w:rPr>
        <w:t xml:space="preserve"> </w:t>
      </w:r>
      <w:r w:rsidRPr="00B9393A">
        <w:rPr>
          <w:rFonts w:asciiTheme="majorHAnsi" w:hAnsiTheme="majorHAnsi"/>
        </w:rPr>
        <w:t>4. Strengthen, support, and mobilize communities and partnerships to improve health</w:t>
      </w:r>
      <w:r w:rsidRPr="00B9393A">
        <w:rPr>
          <w:rFonts w:eastAsia="Times New Roman" w:asciiTheme="majorHAnsi" w:hAnsiTheme="majorHAnsi" w:cs="Shruti"/>
          <w:sz w:val="16"/>
          <w:szCs w:val="14"/>
        </w:rPr>
        <w:t xml:space="preserve"> </w:t>
      </w:r>
    </w:p>
    <w:p w:rsidR="00A50A8C" w:rsidRPr="00B9393A" w:rsidP="00A50A8C" w14:paraId="7BB7D52E" w14:textId="3C1AFEF5">
      <w:pPr>
        <w:ind w:left="360"/>
        <w:rPr>
          <w:rFonts w:asciiTheme="majorHAnsi" w:hAnsiTheme="majorHAnsi"/>
        </w:rPr>
      </w:pPr>
      <w:r>
        <w:rPr>
          <w:rFonts w:eastAsia="Times New Roman" w:asciiTheme="majorHAnsi" w:hAnsiTheme="majorHAnsi" w:cs="Shruti"/>
          <w:sz w:val="16"/>
          <w:szCs w:val="14"/>
        </w:rPr>
        <w:fldChar w:fldCharType="begin">
          <w:ffData>
            <w:name w:val=""/>
            <w:enabled/>
            <w:calcOnExit w:val="0"/>
            <w:checkBox>
              <w:sizeAuto/>
              <w:default w:val="1"/>
            </w:checkBox>
          </w:ffData>
        </w:fldChar>
      </w:r>
      <w:r>
        <w:rPr>
          <w:rFonts w:eastAsia="Times New Roman" w:asciiTheme="majorHAnsi" w:hAnsiTheme="majorHAnsi" w:cs="Shruti"/>
          <w:sz w:val="16"/>
          <w:szCs w:val="14"/>
        </w:rPr>
        <w:instrText xml:space="preserve"> FORMCHECKBOX </w:instrText>
      </w:r>
      <w:r>
        <w:rPr>
          <w:rFonts w:eastAsia="Times New Roman" w:asciiTheme="majorHAnsi" w:hAnsiTheme="majorHAnsi" w:cs="Shruti"/>
          <w:sz w:val="16"/>
          <w:szCs w:val="14"/>
        </w:rPr>
        <w:fldChar w:fldCharType="end"/>
      </w:r>
      <w:r w:rsidRPr="00B9393A">
        <w:rPr>
          <w:rFonts w:eastAsia="Times New Roman" w:asciiTheme="majorHAnsi" w:hAnsiTheme="majorHAnsi" w:cs="Shruti"/>
          <w:sz w:val="16"/>
          <w:szCs w:val="14"/>
        </w:rPr>
        <w:t xml:space="preserve"> </w:t>
      </w:r>
      <w:r w:rsidRPr="00B9393A">
        <w:rPr>
          <w:rFonts w:asciiTheme="majorHAnsi" w:hAnsiTheme="majorHAnsi"/>
        </w:rPr>
        <w:t>5. Create, champion, and implement policies, plans, and laws that impact health</w:t>
      </w:r>
    </w:p>
    <w:p w:rsidR="00C1151A" w:rsidRPr="00B9393A" w:rsidP="00A50A8C" w14:paraId="5E9214E5" w14:textId="77777777">
      <w:pPr>
        <w:ind w:left="360"/>
        <w:rPr>
          <w:rFonts w:eastAsia="Times New Roman" w:asciiTheme="majorHAnsi" w:hAnsiTheme="majorHAnsi" w:cs="Shruti"/>
          <w:sz w:val="16"/>
          <w:szCs w:val="14"/>
        </w:rPr>
      </w:pPr>
      <w:r w:rsidRPr="00B9393A">
        <w:rPr>
          <w:rFonts w:eastAsia="Times New Roman" w:asciiTheme="majorHAnsi" w:hAnsiTheme="majorHAnsi" w:cs="Shruti"/>
          <w:sz w:val="16"/>
          <w:szCs w:val="14"/>
        </w:rPr>
        <w:fldChar w:fldCharType="begin">
          <w:ffData>
            <w:name w:val="Check25"/>
            <w:enabled/>
            <w:calcOnExit w:val="0"/>
            <w:checkBox>
              <w:sizeAuto/>
              <w:default w:val="0"/>
            </w:checkBox>
          </w:ffData>
        </w:fldChar>
      </w:r>
      <w:r w:rsidRPr="00B9393A">
        <w:rPr>
          <w:rFonts w:eastAsia="Times New Roman" w:asciiTheme="majorHAnsi" w:hAnsiTheme="majorHAnsi" w:cs="Shruti"/>
          <w:sz w:val="16"/>
          <w:szCs w:val="14"/>
        </w:rPr>
        <w:instrText xml:space="preserve"> FORMCHECKBOX </w:instrText>
      </w:r>
      <w:r w:rsidRPr="00B9393A" w:rsidR="001252EC">
        <w:rPr>
          <w:rFonts w:eastAsia="Times New Roman" w:asciiTheme="majorHAnsi" w:hAnsiTheme="majorHAnsi" w:cs="Shruti"/>
          <w:sz w:val="16"/>
          <w:szCs w:val="14"/>
        </w:rPr>
        <w:fldChar w:fldCharType="separate"/>
      </w:r>
      <w:r w:rsidRPr="00B9393A">
        <w:rPr>
          <w:rFonts w:eastAsia="Times New Roman" w:asciiTheme="majorHAnsi" w:hAnsiTheme="majorHAnsi" w:cs="Shruti"/>
          <w:sz w:val="16"/>
          <w:szCs w:val="14"/>
        </w:rPr>
        <w:fldChar w:fldCharType="end"/>
      </w:r>
      <w:r w:rsidRPr="00B9393A">
        <w:rPr>
          <w:rFonts w:eastAsia="Times New Roman" w:asciiTheme="majorHAnsi" w:hAnsiTheme="majorHAnsi" w:cs="Shruti"/>
          <w:sz w:val="16"/>
          <w:szCs w:val="14"/>
        </w:rPr>
        <w:t xml:space="preserve"> </w:t>
      </w:r>
      <w:r w:rsidRPr="00B9393A">
        <w:rPr>
          <w:rFonts w:asciiTheme="majorHAnsi" w:hAnsiTheme="majorHAnsi"/>
        </w:rPr>
        <w:t>6. Utilize legal and regulatory actions designed to improve and protect the public’s health</w:t>
      </w:r>
      <w:r w:rsidRPr="00B9393A">
        <w:rPr>
          <w:rFonts w:eastAsia="Times New Roman" w:asciiTheme="majorHAnsi" w:hAnsiTheme="majorHAnsi" w:cs="Shruti"/>
          <w:sz w:val="16"/>
          <w:szCs w:val="14"/>
        </w:rPr>
        <w:t xml:space="preserve"> </w:t>
      </w:r>
    </w:p>
    <w:p w:rsidR="00A50A8C" w:rsidRPr="00B9393A" w:rsidP="00A50A8C" w14:paraId="567A507A" w14:textId="040F6B3F">
      <w:pPr>
        <w:ind w:left="360"/>
        <w:rPr>
          <w:rFonts w:eastAsia="Times New Roman" w:asciiTheme="majorHAnsi" w:hAnsiTheme="majorHAnsi" w:cs="Shruti"/>
          <w:sz w:val="16"/>
          <w:szCs w:val="14"/>
        </w:rPr>
      </w:pPr>
      <w:r w:rsidRPr="00B9393A">
        <w:rPr>
          <w:rFonts w:eastAsia="Times New Roman" w:asciiTheme="majorHAnsi" w:hAnsiTheme="majorHAnsi" w:cs="Shruti"/>
          <w:sz w:val="16"/>
          <w:szCs w:val="14"/>
        </w:rPr>
        <w:fldChar w:fldCharType="begin">
          <w:ffData>
            <w:name w:val="Check25"/>
            <w:enabled/>
            <w:calcOnExit w:val="0"/>
            <w:checkBox>
              <w:sizeAuto/>
              <w:default w:val="0"/>
            </w:checkBox>
          </w:ffData>
        </w:fldChar>
      </w:r>
      <w:r w:rsidRPr="00B9393A">
        <w:rPr>
          <w:rFonts w:eastAsia="Times New Roman" w:asciiTheme="majorHAnsi" w:hAnsiTheme="majorHAnsi" w:cs="Shruti"/>
          <w:sz w:val="16"/>
          <w:szCs w:val="14"/>
        </w:rPr>
        <w:instrText xml:space="preserve"> FORMCHECKBOX </w:instrText>
      </w:r>
      <w:r w:rsidRPr="00B9393A" w:rsidR="001252EC">
        <w:rPr>
          <w:rFonts w:eastAsia="Times New Roman" w:asciiTheme="majorHAnsi" w:hAnsiTheme="majorHAnsi" w:cs="Shruti"/>
          <w:sz w:val="16"/>
          <w:szCs w:val="14"/>
        </w:rPr>
        <w:fldChar w:fldCharType="separate"/>
      </w:r>
      <w:r w:rsidRPr="00B9393A">
        <w:rPr>
          <w:rFonts w:eastAsia="Times New Roman" w:asciiTheme="majorHAnsi" w:hAnsiTheme="majorHAnsi" w:cs="Shruti"/>
          <w:sz w:val="16"/>
          <w:szCs w:val="14"/>
        </w:rPr>
        <w:fldChar w:fldCharType="end"/>
      </w:r>
      <w:r w:rsidRPr="00B9393A">
        <w:rPr>
          <w:rFonts w:eastAsia="Times New Roman" w:asciiTheme="majorHAnsi" w:hAnsiTheme="majorHAnsi" w:cs="Shruti"/>
          <w:sz w:val="16"/>
          <w:szCs w:val="14"/>
        </w:rPr>
        <w:t xml:space="preserve"> </w:t>
      </w:r>
      <w:r w:rsidRPr="00B9393A">
        <w:rPr>
          <w:rFonts w:asciiTheme="majorHAnsi" w:hAnsiTheme="majorHAnsi"/>
        </w:rPr>
        <w:t>7. Assure an effective system that enables equitable access to the individual services and care needed to be healthy</w:t>
      </w:r>
      <w:r w:rsidRPr="00B9393A">
        <w:rPr>
          <w:rFonts w:eastAsia="Times New Roman" w:asciiTheme="majorHAnsi" w:hAnsiTheme="majorHAnsi" w:cs="Shruti"/>
          <w:sz w:val="16"/>
          <w:szCs w:val="14"/>
        </w:rPr>
        <w:t xml:space="preserve"> </w:t>
      </w:r>
    </w:p>
    <w:p w:rsidR="00A50A8C" w:rsidRPr="00B9393A" w:rsidP="00A50A8C" w14:paraId="2D6E4172" w14:textId="77777777">
      <w:pPr>
        <w:ind w:left="360"/>
        <w:rPr>
          <w:rFonts w:asciiTheme="majorHAnsi" w:hAnsiTheme="majorHAnsi"/>
        </w:rPr>
      </w:pPr>
      <w:r w:rsidRPr="00B9393A">
        <w:rPr>
          <w:rFonts w:eastAsia="Times New Roman" w:asciiTheme="majorHAnsi" w:hAnsiTheme="majorHAnsi" w:cs="Shruti"/>
          <w:sz w:val="16"/>
          <w:szCs w:val="14"/>
        </w:rPr>
        <w:fldChar w:fldCharType="begin">
          <w:ffData>
            <w:name w:val="Check25"/>
            <w:enabled/>
            <w:calcOnExit w:val="0"/>
            <w:checkBox>
              <w:sizeAuto/>
              <w:default w:val="0"/>
            </w:checkBox>
          </w:ffData>
        </w:fldChar>
      </w:r>
      <w:r w:rsidRPr="00B9393A">
        <w:rPr>
          <w:rFonts w:eastAsia="Times New Roman" w:asciiTheme="majorHAnsi" w:hAnsiTheme="majorHAnsi" w:cs="Shruti"/>
          <w:sz w:val="16"/>
          <w:szCs w:val="14"/>
        </w:rPr>
        <w:instrText xml:space="preserve"> FORMCHECKBOX </w:instrText>
      </w:r>
      <w:r w:rsidRPr="00B9393A" w:rsidR="001252EC">
        <w:rPr>
          <w:rFonts w:eastAsia="Times New Roman" w:asciiTheme="majorHAnsi" w:hAnsiTheme="majorHAnsi" w:cs="Shruti"/>
          <w:sz w:val="16"/>
          <w:szCs w:val="14"/>
        </w:rPr>
        <w:fldChar w:fldCharType="separate"/>
      </w:r>
      <w:r w:rsidRPr="00B9393A">
        <w:rPr>
          <w:rFonts w:eastAsia="Times New Roman" w:asciiTheme="majorHAnsi" w:hAnsiTheme="majorHAnsi" w:cs="Shruti"/>
          <w:sz w:val="16"/>
          <w:szCs w:val="14"/>
        </w:rPr>
        <w:fldChar w:fldCharType="end"/>
      </w:r>
      <w:r w:rsidRPr="00B9393A">
        <w:rPr>
          <w:rFonts w:eastAsia="Times New Roman" w:asciiTheme="majorHAnsi" w:hAnsiTheme="majorHAnsi" w:cs="Shruti"/>
          <w:sz w:val="16"/>
          <w:szCs w:val="14"/>
        </w:rPr>
        <w:t xml:space="preserve"> </w:t>
      </w:r>
      <w:r w:rsidRPr="00B9393A">
        <w:rPr>
          <w:rFonts w:asciiTheme="majorHAnsi" w:hAnsiTheme="majorHAnsi"/>
        </w:rPr>
        <w:t>8. Build and support a diverse and skilled public health workforce</w:t>
      </w:r>
    </w:p>
    <w:p w:rsidR="00A50A8C" w:rsidRPr="00B9393A" w:rsidP="00A50A8C" w14:paraId="79D1862E" w14:textId="5FF3160B">
      <w:pPr>
        <w:ind w:left="360"/>
        <w:rPr>
          <w:rFonts w:eastAsia="Times New Roman" w:asciiTheme="majorHAnsi" w:hAnsiTheme="majorHAnsi" w:cs="Shruti"/>
          <w:sz w:val="16"/>
          <w:szCs w:val="14"/>
        </w:rPr>
      </w:pPr>
      <w:r>
        <w:rPr>
          <w:rFonts w:eastAsia="Times New Roman" w:asciiTheme="majorHAnsi" w:hAnsiTheme="majorHAnsi" w:cs="Shruti"/>
          <w:sz w:val="16"/>
          <w:szCs w:val="14"/>
        </w:rPr>
        <w:fldChar w:fldCharType="begin">
          <w:ffData>
            <w:name w:val=""/>
            <w:enabled/>
            <w:calcOnExit w:val="0"/>
            <w:checkBox>
              <w:sizeAuto/>
              <w:default w:val="1"/>
            </w:checkBox>
          </w:ffData>
        </w:fldChar>
      </w:r>
      <w:r>
        <w:rPr>
          <w:rFonts w:eastAsia="Times New Roman" w:asciiTheme="majorHAnsi" w:hAnsiTheme="majorHAnsi" w:cs="Shruti"/>
          <w:sz w:val="16"/>
          <w:szCs w:val="14"/>
        </w:rPr>
        <w:instrText xml:space="preserve"> FORMCHECKBOX </w:instrText>
      </w:r>
      <w:r>
        <w:rPr>
          <w:rFonts w:eastAsia="Times New Roman" w:asciiTheme="majorHAnsi" w:hAnsiTheme="majorHAnsi" w:cs="Shruti"/>
          <w:sz w:val="16"/>
          <w:szCs w:val="14"/>
        </w:rPr>
        <w:fldChar w:fldCharType="end"/>
      </w:r>
      <w:r w:rsidRPr="00B9393A">
        <w:rPr>
          <w:rFonts w:eastAsia="Times New Roman" w:asciiTheme="majorHAnsi" w:hAnsiTheme="majorHAnsi" w:cs="Shruti"/>
          <w:sz w:val="16"/>
          <w:szCs w:val="14"/>
        </w:rPr>
        <w:t xml:space="preserve"> </w:t>
      </w:r>
      <w:r w:rsidRPr="00B9393A">
        <w:rPr>
          <w:rFonts w:asciiTheme="majorHAnsi" w:hAnsiTheme="majorHAnsi"/>
        </w:rPr>
        <w:t>9. Improve and innovate public health functions through ongoing evaluation, research, and continuous quality improvement</w:t>
      </w:r>
      <w:r w:rsidRPr="00B9393A">
        <w:rPr>
          <w:rFonts w:eastAsia="Times New Roman" w:asciiTheme="majorHAnsi" w:hAnsiTheme="majorHAnsi" w:cs="Shruti"/>
          <w:sz w:val="16"/>
          <w:szCs w:val="14"/>
        </w:rPr>
        <w:t xml:space="preserve"> </w:t>
      </w:r>
    </w:p>
    <w:p w:rsidR="00A50A8C" w:rsidRPr="00B9393A" w:rsidP="00A50A8C" w14:paraId="761595C2" w14:textId="77777777">
      <w:pPr>
        <w:ind w:left="360"/>
        <w:rPr>
          <w:rFonts w:asciiTheme="majorHAnsi" w:hAnsiTheme="majorHAnsi"/>
          <w:iCs/>
          <w:vertAlign w:val="superscript"/>
        </w:rPr>
      </w:pPr>
      <w:r w:rsidRPr="00B9393A">
        <w:rPr>
          <w:rFonts w:eastAsia="Times New Roman" w:asciiTheme="majorHAnsi" w:hAnsiTheme="majorHAnsi" w:cs="Shruti"/>
          <w:sz w:val="16"/>
          <w:szCs w:val="14"/>
        </w:rPr>
        <w:fldChar w:fldCharType="begin">
          <w:ffData>
            <w:name w:val="Check25"/>
            <w:enabled/>
            <w:calcOnExit w:val="0"/>
            <w:checkBox>
              <w:sizeAuto/>
              <w:default w:val="0"/>
            </w:checkBox>
          </w:ffData>
        </w:fldChar>
      </w:r>
      <w:r w:rsidRPr="00B9393A">
        <w:rPr>
          <w:rFonts w:eastAsia="Times New Roman" w:asciiTheme="majorHAnsi" w:hAnsiTheme="majorHAnsi" w:cs="Shruti"/>
          <w:sz w:val="16"/>
          <w:szCs w:val="14"/>
        </w:rPr>
        <w:instrText xml:space="preserve"> FORMCHECKBOX </w:instrText>
      </w:r>
      <w:r w:rsidRPr="00B9393A" w:rsidR="001252EC">
        <w:rPr>
          <w:rFonts w:eastAsia="Times New Roman" w:asciiTheme="majorHAnsi" w:hAnsiTheme="majorHAnsi" w:cs="Shruti"/>
          <w:sz w:val="16"/>
          <w:szCs w:val="14"/>
        </w:rPr>
        <w:fldChar w:fldCharType="separate"/>
      </w:r>
      <w:r w:rsidRPr="00B9393A">
        <w:rPr>
          <w:rFonts w:eastAsia="Times New Roman" w:asciiTheme="majorHAnsi" w:hAnsiTheme="majorHAnsi" w:cs="Shruti"/>
          <w:sz w:val="16"/>
          <w:szCs w:val="14"/>
        </w:rPr>
        <w:fldChar w:fldCharType="end"/>
      </w:r>
      <w:r w:rsidRPr="00B9393A">
        <w:rPr>
          <w:rFonts w:eastAsia="Times New Roman" w:asciiTheme="majorHAnsi" w:hAnsiTheme="majorHAnsi" w:cs="Shruti"/>
          <w:sz w:val="16"/>
          <w:szCs w:val="14"/>
        </w:rPr>
        <w:t xml:space="preserve"> </w:t>
      </w:r>
      <w:r w:rsidRPr="00B9393A">
        <w:rPr>
          <w:rFonts w:asciiTheme="majorHAnsi" w:hAnsiTheme="majorHAnsi"/>
        </w:rPr>
        <w:t>10. Build and maintain a strong organizational infrastructure for public health</w:t>
      </w:r>
      <w:r w:rsidRPr="00B9393A">
        <w:rPr>
          <w:rFonts w:asciiTheme="majorHAnsi" w:hAnsiTheme="majorHAnsi"/>
          <w:iCs/>
          <w:vertAlign w:val="superscript"/>
        </w:rPr>
        <w:t>1</w:t>
      </w:r>
    </w:p>
    <w:p w:rsidR="00A50A8C" w:rsidRPr="0069525A" w:rsidP="0069525A" w14:paraId="36267330" w14:textId="3C6164A5">
      <w:pPr>
        <w:rPr>
          <w:iCs/>
          <w:color w:val="0070C0"/>
          <w:vertAlign w:val="superscript"/>
        </w:rPr>
      </w:pPr>
    </w:p>
    <w:p w:rsidR="00A50A8C" w:rsidRPr="0069525A" w:rsidP="00A50A8C" w14:paraId="4D1A02DA" w14:textId="7C1DC516">
      <w:pPr>
        <w:jc w:val="both"/>
        <w:rPr>
          <w:rFonts w:asciiTheme="majorHAnsi" w:hAnsiTheme="majorHAnsi" w:cstheme="minorHAnsi"/>
          <w:b/>
          <w:bCs/>
        </w:rPr>
      </w:pPr>
      <w:r w:rsidRPr="0069525A">
        <w:rPr>
          <w:b/>
          <w:bCs/>
        </w:rPr>
        <w:t>Overview of the Information Collection System</w:t>
      </w:r>
    </w:p>
    <w:p w:rsidR="00740462" w:rsidRPr="005C47FA" w:rsidP="00740462" w14:paraId="111567CD" w14:textId="739EF113">
      <w:pPr>
        <w:jc w:val="both"/>
        <w:rPr>
          <w:rFonts w:asciiTheme="majorHAnsi" w:hAnsiTheme="majorHAnsi" w:cstheme="minorHAnsi"/>
        </w:rPr>
      </w:pPr>
      <w:r w:rsidRPr="005C47FA">
        <w:rPr>
          <w:rFonts w:asciiTheme="majorHAnsi" w:hAnsiTheme="majorHAnsi" w:cstheme="minorHAnsi"/>
        </w:rPr>
        <w:t xml:space="preserve">CDC proposes to use a mixed methods (quantitative and qualitative) data collection approach to characterize use and acceptability of the MAHC amongst STLT partners and assess the facilitators and barriers to MAHC implementation. Results from this assessment will inform future planning and prioritization of CDC’s MAHC activities and optimize the MAHC as a resource for STLT public health partners and aquatics stakeholders. All STLT partners will be invited to participate in the quantitative survey through CDC’s network of public health points of contact, and also through non-governmental organization (e.g., National Environmental Health Association [NEHA], National Association of City and County Health Organizations [NACCHO]) partner lists. A sub-set of STLT partners will be asked to participate in focus groups based on the level of MAHC use reported in the survey. Finally, three to five jurisdictions will be asked to participate in a case study about incorporating the MAHC into jurisdictional codes. </w:t>
      </w:r>
    </w:p>
    <w:p w:rsidR="00740462" w:rsidRPr="005C47FA" w:rsidP="00740462" w14:paraId="7D3BDC6A" w14:textId="77777777">
      <w:pPr>
        <w:jc w:val="both"/>
        <w:rPr>
          <w:rFonts w:asciiTheme="majorHAnsi" w:hAnsiTheme="majorHAnsi" w:cstheme="minorHAnsi"/>
        </w:rPr>
      </w:pPr>
      <w:r w:rsidRPr="005C47FA">
        <w:rPr>
          <w:rFonts w:asciiTheme="majorHAnsi" w:hAnsiTheme="majorHAnsi" w:cstheme="minorHAnsi"/>
        </w:rPr>
        <w:t xml:space="preserve">This investigation will use a two-phase, mixed-methods study design. Across both phases, the respondent universe will be comprised of STLT government staff and delegates that act on behalf of an agency in providing essential public health services.  </w:t>
      </w:r>
    </w:p>
    <w:p w:rsidR="00690B9A" w:rsidRPr="0069525A" w:rsidP="00690B9A" w14:paraId="03365BA3" w14:textId="60FA3154">
      <w:pPr>
        <w:jc w:val="both"/>
        <w:rPr>
          <w:rFonts w:asciiTheme="majorHAnsi" w:hAnsiTheme="majorHAnsi" w:cstheme="minorHAnsi"/>
          <w:b/>
          <w:bCs/>
        </w:rPr>
      </w:pPr>
      <w:r w:rsidRPr="0069525A">
        <w:rPr>
          <w:rFonts w:asciiTheme="majorHAnsi" w:hAnsiTheme="majorHAnsi" w:cstheme="minorHAnsi"/>
          <w:b/>
          <w:bCs/>
        </w:rPr>
        <w:t xml:space="preserve">Items of Information </w:t>
      </w:r>
      <w:r w:rsidRPr="0069525A">
        <w:rPr>
          <w:rFonts w:asciiTheme="majorHAnsi" w:hAnsiTheme="majorHAnsi" w:cstheme="minorHAnsi"/>
          <w:b/>
          <w:bCs/>
        </w:rPr>
        <w:t xml:space="preserve">to be </w:t>
      </w:r>
      <w:r w:rsidRPr="0069525A">
        <w:rPr>
          <w:rFonts w:asciiTheme="majorHAnsi" w:hAnsiTheme="majorHAnsi" w:cstheme="minorHAnsi"/>
          <w:b/>
          <w:bCs/>
        </w:rPr>
        <w:t>Collected</w:t>
      </w:r>
    </w:p>
    <w:p w:rsidR="00690B9A" w:rsidRPr="005C47FA" w:rsidP="00690B9A" w14:paraId="57663289" w14:textId="77777777">
      <w:pPr>
        <w:pStyle w:val="ListParagraph"/>
        <w:numPr>
          <w:ilvl w:val="0"/>
          <w:numId w:val="8"/>
        </w:numPr>
        <w:jc w:val="both"/>
        <w:rPr>
          <w:rFonts w:asciiTheme="majorHAnsi" w:hAnsiTheme="majorHAnsi" w:cstheme="minorHAnsi"/>
          <w:szCs w:val="24"/>
        </w:rPr>
      </w:pPr>
      <w:r w:rsidRPr="005C47FA">
        <w:rPr>
          <w:rFonts w:asciiTheme="majorHAnsi" w:hAnsiTheme="majorHAnsi" w:cstheme="minorHAnsi"/>
          <w:b/>
          <w:bCs/>
        </w:rPr>
        <w:t>In Phase I</w:t>
      </w:r>
      <w:r w:rsidRPr="005C47FA">
        <w:rPr>
          <w:rFonts w:asciiTheme="majorHAnsi" w:hAnsiTheme="majorHAnsi" w:cstheme="minorHAnsi"/>
        </w:rPr>
        <w:t xml:space="preserve">, we will conduct a </w:t>
      </w:r>
      <w:r w:rsidRPr="005C47FA">
        <w:rPr>
          <w:rFonts w:asciiTheme="majorHAnsi" w:hAnsiTheme="majorHAnsi" w:cstheme="minorHAnsi"/>
          <w:u w:val="single"/>
        </w:rPr>
        <w:t>quantitative survey</w:t>
      </w:r>
      <w:r w:rsidRPr="005C47FA">
        <w:rPr>
          <w:rFonts w:asciiTheme="majorHAnsi" w:hAnsiTheme="majorHAnsi" w:cstheme="minorHAnsi"/>
        </w:rPr>
        <w:t xml:space="preserve"> (amongst both state/territorial and local-level STLT partners) (Attachment D). We will use results of the survey to allocate participants into stratified focus groups across levels of MAHC use and implementation (Attachments D1-D3). Phase I will allow us to capture information on MAHC use and implementation nationwide. Here, surveys will be distributed to STLT partners across all 55 states and territories. We will collect consent before survey participation (Attachment J). To reach local-level partners, we will distribute the survey to CDC’s STLT partner contacts, and via email lists administered by non-governmental organization such as NACCHO and NEHA (Attachments G1-G2). The survey will remain open for six weeks. We will send reminder emails every two weeks for the six weeks that the survey remains open (Attachment G3). If response rates remain low one month after distribution, we will also explore a snowball sampling approach, in which STLT partners respondents would be asked to voluntarily provide the contact information for other states that may be interested in participating (Attachment H). Survey results will be analyzed through descriptive statistics and parametric/non-parametric statistical tests. </w:t>
      </w:r>
    </w:p>
    <w:p w:rsidR="00690B9A" w:rsidRPr="005C47FA" w:rsidP="00690B9A" w14:paraId="06ADA610" w14:textId="77777777">
      <w:pPr>
        <w:pStyle w:val="ListParagraph"/>
        <w:jc w:val="both"/>
        <w:rPr>
          <w:rFonts w:asciiTheme="majorHAnsi" w:hAnsiTheme="majorHAnsi" w:cstheme="minorHAnsi"/>
        </w:rPr>
      </w:pPr>
    </w:p>
    <w:p w:rsidR="00690B9A" w:rsidRPr="005C47FA" w:rsidP="00690B9A" w14:paraId="4EC87AB2" w14:textId="77777777">
      <w:pPr>
        <w:pStyle w:val="ListParagraph"/>
        <w:jc w:val="both"/>
        <w:rPr>
          <w:rFonts w:asciiTheme="majorHAnsi" w:hAnsiTheme="majorHAnsi" w:cstheme="minorHAnsi"/>
        </w:rPr>
      </w:pPr>
      <w:r w:rsidRPr="005C47FA">
        <w:rPr>
          <w:rFonts w:asciiTheme="majorHAnsi" w:hAnsiTheme="majorHAnsi" w:cstheme="minorHAnsi"/>
        </w:rPr>
        <w:t xml:space="preserve">Focus groups will be administered among STLT public health programs with different levels of MAHC use and implementation (Attachment C). Based on quantitative survey results, we will conduct focus groups across three different levels of MAHC use and implementation (i.e., limited use, moderate use, advanced use) (Attachments D1-D3). We will recruit 4–6 STLT representatives per level. Partners will be recruited into each level based on survey responses, in which participants will be asked to approximate the extent to which their jurisdiction’s public swimming pool regulations use MAHC language; as well as barriers and facilitators to MAHC use and implementation. Once respondents are invited and accept, they will receive an initial confirmation email and then a reminder email (Attachments I1-I3) with details about their focus group meeting. They will be asked to provide their consent before participating in the focus group (Attachment J). Analytic methods for the focus groups will include thematic analyses in MAXQDA to interpret key and emerging themes from the interviews and to highlight illustrative quotes. Findings will be used to contextualize and support results from the survey.   </w:t>
      </w:r>
    </w:p>
    <w:p w:rsidR="00690B9A" w:rsidRPr="005C47FA" w:rsidP="00690B9A" w14:paraId="7C17D20E" w14:textId="77777777">
      <w:pPr>
        <w:pStyle w:val="ListParagraph"/>
        <w:jc w:val="both"/>
        <w:rPr>
          <w:rFonts w:asciiTheme="majorHAnsi" w:hAnsiTheme="majorHAnsi" w:cstheme="minorHAnsi"/>
        </w:rPr>
      </w:pPr>
    </w:p>
    <w:p w:rsidR="00690B9A" w:rsidRPr="005C47FA" w:rsidP="00690B9A" w14:paraId="38E269A8" w14:textId="77777777">
      <w:pPr>
        <w:pStyle w:val="ListParagraph"/>
        <w:numPr>
          <w:ilvl w:val="0"/>
          <w:numId w:val="8"/>
        </w:numPr>
        <w:jc w:val="both"/>
        <w:rPr>
          <w:rFonts w:asciiTheme="majorHAnsi" w:hAnsiTheme="majorHAnsi" w:cstheme="minorHAnsi"/>
        </w:rPr>
      </w:pPr>
      <w:r w:rsidRPr="005C47FA">
        <w:rPr>
          <w:rFonts w:asciiTheme="majorHAnsi" w:hAnsiTheme="majorHAnsi" w:cstheme="minorHAnsi"/>
          <w:b/>
          <w:bCs/>
        </w:rPr>
        <w:t>In Phase II</w:t>
      </w:r>
      <w:r w:rsidRPr="005C47FA">
        <w:rPr>
          <w:rFonts w:asciiTheme="majorHAnsi" w:hAnsiTheme="majorHAnsi" w:cstheme="minorHAnsi"/>
        </w:rPr>
        <w:t xml:space="preserve">, we will conduct in-depth </w:t>
      </w:r>
      <w:r w:rsidRPr="005C47FA">
        <w:rPr>
          <w:rFonts w:asciiTheme="majorHAnsi" w:hAnsiTheme="majorHAnsi" w:cstheme="minorHAnsi"/>
          <w:u w:val="single"/>
        </w:rPr>
        <w:t>case studies</w:t>
      </w:r>
      <w:r w:rsidRPr="005C47FA">
        <w:rPr>
          <w:rFonts w:asciiTheme="majorHAnsi" w:hAnsiTheme="majorHAnsi" w:cstheme="minorHAnsi"/>
        </w:rPr>
        <w:t xml:space="preserve"> among STLT partners. Data collection will be conducted in the form of key-informant interviews across multiple stakeholders within a given jurisdiction (e.g., epidemiologists, environmental health professionals, policy specialists) (Attachment E). Participants will be recruited into the case study based on indicated interest during the focus group (Attachment K1). Once participants are identified they will receive a confirmation email (Attachment K2) with detailed information about the case study meeting session. Before participation, respondents will be asked to provide consent (Attachment L). Case studies will offer rich, in-depth information about the interactions between MAHC use and implementation and its socio-political context for “case” </w:t>
      </w:r>
      <w:r w:rsidRPr="005C47FA">
        <w:rPr>
          <w:rFonts w:asciiTheme="majorHAnsi" w:hAnsiTheme="majorHAnsi" w:cstheme="minorHAnsi"/>
        </w:rPr>
        <w:t xml:space="preserve">jurisdictions [1] and serve as examples of how to widely use and implement the MAHC within a jurisdiction. Cases will be bound by time and place (or setting), and we will collect detailed information using a variety of data collection procedures over a sustained period [2, 3]. We will conduct three to five case studies with approximately 15 key informants. </w:t>
      </w:r>
    </w:p>
    <w:p w:rsidR="008C7E71" w:rsidP="008C7E71" w14:paraId="696D0D2B" w14:textId="77777777">
      <w:pPr>
        <w:ind w:left="720"/>
        <w:jc w:val="both"/>
        <w:rPr>
          <w:rFonts w:asciiTheme="majorHAnsi" w:hAnsiTheme="majorHAnsi" w:cstheme="minorHAnsi"/>
          <w:szCs w:val="24"/>
        </w:rPr>
      </w:pPr>
      <w:r w:rsidRPr="005C47FA">
        <w:rPr>
          <w:rFonts w:asciiTheme="majorHAnsi" w:hAnsiTheme="majorHAnsi" w:cstheme="minorHAnsi"/>
        </w:rPr>
        <w:t xml:space="preserve">A descriptive [multi] case study approach will be used. This descriptive focus is essential, as it allows us to develop a deep, comprehensive understanding of the MAHC’s impact. The objective of case study analysis is transferability, which will allow us to make claims about MAHC use and implementation based on insights gained from a few cases (i.e., jurisdictions). We assert that the understanding gathered from the in-depth study of four local-level jurisdictions and how they interact with the MAHC will be transferable to other jurisdictions. The [multi] case study analysis uses purposeful sampling of 1–4 units (i.e., jurisdictions). By being specific about which jurisdictions select as cases, this purposeful sampling will allow us to gather data from a variety of sources for a specific jurisdiction.   </w:t>
      </w:r>
    </w:p>
    <w:p w:rsidR="00690B9A" w:rsidRPr="0069525A" w:rsidP="0069525A" w14:paraId="46794CAF" w14:textId="6536266D">
      <w:pPr>
        <w:ind w:left="720"/>
        <w:jc w:val="both"/>
        <w:rPr>
          <w:rFonts w:asciiTheme="majorHAnsi" w:hAnsiTheme="majorHAnsi" w:cstheme="minorHAnsi"/>
          <w:szCs w:val="24"/>
        </w:rPr>
      </w:pPr>
      <w:r w:rsidRPr="0069525A">
        <w:rPr>
          <w:rFonts w:asciiTheme="majorHAnsi" w:hAnsiTheme="majorHAnsi" w:cstheme="minorHAnsi"/>
          <w:u w:val="single"/>
        </w:rPr>
        <w:t>Data collection:</w:t>
      </w:r>
      <w:r w:rsidRPr="0069525A">
        <w:rPr>
          <w:rFonts w:asciiTheme="majorHAnsi" w:hAnsiTheme="majorHAnsi" w:cstheme="minorHAnsi"/>
        </w:rPr>
        <w:t xml:space="preserve"> In Phase II, data collection will be conducted in the form of key-informant interviews across multiple stakeholders within a given jurisdiction (e.g., epidemiologists, environmental health professionals, policy specialists). We will conduct case studies featuring three to five jurisdictions, with approximately 15 total key informants (three to five key informants per jurisdiction). Additional qualitative research methods may include policy and legislative document analysis (i.e., local jurisdiction aquatic code review), as well as stakeholder and timeline mapping. </w:t>
      </w:r>
    </w:p>
    <w:p w:rsidR="00690B9A" w:rsidRPr="005C47FA" w:rsidP="20DD1ED5" w14:paraId="17946F8A" w14:textId="77777777">
      <w:pPr>
        <w:jc w:val="both"/>
        <w:rPr>
          <w:rFonts w:asciiTheme="majorHAnsi" w:hAnsiTheme="majorHAnsi" w:cstheme="minorHAnsi"/>
        </w:rPr>
      </w:pPr>
    </w:p>
    <w:p w:rsidR="004A13E8" w:rsidRPr="005C47FA" w:rsidP="004A13E8" w14:paraId="55FE17B7" w14:textId="77777777">
      <w:pPr>
        <w:pStyle w:val="Heading1"/>
        <w:rPr>
          <w:rFonts w:asciiTheme="majorHAnsi" w:hAnsiTheme="majorHAnsi" w:cstheme="minorHAnsi"/>
        </w:rPr>
      </w:pPr>
      <w:bookmarkStart w:id="7" w:name="_Toc172646904"/>
      <w:r w:rsidRPr="005C47FA">
        <w:rPr>
          <w:rFonts w:asciiTheme="majorHAnsi" w:hAnsiTheme="majorHAnsi" w:cstheme="minorHAnsi"/>
        </w:rPr>
        <w:t>Purpose and Use of Information Collection</w:t>
      </w:r>
      <w:bookmarkEnd w:id="7"/>
    </w:p>
    <w:p w:rsidR="00690B9A" w:rsidRPr="005C47FA" w:rsidP="00690B9A" w14:paraId="4E9AF6EC" w14:textId="28225D95">
      <w:pPr>
        <w:jc w:val="both"/>
        <w:rPr>
          <w:rFonts w:asciiTheme="majorHAnsi" w:hAnsiTheme="majorHAnsi" w:cstheme="minorHAnsi"/>
        </w:rPr>
      </w:pPr>
      <w:r w:rsidRPr="005C47FA">
        <w:rPr>
          <w:rFonts w:asciiTheme="majorHAnsi" w:hAnsiTheme="majorHAnsi" w:cstheme="minorHAnsi"/>
        </w:rPr>
        <w:t xml:space="preserve">The overarching goals of this project are to characterize MAHC use and acceptability, and the facilitators and barriers to MAHC use and implementation. Results from this assessment will inform CDC’s decision-making regarding MAHC activities and optimize the MAHC as a resource for state, tribal, local, and territorial (STLT) public health partners. For the purposes of this project, we define MAHC “use” as MAHC language being incorporated into the jurisdiction’s pool code; or the MAHC being used as a reference to address a gap or need that is not addressed directly in the jurisdiction’s code. “Implementation” is being defined as the operationalization of code changes (e.g., training of pool inspectors and operators; updating inspection forms; educating health officials and operators on new guidelines). </w:t>
      </w:r>
    </w:p>
    <w:p w:rsidR="00690B9A" w:rsidRPr="005C47FA" w:rsidP="00690B9A" w14:paraId="29FF92CD" w14:textId="77777777">
      <w:pPr>
        <w:jc w:val="both"/>
        <w:rPr>
          <w:rFonts w:asciiTheme="majorHAnsi" w:hAnsiTheme="majorHAnsi" w:cstheme="minorHAnsi"/>
        </w:rPr>
      </w:pPr>
      <w:r w:rsidRPr="005C47FA">
        <w:rPr>
          <w:rFonts w:asciiTheme="majorHAnsi" w:hAnsiTheme="majorHAnsi" w:cstheme="minorHAnsi"/>
        </w:rPr>
        <w:t xml:space="preserve">In the 10 years since the MAHC’s release, CDC has focused on developing and keeping the MAHC current and in line with the scientific literature. However, the agency has thus far taken a passive, informal approach to understanding stakeholder use and implementation of the MAHC. The MAHC is currently written in “code language” so that individual jurisdictions can readily use all or parts of MAHC language, modify the MAHC as needed to meet their unique needs, or choose not to use the MAHC at all. Based on anecdotal reports from across the United States, CDC is aware of multiple jurisdictions incorporating MAHC language into their pool regulations or using the MAHC or MAHC </w:t>
      </w:r>
      <w:r w:rsidRPr="005C47FA">
        <w:rPr>
          <w:rFonts w:asciiTheme="majorHAnsi" w:hAnsiTheme="majorHAnsi" w:cstheme="minorHAnsi"/>
        </w:rPr>
        <w:t>Annex as references. There is a need for CDC to formally characterize the use and acceptability of the MAHC and assess the contextual factors that contribute to or serve as barriers for MAHC use and implementation to ensure the MAHC and MAHC Annex are meeting CDC’s STLT partner needs and help to prioritize program resource allocation for future MAHC/Annex activities (e.g., revisions, associated resources such as training materials or infographics). This activity falls under Objective 1 of CDC Waterborne Disease Prevention Branch’s (WDPB) 2024 strategic objectives: to prevent and control Water, Sanitation, and Hygiene (WASH)-related outbreaks. Within NCEZID’s Domestic Water, Sanitation, and Hygiene Epidemiology (DWASHE) Team, this work establishes a baseline understanding of partners’ level of understanding or engagement with WASH-related policies, regulations, and prevention behaviors.</w:t>
      </w:r>
    </w:p>
    <w:p w:rsidR="00B435C7" w:rsidRPr="005C47FA" w:rsidP="20DD1ED5" w14:paraId="582F9557" w14:textId="688FB78B">
      <w:pPr>
        <w:jc w:val="both"/>
        <w:rPr>
          <w:rFonts w:asciiTheme="majorHAnsi" w:hAnsiTheme="majorHAnsi" w:cstheme="minorHAnsi"/>
        </w:rPr>
      </w:pPr>
      <w:r w:rsidRPr="005C47FA">
        <w:rPr>
          <w:rFonts w:asciiTheme="majorHAnsi" w:hAnsiTheme="majorHAnsi" w:cstheme="minorHAnsi"/>
        </w:rPr>
        <w:t xml:space="preserve">CDC does not anticipate that these data collection activities will yield generalizable data. Rather, results will be used to better understand the range of experiences among STLT participants and serve as one of many data inputs into MAHC program management and </w:t>
      </w:r>
      <w:r w:rsidRPr="005C47FA" w:rsidR="005C0678">
        <w:rPr>
          <w:rFonts w:asciiTheme="majorHAnsi" w:hAnsiTheme="majorHAnsi" w:cstheme="minorHAnsi"/>
        </w:rPr>
        <w:t>decision-making</w:t>
      </w:r>
      <w:r w:rsidRPr="005C47FA">
        <w:rPr>
          <w:rFonts w:asciiTheme="majorHAnsi" w:hAnsiTheme="majorHAnsi" w:cstheme="minorHAnsi"/>
        </w:rPr>
        <w:t>.  Specifically, we expect that results will indicate which sections of the MAHC are most useful to STLT partners (including supplemental resources available on the CDC website including the MAHC Annex, mini-MAHCs,</w:t>
      </w:r>
      <w:r w:rsidR="00270525">
        <w:rPr>
          <w:rFonts w:asciiTheme="majorHAnsi" w:hAnsiTheme="majorHAnsi" w:cstheme="minorHAnsi"/>
        </w:rPr>
        <w:t xml:space="preserve"> </w:t>
      </w:r>
      <w:r w:rsidRPr="005C47FA" w:rsidR="00082EFC">
        <w:rPr>
          <w:rFonts w:asciiTheme="majorHAnsi" w:hAnsiTheme="majorHAnsi" w:cstheme="minorHAnsi"/>
        </w:rPr>
        <w:t xml:space="preserve">training resources, </w:t>
      </w:r>
      <w:r w:rsidRPr="005C47FA">
        <w:rPr>
          <w:rFonts w:asciiTheme="majorHAnsi" w:hAnsiTheme="majorHAnsi" w:cstheme="minorHAnsi"/>
        </w:rPr>
        <w:t xml:space="preserve">etc.). We aim to learn where the MAHC could be streamlined or reformatted and what further supporting resources may need to be developed to facilitate MAHC use and implementation. Further, we will gain an understanding of why the MAHC may not be used or implemented by a jurisdiction (e.g., the jurisdiction already has </w:t>
      </w:r>
      <w:r w:rsidRPr="005C47FA" w:rsidR="005C0678">
        <w:rPr>
          <w:rFonts w:asciiTheme="majorHAnsi" w:hAnsiTheme="majorHAnsi" w:cstheme="minorHAnsi"/>
        </w:rPr>
        <w:t xml:space="preserve">a </w:t>
      </w:r>
      <w:r w:rsidRPr="005C47FA">
        <w:rPr>
          <w:rFonts w:asciiTheme="majorHAnsi" w:hAnsiTheme="majorHAnsi" w:cstheme="minorHAnsi"/>
        </w:rPr>
        <w:t xml:space="preserve">comprehensive code that </w:t>
      </w:r>
      <w:r w:rsidRPr="005C47FA">
        <w:rPr>
          <w:rFonts w:asciiTheme="majorHAnsi" w:hAnsiTheme="majorHAnsi" w:cstheme="minorHAnsi"/>
        </w:rPr>
        <w:t>is in agreement</w:t>
      </w:r>
      <w:r w:rsidRPr="005C47FA">
        <w:rPr>
          <w:rFonts w:asciiTheme="majorHAnsi" w:hAnsiTheme="majorHAnsi" w:cstheme="minorHAnsi"/>
        </w:rPr>
        <w:t xml:space="preserve"> with the MAHC). Finally, we aim to put forth case studies of jurisdictions to provide strategies for </w:t>
      </w:r>
      <w:r w:rsidRPr="005C47FA" w:rsidR="64654024">
        <w:rPr>
          <w:rFonts w:asciiTheme="majorHAnsi" w:hAnsiTheme="majorHAnsi" w:cstheme="minorHAnsi"/>
        </w:rPr>
        <w:t xml:space="preserve">future </w:t>
      </w:r>
      <w:r w:rsidRPr="005C47FA">
        <w:rPr>
          <w:rFonts w:asciiTheme="majorHAnsi" w:hAnsiTheme="majorHAnsi" w:cstheme="minorHAnsi"/>
        </w:rPr>
        <w:t>MAHC use and implementation.</w:t>
      </w:r>
    </w:p>
    <w:p w:rsidR="004A13E8" w:rsidRPr="005C47FA" w:rsidP="004A13E8" w14:paraId="55FE17B9" w14:textId="77777777">
      <w:pPr>
        <w:pStyle w:val="Heading1"/>
        <w:rPr>
          <w:rFonts w:asciiTheme="majorHAnsi" w:hAnsiTheme="majorHAnsi" w:cstheme="minorHAnsi"/>
        </w:rPr>
      </w:pPr>
      <w:bookmarkStart w:id="8" w:name="_Toc172646905"/>
      <w:r w:rsidRPr="005C47FA">
        <w:rPr>
          <w:rFonts w:asciiTheme="majorHAnsi" w:hAnsiTheme="majorHAnsi" w:cstheme="minorHAnsi"/>
        </w:rPr>
        <w:t>Use of Improved Information Technology and Burden Reduction</w:t>
      </w:r>
      <w:bookmarkEnd w:id="8"/>
    </w:p>
    <w:p w:rsidR="00B435C7" w:rsidRPr="005C47FA" w:rsidP="20DD1ED5" w14:paraId="6642F61D" w14:textId="16A20CD7">
      <w:pPr>
        <w:jc w:val="both"/>
        <w:rPr>
          <w:rFonts w:asciiTheme="majorHAnsi" w:hAnsiTheme="majorHAnsi" w:cstheme="minorHAnsi"/>
        </w:rPr>
      </w:pPr>
      <w:r w:rsidRPr="005C47FA">
        <w:rPr>
          <w:rFonts w:asciiTheme="majorHAnsi" w:hAnsiTheme="majorHAnsi" w:cstheme="minorHAnsi"/>
        </w:rPr>
        <w:t>Data from the quantitative survey will be collected using</w:t>
      </w:r>
      <w:r w:rsidRPr="005C47FA" w:rsidR="00C36783">
        <w:rPr>
          <w:rFonts w:asciiTheme="majorHAnsi" w:hAnsiTheme="majorHAnsi" w:cstheme="minorHAnsi"/>
        </w:rPr>
        <w:t xml:space="preserve"> Epi</w:t>
      </w:r>
      <w:r w:rsidRPr="005C47FA" w:rsidR="5FB44A47">
        <w:rPr>
          <w:rFonts w:asciiTheme="majorHAnsi" w:hAnsiTheme="majorHAnsi" w:cstheme="minorHAnsi"/>
        </w:rPr>
        <w:t xml:space="preserve"> </w:t>
      </w:r>
      <w:r w:rsidRPr="005C47FA" w:rsidR="00C36783">
        <w:rPr>
          <w:rFonts w:asciiTheme="majorHAnsi" w:hAnsiTheme="majorHAnsi" w:cstheme="minorHAnsi"/>
        </w:rPr>
        <w:t>Info</w:t>
      </w:r>
      <w:r w:rsidRPr="005C47FA" w:rsidR="17CBA9CF">
        <w:rPr>
          <w:rFonts w:asciiTheme="majorHAnsi" w:hAnsiTheme="majorHAnsi" w:cstheme="minorHAnsi"/>
          <w:vertAlign w:val="superscript"/>
        </w:rPr>
        <w:t>TM</w:t>
      </w:r>
      <w:r w:rsidRPr="005C47FA" w:rsidR="00C21227">
        <w:rPr>
          <w:rFonts w:asciiTheme="majorHAnsi" w:hAnsiTheme="majorHAnsi" w:cstheme="minorHAnsi"/>
        </w:rPr>
        <w:t>,</w:t>
      </w:r>
      <w:r w:rsidRPr="005C47FA">
        <w:rPr>
          <w:rFonts w:asciiTheme="majorHAnsi" w:hAnsiTheme="majorHAnsi" w:cstheme="minorHAnsi"/>
        </w:rPr>
        <w:t xml:space="preserve"> a</w:t>
      </w:r>
      <w:r w:rsidRPr="005C47FA" w:rsidR="00C21227">
        <w:rPr>
          <w:rFonts w:asciiTheme="majorHAnsi" w:hAnsiTheme="majorHAnsi" w:cstheme="minorHAnsi"/>
        </w:rPr>
        <w:t>n</w:t>
      </w:r>
      <w:r w:rsidRPr="005C47FA">
        <w:rPr>
          <w:rFonts w:asciiTheme="majorHAnsi" w:hAnsiTheme="majorHAnsi" w:cstheme="minorHAnsi"/>
        </w:rPr>
        <w:t xml:space="preserve"> online </w:t>
      </w:r>
      <w:r w:rsidRPr="005C47FA" w:rsidR="00C21227">
        <w:rPr>
          <w:rFonts w:asciiTheme="majorHAnsi" w:hAnsiTheme="majorHAnsi" w:cstheme="minorHAnsi"/>
        </w:rPr>
        <w:t xml:space="preserve">CDC </w:t>
      </w:r>
      <w:r w:rsidRPr="005C47FA">
        <w:rPr>
          <w:rFonts w:asciiTheme="majorHAnsi" w:hAnsiTheme="majorHAnsi" w:cstheme="minorHAnsi"/>
        </w:rPr>
        <w:t xml:space="preserve">data collection tool. Focus groups and case study data collection will be conducted using online video meetings </w:t>
      </w:r>
      <w:r w:rsidRPr="005C47FA" w:rsidR="0EAF6E0E">
        <w:rPr>
          <w:rFonts w:asciiTheme="majorHAnsi" w:hAnsiTheme="majorHAnsi" w:cstheme="minorHAnsi"/>
        </w:rPr>
        <w:t>(i.e., Zoom</w:t>
      </w:r>
      <w:r w:rsidRPr="005C47FA" w:rsidR="5DD98D9F">
        <w:rPr>
          <w:rFonts w:asciiTheme="majorHAnsi" w:hAnsiTheme="majorHAnsi" w:cstheme="minorHAnsi"/>
          <w:vertAlign w:val="superscript"/>
        </w:rPr>
        <w:t>(r)</w:t>
      </w:r>
      <w:r w:rsidRPr="005C47FA" w:rsidR="0EAF6E0E">
        <w:rPr>
          <w:rFonts w:asciiTheme="majorHAnsi" w:hAnsiTheme="majorHAnsi" w:cstheme="minorHAnsi"/>
        </w:rPr>
        <w:t xml:space="preserve">) </w:t>
      </w:r>
      <w:r w:rsidRPr="005C47FA">
        <w:rPr>
          <w:rFonts w:asciiTheme="majorHAnsi" w:hAnsiTheme="majorHAnsi" w:cstheme="minorHAnsi"/>
        </w:rPr>
        <w:t>because these discussions require direct interaction between respondents and project staff.</w:t>
      </w:r>
    </w:p>
    <w:p w:rsidR="004A13E8" w:rsidRPr="005C47FA" w:rsidP="004A13E8" w14:paraId="55FE17BC" w14:textId="77777777">
      <w:pPr>
        <w:pStyle w:val="Heading1"/>
        <w:rPr>
          <w:rFonts w:asciiTheme="majorHAnsi" w:hAnsiTheme="majorHAnsi" w:cstheme="minorHAnsi"/>
        </w:rPr>
      </w:pPr>
      <w:bookmarkStart w:id="9" w:name="_Toc172646906"/>
      <w:r w:rsidRPr="005C47FA">
        <w:rPr>
          <w:rFonts w:asciiTheme="majorHAnsi" w:hAnsiTheme="majorHAnsi" w:cstheme="minorHAnsi"/>
        </w:rPr>
        <w:t>Efforts to Identify Duplication and Use of Similar Information</w:t>
      </w:r>
      <w:bookmarkEnd w:id="9"/>
    </w:p>
    <w:p w:rsidR="003B2FB4" w:rsidRPr="005C47FA" w:rsidP="20DD1ED5" w14:paraId="55FE17BE" w14:textId="59818936">
      <w:pPr>
        <w:jc w:val="both"/>
        <w:rPr>
          <w:rFonts w:asciiTheme="majorHAnsi" w:hAnsiTheme="majorHAnsi" w:cstheme="minorHAnsi"/>
        </w:rPr>
      </w:pPr>
      <w:r w:rsidRPr="005C47FA">
        <w:rPr>
          <w:rFonts w:asciiTheme="majorHAnsi" w:hAnsiTheme="majorHAnsi" w:cstheme="minorHAnsi"/>
        </w:rPr>
        <w:t>CDC recognizes and understands the fact that many collection requests are made to governmental health agencies and their delegates. This data collection activity does not duplicate other</w:t>
      </w:r>
      <w:r w:rsidRPr="005C47FA" w:rsidR="00E22468">
        <w:rPr>
          <w:rFonts w:asciiTheme="majorHAnsi" w:hAnsiTheme="majorHAnsi" w:cstheme="minorHAnsi"/>
        </w:rPr>
        <w:t xml:space="preserve"> current or recent</w:t>
      </w:r>
      <w:r w:rsidRPr="005C47FA">
        <w:rPr>
          <w:rFonts w:asciiTheme="majorHAnsi" w:hAnsiTheme="majorHAnsi" w:cstheme="minorHAnsi"/>
        </w:rPr>
        <w:t xml:space="preserve"> requests for information about the MAHC</w:t>
      </w:r>
      <w:r w:rsidRPr="005C47FA" w:rsidR="008D2C07">
        <w:rPr>
          <w:rFonts w:asciiTheme="majorHAnsi" w:hAnsiTheme="majorHAnsi" w:cstheme="minorHAnsi"/>
        </w:rPr>
        <w:t xml:space="preserve"> overall</w:t>
      </w:r>
      <w:r w:rsidRPr="005C47FA" w:rsidR="00E91ECE">
        <w:rPr>
          <w:rFonts w:asciiTheme="majorHAnsi" w:hAnsiTheme="majorHAnsi" w:cstheme="minorHAnsi"/>
        </w:rPr>
        <w:t>. CDC is aware that portions of the MAHC have been evaluated during small projects by non-governmental organizations in the 10</w:t>
      </w:r>
      <w:r w:rsidRPr="005C47FA" w:rsidR="00A24430">
        <w:rPr>
          <w:rFonts w:asciiTheme="majorHAnsi" w:hAnsiTheme="majorHAnsi" w:cstheme="minorHAnsi"/>
        </w:rPr>
        <w:t xml:space="preserve">-year history of the MAHC; however, these data collection activities had limited reach (i.e., </w:t>
      </w:r>
      <w:r w:rsidRPr="005C47FA" w:rsidR="006C4F27">
        <w:rPr>
          <w:rFonts w:asciiTheme="majorHAnsi" w:hAnsiTheme="majorHAnsi" w:cstheme="minorHAnsi"/>
        </w:rPr>
        <w:t>requested information from a few jurisdictions) and scope (i.e., focused on a</w:t>
      </w:r>
      <w:r w:rsidRPr="005C47FA" w:rsidR="001241F6">
        <w:rPr>
          <w:rFonts w:asciiTheme="majorHAnsi" w:hAnsiTheme="majorHAnsi" w:cstheme="minorHAnsi"/>
        </w:rPr>
        <w:t xml:space="preserve"> part of the MAHC or MAHC resource).  Information gathered during this current assessment will</w:t>
      </w:r>
      <w:r w:rsidRPr="005C47FA" w:rsidR="003B2063">
        <w:rPr>
          <w:rFonts w:asciiTheme="majorHAnsi" w:hAnsiTheme="majorHAnsi" w:cstheme="minorHAnsi"/>
        </w:rPr>
        <w:t xml:space="preserve"> not duplicate previous assessments and will </w:t>
      </w:r>
      <w:r w:rsidRPr="005C47FA">
        <w:rPr>
          <w:rFonts w:asciiTheme="majorHAnsi" w:hAnsiTheme="majorHAnsi" w:cstheme="minorHAnsi"/>
        </w:rPr>
        <w:t xml:space="preserve">be invaluable to CDC as decisions are made to improve the MAHC and its related activities and resources in the future. </w:t>
      </w:r>
    </w:p>
    <w:p w:rsidR="00DC57CC" w:rsidRPr="005C47FA" w:rsidP="004A13E8" w14:paraId="55FE17BF" w14:textId="77777777">
      <w:pPr>
        <w:pStyle w:val="Heading1"/>
        <w:rPr>
          <w:rFonts w:asciiTheme="majorHAnsi" w:hAnsiTheme="majorHAnsi" w:cstheme="minorHAnsi"/>
        </w:rPr>
      </w:pPr>
      <w:bookmarkStart w:id="10" w:name="_Toc172646907"/>
      <w:r w:rsidRPr="005C47FA">
        <w:rPr>
          <w:rFonts w:asciiTheme="majorHAnsi" w:hAnsiTheme="majorHAnsi" w:cstheme="minorHAnsi"/>
        </w:rPr>
        <w:t>Impact on Small Businesses or Other Small Entities</w:t>
      </w:r>
      <w:bookmarkEnd w:id="10"/>
    </w:p>
    <w:p w:rsidR="004A13E8" w:rsidRPr="005C47FA" w:rsidP="004A13E8" w14:paraId="55FE17C2" w14:textId="15A3F503">
      <w:pPr>
        <w:rPr>
          <w:rFonts w:asciiTheme="majorHAnsi" w:hAnsiTheme="majorHAnsi" w:cstheme="minorHAnsi"/>
        </w:rPr>
      </w:pPr>
      <w:r w:rsidRPr="005C47FA">
        <w:rPr>
          <w:rFonts w:asciiTheme="majorHAnsi" w:hAnsiTheme="majorHAnsi" w:cstheme="minorHAnsi"/>
        </w:rPr>
        <w:t xml:space="preserve">No small businesses will be involved in this data collection. </w:t>
      </w:r>
    </w:p>
    <w:p w:rsidR="004A13E8" w:rsidRPr="005C47FA" w:rsidP="004A13E8" w14:paraId="55FE17C3" w14:textId="77777777">
      <w:pPr>
        <w:pStyle w:val="Heading1"/>
        <w:rPr>
          <w:rFonts w:asciiTheme="majorHAnsi" w:hAnsiTheme="majorHAnsi" w:cstheme="minorHAnsi"/>
        </w:rPr>
      </w:pPr>
      <w:bookmarkStart w:id="11" w:name="_Toc172646908"/>
      <w:r w:rsidRPr="005C47FA">
        <w:rPr>
          <w:rFonts w:asciiTheme="majorHAnsi" w:hAnsiTheme="majorHAnsi" w:cstheme="minorHAnsi"/>
        </w:rPr>
        <w:t>Consequences of Collecting the Information Less Frequently</w:t>
      </w:r>
      <w:bookmarkEnd w:id="11"/>
    </w:p>
    <w:p w:rsidR="0044091F" w:rsidRPr="005C47FA" w:rsidP="20DD1ED5" w14:paraId="593D9631" w14:textId="472D1737">
      <w:pPr>
        <w:jc w:val="both"/>
        <w:rPr>
          <w:rFonts w:asciiTheme="majorHAnsi" w:hAnsiTheme="majorHAnsi" w:cstheme="minorHAnsi"/>
        </w:rPr>
      </w:pPr>
      <w:r w:rsidRPr="005C47FA">
        <w:rPr>
          <w:rFonts w:asciiTheme="majorHAnsi" w:hAnsiTheme="majorHAnsi" w:cstheme="minorHAnsi"/>
        </w:rPr>
        <w:t>This is a one-time information collection</w:t>
      </w:r>
      <w:r w:rsidRPr="005C47FA" w:rsidR="004866FB">
        <w:rPr>
          <w:rFonts w:asciiTheme="majorHAnsi" w:hAnsiTheme="majorHAnsi" w:cstheme="minorHAnsi"/>
        </w:rPr>
        <w:t xml:space="preserve">. </w:t>
      </w:r>
      <w:r w:rsidRPr="005C47FA" w:rsidR="008172DC">
        <w:rPr>
          <w:rFonts w:asciiTheme="majorHAnsi" w:hAnsiTheme="majorHAnsi" w:cstheme="minorHAnsi"/>
        </w:rPr>
        <w:t xml:space="preserve">Some respondents </w:t>
      </w:r>
      <w:r w:rsidRPr="005C47FA" w:rsidR="00CA4920">
        <w:rPr>
          <w:rFonts w:asciiTheme="majorHAnsi" w:hAnsiTheme="majorHAnsi" w:cstheme="minorHAnsi"/>
        </w:rPr>
        <w:t>may</w:t>
      </w:r>
      <w:r w:rsidRPr="005C47FA" w:rsidR="0064582A">
        <w:rPr>
          <w:rFonts w:asciiTheme="majorHAnsi" w:hAnsiTheme="majorHAnsi" w:cstheme="minorHAnsi"/>
        </w:rPr>
        <w:t xml:space="preserve"> choose to</w:t>
      </w:r>
      <w:r w:rsidRPr="005C47FA" w:rsidR="00CA4920">
        <w:rPr>
          <w:rFonts w:asciiTheme="majorHAnsi" w:hAnsiTheme="majorHAnsi" w:cstheme="minorHAnsi"/>
        </w:rPr>
        <w:t xml:space="preserve"> participate in more than one</w:t>
      </w:r>
      <w:r w:rsidRPr="005C47FA" w:rsidR="00067ACF">
        <w:rPr>
          <w:rFonts w:asciiTheme="majorHAnsi" w:hAnsiTheme="majorHAnsi" w:cstheme="minorHAnsi"/>
        </w:rPr>
        <w:t xml:space="preserve"> part of this full</w:t>
      </w:r>
      <w:r w:rsidRPr="005C47FA" w:rsidR="00B5157E">
        <w:rPr>
          <w:rFonts w:asciiTheme="majorHAnsi" w:hAnsiTheme="majorHAnsi" w:cstheme="minorHAnsi"/>
        </w:rPr>
        <w:t xml:space="preserve"> data collection activity</w:t>
      </w:r>
      <w:r w:rsidRPr="005C47FA" w:rsidR="00067ACF">
        <w:rPr>
          <w:rFonts w:asciiTheme="majorHAnsi" w:hAnsiTheme="majorHAnsi" w:cstheme="minorHAnsi"/>
        </w:rPr>
        <w:t xml:space="preserve"> (i.e., quantitative survey, focus group, and/or case study)</w:t>
      </w:r>
      <w:r w:rsidRPr="005C47FA" w:rsidR="0011286E">
        <w:rPr>
          <w:rFonts w:asciiTheme="majorHAnsi" w:hAnsiTheme="majorHAnsi" w:cstheme="minorHAnsi"/>
        </w:rPr>
        <w:t xml:space="preserve">. For example, </w:t>
      </w:r>
      <w:r w:rsidRPr="005C47FA" w:rsidR="008838D8">
        <w:rPr>
          <w:rFonts w:asciiTheme="majorHAnsi" w:hAnsiTheme="majorHAnsi" w:cstheme="minorHAnsi"/>
        </w:rPr>
        <w:t>a sub-set of survey respondents</w:t>
      </w:r>
      <w:r w:rsidRPr="005C47FA" w:rsidR="00CC097B">
        <w:rPr>
          <w:rFonts w:asciiTheme="majorHAnsi" w:hAnsiTheme="majorHAnsi" w:cstheme="minorHAnsi"/>
        </w:rPr>
        <w:t xml:space="preserve"> (</w:t>
      </w:r>
      <w:r w:rsidRPr="005C47FA" w:rsidR="00B10802">
        <w:rPr>
          <w:rFonts w:asciiTheme="majorHAnsi" w:hAnsiTheme="majorHAnsi" w:cstheme="minorHAnsi"/>
        </w:rPr>
        <w:t>N</w:t>
      </w:r>
      <w:r w:rsidRPr="005C47FA" w:rsidR="00FB3522">
        <w:rPr>
          <w:rFonts w:asciiTheme="majorHAnsi" w:hAnsiTheme="majorHAnsi" w:cstheme="minorHAnsi"/>
        </w:rPr>
        <w:t>≤</w:t>
      </w:r>
      <w:r w:rsidRPr="005C47FA" w:rsidR="00FB1E90">
        <w:rPr>
          <w:rFonts w:asciiTheme="majorHAnsi" w:hAnsiTheme="majorHAnsi" w:cstheme="minorHAnsi"/>
        </w:rPr>
        <w:t>1,</w:t>
      </w:r>
      <w:r w:rsidRPr="005C47FA" w:rsidR="2278F4D3">
        <w:rPr>
          <w:rFonts w:asciiTheme="majorHAnsi" w:hAnsiTheme="majorHAnsi" w:cstheme="minorHAnsi"/>
        </w:rPr>
        <w:t>3</w:t>
      </w:r>
      <w:r w:rsidRPr="005C47FA" w:rsidR="37C429A1">
        <w:rPr>
          <w:rFonts w:asciiTheme="majorHAnsi" w:hAnsiTheme="majorHAnsi" w:cstheme="minorHAnsi"/>
        </w:rPr>
        <w:t>3</w:t>
      </w:r>
      <w:r w:rsidRPr="005C47FA" w:rsidR="00CE1C3E">
        <w:rPr>
          <w:rFonts w:asciiTheme="majorHAnsi" w:hAnsiTheme="majorHAnsi" w:cstheme="minorHAnsi"/>
        </w:rPr>
        <w:t>4</w:t>
      </w:r>
      <w:r w:rsidRPr="005C47FA" w:rsidR="00B10802">
        <w:rPr>
          <w:rFonts w:asciiTheme="majorHAnsi" w:hAnsiTheme="majorHAnsi" w:cstheme="minorHAnsi"/>
        </w:rPr>
        <w:t>)</w:t>
      </w:r>
      <w:r w:rsidRPr="005C47FA" w:rsidR="008838D8">
        <w:rPr>
          <w:rFonts w:asciiTheme="majorHAnsi" w:hAnsiTheme="majorHAnsi" w:cstheme="minorHAnsi"/>
        </w:rPr>
        <w:t xml:space="preserve"> will be asked to participate in focus groups</w:t>
      </w:r>
      <w:r w:rsidRPr="005C47FA" w:rsidR="00A77022">
        <w:rPr>
          <w:rFonts w:asciiTheme="majorHAnsi" w:hAnsiTheme="majorHAnsi" w:cstheme="minorHAnsi"/>
        </w:rPr>
        <w:t xml:space="preserve"> (</w:t>
      </w:r>
      <w:r w:rsidRPr="005C47FA" w:rsidR="003B6394">
        <w:rPr>
          <w:rFonts w:asciiTheme="majorHAnsi" w:hAnsiTheme="majorHAnsi" w:cstheme="minorHAnsi"/>
        </w:rPr>
        <w:t>n≤</w:t>
      </w:r>
      <w:r w:rsidRPr="005C47FA" w:rsidR="0BCED57A">
        <w:rPr>
          <w:rFonts w:asciiTheme="majorHAnsi" w:hAnsiTheme="majorHAnsi" w:cstheme="minorHAnsi"/>
        </w:rPr>
        <w:t>24</w:t>
      </w:r>
      <w:r w:rsidRPr="005C47FA" w:rsidR="003B6394">
        <w:rPr>
          <w:rFonts w:asciiTheme="majorHAnsi" w:hAnsiTheme="majorHAnsi" w:cstheme="minorHAnsi"/>
        </w:rPr>
        <w:t>)</w:t>
      </w:r>
      <w:r w:rsidRPr="005C47FA" w:rsidR="008838D8">
        <w:rPr>
          <w:rFonts w:asciiTheme="majorHAnsi" w:hAnsiTheme="majorHAnsi" w:cstheme="minorHAnsi"/>
        </w:rPr>
        <w:t xml:space="preserve">, and a </w:t>
      </w:r>
      <w:r w:rsidRPr="005C47FA" w:rsidR="00C065B3">
        <w:rPr>
          <w:rFonts w:asciiTheme="majorHAnsi" w:hAnsiTheme="majorHAnsi" w:cstheme="minorHAnsi"/>
        </w:rPr>
        <w:t>sub-set of focus group participants will be asked to participate in the case studies (n</w:t>
      </w:r>
      <w:r w:rsidRPr="005C47FA" w:rsidR="004617A8">
        <w:rPr>
          <w:rFonts w:asciiTheme="majorHAnsi" w:hAnsiTheme="majorHAnsi" w:cstheme="minorHAnsi"/>
        </w:rPr>
        <w:t>≤</w:t>
      </w:r>
      <w:r w:rsidRPr="005C47FA" w:rsidR="00785697">
        <w:rPr>
          <w:rFonts w:asciiTheme="majorHAnsi" w:hAnsiTheme="majorHAnsi" w:cstheme="minorHAnsi"/>
        </w:rPr>
        <w:t>1</w:t>
      </w:r>
      <w:r w:rsidRPr="005C47FA" w:rsidR="00C065B3">
        <w:rPr>
          <w:rFonts w:asciiTheme="majorHAnsi" w:hAnsiTheme="majorHAnsi" w:cstheme="minorHAnsi"/>
        </w:rPr>
        <w:t>5)</w:t>
      </w:r>
      <w:r w:rsidRPr="005C47FA" w:rsidR="004E6EBD">
        <w:rPr>
          <w:rFonts w:asciiTheme="majorHAnsi" w:hAnsiTheme="majorHAnsi" w:cstheme="minorHAnsi"/>
        </w:rPr>
        <w:t xml:space="preserve">; </w:t>
      </w:r>
      <w:r w:rsidRPr="005C47FA" w:rsidR="00506384">
        <w:rPr>
          <w:rFonts w:asciiTheme="majorHAnsi" w:hAnsiTheme="majorHAnsi" w:cstheme="minorHAnsi"/>
        </w:rPr>
        <w:t>approximately 15 participants</w:t>
      </w:r>
      <w:r w:rsidRPr="005C47FA" w:rsidR="006A34EC">
        <w:rPr>
          <w:rFonts w:asciiTheme="majorHAnsi" w:hAnsiTheme="majorHAnsi" w:cstheme="minorHAnsi"/>
        </w:rPr>
        <w:t xml:space="preserve"> may</w:t>
      </w:r>
      <w:r w:rsidRPr="005C47FA" w:rsidR="00506384">
        <w:rPr>
          <w:rFonts w:asciiTheme="majorHAnsi" w:hAnsiTheme="majorHAnsi" w:cstheme="minorHAnsi"/>
        </w:rPr>
        <w:t xml:space="preserve"> participate in all</w:t>
      </w:r>
      <w:r w:rsidRPr="005C47FA" w:rsidR="00DF3A80">
        <w:rPr>
          <w:rFonts w:asciiTheme="majorHAnsi" w:hAnsiTheme="majorHAnsi" w:cstheme="minorHAnsi"/>
        </w:rPr>
        <w:t xml:space="preserve"> three data collection activities</w:t>
      </w:r>
      <w:r w:rsidRPr="005C47FA" w:rsidR="008835F1">
        <w:rPr>
          <w:rFonts w:asciiTheme="majorHAnsi" w:hAnsiTheme="majorHAnsi" w:cstheme="minorHAnsi"/>
        </w:rPr>
        <w:t xml:space="preserve"> (</w:t>
      </w:r>
      <w:r w:rsidRPr="005C47FA" w:rsidR="00B42F17">
        <w:rPr>
          <w:rFonts w:asciiTheme="majorHAnsi" w:hAnsiTheme="majorHAnsi" w:cstheme="minorHAnsi"/>
        </w:rPr>
        <w:t>total time commitment = 2</w:t>
      </w:r>
      <w:r w:rsidRPr="005C47FA" w:rsidR="00433E0C">
        <w:rPr>
          <w:rFonts w:asciiTheme="majorHAnsi" w:hAnsiTheme="majorHAnsi" w:cstheme="minorHAnsi"/>
        </w:rPr>
        <w:t>.</w:t>
      </w:r>
      <w:r w:rsidRPr="005C47FA" w:rsidR="2F274805">
        <w:rPr>
          <w:rFonts w:asciiTheme="majorHAnsi" w:hAnsiTheme="majorHAnsi" w:cstheme="minorHAnsi"/>
        </w:rPr>
        <w:t>25</w:t>
      </w:r>
      <w:r w:rsidRPr="005C47FA" w:rsidR="00433E0C">
        <w:rPr>
          <w:rFonts w:asciiTheme="majorHAnsi" w:hAnsiTheme="majorHAnsi" w:cstheme="minorHAnsi"/>
        </w:rPr>
        <w:t xml:space="preserve"> hours)</w:t>
      </w:r>
      <w:r w:rsidRPr="005C47FA" w:rsidR="0026416C">
        <w:rPr>
          <w:rFonts w:asciiTheme="majorHAnsi" w:hAnsiTheme="majorHAnsi" w:cstheme="minorHAnsi"/>
        </w:rPr>
        <w:t>.</w:t>
      </w:r>
      <w:r w:rsidRPr="005C47FA" w:rsidR="00C86029">
        <w:rPr>
          <w:rFonts w:asciiTheme="majorHAnsi" w:hAnsiTheme="majorHAnsi" w:cstheme="minorHAnsi"/>
        </w:rPr>
        <w:t xml:space="preserve"> </w:t>
      </w:r>
      <w:r w:rsidRPr="005C47FA" w:rsidR="7D276FEF">
        <w:rPr>
          <w:rFonts w:asciiTheme="majorHAnsi" w:hAnsiTheme="majorHAnsi" w:cstheme="minorHAnsi"/>
        </w:rPr>
        <w:t xml:space="preserve">This multi-phased approach will allow us to gain a </w:t>
      </w:r>
      <w:r w:rsidRPr="005C47FA" w:rsidR="00866DA7">
        <w:rPr>
          <w:rFonts w:asciiTheme="majorHAnsi" w:hAnsiTheme="majorHAnsi" w:cstheme="minorHAnsi"/>
        </w:rPr>
        <w:t>substantially</w:t>
      </w:r>
      <w:r w:rsidRPr="005C47FA" w:rsidR="7D276FEF">
        <w:rPr>
          <w:rFonts w:asciiTheme="majorHAnsi" w:hAnsiTheme="majorHAnsi" w:cstheme="minorHAnsi"/>
        </w:rPr>
        <w:t xml:space="preserve"> more robust understanding of MAHC use and implementation</w:t>
      </w:r>
      <w:r w:rsidRPr="005C47FA" w:rsidR="006E1E64">
        <w:rPr>
          <w:rFonts w:asciiTheme="majorHAnsi" w:hAnsiTheme="majorHAnsi" w:cstheme="minorHAnsi"/>
        </w:rPr>
        <w:t>, which will be used to inform program and resource improvement</w:t>
      </w:r>
      <w:r w:rsidRPr="005C47FA" w:rsidR="7D276FEF">
        <w:rPr>
          <w:rFonts w:asciiTheme="majorHAnsi" w:hAnsiTheme="majorHAnsi" w:cstheme="minorHAnsi"/>
        </w:rPr>
        <w:t xml:space="preserve">. </w:t>
      </w:r>
      <w:r w:rsidRPr="005C47FA" w:rsidR="56977E46">
        <w:rPr>
          <w:rFonts w:asciiTheme="majorHAnsi" w:hAnsiTheme="majorHAnsi" w:cstheme="minorHAnsi"/>
        </w:rPr>
        <w:t xml:space="preserve">Conducting </w:t>
      </w:r>
      <w:r w:rsidRPr="005C47FA" w:rsidR="52A02BEE">
        <w:rPr>
          <w:rFonts w:asciiTheme="majorHAnsi" w:hAnsiTheme="majorHAnsi" w:cstheme="minorHAnsi"/>
        </w:rPr>
        <w:t>this mixed quantitative-qualitative assessment will allow CDC to improve the MAHC as a resource for CDC’s partners, modify the MAHC-related support we provide our STLT partners, and provide necessary systemic enhancements to MAHC-related activities in the future.</w:t>
      </w:r>
    </w:p>
    <w:p w:rsidR="004A13E8" w:rsidRPr="005C47FA" w:rsidP="007C2305" w14:paraId="55FE17C6" w14:textId="44E27390">
      <w:pPr>
        <w:pStyle w:val="Heading1"/>
        <w:rPr>
          <w:rFonts w:asciiTheme="majorHAnsi" w:hAnsiTheme="majorHAnsi" w:cstheme="minorHAnsi"/>
          <w:szCs w:val="24"/>
        </w:rPr>
      </w:pPr>
      <w:bookmarkStart w:id="12" w:name="_Toc172646909"/>
      <w:r w:rsidRPr="005C47FA">
        <w:rPr>
          <w:rFonts w:asciiTheme="majorHAnsi" w:hAnsiTheme="majorHAnsi" w:cstheme="minorHAnsi"/>
        </w:rPr>
        <w:t>Special Circumstances Relating to the Guidelines of 5 CFR 1320.5</w:t>
      </w:r>
      <w:bookmarkEnd w:id="12"/>
    </w:p>
    <w:p w:rsidR="004866FB" w:rsidRPr="005C47FA" w:rsidP="004A13E8" w14:paraId="3F953288" w14:textId="0E26D40E">
      <w:pPr>
        <w:rPr>
          <w:rFonts w:asciiTheme="majorHAnsi" w:hAnsiTheme="majorHAnsi" w:cstheme="minorHAnsi"/>
        </w:rPr>
      </w:pPr>
      <w:r w:rsidRPr="005C47FA">
        <w:rPr>
          <w:rFonts w:asciiTheme="majorHAnsi" w:hAnsiTheme="majorHAnsi" w:cstheme="minorHAnsi"/>
        </w:rPr>
        <w:t>There are no special circumstances with this information collection package. This request fully complies with the guidelines of 5 CFR 1320.5.</w:t>
      </w:r>
    </w:p>
    <w:p w:rsidR="004A13E8" w:rsidRPr="005C47FA" w:rsidP="004A13E8" w14:paraId="55FE17C8" w14:textId="77777777">
      <w:pPr>
        <w:pStyle w:val="Heading1"/>
        <w:rPr>
          <w:rFonts w:asciiTheme="majorHAnsi" w:hAnsiTheme="majorHAnsi" w:cstheme="minorHAnsi"/>
        </w:rPr>
      </w:pPr>
      <w:bookmarkStart w:id="13" w:name="_Toc172646910"/>
      <w:r w:rsidRPr="005C47FA">
        <w:rPr>
          <w:rFonts w:asciiTheme="majorHAnsi" w:hAnsiTheme="majorHAnsi" w:cstheme="minorHAnsi"/>
        </w:rPr>
        <w:t>Comments in Response to the Federal Register Notice and Efforts to Consult Outside the Agency</w:t>
      </w:r>
      <w:bookmarkEnd w:id="13"/>
    </w:p>
    <w:p w:rsidR="00CE6E64" w:rsidRPr="0069525A" w:rsidP="0069525A" w14:paraId="63FA95EC" w14:textId="68FCC480">
      <w:pPr>
        <w:tabs>
          <w:tab w:val="left" w:pos="270"/>
        </w:tabs>
        <w:rPr>
          <w:rFonts w:asciiTheme="majorHAnsi" w:hAnsiTheme="majorHAnsi"/>
          <w:color w:val="FF0000"/>
        </w:rPr>
      </w:pPr>
      <w:r w:rsidRPr="0069525A">
        <w:rPr>
          <w:rFonts w:asciiTheme="majorHAnsi" w:hAnsiTheme="majorHAnsi"/>
        </w:rPr>
        <w:t>This data collection is being conducted using the Generic Information Collection mechanism of the PHIC STLT Generic Information Collection Service (STLT Generic) – OMB No. 0920-0879. A 60-day Federal Register Notice was published in the Federal Register on January 23, 2023, Vol. 88, No. 14, pp. 3991-3992.  One non-substantive comment was received; no changes were made to the generic clearance. Additional public comment periods are not required for project-specific data collection requests submitted under this generic clearance.</w:t>
      </w:r>
    </w:p>
    <w:p w:rsidR="004A13E8" w:rsidRPr="0069525A" w:rsidP="0069525A" w14:paraId="55FE17C9" w14:textId="3FC64ED0">
      <w:pPr>
        <w:tabs>
          <w:tab w:val="left" w:pos="270"/>
        </w:tabs>
      </w:pPr>
      <w:r w:rsidRPr="0069525A">
        <w:rPr>
          <w:rFonts w:asciiTheme="majorHAnsi" w:hAnsiTheme="majorHAnsi"/>
        </w:rPr>
        <w:t>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w:t>
      </w:r>
      <w:r w:rsidRPr="00A809AA">
        <w:t xml:space="preserve">  </w:t>
      </w:r>
    </w:p>
    <w:p w:rsidR="004A13E8" w:rsidRPr="005C47FA" w:rsidP="004A13E8" w14:paraId="55FE17CB" w14:textId="77777777">
      <w:pPr>
        <w:pStyle w:val="Heading1"/>
        <w:rPr>
          <w:rFonts w:asciiTheme="majorHAnsi" w:hAnsiTheme="majorHAnsi" w:cstheme="minorHAnsi"/>
        </w:rPr>
      </w:pPr>
      <w:bookmarkStart w:id="14" w:name="_Toc172646911"/>
      <w:r w:rsidRPr="005C47FA">
        <w:rPr>
          <w:rFonts w:asciiTheme="majorHAnsi" w:hAnsiTheme="majorHAnsi" w:cstheme="minorHAnsi"/>
        </w:rPr>
        <w:t>Explanation of Any Payment or Gift to Respondents</w:t>
      </w:r>
      <w:bookmarkEnd w:id="14"/>
    </w:p>
    <w:p w:rsidR="004866FB" w:rsidRPr="005C47FA" w:rsidP="004866FB" w14:paraId="10E1EE21" w14:textId="77777777">
      <w:pPr>
        <w:rPr>
          <w:rFonts w:asciiTheme="majorHAnsi" w:hAnsiTheme="majorHAnsi" w:cstheme="minorHAnsi"/>
          <w:szCs w:val="24"/>
        </w:rPr>
      </w:pPr>
      <w:r w:rsidRPr="005C47FA">
        <w:rPr>
          <w:rFonts w:asciiTheme="majorHAnsi" w:hAnsiTheme="majorHAnsi" w:cstheme="minorHAnsi"/>
          <w:szCs w:val="24"/>
        </w:rPr>
        <w:t>CDC will not provide payments or gifts to respondents.</w:t>
      </w:r>
    </w:p>
    <w:p w:rsidR="004A13E8" w:rsidRPr="005C47FA" w:rsidP="004A13E8" w14:paraId="55FE17CD" w14:textId="77777777">
      <w:pPr>
        <w:pStyle w:val="Heading1"/>
        <w:rPr>
          <w:rFonts w:asciiTheme="majorHAnsi" w:hAnsiTheme="majorHAnsi" w:cstheme="minorHAnsi"/>
        </w:rPr>
      </w:pPr>
      <w:bookmarkStart w:id="15" w:name="_Toc172646912"/>
      <w:r w:rsidRPr="005C47FA">
        <w:rPr>
          <w:rFonts w:asciiTheme="majorHAnsi" w:hAnsiTheme="majorHAnsi" w:cstheme="minorHAnsi"/>
        </w:rPr>
        <w:t>Protection of the Privacy and Confidentiality of Information Provided by Respondents</w:t>
      </w:r>
      <w:bookmarkEnd w:id="15"/>
    </w:p>
    <w:p w:rsidR="00F56C86" w:rsidRPr="005C47FA" w:rsidP="20DD1ED5" w14:paraId="55FE17CF" w14:textId="02488F38">
      <w:pPr>
        <w:jc w:val="both"/>
        <w:rPr>
          <w:rFonts w:asciiTheme="majorHAnsi" w:hAnsiTheme="majorHAnsi" w:cstheme="minorHAnsi"/>
        </w:rPr>
      </w:pPr>
      <w:r w:rsidRPr="005C47FA">
        <w:rPr>
          <w:rFonts w:asciiTheme="majorHAnsi" w:hAnsiTheme="majorHAnsi" w:cstheme="minorHAnsi"/>
        </w:rPr>
        <w:t xml:space="preserve">The Privacy Act does not apply to this data collection.  State, tribal, local, and territorial government agency </w:t>
      </w:r>
      <w:r w:rsidRPr="005C47FA" w:rsidR="00AF77D2">
        <w:rPr>
          <w:rFonts w:asciiTheme="majorHAnsi" w:hAnsiTheme="majorHAnsi" w:cstheme="minorHAnsi"/>
        </w:rPr>
        <w:t>staff</w:t>
      </w:r>
      <w:r w:rsidRPr="005C47FA">
        <w:rPr>
          <w:rFonts w:asciiTheme="majorHAnsi" w:hAnsiTheme="majorHAnsi" w:cstheme="minorHAnsi"/>
        </w:rPr>
        <w:t xml:space="preserve"> or delegates will be speaking from their official roles. If asked to provide any </w:t>
      </w:r>
      <w:r w:rsidRPr="005C47FA">
        <w:rPr>
          <w:rFonts w:asciiTheme="majorHAnsi" w:hAnsiTheme="majorHAnsi" w:cstheme="minorHAnsi"/>
        </w:rPr>
        <w:t xml:space="preserve">identifiable information, it will relate to their official duties (e.g., title, professional email address). All identifiable information will be securely stored. All results will be reported in the aggregate with all identifiable information removed. </w:t>
      </w:r>
    </w:p>
    <w:p w:rsidR="004A13E8" w:rsidRPr="005C47FA" w:rsidP="004A13E8" w14:paraId="55FE17D0" w14:textId="77777777">
      <w:pPr>
        <w:pStyle w:val="Heading1"/>
        <w:rPr>
          <w:rFonts w:asciiTheme="majorHAnsi" w:hAnsiTheme="majorHAnsi" w:cstheme="minorHAnsi"/>
        </w:rPr>
      </w:pPr>
      <w:bookmarkStart w:id="16" w:name="_Toc172646913"/>
      <w:r w:rsidRPr="005C47FA">
        <w:rPr>
          <w:rFonts w:asciiTheme="majorHAnsi" w:hAnsiTheme="majorHAnsi" w:cstheme="minorHAnsi"/>
        </w:rPr>
        <w:t>Institutional Review Board (IRB) and Justification for Sensitive Questions</w:t>
      </w:r>
      <w:bookmarkEnd w:id="16"/>
    </w:p>
    <w:p w:rsidR="004866FB" w:rsidRPr="0036671B" w:rsidP="004866FB" w14:paraId="087AA5D1" w14:textId="17112A73">
      <w:pPr>
        <w:rPr>
          <w:rFonts w:asciiTheme="majorHAnsi" w:hAnsiTheme="majorHAnsi"/>
        </w:rPr>
      </w:pPr>
      <w:r w:rsidRPr="0069525A">
        <w:rPr>
          <w:rFonts w:asciiTheme="majorHAnsi" w:hAnsiTheme="majorHAnsi"/>
        </w:rPr>
        <w:t>No information will be collected that are of personal or sensitive nature. This data collection is not research involving human subjects.</w:t>
      </w:r>
    </w:p>
    <w:p w:rsidR="004A13E8" w:rsidRPr="005C47FA" w:rsidP="004A13E8" w14:paraId="55FE17D7" w14:textId="77777777">
      <w:pPr>
        <w:pStyle w:val="Heading1"/>
        <w:rPr>
          <w:rFonts w:asciiTheme="majorHAnsi" w:hAnsiTheme="majorHAnsi" w:cstheme="minorHAnsi"/>
        </w:rPr>
      </w:pPr>
      <w:bookmarkStart w:id="17" w:name="_Toc172646914"/>
      <w:r w:rsidRPr="005C47FA">
        <w:rPr>
          <w:rFonts w:asciiTheme="majorHAnsi" w:hAnsiTheme="majorHAnsi" w:cstheme="minorHAnsi"/>
        </w:rPr>
        <w:t>Estimates of Annualized Burden Hours and Costs</w:t>
      </w:r>
      <w:bookmarkEnd w:id="17"/>
    </w:p>
    <w:p w:rsidR="00C553B7" w:rsidRPr="005C47FA" w:rsidP="009B0947" w14:paraId="093B700D" w14:textId="77777777">
      <w:pPr>
        <w:rPr>
          <w:rFonts w:asciiTheme="majorHAnsi" w:hAnsiTheme="majorHAnsi" w:cstheme="minorHAnsi"/>
        </w:rPr>
      </w:pPr>
      <w:r w:rsidRPr="005C47FA">
        <w:rPr>
          <w:rFonts w:asciiTheme="majorHAnsi" w:hAnsiTheme="majorHAnsi" w:cstheme="minorHAnsi"/>
        </w:rPr>
        <w:t xml:space="preserve">A. </w:t>
      </w:r>
      <w:r w:rsidRPr="005C47FA">
        <w:rPr>
          <w:rFonts w:asciiTheme="majorHAnsi" w:hAnsiTheme="majorHAnsi" w:cstheme="minorHAnsi"/>
        </w:rPr>
        <w:t>Estimated Annualized Burden Hours</w:t>
      </w:r>
    </w:p>
    <w:p w:rsidR="004866FB" w:rsidRPr="005C47FA" w:rsidP="20DD1ED5" w14:paraId="090D053D" w14:textId="1F47B3DB">
      <w:pPr>
        <w:jc w:val="both"/>
        <w:rPr>
          <w:rFonts w:asciiTheme="majorHAnsi" w:hAnsiTheme="majorHAnsi" w:cstheme="minorHAnsi"/>
        </w:rPr>
      </w:pPr>
      <w:r w:rsidRPr="005C47FA">
        <w:rPr>
          <w:rFonts w:asciiTheme="majorHAnsi" w:hAnsiTheme="majorHAnsi" w:cstheme="minorHAnsi"/>
        </w:rPr>
        <w:t xml:space="preserve">The burden is calculated based on the assumption </w:t>
      </w:r>
      <w:r w:rsidRPr="005C47FA" w:rsidR="0037B0F9">
        <w:rPr>
          <w:rFonts w:asciiTheme="majorHAnsi" w:hAnsiTheme="majorHAnsi" w:cstheme="minorHAnsi"/>
        </w:rPr>
        <w:t>that within the U.S., there are approximately</w:t>
      </w:r>
      <w:r w:rsidRPr="005C47FA">
        <w:rPr>
          <w:rFonts w:asciiTheme="majorHAnsi" w:hAnsiTheme="majorHAnsi" w:cstheme="minorHAnsi"/>
        </w:rPr>
        <w:t xml:space="preserve"> </w:t>
      </w:r>
      <w:r w:rsidRPr="005C47FA" w:rsidR="1F303CA9">
        <w:rPr>
          <w:rFonts w:asciiTheme="majorHAnsi" w:hAnsiTheme="majorHAnsi" w:cstheme="minorHAnsi"/>
        </w:rPr>
        <w:t xml:space="preserve">800 </w:t>
      </w:r>
      <w:r w:rsidRPr="005C47FA">
        <w:rPr>
          <w:rFonts w:asciiTheme="majorHAnsi" w:hAnsiTheme="majorHAnsi" w:cstheme="minorHAnsi"/>
        </w:rPr>
        <w:t>state</w:t>
      </w:r>
      <w:r w:rsidRPr="005C47FA" w:rsidR="28DFD7F6">
        <w:rPr>
          <w:rFonts w:asciiTheme="majorHAnsi" w:hAnsiTheme="majorHAnsi" w:cstheme="minorHAnsi"/>
        </w:rPr>
        <w:t xml:space="preserve"> and </w:t>
      </w:r>
      <w:r w:rsidRPr="005C47FA">
        <w:rPr>
          <w:rFonts w:asciiTheme="majorHAnsi" w:hAnsiTheme="majorHAnsi" w:cstheme="minorHAnsi"/>
        </w:rPr>
        <w:t>territorial (800) a</w:t>
      </w:r>
      <w:r w:rsidRPr="005C47FA" w:rsidR="1FB8AF84">
        <w:rPr>
          <w:rFonts w:asciiTheme="majorHAnsi" w:hAnsiTheme="majorHAnsi" w:cstheme="minorHAnsi"/>
        </w:rPr>
        <w:t xml:space="preserve">s well as 3,000 </w:t>
      </w:r>
      <w:r w:rsidRPr="005C47FA">
        <w:rPr>
          <w:rFonts w:asciiTheme="majorHAnsi" w:hAnsiTheme="majorHAnsi" w:cstheme="minorHAnsi"/>
        </w:rPr>
        <w:t>county</w:t>
      </w:r>
      <w:r w:rsidRPr="005C47FA" w:rsidR="4C4CB53D">
        <w:rPr>
          <w:rFonts w:asciiTheme="majorHAnsi" w:hAnsiTheme="majorHAnsi" w:cstheme="minorHAnsi"/>
        </w:rPr>
        <w:t xml:space="preserve"> </w:t>
      </w:r>
      <w:r w:rsidRPr="005C47FA">
        <w:rPr>
          <w:rFonts w:asciiTheme="majorHAnsi" w:hAnsiTheme="majorHAnsi" w:cstheme="minorHAnsi"/>
        </w:rPr>
        <w:t>health officials/employees</w:t>
      </w:r>
      <w:r w:rsidRPr="005C47FA" w:rsidR="1F982D1C">
        <w:rPr>
          <w:rFonts w:asciiTheme="majorHAnsi" w:hAnsiTheme="majorHAnsi" w:cstheme="minorHAnsi"/>
        </w:rPr>
        <w:t xml:space="preserve">, with </w:t>
      </w:r>
      <w:r w:rsidRPr="005C47FA">
        <w:rPr>
          <w:rFonts w:asciiTheme="majorHAnsi" w:hAnsiTheme="majorHAnsi" w:cstheme="minorHAnsi"/>
        </w:rPr>
        <w:t xml:space="preserve">a representative sample of at most 100 municipal/city employees. </w:t>
      </w:r>
      <w:r w:rsidRPr="005C47FA" w:rsidR="7239B49B">
        <w:rPr>
          <w:rFonts w:asciiTheme="majorHAnsi" w:hAnsiTheme="majorHAnsi" w:cstheme="minorHAnsi"/>
        </w:rPr>
        <w:t>We</w:t>
      </w:r>
      <w:r w:rsidRPr="005C47FA">
        <w:rPr>
          <w:rFonts w:asciiTheme="majorHAnsi" w:hAnsiTheme="majorHAnsi" w:cstheme="minorHAnsi"/>
        </w:rPr>
        <w:t xml:space="preserve"> estimate </w:t>
      </w:r>
      <w:r w:rsidRPr="005C47FA" w:rsidR="15CD2137">
        <w:rPr>
          <w:rFonts w:asciiTheme="majorHAnsi" w:hAnsiTheme="majorHAnsi" w:cstheme="minorHAnsi"/>
        </w:rPr>
        <w:t>a total of</w:t>
      </w:r>
      <w:r w:rsidRPr="005C47FA">
        <w:rPr>
          <w:rFonts w:asciiTheme="majorHAnsi" w:hAnsiTheme="majorHAnsi" w:cstheme="minorHAnsi"/>
        </w:rPr>
        <w:t xml:space="preserve"> </w:t>
      </w:r>
      <w:r w:rsidRPr="005C47FA" w:rsidR="00A67F18">
        <w:rPr>
          <w:rFonts w:asciiTheme="majorHAnsi" w:hAnsiTheme="majorHAnsi" w:cstheme="minorHAnsi"/>
        </w:rPr>
        <w:t>4</w:t>
      </w:r>
      <w:r w:rsidRPr="005C47FA" w:rsidR="00F15565">
        <w:rPr>
          <w:rFonts w:asciiTheme="majorHAnsi" w:hAnsiTheme="majorHAnsi" w:cstheme="minorHAnsi"/>
        </w:rPr>
        <w:t>,000</w:t>
      </w:r>
      <w:r w:rsidRPr="005C47FA">
        <w:rPr>
          <w:rFonts w:asciiTheme="majorHAnsi" w:hAnsiTheme="majorHAnsi" w:cstheme="minorHAnsi"/>
        </w:rPr>
        <w:t xml:space="preserve"> based on 50 states, 8 territories, 574 federally recognized tribes, and additional room for various positions in health department (</w:t>
      </w:r>
      <w:r w:rsidRPr="005C47FA" w:rsidR="00A034ED">
        <w:rPr>
          <w:rFonts w:asciiTheme="majorHAnsi" w:hAnsiTheme="majorHAnsi" w:cstheme="minorHAnsi"/>
        </w:rPr>
        <w:t xml:space="preserve">epidemiology, </w:t>
      </w:r>
      <w:r w:rsidRPr="005C47FA" w:rsidR="00377184">
        <w:rPr>
          <w:rFonts w:asciiTheme="majorHAnsi" w:hAnsiTheme="majorHAnsi" w:cstheme="minorHAnsi"/>
        </w:rPr>
        <w:t>environment health</w:t>
      </w:r>
      <w:r w:rsidRPr="005C47FA" w:rsidR="004C4C5B">
        <w:rPr>
          <w:rFonts w:asciiTheme="majorHAnsi" w:hAnsiTheme="majorHAnsi" w:cstheme="minorHAnsi"/>
        </w:rPr>
        <w:t>,</w:t>
      </w:r>
      <w:r w:rsidRPr="005C47FA" w:rsidR="00B206E9">
        <w:rPr>
          <w:rFonts w:asciiTheme="majorHAnsi" w:hAnsiTheme="majorHAnsi" w:cstheme="minorHAnsi"/>
        </w:rPr>
        <w:t xml:space="preserve"> </w:t>
      </w:r>
      <w:r w:rsidRPr="005C47FA">
        <w:rPr>
          <w:rFonts w:asciiTheme="majorHAnsi" w:hAnsiTheme="majorHAnsi" w:cstheme="minorHAnsi"/>
        </w:rPr>
        <w:t>etc.).</w:t>
      </w:r>
      <w:r w:rsidRPr="005C47FA" w:rsidR="2C95A04A">
        <w:rPr>
          <w:rFonts w:asciiTheme="majorHAnsi" w:hAnsiTheme="majorHAnsi" w:cstheme="minorHAnsi"/>
        </w:rPr>
        <w:t xml:space="preserve"> From </w:t>
      </w:r>
      <w:r w:rsidRPr="005C47FA" w:rsidR="009959DE">
        <w:rPr>
          <w:rFonts w:asciiTheme="majorHAnsi" w:hAnsiTheme="majorHAnsi" w:cstheme="minorHAnsi"/>
        </w:rPr>
        <w:t>these</w:t>
      </w:r>
      <w:r w:rsidRPr="005C47FA" w:rsidR="2C95A04A">
        <w:rPr>
          <w:rFonts w:asciiTheme="majorHAnsi" w:hAnsiTheme="majorHAnsi" w:cstheme="minorHAnsi"/>
        </w:rPr>
        <w:t xml:space="preserve"> 4,000, we </w:t>
      </w:r>
      <w:r w:rsidRPr="005C47FA" w:rsidR="009959DE">
        <w:rPr>
          <w:rFonts w:asciiTheme="majorHAnsi" w:hAnsiTheme="majorHAnsi" w:cstheme="minorHAnsi"/>
        </w:rPr>
        <w:t>anticipate that w</w:t>
      </w:r>
      <w:r w:rsidRPr="005C47FA" w:rsidR="2C95A04A">
        <w:rPr>
          <w:rFonts w:asciiTheme="majorHAnsi" w:hAnsiTheme="majorHAnsi" w:cstheme="minorHAnsi"/>
        </w:rPr>
        <w:t>e will have a response rate of approximately 33% (1,33</w:t>
      </w:r>
      <w:r w:rsidRPr="005C47FA" w:rsidR="00CE1C3E">
        <w:rPr>
          <w:rFonts w:asciiTheme="majorHAnsi" w:hAnsiTheme="majorHAnsi" w:cstheme="minorHAnsi"/>
        </w:rPr>
        <w:t>4</w:t>
      </w:r>
      <w:r w:rsidRPr="005C47FA" w:rsidR="2C95A04A">
        <w:rPr>
          <w:rFonts w:asciiTheme="majorHAnsi" w:hAnsiTheme="majorHAnsi" w:cstheme="minorHAnsi"/>
        </w:rPr>
        <w:t xml:space="preserve">). </w:t>
      </w:r>
    </w:p>
    <w:p w:rsidR="004866FB" w:rsidRPr="005C47FA" w:rsidP="003C77B8" w14:paraId="2252CD9D" w14:textId="0505BC18">
      <w:pPr>
        <w:rPr>
          <w:rFonts w:asciiTheme="majorHAnsi" w:hAnsiTheme="majorHAnsi" w:cstheme="minorHAnsi"/>
        </w:rPr>
      </w:pPr>
      <w:r w:rsidRPr="005C47FA">
        <w:rPr>
          <w:rFonts w:asciiTheme="majorHAnsi" w:hAnsiTheme="majorHAnsi" w:cstheme="minorHAnsi"/>
        </w:rPr>
        <w:t>An average hourly salary of approximately $</w:t>
      </w:r>
      <w:r w:rsidRPr="005C47FA" w:rsidR="1F063D49">
        <w:rPr>
          <w:rFonts w:asciiTheme="majorHAnsi" w:hAnsiTheme="majorHAnsi" w:cstheme="minorHAnsi"/>
        </w:rPr>
        <w:t>40.80</w:t>
      </w:r>
      <w:r w:rsidRPr="005C47FA">
        <w:rPr>
          <w:rFonts w:asciiTheme="majorHAnsi" w:hAnsiTheme="majorHAnsi" w:cstheme="minorHAnsi"/>
        </w:rPr>
        <w:t xml:space="preserve"> is assumed for all respondents, based on the Bureau of Labor Statistics’ National Occupational Employment and Wage Estimates</w:t>
      </w:r>
      <w:r w:rsidRPr="005C47FA" w:rsidR="6BEFC95F">
        <w:rPr>
          <w:rFonts w:asciiTheme="majorHAnsi" w:hAnsiTheme="majorHAnsi" w:cstheme="minorHAnsi"/>
        </w:rPr>
        <w:t xml:space="preserve"> [4]</w:t>
      </w:r>
      <w:r w:rsidRPr="005C47FA">
        <w:rPr>
          <w:rFonts w:asciiTheme="majorHAnsi" w:hAnsiTheme="majorHAnsi" w:cstheme="minorHAnsi"/>
        </w:rPr>
        <w:t xml:space="preserve">. </w:t>
      </w:r>
      <w:r w:rsidRPr="005C47FA" w:rsidR="1F063D49">
        <w:rPr>
          <w:rFonts w:asciiTheme="majorHAnsi" w:hAnsiTheme="majorHAnsi" w:cstheme="minorHAnsi"/>
        </w:rPr>
        <w:t>Respondents will be STLT epidemiologists ($41.29/</w:t>
      </w:r>
      <w:r w:rsidRPr="005C47FA" w:rsidR="1F063D49">
        <w:rPr>
          <w:rFonts w:asciiTheme="majorHAnsi" w:hAnsiTheme="majorHAnsi" w:cstheme="minorHAnsi"/>
        </w:rPr>
        <w:t>hr</w:t>
      </w:r>
      <w:r w:rsidRPr="005C47FA" w:rsidR="1F063D49">
        <w:rPr>
          <w:rFonts w:asciiTheme="majorHAnsi" w:hAnsiTheme="majorHAnsi" w:cstheme="minorHAnsi"/>
        </w:rPr>
        <w:t>) and environmental health specialists ($40.30/</w:t>
      </w:r>
      <w:r w:rsidRPr="005C47FA" w:rsidR="1F063D49">
        <w:rPr>
          <w:rFonts w:asciiTheme="majorHAnsi" w:hAnsiTheme="majorHAnsi" w:cstheme="minorHAnsi"/>
        </w:rPr>
        <w:t>hr</w:t>
      </w:r>
      <w:r w:rsidRPr="005C47FA" w:rsidR="1F063D49">
        <w:rPr>
          <w:rFonts w:asciiTheme="majorHAnsi" w:hAnsiTheme="majorHAnsi" w:cstheme="minorHAnsi"/>
        </w:rPr>
        <w:t>). With a</w:t>
      </w:r>
      <w:r w:rsidRPr="005C47FA">
        <w:rPr>
          <w:rFonts w:asciiTheme="majorHAnsi" w:hAnsiTheme="majorHAnsi" w:cstheme="minorHAnsi"/>
        </w:rPr>
        <w:t xml:space="preserve"> maximum annual respondent burden of </w:t>
      </w:r>
      <w:r w:rsidRPr="005C47FA" w:rsidR="43283E9C">
        <w:rPr>
          <w:rFonts w:asciiTheme="majorHAnsi" w:hAnsiTheme="majorHAnsi" w:cstheme="minorHAnsi"/>
        </w:rPr>
        <w:t>7</w:t>
      </w:r>
      <w:r w:rsidRPr="005C47FA" w:rsidR="0324EF73">
        <w:rPr>
          <w:rFonts w:asciiTheme="majorHAnsi" w:hAnsiTheme="majorHAnsi" w:cstheme="minorHAnsi"/>
        </w:rPr>
        <w:t>08</w:t>
      </w:r>
      <w:r w:rsidRPr="005C47FA">
        <w:rPr>
          <w:rFonts w:asciiTheme="majorHAnsi" w:hAnsiTheme="majorHAnsi" w:cstheme="minorHAnsi"/>
        </w:rPr>
        <w:t xml:space="preserve"> hours, the overall annual cost of respondents’ time for the proposed collection is estimated to be a maximum </w:t>
      </w:r>
      <w:r w:rsidRPr="005C47FA" w:rsidR="60DA2BC2">
        <w:rPr>
          <w:rFonts w:asciiTheme="majorHAnsi" w:hAnsiTheme="majorHAnsi" w:cstheme="minorHAnsi"/>
        </w:rPr>
        <w:t>$</w:t>
      </w:r>
      <w:r w:rsidRPr="005C47FA" w:rsidR="7FB92B64">
        <w:rPr>
          <w:rFonts w:asciiTheme="majorHAnsi" w:hAnsiTheme="majorHAnsi" w:cstheme="minorHAnsi"/>
        </w:rPr>
        <w:t>28</w:t>
      </w:r>
      <w:r w:rsidRPr="005C47FA" w:rsidR="3416B9EF">
        <w:rPr>
          <w:rFonts w:asciiTheme="majorHAnsi" w:hAnsiTheme="majorHAnsi" w:cstheme="minorHAnsi"/>
        </w:rPr>
        <w:t>,</w:t>
      </w:r>
      <w:r w:rsidRPr="005C47FA" w:rsidR="17F3AF8A">
        <w:rPr>
          <w:rFonts w:asciiTheme="majorHAnsi" w:hAnsiTheme="majorHAnsi" w:cstheme="minorHAnsi"/>
        </w:rPr>
        <w:t>886</w:t>
      </w:r>
      <w:r w:rsidRPr="005C47FA" w:rsidR="3416B9EF">
        <w:rPr>
          <w:rFonts w:asciiTheme="majorHAnsi" w:hAnsiTheme="majorHAnsi" w:cstheme="minorHAnsi"/>
        </w:rPr>
        <w:t>.</w:t>
      </w:r>
      <w:r w:rsidRPr="005C47FA" w:rsidR="150B2232">
        <w:rPr>
          <w:rFonts w:asciiTheme="majorHAnsi" w:hAnsiTheme="majorHAnsi" w:cstheme="minorHAnsi"/>
        </w:rPr>
        <w:t>4</w:t>
      </w:r>
      <w:r w:rsidRPr="005C47FA" w:rsidR="3416B9EF">
        <w:rPr>
          <w:rFonts w:asciiTheme="majorHAnsi" w:hAnsiTheme="majorHAnsi" w:cstheme="minorHAnsi"/>
        </w:rPr>
        <w:t>0</w:t>
      </w:r>
      <w:r w:rsidRPr="005C47FA" w:rsidR="0A84107E">
        <w:rPr>
          <w:rFonts w:asciiTheme="majorHAnsi" w:hAnsiTheme="majorHAnsi" w:cstheme="minorHAnsi"/>
        </w:rPr>
        <w:t xml:space="preserve"> (</w:t>
      </w:r>
      <w:r w:rsidRPr="005C47FA" w:rsidR="7FB92B64">
        <w:rPr>
          <w:rFonts w:asciiTheme="majorHAnsi" w:hAnsiTheme="majorHAnsi" w:cstheme="minorHAnsi"/>
        </w:rPr>
        <w:t>7</w:t>
      </w:r>
      <w:r w:rsidRPr="005C47FA" w:rsidR="197FCE09">
        <w:rPr>
          <w:rFonts w:asciiTheme="majorHAnsi" w:hAnsiTheme="majorHAnsi" w:cstheme="minorHAnsi"/>
        </w:rPr>
        <w:t>0</w:t>
      </w:r>
      <w:r w:rsidR="008E57F0">
        <w:rPr>
          <w:rFonts w:asciiTheme="majorHAnsi" w:hAnsiTheme="majorHAnsi" w:cstheme="minorHAnsi"/>
        </w:rPr>
        <w:t>6</w:t>
      </w:r>
      <w:r w:rsidRPr="005C47FA" w:rsidR="60DA2BC2">
        <w:rPr>
          <w:rFonts w:asciiTheme="majorHAnsi" w:hAnsiTheme="majorHAnsi" w:cstheme="minorHAnsi"/>
        </w:rPr>
        <w:t xml:space="preserve"> hours x $40.</w:t>
      </w:r>
      <w:r w:rsidRPr="005C47FA" w:rsidR="7FB92B64">
        <w:rPr>
          <w:rFonts w:asciiTheme="majorHAnsi" w:hAnsiTheme="majorHAnsi" w:cstheme="minorHAnsi"/>
        </w:rPr>
        <w:t>8</w:t>
      </w:r>
      <w:r w:rsidRPr="005C47FA" w:rsidR="60DA2BC2">
        <w:rPr>
          <w:rFonts w:asciiTheme="majorHAnsi" w:hAnsiTheme="majorHAnsi" w:cstheme="minorHAnsi"/>
        </w:rPr>
        <w:t xml:space="preserve">0). </w:t>
      </w:r>
    </w:p>
    <w:tbl>
      <w:tblPr>
        <w:tblStyle w:val="TableGrid"/>
        <w:tblW w:w="0" w:type="auto"/>
        <w:tblLook w:val="04A0"/>
      </w:tblPr>
      <w:tblGrid>
        <w:gridCol w:w="1678"/>
        <w:gridCol w:w="1678"/>
        <w:gridCol w:w="1678"/>
        <w:gridCol w:w="1678"/>
        <w:gridCol w:w="1679"/>
        <w:gridCol w:w="1679"/>
      </w:tblGrid>
      <w:tr w14:paraId="55FE17E0" w14:textId="77777777" w:rsidTr="19DB6323">
        <w:tblPrEx>
          <w:tblW w:w="0" w:type="auto"/>
          <w:tblLook w:val="04A0"/>
        </w:tblPrEx>
        <w:tc>
          <w:tcPr>
            <w:tcW w:w="1678" w:type="dxa"/>
          </w:tcPr>
          <w:p w:rsidR="004A13E8" w:rsidRPr="005C47FA" w14:paraId="55FE17DA" w14:textId="77777777">
            <w:pPr>
              <w:rPr>
                <w:rFonts w:asciiTheme="majorHAnsi" w:hAnsiTheme="majorHAnsi" w:cstheme="minorHAnsi"/>
              </w:rPr>
            </w:pPr>
            <w:r w:rsidRPr="005C47FA">
              <w:rPr>
                <w:rFonts w:asciiTheme="majorHAnsi" w:hAnsiTheme="majorHAnsi" w:cstheme="minorHAnsi"/>
              </w:rPr>
              <w:t>Type of Respondent</w:t>
            </w:r>
          </w:p>
        </w:tc>
        <w:tc>
          <w:tcPr>
            <w:tcW w:w="1678" w:type="dxa"/>
          </w:tcPr>
          <w:p w:rsidR="004A13E8" w:rsidRPr="005C47FA" w14:paraId="55FE17DB" w14:textId="77777777">
            <w:pPr>
              <w:rPr>
                <w:rFonts w:asciiTheme="majorHAnsi" w:hAnsiTheme="majorHAnsi" w:cstheme="minorHAnsi"/>
              </w:rPr>
            </w:pPr>
            <w:r w:rsidRPr="005C47FA">
              <w:rPr>
                <w:rFonts w:asciiTheme="majorHAnsi" w:hAnsiTheme="majorHAnsi" w:cstheme="minorHAnsi"/>
              </w:rPr>
              <w:t>Form Name</w:t>
            </w:r>
          </w:p>
        </w:tc>
        <w:tc>
          <w:tcPr>
            <w:tcW w:w="1678" w:type="dxa"/>
          </w:tcPr>
          <w:p w:rsidR="004A13E8" w:rsidRPr="005C47FA" w14:paraId="55FE17DC" w14:textId="77777777">
            <w:pPr>
              <w:rPr>
                <w:rFonts w:asciiTheme="majorHAnsi" w:hAnsiTheme="majorHAnsi" w:cstheme="minorHAnsi"/>
              </w:rPr>
            </w:pPr>
            <w:r w:rsidRPr="005C47FA">
              <w:rPr>
                <w:rFonts w:asciiTheme="majorHAnsi" w:hAnsiTheme="majorHAnsi" w:cstheme="minorHAnsi"/>
              </w:rPr>
              <w:t>No. of Respondents</w:t>
            </w:r>
          </w:p>
        </w:tc>
        <w:tc>
          <w:tcPr>
            <w:tcW w:w="1678" w:type="dxa"/>
          </w:tcPr>
          <w:p w:rsidR="004A13E8" w:rsidRPr="005C47FA" w14:paraId="55FE17DD" w14:textId="77777777">
            <w:pPr>
              <w:rPr>
                <w:rFonts w:asciiTheme="majorHAnsi" w:hAnsiTheme="majorHAnsi" w:cstheme="minorHAnsi"/>
              </w:rPr>
            </w:pPr>
            <w:r w:rsidRPr="005C47FA">
              <w:rPr>
                <w:rFonts w:asciiTheme="majorHAnsi" w:hAnsiTheme="majorHAnsi" w:cstheme="minorHAnsi"/>
              </w:rPr>
              <w:t>No. Responses per Respondent</w:t>
            </w:r>
          </w:p>
        </w:tc>
        <w:tc>
          <w:tcPr>
            <w:tcW w:w="1679" w:type="dxa"/>
          </w:tcPr>
          <w:p w:rsidR="004A13E8" w:rsidRPr="005C47FA" w14:paraId="55FE17DE" w14:textId="77777777">
            <w:pPr>
              <w:rPr>
                <w:rFonts w:asciiTheme="majorHAnsi" w:hAnsiTheme="majorHAnsi" w:cstheme="minorHAnsi"/>
              </w:rPr>
            </w:pPr>
            <w:r w:rsidRPr="005C47FA">
              <w:rPr>
                <w:rFonts w:asciiTheme="majorHAnsi" w:hAnsiTheme="majorHAnsi" w:cstheme="minorHAnsi"/>
              </w:rPr>
              <w:t>Avg. Burden per response (in hrs.)</w:t>
            </w:r>
          </w:p>
        </w:tc>
        <w:tc>
          <w:tcPr>
            <w:tcW w:w="1679" w:type="dxa"/>
          </w:tcPr>
          <w:p w:rsidR="004A13E8" w:rsidRPr="005C47FA" w14:paraId="55FE17DF" w14:textId="77777777">
            <w:pPr>
              <w:rPr>
                <w:rFonts w:asciiTheme="majorHAnsi" w:hAnsiTheme="majorHAnsi" w:cstheme="minorHAnsi"/>
              </w:rPr>
            </w:pPr>
            <w:r w:rsidRPr="005C47FA">
              <w:rPr>
                <w:rFonts w:asciiTheme="majorHAnsi" w:hAnsiTheme="majorHAnsi" w:cstheme="minorHAnsi"/>
              </w:rPr>
              <w:t>Total Burden (in hrs.)</w:t>
            </w:r>
          </w:p>
        </w:tc>
      </w:tr>
      <w:tr w14:paraId="55FE17E7" w14:textId="77777777" w:rsidTr="19DB6323">
        <w:tblPrEx>
          <w:tblW w:w="0" w:type="auto"/>
          <w:tblLook w:val="04A0"/>
        </w:tblPrEx>
        <w:tc>
          <w:tcPr>
            <w:tcW w:w="1678" w:type="dxa"/>
          </w:tcPr>
          <w:p w:rsidR="004A13E8" w:rsidRPr="005C47FA" w14:paraId="55FE17E1" w14:textId="75D154CD">
            <w:pPr>
              <w:rPr>
                <w:rFonts w:asciiTheme="majorHAnsi" w:hAnsiTheme="majorHAnsi" w:cstheme="minorHAnsi"/>
              </w:rPr>
            </w:pPr>
            <w:r w:rsidRPr="005C47FA">
              <w:rPr>
                <w:rFonts w:asciiTheme="majorHAnsi" w:hAnsiTheme="majorHAnsi" w:cstheme="minorHAnsi"/>
              </w:rPr>
              <w:t xml:space="preserve">STLT </w:t>
            </w:r>
            <w:r w:rsidRPr="005C47FA" w:rsidR="00A13CFE">
              <w:rPr>
                <w:rFonts w:asciiTheme="majorHAnsi" w:hAnsiTheme="majorHAnsi" w:cstheme="minorHAnsi"/>
              </w:rPr>
              <w:t>Staff</w:t>
            </w:r>
            <w:r w:rsidRPr="005C47FA" w:rsidR="008805C3">
              <w:rPr>
                <w:rFonts w:asciiTheme="majorHAnsi" w:hAnsiTheme="majorHAnsi" w:cstheme="minorHAnsi"/>
              </w:rPr>
              <w:t xml:space="preserve"> and Delegates</w:t>
            </w:r>
          </w:p>
        </w:tc>
        <w:tc>
          <w:tcPr>
            <w:tcW w:w="1678" w:type="dxa"/>
          </w:tcPr>
          <w:p w:rsidR="004A13E8" w:rsidRPr="005C47FA" w14:paraId="4631751B" w14:textId="77777777">
            <w:pPr>
              <w:rPr>
                <w:rFonts w:asciiTheme="majorHAnsi" w:hAnsiTheme="majorHAnsi" w:cstheme="minorHAnsi"/>
              </w:rPr>
            </w:pPr>
            <w:r w:rsidRPr="005C47FA">
              <w:rPr>
                <w:rFonts w:asciiTheme="majorHAnsi" w:hAnsiTheme="majorHAnsi" w:cstheme="minorHAnsi"/>
              </w:rPr>
              <w:t xml:space="preserve">MAHC Use and Acceptability Survey </w:t>
            </w:r>
          </w:p>
          <w:p w:rsidR="001C2F6F" w:rsidRPr="005C47FA" w14:paraId="55FE17E2" w14:textId="118B3760">
            <w:pPr>
              <w:rPr>
                <w:rFonts w:asciiTheme="majorHAnsi" w:hAnsiTheme="majorHAnsi" w:cstheme="minorHAnsi"/>
              </w:rPr>
            </w:pPr>
            <w:r w:rsidRPr="005C47FA">
              <w:rPr>
                <w:rFonts w:asciiTheme="majorHAnsi" w:hAnsiTheme="majorHAnsi" w:cstheme="minorHAnsi"/>
              </w:rPr>
              <w:t xml:space="preserve">(Attachment </w:t>
            </w:r>
            <w:r w:rsidRPr="005C47FA" w:rsidR="004F4D4E">
              <w:rPr>
                <w:rFonts w:asciiTheme="majorHAnsi" w:hAnsiTheme="majorHAnsi" w:cstheme="minorHAnsi"/>
              </w:rPr>
              <w:t>B</w:t>
            </w:r>
            <w:r w:rsidRPr="005C47FA">
              <w:rPr>
                <w:rFonts w:asciiTheme="majorHAnsi" w:hAnsiTheme="majorHAnsi" w:cstheme="minorHAnsi"/>
              </w:rPr>
              <w:t>)</w:t>
            </w:r>
          </w:p>
        </w:tc>
        <w:tc>
          <w:tcPr>
            <w:tcW w:w="1678" w:type="dxa"/>
          </w:tcPr>
          <w:p w:rsidR="004A13E8" w:rsidRPr="005C47FA" w14:paraId="55FE17E3" w14:textId="20D5B589">
            <w:pPr>
              <w:rPr>
                <w:rFonts w:asciiTheme="majorHAnsi" w:hAnsiTheme="majorHAnsi" w:cstheme="minorHAnsi"/>
              </w:rPr>
            </w:pPr>
            <w:r w:rsidRPr="005C47FA">
              <w:rPr>
                <w:rFonts w:asciiTheme="majorHAnsi" w:hAnsiTheme="majorHAnsi" w:cstheme="minorHAnsi"/>
              </w:rPr>
              <w:t>1,33</w:t>
            </w:r>
            <w:r w:rsidRPr="005C47FA" w:rsidR="00E05493">
              <w:rPr>
                <w:rFonts w:asciiTheme="majorHAnsi" w:hAnsiTheme="majorHAnsi" w:cstheme="minorHAnsi"/>
              </w:rPr>
              <w:t>4</w:t>
            </w:r>
            <w:r w:rsidRPr="005C47FA">
              <w:rPr>
                <w:rFonts w:asciiTheme="majorHAnsi" w:hAnsiTheme="majorHAnsi" w:cstheme="minorHAnsi"/>
              </w:rPr>
              <w:t xml:space="preserve"> (4,000 staff and delegates with a response rate of </w:t>
            </w:r>
            <w:r w:rsidRPr="005C47FA" w:rsidR="00CE1C3E">
              <w:rPr>
                <w:rFonts w:asciiTheme="majorHAnsi" w:hAnsiTheme="majorHAnsi" w:cstheme="minorHAnsi"/>
              </w:rPr>
              <w:t>~</w:t>
            </w:r>
            <w:r w:rsidRPr="005C47FA">
              <w:rPr>
                <w:rFonts w:asciiTheme="majorHAnsi" w:hAnsiTheme="majorHAnsi" w:cstheme="minorHAnsi"/>
              </w:rPr>
              <w:t>33%)</w:t>
            </w:r>
          </w:p>
        </w:tc>
        <w:tc>
          <w:tcPr>
            <w:tcW w:w="1678" w:type="dxa"/>
          </w:tcPr>
          <w:p w:rsidR="004A13E8" w:rsidRPr="005C47FA" w14:paraId="55FE17E4" w14:textId="66012CFF">
            <w:pPr>
              <w:rPr>
                <w:rFonts w:asciiTheme="majorHAnsi" w:hAnsiTheme="majorHAnsi" w:cstheme="minorHAnsi"/>
              </w:rPr>
            </w:pPr>
            <w:r w:rsidRPr="005C47FA">
              <w:rPr>
                <w:rFonts w:asciiTheme="majorHAnsi" w:hAnsiTheme="majorHAnsi" w:cstheme="minorHAnsi"/>
              </w:rPr>
              <w:t>1</w:t>
            </w:r>
          </w:p>
        </w:tc>
        <w:tc>
          <w:tcPr>
            <w:tcW w:w="1679" w:type="dxa"/>
          </w:tcPr>
          <w:p w:rsidR="004A13E8" w:rsidRPr="005C47FA" w14:paraId="55FE17E5" w14:textId="39ECC741">
            <w:pPr>
              <w:rPr>
                <w:rFonts w:asciiTheme="majorHAnsi" w:hAnsiTheme="majorHAnsi" w:cstheme="minorHAnsi"/>
              </w:rPr>
            </w:pPr>
            <w:r w:rsidRPr="005C47FA">
              <w:rPr>
                <w:rFonts w:asciiTheme="majorHAnsi" w:hAnsiTheme="majorHAnsi" w:cstheme="minorHAnsi"/>
              </w:rPr>
              <w:t>0.</w:t>
            </w:r>
            <w:r w:rsidRPr="005C47FA" w:rsidR="00E05493">
              <w:rPr>
                <w:rFonts w:asciiTheme="majorHAnsi" w:hAnsiTheme="majorHAnsi" w:cstheme="minorHAnsi"/>
              </w:rPr>
              <w:t>5</w:t>
            </w:r>
          </w:p>
        </w:tc>
        <w:tc>
          <w:tcPr>
            <w:tcW w:w="1679" w:type="dxa"/>
          </w:tcPr>
          <w:p w:rsidR="004A13E8" w:rsidRPr="005C47FA" w:rsidP="6F504134" w14:paraId="55FE17E6" w14:textId="15FC447F">
            <w:pPr>
              <w:spacing w:after="200" w:line="276" w:lineRule="auto"/>
              <w:rPr>
                <w:rFonts w:asciiTheme="majorHAnsi" w:hAnsiTheme="majorHAnsi" w:cstheme="minorHAnsi"/>
              </w:rPr>
            </w:pPr>
            <w:r w:rsidRPr="005C47FA">
              <w:rPr>
                <w:rFonts w:asciiTheme="majorHAnsi" w:hAnsiTheme="majorHAnsi" w:cstheme="minorHAnsi"/>
              </w:rPr>
              <w:t>667</w:t>
            </w:r>
          </w:p>
        </w:tc>
      </w:tr>
      <w:tr w14:paraId="7A477845" w14:textId="77777777" w:rsidTr="19DB6323">
        <w:tblPrEx>
          <w:tblW w:w="0" w:type="auto"/>
          <w:tblLook w:val="04A0"/>
        </w:tblPrEx>
        <w:tc>
          <w:tcPr>
            <w:tcW w:w="1678" w:type="dxa"/>
          </w:tcPr>
          <w:p w:rsidR="00E05493" w:rsidRPr="005C47FA" w:rsidP="00E05493" w14:paraId="5C804E0C" w14:textId="249B7FE9">
            <w:pPr>
              <w:rPr>
                <w:rFonts w:asciiTheme="majorHAnsi" w:hAnsiTheme="majorHAnsi" w:cstheme="minorHAnsi"/>
              </w:rPr>
            </w:pPr>
            <w:r w:rsidRPr="005C47FA">
              <w:rPr>
                <w:rFonts w:asciiTheme="majorHAnsi" w:hAnsiTheme="majorHAnsi" w:cstheme="minorHAnsi"/>
              </w:rPr>
              <w:t>STLT Staff and Delegates</w:t>
            </w:r>
          </w:p>
        </w:tc>
        <w:tc>
          <w:tcPr>
            <w:tcW w:w="1678" w:type="dxa"/>
          </w:tcPr>
          <w:p w:rsidR="00E05493" w:rsidRPr="005C47FA" w:rsidP="00E05493" w14:paraId="60C8D882" w14:textId="74CE7C05">
            <w:pPr>
              <w:rPr>
                <w:rFonts w:asciiTheme="majorHAnsi" w:hAnsiTheme="majorHAnsi" w:cstheme="minorHAnsi"/>
              </w:rPr>
            </w:pPr>
            <w:r w:rsidRPr="005C47FA">
              <w:rPr>
                <w:rFonts w:asciiTheme="majorHAnsi" w:hAnsiTheme="majorHAnsi" w:cstheme="minorHAnsi"/>
              </w:rPr>
              <w:t>Focus Group</w:t>
            </w:r>
            <w:r w:rsidRPr="005C47FA" w:rsidR="00875EBA">
              <w:rPr>
                <w:rFonts w:asciiTheme="majorHAnsi" w:hAnsiTheme="majorHAnsi" w:cstheme="minorHAnsi"/>
              </w:rPr>
              <w:t xml:space="preserve"> Guide</w:t>
            </w:r>
          </w:p>
          <w:p w:rsidR="00E05493" w:rsidRPr="005C47FA" w:rsidP="00E05493" w14:paraId="413F04F7" w14:textId="6721E405">
            <w:pPr>
              <w:rPr>
                <w:rFonts w:asciiTheme="majorHAnsi" w:hAnsiTheme="majorHAnsi" w:cstheme="minorHAnsi"/>
              </w:rPr>
            </w:pPr>
            <w:r w:rsidRPr="005C47FA">
              <w:rPr>
                <w:rFonts w:asciiTheme="majorHAnsi" w:hAnsiTheme="majorHAnsi" w:cstheme="minorHAnsi"/>
              </w:rPr>
              <w:t>(Attachment</w:t>
            </w:r>
            <w:r w:rsidRPr="005C47FA" w:rsidR="00875EBA">
              <w:rPr>
                <w:rFonts w:asciiTheme="majorHAnsi" w:hAnsiTheme="majorHAnsi" w:cstheme="minorHAnsi"/>
              </w:rPr>
              <w:t>s</w:t>
            </w:r>
            <w:r w:rsidRPr="005C47FA">
              <w:rPr>
                <w:rFonts w:asciiTheme="majorHAnsi" w:hAnsiTheme="majorHAnsi" w:cstheme="minorHAnsi"/>
              </w:rPr>
              <w:t xml:space="preserve"> </w:t>
            </w:r>
            <w:r w:rsidRPr="005C47FA" w:rsidR="004F4D4E">
              <w:rPr>
                <w:rFonts w:asciiTheme="majorHAnsi" w:hAnsiTheme="majorHAnsi" w:cstheme="minorHAnsi"/>
              </w:rPr>
              <w:t>D1-D3</w:t>
            </w:r>
            <w:r w:rsidRPr="005C47FA">
              <w:rPr>
                <w:rFonts w:asciiTheme="majorHAnsi" w:hAnsiTheme="majorHAnsi" w:cstheme="minorHAnsi"/>
              </w:rPr>
              <w:t>)</w:t>
            </w:r>
          </w:p>
        </w:tc>
        <w:tc>
          <w:tcPr>
            <w:tcW w:w="1678" w:type="dxa"/>
          </w:tcPr>
          <w:p w:rsidR="00E05493" w:rsidRPr="005C47FA" w:rsidP="00E05493" w14:paraId="29AE5312" w14:textId="1C96B4C1">
            <w:pPr>
              <w:spacing w:after="200" w:line="276" w:lineRule="auto"/>
              <w:rPr>
                <w:rFonts w:asciiTheme="majorHAnsi" w:hAnsiTheme="majorHAnsi" w:cstheme="minorHAnsi"/>
              </w:rPr>
            </w:pPr>
            <w:r w:rsidRPr="005C47FA">
              <w:rPr>
                <w:rFonts w:asciiTheme="majorHAnsi" w:hAnsiTheme="majorHAnsi" w:cstheme="minorHAnsi"/>
              </w:rPr>
              <w:t>24</w:t>
            </w:r>
          </w:p>
        </w:tc>
        <w:tc>
          <w:tcPr>
            <w:tcW w:w="1678" w:type="dxa"/>
          </w:tcPr>
          <w:p w:rsidR="00E05493" w:rsidRPr="005C47FA" w:rsidP="00E05493" w14:paraId="1FB59D20" w14:textId="6F15549F">
            <w:pPr>
              <w:rPr>
                <w:rFonts w:asciiTheme="majorHAnsi" w:hAnsiTheme="majorHAnsi" w:cstheme="minorHAnsi"/>
              </w:rPr>
            </w:pPr>
            <w:r w:rsidRPr="005C47FA">
              <w:rPr>
                <w:rFonts w:asciiTheme="majorHAnsi" w:hAnsiTheme="majorHAnsi" w:cstheme="minorHAnsi"/>
              </w:rPr>
              <w:t>1</w:t>
            </w:r>
          </w:p>
        </w:tc>
        <w:tc>
          <w:tcPr>
            <w:tcW w:w="1679" w:type="dxa"/>
          </w:tcPr>
          <w:p w:rsidR="00E05493" w:rsidRPr="005C47FA" w:rsidP="00E05493" w14:paraId="1559A853" w14:textId="6B9AA277">
            <w:pPr>
              <w:rPr>
                <w:rFonts w:asciiTheme="majorHAnsi" w:hAnsiTheme="majorHAnsi" w:cstheme="minorHAnsi"/>
              </w:rPr>
            </w:pPr>
            <w:r w:rsidRPr="005C47FA">
              <w:rPr>
                <w:rFonts w:asciiTheme="majorHAnsi" w:hAnsiTheme="majorHAnsi" w:cstheme="minorHAnsi"/>
              </w:rPr>
              <w:t>1.0</w:t>
            </w:r>
          </w:p>
        </w:tc>
        <w:tc>
          <w:tcPr>
            <w:tcW w:w="1679" w:type="dxa"/>
          </w:tcPr>
          <w:p w:rsidR="00E05493" w:rsidRPr="005C47FA" w:rsidP="00E05493" w14:paraId="2B9B2782" w14:textId="35D5D45F">
            <w:pPr>
              <w:spacing w:after="200" w:line="276" w:lineRule="auto"/>
              <w:rPr>
                <w:rFonts w:asciiTheme="majorHAnsi" w:hAnsiTheme="majorHAnsi" w:cstheme="minorHAnsi"/>
              </w:rPr>
            </w:pPr>
            <w:r w:rsidRPr="005C47FA">
              <w:rPr>
                <w:rFonts w:asciiTheme="majorHAnsi" w:hAnsiTheme="majorHAnsi" w:cstheme="minorHAnsi"/>
              </w:rPr>
              <w:t>24</w:t>
            </w:r>
          </w:p>
        </w:tc>
      </w:tr>
      <w:tr w14:paraId="0877CB2E" w14:textId="77777777" w:rsidTr="19DB6323">
        <w:tblPrEx>
          <w:tblW w:w="0" w:type="auto"/>
          <w:tblLook w:val="04A0"/>
        </w:tblPrEx>
        <w:tc>
          <w:tcPr>
            <w:tcW w:w="1678" w:type="dxa"/>
          </w:tcPr>
          <w:p w:rsidR="00E05493" w:rsidRPr="005C47FA" w:rsidP="00E05493" w14:paraId="5A8A5700" w14:textId="52DF2C1B">
            <w:pPr>
              <w:rPr>
                <w:rFonts w:asciiTheme="majorHAnsi" w:hAnsiTheme="majorHAnsi" w:cstheme="minorHAnsi"/>
              </w:rPr>
            </w:pPr>
            <w:r w:rsidRPr="005C47FA">
              <w:rPr>
                <w:rFonts w:asciiTheme="majorHAnsi" w:hAnsiTheme="majorHAnsi" w:cstheme="minorHAnsi"/>
              </w:rPr>
              <w:t>STLT Staff and Delegates</w:t>
            </w:r>
          </w:p>
        </w:tc>
        <w:tc>
          <w:tcPr>
            <w:tcW w:w="1678" w:type="dxa"/>
          </w:tcPr>
          <w:p w:rsidR="00E05493" w:rsidRPr="005C47FA" w:rsidP="00E05493" w14:paraId="6D2A52EC" w14:textId="0C357045">
            <w:pPr>
              <w:rPr>
                <w:rFonts w:asciiTheme="majorHAnsi" w:hAnsiTheme="majorHAnsi" w:cstheme="minorHAnsi"/>
              </w:rPr>
            </w:pPr>
            <w:r w:rsidRPr="005C47FA">
              <w:rPr>
                <w:rFonts w:asciiTheme="majorHAnsi" w:hAnsiTheme="majorHAnsi" w:cstheme="minorHAnsi"/>
              </w:rPr>
              <w:t>Case Study</w:t>
            </w:r>
            <w:r w:rsidRPr="005C47FA" w:rsidR="00875EBA">
              <w:rPr>
                <w:rFonts w:asciiTheme="majorHAnsi" w:hAnsiTheme="majorHAnsi" w:cstheme="minorHAnsi"/>
              </w:rPr>
              <w:t xml:space="preserve"> IDI Guide</w:t>
            </w:r>
          </w:p>
          <w:p w:rsidR="00E05493" w:rsidRPr="005C47FA" w:rsidP="00E05493" w14:paraId="083870A6" w14:textId="73A13569">
            <w:pPr>
              <w:rPr>
                <w:rFonts w:asciiTheme="majorHAnsi" w:hAnsiTheme="majorHAnsi" w:cstheme="minorHAnsi"/>
              </w:rPr>
            </w:pPr>
            <w:r w:rsidRPr="005C47FA">
              <w:rPr>
                <w:rFonts w:asciiTheme="majorHAnsi" w:hAnsiTheme="majorHAnsi" w:cstheme="minorHAnsi"/>
              </w:rPr>
              <w:t xml:space="preserve">(Attachment </w:t>
            </w:r>
            <w:r w:rsidRPr="005C47FA" w:rsidR="00F11902">
              <w:rPr>
                <w:rFonts w:asciiTheme="majorHAnsi" w:hAnsiTheme="majorHAnsi" w:cstheme="minorHAnsi"/>
              </w:rPr>
              <w:t>E</w:t>
            </w:r>
            <w:r w:rsidRPr="005C47FA">
              <w:rPr>
                <w:rFonts w:asciiTheme="majorHAnsi" w:hAnsiTheme="majorHAnsi" w:cstheme="minorHAnsi"/>
              </w:rPr>
              <w:t xml:space="preserve">) </w:t>
            </w:r>
          </w:p>
        </w:tc>
        <w:tc>
          <w:tcPr>
            <w:tcW w:w="1678" w:type="dxa"/>
          </w:tcPr>
          <w:p w:rsidR="00E05493" w:rsidRPr="005C47FA" w:rsidP="00E05493" w14:paraId="78463504" w14:textId="3DAC0A4B">
            <w:pPr>
              <w:rPr>
                <w:rFonts w:asciiTheme="majorHAnsi" w:hAnsiTheme="majorHAnsi" w:cstheme="minorHAnsi"/>
              </w:rPr>
            </w:pPr>
            <w:r w:rsidRPr="005C47FA">
              <w:rPr>
                <w:rFonts w:asciiTheme="majorHAnsi" w:hAnsiTheme="majorHAnsi" w:cstheme="minorHAnsi"/>
              </w:rPr>
              <w:t>15</w:t>
            </w:r>
          </w:p>
        </w:tc>
        <w:tc>
          <w:tcPr>
            <w:tcW w:w="1678" w:type="dxa"/>
          </w:tcPr>
          <w:p w:rsidR="00E05493" w:rsidRPr="005C47FA" w:rsidP="00E05493" w14:paraId="386CDACE" w14:textId="0EF1CD90">
            <w:pPr>
              <w:rPr>
                <w:rFonts w:asciiTheme="majorHAnsi" w:hAnsiTheme="majorHAnsi" w:cstheme="minorHAnsi"/>
              </w:rPr>
            </w:pPr>
            <w:r w:rsidRPr="005C47FA">
              <w:rPr>
                <w:rFonts w:asciiTheme="majorHAnsi" w:hAnsiTheme="majorHAnsi" w:cstheme="minorHAnsi"/>
              </w:rPr>
              <w:t>1</w:t>
            </w:r>
          </w:p>
        </w:tc>
        <w:tc>
          <w:tcPr>
            <w:tcW w:w="1679" w:type="dxa"/>
          </w:tcPr>
          <w:p w:rsidR="00E05493" w:rsidRPr="005C47FA" w:rsidP="00E05493" w14:paraId="4312F085" w14:textId="04271B84">
            <w:pPr>
              <w:rPr>
                <w:rFonts w:asciiTheme="majorHAnsi" w:hAnsiTheme="majorHAnsi" w:cstheme="minorHAnsi"/>
              </w:rPr>
            </w:pPr>
            <w:r w:rsidRPr="005C47FA">
              <w:rPr>
                <w:rFonts w:asciiTheme="majorHAnsi" w:hAnsiTheme="majorHAnsi" w:cstheme="minorHAnsi"/>
              </w:rPr>
              <w:t>1.0</w:t>
            </w:r>
          </w:p>
        </w:tc>
        <w:tc>
          <w:tcPr>
            <w:tcW w:w="1679" w:type="dxa"/>
          </w:tcPr>
          <w:p w:rsidR="00E05493" w:rsidRPr="005C47FA" w:rsidP="00E05493" w14:paraId="48A1F66F" w14:textId="69E1877C">
            <w:pPr>
              <w:rPr>
                <w:rFonts w:asciiTheme="majorHAnsi" w:hAnsiTheme="majorHAnsi" w:cstheme="minorHAnsi"/>
              </w:rPr>
            </w:pPr>
            <w:r w:rsidRPr="005C47FA">
              <w:rPr>
                <w:rFonts w:asciiTheme="majorHAnsi" w:hAnsiTheme="majorHAnsi" w:cstheme="minorHAnsi"/>
              </w:rPr>
              <w:t>15</w:t>
            </w:r>
          </w:p>
        </w:tc>
      </w:tr>
      <w:tr w14:paraId="55FE17EB" w14:textId="77777777" w:rsidTr="19DB6323">
        <w:tblPrEx>
          <w:tblW w:w="0" w:type="auto"/>
          <w:tblLook w:val="04A0"/>
        </w:tblPrEx>
        <w:tc>
          <w:tcPr>
            <w:tcW w:w="1678" w:type="dxa"/>
          </w:tcPr>
          <w:p w:rsidR="00E05493" w:rsidRPr="005C47FA" w:rsidP="00E05493" w14:paraId="55FE17E8" w14:textId="77777777">
            <w:pPr>
              <w:rPr>
                <w:rFonts w:asciiTheme="majorHAnsi" w:hAnsiTheme="majorHAnsi" w:cstheme="minorHAnsi"/>
                <w:b/>
              </w:rPr>
            </w:pPr>
            <w:r w:rsidRPr="005C47FA">
              <w:rPr>
                <w:rFonts w:asciiTheme="majorHAnsi" w:hAnsiTheme="majorHAnsi" w:cstheme="minorHAnsi"/>
                <w:b/>
              </w:rPr>
              <w:t>Total</w:t>
            </w:r>
          </w:p>
        </w:tc>
        <w:tc>
          <w:tcPr>
            <w:tcW w:w="6713" w:type="dxa"/>
            <w:gridSpan w:val="4"/>
          </w:tcPr>
          <w:p w:rsidR="00E05493" w:rsidRPr="005C47FA" w:rsidP="00E05493" w14:paraId="55FE17E9" w14:textId="77777777">
            <w:pPr>
              <w:rPr>
                <w:rFonts w:asciiTheme="majorHAnsi" w:hAnsiTheme="majorHAnsi" w:cstheme="minorHAnsi"/>
              </w:rPr>
            </w:pPr>
          </w:p>
        </w:tc>
        <w:tc>
          <w:tcPr>
            <w:tcW w:w="1679" w:type="dxa"/>
          </w:tcPr>
          <w:p w:rsidR="00E05493" w:rsidRPr="005C47FA" w:rsidP="00E05493" w14:paraId="55FE17EA" w14:textId="08E9A5B5">
            <w:pPr>
              <w:spacing w:after="200" w:line="276" w:lineRule="auto"/>
              <w:rPr>
                <w:rFonts w:asciiTheme="majorHAnsi" w:hAnsiTheme="majorHAnsi" w:cstheme="minorHAnsi"/>
              </w:rPr>
            </w:pPr>
            <w:r w:rsidRPr="005C47FA">
              <w:rPr>
                <w:rFonts w:asciiTheme="majorHAnsi" w:hAnsiTheme="majorHAnsi" w:cstheme="minorHAnsi"/>
              </w:rPr>
              <w:t>7</w:t>
            </w:r>
            <w:r w:rsidRPr="005C47FA" w:rsidR="679AA5CA">
              <w:rPr>
                <w:rFonts w:asciiTheme="majorHAnsi" w:hAnsiTheme="majorHAnsi" w:cstheme="minorHAnsi"/>
              </w:rPr>
              <w:t>0</w:t>
            </w:r>
            <w:r w:rsidRPr="005C47FA" w:rsidR="00F11902">
              <w:rPr>
                <w:rFonts w:asciiTheme="majorHAnsi" w:hAnsiTheme="majorHAnsi" w:cstheme="minorHAnsi"/>
              </w:rPr>
              <w:t>6</w:t>
            </w:r>
          </w:p>
        </w:tc>
      </w:tr>
    </w:tbl>
    <w:p w:rsidR="00C553B7" w:rsidRPr="005C47FA" w:rsidP="004A13E8" w14:paraId="505C920E" w14:textId="20E63586">
      <w:pPr>
        <w:spacing w:before="240"/>
        <w:rPr>
          <w:rFonts w:asciiTheme="majorHAnsi" w:hAnsiTheme="majorHAnsi" w:cstheme="minorHAnsi"/>
        </w:rPr>
      </w:pPr>
      <w:r w:rsidRPr="005C47FA">
        <w:rPr>
          <w:rFonts w:asciiTheme="majorHAnsi" w:hAnsiTheme="majorHAnsi" w:cstheme="minorHAnsi"/>
        </w:rPr>
        <w:t>B.</w:t>
      </w:r>
      <w:r w:rsidRPr="005C47FA">
        <w:rPr>
          <w:rFonts w:asciiTheme="majorHAnsi" w:hAnsiTheme="majorHAnsi" w:cstheme="minorHAnsi"/>
        </w:rPr>
        <w:t xml:space="preserve"> Estimated Annualized Burden Costs</w:t>
      </w:r>
      <w:r w:rsidRPr="005C47FA" w:rsidR="009B0947">
        <w:rPr>
          <w:rFonts w:asciiTheme="majorHAnsi" w:hAnsiTheme="majorHAnsi" w:cstheme="minorHAnsi"/>
        </w:rPr>
        <w:t xml:space="preserve"> </w:t>
      </w:r>
    </w:p>
    <w:tbl>
      <w:tblPr>
        <w:tblStyle w:val="TableGrid"/>
        <w:tblW w:w="10075" w:type="dxa"/>
        <w:tblLook w:val="04A0"/>
      </w:tblPr>
      <w:tblGrid>
        <w:gridCol w:w="2015"/>
        <w:gridCol w:w="2015"/>
        <w:gridCol w:w="2015"/>
        <w:gridCol w:w="2015"/>
        <w:gridCol w:w="2015"/>
      </w:tblGrid>
      <w:tr w14:paraId="55FE17F2" w14:textId="77777777" w:rsidTr="19DB6323">
        <w:tblPrEx>
          <w:tblW w:w="10075" w:type="dxa"/>
          <w:tblLook w:val="04A0"/>
        </w:tblPrEx>
        <w:tc>
          <w:tcPr>
            <w:tcW w:w="2015" w:type="dxa"/>
          </w:tcPr>
          <w:p w:rsidR="004A13E8" w:rsidRPr="005C47FA" w14:paraId="55FE17ED" w14:textId="77777777">
            <w:pPr>
              <w:rPr>
                <w:rFonts w:asciiTheme="majorHAnsi" w:hAnsiTheme="majorHAnsi" w:cstheme="minorHAnsi"/>
              </w:rPr>
            </w:pPr>
            <w:r w:rsidRPr="005C47FA">
              <w:rPr>
                <w:rFonts w:asciiTheme="majorHAnsi" w:hAnsiTheme="majorHAnsi" w:cstheme="minorHAnsi"/>
              </w:rPr>
              <w:t>Type of Respondent</w:t>
            </w:r>
          </w:p>
        </w:tc>
        <w:tc>
          <w:tcPr>
            <w:tcW w:w="2015" w:type="dxa"/>
          </w:tcPr>
          <w:p w:rsidR="004A13E8" w:rsidRPr="005C47FA" w14:paraId="55FE17EE" w14:textId="77777777">
            <w:pPr>
              <w:rPr>
                <w:rFonts w:asciiTheme="majorHAnsi" w:hAnsiTheme="majorHAnsi" w:cstheme="minorHAnsi"/>
              </w:rPr>
            </w:pPr>
            <w:r w:rsidRPr="005C47FA">
              <w:rPr>
                <w:rFonts w:asciiTheme="majorHAnsi" w:hAnsiTheme="majorHAnsi" w:cstheme="minorHAnsi"/>
              </w:rPr>
              <w:t>Form Name</w:t>
            </w:r>
          </w:p>
        </w:tc>
        <w:tc>
          <w:tcPr>
            <w:tcW w:w="2015" w:type="dxa"/>
          </w:tcPr>
          <w:p w:rsidR="004A13E8" w:rsidRPr="005C47FA" w14:paraId="55FE17EF" w14:textId="77777777">
            <w:pPr>
              <w:rPr>
                <w:rFonts w:asciiTheme="majorHAnsi" w:hAnsiTheme="majorHAnsi" w:cstheme="minorHAnsi"/>
              </w:rPr>
            </w:pPr>
            <w:r w:rsidRPr="005C47FA">
              <w:rPr>
                <w:rFonts w:asciiTheme="majorHAnsi" w:hAnsiTheme="majorHAnsi" w:cstheme="minorHAnsi"/>
              </w:rPr>
              <w:t>Total Burden Hours</w:t>
            </w:r>
          </w:p>
        </w:tc>
        <w:tc>
          <w:tcPr>
            <w:tcW w:w="2015" w:type="dxa"/>
          </w:tcPr>
          <w:p w:rsidR="004A13E8" w:rsidRPr="005C47FA" w14:paraId="55FE17F0" w14:textId="77777777">
            <w:pPr>
              <w:rPr>
                <w:rFonts w:asciiTheme="majorHAnsi" w:hAnsiTheme="majorHAnsi" w:cstheme="minorHAnsi"/>
              </w:rPr>
            </w:pPr>
            <w:r w:rsidRPr="005C47FA">
              <w:rPr>
                <w:rFonts w:asciiTheme="majorHAnsi" w:hAnsiTheme="majorHAnsi" w:cstheme="minorHAnsi"/>
              </w:rPr>
              <w:t>Hourly Wage Rate</w:t>
            </w:r>
          </w:p>
        </w:tc>
        <w:tc>
          <w:tcPr>
            <w:tcW w:w="2015" w:type="dxa"/>
          </w:tcPr>
          <w:p w:rsidR="004A13E8" w:rsidRPr="005C47FA" w14:paraId="55FE17F1" w14:textId="77777777">
            <w:pPr>
              <w:rPr>
                <w:rFonts w:asciiTheme="majorHAnsi" w:hAnsiTheme="majorHAnsi" w:cstheme="minorHAnsi"/>
              </w:rPr>
            </w:pPr>
            <w:r w:rsidRPr="005C47FA">
              <w:rPr>
                <w:rFonts w:asciiTheme="majorHAnsi" w:hAnsiTheme="majorHAnsi" w:cstheme="minorHAnsi"/>
              </w:rPr>
              <w:t>Total Respondent Costs</w:t>
            </w:r>
          </w:p>
        </w:tc>
      </w:tr>
      <w:tr w14:paraId="55FE17F8" w14:textId="77777777" w:rsidTr="19DB6323">
        <w:tblPrEx>
          <w:tblW w:w="10075" w:type="dxa"/>
          <w:tblLook w:val="04A0"/>
        </w:tblPrEx>
        <w:tc>
          <w:tcPr>
            <w:tcW w:w="2015" w:type="dxa"/>
          </w:tcPr>
          <w:p w:rsidR="00F15565" w:rsidRPr="005C47FA" w:rsidP="00F15565" w14:paraId="55FE17F3" w14:textId="6A8B7254">
            <w:pPr>
              <w:rPr>
                <w:rFonts w:asciiTheme="majorHAnsi" w:hAnsiTheme="majorHAnsi" w:cstheme="minorHAnsi"/>
              </w:rPr>
            </w:pPr>
            <w:r w:rsidRPr="005C47FA">
              <w:rPr>
                <w:rFonts w:asciiTheme="majorHAnsi" w:hAnsiTheme="majorHAnsi" w:cstheme="minorHAnsi"/>
              </w:rPr>
              <w:t xml:space="preserve">STLT </w:t>
            </w:r>
            <w:r w:rsidRPr="005C47FA" w:rsidR="00A13CFE">
              <w:rPr>
                <w:rFonts w:asciiTheme="majorHAnsi" w:hAnsiTheme="majorHAnsi" w:cstheme="minorHAnsi"/>
              </w:rPr>
              <w:t>Staff</w:t>
            </w:r>
            <w:r w:rsidRPr="005C47FA" w:rsidR="008805C3">
              <w:rPr>
                <w:rFonts w:asciiTheme="majorHAnsi" w:hAnsiTheme="majorHAnsi" w:cstheme="minorHAnsi"/>
              </w:rPr>
              <w:t xml:space="preserve"> an</w:t>
            </w:r>
            <w:r w:rsidRPr="005C47FA" w:rsidR="00CE1C3E">
              <w:rPr>
                <w:rFonts w:asciiTheme="majorHAnsi" w:hAnsiTheme="majorHAnsi" w:cstheme="minorHAnsi"/>
              </w:rPr>
              <w:t>d</w:t>
            </w:r>
            <w:r w:rsidRPr="005C47FA" w:rsidR="008805C3">
              <w:rPr>
                <w:rFonts w:asciiTheme="majorHAnsi" w:hAnsiTheme="majorHAnsi" w:cstheme="minorHAnsi"/>
              </w:rPr>
              <w:t xml:space="preserve"> Delegates</w:t>
            </w:r>
          </w:p>
        </w:tc>
        <w:tc>
          <w:tcPr>
            <w:tcW w:w="2015" w:type="dxa"/>
          </w:tcPr>
          <w:p w:rsidR="00F15565" w:rsidRPr="005C47FA" w:rsidP="00F15565" w14:paraId="38B7A0A5" w14:textId="77777777">
            <w:pPr>
              <w:rPr>
                <w:rFonts w:asciiTheme="majorHAnsi" w:hAnsiTheme="majorHAnsi" w:cstheme="minorHAnsi"/>
              </w:rPr>
            </w:pPr>
            <w:r w:rsidRPr="005C47FA">
              <w:rPr>
                <w:rFonts w:asciiTheme="majorHAnsi" w:hAnsiTheme="majorHAnsi" w:cstheme="minorHAnsi"/>
              </w:rPr>
              <w:t xml:space="preserve">MAHC Use and Acceptability Survey </w:t>
            </w:r>
          </w:p>
          <w:p w:rsidR="00427164" w:rsidRPr="005C47FA" w:rsidP="00F15565" w14:paraId="55FE17F4" w14:textId="5FC86B39">
            <w:pPr>
              <w:rPr>
                <w:rFonts w:asciiTheme="majorHAnsi" w:hAnsiTheme="majorHAnsi" w:cstheme="minorHAnsi"/>
              </w:rPr>
            </w:pPr>
            <w:r w:rsidRPr="005C47FA">
              <w:rPr>
                <w:rFonts w:asciiTheme="majorHAnsi" w:hAnsiTheme="majorHAnsi" w:cstheme="minorHAnsi"/>
              </w:rPr>
              <w:t xml:space="preserve">(Attachment </w:t>
            </w:r>
            <w:r w:rsidRPr="005C47FA" w:rsidR="00967433">
              <w:rPr>
                <w:rFonts w:asciiTheme="majorHAnsi" w:hAnsiTheme="majorHAnsi" w:cstheme="minorHAnsi"/>
              </w:rPr>
              <w:t>B</w:t>
            </w:r>
            <w:r w:rsidRPr="005C47FA">
              <w:rPr>
                <w:rFonts w:asciiTheme="majorHAnsi" w:hAnsiTheme="majorHAnsi" w:cstheme="minorHAnsi"/>
              </w:rPr>
              <w:t>)</w:t>
            </w:r>
          </w:p>
        </w:tc>
        <w:tc>
          <w:tcPr>
            <w:tcW w:w="2015" w:type="dxa"/>
          </w:tcPr>
          <w:p w:rsidR="00F15565" w:rsidRPr="005C47FA" w:rsidP="4CEC5BEF" w14:paraId="55FE17F5" w14:textId="6B778F8D">
            <w:pPr>
              <w:spacing w:after="200" w:line="276" w:lineRule="auto"/>
              <w:jc w:val="both"/>
              <w:rPr>
                <w:rFonts w:asciiTheme="majorHAnsi" w:hAnsiTheme="majorHAnsi" w:cstheme="minorHAnsi"/>
              </w:rPr>
            </w:pPr>
            <w:r w:rsidRPr="005C47FA">
              <w:rPr>
                <w:rFonts w:asciiTheme="majorHAnsi" w:hAnsiTheme="majorHAnsi" w:cstheme="minorHAnsi"/>
              </w:rPr>
              <w:t>667</w:t>
            </w:r>
          </w:p>
        </w:tc>
        <w:tc>
          <w:tcPr>
            <w:tcW w:w="2015" w:type="dxa"/>
          </w:tcPr>
          <w:p w:rsidR="00F15565" w:rsidRPr="005C47FA" w:rsidP="00910907" w14:paraId="55FE17F6" w14:textId="1B9DB891">
            <w:pPr>
              <w:jc w:val="both"/>
              <w:rPr>
                <w:rFonts w:asciiTheme="majorHAnsi" w:hAnsiTheme="majorHAnsi" w:cstheme="minorHAnsi"/>
              </w:rPr>
            </w:pPr>
            <w:r w:rsidRPr="005C47FA">
              <w:rPr>
                <w:rFonts w:asciiTheme="majorHAnsi" w:hAnsiTheme="majorHAnsi" w:cstheme="minorHAnsi"/>
              </w:rPr>
              <w:t>$40.80</w:t>
            </w:r>
          </w:p>
        </w:tc>
        <w:tc>
          <w:tcPr>
            <w:tcW w:w="2015" w:type="dxa"/>
          </w:tcPr>
          <w:p w:rsidR="00F15565" w:rsidRPr="005C47FA" w:rsidP="00910907" w14:paraId="55FE17F7" w14:textId="5C29A870">
            <w:pPr>
              <w:jc w:val="both"/>
              <w:rPr>
                <w:rFonts w:asciiTheme="majorHAnsi" w:hAnsiTheme="majorHAnsi" w:cstheme="minorHAnsi"/>
              </w:rPr>
            </w:pPr>
            <w:r w:rsidRPr="005C47FA">
              <w:rPr>
                <w:rFonts w:asciiTheme="majorHAnsi" w:hAnsiTheme="majorHAnsi" w:cstheme="minorHAnsi"/>
              </w:rPr>
              <w:t>$27,213.6</w:t>
            </w:r>
          </w:p>
        </w:tc>
      </w:tr>
      <w:tr w14:paraId="4450BCEC" w14:textId="77777777" w:rsidTr="19DB6323">
        <w:tblPrEx>
          <w:tblW w:w="10075" w:type="dxa"/>
          <w:tblLook w:val="04A0"/>
        </w:tblPrEx>
        <w:tc>
          <w:tcPr>
            <w:tcW w:w="2015" w:type="dxa"/>
          </w:tcPr>
          <w:p w:rsidR="00CE1C3E" w:rsidRPr="005C47FA" w:rsidP="00CE1C3E" w14:paraId="02B2076C" w14:textId="5D30E97F">
            <w:pPr>
              <w:rPr>
                <w:rFonts w:asciiTheme="majorHAnsi" w:hAnsiTheme="majorHAnsi" w:cstheme="minorHAnsi"/>
              </w:rPr>
            </w:pPr>
            <w:r w:rsidRPr="005C47FA">
              <w:rPr>
                <w:rFonts w:asciiTheme="majorHAnsi" w:hAnsiTheme="majorHAnsi" w:cstheme="minorHAnsi"/>
              </w:rPr>
              <w:t>STLT Staff and Delegates</w:t>
            </w:r>
          </w:p>
        </w:tc>
        <w:tc>
          <w:tcPr>
            <w:tcW w:w="2015" w:type="dxa"/>
          </w:tcPr>
          <w:p w:rsidR="00875EBA" w:rsidRPr="005C47FA" w:rsidP="00875EBA" w14:paraId="613695FE" w14:textId="77777777">
            <w:pPr>
              <w:rPr>
                <w:rFonts w:asciiTheme="majorHAnsi" w:hAnsiTheme="majorHAnsi" w:cstheme="minorHAnsi"/>
              </w:rPr>
            </w:pPr>
            <w:r w:rsidRPr="005C47FA">
              <w:rPr>
                <w:rFonts w:asciiTheme="majorHAnsi" w:hAnsiTheme="majorHAnsi" w:cstheme="minorHAnsi"/>
              </w:rPr>
              <w:t>Focus Group Guide</w:t>
            </w:r>
          </w:p>
          <w:p w:rsidR="00CE1C3E" w:rsidRPr="005C47FA" w:rsidP="00CE1C3E" w14:paraId="02D3779B" w14:textId="047131DC">
            <w:pPr>
              <w:rPr>
                <w:rFonts w:asciiTheme="majorHAnsi" w:hAnsiTheme="majorHAnsi" w:cstheme="minorHAnsi"/>
              </w:rPr>
            </w:pPr>
            <w:r w:rsidRPr="005C47FA">
              <w:rPr>
                <w:rFonts w:asciiTheme="majorHAnsi" w:hAnsiTheme="majorHAnsi" w:cstheme="minorHAnsi"/>
              </w:rPr>
              <w:t xml:space="preserve">(Attachments </w:t>
            </w:r>
            <w:r w:rsidRPr="005C47FA" w:rsidR="00967433">
              <w:rPr>
                <w:rFonts w:asciiTheme="majorHAnsi" w:hAnsiTheme="majorHAnsi" w:cstheme="minorHAnsi"/>
              </w:rPr>
              <w:t>D1</w:t>
            </w:r>
            <w:r w:rsidRPr="005C47FA">
              <w:rPr>
                <w:rFonts w:asciiTheme="majorHAnsi" w:hAnsiTheme="majorHAnsi" w:cstheme="minorHAnsi"/>
              </w:rPr>
              <w:t xml:space="preserve">, </w:t>
            </w:r>
            <w:r w:rsidRPr="005C47FA" w:rsidR="00967433">
              <w:rPr>
                <w:rFonts w:asciiTheme="majorHAnsi" w:hAnsiTheme="majorHAnsi" w:cstheme="minorHAnsi"/>
              </w:rPr>
              <w:t>D2</w:t>
            </w:r>
            <w:r w:rsidRPr="005C47FA">
              <w:rPr>
                <w:rFonts w:asciiTheme="majorHAnsi" w:hAnsiTheme="majorHAnsi" w:cstheme="minorHAnsi"/>
              </w:rPr>
              <w:t xml:space="preserve">, </w:t>
            </w:r>
            <w:r w:rsidRPr="005C47FA" w:rsidR="00967433">
              <w:rPr>
                <w:rFonts w:asciiTheme="majorHAnsi" w:hAnsiTheme="majorHAnsi" w:cstheme="minorHAnsi"/>
              </w:rPr>
              <w:t>D3</w:t>
            </w:r>
            <w:r w:rsidRPr="005C47FA">
              <w:rPr>
                <w:rFonts w:asciiTheme="majorHAnsi" w:hAnsiTheme="majorHAnsi" w:cstheme="minorHAnsi"/>
              </w:rPr>
              <w:t>)</w:t>
            </w:r>
          </w:p>
        </w:tc>
        <w:tc>
          <w:tcPr>
            <w:tcW w:w="2015" w:type="dxa"/>
          </w:tcPr>
          <w:p w:rsidR="00CE1C3E" w:rsidRPr="005C47FA" w:rsidP="00CE1C3E" w14:paraId="05A01FB9" w14:textId="4026D2A8">
            <w:pPr>
              <w:spacing w:after="200" w:line="276" w:lineRule="auto"/>
              <w:jc w:val="both"/>
              <w:rPr>
                <w:rFonts w:asciiTheme="majorHAnsi" w:hAnsiTheme="majorHAnsi" w:cstheme="minorHAnsi"/>
              </w:rPr>
            </w:pPr>
            <w:r w:rsidRPr="005C47FA">
              <w:rPr>
                <w:rFonts w:asciiTheme="majorHAnsi" w:hAnsiTheme="majorHAnsi" w:cstheme="minorHAnsi"/>
              </w:rPr>
              <w:t>24</w:t>
            </w:r>
          </w:p>
        </w:tc>
        <w:tc>
          <w:tcPr>
            <w:tcW w:w="2015" w:type="dxa"/>
          </w:tcPr>
          <w:p w:rsidR="00CE1C3E" w:rsidRPr="005C47FA" w:rsidP="00CE1C3E" w14:paraId="6AEDBF56" w14:textId="7A9EB773">
            <w:pPr>
              <w:jc w:val="both"/>
              <w:rPr>
                <w:rFonts w:asciiTheme="majorHAnsi" w:hAnsiTheme="majorHAnsi" w:cstheme="minorHAnsi"/>
              </w:rPr>
            </w:pPr>
            <w:r w:rsidRPr="005C47FA">
              <w:rPr>
                <w:rFonts w:asciiTheme="majorHAnsi" w:hAnsiTheme="majorHAnsi" w:cstheme="minorHAnsi"/>
              </w:rPr>
              <w:t>$40.80</w:t>
            </w:r>
          </w:p>
        </w:tc>
        <w:tc>
          <w:tcPr>
            <w:tcW w:w="2015" w:type="dxa"/>
          </w:tcPr>
          <w:p w:rsidR="00CE1C3E" w:rsidRPr="005C47FA" w:rsidP="00CE1C3E" w14:paraId="3DD2353A" w14:textId="4CBAE648">
            <w:pPr>
              <w:jc w:val="both"/>
              <w:rPr>
                <w:rFonts w:asciiTheme="majorHAnsi" w:hAnsiTheme="majorHAnsi" w:cstheme="minorHAnsi"/>
              </w:rPr>
            </w:pPr>
            <w:r w:rsidRPr="005C47FA">
              <w:rPr>
                <w:rFonts w:asciiTheme="majorHAnsi" w:hAnsiTheme="majorHAnsi" w:cstheme="minorHAnsi"/>
              </w:rPr>
              <w:t>$979.20</w:t>
            </w:r>
          </w:p>
        </w:tc>
      </w:tr>
      <w:tr w14:paraId="62747F92" w14:textId="77777777" w:rsidTr="19DB6323">
        <w:tblPrEx>
          <w:tblW w:w="10075" w:type="dxa"/>
          <w:tblLook w:val="04A0"/>
        </w:tblPrEx>
        <w:tc>
          <w:tcPr>
            <w:tcW w:w="2015" w:type="dxa"/>
          </w:tcPr>
          <w:p w:rsidR="00CE1C3E" w:rsidRPr="005C47FA" w:rsidP="00CE1C3E" w14:paraId="713B231B" w14:textId="1A799E8A">
            <w:pPr>
              <w:rPr>
                <w:rFonts w:asciiTheme="majorHAnsi" w:hAnsiTheme="majorHAnsi" w:cstheme="minorHAnsi"/>
              </w:rPr>
            </w:pPr>
            <w:r w:rsidRPr="005C47FA">
              <w:rPr>
                <w:rFonts w:asciiTheme="majorHAnsi" w:hAnsiTheme="majorHAnsi" w:cstheme="minorHAnsi"/>
              </w:rPr>
              <w:t>STLT Staff and Delegates</w:t>
            </w:r>
          </w:p>
        </w:tc>
        <w:tc>
          <w:tcPr>
            <w:tcW w:w="2015" w:type="dxa"/>
          </w:tcPr>
          <w:p w:rsidR="00875EBA" w:rsidRPr="005C47FA" w:rsidP="00875EBA" w14:paraId="1E577144" w14:textId="77777777">
            <w:pPr>
              <w:rPr>
                <w:rFonts w:asciiTheme="majorHAnsi" w:hAnsiTheme="majorHAnsi" w:cstheme="minorHAnsi"/>
              </w:rPr>
            </w:pPr>
            <w:r w:rsidRPr="005C47FA">
              <w:rPr>
                <w:rFonts w:asciiTheme="majorHAnsi" w:hAnsiTheme="majorHAnsi" w:cstheme="minorHAnsi"/>
              </w:rPr>
              <w:t>Case Study IDI Guide</w:t>
            </w:r>
          </w:p>
          <w:p w:rsidR="00CE1C3E" w:rsidRPr="005C47FA" w:rsidP="00CE1C3E" w14:paraId="04BEB5E7" w14:textId="2375715B">
            <w:pPr>
              <w:rPr>
                <w:rFonts w:asciiTheme="majorHAnsi" w:hAnsiTheme="majorHAnsi" w:cstheme="minorHAnsi"/>
              </w:rPr>
            </w:pPr>
            <w:r w:rsidRPr="005C47FA">
              <w:rPr>
                <w:rFonts w:asciiTheme="majorHAnsi" w:hAnsiTheme="majorHAnsi" w:cstheme="minorHAnsi"/>
              </w:rPr>
              <w:t xml:space="preserve">(Attachment </w:t>
            </w:r>
            <w:r w:rsidRPr="005C47FA" w:rsidR="00967433">
              <w:rPr>
                <w:rFonts w:asciiTheme="majorHAnsi" w:hAnsiTheme="majorHAnsi" w:cstheme="minorHAnsi"/>
              </w:rPr>
              <w:t>E</w:t>
            </w:r>
            <w:r w:rsidRPr="005C47FA">
              <w:rPr>
                <w:rFonts w:asciiTheme="majorHAnsi" w:hAnsiTheme="majorHAnsi" w:cstheme="minorHAnsi"/>
              </w:rPr>
              <w:t>)</w:t>
            </w:r>
          </w:p>
        </w:tc>
        <w:tc>
          <w:tcPr>
            <w:tcW w:w="2015" w:type="dxa"/>
          </w:tcPr>
          <w:p w:rsidR="00CE1C3E" w:rsidRPr="005C47FA" w:rsidP="00CE1C3E" w14:paraId="23551265" w14:textId="41B54BD0">
            <w:pPr>
              <w:jc w:val="both"/>
              <w:rPr>
                <w:rFonts w:asciiTheme="majorHAnsi" w:hAnsiTheme="majorHAnsi" w:cstheme="minorHAnsi"/>
              </w:rPr>
            </w:pPr>
            <w:r w:rsidRPr="005C47FA">
              <w:rPr>
                <w:rFonts w:asciiTheme="majorHAnsi" w:hAnsiTheme="majorHAnsi" w:cstheme="minorHAnsi"/>
              </w:rPr>
              <w:t>15</w:t>
            </w:r>
          </w:p>
        </w:tc>
        <w:tc>
          <w:tcPr>
            <w:tcW w:w="2015" w:type="dxa"/>
          </w:tcPr>
          <w:p w:rsidR="00CE1C3E" w:rsidRPr="005C47FA" w:rsidP="00CE1C3E" w14:paraId="11AF7E5E" w14:textId="35F0AA2B">
            <w:pPr>
              <w:jc w:val="both"/>
              <w:rPr>
                <w:rFonts w:asciiTheme="majorHAnsi" w:hAnsiTheme="majorHAnsi" w:cstheme="minorHAnsi"/>
              </w:rPr>
            </w:pPr>
            <w:r w:rsidRPr="005C47FA">
              <w:rPr>
                <w:rFonts w:asciiTheme="majorHAnsi" w:hAnsiTheme="majorHAnsi" w:cstheme="minorHAnsi"/>
              </w:rPr>
              <w:t>$40.80</w:t>
            </w:r>
          </w:p>
        </w:tc>
        <w:tc>
          <w:tcPr>
            <w:tcW w:w="2015" w:type="dxa"/>
          </w:tcPr>
          <w:p w:rsidR="00CE1C3E" w:rsidRPr="005C47FA" w:rsidP="00CE1C3E" w14:paraId="148F8F2D" w14:textId="55C2E9E1">
            <w:pPr>
              <w:jc w:val="both"/>
              <w:rPr>
                <w:rFonts w:asciiTheme="majorHAnsi" w:hAnsiTheme="majorHAnsi" w:cstheme="minorHAnsi"/>
              </w:rPr>
            </w:pPr>
            <w:r w:rsidRPr="005C47FA">
              <w:rPr>
                <w:rFonts w:asciiTheme="majorHAnsi" w:hAnsiTheme="majorHAnsi" w:cstheme="minorHAnsi"/>
              </w:rPr>
              <w:t>$612.00</w:t>
            </w:r>
          </w:p>
        </w:tc>
      </w:tr>
      <w:tr w14:paraId="55FE17FC" w14:textId="77777777" w:rsidTr="19DB6323">
        <w:tblPrEx>
          <w:tblW w:w="10075" w:type="dxa"/>
          <w:tblLook w:val="04A0"/>
        </w:tblPrEx>
        <w:trPr>
          <w:trHeight w:val="161"/>
        </w:trPr>
        <w:tc>
          <w:tcPr>
            <w:tcW w:w="2015" w:type="dxa"/>
          </w:tcPr>
          <w:p w:rsidR="00CE1C3E" w:rsidRPr="005C47FA" w:rsidP="00CE1C3E" w14:paraId="55FE17F9" w14:textId="77777777">
            <w:pPr>
              <w:rPr>
                <w:rFonts w:asciiTheme="majorHAnsi" w:hAnsiTheme="majorHAnsi" w:cstheme="minorHAnsi"/>
                <w:b/>
              </w:rPr>
            </w:pPr>
            <w:r w:rsidRPr="005C47FA">
              <w:rPr>
                <w:rFonts w:asciiTheme="majorHAnsi" w:hAnsiTheme="majorHAnsi" w:cstheme="minorHAnsi"/>
                <w:b/>
              </w:rPr>
              <w:t>Total</w:t>
            </w:r>
          </w:p>
        </w:tc>
        <w:tc>
          <w:tcPr>
            <w:tcW w:w="6045" w:type="dxa"/>
            <w:gridSpan w:val="3"/>
          </w:tcPr>
          <w:p w:rsidR="00CE1C3E" w:rsidRPr="005C47FA" w:rsidP="00CE1C3E" w14:paraId="55FE17FA" w14:textId="77777777">
            <w:pPr>
              <w:rPr>
                <w:rFonts w:asciiTheme="majorHAnsi" w:hAnsiTheme="majorHAnsi" w:cstheme="minorHAnsi"/>
              </w:rPr>
            </w:pPr>
          </w:p>
        </w:tc>
        <w:tc>
          <w:tcPr>
            <w:tcW w:w="2015" w:type="dxa"/>
          </w:tcPr>
          <w:p w:rsidR="00CE1C3E" w:rsidRPr="005C47FA" w:rsidP="00CE1C3E" w14:paraId="55FE17FB" w14:textId="1434E8BD">
            <w:pPr>
              <w:rPr>
                <w:rFonts w:asciiTheme="majorHAnsi" w:hAnsiTheme="majorHAnsi" w:cstheme="minorHAnsi"/>
                <w:b/>
                <w:bCs/>
              </w:rPr>
            </w:pPr>
            <w:r w:rsidRPr="005C47FA">
              <w:rPr>
                <w:rFonts w:asciiTheme="majorHAnsi" w:hAnsiTheme="majorHAnsi" w:cstheme="minorHAnsi"/>
                <w:b/>
                <w:bCs/>
              </w:rPr>
              <w:t>$28,</w:t>
            </w:r>
            <w:r w:rsidRPr="005C47FA" w:rsidR="6C56E14F">
              <w:rPr>
                <w:rFonts w:asciiTheme="majorHAnsi" w:hAnsiTheme="majorHAnsi" w:cstheme="minorHAnsi"/>
                <w:b/>
                <w:bCs/>
              </w:rPr>
              <w:t>8</w:t>
            </w:r>
            <w:r w:rsidRPr="005C47FA" w:rsidR="0037786F">
              <w:rPr>
                <w:rFonts w:asciiTheme="majorHAnsi" w:hAnsiTheme="majorHAnsi" w:cstheme="minorHAnsi"/>
                <w:b/>
                <w:bCs/>
              </w:rPr>
              <w:t>04.80</w:t>
            </w:r>
          </w:p>
        </w:tc>
      </w:tr>
    </w:tbl>
    <w:p w:rsidR="004A13E8" w:rsidRPr="005C47FA" w:rsidP="0025156B" w14:paraId="55FE17FE" w14:textId="77777777">
      <w:pPr>
        <w:pStyle w:val="Heading1"/>
        <w:spacing w:before="240"/>
        <w:rPr>
          <w:rFonts w:asciiTheme="majorHAnsi" w:hAnsiTheme="majorHAnsi" w:cstheme="minorHAnsi"/>
        </w:rPr>
      </w:pPr>
      <w:bookmarkStart w:id="18" w:name="_Toc172646915"/>
      <w:r w:rsidRPr="005C47FA">
        <w:rPr>
          <w:rFonts w:asciiTheme="majorHAnsi" w:hAnsiTheme="majorHAnsi" w:cstheme="minorHAnsi"/>
        </w:rPr>
        <w:t>Estimates of Other Total Annual Cost Burden to Respondents or Record Keepers</w:t>
      </w:r>
      <w:bookmarkEnd w:id="18"/>
    </w:p>
    <w:p w:rsidR="004A13E8" w:rsidRPr="005C47FA" w:rsidP="004A13E8" w14:paraId="55FE1800" w14:textId="18001946">
      <w:pPr>
        <w:rPr>
          <w:rFonts w:asciiTheme="majorHAnsi" w:hAnsiTheme="majorHAnsi" w:cstheme="minorHAnsi"/>
        </w:rPr>
      </w:pPr>
      <w:r w:rsidRPr="005C47FA">
        <w:rPr>
          <w:rFonts w:asciiTheme="majorHAnsi" w:hAnsiTheme="majorHAnsi" w:cstheme="minorHAnsi"/>
        </w:rPr>
        <w:t xml:space="preserve">There are no </w:t>
      </w:r>
      <w:r w:rsidR="005F5827">
        <w:rPr>
          <w:rFonts w:asciiTheme="majorHAnsi" w:hAnsiTheme="majorHAnsi" w:cstheme="minorHAnsi"/>
        </w:rPr>
        <w:t xml:space="preserve">direct </w:t>
      </w:r>
      <w:r w:rsidRPr="005C47FA">
        <w:rPr>
          <w:rFonts w:asciiTheme="majorHAnsi" w:hAnsiTheme="majorHAnsi" w:cstheme="minorHAnsi"/>
        </w:rPr>
        <w:t>costs to respondents other than their time to participate.</w:t>
      </w:r>
    </w:p>
    <w:p w:rsidR="004A13E8" w:rsidRPr="005C47FA" w:rsidP="004A13E8" w14:paraId="55FE1801" w14:textId="77777777">
      <w:pPr>
        <w:pStyle w:val="Heading1"/>
        <w:rPr>
          <w:rFonts w:asciiTheme="majorHAnsi" w:hAnsiTheme="majorHAnsi" w:cstheme="minorHAnsi"/>
        </w:rPr>
      </w:pPr>
      <w:bookmarkStart w:id="19" w:name="_Toc172646916"/>
      <w:r w:rsidRPr="005C47FA">
        <w:rPr>
          <w:rFonts w:asciiTheme="majorHAnsi" w:hAnsiTheme="majorHAnsi" w:cstheme="minorHAnsi"/>
        </w:rPr>
        <w:t>Annualized Cost to the Government</w:t>
      </w:r>
      <w:bookmarkEnd w:id="19"/>
    </w:p>
    <w:p w:rsidR="00F15565" w:rsidRPr="005C47FA" w:rsidP="20DD1ED5" w14:paraId="357AE0D0" w14:textId="60CA35CA">
      <w:pPr>
        <w:jc w:val="both"/>
        <w:rPr>
          <w:rFonts w:asciiTheme="majorHAnsi" w:hAnsiTheme="majorHAnsi" w:cstheme="minorHAnsi"/>
        </w:rPr>
      </w:pPr>
      <w:r w:rsidRPr="005C47FA">
        <w:rPr>
          <w:rFonts w:asciiTheme="majorHAnsi" w:hAnsiTheme="majorHAnsi" w:cstheme="minorHAnsi"/>
        </w:rPr>
        <w:t xml:space="preserve">There are no equipment or overhead costs. The only cost to the federal government is the salary of CDC staff (or contractors) supporting the data collection activities and associated tasks. This </w:t>
      </w:r>
      <w:r w:rsidRPr="005C47FA">
        <w:rPr>
          <w:rFonts w:asciiTheme="majorHAnsi" w:hAnsiTheme="majorHAnsi" w:cstheme="minorHAnsi"/>
        </w:rPr>
        <w:t>GenIC</w:t>
      </w:r>
      <w:r w:rsidRPr="005C47FA">
        <w:rPr>
          <w:rFonts w:asciiTheme="majorHAnsi" w:hAnsiTheme="majorHAnsi" w:cstheme="minorHAnsi"/>
        </w:rPr>
        <w:t xml:space="preserve"> was prepared by CDC staff (FTE). An FTE manager reviewed all data collections. </w:t>
      </w:r>
      <w:r w:rsidRPr="005C47FA" w:rsidR="00910907">
        <w:rPr>
          <w:rFonts w:asciiTheme="majorHAnsi" w:hAnsiTheme="majorHAnsi" w:cstheme="minorHAnsi"/>
        </w:rPr>
        <w:t xml:space="preserve">CDC staff from the National Center for Emerging and Zoonotic Infectious Diseases, National Center for Injury Prevention and Control, and National Center for Environmental Health worked </w:t>
      </w:r>
      <w:r w:rsidRPr="005C47FA">
        <w:rPr>
          <w:rFonts w:asciiTheme="majorHAnsi" w:hAnsiTheme="majorHAnsi" w:cstheme="minorHAnsi"/>
        </w:rPr>
        <w:t xml:space="preserve">together on data collection preparations, </w:t>
      </w:r>
      <w:r w:rsidRPr="005C47FA" w:rsidR="00910907">
        <w:rPr>
          <w:rFonts w:asciiTheme="majorHAnsi" w:hAnsiTheme="majorHAnsi" w:cstheme="minorHAnsi"/>
        </w:rPr>
        <w:t>and will conduct th</w:t>
      </w:r>
      <w:r w:rsidRPr="005C47FA">
        <w:rPr>
          <w:rFonts w:asciiTheme="majorHAnsi" w:hAnsiTheme="majorHAnsi" w:cstheme="minorHAnsi"/>
        </w:rPr>
        <w:t>e data collections, and analyz</w:t>
      </w:r>
      <w:r w:rsidRPr="005C47FA" w:rsidR="00910907">
        <w:rPr>
          <w:rFonts w:asciiTheme="majorHAnsi" w:hAnsiTheme="majorHAnsi" w:cstheme="minorHAnsi"/>
        </w:rPr>
        <w:t>e</w:t>
      </w:r>
      <w:r w:rsidRPr="005C47FA">
        <w:rPr>
          <w:rFonts w:asciiTheme="majorHAnsi" w:hAnsiTheme="majorHAnsi" w:cstheme="minorHAnsi"/>
        </w:rPr>
        <w:t xml:space="preserve"> data. </w:t>
      </w:r>
      <w:r w:rsidRPr="005C47FA" w:rsidR="00910907">
        <w:rPr>
          <w:rFonts w:asciiTheme="majorHAnsi" w:hAnsiTheme="majorHAnsi" w:cstheme="minorHAnsi"/>
        </w:rPr>
        <w:t>A</w:t>
      </w:r>
      <w:r w:rsidRPr="005C47FA">
        <w:rPr>
          <w:rFonts w:asciiTheme="majorHAnsi" w:hAnsiTheme="majorHAnsi" w:cstheme="minorHAnsi"/>
        </w:rPr>
        <w:t xml:space="preserve"> senior level FTE review</w:t>
      </w:r>
      <w:r w:rsidRPr="005C47FA" w:rsidR="00910907">
        <w:rPr>
          <w:rFonts w:asciiTheme="majorHAnsi" w:hAnsiTheme="majorHAnsi" w:cstheme="minorHAnsi"/>
        </w:rPr>
        <w:t>ed</w:t>
      </w:r>
      <w:r w:rsidRPr="005C47FA">
        <w:rPr>
          <w:rFonts w:asciiTheme="majorHAnsi" w:hAnsiTheme="majorHAnsi" w:cstheme="minorHAnsi"/>
        </w:rPr>
        <w:t xml:space="preserve"> and approve</w:t>
      </w:r>
      <w:r w:rsidRPr="005C47FA" w:rsidR="00910907">
        <w:rPr>
          <w:rFonts w:asciiTheme="majorHAnsi" w:hAnsiTheme="majorHAnsi" w:cstheme="minorHAnsi"/>
        </w:rPr>
        <w:t>d</w:t>
      </w:r>
      <w:r w:rsidRPr="005C47FA">
        <w:rPr>
          <w:rFonts w:asciiTheme="majorHAnsi" w:hAnsiTheme="majorHAnsi" w:cstheme="minorHAnsi"/>
        </w:rPr>
        <w:t xml:space="preserve"> the activities. </w:t>
      </w:r>
    </w:p>
    <w:p w:rsidR="00FE0398" w:rsidRPr="005C47FA" w:rsidP="20DD1ED5" w14:paraId="55FE1803" w14:textId="336CE514">
      <w:pPr>
        <w:jc w:val="both"/>
        <w:rPr>
          <w:rFonts w:asciiTheme="majorHAnsi" w:hAnsiTheme="majorHAnsi" w:cstheme="minorHAnsi"/>
        </w:rPr>
      </w:pPr>
      <w:r w:rsidRPr="005C47FA">
        <w:rPr>
          <w:rFonts w:asciiTheme="majorHAnsi" w:hAnsiTheme="majorHAnsi" w:cstheme="minorHAnsi"/>
        </w:rPr>
        <w:t xml:space="preserve">The estimated cost to the federal government </w:t>
      </w:r>
      <w:r w:rsidRPr="005C47FA" w:rsidR="00910907">
        <w:rPr>
          <w:rFonts w:asciiTheme="majorHAnsi" w:hAnsiTheme="majorHAnsi" w:cstheme="minorHAnsi"/>
        </w:rPr>
        <w:t xml:space="preserve">for this mixed methods activity </w:t>
      </w:r>
      <w:r w:rsidRPr="005C47FA">
        <w:rPr>
          <w:rFonts w:asciiTheme="majorHAnsi" w:hAnsiTheme="majorHAnsi" w:cstheme="minorHAnsi"/>
        </w:rPr>
        <w:t xml:space="preserve">is </w:t>
      </w:r>
      <w:r w:rsidRPr="005C47FA" w:rsidR="00CE1C3E">
        <w:rPr>
          <w:rFonts w:asciiTheme="majorHAnsi" w:hAnsiTheme="majorHAnsi" w:cstheme="minorHAnsi"/>
        </w:rPr>
        <w:t>$25,432.60</w:t>
      </w:r>
      <w:r w:rsidRPr="005C47FA">
        <w:rPr>
          <w:rFonts w:asciiTheme="majorHAnsi" w:hAnsiTheme="majorHAnsi" w:cstheme="minorHAnsi"/>
        </w:rPr>
        <w:t xml:space="preserve">.  </w:t>
      </w:r>
    </w:p>
    <w:tbl>
      <w:tblPr>
        <w:tblStyle w:val="TableGrid"/>
        <w:tblW w:w="0" w:type="auto"/>
        <w:tblLook w:val="04A0"/>
      </w:tblPr>
      <w:tblGrid>
        <w:gridCol w:w="3192"/>
        <w:gridCol w:w="1532"/>
        <w:gridCol w:w="1557"/>
        <w:gridCol w:w="1729"/>
        <w:gridCol w:w="2060"/>
      </w:tblGrid>
      <w:tr w14:paraId="55FE1805" w14:textId="7AFE9E4E" w:rsidTr="00CF14D6">
        <w:tblPrEx>
          <w:tblW w:w="0" w:type="auto"/>
          <w:tblLook w:val="04A0"/>
        </w:tblPrEx>
        <w:tc>
          <w:tcPr>
            <w:tcW w:w="4779" w:type="dxa"/>
            <w:gridSpan w:val="2"/>
            <w:vAlign w:val="center"/>
          </w:tcPr>
          <w:p w:rsidR="00322D5D" w:rsidRPr="005C47FA" w:rsidP="00FE0398" w14:paraId="55FE1804" w14:textId="77777777">
            <w:pPr>
              <w:jc w:val="center"/>
              <w:rPr>
                <w:rFonts w:asciiTheme="majorHAnsi" w:hAnsiTheme="majorHAnsi" w:cstheme="minorHAnsi"/>
              </w:rPr>
            </w:pPr>
            <w:r w:rsidRPr="005C47FA">
              <w:rPr>
                <w:rFonts w:asciiTheme="majorHAnsi" w:hAnsiTheme="majorHAnsi" w:cstheme="minorHAnsi"/>
              </w:rPr>
              <w:t>Estimated Annualized Cost to the Government per Activity</w:t>
            </w:r>
          </w:p>
        </w:tc>
        <w:tc>
          <w:tcPr>
            <w:tcW w:w="1483" w:type="dxa"/>
          </w:tcPr>
          <w:p w:rsidR="00322D5D" w:rsidRPr="005C47FA" w:rsidP="00FE0398" w14:paraId="7989458F" w14:textId="77777777">
            <w:pPr>
              <w:jc w:val="center"/>
              <w:rPr>
                <w:rFonts w:asciiTheme="majorHAnsi" w:hAnsiTheme="majorHAnsi" w:cstheme="minorHAnsi"/>
              </w:rPr>
            </w:pPr>
          </w:p>
        </w:tc>
        <w:tc>
          <w:tcPr>
            <w:tcW w:w="1733" w:type="dxa"/>
          </w:tcPr>
          <w:p w:rsidR="00322D5D" w:rsidRPr="005C47FA" w:rsidP="00FE0398" w14:paraId="2A4491E4" w14:textId="77777777">
            <w:pPr>
              <w:jc w:val="center"/>
              <w:rPr>
                <w:rFonts w:asciiTheme="majorHAnsi" w:hAnsiTheme="majorHAnsi" w:cstheme="minorHAnsi"/>
              </w:rPr>
            </w:pPr>
          </w:p>
        </w:tc>
        <w:tc>
          <w:tcPr>
            <w:tcW w:w="2075" w:type="dxa"/>
          </w:tcPr>
          <w:p w:rsidR="00322D5D" w:rsidRPr="005C47FA" w:rsidP="00FE0398" w14:paraId="150C1FAF" w14:textId="7A83B85C">
            <w:pPr>
              <w:jc w:val="center"/>
              <w:rPr>
                <w:rFonts w:asciiTheme="majorHAnsi" w:hAnsiTheme="majorHAnsi" w:cstheme="minorHAnsi"/>
              </w:rPr>
            </w:pPr>
          </w:p>
        </w:tc>
      </w:tr>
      <w:tr w14:paraId="55FE1808" w14:textId="0D282E1B" w:rsidTr="00CF14D6">
        <w:tblPrEx>
          <w:tblW w:w="0" w:type="auto"/>
          <w:tblLook w:val="04A0"/>
        </w:tblPrEx>
        <w:tc>
          <w:tcPr>
            <w:tcW w:w="3235" w:type="dxa"/>
          </w:tcPr>
          <w:p w:rsidR="00322D5D" w:rsidRPr="005C47FA" w:rsidP="00FE0398" w14:paraId="55FE1806" w14:textId="77777777">
            <w:pPr>
              <w:rPr>
                <w:rFonts w:asciiTheme="majorHAnsi" w:hAnsiTheme="majorHAnsi" w:cstheme="minorHAnsi"/>
              </w:rPr>
            </w:pPr>
            <w:r w:rsidRPr="005C47FA">
              <w:rPr>
                <w:rFonts w:asciiTheme="majorHAnsi" w:hAnsiTheme="majorHAnsi" w:cstheme="minorHAnsi"/>
              </w:rPr>
              <w:t>Cost Category</w:t>
            </w:r>
          </w:p>
        </w:tc>
        <w:tc>
          <w:tcPr>
            <w:tcW w:w="1544" w:type="dxa"/>
          </w:tcPr>
          <w:p w:rsidR="00322D5D" w:rsidRPr="005C47FA" w:rsidP="00FE0398" w14:paraId="55FE1807" w14:textId="18C5A3C8">
            <w:pPr>
              <w:rPr>
                <w:rFonts w:asciiTheme="majorHAnsi" w:hAnsiTheme="majorHAnsi" w:cstheme="minorHAnsi"/>
              </w:rPr>
            </w:pPr>
            <w:r w:rsidRPr="005C47FA">
              <w:rPr>
                <w:rFonts w:asciiTheme="majorHAnsi" w:hAnsiTheme="majorHAnsi" w:cstheme="minorHAnsi"/>
              </w:rPr>
              <w:t>Average Hourly Rate</w:t>
            </w:r>
          </w:p>
        </w:tc>
        <w:tc>
          <w:tcPr>
            <w:tcW w:w="1483" w:type="dxa"/>
          </w:tcPr>
          <w:p w:rsidR="00322D5D" w:rsidRPr="005C47FA" w:rsidP="00FE0398" w14:paraId="540DDC90" w14:textId="444C7671">
            <w:pPr>
              <w:rPr>
                <w:rFonts w:asciiTheme="majorHAnsi" w:hAnsiTheme="majorHAnsi" w:cstheme="minorHAnsi"/>
              </w:rPr>
            </w:pPr>
            <w:r w:rsidRPr="005C47FA">
              <w:rPr>
                <w:rFonts w:asciiTheme="majorHAnsi" w:hAnsiTheme="majorHAnsi" w:cstheme="minorHAnsi"/>
              </w:rPr>
              <w:t>Approximate Number of Staff</w:t>
            </w:r>
          </w:p>
        </w:tc>
        <w:tc>
          <w:tcPr>
            <w:tcW w:w="1733" w:type="dxa"/>
          </w:tcPr>
          <w:p w:rsidR="00322D5D" w:rsidRPr="005C47FA" w:rsidP="00FE0398" w14:paraId="71AA9654" w14:textId="17176506">
            <w:pPr>
              <w:rPr>
                <w:rFonts w:asciiTheme="majorHAnsi" w:hAnsiTheme="majorHAnsi" w:cstheme="minorHAnsi"/>
              </w:rPr>
            </w:pPr>
            <w:r w:rsidRPr="005C47FA">
              <w:rPr>
                <w:rFonts w:asciiTheme="majorHAnsi" w:hAnsiTheme="majorHAnsi" w:cstheme="minorHAnsi"/>
              </w:rPr>
              <w:t>Approximate Number of Hours</w:t>
            </w:r>
          </w:p>
        </w:tc>
        <w:tc>
          <w:tcPr>
            <w:tcW w:w="2075" w:type="dxa"/>
          </w:tcPr>
          <w:p w:rsidR="00322D5D" w:rsidRPr="005C47FA" w:rsidP="00FE0398" w14:paraId="597D77C1" w14:textId="7E168A01">
            <w:pPr>
              <w:rPr>
                <w:rFonts w:asciiTheme="majorHAnsi" w:hAnsiTheme="majorHAnsi" w:cstheme="minorHAnsi"/>
              </w:rPr>
            </w:pPr>
            <w:r w:rsidRPr="005C47FA">
              <w:rPr>
                <w:rFonts w:asciiTheme="majorHAnsi" w:hAnsiTheme="majorHAnsi" w:cstheme="minorHAnsi"/>
              </w:rPr>
              <w:t>Estimated Annualized</w:t>
            </w:r>
            <w:r w:rsidRPr="005C47FA" w:rsidR="008D589E">
              <w:rPr>
                <w:rFonts w:asciiTheme="majorHAnsi" w:hAnsiTheme="majorHAnsi" w:cstheme="minorHAnsi"/>
              </w:rPr>
              <w:t>*</w:t>
            </w:r>
            <w:r w:rsidRPr="005C47FA">
              <w:rPr>
                <w:rFonts w:asciiTheme="majorHAnsi" w:hAnsiTheme="majorHAnsi" w:cstheme="minorHAnsi"/>
              </w:rPr>
              <w:t xml:space="preserve"> Cost</w:t>
            </w:r>
          </w:p>
        </w:tc>
      </w:tr>
      <w:tr w14:paraId="55FE180B" w14:textId="3D681EED" w:rsidTr="00CF14D6">
        <w:tblPrEx>
          <w:tblW w:w="0" w:type="auto"/>
          <w:tblLook w:val="04A0"/>
        </w:tblPrEx>
        <w:tc>
          <w:tcPr>
            <w:tcW w:w="3235" w:type="dxa"/>
          </w:tcPr>
          <w:p w:rsidR="00322D5D" w:rsidRPr="005C47FA" w:rsidP="00FE0398" w14:paraId="55FE1809" w14:textId="5E44902C">
            <w:pPr>
              <w:rPr>
                <w:rFonts w:asciiTheme="majorHAnsi" w:hAnsiTheme="majorHAnsi" w:cstheme="minorHAnsi"/>
              </w:rPr>
            </w:pPr>
            <w:r w:rsidRPr="005C47FA">
              <w:rPr>
                <w:rFonts w:asciiTheme="majorHAnsi" w:hAnsiTheme="majorHAnsi" w:cstheme="minorHAnsi"/>
              </w:rPr>
              <w:t>FTE coordinator (GS-1</w:t>
            </w:r>
            <w:r w:rsidRPr="005C47FA" w:rsidR="00C034F7">
              <w:rPr>
                <w:rFonts w:asciiTheme="majorHAnsi" w:hAnsiTheme="majorHAnsi" w:cstheme="minorHAnsi"/>
              </w:rPr>
              <w:t>2</w:t>
            </w:r>
            <w:r w:rsidRPr="005C47FA">
              <w:rPr>
                <w:rFonts w:asciiTheme="majorHAnsi" w:hAnsiTheme="majorHAnsi" w:cstheme="minorHAnsi"/>
              </w:rPr>
              <w:t>)</w:t>
            </w:r>
          </w:p>
        </w:tc>
        <w:tc>
          <w:tcPr>
            <w:tcW w:w="1544" w:type="dxa"/>
          </w:tcPr>
          <w:p w:rsidR="00322D5D" w:rsidRPr="005C47FA" w:rsidP="00B71882" w14:paraId="55FE180A" w14:textId="2E61DFBD">
            <w:pPr>
              <w:jc w:val="center"/>
              <w:rPr>
                <w:rFonts w:asciiTheme="majorHAnsi" w:hAnsiTheme="majorHAnsi" w:cstheme="minorHAnsi"/>
              </w:rPr>
            </w:pPr>
            <w:r w:rsidRPr="005C47FA">
              <w:rPr>
                <w:rFonts w:asciiTheme="majorHAnsi" w:hAnsiTheme="majorHAnsi" w:cstheme="minorHAnsi"/>
              </w:rPr>
              <w:t>$</w:t>
            </w:r>
            <w:r w:rsidRPr="005C47FA" w:rsidR="00C034F7">
              <w:rPr>
                <w:rFonts w:asciiTheme="majorHAnsi" w:hAnsiTheme="majorHAnsi" w:cstheme="minorHAnsi"/>
              </w:rPr>
              <w:t>35.67</w:t>
            </w:r>
          </w:p>
        </w:tc>
        <w:tc>
          <w:tcPr>
            <w:tcW w:w="1483" w:type="dxa"/>
          </w:tcPr>
          <w:p w:rsidR="00322D5D" w:rsidRPr="005C47FA" w:rsidP="00B71882" w14:paraId="7549CCE4" w14:textId="4EC0693E">
            <w:pPr>
              <w:jc w:val="center"/>
              <w:rPr>
                <w:rFonts w:asciiTheme="majorHAnsi" w:hAnsiTheme="majorHAnsi" w:cstheme="minorHAnsi"/>
              </w:rPr>
            </w:pPr>
            <w:r w:rsidRPr="005C47FA">
              <w:rPr>
                <w:rFonts w:asciiTheme="majorHAnsi" w:hAnsiTheme="majorHAnsi" w:cstheme="minorHAnsi"/>
              </w:rPr>
              <w:t>1</w:t>
            </w:r>
          </w:p>
        </w:tc>
        <w:tc>
          <w:tcPr>
            <w:tcW w:w="1733" w:type="dxa"/>
          </w:tcPr>
          <w:p w:rsidR="00322D5D" w:rsidRPr="005C47FA" w:rsidP="00B71882" w14:paraId="56BF471C" w14:textId="6FA433DA">
            <w:pPr>
              <w:jc w:val="center"/>
              <w:rPr>
                <w:rFonts w:asciiTheme="majorHAnsi" w:hAnsiTheme="majorHAnsi" w:cstheme="minorHAnsi"/>
              </w:rPr>
            </w:pPr>
            <w:r w:rsidRPr="005C47FA">
              <w:rPr>
                <w:rFonts w:asciiTheme="majorHAnsi" w:hAnsiTheme="majorHAnsi" w:cstheme="minorHAnsi"/>
              </w:rPr>
              <w:t>10</w:t>
            </w:r>
          </w:p>
        </w:tc>
        <w:tc>
          <w:tcPr>
            <w:tcW w:w="2075" w:type="dxa"/>
          </w:tcPr>
          <w:p w:rsidR="00322D5D" w:rsidRPr="005C47FA" w:rsidP="00B71882" w14:paraId="5E772E95" w14:textId="0671F833">
            <w:pPr>
              <w:jc w:val="center"/>
              <w:rPr>
                <w:rFonts w:asciiTheme="majorHAnsi" w:hAnsiTheme="majorHAnsi" w:cstheme="minorHAnsi"/>
              </w:rPr>
            </w:pPr>
            <w:r w:rsidRPr="005C47FA">
              <w:rPr>
                <w:rFonts w:asciiTheme="majorHAnsi" w:hAnsiTheme="majorHAnsi" w:cstheme="minorHAnsi"/>
              </w:rPr>
              <w:t>$</w:t>
            </w:r>
            <w:r w:rsidRPr="005C47FA" w:rsidR="007A63F7">
              <w:rPr>
                <w:rFonts w:asciiTheme="majorHAnsi" w:hAnsiTheme="majorHAnsi" w:cstheme="minorHAnsi"/>
              </w:rPr>
              <w:t>238.99</w:t>
            </w:r>
          </w:p>
        </w:tc>
      </w:tr>
      <w:tr w14:paraId="40001143" w14:textId="1D42E4B8" w:rsidTr="00CF14D6">
        <w:tblPrEx>
          <w:tblW w:w="0" w:type="auto"/>
          <w:tblLook w:val="04A0"/>
        </w:tblPrEx>
        <w:tc>
          <w:tcPr>
            <w:tcW w:w="3235" w:type="dxa"/>
          </w:tcPr>
          <w:p w:rsidR="00322D5D" w:rsidRPr="005C47FA" w:rsidP="00FE0398" w14:paraId="52473BA5" w14:textId="7E6C444E">
            <w:pPr>
              <w:rPr>
                <w:rFonts w:asciiTheme="majorHAnsi" w:hAnsiTheme="majorHAnsi" w:cstheme="minorHAnsi"/>
              </w:rPr>
            </w:pPr>
            <w:r w:rsidRPr="005C47FA">
              <w:rPr>
                <w:rFonts w:asciiTheme="majorHAnsi" w:hAnsiTheme="majorHAnsi" w:cstheme="minorHAnsi"/>
              </w:rPr>
              <w:t>FTE instrument preparation, data collection, data analysis (GS-14, GS-13, GS-12)</w:t>
            </w:r>
          </w:p>
        </w:tc>
        <w:tc>
          <w:tcPr>
            <w:tcW w:w="1544" w:type="dxa"/>
          </w:tcPr>
          <w:p w:rsidR="00322D5D" w:rsidRPr="005C47FA" w:rsidP="00B71882" w14:paraId="11C7FB4A" w14:textId="4EAC6A37">
            <w:pPr>
              <w:jc w:val="center"/>
              <w:rPr>
                <w:rFonts w:asciiTheme="majorHAnsi" w:hAnsiTheme="majorHAnsi" w:cstheme="minorHAnsi"/>
              </w:rPr>
            </w:pPr>
            <w:r w:rsidRPr="005C47FA">
              <w:rPr>
                <w:rFonts w:asciiTheme="majorHAnsi" w:hAnsiTheme="majorHAnsi" w:cstheme="minorHAnsi"/>
              </w:rPr>
              <w:t>$4</w:t>
            </w:r>
            <w:r w:rsidRPr="005C47FA" w:rsidR="00353F12">
              <w:rPr>
                <w:rFonts w:asciiTheme="majorHAnsi" w:hAnsiTheme="majorHAnsi" w:cstheme="minorHAnsi"/>
              </w:rPr>
              <w:t>2.73</w:t>
            </w:r>
          </w:p>
        </w:tc>
        <w:tc>
          <w:tcPr>
            <w:tcW w:w="1483" w:type="dxa"/>
          </w:tcPr>
          <w:p w:rsidR="00322D5D" w:rsidRPr="005C47FA" w:rsidP="00B71882" w14:paraId="42172FF7" w14:textId="60B2D2A7">
            <w:pPr>
              <w:jc w:val="center"/>
              <w:rPr>
                <w:rFonts w:asciiTheme="majorHAnsi" w:hAnsiTheme="majorHAnsi" w:cstheme="minorHAnsi"/>
              </w:rPr>
            </w:pPr>
            <w:r w:rsidRPr="005C47FA">
              <w:rPr>
                <w:rFonts w:asciiTheme="majorHAnsi" w:hAnsiTheme="majorHAnsi" w:cstheme="minorHAnsi"/>
              </w:rPr>
              <w:t>1</w:t>
            </w:r>
            <w:r w:rsidRPr="005C47FA" w:rsidR="00106DA6">
              <w:rPr>
                <w:rFonts w:asciiTheme="majorHAnsi" w:hAnsiTheme="majorHAnsi" w:cstheme="minorHAnsi"/>
              </w:rPr>
              <w:t>2</w:t>
            </w:r>
          </w:p>
        </w:tc>
        <w:tc>
          <w:tcPr>
            <w:tcW w:w="1733" w:type="dxa"/>
          </w:tcPr>
          <w:p w:rsidR="00322D5D" w:rsidRPr="005C47FA" w:rsidP="00B71882" w14:paraId="479FDD3B" w14:textId="7E595493">
            <w:pPr>
              <w:jc w:val="center"/>
              <w:rPr>
                <w:rFonts w:asciiTheme="majorHAnsi" w:hAnsiTheme="majorHAnsi" w:cstheme="minorHAnsi"/>
              </w:rPr>
            </w:pPr>
            <w:r w:rsidRPr="005C47FA">
              <w:rPr>
                <w:rFonts w:asciiTheme="majorHAnsi" w:hAnsiTheme="majorHAnsi" w:cstheme="minorHAnsi"/>
              </w:rPr>
              <w:t>15</w:t>
            </w:r>
          </w:p>
        </w:tc>
        <w:tc>
          <w:tcPr>
            <w:tcW w:w="2075" w:type="dxa"/>
          </w:tcPr>
          <w:p w:rsidR="00322D5D" w:rsidRPr="005C47FA" w:rsidP="00B71882" w14:paraId="2A4D3179" w14:textId="26A4B88F">
            <w:pPr>
              <w:jc w:val="center"/>
              <w:rPr>
                <w:rFonts w:asciiTheme="majorHAnsi" w:hAnsiTheme="majorHAnsi" w:cstheme="minorHAnsi"/>
              </w:rPr>
            </w:pPr>
            <w:r w:rsidRPr="005C47FA">
              <w:rPr>
                <w:rFonts w:asciiTheme="majorHAnsi" w:hAnsiTheme="majorHAnsi" w:cstheme="minorHAnsi"/>
              </w:rPr>
              <w:t>$</w:t>
            </w:r>
            <w:r w:rsidRPr="005C47FA" w:rsidR="007A63F7">
              <w:rPr>
                <w:rFonts w:asciiTheme="majorHAnsi" w:hAnsiTheme="majorHAnsi" w:cstheme="minorHAnsi"/>
              </w:rPr>
              <w:t>5,153.24</w:t>
            </w:r>
          </w:p>
        </w:tc>
      </w:tr>
      <w:tr w14:paraId="35C2BA7C" w14:textId="77777777" w:rsidTr="00CF14D6">
        <w:tblPrEx>
          <w:tblW w:w="0" w:type="auto"/>
          <w:tblLook w:val="04A0"/>
        </w:tblPrEx>
        <w:tc>
          <w:tcPr>
            <w:tcW w:w="3235" w:type="dxa"/>
          </w:tcPr>
          <w:p w:rsidR="0033043C" w:rsidRPr="005C47FA" w:rsidP="00FE0398" w14:paraId="21F6A215" w14:textId="75457919">
            <w:pPr>
              <w:rPr>
                <w:rFonts w:asciiTheme="majorHAnsi" w:hAnsiTheme="majorHAnsi" w:cstheme="minorHAnsi"/>
              </w:rPr>
            </w:pPr>
            <w:r w:rsidRPr="005C47FA">
              <w:rPr>
                <w:rFonts w:asciiTheme="majorHAnsi" w:hAnsiTheme="majorHAnsi" w:cstheme="minorHAnsi"/>
              </w:rPr>
              <w:t>FTE data collection (</w:t>
            </w:r>
            <w:r w:rsidRPr="005C47FA" w:rsidR="00F072DC">
              <w:rPr>
                <w:rFonts w:asciiTheme="majorHAnsi" w:hAnsiTheme="majorHAnsi" w:cstheme="minorHAnsi"/>
              </w:rPr>
              <w:t xml:space="preserve">GS-14, </w:t>
            </w:r>
            <w:r w:rsidRPr="005C47FA">
              <w:rPr>
                <w:rFonts w:asciiTheme="majorHAnsi" w:hAnsiTheme="majorHAnsi" w:cstheme="minorHAnsi"/>
              </w:rPr>
              <w:t>GS-13, GS-12)</w:t>
            </w:r>
          </w:p>
        </w:tc>
        <w:tc>
          <w:tcPr>
            <w:tcW w:w="1544" w:type="dxa"/>
          </w:tcPr>
          <w:p w:rsidR="0033043C" w:rsidRPr="005C47FA" w:rsidP="00B71882" w14:paraId="0DB4BAFA" w14:textId="7A1518BB">
            <w:pPr>
              <w:jc w:val="center"/>
              <w:rPr>
                <w:rFonts w:asciiTheme="majorHAnsi" w:hAnsiTheme="majorHAnsi" w:cstheme="minorHAnsi"/>
              </w:rPr>
            </w:pPr>
            <w:r w:rsidRPr="005C47FA">
              <w:rPr>
                <w:rFonts w:asciiTheme="majorHAnsi" w:hAnsiTheme="majorHAnsi" w:cstheme="minorHAnsi"/>
              </w:rPr>
              <w:t>$42.73</w:t>
            </w:r>
          </w:p>
        </w:tc>
        <w:tc>
          <w:tcPr>
            <w:tcW w:w="1483" w:type="dxa"/>
          </w:tcPr>
          <w:p w:rsidR="0033043C" w:rsidRPr="005C47FA" w:rsidP="00B71882" w14:paraId="6975B6E6" w14:textId="6B8D382A">
            <w:pPr>
              <w:jc w:val="center"/>
              <w:rPr>
                <w:rFonts w:asciiTheme="majorHAnsi" w:hAnsiTheme="majorHAnsi" w:cstheme="minorHAnsi"/>
              </w:rPr>
            </w:pPr>
            <w:r w:rsidRPr="005C47FA">
              <w:rPr>
                <w:rFonts w:asciiTheme="majorHAnsi" w:hAnsiTheme="majorHAnsi" w:cstheme="minorHAnsi"/>
              </w:rPr>
              <w:t>5</w:t>
            </w:r>
          </w:p>
        </w:tc>
        <w:tc>
          <w:tcPr>
            <w:tcW w:w="1733" w:type="dxa"/>
          </w:tcPr>
          <w:p w:rsidR="0033043C" w:rsidRPr="005C47FA" w:rsidP="00B71882" w14:paraId="63F68A97" w14:textId="4A143C45">
            <w:pPr>
              <w:jc w:val="center"/>
              <w:rPr>
                <w:rFonts w:asciiTheme="majorHAnsi" w:hAnsiTheme="majorHAnsi" w:cstheme="minorHAnsi"/>
              </w:rPr>
            </w:pPr>
            <w:r w:rsidRPr="005C47FA">
              <w:rPr>
                <w:rFonts w:asciiTheme="majorHAnsi" w:hAnsiTheme="majorHAnsi" w:cstheme="minorHAnsi"/>
              </w:rPr>
              <w:t>40</w:t>
            </w:r>
          </w:p>
        </w:tc>
        <w:tc>
          <w:tcPr>
            <w:tcW w:w="2075" w:type="dxa"/>
          </w:tcPr>
          <w:p w:rsidR="0033043C" w:rsidRPr="005C47FA" w:rsidP="00B71882" w14:paraId="042FB86C" w14:textId="10E19A7D">
            <w:pPr>
              <w:jc w:val="center"/>
              <w:rPr>
                <w:rFonts w:asciiTheme="majorHAnsi" w:hAnsiTheme="majorHAnsi" w:cstheme="minorHAnsi"/>
              </w:rPr>
            </w:pPr>
            <w:r w:rsidRPr="005C47FA">
              <w:rPr>
                <w:rFonts w:asciiTheme="majorHAnsi" w:hAnsiTheme="majorHAnsi" w:cstheme="minorHAnsi"/>
              </w:rPr>
              <w:t>$</w:t>
            </w:r>
            <w:r w:rsidRPr="005C47FA" w:rsidR="008F29BB">
              <w:rPr>
                <w:rFonts w:asciiTheme="majorHAnsi" w:hAnsiTheme="majorHAnsi" w:cstheme="minorHAnsi"/>
              </w:rPr>
              <w:t>5,725.82</w:t>
            </w:r>
          </w:p>
        </w:tc>
      </w:tr>
      <w:tr w14:paraId="152D94EB" w14:textId="77777777" w:rsidTr="00CF14D6">
        <w:tblPrEx>
          <w:tblW w:w="0" w:type="auto"/>
          <w:tblLook w:val="04A0"/>
        </w:tblPrEx>
        <w:tc>
          <w:tcPr>
            <w:tcW w:w="3235" w:type="dxa"/>
          </w:tcPr>
          <w:p w:rsidR="001B570F" w:rsidRPr="005C47FA" w:rsidP="00FE0398" w14:paraId="2CB24A5C" w14:textId="2403A904">
            <w:pPr>
              <w:rPr>
                <w:rFonts w:asciiTheme="majorHAnsi" w:hAnsiTheme="majorHAnsi" w:cstheme="minorHAnsi"/>
              </w:rPr>
            </w:pPr>
            <w:r w:rsidRPr="005C47FA">
              <w:rPr>
                <w:rFonts w:asciiTheme="majorHAnsi" w:hAnsiTheme="majorHAnsi" w:cstheme="minorHAnsi"/>
              </w:rPr>
              <w:t>FTE data analysis (GS-14-, GS-13, GS-12)</w:t>
            </w:r>
          </w:p>
        </w:tc>
        <w:tc>
          <w:tcPr>
            <w:tcW w:w="1544" w:type="dxa"/>
          </w:tcPr>
          <w:p w:rsidR="001B570F" w:rsidRPr="005C47FA" w:rsidP="00B71882" w14:paraId="4EDB7753" w14:textId="7A77538E">
            <w:pPr>
              <w:jc w:val="center"/>
              <w:rPr>
                <w:rFonts w:asciiTheme="majorHAnsi" w:hAnsiTheme="majorHAnsi" w:cstheme="minorHAnsi"/>
              </w:rPr>
            </w:pPr>
            <w:r w:rsidRPr="005C47FA">
              <w:rPr>
                <w:rFonts w:asciiTheme="majorHAnsi" w:hAnsiTheme="majorHAnsi" w:cstheme="minorHAnsi"/>
              </w:rPr>
              <w:t>$42.73</w:t>
            </w:r>
          </w:p>
        </w:tc>
        <w:tc>
          <w:tcPr>
            <w:tcW w:w="1483" w:type="dxa"/>
          </w:tcPr>
          <w:p w:rsidR="001B570F" w:rsidRPr="005C47FA" w:rsidP="00B71882" w14:paraId="547D8511" w14:textId="389B8023">
            <w:pPr>
              <w:jc w:val="center"/>
              <w:rPr>
                <w:rFonts w:asciiTheme="majorHAnsi" w:hAnsiTheme="majorHAnsi" w:cstheme="minorHAnsi"/>
              </w:rPr>
            </w:pPr>
            <w:r w:rsidRPr="005C47FA">
              <w:rPr>
                <w:rFonts w:asciiTheme="majorHAnsi" w:hAnsiTheme="majorHAnsi" w:cstheme="minorHAnsi"/>
              </w:rPr>
              <w:t>5</w:t>
            </w:r>
          </w:p>
        </w:tc>
        <w:tc>
          <w:tcPr>
            <w:tcW w:w="1733" w:type="dxa"/>
          </w:tcPr>
          <w:p w:rsidR="001B570F" w:rsidRPr="005C47FA" w:rsidP="00B71882" w14:paraId="6E66B5D0" w14:textId="3B7B50BB">
            <w:pPr>
              <w:jc w:val="center"/>
              <w:rPr>
                <w:rFonts w:asciiTheme="majorHAnsi" w:hAnsiTheme="majorHAnsi" w:cstheme="minorHAnsi"/>
              </w:rPr>
            </w:pPr>
            <w:r w:rsidRPr="005C47FA">
              <w:rPr>
                <w:rFonts w:asciiTheme="majorHAnsi" w:hAnsiTheme="majorHAnsi" w:cstheme="minorHAnsi"/>
              </w:rPr>
              <w:t>100</w:t>
            </w:r>
          </w:p>
        </w:tc>
        <w:tc>
          <w:tcPr>
            <w:tcW w:w="2075" w:type="dxa"/>
          </w:tcPr>
          <w:p w:rsidR="001B570F" w:rsidRPr="005C47FA" w:rsidP="00B71882" w14:paraId="7559E831" w14:textId="7BA3C9A5">
            <w:pPr>
              <w:jc w:val="center"/>
              <w:rPr>
                <w:rFonts w:asciiTheme="majorHAnsi" w:hAnsiTheme="majorHAnsi" w:cstheme="minorHAnsi"/>
              </w:rPr>
            </w:pPr>
            <w:r w:rsidRPr="005C47FA">
              <w:rPr>
                <w:rFonts w:asciiTheme="majorHAnsi" w:hAnsiTheme="majorHAnsi" w:cstheme="minorHAnsi"/>
              </w:rPr>
              <w:t>$</w:t>
            </w:r>
            <w:r w:rsidRPr="005C47FA" w:rsidR="008F29BB">
              <w:rPr>
                <w:rFonts w:asciiTheme="majorHAnsi" w:hAnsiTheme="majorHAnsi" w:cstheme="minorHAnsi"/>
              </w:rPr>
              <w:t>14,314.55</w:t>
            </w:r>
          </w:p>
        </w:tc>
      </w:tr>
      <w:tr w14:paraId="286ABE55" w14:textId="6E6FC57F" w:rsidTr="00BF2A3A">
        <w:tblPrEx>
          <w:tblW w:w="0" w:type="auto"/>
          <w:tblLook w:val="04A0"/>
        </w:tblPrEx>
        <w:tc>
          <w:tcPr>
            <w:tcW w:w="3235" w:type="dxa"/>
            <w:tcBorders>
              <w:bottom w:val="single" w:sz="4" w:space="0" w:color="auto"/>
            </w:tcBorders>
          </w:tcPr>
          <w:p w:rsidR="00322D5D" w:rsidRPr="005C47FA" w:rsidP="00FE0398" w14:paraId="03E8EB15" w14:textId="640045DA">
            <w:pPr>
              <w:rPr>
                <w:rFonts w:asciiTheme="majorHAnsi" w:hAnsiTheme="majorHAnsi" w:cstheme="minorHAnsi"/>
                <w:b/>
                <w:bCs/>
              </w:rPr>
            </w:pPr>
            <w:r w:rsidRPr="005C47FA">
              <w:rPr>
                <w:rFonts w:asciiTheme="majorHAnsi" w:hAnsiTheme="majorHAnsi" w:cstheme="minorHAnsi"/>
                <w:b/>
                <w:bCs/>
              </w:rPr>
              <w:t>Total</w:t>
            </w:r>
          </w:p>
        </w:tc>
        <w:tc>
          <w:tcPr>
            <w:tcW w:w="1544" w:type="dxa"/>
            <w:tcBorders>
              <w:bottom w:val="single" w:sz="4" w:space="0" w:color="auto"/>
            </w:tcBorders>
          </w:tcPr>
          <w:p w:rsidR="00322D5D" w:rsidRPr="005C47FA" w:rsidP="00B71882" w14:paraId="198F4585" w14:textId="77777777">
            <w:pPr>
              <w:jc w:val="center"/>
              <w:rPr>
                <w:rFonts w:asciiTheme="majorHAnsi" w:hAnsiTheme="majorHAnsi" w:cstheme="minorHAnsi"/>
              </w:rPr>
            </w:pPr>
          </w:p>
        </w:tc>
        <w:tc>
          <w:tcPr>
            <w:tcW w:w="1483" w:type="dxa"/>
            <w:tcBorders>
              <w:bottom w:val="single" w:sz="4" w:space="0" w:color="auto"/>
            </w:tcBorders>
          </w:tcPr>
          <w:p w:rsidR="00322D5D" w:rsidRPr="005C47FA" w:rsidP="00B71882" w14:paraId="77BDEE25" w14:textId="77777777">
            <w:pPr>
              <w:jc w:val="center"/>
              <w:rPr>
                <w:rFonts w:asciiTheme="majorHAnsi" w:hAnsiTheme="majorHAnsi" w:cstheme="minorHAnsi"/>
              </w:rPr>
            </w:pPr>
          </w:p>
        </w:tc>
        <w:tc>
          <w:tcPr>
            <w:tcW w:w="1733" w:type="dxa"/>
            <w:tcBorders>
              <w:bottom w:val="single" w:sz="4" w:space="0" w:color="auto"/>
            </w:tcBorders>
          </w:tcPr>
          <w:p w:rsidR="00322D5D" w:rsidRPr="005C47FA" w:rsidP="00B71882" w14:paraId="51AF83CD" w14:textId="77777777">
            <w:pPr>
              <w:jc w:val="center"/>
              <w:rPr>
                <w:rFonts w:asciiTheme="majorHAnsi" w:hAnsiTheme="majorHAnsi" w:cstheme="minorHAnsi"/>
                <w:b/>
              </w:rPr>
            </w:pPr>
          </w:p>
        </w:tc>
        <w:tc>
          <w:tcPr>
            <w:tcW w:w="2075" w:type="dxa"/>
            <w:tcBorders>
              <w:bottom w:val="single" w:sz="4" w:space="0" w:color="auto"/>
            </w:tcBorders>
          </w:tcPr>
          <w:p w:rsidR="00322D5D" w:rsidRPr="005C47FA" w:rsidP="00B71882" w14:paraId="50F89179" w14:textId="3C9A164C">
            <w:pPr>
              <w:jc w:val="center"/>
              <w:rPr>
                <w:rFonts w:asciiTheme="majorHAnsi" w:hAnsiTheme="majorHAnsi" w:cstheme="minorHAnsi"/>
                <w:b/>
                <w:bCs/>
              </w:rPr>
            </w:pPr>
            <w:r w:rsidRPr="005C47FA">
              <w:rPr>
                <w:rFonts w:asciiTheme="majorHAnsi" w:hAnsiTheme="majorHAnsi" w:cstheme="minorHAnsi"/>
                <w:b/>
                <w:bCs/>
              </w:rPr>
              <w:t>$</w:t>
            </w:r>
            <w:r w:rsidRPr="005C47FA" w:rsidR="008F29BB">
              <w:rPr>
                <w:rFonts w:asciiTheme="majorHAnsi" w:hAnsiTheme="majorHAnsi" w:cstheme="minorHAnsi"/>
                <w:b/>
                <w:bCs/>
              </w:rPr>
              <w:t>25,432.60</w:t>
            </w:r>
          </w:p>
        </w:tc>
      </w:tr>
      <w:tr w14:paraId="38E6B242" w14:textId="77777777" w:rsidTr="00BF2A3A">
        <w:tblPrEx>
          <w:tblW w:w="0" w:type="auto"/>
          <w:tblLook w:val="04A0"/>
        </w:tblPrEx>
        <w:tc>
          <w:tcPr>
            <w:tcW w:w="10070" w:type="dxa"/>
            <w:gridSpan w:val="5"/>
            <w:tcBorders>
              <w:left w:val="nil"/>
              <w:bottom w:val="nil"/>
              <w:right w:val="nil"/>
            </w:tcBorders>
          </w:tcPr>
          <w:p w:rsidR="00BF2A3A" w:rsidRPr="005C47FA" w:rsidP="00FE0398" w14:paraId="4A9E6071" w14:textId="0DDA28B7">
            <w:pPr>
              <w:rPr>
                <w:rFonts w:asciiTheme="majorHAnsi" w:hAnsiTheme="majorHAnsi" w:cstheme="minorHAnsi"/>
              </w:rPr>
            </w:pPr>
            <w:r w:rsidRPr="005C47FA">
              <w:rPr>
                <w:rFonts w:asciiTheme="majorHAnsi" w:hAnsiTheme="majorHAnsi" w:cstheme="minorHAnsi"/>
                <w:sz w:val="22"/>
                <w:szCs w:val="20"/>
              </w:rPr>
              <w:t>*</w:t>
            </w:r>
            <w:r w:rsidRPr="005C47FA" w:rsidR="0031414C">
              <w:rPr>
                <w:rFonts w:asciiTheme="majorHAnsi" w:hAnsiTheme="majorHAnsi" w:cstheme="minorHAnsi"/>
                <w:sz w:val="22"/>
                <w:szCs w:val="20"/>
              </w:rPr>
              <w:t xml:space="preserve">Estimated Annualized Cost = total </w:t>
            </w:r>
            <w:r w:rsidRPr="005C47FA" w:rsidR="00CA6138">
              <w:rPr>
                <w:rFonts w:asciiTheme="majorHAnsi" w:hAnsiTheme="majorHAnsi" w:cstheme="minorHAnsi"/>
                <w:sz w:val="22"/>
                <w:szCs w:val="20"/>
              </w:rPr>
              <w:t>1.5</w:t>
            </w:r>
            <w:r w:rsidRPr="005C47FA" w:rsidR="00A74B65">
              <w:rPr>
                <w:rFonts w:asciiTheme="majorHAnsi" w:hAnsiTheme="majorHAnsi" w:cstheme="minorHAnsi"/>
                <w:sz w:val="22"/>
                <w:szCs w:val="20"/>
              </w:rPr>
              <w:t>-</w:t>
            </w:r>
            <w:r w:rsidRPr="005C47FA" w:rsidR="00CA6138">
              <w:rPr>
                <w:rFonts w:asciiTheme="majorHAnsi" w:hAnsiTheme="majorHAnsi" w:cstheme="minorHAnsi"/>
                <w:sz w:val="22"/>
                <w:szCs w:val="20"/>
              </w:rPr>
              <w:t>year</w:t>
            </w:r>
            <w:r w:rsidRPr="005C47FA" w:rsidR="0031414C">
              <w:rPr>
                <w:rFonts w:asciiTheme="majorHAnsi" w:hAnsiTheme="majorHAnsi" w:cstheme="minorHAnsi"/>
                <w:sz w:val="22"/>
                <w:szCs w:val="20"/>
              </w:rPr>
              <w:t xml:space="preserve"> project cost</w:t>
            </w:r>
            <w:r w:rsidRPr="005C47FA" w:rsidR="006A71A8">
              <w:rPr>
                <w:rFonts w:asciiTheme="majorHAnsi" w:hAnsiTheme="majorHAnsi" w:cstheme="minorHAnsi"/>
                <w:sz w:val="22"/>
                <w:szCs w:val="20"/>
              </w:rPr>
              <w:t xml:space="preserve"> * </w:t>
            </w:r>
            <w:r w:rsidRPr="005C47FA" w:rsidR="00543F8A">
              <w:rPr>
                <w:rFonts w:asciiTheme="majorHAnsi" w:hAnsiTheme="majorHAnsi" w:cstheme="minorHAnsi"/>
                <w:sz w:val="22"/>
                <w:szCs w:val="20"/>
              </w:rPr>
              <w:t xml:space="preserve">0.67 to ascertain cost for </w:t>
            </w:r>
            <w:r w:rsidRPr="005C47FA" w:rsidR="00C034F7">
              <w:rPr>
                <w:rFonts w:asciiTheme="majorHAnsi" w:hAnsiTheme="majorHAnsi" w:cstheme="minorHAnsi"/>
                <w:sz w:val="22"/>
                <w:szCs w:val="20"/>
              </w:rPr>
              <w:t xml:space="preserve">1 year. </w:t>
            </w:r>
            <w:r w:rsidRPr="005C47FA" w:rsidR="00CA6138">
              <w:rPr>
                <w:rFonts w:asciiTheme="majorHAnsi" w:hAnsiTheme="majorHAnsi" w:cstheme="minorHAnsi"/>
                <w:sz w:val="22"/>
                <w:szCs w:val="20"/>
              </w:rPr>
              <w:t xml:space="preserve"> </w:t>
            </w:r>
          </w:p>
        </w:tc>
      </w:tr>
    </w:tbl>
    <w:p w:rsidR="004A13E8" w:rsidRPr="005C47FA" w:rsidP="0025156B" w14:paraId="55FE1810" w14:textId="387CF3A6">
      <w:pPr>
        <w:pStyle w:val="Heading1"/>
        <w:spacing w:before="240"/>
        <w:rPr>
          <w:rFonts w:asciiTheme="majorHAnsi" w:hAnsiTheme="majorHAnsi" w:cstheme="minorHAnsi"/>
        </w:rPr>
      </w:pPr>
      <w:bookmarkStart w:id="20" w:name="_Toc172646917"/>
      <w:r w:rsidRPr="005C47FA">
        <w:rPr>
          <w:rFonts w:asciiTheme="majorHAnsi" w:hAnsiTheme="majorHAnsi" w:cstheme="minorHAnsi"/>
        </w:rPr>
        <w:t>Explanation for Program Changes or Adjustments</w:t>
      </w:r>
      <w:bookmarkEnd w:id="20"/>
    </w:p>
    <w:p w:rsidR="004D2627" w:rsidRPr="005C47FA" w:rsidP="7D6951B7" w14:paraId="4E6DF884" w14:textId="1E10F53A">
      <w:pPr>
        <w:pBdr>
          <w:top w:val="nil"/>
          <w:left w:val="nil"/>
          <w:bottom w:val="nil"/>
          <w:right w:val="nil"/>
          <w:between w:val="nil"/>
        </w:pBdr>
        <w:rPr>
          <w:rFonts w:asciiTheme="majorHAnsi" w:hAnsiTheme="majorHAnsi" w:cstheme="minorHAnsi"/>
          <w:color w:val="000000"/>
        </w:rPr>
      </w:pPr>
      <w:r>
        <w:rPr>
          <w:rFonts w:asciiTheme="majorHAnsi" w:hAnsiTheme="majorHAnsi" w:cstheme="minorHAnsi"/>
          <w:color w:val="000000" w:themeColor="text1"/>
        </w:rPr>
        <w:t>This is a new data collection</w:t>
      </w:r>
      <w:r w:rsidRPr="005C47FA">
        <w:rPr>
          <w:rFonts w:asciiTheme="majorHAnsi" w:hAnsiTheme="majorHAnsi" w:cstheme="minorHAnsi"/>
          <w:color w:val="000000" w:themeColor="text1"/>
        </w:rPr>
        <w:t>.</w:t>
      </w:r>
    </w:p>
    <w:p w:rsidR="004A13E8" w:rsidRPr="005C47FA" w:rsidP="004A13E8" w14:paraId="55FE1812" w14:textId="77777777">
      <w:pPr>
        <w:pStyle w:val="Heading1"/>
        <w:rPr>
          <w:rFonts w:asciiTheme="majorHAnsi" w:hAnsiTheme="majorHAnsi" w:cstheme="minorHAnsi"/>
        </w:rPr>
      </w:pPr>
      <w:bookmarkStart w:id="21" w:name="_Toc172646918"/>
      <w:r w:rsidRPr="005C47FA">
        <w:rPr>
          <w:rFonts w:asciiTheme="majorHAnsi" w:hAnsiTheme="majorHAnsi" w:cstheme="minorHAnsi"/>
        </w:rPr>
        <w:t>Plans for Tabulation and Publication and Project Time Schedule</w:t>
      </w:r>
      <w:bookmarkEnd w:id="21"/>
    </w:p>
    <w:p w:rsidR="008F1415" w:rsidRPr="005C47FA" w:rsidP="008F1415" w14:paraId="55FE1813" w14:textId="42C05AEF">
      <w:pPr>
        <w:rPr>
          <w:rFonts w:asciiTheme="majorHAnsi" w:hAnsiTheme="majorHAnsi" w:cstheme="minorHAnsi"/>
        </w:rPr>
      </w:pPr>
      <w:r w:rsidRPr="005C47FA">
        <w:rPr>
          <w:rFonts w:asciiTheme="majorHAnsi" w:hAnsiTheme="majorHAnsi" w:cstheme="minorHAnsi"/>
        </w:rPr>
        <w:t xml:space="preserve">Data will be collected from the time of approval through October 2024. Data </w:t>
      </w:r>
      <w:r w:rsidRPr="005C47FA" w:rsidR="00E05493">
        <w:rPr>
          <w:rFonts w:asciiTheme="majorHAnsi" w:hAnsiTheme="majorHAnsi" w:cstheme="minorHAnsi"/>
        </w:rPr>
        <w:t xml:space="preserve">cleaning and </w:t>
      </w:r>
      <w:r w:rsidRPr="005C47FA">
        <w:rPr>
          <w:rFonts w:asciiTheme="majorHAnsi" w:hAnsiTheme="majorHAnsi" w:cstheme="minorHAnsi"/>
        </w:rPr>
        <w:t>analysis for each activity (survey, focus group, case study) will be</w:t>
      </w:r>
      <w:r w:rsidRPr="005C47FA" w:rsidR="00E05493">
        <w:rPr>
          <w:rFonts w:asciiTheme="majorHAnsi" w:hAnsiTheme="majorHAnsi" w:cstheme="minorHAnsi"/>
        </w:rPr>
        <w:t xml:space="preserve"> conducted</w:t>
      </w:r>
      <w:r w:rsidRPr="005C47FA">
        <w:rPr>
          <w:rFonts w:asciiTheme="majorHAnsi" w:hAnsiTheme="majorHAnsi" w:cstheme="minorHAnsi"/>
        </w:rPr>
        <w:t xml:space="preserve"> when each collection period is final</w:t>
      </w:r>
      <w:r w:rsidRPr="005C47FA" w:rsidR="00E05493">
        <w:rPr>
          <w:rFonts w:asciiTheme="majorHAnsi" w:hAnsiTheme="majorHAnsi" w:cstheme="minorHAnsi"/>
        </w:rPr>
        <w:t>ized</w:t>
      </w:r>
      <w:r w:rsidRPr="005C47FA">
        <w:rPr>
          <w:rFonts w:asciiTheme="majorHAnsi" w:hAnsiTheme="majorHAnsi" w:cstheme="minorHAnsi"/>
        </w:rPr>
        <w:t xml:space="preserve">. Analysis and reporting will begin as soon as they are final, but no later than November 2025, with final result dissemination occurring no later than December 2025.  </w:t>
      </w:r>
    </w:p>
    <w:tbl>
      <w:tblPr>
        <w:tblStyle w:val="TableGrid"/>
        <w:tblW w:w="0" w:type="auto"/>
        <w:tblLook w:val="04A0"/>
      </w:tblPr>
      <w:tblGrid>
        <w:gridCol w:w="5935"/>
        <w:gridCol w:w="4135"/>
      </w:tblGrid>
      <w:tr w14:paraId="55FE1815" w14:textId="77777777" w:rsidTr="4492F8F9">
        <w:tblPrEx>
          <w:tblW w:w="0" w:type="auto"/>
          <w:tblLook w:val="04A0"/>
        </w:tblPrEx>
        <w:tc>
          <w:tcPr>
            <w:tcW w:w="10070" w:type="dxa"/>
            <w:gridSpan w:val="2"/>
            <w:vAlign w:val="center"/>
          </w:tcPr>
          <w:p w:rsidR="004A13E8" w:rsidRPr="005C47FA" w:rsidP="004A13E8" w14:paraId="55FE1814" w14:textId="77777777">
            <w:pPr>
              <w:jc w:val="center"/>
              <w:rPr>
                <w:rFonts w:asciiTheme="majorHAnsi" w:hAnsiTheme="majorHAnsi" w:cstheme="minorHAnsi"/>
                <w:b/>
                <w:bCs/>
              </w:rPr>
            </w:pPr>
            <w:r w:rsidRPr="005C47FA">
              <w:rPr>
                <w:rFonts w:asciiTheme="majorHAnsi" w:hAnsiTheme="majorHAnsi" w:cstheme="minorHAnsi"/>
                <w:b/>
                <w:bCs/>
              </w:rPr>
              <w:t>Project Time Schedule</w:t>
            </w:r>
          </w:p>
        </w:tc>
      </w:tr>
      <w:tr w14:paraId="55FE1818" w14:textId="77777777" w:rsidTr="003C77B8">
        <w:tblPrEx>
          <w:tblW w:w="0" w:type="auto"/>
          <w:tblLook w:val="04A0"/>
        </w:tblPrEx>
        <w:tc>
          <w:tcPr>
            <w:tcW w:w="5935" w:type="dxa"/>
            <w:vAlign w:val="center"/>
          </w:tcPr>
          <w:p w:rsidR="004A13E8" w:rsidRPr="005C47FA" w:rsidP="004A13E8" w14:paraId="55FE1816" w14:textId="77777777">
            <w:pPr>
              <w:jc w:val="center"/>
              <w:rPr>
                <w:rFonts w:asciiTheme="majorHAnsi" w:hAnsiTheme="majorHAnsi" w:cstheme="minorHAnsi"/>
              </w:rPr>
            </w:pPr>
            <w:r w:rsidRPr="005C47FA">
              <w:rPr>
                <w:rFonts w:asciiTheme="majorHAnsi" w:hAnsiTheme="majorHAnsi" w:cstheme="minorHAnsi"/>
              </w:rPr>
              <w:t>Activity</w:t>
            </w:r>
          </w:p>
        </w:tc>
        <w:tc>
          <w:tcPr>
            <w:tcW w:w="4135" w:type="dxa"/>
            <w:vAlign w:val="center"/>
          </w:tcPr>
          <w:p w:rsidR="004A13E8" w:rsidRPr="005C47FA" w:rsidP="004A13E8" w14:paraId="55FE1817" w14:textId="77777777">
            <w:pPr>
              <w:jc w:val="center"/>
              <w:rPr>
                <w:rFonts w:asciiTheme="majorHAnsi" w:hAnsiTheme="majorHAnsi" w:cstheme="minorHAnsi"/>
              </w:rPr>
            </w:pPr>
            <w:r w:rsidRPr="005C47FA">
              <w:rPr>
                <w:rFonts w:asciiTheme="majorHAnsi" w:hAnsiTheme="majorHAnsi" w:cstheme="minorHAnsi"/>
              </w:rPr>
              <w:t>Time Schedule</w:t>
            </w:r>
          </w:p>
        </w:tc>
      </w:tr>
      <w:tr w14:paraId="55FE181B" w14:textId="77777777" w:rsidTr="003C77B8">
        <w:tblPrEx>
          <w:tblW w:w="0" w:type="auto"/>
          <w:tblLook w:val="04A0"/>
        </w:tblPrEx>
        <w:tc>
          <w:tcPr>
            <w:tcW w:w="5935" w:type="dxa"/>
          </w:tcPr>
          <w:p w:rsidR="004A13E8" w:rsidRPr="005C47FA" w:rsidP="004A13E8" w14:paraId="55FE1819" w14:textId="4920F221">
            <w:pPr>
              <w:rPr>
                <w:rFonts w:asciiTheme="majorHAnsi" w:hAnsiTheme="majorHAnsi" w:cstheme="minorHAnsi"/>
              </w:rPr>
            </w:pPr>
            <w:r w:rsidRPr="005C47FA">
              <w:rPr>
                <w:rFonts w:asciiTheme="majorHAnsi" w:hAnsiTheme="majorHAnsi" w:cstheme="minorHAnsi"/>
              </w:rPr>
              <w:t>IRB review complete, determined non-research</w:t>
            </w:r>
          </w:p>
        </w:tc>
        <w:tc>
          <w:tcPr>
            <w:tcW w:w="4135" w:type="dxa"/>
          </w:tcPr>
          <w:p w:rsidR="004A13E8" w:rsidRPr="005C47FA" w:rsidP="004A13E8" w14:paraId="55FE181A" w14:textId="084A6F06">
            <w:pPr>
              <w:rPr>
                <w:rFonts w:asciiTheme="majorHAnsi" w:hAnsiTheme="majorHAnsi" w:cstheme="minorHAnsi"/>
              </w:rPr>
            </w:pPr>
            <w:r w:rsidRPr="005C47FA">
              <w:rPr>
                <w:rFonts w:asciiTheme="majorHAnsi" w:hAnsiTheme="majorHAnsi" w:cstheme="minorHAnsi"/>
              </w:rPr>
              <w:t>March 2024</w:t>
            </w:r>
          </w:p>
        </w:tc>
      </w:tr>
      <w:tr w14:paraId="55FE181E" w14:textId="77777777" w:rsidTr="003C77B8">
        <w:tblPrEx>
          <w:tblW w:w="0" w:type="auto"/>
          <w:tblLook w:val="04A0"/>
        </w:tblPrEx>
        <w:tc>
          <w:tcPr>
            <w:tcW w:w="5935" w:type="dxa"/>
          </w:tcPr>
          <w:p w:rsidR="004A13E8" w:rsidRPr="005C47FA" w:rsidP="004A13E8" w14:paraId="55FE181C" w14:textId="6787D66D">
            <w:pPr>
              <w:rPr>
                <w:rFonts w:asciiTheme="majorHAnsi" w:hAnsiTheme="majorHAnsi" w:cstheme="minorHAnsi"/>
              </w:rPr>
            </w:pPr>
            <w:r w:rsidRPr="005C47FA">
              <w:rPr>
                <w:rFonts w:asciiTheme="majorHAnsi" w:hAnsiTheme="majorHAnsi" w:cstheme="minorHAnsi"/>
              </w:rPr>
              <w:t>Receive OMB approval under 0920-0879</w:t>
            </w:r>
          </w:p>
        </w:tc>
        <w:tc>
          <w:tcPr>
            <w:tcW w:w="4135" w:type="dxa"/>
          </w:tcPr>
          <w:p w:rsidR="004A13E8" w:rsidRPr="005C47FA" w:rsidP="004A13E8" w14:paraId="55FE181D" w14:textId="7523E23C">
            <w:pPr>
              <w:rPr>
                <w:rFonts w:asciiTheme="majorHAnsi" w:hAnsiTheme="majorHAnsi" w:cstheme="minorHAnsi"/>
              </w:rPr>
            </w:pPr>
            <w:r w:rsidRPr="005C47FA">
              <w:rPr>
                <w:rFonts w:asciiTheme="majorHAnsi" w:hAnsiTheme="majorHAnsi" w:cstheme="minorHAnsi"/>
              </w:rPr>
              <w:t>July/August 2024</w:t>
            </w:r>
          </w:p>
        </w:tc>
      </w:tr>
      <w:tr w14:paraId="658E5F2E" w14:textId="77777777" w:rsidTr="003C77B8">
        <w:tblPrEx>
          <w:tblW w:w="0" w:type="auto"/>
          <w:tblLook w:val="04A0"/>
        </w:tblPrEx>
        <w:tc>
          <w:tcPr>
            <w:tcW w:w="5935" w:type="dxa"/>
          </w:tcPr>
          <w:p w:rsidR="00D147AB" w:rsidRPr="005C47FA" w:rsidP="004A13E8" w14:paraId="6A2CB35F" w14:textId="0D811A7E">
            <w:pPr>
              <w:rPr>
                <w:rFonts w:asciiTheme="majorHAnsi" w:hAnsiTheme="majorHAnsi" w:cstheme="minorHAnsi"/>
              </w:rPr>
            </w:pPr>
            <w:r w:rsidRPr="005C47FA">
              <w:rPr>
                <w:rFonts w:asciiTheme="majorHAnsi" w:hAnsiTheme="majorHAnsi" w:cstheme="minorHAnsi"/>
              </w:rPr>
              <w:t xml:space="preserve">Initiate </w:t>
            </w:r>
            <w:r w:rsidRPr="005C47FA">
              <w:rPr>
                <w:rFonts w:asciiTheme="majorHAnsi" w:hAnsiTheme="majorHAnsi" w:cstheme="minorHAnsi"/>
              </w:rPr>
              <w:t xml:space="preserve">quantitative survey </w:t>
            </w:r>
          </w:p>
        </w:tc>
        <w:tc>
          <w:tcPr>
            <w:tcW w:w="4135" w:type="dxa"/>
          </w:tcPr>
          <w:p w:rsidR="00D147AB" w:rsidRPr="005C47FA" w:rsidP="004A13E8" w14:paraId="4FEA2B5D" w14:textId="01189DD0">
            <w:pPr>
              <w:rPr>
                <w:rFonts w:asciiTheme="majorHAnsi" w:hAnsiTheme="majorHAnsi" w:cstheme="minorHAnsi"/>
              </w:rPr>
            </w:pPr>
            <w:r w:rsidRPr="005C47FA">
              <w:rPr>
                <w:rFonts w:asciiTheme="majorHAnsi" w:hAnsiTheme="majorHAnsi" w:cstheme="minorHAnsi"/>
              </w:rPr>
              <w:t>August</w:t>
            </w:r>
            <w:r w:rsidRPr="005C47FA" w:rsidR="0076796A">
              <w:rPr>
                <w:rFonts w:asciiTheme="majorHAnsi" w:hAnsiTheme="majorHAnsi" w:cstheme="minorHAnsi"/>
              </w:rPr>
              <w:t>/September</w:t>
            </w:r>
            <w:r w:rsidRPr="005C47FA">
              <w:rPr>
                <w:rFonts w:asciiTheme="majorHAnsi" w:hAnsiTheme="majorHAnsi" w:cstheme="minorHAnsi"/>
              </w:rPr>
              <w:t xml:space="preserve"> 2024</w:t>
            </w:r>
          </w:p>
        </w:tc>
      </w:tr>
      <w:tr w14:paraId="76A5A2C7" w14:textId="77777777" w:rsidTr="003C77B8">
        <w:tblPrEx>
          <w:tblW w:w="0" w:type="auto"/>
          <w:tblLook w:val="04A0"/>
        </w:tblPrEx>
        <w:tc>
          <w:tcPr>
            <w:tcW w:w="5935" w:type="dxa"/>
          </w:tcPr>
          <w:p w:rsidR="002A0D92" w:rsidRPr="005C47FA" w:rsidP="004A13E8" w14:paraId="3523D04F" w14:textId="6E83A5CB">
            <w:pPr>
              <w:rPr>
                <w:rFonts w:asciiTheme="majorHAnsi" w:hAnsiTheme="majorHAnsi" w:cstheme="minorHAnsi"/>
              </w:rPr>
            </w:pPr>
            <w:r w:rsidRPr="005C47FA">
              <w:rPr>
                <w:rFonts w:asciiTheme="majorHAnsi" w:hAnsiTheme="majorHAnsi" w:cstheme="minorHAnsi"/>
              </w:rPr>
              <w:t>Begin analyzing survey results</w:t>
            </w:r>
          </w:p>
        </w:tc>
        <w:tc>
          <w:tcPr>
            <w:tcW w:w="4135" w:type="dxa"/>
          </w:tcPr>
          <w:p w:rsidR="002A0D92" w:rsidRPr="005C47FA" w:rsidP="004A13E8" w14:paraId="39FB3ED1" w14:textId="7735E672">
            <w:pPr>
              <w:rPr>
                <w:rFonts w:asciiTheme="majorHAnsi" w:hAnsiTheme="majorHAnsi" w:cstheme="minorHAnsi"/>
              </w:rPr>
            </w:pPr>
            <w:r w:rsidRPr="005C47FA">
              <w:rPr>
                <w:rFonts w:asciiTheme="majorHAnsi" w:hAnsiTheme="majorHAnsi" w:cstheme="minorHAnsi"/>
              </w:rPr>
              <w:t>October</w:t>
            </w:r>
            <w:r w:rsidRPr="005C47FA">
              <w:rPr>
                <w:rFonts w:asciiTheme="majorHAnsi" w:hAnsiTheme="majorHAnsi" w:cstheme="minorHAnsi"/>
              </w:rPr>
              <w:t xml:space="preserve"> 2024</w:t>
            </w:r>
          </w:p>
        </w:tc>
      </w:tr>
      <w:tr w14:paraId="481CE865" w14:textId="77777777" w:rsidTr="003C77B8">
        <w:tblPrEx>
          <w:tblW w:w="0" w:type="auto"/>
          <w:tblLook w:val="04A0"/>
        </w:tblPrEx>
        <w:tc>
          <w:tcPr>
            <w:tcW w:w="5935" w:type="dxa"/>
          </w:tcPr>
          <w:p w:rsidR="00D147AB" w:rsidRPr="005C47FA" w:rsidP="004A13E8" w14:paraId="55BE2D49" w14:textId="1497ED9F">
            <w:pPr>
              <w:rPr>
                <w:rFonts w:asciiTheme="majorHAnsi" w:hAnsiTheme="majorHAnsi" w:cstheme="minorHAnsi"/>
              </w:rPr>
            </w:pPr>
            <w:r w:rsidRPr="005C47FA">
              <w:rPr>
                <w:rFonts w:asciiTheme="majorHAnsi" w:hAnsiTheme="majorHAnsi" w:cstheme="minorHAnsi"/>
              </w:rPr>
              <w:t>Complete focus groups</w:t>
            </w:r>
          </w:p>
        </w:tc>
        <w:tc>
          <w:tcPr>
            <w:tcW w:w="4135" w:type="dxa"/>
          </w:tcPr>
          <w:p w:rsidR="00D147AB" w:rsidRPr="005C47FA" w:rsidP="004A13E8" w14:paraId="7BDC28FA" w14:textId="69D6A590">
            <w:pPr>
              <w:rPr>
                <w:rFonts w:asciiTheme="majorHAnsi" w:hAnsiTheme="majorHAnsi" w:cstheme="minorHAnsi"/>
              </w:rPr>
            </w:pPr>
            <w:r w:rsidRPr="005C47FA">
              <w:rPr>
                <w:rFonts w:asciiTheme="majorHAnsi" w:hAnsiTheme="majorHAnsi" w:cstheme="minorHAnsi"/>
              </w:rPr>
              <w:t>November</w:t>
            </w:r>
            <w:r w:rsidRPr="005C47FA">
              <w:rPr>
                <w:rFonts w:asciiTheme="majorHAnsi" w:hAnsiTheme="majorHAnsi" w:cstheme="minorHAnsi"/>
              </w:rPr>
              <w:t xml:space="preserve"> 2024</w:t>
            </w:r>
          </w:p>
        </w:tc>
      </w:tr>
      <w:tr w14:paraId="77847478" w14:textId="77777777" w:rsidTr="003C77B8">
        <w:tblPrEx>
          <w:tblW w:w="0" w:type="auto"/>
          <w:tblLook w:val="04A0"/>
        </w:tblPrEx>
        <w:tc>
          <w:tcPr>
            <w:tcW w:w="5935" w:type="dxa"/>
          </w:tcPr>
          <w:p w:rsidR="00D147AB" w:rsidRPr="005C47FA" w:rsidP="004A13E8" w14:paraId="1B0563CC" w14:textId="3DB4D3F6">
            <w:pPr>
              <w:rPr>
                <w:rFonts w:asciiTheme="majorHAnsi" w:hAnsiTheme="majorHAnsi" w:cstheme="minorHAnsi"/>
              </w:rPr>
            </w:pPr>
            <w:r w:rsidRPr="005C47FA">
              <w:rPr>
                <w:rFonts w:asciiTheme="majorHAnsi" w:hAnsiTheme="majorHAnsi" w:cstheme="minorHAnsi"/>
              </w:rPr>
              <w:t>Begin analyzing focus group results</w:t>
            </w:r>
          </w:p>
        </w:tc>
        <w:tc>
          <w:tcPr>
            <w:tcW w:w="4135" w:type="dxa"/>
          </w:tcPr>
          <w:p w:rsidR="00D147AB" w:rsidRPr="005C47FA" w:rsidP="004A13E8" w14:paraId="38D25144" w14:textId="760BB321">
            <w:pPr>
              <w:rPr>
                <w:rFonts w:asciiTheme="majorHAnsi" w:hAnsiTheme="majorHAnsi" w:cstheme="minorHAnsi"/>
              </w:rPr>
            </w:pPr>
            <w:r w:rsidRPr="005C47FA">
              <w:rPr>
                <w:rFonts w:asciiTheme="majorHAnsi" w:hAnsiTheme="majorHAnsi" w:cstheme="minorHAnsi"/>
              </w:rPr>
              <w:t>December</w:t>
            </w:r>
            <w:r w:rsidRPr="005C47FA">
              <w:rPr>
                <w:rFonts w:asciiTheme="majorHAnsi" w:hAnsiTheme="majorHAnsi" w:cstheme="minorHAnsi"/>
              </w:rPr>
              <w:t xml:space="preserve"> 2024</w:t>
            </w:r>
          </w:p>
        </w:tc>
      </w:tr>
      <w:tr w14:paraId="05D63BCB" w14:textId="77777777" w:rsidTr="003C77B8">
        <w:tblPrEx>
          <w:tblW w:w="0" w:type="auto"/>
          <w:tblLook w:val="04A0"/>
        </w:tblPrEx>
        <w:tc>
          <w:tcPr>
            <w:tcW w:w="5935" w:type="dxa"/>
          </w:tcPr>
          <w:p w:rsidR="00D147AB" w:rsidRPr="005C47FA" w:rsidP="004A13E8" w14:paraId="51407CD4" w14:textId="7EFCCE72">
            <w:pPr>
              <w:rPr>
                <w:rFonts w:asciiTheme="majorHAnsi" w:hAnsiTheme="majorHAnsi" w:cstheme="minorHAnsi"/>
              </w:rPr>
            </w:pPr>
            <w:r w:rsidRPr="005C47FA">
              <w:rPr>
                <w:rFonts w:asciiTheme="majorHAnsi" w:hAnsiTheme="majorHAnsi" w:cstheme="minorHAnsi"/>
              </w:rPr>
              <w:t>Begin to conduct case studies</w:t>
            </w:r>
          </w:p>
        </w:tc>
        <w:tc>
          <w:tcPr>
            <w:tcW w:w="4135" w:type="dxa"/>
          </w:tcPr>
          <w:p w:rsidR="00D147AB" w:rsidRPr="005C47FA" w:rsidP="004A13E8" w14:paraId="3201B053" w14:textId="70EB7AD8">
            <w:pPr>
              <w:rPr>
                <w:rFonts w:asciiTheme="majorHAnsi" w:hAnsiTheme="majorHAnsi" w:cstheme="minorHAnsi"/>
              </w:rPr>
            </w:pPr>
            <w:r w:rsidRPr="005C47FA">
              <w:rPr>
                <w:rFonts w:asciiTheme="majorHAnsi" w:hAnsiTheme="majorHAnsi" w:cstheme="minorHAnsi"/>
              </w:rPr>
              <w:t>January 2025</w:t>
            </w:r>
          </w:p>
        </w:tc>
      </w:tr>
      <w:tr w14:paraId="2FEA4D97" w14:textId="77777777" w:rsidTr="003C77B8">
        <w:tblPrEx>
          <w:tblW w:w="0" w:type="auto"/>
          <w:tblLook w:val="04A0"/>
        </w:tblPrEx>
        <w:tc>
          <w:tcPr>
            <w:tcW w:w="5935" w:type="dxa"/>
          </w:tcPr>
          <w:p w:rsidR="00D147AB" w:rsidRPr="005C47FA" w:rsidP="004A13E8" w14:paraId="2BDC5204" w14:textId="1861B4F1">
            <w:pPr>
              <w:rPr>
                <w:rFonts w:asciiTheme="majorHAnsi" w:hAnsiTheme="majorHAnsi" w:cstheme="minorHAnsi"/>
              </w:rPr>
            </w:pPr>
            <w:r w:rsidRPr="005C47FA">
              <w:rPr>
                <w:rFonts w:asciiTheme="majorHAnsi" w:hAnsiTheme="majorHAnsi" w:cstheme="minorHAnsi"/>
              </w:rPr>
              <w:t xml:space="preserve">Finalize data analysis and reporting </w:t>
            </w:r>
          </w:p>
        </w:tc>
        <w:tc>
          <w:tcPr>
            <w:tcW w:w="4135" w:type="dxa"/>
          </w:tcPr>
          <w:p w:rsidR="00D147AB" w:rsidRPr="005C47FA" w:rsidP="004A13E8" w14:paraId="3E431E33" w14:textId="6CE92B43">
            <w:pPr>
              <w:rPr>
                <w:rFonts w:asciiTheme="majorHAnsi" w:hAnsiTheme="majorHAnsi" w:cstheme="minorHAnsi"/>
              </w:rPr>
            </w:pPr>
            <w:r w:rsidRPr="005C47FA">
              <w:rPr>
                <w:rFonts w:asciiTheme="majorHAnsi" w:hAnsiTheme="majorHAnsi" w:cstheme="minorHAnsi"/>
              </w:rPr>
              <w:t>November 2025</w:t>
            </w:r>
          </w:p>
        </w:tc>
      </w:tr>
      <w:tr w14:paraId="49A00C22" w14:textId="77777777" w:rsidTr="003C77B8">
        <w:tblPrEx>
          <w:tblW w:w="0" w:type="auto"/>
          <w:tblLook w:val="04A0"/>
        </w:tblPrEx>
        <w:tc>
          <w:tcPr>
            <w:tcW w:w="5935" w:type="dxa"/>
          </w:tcPr>
          <w:p w:rsidR="00D147AB" w:rsidRPr="005C47FA" w:rsidP="004A13E8" w14:paraId="61C0F940" w14:textId="030338C2">
            <w:pPr>
              <w:rPr>
                <w:rFonts w:asciiTheme="majorHAnsi" w:hAnsiTheme="majorHAnsi" w:cstheme="minorHAnsi"/>
              </w:rPr>
            </w:pPr>
            <w:r w:rsidRPr="005C47FA">
              <w:rPr>
                <w:rFonts w:asciiTheme="majorHAnsi" w:hAnsiTheme="majorHAnsi" w:cstheme="minorHAnsi"/>
              </w:rPr>
              <w:t>Disseminate results</w:t>
            </w:r>
          </w:p>
        </w:tc>
        <w:tc>
          <w:tcPr>
            <w:tcW w:w="4135" w:type="dxa"/>
          </w:tcPr>
          <w:p w:rsidR="00D147AB" w:rsidRPr="005C47FA" w:rsidP="004A13E8" w14:paraId="4326FC0B" w14:textId="1323E359">
            <w:pPr>
              <w:rPr>
                <w:rFonts w:asciiTheme="majorHAnsi" w:hAnsiTheme="majorHAnsi" w:cstheme="minorHAnsi"/>
              </w:rPr>
            </w:pPr>
            <w:r w:rsidRPr="005C47FA">
              <w:rPr>
                <w:rFonts w:asciiTheme="majorHAnsi" w:hAnsiTheme="majorHAnsi" w:cstheme="minorHAnsi"/>
              </w:rPr>
              <w:t>December 2025</w:t>
            </w:r>
          </w:p>
        </w:tc>
      </w:tr>
    </w:tbl>
    <w:p w:rsidR="004A13E8" w:rsidRPr="005C47FA" w:rsidP="0025156B" w14:paraId="55FE1826" w14:textId="77777777">
      <w:pPr>
        <w:pStyle w:val="Heading1"/>
        <w:spacing w:before="240"/>
        <w:rPr>
          <w:rFonts w:asciiTheme="majorHAnsi" w:hAnsiTheme="majorHAnsi" w:cstheme="minorHAnsi"/>
        </w:rPr>
      </w:pPr>
      <w:bookmarkStart w:id="22" w:name="_Toc172646919"/>
      <w:r w:rsidRPr="005C47FA">
        <w:rPr>
          <w:rFonts w:asciiTheme="majorHAnsi" w:hAnsiTheme="majorHAnsi" w:cstheme="minorHAnsi"/>
        </w:rPr>
        <w:t>Reason(s) Display of OMB Expiration Date is Inappropriate</w:t>
      </w:r>
      <w:bookmarkEnd w:id="22"/>
    </w:p>
    <w:p w:rsidR="00D147AB" w:rsidRPr="005C47FA" w:rsidP="00D147AB" w14:paraId="1C0B0054" w14:textId="77777777">
      <w:pPr>
        <w:rPr>
          <w:rFonts w:asciiTheme="majorHAnsi" w:hAnsiTheme="majorHAnsi" w:cstheme="minorHAnsi"/>
          <w:szCs w:val="24"/>
        </w:rPr>
      </w:pPr>
      <w:r w:rsidRPr="005C47FA">
        <w:rPr>
          <w:rFonts w:asciiTheme="majorHAnsi" w:hAnsiTheme="majorHAnsi" w:cstheme="minorHAnsi"/>
          <w:szCs w:val="24"/>
        </w:rPr>
        <w:t>CDC does not request exemption from display of the OMB expiration date.</w:t>
      </w:r>
    </w:p>
    <w:p w:rsidR="004A13E8" w:rsidRPr="005C47FA" w:rsidP="004A13E8" w14:paraId="55FE1828" w14:textId="77777777">
      <w:pPr>
        <w:pStyle w:val="Heading1"/>
        <w:rPr>
          <w:rFonts w:asciiTheme="majorHAnsi" w:hAnsiTheme="majorHAnsi" w:cstheme="minorHAnsi"/>
        </w:rPr>
      </w:pPr>
      <w:bookmarkStart w:id="23" w:name="_Toc172646920"/>
      <w:r w:rsidRPr="005C47FA">
        <w:rPr>
          <w:rFonts w:asciiTheme="majorHAnsi" w:hAnsiTheme="majorHAnsi" w:cstheme="minorHAnsi"/>
        </w:rPr>
        <w:t>Exceptions to Certification for Paperwork Reduction Act Submissions</w:t>
      </w:r>
      <w:bookmarkEnd w:id="23"/>
    </w:p>
    <w:p w:rsidR="004A13E8" w:rsidRPr="005C47FA" w:rsidP="004A13E8" w14:paraId="55FE1829" w14:textId="77777777">
      <w:pPr>
        <w:rPr>
          <w:rFonts w:asciiTheme="majorHAnsi" w:hAnsiTheme="majorHAnsi" w:cstheme="minorHAnsi"/>
        </w:rPr>
      </w:pPr>
      <w:r w:rsidRPr="005C47FA">
        <w:rPr>
          <w:rFonts w:asciiTheme="majorHAnsi" w:hAnsiTheme="majorHAnsi" w:cstheme="minorHAnsi"/>
        </w:rPr>
        <w:t>There are no exceptions to the certification.</w:t>
      </w:r>
    </w:p>
    <w:p w:rsidR="00967433" w:rsidRPr="005C47FA" w:rsidP="00967433" w14:paraId="69FE878B" w14:textId="2D2653EC">
      <w:pPr>
        <w:rPr>
          <w:rFonts w:asciiTheme="majorHAnsi" w:hAnsiTheme="majorHAnsi" w:cstheme="minorHAnsi"/>
          <w:b/>
          <w:bCs/>
        </w:rPr>
      </w:pPr>
      <w:r w:rsidRPr="005C47FA">
        <w:rPr>
          <w:rFonts w:asciiTheme="majorHAnsi" w:hAnsiTheme="majorHAnsi" w:cstheme="minorHAnsi"/>
          <w:b/>
          <w:bCs/>
        </w:rPr>
        <w:t>Attachments</w:t>
      </w:r>
    </w:p>
    <w:p w:rsidR="004F4D4E" w:rsidRPr="005C47FA" w:rsidP="0076796A" w14:paraId="6E906B84" w14:textId="3796A3F3">
      <w:pPr>
        <w:pStyle w:val="ListParagraph"/>
        <w:numPr>
          <w:ilvl w:val="0"/>
          <w:numId w:val="13"/>
        </w:numPr>
        <w:rPr>
          <w:rFonts w:asciiTheme="majorHAnsi" w:hAnsiTheme="majorHAnsi" w:cstheme="minorHAnsi"/>
        </w:rPr>
      </w:pPr>
      <w:r w:rsidRPr="005C47FA">
        <w:rPr>
          <w:rFonts w:asciiTheme="majorHAnsi" w:hAnsiTheme="majorHAnsi" w:cstheme="minorHAnsi"/>
        </w:rPr>
        <w:t>STARS_MAHC</w:t>
      </w:r>
    </w:p>
    <w:p w:rsidR="00920864" w:rsidRPr="005C47FA" w:rsidP="0076796A" w14:paraId="2E280EAB" w14:textId="017722BD">
      <w:pPr>
        <w:ind w:left="360"/>
        <w:rPr>
          <w:rFonts w:asciiTheme="majorHAnsi" w:hAnsiTheme="majorHAnsi" w:cstheme="minorHAnsi"/>
        </w:rPr>
      </w:pPr>
      <w:r w:rsidRPr="005C47FA">
        <w:rPr>
          <w:rFonts w:asciiTheme="majorHAnsi" w:hAnsiTheme="majorHAnsi" w:cstheme="minorHAnsi"/>
        </w:rPr>
        <w:t xml:space="preserve">B. </w:t>
      </w:r>
      <w:r w:rsidRPr="005C47FA" w:rsidR="74F34D3D">
        <w:rPr>
          <w:rFonts w:asciiTheme="majorHAnsi" w:hAnsiTheme="majorHAnsi" w:cstheme="minorHAnsi"/>
        </w:rPr>
        <w:t>MAHC Use and Acceptability Survey</w:t>
      </w:r>
    </w:p>
    <w:p w:rsidR="16E4488C" w:rsidRPr="005C47FA" w:rsidP="0076796A" w14:paraId="495FC728" w14:textId="6E2D15AB">
      <w:pPr>
        <w:ind w:left="360"/>
        <w:rPr>
          <w:rFonts w:asciiTheme="majorHAnsi" w:hAnsiTheme="majorHAnsi" w:cstheme="minorHAnsi"/>
        </w:rPr>
      </w:pPr>
      <w:r w:rsidRPr="005C47FA">
        <w:rPr>
          <w:rFonts w:asciiTheme="majorHAnsi" w:hAnsiTheme="majorHAnsi" w:cstheme="minorHAnsi"/>
        </w:rPr>
        <w:t xml:space="preserve">C. </w:t>
      </w:r>
      <w:r w:rsidRPr="005C47FA">
        <w:rPr>
          <w:rFonts w:asciiTheme="majorHAnsi" w:hAnsiTheme="majorHAnsi" w:cstheme="minorHAnsi"/>
        </w:rPr>
        <w:t xml:space="preserve">Algorithm for Determining Focus Group </w:t>
      </w:r>
      <w:r w:rsidRPr="005C47FA" w:rsidR="00875EBA">
        <w:rPr>
          <w:rFonts w:asciiTheme="majorHAnsi" w:hAnsiTheme="majorHAnsi" w:cstheme="minorHAnsi"/>
        </w:rPr>
        <w:t>Placement</w:t>
      </w:r>
    </w:p>
    <w:p w:rsidR="005C0678" w:rsidRPr="005C47FA" w:rsidP="0076796A" w14:paraId="65402B33" w14:textId="443BCDC5">
      <w:pPr>
        <w:ind w:left="360"/>
        <w:rPr>
          <w:rFonts w:asciiTheme="majorHAnsi" w:hAnsiTheme="majorHAnsi" w:cstheme="minorHAnsi"/>
        </w:rPr>
      </w:pPr>
      <w:r w:rsidRPr="005C47FA">
        <w:rPr>
          <w:rFonts w:asciiTheme="majorHAnsi" w:hAnsiTheme="majorHAnsi" w:cstheme="minorHAnsi"/>
        </w:rPr>
        <w:t xml:space="preserve">D1. </w:t>
      </w:r>
      <w:r w:rsidRPr="005C47FA" w:rsidR="74F34D3D">
        <w:rPr>
          <w:rFonts w:asciiTheme="majorHAnsi" w:hAnsiTheme="majorHAnsi" w:cstheme="minorHAnsi"/>
        </w:rPr>
        <w:t>MAHC Use and Acceptability Focus Group Discussion Guide</w:t>
      </w:r>
      <w:r w:rsidRPr="005C47FA" w:rsidR="0CB63CE1">
        <w:rPr>
          <w:rFonts w:asciiTheme="majorHAnsi" w:hAnsiTheme="majorHAnsi" w:cstheme="minorHAnsi"/>
        </w:rPr>
        <w:t>—Limited Use</w:t>
      </w:r>
    </w:p>
    <w:p w:rsidR="004F4D4E" w:rsidRPr="005C47FA" w:rsidP="0076796A" w14:paraId="4052D738" w14:textId="7BD2DF20">
      <w:pPr>
        <w:ind w:left="360"/>
        <w:rPr>
          <w:rFonts w:asciiTheme="majorHAnsi" w:hAnsiTheme="majorHAnsi" w:cstheme="minorHAnsi"/>
          <w:szCs w:val="24"/>
        </w:rPr>
      </w:pPr>
      <w:r w:rsidRPr="005C47FA">
        <w:rPr>
          <w:rFonts w:asciiTheme="majorHAnsi" w:hAnsiTheme="majorHAnsi" w:cstheme="minorHAnsi"/>
        </w:rPr>
        <w:t>D</w:t>
      </w:r>
      <w:r w:rsidRPr="005C47FA" w:rsidR="0076796A">
        <w:rPr>
          <w:rFonts w:asciiTheme="majorHAnsi" w:hAnsiTheme="majorHAnsi" w:cstheme="minorHAnsi"/>
        </w:rPr>
        <w:t>2</w:t>
      </w:r>
      <w:r w:rsidRPr="005C47FA">
        <w:rPr>
          <w:rFonts w:asciiTheme="majorHAnsi" w:hAnsiTheme="majorHAnsi" w:cstheme="minorHAnsi"/>
        </w:rPr>
        <w:t xml:space="preserve">. </w:t>
      </w:r>
      <w:r w:rsidRPr="005C47FA" w:rsidR="0CB63CE1">
        <w:rPr>
          <w:rFonts w:asciiTheme="majorHAnsi" w:hAnsiTheme="majorHAnsi" w:cstheme="minorHAnsi"/>
        </w:rPr>
        <w:t>MAHC Use and Acceptability Focus Group Discussion Guide—</w:t>
      </w:r>
      <w:r w:rsidRPr="005C47FA" w:rsidR="52E92F09">
        <w:rPr>
          <w:rFonts w:asciiTheme="majorHAnsi" w:hAnsiTheme="majorHAnsi" w:cstheme="minorHAnsi"/>
        </w:rPr>
        <w:t>Moderate</w:t>
      </w:r>
      <w:r w:rsidRPr="005C47FA" w:rsidR="0CB63CE1">
        <w:rPr>
          <w:rFonts w:asciiTheme="majorHAnsi" w:hAnsiTheme="majorHAnsi" w:cstheme="minorHAnsi"/>
        </w:rPr>
        <w:t xml:space="preserve"> Use</w:t>
      </w:r>
    </w:p>
    <w:p w:rsidR="0CB63CE1" w:rsidRPr="005C47FA" w:rsidP="0076796A" w14:paraId="0FBBD680" w14:textId="5A392C85">
      <w:pPr>
        <w:ind w:left="360"/>
        <w:rPr>
          <w:rFonts w:asciiTheme="majorHAnsi" w:hAnsiTheme="majorHAnsi" w:cstheme="minorHAnsi"/>
          <w:szCs w:val="24"/>
        </w:rPr>
      </w:pPr>
      <w:r w:rsidRPr="005C47FA">
        <w:rPr>
          <w:rFonts w:asciiTheme="majorHAnsi" w:hAnsiTheme="majorHAnsi" w:cstheme="minorHAnsi"/>
        </w:rPr>
        <w:t>D</w:t>
      </w:r>
      <w:r w:rsidRPr="005C47FA" w:rsidR="0076796A">
        <w:rPr>
          <w:rFonts w:asciiTheme="majorHAnsi" w:hAnsiTheme="majorHAnsi" w:cstheme="minorHAnsi"/>
        </w:rPr>
        <w:t>3</w:t>
      </w:r>
      <w:r w:rsidRPr="005C47FA">
        <w:rPr>
          <w:rFonts w:asciiTheme="majorHAnsi" w:hAnsiTheme="majorHAnsi" w:cstheme="minorHAnsi"/>
        </w:rPr>
        <w:t xml:space="preserve">. </w:t>
      </w:r>
      <w:r w:rsidRPr="005C47FA">
        <w:rPr>
          <w:rFonts w:asciiTheme="majorHAnsi" w:hAnsiTheme="majorHAnsi" w:cstheme="minorHAnsi"/>
        </w:rPr>
        <w:t>MAHC Use and Acceptability Focus Group Discussion Guide—</w:t>
      </w:r>
      <w:r w:rsidRPr="005C47FA" w:rsidR="1A4CBEED">
        <w:rPr>
          <w:rFonts w:asciiTheme="majorHAnsi" w:hAnsiTheme="majorHAnsi" w:cstheme="minorHAnsi"/>
        </w:rPr>
        <w:t>Advanced</w:t>
      </w:r>
      <w:r w:rsidRPr="005C47FA">
        <w:rPr>
          <w:rFonts w:asciiTheme="majorHAnsi" w:hAnsiTheme="majorHAnsi" w:cstheme="minorHAnsi"/>
        </w:rPr>
        <w:t xml:space="preserve"> Use</w:t>
      </w:r>
    </w:p>
    <w:p w:rsidR="0076796A" w:rsidRPr="005C47FA" w:rsidP="0076796A" w14:paraId="52202808" w14:textId="613B92F1">
      <w:pPr>
        <w:ind w:left="360"/>
        <w:rPr>
          <w:rFonts w:asciiTheme="majorHAnsi" w:hAnsiTheme="majorHAnsi" w:cstheme="minorHAnsi"/>
        </w:rPr>
      </w:pPr>
      <w:r w:rsidRPr="005C47FA">
        <w:rPr>
          <w:rFonts w:asciiTheme="majorHAnsi" w:hAnsiTheme="majorHAnsi" w:cstheme="minorHAnsi"/>
        </w:rPr>
        <w:t xml:space="preserve">E. </w:t>
      </w:r>
      <w:r w:rsidRPr="005C47FA" w:rsidR="004F4D4E">
        <w:rPr>
          <w:rFonts w:asciiTheme="majorHAnsi" w:hAnsiTheme="majorHAnsi" w:cstheme="minorHAnsi"/>
        </w:rPr>
        <w:t xml:space="preserve">Case Study </w:t>
      </w:r>
      <w:r w:rsidRPr="005C47FA" w:rsidR="004F4D4E">
        <w:rPr>
          <w:rFonts w:asciiTheme="majorHAnsi" w:hAnsiTheme="majorHAnsi" w:cstheme="minorHAnsi"/>
        </w:rPr>
        <w:t>In</w:t>
      </w:r>
      <w:r w:rsidRPr="005C47FA" w:rsidR="004F4D4E">
        <w:rPr>
          <w:rFonts w:asciiTheme="majorHAnsi" w:hAnsiTheme="majorHAnsi" w:cstheme="minorHAnsi"/>
        </w:rPr>
        <w:t xml:space="preserve"> Depth Interview Guide</w:t>
      </w:r>
    </w:p>
    <w:p w:rsidR="005C0678" w:rsidRPr="005C47FA" w:rsidP="0076796A" w14:paraId="30912665" w14:textId="1CF4C63D">
      <w:pPr>
        <w:ind w:left="360"/>
        <w:rPr>
          <w:rFonts w:asciiTheme="majorHAnsi" w:hAnsiTheme="majorHAnsi" w:cstheme="minorHAnsi"/>
        </w:rPr>
      </w:pPr>
      <w:r w:rsidRPr="005C47FA">
        <w:rPr>
          <w:rFonts w:asciiTheme="majorHAnsi" w:hAnsiTheme="majorHAnsi" w:cstheme="minorHAnsi"/>
        </w:rPr>
        <w:t xml:space="preserve">F. </w:t>
      </w:r>
      <w:r w:rsidRPr="005C47FA" w:rsidR="74F34D3D">
        <w:rPr>
          <w:rFonts w:asciiTheme="majorHAnsi" w:hAnsiTheme="majorHAnsi" w:cstheme="minorHAnsi"/>
        </w:rPr>
        <w:t>Survey Consent Form</w:t>
      </w:r>
    </w:p>
    <w:p w:rsidR="005C0678" w:rsidRPr="005C47FA" w:rsidP="0076796A" w14:paraId="030359D5" w14:textId="53C4FFEC">
      <w:pPr>
        <w:ind w:left="360"/>
        <w:rPr>
          <w:rFonts w:asciiTheme="majorHAnsi" w:hAnsiTheme="majorHAnsi" w:cstheme="minorHAnsi"/>
        </w:rPr>
      </w:pPr>
      <w:r w:rsidRPr="005C47FA">
        <w:rPr>
          <w:rFonts w:asciiTheme="majorHAnsi" w:hAnsiTheme="majorHAnsi" w:cstheme="minorHAnsi"/>
        </w:rPr>
        <w:t xml:space="preserve">G1. </w:t>
      </w:r>
      <w:r w:rsidRPr="005C47FA" w:rsidR="74F34D3D">
        <w:rPr>
          <w:rFonts w:asciiTheme="majorHAnsi" w:hAnsiTheme="majorHAnsi" w:cstheme="minorHAnsi"/>
        </w:rPr>
        <w:t>Survey Recruitment Email</w:t>
      </w:r>
    </w:p>
    <w:p w:rsidR="00C109CF" w:rsidRPr="005C47FA" w:rsidP="0076796A" w14:paraId="36D0519E" w14:textId="33C052C4">
      <w:pPr>
        <w:ind w:left="360"/>
        <w:rPr>
          <w:rFonts w:asciiTheme="majorHAnsi" w:hAnsiTheme="majorHAnsi" w:cstheme="minorHAnsi"/>
        </w:rPr>
      </w:pPr>
      <w:r w:rsidRPr="005C47FA">
        <w:rPr>
          <w:rFonts w:asciiTheme="majorHAnsi" w:hAnsiTheme="majorHAnsi" w:cstheme="minorHAnsi"/>
        </w:rPr>
        <w:t xml:space="preserve">G2. </w:t>
      </w:r>
      <w:r w:rsidRPr="005C47FA">
        <w:rPr>
          <w:rFonts w:asciiTheme="majorHAnsi" w:hAnsiTheme="majorHAnsi" w:cstheme="minorHAnsi"/>
        </w:rPr>
        <w:t xml:space="preserve">Survey </w:t>
      </w:r>
      <w:r w:rsidRPr="005C47FA" w:rsidR="3028854B">
        <w:rPr>
          <w:rFonts w:asciiTheme="majorHAnsi" w:hAnsiTheme="majorHAnsi" w:cstheme="minorHAnsi"/>
        </w:rPr>
        <w:t xml:space="preserve">Partner Listserv </w:t>
      </w:r>
      <w:r w:rsidRPr="005C47FA" w:rsidR="55E56AA8">
        <w:rPr>
          <w:rFonts w:asciiTheme="majorHAnsi" w:hAnsiTheme="majorHAnsi" w:cstheme="minorHAnsi"/>
        </w:rPr>
        <w:t>Re</w:t>
      </w:r>
      <w:r w:rsidRPr="005C47FA" w:rsidR="5AC83FCD">
        <w:rPr>
          <w:rFonts w:asciiTheme="majorHAnsi" w:hAnsiTheme="majorHAnsi" w:cstheme="minorHAnsi"/>
        </w:rPr>
        <w:t xml:space="preserve">cruitment </w:t>
      </w:r>
      <w:r w:rsidRPr="005C47FA">
        <w:rPr>
          <w:rFonts w:asciiTheme="majorHAnsi" w:hAnsiTheme="majorHAnsi" w:cstheme="minorHAnsi"/>
        </w:rPr>
        <w:t>Email</w:t>
      </w:r>
    </w:p>
    <w:p w:rsidR="0076796A" w:rsidRPr="005C47FA" w:rsidP="0076796A" w14:paraId="3B82A657" w14:textId="77777777">
      <w:pPr>
        <w:ind w:left="360"/>
        <w:rPr>
          <w:rFonts w:asciiTheme="majorHAnsi" w:hAnsiTheme="majorHAnsi" w:cstheme="minorHAnsi"/>
          <w:szCs w:val="24"/>
        </w:rPr>
      </w:pPr>
      <w:r w:rsidRPr="005C47FA">
        <w:rPr>
          <w:rFonts w:asciiTheme="majorHAnsi" w:hAnsiTheme="majorHAnsi" w:cstheme="minorHAnsi"/>
        </w:rPr>
        <w:t xml:space="preserve">G3. </w:t>
      </w:r>
      <w:r w:rsidRPr="005C47FA" w:rsidR="05CC9664">
        <w:rPr>
          <w:rFonts w:asciiTheme="majorHAnsi" w:hAnsiTheme="majorHAnsi" w:cstheme="minorHAnsi"/>
        </w:rPr>
        <w:t>Survey Reminder Email</w:t>
      </w:r>
    </w:p>
    <w:p w:rsidR="004F4D4E" w:rsidRPr="005C47FA" w:rsidP="0076796A" w14:paraId="2D787C8B" w14:textId="4402DC11">
      <w:pPr>
        <w:ind w:left="360"/>
        <w:rPr>
          <w:rFonts w:asciiTheme="majorHAnsi" w:hAnsiTheme="majorHAnsi" w:cstheme="minorHAnsi"/>
          <w:szCs w:val="24"/>
        </w:rPr>
      </w:pPr>
      <w:r w:rsidRPr="005C47FA">
        <w:rPr>
          <w:rFonts w:asciiTheme="majorHAnsi" w:hAnsiTheme="majorHAnsi" w:cstheme="minorHAnsi"/>
          <w:szCs w:val="24"/>
        </w:rPr>
        <w:t xml:space="preserve">H. </w:t>
      </w:r>
      <w:r w:rsidRPr="005C47FA" w:rsidR="34FA5567">
        <w:rPr>
          <w:rFonts w:asciiTheme="majorHAnsi" w:hAnsiTheme="majorHAnsi" w:cstheme="minorHAnsi"/>
        </w:rPr>
        <w:t xml:space="preserve">Survey </w:t>
      </w:r>
      <w:r w:rsidRPr="005C47FA" w:rsidR="5369C55C">
        <w:rPr>
          <w:rFonts w:asciiTheme="majorHAnsi" w:hAnsiTheme="majorHAnsi" w:cstheme="minorHAnsi"/>
        </w:rPr>
        <w:t>Snowball Sampling</w:t>
      </w:r>
      <w:r w:rsidRPr="005C47FA" w:rsidR="34FA5567">
        <w:rPr>
          <w:rFonts w:asciiTheme="majorHAnsi" w:hAnsiTheme="majorHAnsi" w:cstheme="minorHAnsi"/>
        </w:rPr>
        <w:t xml:space="preserve"> Recruitment Email</w:t>
      </w:r>
    </w:p>
    <w:p w:rsidR="00967433" w:rsidRPr="005C47FA" w:rsidP="0076796A" w14:paraId="4A5D3E63" w14:textId="7A021CEC">
      <w:pPr>
        <w:ind w:left="360"/>
        <w:rPr>
          <w:rFonts w:asciiTheme="majorHAnsi" w:hAnsiTheme="majorHAnsi" w:cstheme="minorHAnsi"/>
        </w:rPr>
      </w:pPr>
      <w:r w:rsidRPr="005C47FA">
        <w:rPr>
          <w:rFonts w:asciiTheme="majorHAnsi" w:hAnsiTheme="majorHAnsi" w:cstheme="minorHAnsi"/>
        </w:rPr>
        <w:t>I1. Focus Group Invitation Email</w:t>
      </w:r>
    </w:p>
    <w:p w:rsidR="054CC7B7" w:rsidRPr="005C47FA" w:rsidP="0076796A" w14:paraId="65F08E90" w14:textId="71B1BAEE">
      <w:pPr>
        <w:ind w:left="360"/>
        <w:rPr>
          <w:rFonts w:asciiTheme="majorHAnsi" w:hAnsiTheme="majorHAnsi" w:cstheme="minorHAnsi"/>
          <w:szCs w:val="24"/>
        </w:rPr>
      </w:pPr>
      <w:r w:rsidRPr="005C47FA">
        <w:rPr>
          <w:rFonts w:asciiTheme="majorHAnsi" w:hAnsiTheme="majorHAnsi" w:cstheme="minorHAnsi"/>
        </w:rPr>
        <w:t xml:space="preserve">I2. </w:t>
      </w:r>
      <w:r w:rsidRPr="005C47FA">
        <w:rPr>
          <w:rFonts w:asciiTheme="majorHAnsi" w:hAnsiTheme="majorHAnsi" w:cstheme="minorHAnsi"/>
        </w:rPr>
        <w:t xml:space="preserve">Focus Group Confirmation Email  </w:t>
      </w:r>
    </w:p>
    <w:p w:rsidR="00875EBA" w:rsidRPr="005C47FA" w:rsidP="0076796A" w14:paraId="2EDCA315" w14:textId="44FB7EEE">
      <w:pPr>
        <w:ind w:left="360"/>
        <w:rPr>
          <w:rFonts w:asciiTheme="majorHAnsi" w:hAnsiTheme="majorHAnsi" w:cstheme="minorHAnsi"/>
          <w:szCs w:val="24"/>
        </w:rPr>
      </w:pPr>
      <w:r w:rsidRPr="005C47FA">
        <w:rPr>
          <w:rFonts w:asciiTheme="majorHAnsi" w:hAnsiTheme="majorHAnsi" w:cstheme="minorHAnsi"/>
        </w:rPr>
        <w:t xml:space="preserve">I3. </w:t>
      </w:r>
      <w:r w:rsidRPr="005C47FA" w:rsidR="2CA5CBCC">
        <w:rPr>
          <w:rFonts w:asciiTheme="majorHAnsi" w:hAnsiTheme="majorHAnsi" w:cstheme="minorHAnsi"/>
        </w:rPr>
        <w:t xml:space="preserve">Focus Group </w:t>
      </w:r>
      <w:r w:rsidRPr="005C47FA">
        <w:rPr>
          <w:rFonts w:asciiTheme="majorHAnsi" w:hAnsiTheme="majorHAnsi" w:cstheme="minorHAnsi"/>
        </w:rPr>
        <w:t>Reminder Email</w:t>
      </w:r>
    </w:p>
    <w:p w:rsidR="28EA0A1B" w:rsidRPr="005C47FA" w:rsidP="0076796A" w14:paraId="53A6C80A" w14:textId="319A483D">
      <w:pPr>
        <w:ind w:left="360"/>
        <w:rPr>
          <w:rFonts w:asciiTheme="majorHAnsi" w:hAnsiTheme="majorHAnsi" w:cstheme="minorHAnsi"/>
          <w:szCs w:val="24"/>
        </w:rPr>
      </w:pPr>
      <w:r w:rsidRPr="005C47FA">
        <w:rPr>
          <w:rFonts w:asciiTheme="majorHAnsi" w:hAnsiTheme="majorHAnsi" w:cstheme="minorHAnsi"/>
        </w:rPr>
        <w:t xml:space="preserve">J. </w:t>
      </w:r>
      <w:r w:rsidRPr="005C47FA" w:rsidR="00875EBA">
        <w:rPr>
          <w:rFonts w:asciiTheme="majorHAnsi" w:hAnsiTheme="majorHAnsi" w:cstheme="minorHAnsi"/>
        </w:rPr>
        <w:t xml:space="preserve">Focus Group </w:t>
      </w:r>
      <w:r w:rsidRPr="005C47FA" w:rsidR="2CA5CBCC">
        <w:rPr>
          <w:rFonts w:asciiTheme="majorHAnsi" w:hAnsiTheme="majorHAnsi" w:cstheme="minorHAnsi"/>
        </w:rPr>
        <w:t xml:space="preserve">Consent Form  </w:t>
      </w:r>
      <w:r w:rsidRPr="005C47FA">
        <w:rPr>
          <w:rFonts w:asciiTheme="majorHAnsi" w:hAnsiTheme="majorHAnsi" w:cstheme="minorHAnsi"/>
        </w:rPr>
        <w:t xml:space="preserve"> </w:t>
      </w:r>
    </w:p>
    <w:p w:rsidR="005C0678" w:rsidRPr="005C47FA" w:rsidP="0076796A" w14:paraId="4B908FD5" w14:textId="754A86F9">
      <w:pPr>
        <w:ind w:left="360"/>
        <w:rPr>
          <w:rFonts w:eastAsia="Times New Roman" w:asciiTheme="majorHAnsi" w:hAnsiTheme="majorHAnsi" w:cstheme="minorHAnsi"/>
        </w:rPr>
      </w:pPr>
      <w:r w:rsidRPr="005C47FA">
        <w:rPr>
          <w:rFonts w:eastAsia="Times New Roman" w:asciiTheme="majorHAnsi" w:hAnsiTheme="majorHAnsi" w:cstheme="minorHAnsi"/>
        </w:rPr>
        <w:t xml:space="preserve">K1. </w:t>
      </w:r>
      <w:r w:rsidRPr="005C47FA" w:rsidR="5BD1DA02">
        <w:rPr>
          <w:rFonts w:eastAsia="Times New Roman" w:asciiTheme="majorHAnsi" w:hAnsiTheme="majorHAnsi" w:cstheme="minorHAnsi"/>
        </w:rPr>
        <w:t>Case Study</w:t>
      </w:r>
      <w:r w:rsidRPr="005C47FA" w:rsidR="74F34D3D">
        <w:rPr>
          <w:rFonts w:eastAsia="Times New Roman" w:asciiTheme="majorHAnsi" w:hAnsiTheme="majorHAnsi" w:cstheme="minorHAnsi"/>
        </w:rPr>
        <w:t xml:space="preserve"> Recruitment Email</w:t>
      </w:r>
    </w:p>
    <w:p w:rsidR="005C0678" w:rsidRPr="005C47FA" w:rsidP="0076796A" w14:paraId="3BAF54B5" w14:textId="5DDF9458">
      <w:pPr>
        <w:ind w:left="360"/>
        <w:rPr>
          <w:rFonts w:asciiTheme="majorHAnsi" w:hAnsiTheme="majorHAnsi" w:cstheme="minorHAnsi"/>
          <w:szCs w:val="24"/>
        </w:rPr>
      </w:pPr>
      <w:r w:rsidRPr="005C47FA">
        <w:rPr>
          <w:rFonts w:eastAsia="Times New Roman" w:asciiTheme="majorHAnsi" w:hAnsiTheme="majorHAnsi" w:cstheme="minorHAnsi"/>
        </w:rPr>
        <w:t xml:space="preserve">K2. </w:t>
      </w:r>
      <w:r w:rsidRPr="005C47FA" w:rsidR="3DB596F1">
        <w:rPr>
          <w:rFonts w:eastAsia="Times New Roman" w:asciiTheme="majorHAnsi" w:hAnsiTheme="majorHAnsi" w:cstheme="minorHAnsi"/>
        </w:rPr>
        <w:t>Case Study</w:t>
      </w:r>
      <w:r w:rsidRPr="005C47FA" w:rsidR="3DB596F1">
        <w:rPr>
          <w:rFonts w:asciiTheme="majorHAnsi" w:hAnsiTheme="majorHAnsi" w:cstheme="minorHAnsi"/>
        </w:rPr>
        <w:t xml:space="preserve"> Confirmation Email  </w:t>
      </w:r>
    </w:p>
    <w:p w:rsidR="005C0678" w:rsidRPr="005C47FA" w:rsidP="0076796A" w14:paraId="536CCD99" w14:textId="5FBF5ECE">
      <w:pPr>
        <w:ind w:left="360"/>
        <w:rPr>
          <w:rFonts w:eastAsia="Times New Roman" w:asciiTheme="majorHAnsi" w:hAnsiTheme="majorHAnsi" w:cstheme="minorHAnsi"/>
        </w:rPr>
      </w:pPr>
      <w:r w:rsidRPr="005C47FA">
        <w:rPr>
          <w:rFonts w:eastAsia="Times New Roman" w:asciiTheme="majorHAnsi" w:hAnsiTheme="majorHAnsi" w:cstheme="minorHAnsi"/>
        </w:rPr>
        <w:t xml:space="preserve">L. </w:t>
      </w:r>
      <w:r w:rsidRPr="005C47FA" w:rsidR="4D81D2F3">
        <w:rPr>
          <w:rFonts w:eastAsia="Times New Roman" w:asciiTheme="majorHAnsi" w:hAnsiTheme="majorHAnsi" w:cstheme="minorHAnsi"/>
        </w:rPr>
        <w:t>Case Study</w:t>
      </w:r>
      <w:r w:rsidRPr="005C47FA" w:rsidR="74F34D3D">
        <w:rPr>
          <w:rFonts w:eastAsia="Times New Roman" w:asciiTheme="majorHAnsi" w:hAnsiTheme="majorHAnsi" w:cstheme="minorHAnsi"/>
        </w:rPr>
        <w:t xml:space="preserve"> </w:t>
      </w:r>
      <w:r w:rsidRPr="005C47FA" w:rsidR="7C1102F6">
        <w:rPr>
          <w:rFonts w:eastAsia="Times New Roman" w:asciiTheme="majorHAnsi" w:hAnsiTheme="majorHAnsi" w:cstheme="minorHAnsi"/>
        </w:rPr>
        <w:t xml:space="preserve">Consent Form </w:t>
      </w:r>
    </w:p>
    <w:p w:rsidR="20DD1ED5" w:rsidRPr="005C47FA" w:rsidP="6F504134" w14:paraId="3E23E430" w14:textId="20A60FF5">
      <w:pPr>
        <w:rPr>
          <w:rFonts w:asciiTheme="majorHAnsi" w:hAnsiTheme="majorHAnsi" w:cstheme="minorHAnsi"/>
        </w:rPr>
      </w:pPr>
    </w:p>
    <w:p w:rsidR="04125B6B" w:rsidRPr="005C47FA" w:rsidP="20DD1ED5" w14:paraId="2F854FD9" w14:textId="035A2331">
      <w:pPr>
        <w:rPr>
          <w:rFonts w:asciiTheme="majorHAnsi" w:hAnsiTheme="majorHAnsi" w:cstheme="minorHAnsi"/>
          <w:b/>
        </w:rPr>
      </w:pPr>
      <w:r w:rsidRPr="005C47FA">
        <w:rPr>
          <w:rFonts w:asciiTheme="majorHAnsi" w:hAnsiTheme="majorHAnsi" w:cstheme="minorHAnsi"/>
          <w:b/>
        </w:rPr>
        <w:t>References</w:t>
      </w:r>
    </w:p>
    <w:p w:rsidR="04125B6B" w:rsidRPr="005C47FA" w:rsidP="6F504134" w14:paraId="1C9F383F" w14:textId="4AF66F14">
      <w:pPr>
        <w:pStyle w:val="ListParagraph"/>
        <w:numPr>
          <w:ilvl w:val="0"/>
          <w:numId w:val="1"/>
        </w:numPr>
        <w:rPr>
          <w:rFonts w:eastAsia="Times New Roman" w:asciiTheme="majorHAnsi" w:hAnsiTheme="majorHAnsi" w:cstheme="minorHAnsi"/>
        </w:rPr>
      </w:pPr>
      <w:r w:rsidRPr="005C47FA">
        <w:rPr>
          <w:rFonts w:eastAsia="Times New Roman" w:asciiTheme="majorHAnsi" w:hAnsiTheme="majorHAnsi" w:cstheme="minorHAnsi"/>
        </w:rPr>
        <w:t>Schoch, Kurt. "Case study research." Research design and methods: An applied guide for the scholar-practitioner (2020): 245-258.</w:t>
      </w:r>
    </w:p>
    <w:p w:rsidR="0D3B6DFB" w:rsidRPr="005C47FA" w:rsidP="6F504134" w14:paraId="629D93DC" w14:textId="7BE4FC8C">
      <w:pPr>
        <w:pStyle w:val="ListParagraph"/>
        <w:numPr>
          <w:ilvl w:val="0"/>
          <w:numId w:val="1"/>
        </w:numPr>
        <w:rPr>
          <w:rFonts w:eastAsia="Times New Roman" w:asciiTheme="majorHAnsi" w:hAnsiTheme="majorHAnsi" w:cstheme="minorHAnsi"/>
        </w:rPr>
      </w:pPr>
      <w:r w:rsidRPr="005C47FA">
        <w:rPr>
          <w:rFonts w:eastAsia="Times New Roman" w:asciiTheme="majorHAnsi" w:hAnsiTheme="majorHAnsi" w:cstheme="minorHAnsi"/>
        </w:rPr>
        <w:t>Stake, Robert E. Multiple case study analysis. Guilford press, 2013.</w:t>
      </w:r>
    </w:p>
    <w:p w:rsidR="64D76BD3" w:rsidRPr="005C47FA" w:rsidP="6F504134" w14:paraId="764B32B3" w14:textId="778BFF7A">
      <w:pPr>
        <w:pStyle w:val="ListParagraph"/>
        <w:numPr>
          <w:ilvl w:val="0"/>
          <w:numId w:val="1"/>
        </w:numPr>
        <w:rPr>
          <w:rFonts w:eastAsia="Times New Roman" w:asciiTheme="majorHAnsi" w:hAnsiTheme="majorHAnsi" w:cstheme="minorHAnsi"/>
          <w:color w:val="222222"/>
        </w:rPr>
      </w:pPr>
      <w:r w:rsidRPr="005C47FA">
        <w:rPr>
          <w:rFonts w:eastAsia="Times New Roman" w:asciiTheme="majorHAnsi" w:hAnsiTheme="majorHAnsi" w:cstheme="minorHAnsi"/>
          <w:color w:val="222222"/>
        </w:rPr>
        <w:t>Creswell, John W., and Cheryl N. Poth. Qualitative inquiry and research design: Choosing among five approaches. Sage publications, 2016.</w:t>
      </w:r>
    </w:p>
    <w:p w:rsidR="09CF5372" w:rsidP="6F504134" w14:paraId="04766689" w14:textId="7880AE01">
      <w:pPr>
        <w:pStyle w:val="ListParagraph"/>
        <w:numPr>
          <w:ilvl w:val="0"/>
          <w:numId w:val="1"/>
        </w:numPr>
        <w:rPr>
          <w:rFonts w:eastAsia="Times New Roman" w:cs="Times New Roman"/>
          <w:color w:val="222222"/>
        </w:rPr>
      </w:pPr>
      <w:r w:rsidRPr="005C47FA">
        <w:rPr>
          <w:rFonts w:eastAsia="Times New Roman" w:asciiTheme="majorHAnsi" w:hAnsiTheme="majorHAnsi" w:cstheme="minorHAnsi"/>
          <w:color w:val="222222"/>
        </w:rPr>
        <w:t xml:space="preserve">Bureau of Labor Statistics. "National occupational employment and wage estimates." (2022). </w:t>
      </w:r>
      <w:hyperlink r:id="rId9" w:history="1">
        <w:r w:rsidRPr="005C47FA" w:rsidR="3AC8D32C">
          <w:rPr>
            <w:rStyle w:val="Hyperlink"/>
            <w:rFonts w:eastAsia="Times New Roman" w:asciiTheme="majorHAnsi" w:hAnsiTheme="majorHAnsi" w:cstheme="minorHAnsi"/>
          </w:rPr>
          <w:t>https://www.bls.gov/oes/current/oes_nat.htm</w:t>
        </w:r>
      </w:hyperlink>
      <w:r w:rsidRPr="6F504134" w:rsidR="3AC8D32C">
        <w:rPr>
          <w:rFonts w:eastAsia="Times New Roman" w:cs="Times New Roman"/>
          <w:color w:val="222222"/>
        </w:rPr>
        <w:t xml:space="preserve"> </w:t>
      </w:r>
    </w:p>
    <w:sectPr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A00002BF" w:usb1="68C7FCFB" w:usb2="00000010" w:usb3="00000000" w:csb0="0002009F" w:csb1="00000000"/>
  </w:font>
  <w:font w:name="Shruti">
    <w:panose1 w:val="02000500000000000000"/>
    <w:charset w:val="00"/>
    <w:family w:val="swiss"/>
    <w:pitch w:val="variable"/>
    <w:sig w:usb0="00040003" w:usb1="00000000" w:usb2="00000000" w:usb3="00000000" w:csb0="00000001" w:csb1="00000000"/>
  </w:font>
  <w:font w:name="MS Gothic">
    <w:altName w:val="‚l‚r ƒSƒVƒbƒN"/>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597F4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10FAEDD9">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29F21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01FD80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320A5A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1B9BC2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43084"/>
    <w:multiLevelType w:val="hybridMultilevel"/>
    <w:tmpl w:val="60B6BF40"/>
    <w:lvl w:ilvl="0">
      <w:start w:val="1"/>
      <w:numFmt w:val="decimal"/>
      <w:lvlText w:val="%1."/>
      <w:lvlJc w:val="left"/>
      <w:pPr>
        <w:ind w:left="720" w:hanging="360"/>
      </w:pPr>
    </w:lvl>
    <w:lvl w:ilvl="1">
      <w:start w:val="1"/>
      <w:numFmt w:val="lowerLetter"/>
      <w:lvlText w:val="%2."/>
      <w:lvlJc w:val="left"/>
      <w:pPr>
        <w:ind w:left="1440" w:hanging="360"/>
      </w:pPr>
    </w:lvl>
    <w:lvl w:ilvl="2">
      <w:start w:val="8"/>
      <w:numFmt w:val="upperLetter"/>
      <w:lvlText w:val="%3."/>
      <w:lvlJc w:val="left"/>
      <w:pPr>
        <w:ind w:left="2340" w:hanging="360"/>
      </w:pPr>
      <w:rPr>
        <w:rFonts w:hint="default"/>
      </w:rPr>
    </w:lvl>
    <w:lvl w:ilvl="3">
      <w:start w:val="1"/>
      <w:numFmt w:val="bullet"/>
      <w:lvlText w:val="-"/>
      <w:lvlJc w:val="left"/>
      <w:pPr>
        <w:ind w:left="2880" w:hanging="360"/>
      </w:pPr>
      <w:rPr>
        <w:rFonts w:ascii="Times New Roman" w:hAnsi="Times New Roman" w:eastAsiaTheme="minorHAnsi"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502793"/>
    <w:multiLevelType w:val="hybridMultilevel"/>
    <w:tmpl w:val="BA3AD5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753765"/>
    <w:multiLevelType w:val="hybridMultilevel"/>
    <w:tmpl w:val="C534DA7C"/>
    <w:lvl w:ilvl="0">
      <w:start w:val="1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3C0925"/>
    <w:multiLevelType w:val="hybridMultilevel"/>
    <w:tmpl w:val="00D2E47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C42523"/>
    <w:multiLevelType w:val="hybridMultilevel"/>
    <w:tmpl w:val="1544188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6036E21"/>
    <w:multiLevelType w:val="hybridMultilevel"/>
    <w:tmpl w:val="8C307472"/>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6">
    <w:nsid w:val="2F89F9C2"/>
    <w:multiLevelType w:val="hybridMultilevel"/>
    <w:tmpl w:val="94420D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A67B22"/>
    <w:multiLevelType w:val="hybridMultilevel"/>
    <w:tmpl w:val="46BCEEB0"/>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8">
    <w:nsid w:val="3EF73EF6"/>
    <w:multiLevelType w:val="hybridMultilevel"/>
    <w:tmpl w:val="38625F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75A0661"/>
    <w:multiLevelType w:val="hybridMultilevel"/>
    <w:tmpl w:val="B8C4BA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21078DC"/>
    <w:multiLevelType w:val="hybridMultilevel"/>
    <w:tmpl w:val="D314424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5FB03103"/>
    <w:multiLevelType w:val="hybridMultilevel"/>
    <w:tmpl w:val="291A1FF8"/>
    <w:lvl w:ilvl="0">
      <w:start w:val="10"/>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A1616DE"/>
    <w:multiLevelType w:val="hybridMultilevel"/>
    <w:tmpl w:val="CD5AA34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4">
    <w:nsid w:val="707B670C"/>
    <w:multiLevelType w:val="hybridMultilevel"/>
    <w:tmpl w:val="F4A2A8E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79E2D1E"/>
    <w:multiLevelType w:val="hybridMultilevel"/>
    <w:tmpl w:val="F604914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6290116">
    <w:abstractNumId w:val="6"/>
  </w:num>
  <w:num w:numId="2" w16cid:durableId="1641375655">
    <w:abstractNumId w:val="4"/>
  </w:num>
  <w:num w:numId="3" w16cid:durableId="225922933">
    <w:abstractNumId w:val="16"/>
  </w:num>
  <w:num w:numId="4" w16cid:durableId="1268074816">
    <w:abstractNumId w:val="9"/>
  </w:num>
  <w:num w:numId="5" w16cid:durableId="433329173">
    <w:abstractNumId w:val="14"/>
  </w:num>
  <w:num w:numId="6" w16cid:durableId="1037504457">
    <w:abstractNumId w:val="10"/>
  </w:num>
  <w:num w:numId="7" w16cid:durableId="945044274">
    <w:abstractNumId w:val="8"/>
  </w:num>
  <w:num w:numId="8" w16cid:durableId="1781335052">
    <w:abstractNumId w:val="0"/>
  </w:num>
  <w:num w:numId="9" w16cid:durableId="1183477063">
    <w:abstractNumId w:val="3"/>
  </w:num>
  <w:num w:numId="10" w16cid:durableId="1842768793">
    <w:abstractNumId w:val="12"/>
  </w:num>
  <w:num w:numId="11" w16cid:durableId="1894349030">
    <w:abstractNumId w:val="2"/>
  </w:num>
  <w:num w:numId="12" w16cid:durableId="1739402746">
    <w:abstractNumId w:val="1"/>
  </w:num>
  <w:num w:numId="13" w16cid:durableId="682702884">
    <w:abstractNumId w:val="15"/>
  </w:num>
  <w:num w:numId="14" w16cid:durableId="1935823888">
    <w:abstractNumId w:val="7"/>
  </w:num>
  <w:num w:numId="15" w16cid:durableId="1741370644">
    <w:abstractNumId w:val="13"/>
  </w:num>
  <w:num w:numId="16" w16cid:durableId="145557912">
    <w:abstractNumId w:val="11"/>
  </w:num>
  <w:num w:numId="17" w16cid:durableId="4414143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15C1E"/>
    <w:rsid w:val="00021269"/>
    <w:rsid w:val="00024095"/>
    <w:rsid w:val="0003513C"/>
    <w:rsid w:val="0003608D"/>
    <w:rsid w:val="00040183"/>
    <w:rsid w:val="000402FA"/>
    <w:rsid w:val="00050C1C"/>
    <w:rsid w:val="00051CC7"/>
    <w:rsid w:val="0005699B"/>
    <w:rsid w:val="00067ACF"/>
    <w:rsid w:val="000716B0"/>
    <w:rsid w:val="00076FA2"/>
    <w:rsid w:val="00077A77"/>
    <w:rsid w:val="00080857"/>
    <w:rsid w:val="000821B7"/>
    <w:rsid w:val="00082EFC"/>
    <w:rsid w:val="00084B75"/>
    <w:rsid w:val="00090E9C"/>
    <w:rsid w:val="00094D5E"/>
    <w:rsid w:val="00096651"/>
    <w:rsid w:val="000A5077"/>
    <w:rsid w:val="000B1604"/>
    <w:rsid w:val="000B4F05"/>
    <w:rsid w:val="000B507C"/>
    <w:rsid w:val="000C1760"/>
    <w:rsid w:val="000D13C4"/>
    <w:rsid w:val="000D1FA4"/>
    <w:rsid w:val="000E22E0"/>
    <w:rsid w:val="000E2DF5"/>
    <w:rsid w:val="00100C30"/>
    <w:rsid w:val="00103D1E"/>
    <w:rsid w:val="00106DA6"/>
    <w:rsid w:val="0011286E"/>
    <w:rsid w:val="00113946"/>
    <w:rsid w:val="00114C37"/>
    <w:rsid w:val="00124128"/>
    <w:rsid w:val="001241F6"/>
    <w:rsid w:val="001252EC"/>
    <w:rsid w:val="00125B32"/>
    <w:rsid w:val="00130C77"/>
    <w:rsid w:val="00132707"/>
    <w:rsid w:val="00137828"/>
    <w:rsid w:val="00140430"/>
    <w:rsid w:val="00146C60"/>
    <w:rsid w:val="001523DF"/>
    <w:rsid w:val="00154576"/>
    <w:rsid w:val="00160712"/>
    <w:rsid w:val="001643FA"/>
    <w:rsid w:val="00165046"/>
    <w:rsid w:val="0017488E"/>
    <w:rsid w:val="00181DB5"/>
    <w:rsid w:val="00186141"/>
    <w:rsid w:val="001A58BE"/>
    <w:rsid w:val="001B570F"/>
    <w:rsid w:val="001C2F6F"/>
    <w:rsid w:val="001D1619"/>
    <w:rsid w:val="001D5AD3"/>
    <w:rsid w:val="001E08A8"/>
    <w:rsid w:val="001E2CC1"/>
    <w:rsid w:val="001F45C1"/>
    <w:rsid w:val="001F4D7A"/>
    <w:rsid w:val="002019B6"/>
    <w:rsid w:val="00210257"/>
    <w:rsid w:val="00237BB7"/>
    <w:rsid w:val="00237C6E"/>
    <w:rsid w:val="002433B0"/>
    <w:rsid w:val="002441B9"/>
    <w:rsid w:val="0025156B"/>
    <w:rsid w:val="00252E6F"/>
    <w:rsid w:val="00253C0F"/>
    <w:rsid w:val="0025591C"/>
    <w:rsid w:val="002559FF"/>
    <w:rsid w:val="00261B6F"/>
    <w:rsid w:val="0026416C"/>
    <w:rsid w:val="00270525"/>
    <w:rsid w:val="00276AFC"/>
    <w:rsid w:val="00291402"/>
    <w:rsid w:val="00292639"/>
    <w:rsid w:val="00295094"/>
    <w:rsid w:val="00295C5A"/>
    <w:rsid w:val="002A0D92"/>
    <w:rsid w:val="002A15BE"/>
    <w:rsid w:val="002A5227"/>
    <w:rsid w:val="002A7CC4"/>
    <w:rsid w:val="002B122C"/>
    <w:rsid w:val="002C261A"/>
    <w:rsid w:val="002CF60F"/>
    <w:rsid w:val="002D1082"/>
    <w:rsid w:val="002D7935"/>
    <w:rsid w:val="002E46EE"/>
    <w:rsid w:val="002E5C00"/>
    <w:rsid w:val="002F1B39"/>
    <w:rsid w:val="002F29F4"/>
    <w:rsid w:val="002F37B6"/>
    <w:rsid w:val="002F3EF4"/>
    <w:rsid w:val="002F4BAD"/>
    <w:rsid w:val="002F5117"/>
    <w:rsid w:val="003036C2"/>
    <w:rsid w:val="00304BBB"/>
    <w:rsid w:val="0031414C"/>
    <w:rsid w:val="00315C4A"/>
    <w:rsid w:val="0032168D"/>
    <w:rsid w:val="00322D5D"/>
    <w:rsid w:val="00324DBC"/>
    <w:rsid w:val="00327C74"/>
    <w:rsid w:val="0033043C"/>
    <w:rsid w:val="00340243"/>
    <w:rsid w:val="003419B3"/>
    <w:rsid w:val="00346CD3"/>
    <w:rsid w:val="00353F12"/>
    <w:rsid w:val="0036671B"/>
    <w:rsid w:val="00366DDE"/>
    <w:rsid w:val="0037646D"/>
    <w:rsid w:val="00377184"/>
    <w:rsid w:val="0037786F"/>
    <w:rsid w:val="0037B0F9"/>
    <w:rsid w:val="003859D9"/>
    <w:rsid w:val="00394BDB"/>
    <w:rsid w:val="003A57CA"/>
    <w:rsid w:val="003B2063"/>
    <w:rsid w:val="003B2FB4"/>
    <w:rsid w:val="003B6394"/>
    <w:rsid w:val="003C2F5C"/>
    <w:rsid w:val="003C77B8"/>
    <w:rsid w:val="003D1E6C"/>
    <w:rsid w:val="003E39FB"/>
    <w:rsid w:val="003E60BC"/>
    <w:rsid w:val="003F4E5A"/>
    <w:rsid w:val="003F60CF"/>
    <w:rsid w:val="00401980"/>
    <w:rsid w:val="004021BF"/>
    <w:rsid w:val="00403766"/>
    <w:rsid w:val="00406955"/>
    <w:rsid w:val="004207F2"/>
    <w:rsid w:val="00426BF9"/>
    <w:rsid w:val="00427164"/>
    <w:rsid w:val="00433E0C"/>
    <w:rsid w:val="0043440D"/>
    <w:rsid w:val="00436056"/>
    <w:rsid w:val="004407D2"/>
    <w:rsid w:val="0044091F"/>
    <w:rsid w:val="00446A7C"/>
    <w:rsid w:val="00457614"/>
    <w:rsid w:val="00460F92"/>
    <w:rsid w:val="004617A8"/>
    <w:rsid w:val="00473041"/>
    <w:rsid w:val="004841D1"/>
    <w:rsid w:val="00485AE3"/>
    <w:rsid w:val="004866FB"/>
    <w:rsid w:val="004A0034"/>
    <w:rsid w:val="004A13E8"/>
    <w:rsid w:val="004B65F1"/>
    <w:rsid w:val="004C0E11"/>
    <w:rsid w:val="004C24FD"/>
    <w:rsid w:val="004C4C5B"/>
    <w:rsid w:val="004D0CD2"/>
    <w:rsid w:val="004D2627"/>
    <w:rsid w:val="004D2BED"/>
    <w:rsid w:val="004D68A6"/>
    <w:rsid w:val="004E6EBD"/>
    <w:rsid w:val="004F4D4E"/>
    <w:rsid w:val="00506384"/>
    <w:rsid w:val="0050783E"/>
    <w:rsid w:val="00514335"/>
    <w:rsid w:val="005152DA"/>
    <w:rsid w:val="00541089"/>
    <w:rsid w:val="00543F8A"/>
    <w:rsid w:val="00554C2D"/>
    <w:rsid w:val="00571F55"/>
    <w:rsid w:val="00572208"/>
    <w:rsid w:val="00574C89"/>
    <w:rsid w:val="005804DE"/>
    <w:rsid w:val="00581E78"/>
    <w:rsid w:val="005A198F"/>
    <w:rsid w:val="005A3678"/>
    <w:rsid w:val="005B5C72"/>
    <w:rsid w:val="005B616B"/>
    <w:rsid w:val="005C0678"/>
    <w:rsid w:val="005C47FA"/>
    <w:rsid w:val="005C7072"/>
    <w:rsid w:val="005D16DB"/>
    <w:rsid w:val="005E4E2E"/>
    <w:rsid w:val="005F131C"/>
    <w:rsid w:val="005F3A56"/>
    <w:rsid w:val="005F5827"/>
    <w:rsid w:val="005F65B3"/>
    <w:rsid w:val="00601330"/>
    <w:rsid w:val="006021E0"/>
    <w:rsid w:val="00603E34"/>
    <w:rsid w:val="00604A71"/>
    <w:rsid w:val="00610A28"/>
    <w:rsid w:val="00615EC8"/>
    <w:rsid w:val="006207A6"/>
    <w:rsid w:val="00620FB6"/>
    <w:rsid w:val="006258CD"/>
    <w:rsid w:val="0063485E"/>
    <w:rsid w:val="00641A76"/>
    <w:rsid w:val="0064582A"/>
    <w:rsid w:val="00645CB9"/>
    <w:rsid w:val="00653FB3"/>
    <w:rsid w:val="0066583D"/>
    <w:rsid w:val="00674026"/>
    <w:rsid w:val="00690B9A"/>
    <w:rsid w:val="0069525A"/>
    <w:rsid w:val="006A34EC"/>
    <w:rsid w:val="006A5413"/>
    <w:rsid w:val="006A71A8"/>
    <w:rsid w:val="006A71AD"/>
    <w:rsid w:val="006C4F27"/>
    <w:rsid w:val="006C6578"/>
    <w:rsid w:val="006E1E64"/>
    <w:rsid w:val="006E2AE5"/>
    <w:rsid w:val="006F68EF"/>
    <w:rsid w:val="00710F03"/>
    <w:rsid w:val="00713C81"/>
    <w:rsid w:val="007335B2"/>
    <w:rsid w:val="00740462"/>
    <w:rsid w:val="00746C11"/>
    <w:rsid w:val="00753AAB"/>
    <w:rsid w:val="00763241"/>
    <w:rsid w:val="00766B83"/>
    <w:rsid w:val="0076796A"/>
    <w:rsid w:val="0077674E"/>
    <w:rsid w:val="00780DC1"/>
    <w:rsid w:val="00783EB7"/>
    <w:rsid w:val="00784C52"/>
    <w:rsid w:val="00785697"/>
    <w:rsid w:val="00791482"/>
    <w:rsid w:val="0079462D"/>
    <w:rsid w:val="007A27D0"/>
    <w:rsid w:val="007A63F7"/>
    <w:rsid w:val="007A7314"/>
    <w:rsid w:val="007B2175"/>
    <w:rsid w:val="007C079B"/>
    <w:rsid w:val="007C1DF9"/>
    <w:rsid w:val="007C2305"/>
    <w:rsid w:val="007E0637"/>
    <w:rsid w:val="007F46E9"/>
    <w:rsid w:val="00800AC6"/>
    <w:rsid w:val="008062D0"/>
    <w:rsid w:val="008172DC"/>
    <w:rsid w:val="00817C48"/>
    <w:rsid w:val="008220A2"/>
    <w:rsid w:val="00827F0C"/>
    <w:rsid w:val="00830F1C"/>
    <w:rsid w:val="00831EFA"/>
    <w:rsid w:val="0083354E"/>
    <w:rsid w:val="00837D62"/>
    <w:rsid w:val="00855F92"/>
    <w:rsid w:val="00866DA7"/>
    <w:rsid w:val="00867F25"/>
    <w:rsid w:val="00875EBA"/>
    <w:rsid w:val="008805C3"/>
    <w:rsid w:val="008821B5"/>
    <w:rsid w:val="008835F1"/>
    <w:rsid w:val="008838D8"/>
    <w:rsid w:val="00887C4F"/>
    <w:rsid w:val="00891EBD"/>
    <w:rsid w:val="008B56F0"/>
    <w:rsid w:val="008B5D54"/>
    <w:rsid w:val="008C2A1E"/>
    <w:rsid w:val="008C33F3"/>
    <w:rsid w:val="008C7E71"/>
    <w:rsid w:val="008D2C07"/>
    <w:rsid w:val="008D589E"/>
    <w:rsid w:val="008D5AEA"/>
    <w:rsid w:val="008E1DAE"/>
    <w:rsid w:val="008E57F0"/>
    <w:rsid w:val="008E5F15"/>
    <w:rsid w:val="008F0A7B"/>
    <w:rsid w:val="008F1415"/>
    <w:rsid w:val="008F29BB"/>
    <w:rsid w:val="008F3EB7"/>
    <w:rsid w:val="00904A4D"/>
    <w:rsid w:val="00910907"/>
    <w:rsid w:val="00913EAA"/>
    <w:rsid w:val="009152B6"/>
    <w:rsid w:val="00916E06"/>
    <w:rsid w:val="00920864"/>
    <w:rsid w:val="0092751A"/>
    <w:rsid w:val="00931212"/>
    <w:rsid w:val="00931AAF"/>
    <w:rsid w:val="00933095"/>
    <w:rsid w:val="00934C74"/>
    <w:rsid w:val="00937D6B"/>
    <w:rsid w:val="00955F5B"/>
    <w:rsid w:val="00963E7C"/>
    <w:rsid w:val="00967433"/>
    <w:rsid w:val="009837D0"/>
    <w:rsid w:val="00984741"/>
    <w:rsid w:val="00984FE5"/>
    <w:rsid w:val="009877EB"/>
    <w:rsid w:val="009959DE"/>
    <w:rsid w:val="00997D0E"/>
    <w:rsid w:val="009A4EB5"/>
    <w:rsid w:val="009A5EDC"/>
    <w:rsid w:val="009A79E1"/>
    <w:rsid w:val="009B0947"/>
    <w:rsid w:val="009B23FD"/>
    <w:rsid w:val="009C1775"/>
    <w:rsid w:val="009C337B"/>
    <w:rsid w:val="009C3E8E"/>
    <w:rsid w:val="009C58B8"/>
    <w:rsid w:val="009C6192"/>
    <w:rsid w:val="009E13FE"/>
    <w:rsid w:val="009E47DA"/>
    <w:rsid w:val="009F2715"/>
    <w:rsid w:val="00A024CE"/>
    <w:rsid w:val="00A034ED"/>
    <w:rsid w:val="00A06650"/>
    <w:rsid w:val="00A06BE2"/>
    <w:rsid w:val="00A12761"/>
    <w:rsid w:val="00A13CFE"/>
    <w:rsid w:val="00A17240"/>
    <w:rsid w:val="00A22604"/>
    <w:rsid w:val="00A24430"/>
    <w:rsid w:val="00A25819"/>
    <w:rsid w:val="00A34131"/>
    <w:rsid w:val="00A35128"/>
    <w:rsid w:val="00A370E6"/>
    <w:rsid w:val="00A41612"/>
    <w:rsid w:val="00A46DFB"/>
    <w:rsid w:val="00A50A8C"/>
    <w:rsid w:val="00A5376F"/>
    <w:rsid w:val="00A60481"/>
    <w:rsid w:val="00A61FD2"/>
    <w:rsid w:val="00A67086"/>
    <w:rsid w:val="00A67F18"/>
    <w:rsid w:val="00A74B65"/>
    <w:rsid w:val="00A76BC0"/>
    <w:rsid w:val="00A77022"/>
    <w:rsid w:val="00A809AA"/>
    <w:rsid w:val="00A92724"/>
    <w:rsid w:val="00A95B8B"/>
    <w:rsid w:val="00AA4802"/>
    <w:rsid w:val="00AC27A6"/>
    <w:rsid w:val="00AD2F36"/>
    <w:rsid w:val="00AE11AE"/>
    <w:rsid w:val="00AE15A5"/>
    <w:rsid w:val="00AF77D2"/>
    <w:rsid w:val="00B00763"/>
    <w:rsid w:val="00B043B9"/>
    <w:rsid w:val="00B10802"/>
    <w:rsid w:val="00B10BE6"/>
    <w:rsid w:val="00B12E66"/>
    <w:rsid w:val="00B15AFC"/>
    <w:rsid w:val="00B162AC"/>
    <w:rsid w:val="00B167E6"/>
    <w:rsid w:val="00B2051A"/>
    <w:rsid w:val="00B206E9"/>
    <w:rsid w:val="00B2348F"/>
    <w:rsid w:val="00B239DD"/>
    <w:rsid w:val="00B3480B"/>
    <w:rsid w:val="00B34E5E"/>
    <w:rsid w:val="00B42F17"/>
    <w:rsid w:val="00B435C7"/>
    <w:rsid w:val="00B469C1"/>
    <w:rsid w:val="00B5157E"/>
    <w:rsid w:val="00B53FA0"/>
    <w:rsid w:val="00B55735"/>
    <w:rsid w:val="00B6031D"/>
    <w:rsid w:val="00B608AC"/>
    <w:rsid w:val="00B64B9E"/>
    <w:rsid w:val="00B65E35"/>
    <w:rsid w:val="00B71882"/>
    <w:rsid w:val="00B83160"/>
    <w:rsid w:val="00B91400"/>
    <w:rsid w:val="00B92905"/>
    <w:rsid w:val="00B9393A"/>
    <w:rsid w:val="00BA5D96"/>
    <w:rsid w:val="00BA6B1A"/>
    <w:rsid w:val="00BC1E57"/>
    <w:rsid w:val="00BC7BBC"/>
    <w:rsid w:val="00BD5889"/>
    <w:rsid w:val="00BE137D"/>
    <w:rsid w:val="00BE2AF7"/>
    <w:rsid w:val="00BE704B"/>
    <w:rsid w:val="00BF2A3A"/>
    <w:rsid w:val="00BF6D3C"/>
    <w:rsid w:val="00BF77BC"/>
    <w:rsid w:val="00C034F7"/>
    <w:rsid w:val="00C065B3"/>
    <w:rsid w:val="00C109CF"/>
    <w:rsid w:val="00C1151A"/>
    <w:rsid w:val="00C1322A"/>
    <w:rsid w:val="00C21227"/>
    <w:rsid w:val="00C22695"/>
    <w:rsid w:val="00C27AD9"/>
    <w:rsid w:val="00C32380"/>
    <w:rsid w:val="00C33783"/>
    <w:rsid w:val="00C36783"/>
    <w:rsid w:val="00C5184E"/>
    <w:rsid w:val="00C53E55"/>
    <w:rsid w:val="00C548F4"/>
    <w:rsid w:val="00C553B7"/>
    <w:rsid w:val="00C60CF4"/>
    <w:rsid w:val="00C64807"/>
    <w:rsid w:val="00C81574"/>
    <w:rsid w:val="00C84443"/>
    <w:rsid w:val="00C86029"/>
    <w:rsid w:val="00C86C47"/>
    <w:rsid w:val="00C90B13"/>
    <w:rsid w:val="00C91390"/>
    <w:rsid w:val="00C941BB"/>
    <w:rsid w:val="00CA18B3"/>
    <w:rsid w:val="00CA3902"/>
    <w:rsid w:val="00CA4920"/>
    <w:rsid w:val="00CA6138"/>
    <w:rsid w:val="00CA6445"/>
    <w:rsid w:val="00CB1601"/>
    <w:rsid w:val="00CC097B"/>
    <w:rsid w:val="00CD2AA4"/>
    <w:rsid w:val="00CD573F"/>
    <w:rsid w:val="00CD6C20"/>
    <w:rsid w:val="00CE02ED"/>
    <w:rsid w:val="00CE1C3E"/>
    <w:rsid w:val="00CE6E64"/>
    <w:rsid w:val="00CF14D6"/>
    <w:rsid w:val="00CF6783"/>
    <w:rsid w:val="00D021F1"/>
    <w:rsid w:val="00D05411"/>
    <w:rsid w:val="00D10D12"/>
    <w:rsid w:val="00D1275A"/>
    <w:rsid w:val="00D13EA1"/>
    <w:rsid w:val="00D147AB"/>
    <w:rsid w:val="00D1789F"/>
    <w:rsid w:val="00D23407"/>
    <w:rsid w:val="00D31D30"/>
    <w:rsid w:val="00D3379A"/>
    <w:rsid w:val="00D33CD2"/>
    <w:rsid w:val="00D37810"/>
    <w:rsid w:val="00D3783A"/>
    <w:rsid w:val="00D42969"/>
    <w:rsid w:val="00D475CC"/>
    <w:rsid w:val="00D5589D"/>
    <w:rsid w:val="00D56646"/>
    <w:rsid w:val="00D6766E"/>
    <w:rsid w:val="00D77F1F"/>
    <w:rsid w:val="00D825A1"/>
    <w:rsid w:val="00D84201"/>
    <w:rsid w:val="00D853F4"/>
    <w:rsid w:val="00D913EF"/>
    <w:rsid w:val="00D952DF"/>
    <w:rsid w:val="00D95FC7"/>
    <w:rsid w:val="00D97019"/>
    <w:rsid w:val="00DA12DF"/>
    <w:rsid w:val="00DB0FE6"/>
    <w:rsid w:val="00DB2F5B"/>
    <w:rsid w:val="00DB6FE2"/>
    <w:rsid w:val="00DC4E23"/>
    <w:rsid w:val="00DC57CC"/>
    <w:rsid w:val="00DC74EE"/>
    <w:rsid w:val="00DD0C14"/>
    <w:rsid w:val="00DD1B73"/>
    <w:rsid w:val="00DD1C09"/>
    <w:rsid w:val="00DD4B59"/>
    <w:rsid w:val="00DD7CED"/>
    <w:rsid w:val="00DE7A32"/>
    <w:rsid w:val="00DF3A80"/>
    <w:rsid w:val="00E01B5A"/>
    <w:rsid w:val="00E0392A"/>
    <w:rsid w:val="00E05493"/>
    <w:rsid w:val="00E134EB"/>
    <w:rsid w:val="00E17B57"/>
    <w:rsid w:val="00E22468"/>
    <w:rsid w:val="00E2461E"/>
    <w:rsid w:val="00E26C76"/>
    <w:rsid w:val="00E3011B"/>
    <w:rsid w:val="00E30382"/>
    <w:rsid w:val="00E35481"/>
    <w:rsid w:val="00E37FF6"/>
    <w:rsid w:val="00E52BF5"/>
    <w:rsid w:val="00E57B07"/>
    <w:rsid w:val="00E712EA"/>
    <w:rsid w:val="00E7157E"/>
    <w:rsid w:val="00E71767"/>
    <w:rsid w:val="00E80D2C"/>
    <w:rsid w:val="00E9033A"/>
    <w:rsid w:val="00E909B8"/>
    <w:rsid w:val="00E91ECE"/>
    <w:rsid w:val="00EA3C07"/>
    <w:rsid w:val="00EC0634"/>
    <w:rsid w:val="00EC309D"/>
    <w:rsid w:val="00EC656B"/>
    <w:rsid w:val="00ED450C"/>
    <w:rsid w:val="00EF5CEF"/>
    <w:rsid w:val="00EF7C4B"/>
    <w:rsid w:val="00F00226"/>
    <w:rsid w:val="00F012A6"/>
    <w:rsid w:val="00F03C2A"/>
    <w:rsid w:val="00F072DC"/>
    <w:rsid w:val="00F10503"/>
    <w:rsid w:val="00F11902"/>
    <w:rsid w:val="00F15565"/>
    <w:rsid w:val="00F227E8"/>
    <w:rsid w:val="00F43D70"/>
    <w:rsid w:val="00F46F15"/>
    <w:rsid w:val="00F527AE"/>
    <w:rsid w:val="00F5302E"/>
    <w:rsid w:val="00F548DB"/>
    <w:rsid w:val="00F56C86"/>
    <w:rsid w:val="00F97371"/>
    <w:rsid w:val="00FA6572"/>
    <w:rsid w:val="00FB1E90"/>
    <w:rsid w:val="00FB3522"/>
    <w:rsid w:val="00FB5178"/>
    <w:rsid w:val="00FC53D0"/>
    <w:rsid w:val="00FD25CD"/>
    <w:rsid w:val="00FD2F04"/>
    <w:rsid w:val="00FE0398"/>
    <w:rsid w:val="00FF29D5"/>
    <w:rsid w:val="00FF40BC"/>
    <w:rsid w:val="01105F80"/>
    <w:rsid w:val="0142137E"/>
    <w:rsid w:val="01551C3C"/>
    <w:rsid w:val="01F07A60"/>
    <w:rsid w:val="020E3CFE"/>
    <w:rsid w:val="022BA6C0"/>
    <w:rsid w:val="028D8190"/>
    <w:rsid w:val="03047CA0"/>
    <w:rsid w:val="031BF5FC"/>
    <w:rsid w:val="0324EF73"/>
    <w:rsid w:val="04125B6B"/>
    <w:rsid w:val="04597C78"/>
    <w:rsid w:val="0545DDC0"/>
    <w:rsid w:val="054CC7B7"/>
    <w:rsid w:val="05AEB6B6"/>
    <w:rsid w:val="05CC9664"/>
    <w:rsid w:val="06212884"/>
    <w:rsid w:val="066D0FBD"/>
    <w:rsid w:val="06C7D52C"/>
    <w:rsid w:val="06EBF07F"/>
    <w:rsid w:val="07FD58CB"/>
    <w:rsid w:val="0801BCF7"/>
    <w:rsid w:val="084C10CB"/>
    <w:rsid w:val="084D354B"/>
    <w:rsid w:val="086E9883"/>
    <w:rsid w:val="087D7E82"/>
    <w:rsid w:val="08C3758E"/>
    <w:rsid w:val="08C64106"/>
    <w:rsid w:val="08F7B540"/>
    <w:rsid w:val="095A6DF0"/>
    <w:rsid w:val="09CF5372"/>
    <w:rsid w:val="0A42B32C"/>
    <w:rsid w:val="0A84107E"/>
    <w:rsid w:val="0AE90796"/>
    <w:rsid w:val="0B9BF6E7"/>
    <w:rsid w:val="0BCED57A"/>
    <w:rsid w:val="0C017207"/>
    <w:rsid w:val="0C3789E1"/>
    <w:rsid w:val="0CB63CE1"/>
    <w:rsid w:val="0CC24818"/>
    <w:rsid w:val="0D006DDC"/>
    <w:rsid w:val="0D3B6DFB"/>
    <w:rsid w:val="0D57408C"/>
    <w:rsid w:val="0D83D731"/>
    <w:rsid w:val="0DB9C89B"/>
    <w:rsid w:val="0E499561"/>
    <w:rsid w:val="0EAF6E0E"/>
    <w:rsid w:val="0ED51561"/>
    <w:rsid w:val="0EDB6330"/>
    <w:rsid w:val="0F38C863"/>
    <w:rsid w:val="0F7C444B"/>
    <w:rsid w:val="10416738"/>
    <w:rsid w:val="10B1CC51"/>
    <w:rsid w:val="111814AC"/>
    <w:rsid w:val="1125B9A1"/>
    <w:rsid w:val="114EBF40"/>
    <w:rsid w:val="1179B6B4"/>
    <w:rsid w:val="1182CC86"/>
    <w:rsid w:val="1243ECE9"/>
    <w:rsid w:val="12841FEA"/>
    <w:rsid w:val="12B3E50D"/>
    <w:rsid w:val="13996432"/>
    <w:rsid w:val="139C41DB"/>
    <w:rsid w:val="13B14B2A"/>
    <w:rsid w:val="13C1AE50"/>
    <w:rsid w:val="14382FC6"/>
    <w:rsid w:val="150B2232"/>
    <w:rsid w:val="1521A416"/>
    <w:rsid w:val="153C6378"/>
    <w:rsid w:val="15CD2137"/>
    <w:rsid w:val="168D4DA7"/>
    <w:rsid w:val="16C4B647"/>
    <w:rsid w:val="16CB3C41"/>
    <w:rsid w:val="16CE5269"/>
    <w:rsid w:val="16E4488C"/>
    <w:rsid w:val="1705D753"/>
    <w:rsid w:val="170ECF57"/>
    <w:rsid w:val="17C78A9E"/>
    <w:rsid w:val="17CBA9CF"/>
    <w:rsid w:val="17F3AF8A"/>
    <w:rsid w:val="18192E6D"/>
    <w:rsid w:val="1868921D"/>
    <w:rsid w:val="186A22CA"/>
    <w:rsid w:val="18CDB758"/>
    <w:rsid w:val="18EE4026"/>
    <w:rsid w:val="19514DC8"/>
    <w:rsid w:val="197FCE09"/>
    <w:rsid w:val="19A8C2DB"/>
    <w:rsid w:val="19CBFAEC"/>
    <w:rsid w:val="19DB6323"/>
    <w:rsid w:val="19E77465"/>
    <w:rsid w:val="1A48F331"/>
    <w:rsid w:val="1A4CBEED"/>
    <w:rsid w:val="1A8CA9E0"/>
    <w:rsid w:val="1AE0EDD8"/>
    <w:rsid w:val="1B144FA1"/>
    <w:rsid w:val="1B293F1A"/>
    <w:rsid w:val="1B55C989"/>
    <w:rsid w:val="1B744730"/>
    <w:rsid w:val="1BA475C3"/>
    <w:rsid w:val="1BF4DA5E"/>
    <w:rsid w:val="1CAD6A6B"/>
    <w:rsid w:val="1D2278F8"/>
    <w:rsid w:val="1D7B5A19"/>
    <w:rsid w:val="1D91B311"/>
    <w:rsid w:val="1DFD3E74"/>
    <w:rsid w:val="1E227B60"/>
    <w:rsid w:val="1E32C806"/>
    <w:rsid w:val="1ECF2881"/>
    <w:rsid w:val="1F063D49"/>
    <w:rsid w:val="1F303CA9"/>
    <w:rsid w:val="1F982D1C"/>
    <w:rsid w:val="1FB7E42C"/>
    <w:rsid w:val="1FB8AF84"/>
    <w:rsid w:val="1FCE9867"/>
    <w:rsid w:val="2033683B"/>
    <w:rsid w:val="20536CDC"/>
    <w:rsid w:val="209636EF"/>
    <w:rsid w:val="20DD1ED5"/>
    <w:rsid w:val="20E5863C"/>
    <w:rsid w:val="21765A6A"/>
    <w:rsid w:val="2190D7B9"/>
    <w:rsid w:val="2243D27F"/>
    <w:rsid w:val="224C7699"/>
    <w:rsid w:val="225E2BBB"/>
    <w:rsid w:val="2278F4D3"/>
    <w:rsid w:val="23053751"/>
    <w:rsid w:val="241BF5D4"/>
    <w:rsid w:val="242BE0B9"/>
    <w:rsid w:val="245C2FCE"/>
    <w:rsid w:val="248A4F74"/>
    <w:rsid w:val="24ADFB2C"/>
    <w:rsid w:val="2535BEE5"/>
    <w:rsid w:val="25CC4C0D"/>
    <w:rsid w:val="269087E9"/>
    <w:rsid w:val="2690A890"/>
    <w:rsid w:val="269C7083"/>
    <w:rsid w:val="26D7D2D3"/>
    <w:rsid w:val="26EC5016"/>
    <w:rsid w:val="2711DE8B"/>
    <w:rsid w:val="27665515"/>
    <w:rsid w:val="2784AA44"/>
    <w:rsid w:val="278EB8FC"/>
    <w:rsid w:val="27D9AA4C"/>
    <w:rsid w:val="283840E4"/>
    <w:rsid w:val="286CBCEA"/>
    <w:rsid w:val="2873A334"/>
    <w:rsid w:val="28B45B7F"/>
    <w:rsid w:val="28DFD7F6"/>
    <w:rsid w:val="28E4DE02"/>
    <w:rsid w:val="28E79B93"/>
    <w:rsid w:val="28EA0A1B"/>
    <w:rsid w:val="29740987"/>
    <w:rsid w:val="29996E04"/>
    <w:rsid w:val="2A030D99"/>
    <w:rsid w:val="2A1DA826"/>
    <w:rsid w:val="2A80AE63"/>
    <w:rsid w:val="2A93F105"/>
    <w:rsid w:val="2AAE2E19"/>
    <w:rsid w:val="2BB5099B"/>
    <w:rsid w:val="2C15537C"/>
    <w:rsid w:val="2C95A04A"/>
    <w:rsid w:val="2CA5CBCC"/>
    <w:rsid w:val="2CFE74ED"/>
    <w:rsid w:val="2D2B99F1"/>
    <w:rsid w:val="2D5B26E5"/>
    <w:rsid w:val="2DE8FB62"/>
    <w:rsid w:val="2E19C167"/>
    <w:rsid w:val="2E2728BA"/>
    <w:rsid w:val="2E3C4943"/>
    <w:rsid w:val="2E61DB64"/>
    <w:rsid w:val="2E811CF1"/>
    <w:rsid w:val="2E978D6B"/>
    <w:rsid w:val="2F274805"/>
    <w:rsid w:val="2F7B6D0B"/>
    <w:rsid w:val="2F88F097"/>
    <w:rsid w:val="2FDBE5DD"/>
    <w:rsid w:val="30041333"/>
    <w:rsid w:val="3028854B"/>
    <w:rsid w:val="303CDC63"/>
    <w:rsid w:val="31C93375"/>
    <w:rsid w:val="32744F85"/>
    <w:rsid w:val="32A9B3C6"/>
    <w:rsid w:val="32D2AEFD"/>
    <w:rsid w:val="32F0B72F"/>
    <w:rsid w:val="3305C2BA"/>
    <w:rsid w:val="33478F56"/>
    <w:rsid w:val="334869F1"/>
    <w:rsid w:val="3416B9EF"/>
    <w:rsid w:val="34406381"/>
    <w:rsid w:val="3477D581"/>
    <w:rsid w:val="348897E8"/>
    <w:rsid w:val="34D0B1CA"/>
    <w:rsid w:val="34EB2F09"/>
    <w:rsid w:val="34FA5567"/>
    <w:rsid w:val="3543BD58"/>
    <w:rsid w:val="3558CBCD"/>
    <w:rsid w:val="36335047"/>
    <w:rsid w:val="36854D10"/>
    <w:rsid w:val="36E13B74"/>
    <w:rsid w:val="3744540D"/>
    <w:rsid w:val="37689687"/>
    <w:rsid w:val="37C429A1"/>
    <w:rsid w:val="37EAB7C6"/>
    <w:rsid w:val="383E5C94"/>
    <w:rsid w:val="38CCD074"/>
    <w:rsid w:val="390DF4CD"/>
    <w:rsid w:val="393231DE"/>
    <w:rsid w:val="399BCD8D"/>
    <w:rsid w:val="39B7C95D"/>
    <w:rsid w:val="39C85E05"/>
    <w:rsid w:val="39F22295"/>
    <w:rsid w:val="39FEE321"/>
    <w:rsid w:val="3A4C2770"/>
    <w:rsid w:val="3A981DAA"/>
    <w:rsid w:val="3AC8D32C"/>
    <w:rsid w:val="3AE5E4BC"/>
    <w:rsid w:val="3B75C494"/>
    <w:rsid w:val="3BE32929"/>
    <w:rsid w:val="3C047136"/>
    <w:rsid w:val="3C0DFB10"/>
    <w:rsid w:val="3C653D1A"/>
    <w:rsid w:val="3CB07F99"/>
    <w:rsid w:val="3D202B2A"/>
    <w:rsid w:val="3D37C2D2"/>
    <w:rsid w:val="3DA04197"/>
    <w:rsid w:val="3DB596F1"/>
    <w:rsid w:val="3DDD0833"/>
    <w:rsid w:val="3DDD1032"/>
    <w:rsid w:val="3E22BC80"/>
    <w:rsid w:val="3E4C4FFA"/>
    <w:rsid w:val="3F2B41A9"/>
    <w:rsid w:val="3F459BD2"/>
    <w:rsid w:val="3F706A38"/>
    <w:rsid w:val="3F981D7F"/>
    <w:rsid w:val="3FB56258"/>
    <w:rsid w:val="400D4722"/>
    <w:rsid w:val="4070CFCB"/>
    <w:rsid w:val="408B8418"/>
    <w:rsid w:val="40EF76AD"/>
    <w:rsid w:val="410F4CB4"/>
    <w:rsid w:val="4126D40F"/>
    <w:rsid w:val="415B8368"/>
    <w:rsid w:val="4232EB85"/>
    <w:rsid w:val="42D7D784"/>
    <w:rsid w:val="42E1B3CB"/>
    <w:rsid w:val="4316928D"/>
    <w:rsid w:val="431FC11D"/>
    <w:rsid w:val="43283E9C"/>
    <w:rsid w:val="43FEB2CC"/>
    <w:rsid w:val="44190CF5"/>
    <w:rsid w:val="443A85FE"/>
    <w:rsid w:val="447929E3"/>
    <w:rsid w:val="4492F8F9"/>
    <w:rsid w:val="45278E00"/>
    <w:rsid w:val="459A832D"/>
    <w:rsid w:val="45B0D93A"/>
    <w:rsid w:val="45B65AB0"/>
    <w:rsid w:val="45DCF156"/>
    <w:rsid w:val="45E2BDD7"/>
    <w:rsid w:val="465761DF"/>
    <w:rsid w:val="467F0A5B"/>
    <w:rsid w:val="4686C510"/>
    <w:rsid w:val="469CEDE5"/>
    <w:rsid w:val="46AF8FA5"/>
    <w:rsid w:val="477E8E38"/>
    <w:rsid w:val="47F345E3"/>
    <w:rsid w:val="481F4731"/>
    <w:rsid w:val="484907DD"/>
    <w:rsid w:val="48703F3C"/>
    <w:rsid w:val="4918BD97"/>
    <w:rsid w:val="491A5E99"/>
    <w:rsid w:val="491F2FF2"/>
    <w:rsid w:val="499F6CE3"/>
    <w:rsid w:val="4A10A9F2"/>
    <w:rsid w:val="4A7E0B46"/>
    <w:rsid w:val="4AB48DF8"/>
    <w:rsid w:val="4ACDB655"/>
    <w:rsid w:val="4B05F57C"/>
    <w:rsid w:val="4B7D387D"/>
    <w:rsid w:val="4B881C7B"/>
    <w:rsid w:val="4BA7DFFE"/>
    <w:rsid w:val="4BB9ACB1"/>
    <w:rsid w:val="4BC72C75"/>
    <w:rsid w:val="4BFB820E"/>
    <w:rsid w:val="4C046C37"/>
    <w:rsid w:val="4C323280"/>
    <w:rsid w:val="4C4CB53D"/>
    <w:rsid w:val="4C51FF5B"/>
    <w:rsid w:val="4CE9995C"/>
    <w:rsid w:val="4CEC5BEF"/>
    <w:rsid w:val="4D81D2F3"/>
    <w:rsid w:val="4DC8E302"/>
    <w:rsid w:val="4DD10BBA"/>
    <w:rsid w:val="4DFBEDC7"/>
    <w:rsid w:val="4E9B724A"/>
    <w:rsid w:val="4EB3B22E"/>
    <w:rsid w:val="4EEA2FD2"/>
    <w:rsid w:val="4F6FCA3F"/>
    <w:rsid w:val="4FA2FAC3"/>
    <w:rsid w:val="4FB06A81"/>
    <w:rsid w:val="50013EF2"/>
    <w:rsid w:val="50367DFE"/>
    <w:rsid w:val="5048C3F9"/>
    <w:rsid w:val="5077E1FF"/>
    <w:rsid w:val="50860033"/>
    <w:rsid w:val="50F38BE1"/>
    <w:rsid w:val="51199131"/>
    <w:rsid w:val="514F433B"/>
    <w:rsid w:val="51941069"/>
    <w:rsid w:val="52118FB8"/>
    <w:rsid w:val="523B0D01"/>
    <w:rsid w:val="5250FFE6"/>
    <w:rsid w:val="528108B1"/>
    <w:rsid w:val="52A02BEE"/>
    <w:rsid w:val="52E92F09"/>
    <w:rsid w:val="53071B37"/>
    <w:rsid w:val="530BD6DC"/>
    <w:rsid w:val="5369C55C"/>
    <w:rsid w:val="539A8FF8"/>
    <w:rsid w:val="53A9F4A3"/>
    <w:rsid w:val="54E4E397"/>
    <w:rsid w:val="551D58BF"/>
    <w:rsid w:val="553C7C04"/>
    <w:rsid w:val="553F127A"/>
    <w:rsid w:val="55458863"/>
    <w:rsid w:val="555B8A2A"/>
    <w:rsid w:val="55ADD4A7"/>
    <w:rsid w:val="55B8947D"/>
    <w:rsid w:val="55E56AA8"/>
    <w:rsid w:val="563B1316"/>
    <w:rsid w:val="5675732F"/>
    <w:rsid w:val="567AA164"/>
    <w:rsid w:val="56977E46"/>
    <w:rsid w:val="5856EEB7"/>
    <w:rsid w:val="593D2BB2"/>
    <w:rsid w:val="59CE9F8B"/>
    <w:rsid w:val="5A06128E"/>
    <w:rsid w:val="5A0D4A03"/>
    <w:rsid w:val="5A4D02FE"/>
    <w:rsid w:val="5A9006C3"/>
    <w:rsid w:val="5AC83FCD"/>
    <w:rsid w:val="5ADF836F"/>
    <w:rsid w:val="5B5EB2B0"/>
    <w:rsid w:val="5BD1DA02"/>
    <w:rsid w:val="5BE96F8E"/>
    <w:rsid w:val="5C363E88"/>
    <w:rsid w:val="5C7C3E62"/>
    <w:rsid w:val="5C94D520"/>
    <w:rsid w:val="5DA5797B"/>
    <w:rsid w:val="5DCDB891"/>
    <w:rsid w:val="5DD98D9F"/>
    <w:rsid w:val="5E049819"/>
    <w:rsid w:val="5E5D2BA8"/>
    <w:rsid w:val="5E625464"/>
    <w:rsid w:val="5EEDCFE9"/>
    <w:rsid w:val="5F178D8E"/>
    <w:rsid w:val="5F71EEB8"/>
    <w:rsid w:val="5FB44A47"/>
    <w:rsid w:val="60DA2BC2"/>
    <w:rsid w:val="6112FEFA"/>
    <w:rsid w:val="6142ECF8"/>
    <w:rsid w:val="6157B079"/>
    <w:rsid w:val="61B6F162"/>
    <w:rsid w:val="61E44A41"/>
    <w:rsid w:val="6243BC33"/>
    <w:rsid w:val="64037E07"/>
    <w:rsid w:val="64301596"/>
    <w:rsid w:val="645651F7"/>
    <w:rsid w:val="6460521F"/>
    <w:rsid w:val="64654024"/>
    <w:rsid w:val="64785676"/>
    <w:rsid w:val="64D76BD3"/>
    <w:rsid w:val="64F29A8B"/>
    <w:rsid w:val="6527DCA5"/>
    <w:rsid w:val="6569C560"/>
    <w:rsid w:val="664A2FB6"/>
    <w:rsid w:val="66D077A4"/>
    <w:rsid w:val="670CCA4C"/>
    <w:rsid w:val="672A9E63"/>
    <w:rsid w:val="6767B658"/>
    <w:rsid w:val="6776954F"/>
    <w:rsid w:val="678C2697"/>
    <w:rsid w:val="679AA5CA"/>
    <w:rsid w:val="67F3E724"/>
    <w:rsid w:val="68542B15"/>
    <w:rsid w:val="6855F38D"/>
    <w:rsid w:val="693501ED"/>
    <w:rsid w:val="69A2DEB8"/>
    <w:rsid w:val="69A8C37E"/>
    <w:rsid w:val="69B96848"/>
    <w:rsid w:val="6AAE3D19"/>
    <w:rsid w:val="6B20D92E"/>
    <w:rsid w:val="6B5B6FB9"/>
    <w:rsid w:val="6B8FF0F9"/>
    <w:rsid w:val="6BEFC95F"/>
    <w:rsid w:val="6C56E14F"/>
    <w:rsid w:val="6C614611"/>
    <w:rsid w:val="6CA46C9F"/>
    <w:rsid w:val="6CC90DFE"/>
    <w:rsid w:val="6D41EA01"/>
    <w:rsid w:val="6DB53F83"/>
    <w:rsid w:val="6DEBE6CA"/>
    <w:rsid w:val="6E13B3C8"/>
    <w:rsid w:val="6E983473"/>
    <w:rsid w:val="6EB5968E"/>
    <w:rsid w:val="6F504134"/>
    <w:rsid w:val="6FAF3E63"/>
    <w:rsid w:val="70053DCD"/>
    <w:rsid w:val="70598FA5"/>
    <w:rsid w:val="706A8F4C"/>
    <w:rsid w:val="706F3009"/>
    <w:rsid w:val="71A7791B"/>
    <w:rsid w:val="71C71E98"/>
    <w:rsid w:val="72132A4B"/>
    <w:rsid w:val="7239B49B"/>
    <w:rsid w:val="725904A3"/>
    <w:rsid w:val="73B1E39D"/>
    <w:rsid w:val="73F4D504"/>
    <w:rsid w:val="74A96354"/>
    <w:rsid w:val="74BB5DC8"/>
    <w:rsid w:val="74E4A3A4"/>
    <w:rsid w:val="74F34D3D"/>
    <w:rsid w:val="7527CC6F"/>
    <w:rsid w:val="753E006F"/>
    <w:rsid w:val="754ACB0D"/>
    <w:rsid w:val="75516D16"/>
    <w:rsid w:val="755E79F7"/>
    <w:rsid w:val="758E930C"/>
    <w:rsid w:val="75A114C4"/>
    <w:rsid w:val="75E084F8"/>
    <w:rsid w:val="75F315CA"/>
    <w:rsid w:val="7604CBA6"/>
    <w:rsid w:val="76671750"/>
    <w:rsid w:val="770A1A6D"/>
    <w:rsid w:val="7734E865"/>
    <w:rsid w:val="7739898C"/>
    <w:rsid w:val="7792C4BC"/>
    <w:rsid w:val="779D970F"/>
    <w:rsid w:val="77CDB689"/>
    <w:rsid w:val="77F96255"/>
    <w:rsid w:val="7840B2BE"/>
    <w:rsid w:val="78FE282B"/>
    <w:rsid w:val="78FFA380"/>
    <w:rsid w:val="7912C99A"/>
    <w:rsid w:val="79352D04"/>
    <w:rsid w:val="79376557"/>
    <w:rsid w:val="799D33FB"/>
    <w:rsid w:val="79F094BF"/>
    <w:rsid w:val="7A11CC29"/>
    <w:rsid w:val="7A6D18FC"/>
    <w:rsid w:val="7A6DA2DF"/>
    <w:rsid w:val="7BA7E7DE"/>
    <w:rsid w:val="7BD57A0C"/>
    <w:rsid w:val="7BD98172"/>
    <w:rsid w:val="7C1102F6"/>
    <w:rsid w:val="7C1EDDE8"/>
    <w:rsid w:val="7CAFA4AD"/>
    <w:rsid w:val="7CB301AD"/>
    <w:rsid w:val="7CC41D9D"/>
    <w:rsid w:val="7D276FEF"/>
    <w:rsid w:val="7D6951B7"/>
    <w:rsid w:val="7D6D14E2"/>
    <w:rsid w:val="7D7551D3"/>
    <w:rsid w:val="7D88A259"/>
    <w:rsid w:val="7DE09844"/>
    <w:rsid w:val="7F0A56C4"/>
    <w:rsid w:val="7F0FE1CB"/>
    <w:rsid w:val="7F6B7955"/>
    <w:rsid w:val="7F8EF2F9"/>
    <w:rsid w:val="7F945BDE"/>
    <w:rsid w:val="7FB92B6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5FE1770"/>
  <w15:chartTrackingRefBased/>
  <w15:docId w15:val="{0CBF58BA-555A-422B-827D-E38CCC10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4"/>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3"/>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AE1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5A5"/>
    <w:rPr>
      <w:rFonts w:ascii="Segoe UI" w:hAnsi="Segoe UI" w:cs="Segoe UI"/>
      <w:sz w:val="18"/>
      <w:szCs w:val="18"/>
    </w:rPr>
  </w:style>
  <w:style w:type="character" w:styleId="UnresolvedMention">
    <w:name w:val="Unresolved Mention"/>
    <w:basedOn w:val="DefaultParagraphFont"/>
    <w:uiPriority w:val="99"/>
    <w:semiHidden/>
    <w:unhideWhenUsed/>
    <w:rsid w:val="00CA3902"/>
    <w:rPr>
      <w:color w:val="605E5C"/>
      <w:shd w:val="clear" w:color="auto" w:fill="E1DFDD"/>
    </w:rPr>
  </w:style>
  <w:style w:type="character" w:styleId="CommentReference">
    <w:name w:val="annotation reference"/>
    <w:basedOn w:val="DefaultParagraphFont"/>
    <w:uiPriority w:val="99"/>
    <w:semiHidden/>
    <w:unhideWhenUsed/>
    <w:rsid w:val="004866FB"/>
    <w:rPr>
      <w:sz w:val="16"/>
      <w:szCs w:val="16"/>
    </w:rPr>
  </w:style>
  <w:style w:type="paragraph" w:styleId="CommentText">
    <w:name w:val="annotation text"/>
    <w:basedOn w:val="Normal"/>
    <w:link w:val="CommentTextChar"/>
    <w:uiPriority w:val="99"/>
    <w:unhideWhenUsed/>
    <w:rsid w:val="004866FB"/>
    <w:pPr>
      <w:spacing w:line="240" w:lineRule="auto"/>
    </w:pPr>
    <w:rPr>
      <w:sz w:val="20"/>
      <w:szCs w:val="20"/>
    </w:rPr>
  </w:style>
  <w:style w:type="character" w:customStyle="1" w:styleId="CommentTextChar">
    <w:name w:val="Comment Text Char"/>
    <w:basedOn w:val="DefaultParagraphFont"/>
    <w:link w:val="CommentText"/>
    <w:uiPriority w:val="99"/>
    <w:rsid w:val="004866F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866FB"/>
    <w:rPr>
      <w:b/>
      <w:bCs/>
    </w:rPr>
  </w:style>
  <w:style w:type="character" w:customStyle="1" w:styleId="CommentSubjectChar">
    <w:name w:val="Comment Subject Char"/>
    <w:basedOn w:val="CommentTextChar"/>
    <w:link w:val="CommentSubject"/>
    <w:uiPriority w:val="99"/>
    <w:semiHidden/>
    <w:rsid w:val="004866FB"/>
    <w:rPr>
      <w:rFonts w:ascii="Times New Roman" w:hAnsi="Times New Roman"/>
      <w:b/>
      <w:bCs/>
      <w:sz w:val="20"/>
      <w:szCs w:val="20"/>
    </w:rPr>
  </w:style>
  <w:style w:type="paragraph" w:styleId="FootnoteText">
    <w:name w:val="footnote text"/>
    <w:basedOn w:val="Normal"/>
    <w:link w:val="FootnoteTextChar"/>
    <w:uiPriority w:val="99"/>
    <w:semiHidden/>
    <w:unhideWhenUsed/>
    <w:rsid w:val="005C06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0678"/>
    <w:rPr>
      <w:rFonts w:ascii="Times New Roman" w:hAnsi="Times New Roman"/>
      <w:sz w:val="20"/>
      <w:szCs w:val="20"/>
    </w:rPr>
  </w:style>
  <w:style w:type="character" w:styleId="FootnoteReference">
    <w:name w:val="footnote reference"/>
    <w:basedOn w:val="DefaultParagraphFont"/>
    <w:uiPriority w:val="99"/>
    <w:semiHidden/>
    <w:unhideWhenUsed/>
    <w:rsid w:val="005C0678"/>
    <w:rPr>
      <w:vertAlign w:val="superscript"/>
    </w:rPr>
  </w:style>
  <w:style w:type="character" w:customStyle="1" w:styleId="normaltextrun">
    <w:name w:val="normaltextrun"/>
    <w:basedOn w:val="DefaultParagraphFont"/>
    <w:rsid w:val="00A35128"/>
  </w:style>
  <w:style w:type="paragraph" w:styleId="Revision">
    <w:name w:val="Revision"/>
    <w:hidden/>
    <w:uiPriority w:val="99"/>
    <w:semiHidden/>
    <w:rsid w:val="003D1E6C"/>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hr9@cdc.gov"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C00BD4A593F44EB531237570415FB3" ma:contentTypeVersion="15" ma:contentTypeDescription="Create a new document." ma:contentTypeScope="" ma:versionID="70f54fd055e2795ab654a78c8d9dd8fa">
  <xsd:schema xmlns:xsd="http://www.w3.org/2001/XMLSchema" xmlns:xs="http://www.w3.org/2001/XMLSchema" xmlns:p="http://schemas.microsoft.com/office/2006/metadata/properties" xmlns:ns2="04e1f478-cea2-49d9-a6c4-af16628f7484" xmlns:ns3="feb1b60a-34f4-4501-b3a8-d7a0dbd77ce0" targetNamespace="http://schemas.microsoft.com/office/2006/metadata/properties" ma:root="true" ma:fieldsID="7dd654d7bd8a9c8b27b7c5e7fc69ca19" ns2:_="" ns3:_="">
    <xsd:import namespace="04e1f478-cea2-49d9-a6c4-af16628f7484"/>
    <xsd:import namespace="feb1b60a-34f4-4501-b3a8-d7a0dbd77c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1f478-cea2-49d9-a6c4-af16628f7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1b60a-34f4-4501-b3a8-d7a0dbd77c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528ba40-d8df-4256-8e26-c458e95c2190}" ma:internalName="TaxCatchAll" ma:showField="CatchAllData" ma:web="feb1b60a-34f4-4501-b3a8-d7a0dbd77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e1f478-cea2-49d9-a6c4-af16628f7484">
      <Terms xmlns="http://schemas.microsoft.com/office/infopath/2007/PartnerControls"/>
    </lcf76f155ced4ddcb4097134ff3c332f>
    <TaxCatchAll xmlns="feb1b60a-34f4-4501-b3a8-d7a0dbd77ce0" xsi:nil="true"/>
    <SharedWithUsers xmlns="feb1b60a-34f4-4501-b3a8-d7a0dbd77ce0">
      <UserInfo>
        <DisplayName>Freeland, Amy L. (CDC/NCEZID/DFWED/WDPB)</DisplayName>
        <AccountId>234</AccountId>
        <AccountType/>
      </UserInfo>
      <UserInfo>
        <DisplayName>Hubbard, Brian C. (CDC/NCEH/DEHSP)</DisplayName>
        <AccountId>392</AccountId>
        <AccountType/>
      </UserInfo>
      <UserInfo>
        <DisplayName>Laco, Joseph (CDC/NCEH/DEHSP)</DisplayName>
        <AccountId>393</AccountId>
        <AccountType/>
      </UserInfo>
      <UserInfo>
        <DisplayName>Kunz, Jasen M. (CDC/NCEZID/DFWED/WDPB)</DisplayName>
        <AccountId>163</AccountId>
        <AccountType/>
      </UserInfo>
      <UserInfo>
        <DisplayName>Hill, Vincent (CDC/NCEZID/DFWED/WDPB)</DisplayName>
        <AccountId>100</AccountId>
        <AccountType/>
      </UserInfo>
      <UserInfo>
        <DisplayName>Rutt, Candace (CDC/NCEZID/DFWED/WDPB)</DisplayName>
        <AccountId>145</AccountId>
        <AccountType/>
      </UserInfo>
      <UserInfo>
        <DisplayName>Aluko-Estrella, Samaria (CDC/NCEZID/DFWED/WDPB)</DisplayName>
        <AccountId>93</AccountId>
        <AccountType/>
      </UserInfo>
      <UserInfo>
        <DisplayName>Collette, Bailey (CDC/NCIPC/DIP)</DisplayName>
        <AccountId>319</AccountId>
        <AccountType/>
      </UserInfo>
      <UserInfo>
        <DisplayName>Clemens, Tessa (CDC/NCIPC/DIP)</DisplayName>
        <AccountId>358</AccountId>
        <AccountType/>
      </UserInfo>
      <UserInfo>
        <DisplayName>Salandy, Simone W. (CDC/NCEH/DEHSP)</DisplayName>
        <AccountId>394</AccountId>
        <AccountType/>
      </UserInfo>
    </SharedWithUsers>
  </documentManagement>
</p:properties>
</file>

<file path=customXml/itemProps1.xml><?xml version="1.0" encoding="utf-8"?>
<ds:datastoreItem xmlns:ds="http://schemas.openxmlformats.org/officeDocument/2006/customXml" ds:itemID="{324E0D4B-D2AA-4AF9-B43F-DFF6FA86FAC6}">
  <ds:schemaRefs>
    <ds:schemaRef ds:uri="http://schemas.openxmlformats.org/officeDocument/2006/bibliography"/>
  </ds:schemaRefs>
</ds:datastoreItem>
</file>

<file path=customXml/itemProps2.xml><?xml version="1.0" encoding="utf-8"?>
<ds:datastoreItem xmlns:ds="http://schemas.openxmlformats.org/officeDocument/2006/customXml" ds:itemID="{0F3E5565-F27D-464A-A949-58EEF24A4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1f478-cea2-49d9-a6c4-af16628f7484"/>
    <ds:schemaRef ds:uri="feb1b60a-34f4-4501-b3a8-d7a0dbd77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4.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04e1f478-cea2-49d9-a6c4-af16628f7484"/>
    <ds:schemaRef ds:uri="feb1b60a-34f4-4501-b3a8-d7a0dbd77ce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3715</Words>
  <Characters>22626</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Kache, Pallavi A. (CDC/NCEZID/DFWED/WDPB)</cp:lastModifiedBy>
  <cp:revision>3</cp:revision>
  <dcterms:created xsi:type="dcterms:W3CDTF">2024-07-23T21:09:00Z</dcterms:created>
  <dcterms:modified xsi:type="dcterms:W3CDTF">2024-07-23T21:09:00Z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0x0101001EC00BD4A593F44EB531237570415FB3</vt:lpwstr>
  </property>
  <property fmtid="{D5CDD505-2E9C-101B-9397-08002B2CF9AE}" pid="3" name="GrammarlyDocumentId">
    <vt:lpwstr>25e322eb86163178ce9e97ec1f68f8e7d18b2ba5c2abb87262ec720cbc66abfa</vt:lpwstr>
  </property>
  <property fmtid="{D5CDD505-2E9C-101B-9397-08002B2CF9AE}" pid="4" name="MediaServiceImageTags">
    <vt:lpwstr/>
  </property>
  <property fmtid="{D5CDD505-2E9C-101B-9397-08002B2CF9AE}" pid="5" name="MSIP_Label_7b94a7b8-f06c-4dfe-bdcc-9b548fd58c31_ActionId">
    <vt:lpwstr>d8f0e01a-2d97-4b9d-817b-c3443a1d06e1</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2020-12-01T19:50:49Z</vt:lpwstr>
  </property>
  <property fmtid="{D5CDD505-2E9C-101B-9397-08002B2CF9AE}" pid="11" name="MSIP_Label_7b94a7b8-f06c-4dfe-bdcc-9b548fd58c31_SiteId">
    <vt:lpwstr>9ce70869-60db-44fd-abe8-d2767077fc8f</vt:lpwstr>
  </property>
  <property fmtid="{D5CDD505-2E9C-101B-9397-08002B2CF9AE}" pid="12" name="_dlc_DocIdItemGuid">
    <vt:lpwstr>56ba26d7-ed93-4a08-9b28-f3085665eb2b</vt:lpwstr>
  </property>
</Properties>
</file>