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16BC" w:rsidRPr="006A2D7F" w:rsidP="006A2D7F" w14:paraId="1AF5E897" w14:textId="77777777">
      <w:pPr>
        <w:rPr>
          <w:b/>
          <w:szCs w:val="24"/>
        </w:rPr>
      </w:pPr>
      <w:r>
        <w:rPr>
          <w:b/>
          <w:szCs w:val="24"/>
        </w:rPr>
        <w:t>Section 80.868, Card of Instructions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116BC">
        <w:rPr>
          <w:b/>
          <w:szCs w:val="24"/>
        </w:rPr>
        <w:t>3060-0265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6046E7">
        <w:rPr>
          <w:b/>
          <w:szCs w:val="24"/>
        </w:rPr>
        <w:t xml:space="preserve"> </w:t>
      </w:r>
      <w:r w:rsidR="00CF2246">
        <w:rPr>
          <w:b/>
          <w:szCs w:val="24"/>
        </w:rPr>
        <w:t xml:space="preserve"> </w:t>
      </w:r>
      <w:r w:rsidR="00F337E1">
        <w:rPr>
          <w:b/>
          <w:szCs w:val="24"/>
        </w:rPr>
        <w:t>September</w:t>
      </w:r>
      <w:r w:rsidR="00CF2246">
        <w:rPr>
          <w:b/>
          <w:szCs w:val="24"/>
        </w:rPr>
        <w:t xml:space="preserve"> 2024</w:t>
      </w:r>
    </w:p>
    <w:p w:rsidR="00A30AFC" w:rsidRPr="006831B5" w:rsidP="00F116BC" w14:paraId="66E8ACBD" w14:textId="77777777">
      <w:pPr>
        <w:jc w:val="center"/>
        <w:rPr>
          <w:szCs w:val="24"/>
        </w:rPr>
      </w:pPr>
    </w:p>
    <w:p w:rsidR="00F116BC" w:rsidRPr="006831B5" w:rsidP="00F116BC" w14:paraId="0737BE3B" w14:textId="77777777">
      <w:pPr>
        <w:jc w:val="center"/>
        <w:rPr>
          <w:szCs w:val="24"/>
        </w:rPr>
      </w:pPr>
      <w:r w:rsidRPr="006831B5">
        <w:rPr>
          <w:szCs w:val="24"/>
        </w:rPr>
        <w:t>SUPPORTING STATEMENT</w:t>
      </w:r>
    </w:p>
    <w:p w:rsidR="00F116BC" w:rsidRPr="00F116BC" w:rsidP="00F116BC" w14:paraId="0089A2AC" w14:textId="77777777">
      <w:pPr>
        <w:jc w:val="center"/>
        <w:rPr>
          <w:b/>
          <w:szCs w:val="24"/>
        </w:rPr>
      </w:pPr>
    </w:p>
    <w:p w:rsidR="00F116BC" w:rsidRPr="00F116BC" w:rsidP="00F116BC" w14:paraId="3B324DAB" w14:textId="77777777">
      <w:pPr>
        <w:numPr>
          <w:ilvl w:val="0"/>
          <w:numId w:val="1"/>
        </w:numPr>
        <w:tabs>
          <w:tab w:val="num" w:pos="0"/>
          <w:tab w:val="clear" w:pos="720"/>
        </w:tabs>
        <w:ind w:left="360"/>
        <w:rPr>
          <w:szCs w:val="24"/>
        </w:rPr>
      </w:pPr>
      <w:r w:rsidRPr="00F116BC">
        <w:rPr>
          <w:b/>
          <w:szCs w:val="24"/>
          <w:u w:val="single"/>
        </w:rPr>
        <w:t>Justification</w:t>
      </w:r>
      <w:r w:rsidRPr="00F116BC">
        <w:rPr>
          <w:b/>
          <w:szCs w:val="24"/>
        </w:rPr>
        <w:t>:</w:t>
      </w:r>
    </w:p>
    <w:p w:rsidR="00F116BC" w:rsidRPr="00F116BC" w:rsidP="00F116BC" w14:paraId="13DA60E8" w14:textId="77777777">
      <w:pPr>
        <w:rPr>
          <w:szCs w:val="24"/>
        </w:rPr>
      </w:pPr>
    </w:p>
    <w:p w:rsidR="00F116BC" w:rsidRPr="004D5775" w:rsidP="004D5775" w14:paraId="3BC463AC" w14:textId="77777777">
      <w:pPr>
        <w:numPr>
          <w:ilvl w:val="0"/>
          <w:numId w:val="2"/>
        </w:numPr>
        <w:rPr>
          <w:szCs w:val="24"/>
        </w:rPr>
      </w:pPr>
      <w:bookmarkStart w:id="0" w:name="_Hlk170892082"/>
      <w:r w:rsidRPr="002E7A0D">
        <w:rPr>
          <w:szCs w:val="24"/>
        </w:rPr>
        <w:t xml:space="preserve">The </w:t>
      </w:r>
      <w:r w:rsidR="00AC1DC3">
        <w:rPr>
          <w:szCs w:val="24"/>
        </w:rPr>
        <w:t>third</w:t>
      </w:r>
      <w:r w:rsidR="002A45F7">
        <w:rPr>
          <w:szCs w:val="24"/>
        </w:rPr>
        <w:t>-</w:t>
      </w:r>
      <w:r w:rsidR="00AC1DC3">
        <w:rPr>
          <w:szCs w:val="24"/>
        </w:rPr>
        <w:t>party disclosure</w:t>
      </w:r>
      <w:r w:rsidRPr="002E7A0D" w:rsidR="002E7A0D">
        <w:rPr>
          <w:szCs w:val="24"/>
        </w:rPr>
        <w:t xml:space="preserve"> requirement in </w:t>
      </w:r>
      <w:bookmarkStart w:id="1" w:name="_Hlk170894947"/>
      <w:r w:rsidRPr="002E7A0D" w:rsidR="002E7A0D">
        <w:rPr>
          <w:szCs w:val="24"/>
        </w:rPr>
        <w:t xml:space="preserve">47 CFR 80.868 </w:t>
      </w:r>
      <w:bookmarkEnd w:id="1"/>
      <w:r w:rsidRPr="002E7A0D" w:rsidR="002E7A0D">
        <w:rPr>
          <w:szCs w:val="24"/>
        </w:rPr>
        <w:t xml:space="preserve">is necessary to ensure that </w:t>
      </w:r>
      <w:r w:rsidRPr="002E7A0D">
        <w:rPr>
          <w:szCs w:val="24"/>
        </w:rPr>
        <w:t>radiotelephone distress procedure</w:t>
      </w:r>
      <w:r w:rsidR="002E7A0D">
        <w:rPr>
          <w:szCs w:val="24"/>
        </w:rPr>
        <w:t>s</w:t>
      </w:r>
      <w:r w:rsidR="004D5775">
        <w:rPr>
          <w:szCs w:val="24"/>
        </w:rPr>
        <w:t>—Card of Instructions—</w:t>
      </w:r>
      <w:r w:rsidRPr="004D5775">
        <w:rPr>
          <w:szCs w:val="24"/>
        </w:rPr>
        <w:t>must be securely mounted and displayed in full view of the principal operating position</w:t>
      </w:r>
      <w:r w:rsidRPr="004D5775" w:rsidR="002E7A0D">
        <w:rPr>
          <w:szCs w:val="24"/>
        </w:rPr>
        <w:t xml:space="preserve"> on board certain vessels.</w:t>
      </w:r>
      <w:r w:rsidRPr="004D5775" w:rsidR="00066A62">
        <w:rPr>
          <w:szCs w:val="24"/>
        </w:rPr>
        <w:t xml:space="preserve">  </w:t>
      </w:r>
      <w:bookmarkStart w:id="2" w:name="_Hlk170892135"/>
      <w:r w:rsidRPr="004D5775" w:rsidR="00066A62">
        <w:rPr>
          <w:szCs w:val="24"/>
        </w:rPr>
        <w:t xml:space="preserve">Section 80.868 applies to ships that are not required to comply with Subpart W </w:t>
      </w:r>
      <w:r w:rsidRPr="004D5775" w:rsidR="008A29D2">
        <w:rPr>
          <w:szCs w:val="24"/>
        </w:rPr>
        <w:t>(Global Maritime Distress and Safety System (GMDSS)</w:t>
      </w:r>
      <w:r w:rsidRPr="004D5775" w:rsidR="00AE2067">
        <w:rPr>
          <w:szCs w:val="24"/>
        </w:rPr>
        <w:t>)</w:t>
      </w:r>
      <w:r w:rsidRPr="004D5775" w:rsidR="008A29D2">
        <w:rPr>
          <w:szCs w:val="24"/>
        </w:rPr>
        <w:t xml:space="preserve"> </w:t>
      </w:r>
      <w:r w:rsidRPr="004D5775" w:rsidR="00066A62">
        <w:rPr>
          <w:szCs w:val="24"/>
        </w:rPr>
        <w:t xml:space="preserve">of part 80 </w:t>
      </w:r>
      <w:r w:rsidR="00F024C8">
        <w:rPr>
          <w:szCs w:val="24"/>
        </w:rPr>
        <w:t>after receiving</w:t>
      </w:r>
      <w:r w:rsidRPr="004D5775" w:rsidR="00066A62">
        <w:rPr>
          <w:szCs w:val="24"/>
        </w:rPr>
        <w:t xml:space="preserve"> an exemption from Subpart W provisions.  </w:t>
      </w:r>
      <w:r w:rsidR="00567562">
        <w:rPr>
          <w:i/>
          <w:iCs/>
          <w:szCs w:val="24"/>
        </w:rPr>
        <w:t xml:space="preserve">See </w:t>
      </w:r>
      <w:r w:rsidRPr="004D5775" w:rsidR="00066A62">
        <w:rPr>
          <w:szCs w:val="24"/>
        </w:rPr>
        <w:t>47 CFR 80.851</w:t>
      </w:r>
      <w:bookmarkEnd w:id="2"/>
      <w:r w:rsidRPr="004D5775" w:rsidR="00066A62">
        <w:rPr>
          <w:szCs w:val="24"/>
        </w:rPr>
        <w:t>.</w:t>
      </w:r>
    </w:p>
    <w:p w:rsidR="002E7A0D" w:rsidP="002E7A0D" w14:paraId="78308A95" w14:textId="77777777">
      <w:pPr>
        <w:rPr>
          <w:szCs w:val="24"/>
        </w:rPr>
      </w:pPr>
    </w:p>
    <w:bookmarkEnd w:id="0"/>
    <w:p w:rsidR="00AC1DC3" w:rsidP="00F024C8" w14:paraId="794172CE" w14:textId="77777777">
      <w:pPr>
        <w:rPr>
          <w:szCs w:val="24"/>
        </w:rPr>
      </w:pPr>
      <w:r>
        <w:rPr>
          <w:szCs w:val="24"/>
        </w:rPr>
        <w:tab/>
        <w:t xml:space="preserve">The Commission is now requesting approval for an extension </w:t>
      </w:r>
      <w:r>
        <w:rPr>
          <w:szCs w:val="24"/>
        </w:rPr>
        <w:t xml:space="preserve">of this information </w:t>
      </w:r>
      <w:r>
        <w:rPr>
          <w:szCs w:val="24"/>
        </w:rPr>
        <w:tab/>
        <w:t>collection from the Office of Management and Budget for a three</w:t>
      </w:r>
      <w:r w:rsidR="002A45F7">
        <w:rPr>
          <w:szCs w:val="24"/>
        </w:rPr>
        <w:t>-</w:t>
      </w:r>
      <w:r>
        <w:rPr>
          <w:szCs w:val="24"/>
        </w:rPr>
        <w:t xml:space="preserve">year period.   </w:t>
      </w:r>
    </w:p>
    <w:p w:rsidR="00AC1DC3" w:rsidP="00AF2B2C" w14:paraId="5EDE52A1" w14:textId="77777777">
      <w:pPr>
        <w:ind w:left="720"/>
        <w:rPr>
          <w:szCs w:val="24"/>
        </w:rPr>
      </w:pPr>
    </w:p>
    <w:p w:rsidR="00AF2B2C" w:rsidP="00AF2B2C" w14:paraId="1214C5D4" w14:textId="77777777">
      <w:pPr>
        <w:ind w:left="720"/>
        <w:rPr>
          <w:szCs w:val="24"/>
        </w:rPr>
      </w:pPr>
      <w:r>
        <w:rPr>
          <w:szCs w:val="24"/>
        </w:rPr>
        <w:t xml:space="preserve">Statutory authority for this collection of information is contained in 47 U.S.C. </w:t>
      </w:r>
      <w:r w:rsidR="009B7613">
        <w:rPr>
          <w:szCs w:val="24"/>
        </w:rPr>
        <w:t xml:space="preserve">154, </w:t>
      </w:r>
      <w:r w:rsidR="002E7A0D">
        <w:rPr>
          <w:szCs w:val="24"/>
        </w:rPr>
        <w:t>303, 307(e), 309</w:t>
      </w:r>
      <w:r w:rsidR="00862220">
        <w:rPr>
          <w:szCs w:val="24"/>
        </w:rPr>
        <w:t>,</w:t>
      </w:r>
      <w:r w:rsidR="002E7A0D">
        <w:rPr>
          <w:szCs w:val="24"/>
        </w:rPr>
        <w:t xml:space="preserve"> and 332</w:t>
      </w:r>
      <w:r w:rsidR="00B62D43">
        <w:rPr>
          <w:szCs w:val="24"/>
        </w:rPr>
        <w:t xml:space="preserve"> of the Communications Act of 1934, as amended</w:t>
      </w:r>
      <w:r w:rsidR="002E7A0D">
        <w:rPr>
          <w:szCs w:val="24"/>
        </w:rPr>
        <w:t>, unless otherwise noted</w:t>
      </w:r>
      <w:r>
        <w:rPr>
          <w:szCs w:val="24"/>
        </w:rPr>
        <w:t>.</w:t>
      </w:r>
    </w:p>
    <w:p w:rsidR="00A30AFC" w:rsidP="00AF2B2C" w14:paraId="41F6199A" w14:textId="77777777">
      <w:pPr>
        <w:ind w:left="720"/>
        <w:rPr>
          <w:szCs w:val="24"/>
        </w:rPr>
      </w:pPr>
    </w:p>
    <w:p w:rsidR="00A30AFC" w:rsidRPr="00A30AFC" w:rsidP="00AF2B2C" w14:paraId="1940FCA5" w14:textId="77777777">
      <w:pPr>
        <w:ind w:left="720"/>
        <w:rPr>
          <w:szCs w:val="24"/>
        </w:rPr>
      </w:pPr>
      <w:r>
        <w:rPr>
          <w:szCs w:val="24"/>
        </w:rPr>
        <w:t>T</w:t>
      </w:r>
      <w:r w:rsidRPr="00A30AFC">
        <w:rPr>
          <w:szCs w:val="24"/>
        </w:rPr>
        <w:t>his collection of information does not affect individuals or households; thus, there are no impacts under the Privacy Act.</w:t>
      </w:r>
    </w:p>
    <w:p w:rsidR="00AF2B2C" w:rsidP="00AF2B2C" w14:paraId="6D28F54B" w14:textId="77777777">
      <w:pPr>
        <w:ind w:left="360"/>
        <w:rPr>
          <w:szCs w:val="24"/>
        </w:rPr>
      </w:pPr>
    </w:p>
    <w:p w:rsidR="00AF2B2C" w:rsidP="00AF2B2C" w14:paraId="575736A8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</w:t>
      </w:r>
      <w:r w:rsidR="00CD2147">
        <w:rPr>
          <w:szCs w:val="24"/>
        </w:rPr>
        <w:t>Card of Instructions</w:t>
      </w:r>
      <w:r>
        <w:rPr>
          <w:szCs w:val="24"/>
        </w:rPr>
        <w:t xml:space="preserve"> is</w:t>
      </w:r>
      <w:r w:rsidR="00CD2147">
        <w:rPr>
          <w:szCs w:val="24"/>
        </w:rPr>
        <w:t xml:space="preserve"> information</w:t>
      </w:r>
      <w:r>
        <w:rPr>
          <w:szCs w:val="24"/>
        </w:rPr>
        <w:t xml:space="preserve"> used by a vessel radio operator during an emergency and is designed to assist the radio operator to utilize proper distress procedures when subject to considerable stress or confusion.</w:t>
      </w:r>
    </w:p>
    <w:p w:rsidR="00003171" w:rsidP="00003171" w14:paraId="47D8A0F9" w14:textId="77777777">
      <w:pPr>
        <w:ind w:left="360"/>
        <w:rPr>
          <w:szCs w:val="24"/>
        </w:rPr>
      </w:pPr>
    </w:p>
    <w:p w:rsidR="00AF2B2C" w:rsidP="00AF2B2C" w14:paraId="5CA45768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</w:t>
      </w:r>
      <w:r w:rsidR="00197F75">
        <w:rPr>
          <w:szCs w:val="24"/>
        </w:rPr>
        <w:t xml:space="preserve"> Commission</w:t>
      </w:r>
      <w:r w:rsidR="00E85CE2">
        <w:rPr>
          <w:szCs w:val="24"/>
        </w:rPr>
        <w:t xml:space="preserve"> considered using information technology to reduce burden. </w:t>
      </w:r>
      <w:r w:rsidRPr="00197F75" w:rsidR="00197F75">
        <w:rPr>
          <w:szCs w:val="24"/>
        </w:rPr>
        <w:t xml:space="preserve"> </w:t>
      </w:r>
      <w:r w:rsidR="00E85CE2">
        <w:rPr>
          <w:szCs w:val="24"/>
        </w:rPr>
        <w:t xml:space="preserve">However, the FCC determined that </w:t>
      </w:r>
      <w:r w:rsidR="006C7F95">
        <w:rPr>
          <w:szCs w:val="24"/>
        </w:rPr>
        <w:t xml:space="preserve">instead of an electronic version, </w:t>
      </w:r>
      <w:r w:rsidR="00E85CE2">
        <w:rPr>
          <w:szCs w:val="24"/>
        </w:rPr>
        <w:t xml:space="preserve">the </w:t>
      </w:r>
      <w:r w:rsidR="006C7F95">
        <w:rPr>
          <w:szCs w:val="24"/>
        </w:rPr>
        <w:t>paper</w:t>
      </w:r>
      <w:r w:rsidR="00E85CE2">
        <w:rPr>
          <w:szCs w:val="24"/>
        </w:rPr>
        <w:t xml:space="preserve"> version of the</w:t>
      </w:r>
      <w:r w:rsidR="00197F75">
        <w:rPr>
          <w:szCs w:val="24"/>
        </w:rPr>
        <w:t xml:space="preserve"> Card of Instructions was an essential, effective</w:t>
      </w:r>
      <w:r w:rsidR="00E85CE2">
        <w:rPr>
          <w:szCs w:val="24"/>
        </w:rPr>
        <w:t>,</w:t>
      </w:r>
      <w:r w:rsidR="00197F75">
        <w:rPr>
          <w:szCs w:val="24"/>
        </w:rPr>
        <w:t xml:space="preserve"> and efficient method to assist radio operators </w:t>
      </w:r>
      <w:r w:rsidR="008D5C5B">
        <w:rPr>
          <w:szCs w:val="24"/>
        </w:rPr>
        <w:t xml:space="preserve">when </w:t>
      </w:r>
      <w:r w:rsidR="00E85CE2">
        <w:rPr>
          <w:szCs w:val="24"/>
        </w:rPr>
        <w:t>making</w:t>
      </w:r>
      <w:r w:rsidR="00197F75">
        <w:rPr>
          <w:szCs w:val="24"/>
        </w:rPr>
        <w:t xml:space="preserve"> distress calls</w:t>
      </w:r>
      <w:r w:rsidR="0066096D">
        <w:rPr>
          <w:szCs w:val="24"/>
        </w:rPr>
        <w:t>.</w:t>
      </w:r>
      <w:r w:rsidR="00197F75">
        <w:rPr>
          <w:szCs w:val="24"/>
        </w:rPr>
        <w:t xml:space="preserve"> </w:t>
      </w:r>
    </w:p>
    <w:p w:rsidR="00003171" w:rsidP="00003171" w14:paraId="27BA20A7" w14:textId="77777777">
      <w:pPr>
        <w:rPr>
          <w:szCs w:val="24"/>
        </w:rPr>
      </w:pPr>
    </w:p>
    <w:p w:rsidR="00003171" w:rsidP="00AF2B2C" w14:paraId="2A83616A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There are no similar </w:t>
      </w:r>
      <w:r>
        <w:rPr>
          <w:szCs w:val="24"/>
        </w:rPr>
        <w:t xml:space="preserve">information collection </w:t>
      </w:r>
      <w:r>
        <w:rPr>
          <w:szCs w:val="24"/>
        </w:rPr>
        <w:t xml:space="preserve">requirements imposed </w:t>
      </w:r>
      <w:r>
        <w:rPr>
          <w:szCs w:val="24"/>
        </w:rPr>
        <w:t>on the respondents.  There is no similar data available.</w:t>
      </w:r>
    </w:p>
    <w:p w:rsidR="00003171" w:rsidP="00003171" w14:paraId="0D3CE292" w14:textId="77777777">
      <w:pPr>
        <w:rPr>
          <w:szCs w:val="24"/>
        </w:rPr>
      </w:pPr>
    </w:p>
    <w:p w:rsidR="00003171" w:rsidP="00AF2B2C" w14:paraId="73CCC451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In conformance with the Paperwork Reduction Act of 1995, the Commission is making an effort to minimize the burden on all respondents, regardless of size.  The</w:t>
      </w:r>
      <w:r w:rsidR="00AC1DC3">
        <w:rPr>
          <w:szCs w:val="24"/>
        </w:rPr>
        <w:t>refore, the</w:t>
      </w:r>
      <w:r>
        <w:rPr>
          <w:szCs w:val="24"/>
        </w:rPr>
        <w:t xml:space="preserve"> Commission has limited the information requirements to those absolutely necessary.</w:t>
      </w:r>
    </w:p>
    <w:p w:rsidR="00003171" w:rsidP="00003171" w14:paraId="119449FF" w14:textId="77777777">
      <w:pPr>
        <w:rPr>
          <w:szCs w:val="24"/>
        </w:rPr>
      </w:pPr>
    </w:p>
    <w:p w:rsidR="0087486D" w:rsidP="0087486D" w14:paraId="00E764C7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If the </w:t>
      </w:r>
      <w:r w:rsidR="000F17D1">
        <w:rPr>
          <w:szCs w:val="24"/>
        </w:rPr>
        <w:t>C</w:t>
      </w:r>
      <w:r>
        <w:rPr>
          <w:szCs w:val="24"/>
        </w:rPr>
        <w:t xml:space="preserve">ard of </w:t>
      </w:r>
      <w:r w:rsidR="000F17D1">
        <w:rPr>
          <w:szCs w:val="24"/>
        </w:rPr>
        <w:t>I</w:t>
      </w:r>
      <w:r>
        <w:rPr>
          <w:szCs w:val="24"/>
        </w:rPr>
        <w:t>nstructions w</w:t>
      </w:r>
      <w:r w:rsidR="00A0392C">
        <w:rPr>
          <w:szCs w:val="24"/>
        </w:rPr>
        <w:t>ere</w:t>
      </w:r>
      <w:r>
        <w:rPr>
          <w:szCs w:val="24"/>
        </w:rPr>
        <w:t xml:space="preserve"> not posted, an aid to vessel radio operators during emergency situations would not be available.  Safety</w:t>
      </w:r>
      <w:r w:rsidR="00D64047">
        <w:rPr>
          <w:szCs w:val="24"/>
        </w:rPr>
        <w:t>-</w:t>
      </w:r>
      <w:r>
        <w:rPr>
          <w:szCs w:val="24"/>
        </w:rPr>
        <w:t xml:space="preserve">related </w:t>
      </w:r>
      <w:r w:rsidR="00EB1872">
        <w:rPr>
          <w:szCs w:val="24"/>
        </w:rPr>
        <w:t>c</w:t>
      </w:r>
      <w:r>
        <w:rPr>
          <w:szCs w:val="24"/>
        </w:rPr>
        <w:t>ommunications could take longer and/or be less useful to search and rescue organizations.</w:t>
      </w:r>
    </w:p>
    <w:p w:rsidR="000F17D1" w:rsidP="00862220" w14:paraId="4811CF0E" w14:textId="77777777">
      <w:pPr>
        <w:rPr>
          <w:szCs w:val="24"/>
        </w:rPr>
      </w:pPr>
    </w:p>
    <w:p w:rsidR="00003171" w:rsidP="001D1F69" w14:paraId="6E411EBB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There are no special circumstances associated with t</w:t>
      </w:r>
      <w:r w:rsidRPr="0087486D" w:rsidR="0087486D">
        <w:rPr>
          <w:szCs w:val="24"/>
        </w:rPr>
        <w:t>his collection of information</w:t>
      </w:r>
      <w:r>
        <w:rPr>
          <w:szCs w:val="24"/>
        </w:rPr>
        <w:t>.</w:t>
      </w:r>
    </w:p>
    <w:p w:rsidR="0087486D" w:rsidRPr="0087486D" w:rsidP="0087486D" w14:paraId="5344DEA6" w14:textId="77777777">
      <w:pPr>
        <w:ind w:left="720"/>
        <w:rPr>
          <w:szCs w:val="24"/>
        </w:rPr>
      </w:pPr>
    </w:p>
    <w:p w:rsidR="00003171" w:rsidRPr="00F713EC" w:rsidP="00003171" w14:paraId="141E63BE" w14:textId="5BCBDB1E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Pursuant to 5 CFR</w:t>
      </w:r>
      <w:r w:rsidR="00161FA9">
        <w:rPr>
          <w:szCs w:val="24"/>
        </w:rPr>
        <w:t xml:space="preserve"> </w:t>
      </w:r>
      <w:r>
        <w:rPr>
          <w:szCs w:val="24"/>
        </w:rPr>
        <w:t>1320.8(d), t</w:t>
      </w:r>
      <w:r w:rsidR="00710322">
        <w:rPr>
          <w:szCs w:val="24"/>
        </w:rPr>
        <w:t xml:space="preserve">he Commission </w:t>
      </w:r>
      <w:r w:rsidR="00A0392C">
        <w:rPr>
          <w:szCs w:val="24"/>
        </w:rPr>
        <w:t xml:space="preserve">solicited public comment for 60 days by </w:t>
      </w:r>
      <w:r w:rsidR="00E858B7">
        <w:rPr>
          <w:szCs w:val="24"/>
        </w:rPr>
        <w:t>publish</w:t>
      </w:r>
      <w:r w:rsidR="00A0392C">
        <w:rPr>
          <w:szCs w:val="24"/>
        </w:rPr>
        <w:t>ing</w:t>
      </w:r>
      <w:r w:rsidR="00710322">
        <w:rPr>
          <w:szCs w:val="24"/>
        </w:rPr>
        <w:t xml:space="preserve"> a </w:t>
      </w:r>
      <w:r w:rsidR="00E858B7">
        <w:rPr>
          <w:szCs w:val="24"/>
        </w:rPr>
        <w:t>notice</w:t>
      </w:r>
      <w:r w:rsidR="007D4825">
        <w:rPr>
          <w:szCs w:val="24"/>
        </w:rPr>
        <w:t>,</w:t>
      </w:r>
      <w:r w:rsidR="00E858B7">
        <w:rPr>
          <w:szCs w:val="24"/>
        </w:rPr>
        <w:t xml:space="preserve"> </w:t>
      </w:r>
      <w:r w:rsidR="00710322">
        <w:rPr>
          <w:szCs w:val="24"/>
        </w:rPr>
        <w:t xml:space="preserve">which appeared in the Federal Register on </w:t>
      </w:r>
      <w:r w:rsidR="003C0C61">
        <w:rPr>
          <w:szCs w:val="24"/>
        </w:rPr>
        <w:t>July 26, 2024</w:t>
      </w:r>
      <w:r w:rsidRPr="0041683E">
        <w:rPr>
          <w:szCs w:val="24"/>
        </w:rPr>
        <w:t xml:space="preserve"> (</w:t>
      </w:r>
      <w:r w:rsidR="003C0C61">
        <w:rPr>
          <w:szCs w:val="24"/>
        </w:rPr>
        <w:t>89</w:t>
      </w:r>
      <w:r w:rsidRPr="0041683E">
        <w:rPr>
          <w:szCs w:val="24"/>
        </w:rPr>
        <w:t xml:space="preserve"> FR </w:t>
      </w:r>
      <w:r w:rsidR="003C0C61">
        <w:rPr>
          <w:szCs w:val="24"/>
        </w:rPr>
        <w:t>60631</w:t>
      </w:r>
      <w:r w:rsidRPr="0041683E">
        <w:rPr>
          <w:szCs w:val="24"/>
        </w:rPr>
        <w:t>)</w:t>
      </w:r>
      <w:r w:rsidRPr="0041683E" w:rsidR="00710322">
        <w:rPr>
          <w:szCs w:val="24"/>
        </w:rPr>
        <w:t xml:space="preserve">.  </w:t>
      </w:r>
      <w:r w:rsidRPr="00F713EC" w:rsidR="00E858B7">
        <w:rPr>
          <w:szCs w:val="24"/>
        </w:rPr>
        <w:t xml:space="preserve">No </w:t>
      </w:r>
      <w:r w:rsidRPr="00F713EC">
        <w:rPr>
          <w:szCs w:val="24"/>
        </w:rPr>
        <w:t xml:space="preserve">PRA </w:t>
      </w:r>
      <w:r w:rsidRPr="00F713EC" w:rsidR="00E858B7">
        <w:rPr>
          <w:szCs w:val="24"/>
        </w:rPr>
        <w:t>comments were received</w:t>
      </w:r>
      <w:r w:rsidRPr="00F713EC" w:rsidR="00710322">
        <w:rPr>
          <w:szCs w:val="24"/>
        </w:rPr>
        <w:t>.</w:t>
      </w:r>
    </w:p>
    <w:p w:rsidR="00710322" w:rsidP="00710322" w14:paraId="6CE536E7" w14:textId="77777777">
      <w:pPr>
        <w:rPr>
          <w:szCs w:val="24"/>
        </w:rPr>
      </w:pPr>
    </w:p>
    <w:p w:rsidR="00710322" w:rsidP="00003171" w14:paraId="307835AD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Respondents will not receive any payments</w:t>
      </w:r>
      <w:r w:rsidR="00505E1E">
        <w:rPr>
          <w:szCs w:val="24"/>
        </w:rPr>
        <w:t xml:space="preserve"> associated with this collection of information</w:t>
      </w:r>
      <w:r>
        <w:rPr>
          <w:szCs w:val="24"/>
        </w:rPr>
        <w:t>.</w:t>
      </w:r>
    </w:p>
    <w:p w:rsidR="00710322" w:rsidP="00710322" w14:paraId="0EB00E22" w14:textId="77777777">
      <w:pPr>
        <w:rPr>
          <w:szCs w:val="24"/>
        </w:rPr>
      </w:pPr>
    </w:p>
    <w:p w:rsidR="00710322" w:rsidP="00003171" w14:paraId="131AF17E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There is no need for confidentiality</w:t>
      </w:r>
      <w:r w:rsidR="00505E1E">
        <w:rPr>
          <w:szCs w:val="24"/>
        </w:rPr>
        <w:t xml:space="preserve"> with this collection</w:t>
      </w:r>
      <w:r>
        <w:rPr>
          <w:szCs w:val="24"/>
        </w:rPr>
        <w:t>.</w:t>
      </w:r>
    </w:p>
    <w:p w:rsidR="00710322" w:rsidP="00710322" w14:paraId="0BAF18A9" w14:textId="77777777">
      <w:pPr>
        <w:rPr>
          <w:szCs w:val="24"/>
        </w:rPr>
      </w:pPr>
    </w:p>
    <w:p w:rsidR="00710322" w:rsidP="00003171" w14:paraId="5751D379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This </w:t>
      </w:r>
      <w:r w:rsidR="00505E1E">
        <w:rPr>
          <w:szCs w:val="24"/>
        </w:rPr>
        <w:t xml:space="preserve">collection </w:t>
      </w:r>
      <w:r>
        <w:rPr>
          <w:szCs w:val="24"/>
        </w:rPr>
        <w:t>does not address any private matters of a sensitive nature.</w:t>
      </w:r>
    </w:p>
    <w:p w:rsidR="00710322" w:rsidP="00710322" w14:paraId="792ABF1E" w14:textId="77777777">
      <w:pPr>
        <w:rPr>
          <w:szCs w:val="24"/>
        </w:rPr>
      </w:pPr>
    </w:p>
    <w:p w:rsidR="00A903BD" w:rsidRPr="00EC3E28" w:rsidP="00EC3E28" w14:paraId="77F2CCE5" w14:textId="77777777">
      <w:pPr>
        <w:numPr>
          <w:ilvl w:val="0"/>
          <w:numId w:val="2"/>
        </w:numPr>
        <w:rPr>
          <w:szCs w:val="24"/>
        </w:rPr>
      </w:pPr>
      <w:r w:rsidRPr="00A903BD">
        <w:rPr>
          <w:szCs w:val="24"/>
        </w:rPr>
        <w:t>For Subpart R vessels, § 80.868</w:t>
      </w:r>
      <w:r w:rsidRPr="00A903BD">
        <w:rPr>
          <w:szCs w:val="24"/>
        </w:rPr>
        <w:t xml:space="preserve"> not only</w:t>
      </w:r>
      <w:r w:rsidRPr="00A903BD">
        <w:rPr>
          <w:szCs w:val="24"/>
        </w:rPr>
        <w:t xml:space="preserve"> requires</w:t>
      </w:r>
      <w:r w:rsidRPr="00A903BD">
        <w:rPr>
          <w:szCs w:val="24"/>
        </w:rPr>
        <w:t xml:space="preserve"> that</w:t>
      </w:r>
      <w:r w:rsidRPr="00A903BD" w:rsidR="00710322">
        <w:rPr>
          <w:szCs w:val="24"/>
        </w:rPr>
        <w:t xml:space="preserve"> </w:t>
      </w:r>
      <w:r w:rsidRPr="00A903BD" w:rsidR="007D4825">
        <w:rPr>
          <w:szCs w:val="24"/>
        </w:rPr>
        <w:t>the Card of Instructions</w:t>
      </w:r>
      <w:r w:rsidRPr="00A903BD" w:rsidR="00710322">
        <w:rPr>
          <w:szCs w:val="24"/>
        </w:rPr>
        <w:t xml:space="preserve"> </w:t>
      </w:r>
      <w:r w:rsidRPr="00A903BD">
        <w:rPr>
          <w:szCs w:val="24"/>
        </w:rPr>
        <w:t xml:space="preserve">be mounted </w:t>
      </w:r>
      <w:r w:rsidRPr="00A903BD" w:rsidR="00710322">
        <w:rPr>
          <w:szCs w:val="24"/>
        </w:rPr>
        <w:t xml:space="preserve">in </w:t>
      </w:r>
      <w:r w:rsidRPr="00A903BD">
        <w:rPr>
          <w:szCs w:val="24"/>
        </w:rPr>
        <w:t xml:space="preserve">full </w:t>
      </w:r>
      <w:r w:rsidRPr="00A903BD" w:rsidR="00710322">
        <w:rPr>
          <w:szCs w:val="24"/>
        </w:rPr>
        <w:t>view of the radiotelephone operators’ position</w:t>
      </w:r>
      <w:r w:rsidRPr="00A903BD">
        <w:rPr>
          <w:szCs w:val="24"/>
        </w:rPr>
        <w:t>, but also requires that the instructions remain on display thereafter</w:t>
      </w:r>
      <w:r w:rsidRPr="00A903BD" w:rsidR="00710322">
        <w:rPr>
          <w:szCs w:val="24"/>
        </w:rPr>
        <w:t>.</w:t>
      </w:r>
      <w:r w:rsidRPr="00A903BD" w:rsidR="005D545A">
        <w:rPr>
          <w:szCs w:val="24"/>
        </w:rPr>
        <w:t xml:space="preserve">  </w:t>
      </w:r>
      <w:r w:rsidRPr="00A903BD" w:rsidR="005E5503">
        <w:rPr>
          <w:szCs w:val="24"/>
        </w:rPr>
        <w:t>Based on</w:t>
      </w:r>
      <w:r w:rsidRPr="00A903BD" w:rsidR="004A737D">
        <w:rPr>
          <w:szCs w:val="24"/>
        </w:rPr>
        <w:t xml:space="preserve"> the </w:t>
      </w:r>
      <w:r w:rsidRPr="00A903BD" w:rsidR="002A45F7">
        <w:rPr>
          <w:szCs w:val="24"/>
        </w:rPr>
        <w:t xml:space="preserve">FCC’s </w:t>
      </w:r>
      <w:r w:rsidRPr="00A903BD" w:rsidR="004A737D">
        <w:rPr>
          <w:szCs w:val="24"/>
        </w:rPr>
        <w:t>U</w:t>
      </w:r>
      <w:r w:rsidRPr="00A903BD" w:rsidR="00EB1872">
        <w:rPr>
          <w:szCs w:val="24"/>
        </w:rPr>
        <w:t xml:space="preserve">niversal </w:t>
      </w:r>
      <w:r w:rsidRPr="00A903BD" w:rsidR="004A737D">
        <w:rPr>
          <w:szCs w:val="24"/>
        </w:rPr>
        <w:t>L</w:t>
      </w:r>
      <w:r w:rsidRPr="00A903BD" w:rsidR="00EB1872">
        <w:rPr>
          <w:szCs w:val="24"/>
        </w:rPr>
        <w:t xml:space="preserve">icensing </w:t>
      </w:r>
      <w:r w:rsidRPr="00A903BD" w:rsidR="004A737D">
        <w:rPr>
          <w:szCs w:val="24"/>
        </w:rPr>
        <w:t>S</w:t>
      </w:r>
      <w:r w:rsidRPr="00A903BD" w:rsidR="00EB1872">
        <w:rPr>
          <w:szCs w:val="24"/>
        </w:rPr>
        <w:t xml:space="preserve">ystem </w:t>
      </w:r>
      <w:r w:rsidRPr="00A903BD" w:rsidR="004A737D">
        <w:rPr>
          <w:szCs w:val="24"/>
        </w:rPr>
        <w:t xml:space="preserve">database, </w:t>
      </w:r>
      <w:r w:rsidRPr="00A903BD" w:rsidR="005E5741">
        <w:rPr>
          <w:szCs w:val="24"/>
        </w:rPr>
        <w:t>the Commission</w:t>
      </w:r>
      <w:r w:rsidRPr="00A903BD" w:rsidR="004A737D">
        <w:rPr>
          <w:szCs w:val="24"/>
        </w:rPr>
        <w:t xml:space="preserve"> estimate</w:t>
      </w:r>
      <w:r w:rsidRPr="00A903BD" w:rsidR="005E5741">
        <w:rPr>
          <w:szCs w:val="24"/>
        </w:rPr>
        <w:t>s</w:t>
      </w:r>
      <w:r w:rsidRPr="00A903BD" w:rsidR="004A737D">
        <w:rPr>
          <w:szCs w:val="24"/>
        </w:rPr>
        <w:t xml:space="preserve"> </w:t>
      </w:r>
      <w:r w:rsidRPr="00EC3E28" w:rsidR="004A737D">
        <w:rPr>
          <w:szCs w:val="24"/>
        </w:rPr>
        <w:t xml:space="preserve">that </w:t>
      </w:r>
      <w:r w:rsidRPr="00EC3E28" w:rsidR="005D545A">
        <w:rPr>
          <w:szCs w:val="24"/>
        </w:rPr>
        <w:t xml:space="preserve">out of </w:t>
      </w:r>
      <w:r w:rsidRPr="00EC3E28" w:rsidR="00A0392C">
        <w:rPr>
          <w:szCs w:val="24"/>
        </w:rPr>
        <w:t xml:space="preserve">the </w:t>
      </w:r>
      <w:r w:rsidRPr="00EC3E28" w:rsidR="005D545A">
        <w:rPr>
          <w:szCs w:val="24"/>
        </w:rPr>
        <w:t>2,403 compulsory vessels with active licenses,</w:t>
      </w:r>
      <w:r w:rsidRPr="00EC3E28" w:rsidR="00A0392C">
        <w:rPr>
          <w:szCs w:val="24"/>
        </w:rPr>
        <w:t xml:space="preserve"> there are no more than</w:t>
      </w:r>
      <w:r w:rsidRPr="00EC3E28" w:rsidR="005D545A">
        <w:rPr>
          <w:szCs w:val="24"/>
        </w:rPr>
        <w:t xml:space="preserve"> </w:t>
      </w:r>
      <w:r w:rsidRPr="00EC3E28" w:rsidR="004A737D">
        <w:rPr>
          <w:szCs w:val="24"/>
        </w:rPr>
        <w:t>4</w:t>
      </w:r>
      <w:r w:rsidRPr="00EC3E28" w:rsidR="00AE2984">
        <w:rPr>
          <w:szCs w:val="24"/>
        </w:rPr>
        <w:t>9</w:t>
      </w:r>
      <w:r w:rsidRPr="00EC3E28" w:rsidR="004A737D">
        <w:rPr>
          <w:szCs w:val="24"/>
        </w:rPr>
        <w:t xml:space="preserve"> licensees </w:t>
      </w:r>
      <w:r w:rsidRPr="00EC3E28" w:rsidR="00A0392C">
        <w:rPr>
          <w:szCs w:val="24"/>
        </w:rPr>
        <w:t xml:space="preserve">that </w:t>
      </w:r>
      <w:r w:rsidRPr="00EC3E28" w:rsidR="005D545A">
        <w:rPr>
          <w:szCs w:val="24"/>
        </w:rPr>
        <w:t xml:space="preserve">have ship exemptions and </w:t>
      </w:r>
      <w:r w:rsidRPr="00EC3E28" w:rsidR="004A737D">
        <w:rPr>
          <w:szCs w:val="24"/>
        </w:rPr>
        <w:t>will</w:t>
      </w:r>
      <w:r w:rsidRPr="00EC3E28" w:rsidR="005D545A">
        <w:rPr>
          <w:szCs w:val="24"/>
        </w:rPr>
        <w:t xml:space="preserve"> thus</w:t>
      </w:r>
      <w:r w:rsidRPr="00EC3E28" w:rsidR="004A737D">
        <w:rPr>
          <w:szCs w:val="24"/>
        </w:rPr>
        <w:t xml:space="preserve"> be required to </w:t>
      </w:r>
      <w:r w:rsidRPr="00EC3E28" w:rsidR="005D545A">
        <w:rPr>
          <w:szCs w:val="24"/>
        </w:rPr>
        <w:t xml:space="preserve">abide by </w:t>
      </w:r>
      <w:r w:rsidRPr="00EC3E28" w:rsidR="00A50826">
        <w:rPr>
          <w:szCs w:val="24"/>
        </w:rPr>
        <w:t>§</w:t>
      </w:r>
      <w:r w:rsidRPr="00EC3E28" w:rsidR="005D545A">
        <w:rPr>
          <w:szCs w:val="24"/>
        </w:rPr>
        <w:t xml:space="preserve"> 80.868</w:t>
      </w:r>
      <w:r w:rsidRPr="00EC3E28" w:rsidR="004A737D">
        <w:rPr>
          <w:szCs w:val="24"/>
        </w:rPr>
        <w:t xml:space="preserve">.  </w:t>
      </w:r>
    </w:p>
    <w:p w:rsidR="00A903BD" w:rsidRPr="00EC3E28" w:rsidP="006F177B" w14:paraId="38AB55B8" w14:textId="77777777">
      <w:pPr>
        <w:ind w:left="720"/>
        <w:rPr>
          <w:szCs w:val="24"/>
        </w:rPr>
      </w:pPr>
    </w:p>
    <w:p w:rsidR="00710322" w:rsidRPr="004A4B64" w:rsidP="006F177B" w14:paraId="2004364F" w14:textId="77777777">
      <w:pPr>
        <w:ind w:left="720"/>
        <w:rPr>
          <w:szCs w:val="24"/>
        </w:rPr>
      </w:pPr>
      <w:r w:rsidRPr="00EC3E28">
        <w:rPr>
          <w:szCs w:val="24"/>
        </w:rPr>
        <w:t>The Commission further estimates that it</w:t>
      </w:r>
      <w:r w:rsidRPr="00EC3E28" w:rsidR="00505E1E">
        <w:rPr>
          <w:szCs w:val="24"/>
        </w:rPr>
        <w:t xml:space="preserve"> will take respondents </w:t>
      </w:r>
      <w:r w:rsidRPr="00EC3E28" w:rsidR="00C7687C">
        <w:rPr>
          <w:szCs w:val="24"/>
        </w:rPr>
        <w:t xml:space="preserve">no more than </w:t>
      </w:r>
      <w:r w:rsidRPr="00EC3E28" w:rsidR="002414B1">
        <w:rPr>
          <w:szCs w:val="24"/>
        </w:rPr>
        <w:t xml:space="preserve">10 minutes (0.167 hours) to </w:t>
      </w:r>
      <w:r w:rsidRPr="00EC3E28" w:rsidR="00D350C4">
        <w:rPr>
          <w:szCs w:val="24"/>
        </w:rPr>
        <w:t>mount the Card of Instructions; and no additional time to keep it on display.</w:t>
      </w:r>
      <w:r w:rsidRPr="004A4B64" w:rsidR="00D350C4">
        <w:rPr>
          <w:szCs w:val="24"/>
        </w:rPr>
        <w:t xml:space="preserve"> </w:t>
      </w:r>
    </w:p>
    <w:p w:rsidR="00B62D43" w:rsidP="00B62D43" w14:paraId="5CA42C98" w14:textId="77777777">
      <w:pPr>
        <w:pStyle w:val="ListParagraph"/>
        <w:rPr>
          <w:szCs w:val="24"/>
        </w:rPr>
      </w:pPr>
    </w:p>
    <w:p w:rsidR="00710322" w:rsidRPr="006F6FA5" w:rsidP="00710322" w14:paraId="214FB064" w14:textId="77777777">
      <w:pPr>
        <w:ind w:left="720"/>
        <w:rPr>
          <w:szCs w:val="24"/>
        </w:rPr>
      </w:pPr>
      <w:r>
        <w:rPr>
          <w:szCs w:val="24"/>
        </w:rPr>
        <w:t>49</w:t>
      </w:r>
      <w:r w:rsidRPr="006F6FA5">
        <w:rPr>
          <w:szCs w:val="24"/>
        </w:rPr>
        <w:t xml:space="preserve"> </w:t>
      </w:r>
      <w:r w:rsidRPr="006F6FA5" w:rsidR="00505E1E">
        <w:rPr>
          <w:szCs w:val="24"/>
        </w:rPr>
        <w:t>responses</w:t>
      </w:r>
      <w:r w:rsidRPr="006F6FA5">
        <w:rPr>
          <w:szCs w:val="24"/>
        </w:rPr>
        <w:t xml:space="preserve"> x 0.</w:t>
      </w:r>
      <w:r w:rsidRPr="006F6FA5" w:rsidR="002414B1">
        <w:rPr>
          <w:szCs w:val="24"/>
        </w:rPr>
        <w:t>167</w:t>
      </w:r>
      <w:r w:rsidRPr="006F6FA5" w:rsidR="00E858B7">
        <w:rPr>
          <w:szCs w:val="24"/>
        </w:rPr>
        <w:t xml:space="preserve"> </w:t>
      </w:r>
      <w:r w:rsidRPr="006F6FA5" w:rsidR="002414B1">
        <w:rPr>
          <w:szCs w:val="24"/>
        </w:rPr>
        <w:t>hours</w:t>
      </w:r>
      <w:r w:rsidRPr="006F6FA5" w:rsidR="00505E1E">
        <w:rPr>
          <w:szCs w:val="24"/>
        </w:rPr>
        <w:t>/response</w:t>
      </w:r>
      <w:r w:rsidRPr="006F6FA5" w:rsidR="001800A3">
        <w:rPr>
          <w:szCs w:val="24"/>
        </w:rPr>
        <w:t xml:space="preserve"> = </w:t>
      </w:r>
      <w:r>
        <w:rPr>
          <w:b/>
          <w:szCs w:val="24"/>
        </w:rPr>
        <w:t>8</w:t>
      </w:r>
      <w:r w:rsidRPr="006F6FA5" w:rsidR="0083404F">
        <w:rPr>
          <w:szCs w:val="24"/>
        </w:rPr>
        <w:t xml:space="preserve"> </w:t>
      </w:r>
      <w:r w:rsidRPr="006F6FA5" w:rsidR="001800A3">
        <w:rPr>
          <w:b/>
          <w:szCs w:val="24"/>
        </w:rPr>
        <w:t>hours</w:t>
      </w:r>
      <w:r w:rsidRPr="006F6FA5" w:rsidR="002414B1">
        <w:rPr>
          <w:b/>
          <w:szCs w:val="24"/>
        </w:rPr>
        <w:t xml:space="preserve"> (rounded</w:t>
      </w:r>
      <w:r w:rsidR="0083404F">
        <w:rPr>
          <w:b/>
          <w:szCs w:val="24"/>
        </w:rPr>
        <w:t xml:space="preserve"> </w:t>
      </w:r>
      <w:r w:rsidR="007A7E4C">
        <w:rPr>
          <w:b/>
          <w:szCs w:val="24"/>
        </w:rPr>
        <w:t>up</w:t>
      </w:r>
      <w:r w:rsidRPr="006F6FA5" w:rsidR="002414B1">
        <w:rPr>
          <w:b/>
          <w:szCs w:val="24"/>
        </w:rPr>
        <w:t>)</w:t>
      </w:r>
      <w:r w:rsidRPr="006F6FA5" w:rsidR="001800A3">
        <w:rPr>
          <w:szCs w:val="24"/>
        </w:rPr>
        <w:t>.</w:t>
      </w:r>
    </w:p>
    <w:p w:rsidR="00505E1E" w:rsidRPr="006F6FA5" w:rsidP="00710322" w14:paraId="092EB8C2" w14:textId="77777777">
      <w:pPr>
        <w:ind w:left="720"/>
        <w:rPr>
          <w:szCs w:val="24"/>
        </w:rPr>
      </w:pPr>
    </w:p>
    <w:p w:rsidR="00505E1E" w:rsidRPr="006F6FA5" w:rsidP="00710322" w14:paraId="6072A871" w14:textId="77777777">
      <w:pPr>
        <w:ind w:left="720"/>
        <w:rPr>
          <w:b/>
          <w:szCs w:val="24"/>
        </w:rPr>
      </w:pPr>
      <w:r w:rsidRPr="006F6FA5">
        <w:rPr>
          <w:b/>
          <w:szCs w:val="24"/>
        </w:rPr>
        <w:t xml:space="preserve">Total Number of Respondents:  </w:t>
      </w:r>
      <w:r w:rsidR="00A903BD">
        <w:rPr>
          <w:b/>
          <w:szCs w:val="24"/>
        </w:rPr>
        <w:t>49</w:t>
      </w:r>
      <w:r w:rsidRPr="006F6FA5">
        <w:rPr>
          <w:b/>
          <w:szCs w:val="24"/>
        </w:rPr>
        <w:t xml:space="preserve"> licensees</w:t>
      </w:r>
      <w:r w:rsidRPr="00617A3C">
        <w:rPr>
          <w:bCs/>
          <w:szCs w:val="24"/>
        </w:rPr>
        <w:t>.</w:t>
      </w:r>
    </w:p>
    <w:p w:rsidR="00505E1E" w:rsidRPr="006F6FA5" w:rsidP="00710322" w14:paraId="29B4D935" w14:textId="77777777">
      <w:pPr>
        <w:ind w:left="720"/>
        <w:rPr>
          <w:szCs w:val="24"/>
        </w:rPr>
      </w:pPr>
    </w:p>
    <w:p w:rsidR="00505E1E" w:rsidP="00710322" w14:paraId="19FD9E26" w14:textId="77777777">
      <w:pPr>
        <w:ind w:left="720"/>
        <w:rPr>
          <w:bCs/>
          <w:szCs w:val="24"/>
        </w:rPr>
      </w:pPr>
      <w:r w:rsidRPr="006F6FA5">
        <w:rPr>
          <w:b/>
          <w:szCs w:val="24"/>
        </w:rPr>
        <w:t xml:space="preserve">Total Number of Annual Responses:  </w:t>
      </w:r>
      <w:r w:rsidRPr="006F6FA5" w:rsidR="002A45F7">
        <w:rPr>
          <w:b/>
          <w:szCs w:val="24"/>
        </w:rPr>
        <w:t xml:space="preserve"> </w:t>
      </w:r>
      <w:r w:rsidR="00A903BD">
        <w:rPr>
          <w:b/>
          <w:szCs w:val="24"/>
        </w:rPr>
        <w:t xml:space="preserve">49 </w:t>
      </w:r>
      <w:r w:rsidRPr="006F6FA5" w:rsidR="002A45F7">
        <w:rPr>
          <w:b/>
          <w:szCs w:val="24"/>
        </w:rPr>
        <w:t>annual responses</w:t>
      </w:r>
      <w:r w:rsidRPr="00617A3C">
        <w:rPr>
          <w:bCs/>
          <w:szCs w:val="24"/>
        </w:rPr>
        <w:t>.</w:t>
      </w:r>
    </w:p>
    <w:p w:rsidR="00505E1E" w:rsidRPr="006F6FA5" w:rsidP="00710322" w14:paraId="31A8CDC1" w14:textId="77777777">
      <w:pPr>
        <w:ind w:left="720"/>
        <w:rPr>
          <w:szCs w:val="24"/>
        </w:rPr>
      </w:pPr>
    </w:p>
    <w:p w:rsidR="00505E1E" w:rsidRPr="006F6FA5" w:rsidP="00710322" w14:paraId="33EA3690" w14:textId="77777777">
      <w:pPr>
        <w:ind w:left="720"/>
        <w:rPr>
          <w:b/>
          <w:szCs w:val="24"/>
        </w:rPr>
      </w:pPr>
      <w:r w:rsidRPr="006F6FA5">
        <w:rPr>
          <w:b/>
          <w:szCs w:val="24"/>
        </w:rPr>
        <w:t xml:space="preserve">Total Annual Burden Hours:  </w:t>
      </w:r>
      <w:r w:rsidR="00A903BD">
        <w:rPr>
          <w:b/>
          <w:szCs w:val="24"/>
        </w:rPr>
        <w:t>8</w:t>
      </w:r>
      <w:r w:rsidRPr="006F6FA5">
        <w:rPr>
          <w:b/>
          <w:szCs w:val="24"/>
        </w:rPr>
        <w:t xml:space="preserve"> hours</w:t>
      </w:r>
      <w:r w:rsidRPr="00617A3C">
        <w:rPr>
          <w:bCs/>
          <w:szCs w:val="24"/>
        </w:rPr>
        <w:t>.</w:t>
      </w:r>
    </w:p>
    <w:p w:rsidR="00505E1E" w:rsidRPr="006F6FA5" w:rsidP="00710322" w14:paraId="3B3BF6CC" w14:textId="77777777">
      <w:pPr>
        <w:ind w:left="720"/>
        <w:rPr>
          <w:szCs w:val="24"/>
        </w:rPr>
      </w:pPr>
    </w:p>
    <w:p w:rsidR="00505E1E" w:rsidP="00710322" w14:paraId="0677CAB4" w14:textId="77777777">
      <w:pPr>
        <w:ind w:left="720"/>
        <w:rPr>
          <w:szCs w:val="24"/>
        </w:rPr>
      </w:pPr>
      <w:r w:rsidRPr="006F6FA5">
        <w:rPr>
          <w:b/>
          <w:szCs w:val="24"/>
        </w:rPr>
        <w:t xml:space="preserve">In-House Cost: </w:t>
      </w:r>
      <w:r w:rsidRPr="006F6FA5">
        <w:rPr>
          <w:szCs w:val="24"/>
        </w:rPr>
        <w:t xml:space="preserve"> </w:t>
      </w:r>
      <w:r w:rsidRPr="006F6FA5">
        <w:rPr>
          <w:szCs w:val="24"/>
        </w:rPr>
        <w:t>The Commission e</w:t>
      </w:r>
      <w:r w:rsidRPr="006F6FA5" w:rsidR="00A754C1">
        <w:rPr>
          <w:szCs w:val="24"/>
        </w:rPr>
        <w:t xml:space="preserve">stimates that an employee equivalent </w:t>
      </w:r>
      <w:r w:rsidRPr="006F6FA5">
        <w:rPr>
          <w:szCs w:val="24"/>
        </w:rPr>
        <w:t>of a GS-7</w:t>
      </w:r>
      <w:r w:rsidR="00961432">
        <w:rPr>
          <w:szCs w:val="24"/>
        </w:rPr>
        <w:t>,</w:t>
      </w:r>
      <w:r w:rsidRPr="006F6FA5">
        <w:rPr>
          <w:szCs w:val="24"/>
        </w:rPr>
        <w:t xml:space="preserve"> step 5 grade level </w:t>
      </w:r>
      <w:r w:rsidRPr="006F6FA5" w:rsidR="00CD2147">
        <w:rPr>
          <w:szCs w:val="24"/>
        </w:rPr>
        <w:t xml:space="preserve">in Washington D.C. </w:t>
      </w:r>
      <w:r w:rsidRPr="006F6FA5">
        <w:rPr>
          <w:szCs w:val="24"/>
        </w:rPr>
        <w:t xml:space="preserve">will be responsible for this information collection.  Therefore, the in-house cost is as follows:  </w:t>
      </w:r>
      <w:r w:rsidR="00A903BD">
        <w:rPr>
          <w:szCs w:val="24"/>
        </w:rPr>
        <w:t>49</w:t>
      </w:r>
      <w:r w:rsidRPr="006F6FA5" w:rsidR="006F6FA5">
        <w:rPr>
          <w:szCs w:val="24"/>
        </w:rPr>
        <w:t xml:space="preserve"> </w:t>
      </w:r>
      <w:r w:rsidRPr="006F6FA5">
        <w:rPr>
          <w:szCs w:val="24"/>
        </w:rPr>
        <w:t>responses x 0.1</w:t>
      </w:r>
      <w:r w:rsidRPr="006F6FA5" w:rsidR="002414B1">
        <w:rPr>
          <w:szCs w:val="24"/>
        </w:rPr>
        <w:t>67</w:t>
      </w:r>
      <w:r w:rsidR="002414B1">
        <w:rPr>
          <w:szCs w:val="24"/>
        </w:rPr>
        <w:t xml:space="preserve"> hours</w:t>
      </w:r>
      <w:r w:rsidR="00404BF7">
        <w:rPr>
          <w:szCs w:val="24"/>
        </w:rPr>
        <w:t>/response x $</w:t>
      </w:r>
      <w:r w:rsidR="00DA5517">
        <w:rPr>
          <w:szCs w:val="24"/>
        </w:rPr>
        <w:t>3</w:t>
      </w:r>
      <w:r w:rsidR="004343C3">
        <w:rPr>
          <w:szCs w:val="24"/>
        </w:rPr>
        <w:t>0.37</w:t>
      </w:r>
      <w:r w:rsidR="00E7739C">
        <w:rPr>
          <w:szCs w:val="24"/>
        </w:rPr>
        <w:t xml:space="preserve"> (GS-7, step 5)</w:t>
      </w:r>
      <w:r w:rsidR="00F82060">
        <w:rPr>
          <w:szCs w:val="24"/>
        </w:rPr>
        <w:t xml:space="preserve"> </w:t>
      </w:r>
      <w:r>
        <w:rPr>
          <w:szCs w:val="24"/>
        </w:rPr>
        <w:t xml:space="preserve">= </w:t>
      </w:r>
      <w:r w:rsidR="00404BF7">
        <w:rPr>
          <w:b/>
          <w:szCs w:val="24"/>
        </w:rPr>
        <w:t>$</w:t>
      </w:r>
      <w:r w:rsidR="008D5C5B">
        <w:rPr>
          <w:b/>
          <w:szCs w:val="24"/>
        </w:rPr>
        <w:t>249</w:t>
      </w:r>
      <w:r w:rsidR="00CD2147">
        <w:rPr>
          <w:b/>
          <w:szCs w:val="24"/>
        </w:rPr>
        <w:t xml:space="preserve"> </w:t>
      </w:r>
      <w:r w:rsidR="00B908E3">
        <w:rPr>
          <w:b/>
          <w:szCs w:val="24"/>
        </w:rPr>
        <w:t>(</w:t>
      </w:r>
      <w:r w:rsidR="00CD2147">
        <w:rPr>
          <w:b/>
          <w:szCs w:val="24"/>
        </w:rPr>
        <w:t xml:space="preserve">rounded </w:t>
      </w:r>
      <w:r w:rsidR="009C5D8C">
        <w:rPr>
          <w:b/>
          <w:szCs w:val="24"/>
        </w:rPr>
        <w:t>up</w:t>
      </w:r>
      <w:r w:rsidR="00B908E3">
        <w:rPr>
          <w:b/>
          <w:szCs w:val="24"/>
        </w:rPr>
        <w:t>)</w:t>
      </w:r>
      <w:r w:rsidR="002414B1">
        <w:rPr>
          <w:szCs w:val="24"/>
        </w:rPr>
        <w:t>.</w:t>
      </w:r>
    </w:p>
    <w:p w:rsidR="00505E1E" w:rsidP="00710322" w14:paraId="3CA7FFA8" w14:textId="77777777">
      <w:pPr>
        <w:ind w:left="720"/>
        <w:rPr>
          <w:szCs w:val="24"/>
        </w:rPr>
      </w:pPr>
    </w:p>
    <w:p w:rsidR="00AB6EEC" w:rsidP="001800A3" w14:paraId="1407A694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There are no external cost</w:t>
      </w:r>
      <w:r w:rsidR="00404BF7">
        <w:rPr>
          <w:szCs w:val="24"/>
        </w:rPr>
        <w:t>s</w:t>
      </w:r>
      <w:r>
        <w:rPr>
          <w:szCs w:val="24"/>
        </w:rPr>
        <w:t xml:space="preserve"> associated with this information collection.</w:t>
      </w:r>
    </w:p>
    <w:p w:rsidR="00AB6EEC" w:rsidP="00AB6EEC" w14:paraId="048E2761" w14:textId="77777777">
      <w:pPr>
        <w:ind w:left="720"/>
        <w:rPr>
          <w:szCs w:val="24"/>
        </w:rPr>
      </w:pPr>
    </w:p>
    <w:p w:rsidR="001800A3" w:rsidP="001800A3" w14:paraId="5C895CC6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Estimated annual cost to the Federal Government:  None.</w:t>
      </w:r>
    </w:p>
    <w:p w:rsidR="003D0F8C" w:rsidP="003D0F8C" w14:paraId="1CB8FC09" w14:textId="77777777">
      <w:pPr>
        <w:ind w:left="360"/>
        <w:rPr>
          <w:szCs w:val="24"/>
        </w:rPr>
      </w:pPr>
    </w:p>
    <w:p w:rsidR="00EB1872" w:rsidP="00D80643" w14:paraId="7FA9B284" w14:textId="77777777">
      <w:pPr>
        <w:numPr>
          <w:ilvl w:val="0"/>
          <w:numId w:val="2"/>
        </w:numPr>
      </w:pPr>
      <w:r w:rsidRPr="00404BF7">
        <w:t>Th</w:t>
      </w:r>
      <w:r w:rsidRPr="00404BF7" w:rsidR="00E858B7">
        <w:t xml:space="preserve">ere </w:t>
      </w:r>
      <w:r w:rsidRPr="00404BF7" w:rsidR="00AB6EEC">
        <w:t>are no program changes</w:t>
      </w:r>
      <w:r w:rsidR="00EB3EBD">
        <w:t xml:space="preserve"> to this information collection.  There are adjustments to the collection as follows due to less respondents to this collection:  -4,457 to the number of respondents, -4,457 to the annual number of responses and -745 to the annual burden hours.  </w:t>
      </w:r>
      <w:r w:rsidR="00C16213">
        <w:t xml:space="preserve"> </w:t>
      </w:r>
      <w:r w:rsidRPr="00404BF7" w:rsidR="0051408B">
        <w:t xml:space="preserve">  </w:t>
      </w:r>
    </w:p>
    <w:p w:rsidR="00404BF7" w:rsidRPr="00404BF7" w:rsidP="00404BF7" w14:paraId="2C327C92" w14:textId="77777777">
      <w:pPr>
        <w:ind w:left="720"/>
        <w:rPr>
          <w:szCs w:val="24"/>
        </w:rPr>
      </w:pPr>
    </w:p>
    <w:p w:rsidR="001800A3" w:rsidP="001800A3" w14:paraId="27E1C861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</w:t>
      </w:r>
      <w:r w:rsidR="002616C7">
        <w:rPr>
          <w:szCs w:val="24"/>
        </w:rPr>
        <w:t>re</w:t>
      </w:r>
      <w:r>
        <w:rPr>
          <w:szCs w:val="24"/>
        </w:rPr>
        <w:t xml:space="preserve"> </w:t>
      </w:r>
      <w:r w:rsidR="002616C7">
        <w:rPr>
          <w:szCs w:val="24"/>
        </w:rPr>
        <w:t>are no results to publish for this information collection as respondent</w:t>
      </w:r>
      <w:r w:rsidR="00BE7E60">
        <w:rPr>
          <w:szCs w:val="24"/>
        </w:rPr>
        <w:t>s</w:t>
      </w:r>
      <w:r w:rsidR="002616C7">
        <w:rPr>
          <w:szCs w:val="24"/>
        </w:rPr>
        <w:t xml:space="preserve"> </w:t>
      </w:r>
      <w:r w:rsidR="00BE7E60">
        <w:rPr>
          <w:szCs w:val="24"/>
        </w:rPr>
        <w:t>are</w:t>
      </w:r>
      <w:r w:rsidR="002616C7">
        <w:rPr>
          <w:szCs w:val="24"/>
        </w:rPr>
        <w:t xml:space="preserve"> only required to mount and display a Card of Instructions</w:t>
      </w:r>
      <w:r>
        <w:rPr>
          <w:szCs w:val="24"/>
        </w:rPr>
        <w:t>.</w:t>
      </w:r>
    </w:p>
    <w:p w:rsidR="001800A3" w:rsidP="001800A3" w14:paraId="1BD0F4D3" w14:textId="77777777">
      <w:pPr>
        <w:rPr>
          <w:szCs w:val="24"/>
        </w:rPr>
      </w:pPr>
    </w:p>
    <w:p w:rsidR="001800A3" w:rsidP="001800A3" w14:paraId="3A4D1659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No expiration date will be displayed</w:t>
      </w:r>
      <w:r w:rsidR="00EB3EBD">
        <w:rPr>
          <w:szCs w:val="24"/>
        </w:rPr>
        <w:t xml:space="preserve"> because forms are not involved with this information collection</w:t>
      </w:r>
      <w:r>
        <w:rPr>
          <w:szCs w:val="24"/>
        </w:rPr>
        <w:t>.</w:t>
      </w:r>
    </w:p>
    <w:p w:rsidR="001800A3" w:rsidP="001800A3" w14:paraId="3A5F2A0D" w14:textId="77777777">
      <w:pPr>
        <w:rPr>
          <w:szCs w:val="24"/>
        </w:rPr>
      </w:pPr>
    </w:p>
    <w:p w:rsidR="001800A3" w:rsidP="001800A3" w14:paraId="6FDD06C4" w14:textId="7777777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There are no exceptions to </w:t>
      </w:r>
      <w:r w:rsidR="00AB6EEC">
        <w:rPr>
          <w:szCs w:val="24"/>
        </w:rPr>
        <w:t>the certification statement</w:t>
      </w:r>
      <w:r>
        <w:rPr>
          <w:szCs w:val="24"/>
        </w:rPr>
        <w:t>.</w:t>
      </w:r>
    </w:p>
    <w:p w:rsidR="008605A0" w:rsidP="001800A3" w14:paraId="0D598970" w14:textId="77777777">
      <w:pPr>
        <w:rPr>
          <w:szCs w:val="24"/>
        </w:rPr>
      </w:pPr>
    </w:p>
    <w:p w:rsidR="001800A3" w:rsidP="001800A3" w14:paraId="3EFA4775" w14:textId="77777777">
      <w:pPr>
        <w:numPr>
          <w:ilvl w:val="0"/>
          <w:numId w:val="1"/>
        </w:numPr>
        <w:tabs>
          <w:tab w:val="num" w:pos="360"/>
          <w:tab w:val="clear" w:pos="720"/>
        </w:tabs>
        <w:ind w:hanging="720"/>
        <w:rPr>
          <w:b/>
          <w:szCs w:val="24"/>
        </w:rPr>
      </w:pPr>
      <w:r>
        <w:rPr>
          <w:b/>
          <w:szCs w:val="24"/>
          <w:u w:val="single"/>
        </w:rPr>
        <w:t>Collections of Information Employing Statistical Methods:</w:t>
      </w:r>
    </w:p>
    <w:p w:rsidR="001800A3" w:rsidP="001800A3" w14:paraId="22942F12" w14:textId="77777777">
      <w:pPr>
        <w:ind w:left="360"/>
        <w:rPr>
          <w:szCs w:val="24"/>
        </w:rPr>
      </w:pPr>
    </w:p>
    <w:p w:rsidR="001800A3" w:rsidP="001800A3" w14:paraId="29DE77AB" w14:textId="77777777">
      <w:pPr>
        <w:ind w:left="360"/>
        <w:rPr>
          <w:szCs w:val="24"/>
        </w:rPr>
      </w:pPr>
      <w:r>
        <w:rPr>
          <w:szCs w:val="24"/>
        </w:rPr>
        <w:t>No statistical methods are employed.</w:t>
      </w:r>
    </w:p>
    <w:p w:rsidR="0051408B" w:rsidP="001800A3" w14:paraId="56A1A274" w14:textId="77777777">
      <w:pPr>
        <w:ind w:left="360"/>
        <w:rPr>
          <w:szCs w:val="24"/>
        </w:rPr>
      </w:pPr>
    </w:p>
    <w:sectPr>
      <w:headerReference w:type="even" r:id="rId5"/>
      <w:headerReference w:type="default" r:id="rId6"/>
      <w:headerReference w:type="first" r:id="rId7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1531" w14:paraId="63D9C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1531" w14:paraId="141DC2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1531" w14:paraId="28B2C4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C12E73"/>
    <w:multiLevelType w:val="hybridMultilevel"/>
    <w:tmpl w:val="D73CD5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A0DBA"/>
    <w:multiLevelType w:val="hybridMultilevel"/>
    <w:tmpl w:val="73E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627430">
    <w:abstractNumId w:val="0"/>
  </w:num>
  <w:num w:numId="2" w16cid:durableId="10200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C"/>
    <w:rsid w:val="00003171"/>
    <w:rsid w:val="000059FC"/>
    <w:rsid w:val="00022FBD"/>
    <w:rsid w:val="0002513F"/>
    <w:rsid w:val="00051628"/>
    <w:rsid w:val="00066A62"/>
    <w:rsid w:val="00086D8E"/>
    <w:rsid w:val="00096CCB"/>
    <w:rsid w:val="000A4518"/>
    <w:rsid w:val="000D05A9"/>
    <w:rsid w:val="000F17D1"/>
    <w:rsid w:val="00116E2B"/>
    <w:rsid w:val="00137F1A"/>
    <w:rsid w:val="00161FA9"/>
    <w:rsid w:val="001800A3"/>
    <w:rsid w:val="00180273"/>
    <w:rsid w:val="00197AF4"/>
    <w:rsid w:val="00197F75"/>
    <w:rsid w:val="001B3E1D"/>
    <w:rsid w:val="001D1F69"/>
    <w:rsid w:val="001D24A8"/>
    <w:rsid w:val="00200B74"/>
    <w:rsid w:val="00205DD2"/>
    <w:rsid w:val="00212B64"/>
    <w:rsid w:val="002414B1"/>
    <w:rsid w:val="00252C4C"/>
    <w:rsid w:val="002616C7"/>
    <w:rsid w:val="0026557F"/>
    <w:rsid w:val="0028146A"/>
    <w:rsid w:val="002A3F2E"/>
    <w:rsid w:val="002A45F7"/>
    <w:rsid w:val="002B3506"/>
    <w:rsid w:val="002B7ACF"/>
    <w:rsid w:val="002C48CC"/>
    <w:rsid w:val="002D0C50"/>
    <w:rsid w:val="002E2917"/>
    <w:rsid w:val="002E300B"/>
    <w:rsid w:val="002E560D"/>
    <w:rsid w:val="002E7A0D"/>
    <w:rsid w:val="003151D6"/>
    <w:rsid w:val="00332A57"/>
    <w:rsid w:val="003506C9"/>
    <w:rsid w:val="00351707"/>
    <w:rsid w:val="00354DE5"/>
    <w:rsid w:val="00357B2F"/>
    <w:rsid w:val="00365383"/>
    <w:rsid w:val="003664DD"/>
    <w:rsid w:val="003C0C61"/>
    <w:rsid w:val="003D0F8C"/>
    <w:rsid w:val="003D378B"/>
    <w:rsid w:val="00404BF7"/>
    <w:rsid w:val="0041683E"/>
    <w:rsid w:val="00424C6C"/>
    <w:rsid w:val="004343C3"/>
    <w:rsid w:val="004506D4"/>
    <w:rsid w:val="00462259"/>
    <w:rsid w:val="00492C35"/>
    <w:rsid w:val="004A4B64"/>
    <w:rsid w:val="004A737D"/>
    <w:rsid w:val="004B2CF9"/>
    <w:rsid w:val="004D5775"/>
    <w:rsid w:val="00500381"/>
    <w:rsid w:val="00501531"/>
    <w:rsid w:val="00505E1E"/>
    <w:rsid w:val="0051408B"/>
    <w:rsid w:val="005309CC"/>
    <w:rsid w:val="00567562"/>
    <w:rsid w:val="00581614"/>
    <w:rsid w:val="005C305E"/>
    <w:rsid w:val="005D545A"/>
    <w:rsid w:val="005E4B01"/>
    <w:rsid w:val="005E5503"/>
    <w:rsid w:val="005E5741"/>
    <w:rsid w:val="006046E7"/>
    <w:rsid w:val="00617A3C"/>
    <w:rsid w:val="00617F67"/>
    <w:rsid w:val="0066096D"/>
    <w:rsid w:val="006831B5"/>
    <w:rsid w:val="00690BF0"/>
    <w:rsid w:val="006A2D7F"/>
    <w:rsid w:val="006C7F95"/>
    <w:rsid w:val="006E12FE"/>
    <w:rsid w:val="006F177B"/>
    <w:rsid w:val="006F37CB"/>
    <w:rsid w:val="006F6FA5"/>
    <w:rsid w:val="00710322"/>
    <w:rsid w:val="0072279C"/>
    <w:rsid w:val="007411E8"/>
    <w:rsid w:val="00774C14"/>
    <w:rsid w:val="00777554"/>
    <w:rsid w:val="00783F85"/>
    <w:rsid w:val="0079435A"/>
    <w:rsid w:val="007A7E4C"/>
    <w:rsid w:val="007D4825"/>
    <w:rsid w:val="008321DE"/>
    <w:rsid w:val="0083404F"/>
    <w:rsid w:val="008605A0"/>
    <w:rsid w:val="00862220"/>
    <w:rsid w:val="0087486D"/>
    <w:rsid w:val="00874895"/>
    <w:rsid w:val="00892E53"/>
    <w:rsid w:val="008A29D2"/>
    <w:rsid w:val="008D5C5B"/>
    <w:rsid w:val="0094711D"/>
    <w:rsid w:val="00961432"/>
    <w:rsid w:val="009A2ECD"/>
    <w:rsid w:val="009B4DCC"/>
    <w:rsid w:val="009B7613"/>
    <w:rsid w:val="009C5D8C"/>
    <w:rsid w:val="009C6771"/>
    <w:rsid w:val="009D3FA1"/>
    <w:rsid w:val="009F1BFB"/>
    <w:rsid w:val="00A0392C"/>
    <w:rsid w:val="00A227C9"/>
    <w:rsid w:val="00A26ACA"/>
    <w:rsid w:val="00A30AFC"/>
    <w:rsid w:val="00A35DB4"/>
    <w:rsid w:val="00A47390"/>
    <w:rsid w:val="00A50826"/>
    <w:rsid w:val="00A754C1"/>
    <w:rsid w:val="00A903BD"/>
    <w:rsid w:val="00AB6EEC"/>
    <w:rsid w:val="00AC1DC3"/>
    <w:rsid w:val="00AE05A8"/>
    <w:rsid w:val="00AE2067"/>
    <w:rsid w:val="00AE2984"/>
    <w:rsid w:val="00AF2B2C"/>
    <w:rsid w:val="00B209AE"/>
    <w:rsid w:val="00B34AF9"/>
    <w:rsid w:val="00B62D43"/>
    <w:rsid w:val="00B77DCD"/>
    <w:rsid w:val="00B908E3"/>
    <w:rsid w:val="00BA2488"/>
    <w:rsid w:val="00BB0283"/>
    <w:rsid w:val="00BB3FE2"/>
    <w:rsid w:val="00BC1BDD"/>
    <w:rsid w:val="00BE7E60"/>
    <w:rsid w:val="00C02DC2"/>
    <w:rsid w:val="00C16213"/>
    <w:rsid w:val="00C7687C"/>
    <w:rsid w:val="00CC4FB7"/>
    <w:rsid w:val="00CD2147"/>
    <w:rsid w:val="00CE5C91"/>
    <w:rsid w:val="00CF2246"/>
    <w:rsid w:val="00CF4F3A"/>
    <w:rsid w:val="00D222A6"/>
    <w:rsid w:val="00D350C4"/>
    <w:rsid w:val="00D42F1C"/>
    <w:rsid w:val="00D64047"/>
    <w:rsid w:val="00D7075D"/>
    <w:rsid w:val="00D80643"/>
    <w:rsid w:val="00DA5517"/>
    <w:rsid w:val="00DD6970"/>
    <w:rsid w:val="00DE671C"/>
    <w:rsid w:val="00E03F62"/>
    <w:rsid w:val="00E16C60"/>
    <w:rsid w:val="00E56025"/>
    <w:rsid w:val="00E7739C"/>
    <w:rsid w:val="00E858B7"/>
    <w:rsid w:val="00E85CE2"/>
    <w:rsid w:val="00E91DB6"/>
    <w:rsid w:val="00EB1872"/>
    <w:rsid w:val="00EB3EBD"/>
    <w:rsid w:val="00EB4DB3"/>
    <w:rsid w:val="00EB7CF3"/>
    <w:rsid w:val="00EC3E28"/>
    <w:rsid w:val="00EF1452"/>
    <w:rsid w:val="00F024C8"/>
    <w:rsid w:val="00F116BC"/>
    <w:rsid w:val="00F337E1"/>
    <w:rsid w:val="00F713EC"/>
    <w:rsid w:val="00F72BA1"/>
    <w:rsid w:val="00F74BCD"/>
    <w:rsid w:val="00F82060"/>
    <w:rsid w:val="00FA34A4"/>
    <w:rsid w:val="00FC1688"/>
    <w:rsid w:val="00FC6685"/>
    <w:rsid w:val="00FD2B8E"/>
    <w:rsid w:val="00FF57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11098F"/>
  <w15:chartTrackingRefBased/>
  <w15:docId w15:val="{257CCF01-987D-42AE-86E3-AED0A1B4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B62D43"/>
    <w:pPr>
      <w:ind w:left="720"/>
    </w:pPr>
  </w:style>
  <w:style w:type="paragraph" w:styleId="Revision">
    <w:name w:val="Revision"/>
    <w:hidden/>
    <w:uiPriority w:val="99"/>
    <w:semiHidden/>
    <w:rsid w:val="00CF2246"/>
    <w:rPr>
      <w:sz w:val="24"/>
    </w:rPr>
  </w:style>
  <w:style w:type="paragraph" w:styleId="Header">
    <w:name w:val="header"/>
    <w:basedOn w:val="Normal"/>
    <w:link w:val="HeaderChar"/>
    <w:rsid w:val="005015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1531"/>
    <w:rPr>
      <w:sz w:val="24"/>
    </w:rPr>
  </w:style>
  <w:style w:type="paragraph" w:styleId="Footer">
    <w:name w:val="footer"/>
    <w:basedOn w:val="Normal"/>
    <w:link w:val="FooterChar"/>
    <w:rsid w:val="005015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1531"/>
    <w:rPr>
      <w:sz w:val="24"/>
    </w:rPr>
  </w:style>
  <w:style w:type="character" w:styleId="CommentReference">
    <w:name w:val="annotation reference"/>
    <w:rsid w:val="001D2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24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24A8"/>
  </w:style>
  <w:style w:type="paragraph" w:styleId="CommentSubject">
    <w:name w:val="annotation subject"/>
    <w:basedOn w:val="CommentText"/>
    <w:next w:val="CommentText"/>
    <w:link w:val="CommentSubjectChar"/>
    <w:rsid w:val="001D24A8"/>
    <w:rPr>
      <w:b/>
      <w:bCs/>
    </w:rPr>
  </w:style>
  <w:style w:type="character" w:customStyle="1" w:styleId="CommentSubjectChar">
    <w:name w:val="Comment Subject Char"/>
    <w:link w:val="CommentSubject"/>
    <w:rsid w:val="001D24A8"/>
    <w:rPr>
      <w:b/>
      <w:bCs/>
    </w:rPr>
  </w:style>
  <w:style w:type="character" w:styleId="Hyperlink">
    <w:name w:val="Hyperlink"/>
    <w:rsid w:val="001D24A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D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CCCF-081E-420E-BE2E-658101D9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3060-0265</vt:lpstr>
    </vt:vector>
  </TitlesOfParts>
  <Company>Federal Communications Commission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3060-0265</dc:title>
  <dc:creator>Terry.Conway</dc:creator>
  <cp:lastModifiedBy>Cathy Williams</cp:lastModifiedBy>
  <cp:revision>2</cp:revision>
  <cp:lastPrinted>2024-07-08T20:04:00Z</cp:lastPrinted>
  <dcterms:created xsi:type="dcterms:W3CDTF">2024-09-26T18:43:00Z</dcterms:created>
  <dcterms:modified xsi:type="dcterms:W3CDTF">2024-09-26T18:43:00Z</dcterms:modified>
</cp:coreProperties>
</file>