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78F0" w:rsidRPr="004961A9" w:rsidP="00E1179D" w14:paraId="688640B1" w14:textId="77777777">
      <w:pPr>
        <w:jc w:val="center"/>
        <w:rPr>
          <w:b/>
          <w:bCs/>
          <w:sz w:val="22"/>
          <w:szCs w:val="22"/>
        </w:rPr>
      </w:pPr>
      <w:bookmarkStart w:id="0" w:name="_Hlk533161030"/>
      <w:r w:rsidRPr="004961A9">
        <w:rPr>
          <w:b/>
          <w:bCs/>
          <w:sz w:val="22"/>
          <w:szCs w:val="22"/>
        </w:rPr>
        <w:t>S</w:t>
      </w:r>
      <w:r w:rsidRPr="004961A9" w:rsidR="00E1179D">
        <w:rPr>
          <w:b/>
          <w:bCs/>
          <w:sz w:val="22"/>
          <w:szCs w:val="22"/>
        </w:rPr>
        <w:t>UPPORTING STATEMENT</w:t>
      </w:r>
    </w:p>
    <w:p w:rsidR="00900E6E" w:rsidRPr="004961A9" w:rsidP="00E1179D" w14:paraId="016CBA72" w14:textId="77777777">
      <w:pPr>
        <w:jc w:val="center"/>
        <w:rPr>
          <w:sz w:val="22"/>
          <w:szCs w:val="22"/>
        </w:rPr>
      </w:pPr>
    </w:p>
    <w:p w:rsidR="00400A74" w:rsidRPr="004961A9" w:rsidP="00086735" w14:paraId="4339495B" w14:textId="77777777">
      <w:pPr>
        <w:rPr>
          <w:sz w:val="22"/>
          <w:szCs w:val="22"/>
        </w:rPr>
      </w:pPr>
    </w:p>
    <w:p w:rsidR="009A1DFF" w:rsidRPr="004961A9" w:rsidP="00086735" w14:paraId="07C00CC4" w14:textId="19CE4A85">
      <w:pPr>
        <w:rPr>
          <w:sz w:val="22"/>
          <w:szCs w:val="22"/>
        </w:rPr>
      </w:pPr>
      <w:r w:rsidRPr="004961A9">
        <w:rPr>
          <w:sz w:val="22"/>
          <w:szCs w:val="22"/>
        </w:rPr>
        <w:t>The Commission is requesting O</w:t>
      </w:r>
      <w:r w:rsidR="00E74646">
        <w:rPr>
          <w:sz w:val="22"/>
          <w:szCs w:val="22"/>
        </w:rPr>
        <w:t xml:space="preserve">ffice of </w:t>
      </w:r>
      <w:r w:rsidRPr="004961A9">
        <w:rPr>
          <w:sz w:val="22"/>
          <w:szCs w:val="22"/>
        </w:rPr>
        <w:t>M</w:t>
      </w:r>
      <w:r w:rsidR="00E74646">
        <w:rPr>
          <w:sz w:val="22"/>
          <w:szCs w:val="22"/>
        </w:rPr>
        <w:t xml:space="preserve">anagement and </w:t>
      </w:r>
      <w:r w:rsidRPr="004961A9">
        <w:rPr>
          <w:sz w:val="22"/>
          <w:szCs w:val="22"/>
        </w:rPr>
        <w:t>B</w:t>
      </w:r>
      <w:r w:rsidR="00E74646">
        <w:rPr>
          <w:sz w:val="22"/>
          <w:szCs w:val="22"/>
        </w:rPr>
        <w:t>udget (OMB)</w:t>
      </w:r>
      <w:r w:rsidRPr="004961A9">
        <w:rPr>
          <w:sz w:val="22"/>
          <w:szCs w:val="22"/>
        </w:rPr>
        <w:t xml:space="preserve"> approval for </w:t>
      </w:r>
      <w:r w:rsidRPr="004961A9" w:rsidR="0062329C">
        <w:rPr>
          <w:sz w:val="22"/>
          <w:szCs w:val="22"/>
        </w:rPr>
        <w:t>a renewal</w:t>
      </w:r>
      <w:r w:rsidRPr="004961A9">
        <w:rPr>
          <w:sz w:val="22"/>
          <w:szCs w:val="22"/>
        </w:rPr>
        <w:t xml:space="preserve"> of this </w:t>
      </w:r>
      <w:r w:rsidRPr="004961A9" w:rsidR="0062329C">
        <w:rPr>
          <w:sz w:val="22"/>
          <w:szCs w:val="22"/>
        </w:rPr>
        <w:t xml:space="preserve">existing </w:t>
      </w:r>
      <w:r w:rsidRPr="004961A9">
        <w:rPr>
          <w:sz w:val="22"/>
          <w:szCs w:val="22"/>
        </w:rPr>
        <w:t xml:space="preserve">information collection.   </w:t>
      </w:r>
    </w:p>
    <w:p w:rsidR="005C2CBA" w:rsidRPr="004961A9" w:rsidP="005C2CBA" w14:paraId="6DB67EF0" w14:textId="77777777">
      <w:pPr>
        <w:jc w:val="both"/>
        <w:rPr>
          <w:sz w:val="22"/>
          <w:szCs w:val="22"/>
          <w:highlight w:val="yellow"/>
        </w:rPr>
      </w:pPr>
    </w:p>
    <w:p w:rsidR="005C2CBA" w:rsidRPr="004961A9" w:rsidP="005C2CBA" w14:paraId="0D309ED3" w14:textId="77777777">
      <w:pPr>
        <w:numPr>
          <w:ilvl w:val="0"/>
          <w:numId w:val="24"/>
        </w:numPr>
        <w:ind w:left="0"/>
        <w:jc w:val="both"/>
        <w:rPr>
          <w:b/>
          <w:sz w:val="22"/>
          <w:szCs w:val="22"/>
          <w:u w:val="single"/>
        </w:rPr>
      </w:pPr>
      <w:r w:rsidRPr="004961A9">
        <w:rPr>
          <w:b/>
          <w:sz w:val="22"/>
          <w:szCs w:val="22"/>
          <w:u w:val="single"/>
        </w:rPr>
        <w:t>Justification:</w:t>
      </w:r>
    </w:p>
    <w:p w:rsidR="005C2CBA" w:rsidRPr="004961A9" w:rsidP="005C2CBA" w14:paraId="1D49ABD8" w14:textId="77777777">
      <w:pPr>
        <w:ind w:left="720"/>
        <w:rPr>
          <w:b/>
          <w:sz w:val="22"/>
          <w:szCs w:val="22"/>
          <w:u w:val="single"/>
        </w:rPr>
      </w:pPr>
    </w:p>
    <w:p w:rsidR="00A31197" w:rsidRPr="004961A9" w:rsidP="00086735" w14:paraId="2E5230DF" w14:textId="77777777">
      <w:pPr>
        <w:rPr>
          <w:sz w:val="22"/>
          <w:szCs w:val="22"/>
        </w:rPr>
      </w:pPr>
      <w:r w:rsidRPr="004961A9">
        <w:rPr>
          <w:sz w:val="22"/>
          <w:szCs w:val="22"/>
        </w:rPr>
        <w:t xml:space="preserve">1.  </w:t>
      </w:r>
      <w:r w:rsidRPr="004961A9" w:rsidR="001220E7">
        <w:rPr>
          <w:sz w:val="22"/>
          <w:szCs w:val="22"/>
        </w:rPr>
        <w:t xml:space="preserve">Under </w:t>
      </w:r>
      <w:r w:rsidRPr="004961A9" w:rsidR="0092156C">
        <w:rPr>
          <w:sz w:val="22"/>
          <w:szCs w:val="22"/>
        </w:rPr>
        <w:t>s</w:t>
      </w:r>
      <w:r w:rsidRPr="004961A9" w:rsidR="009A1DFF">
        <w:rPr>
          <w:sz w:val="22"/>
          <w:szCs w:val="22"/>
        </w:rPr>
        <w:t xml:space="preserve">ection 10 of the </w:t>
      </w:r>
      <w:r w:rsidRPr="004961A9" w:rsidR="0092156C">
        <w:rPr>
          <w:sz w:val="22"/>
          <w:szCs w:val="22"/>
        </w:rPr>
        <w:t>C</w:t>
      </w:r>
      <w:r w:rsidRPr="004961A9" w:rsidR="009A1DFF">
        <w:rPr>
          <w:sz w:val="22"/>
          <w:szCs w:val="22"/>
        </w:rPr>
        <w:t>ommunications Act</w:t>
      </w:r>
      <w:r w:rsidRPr="004961A9" w:rsidR="001220E7">
        <w:rPr>
          <w:sz w:val="22"/>
          <w:szCs w:val="22"/>
        </w:rPr>
        <w:t xml:space="preserve">, telecommunications carriers may petition </w:t>
      </w:r>
      <w:r w:rsidRPr="004961A9" w:rsidR="009A1DFF">
        <w:rPr>
          <w:sz w:val="22"/>
          <w:szCs w:val="22"/>
        </w:rPr>
        <w:t xml:space="preserve">the Commission to forbear from applying to </w:t>
      </w:r>
      <w:r w:rsidRPr="004961A9">
        <w:rPr>
          <w:sz w:val="22"/>
          <w:szCs w:val="22"/>
        </w:rPr>
        <w:t xml:space="preserve">a </w:t>
      </w:r>
      <w:r w:rsidRPr="004961A9" w:rsidR="009A1DFF">
        <w:rPr>
          <w:sz w:val="22"/>
          <w:szCs w:val="22"/>
        </w:rPr>
        <w:t>telecommunications carrier any statutory provision or Commission regulation</w:t>
      </w:r>
      <w:r w:rsidRPr="004961A9" w:rsidR="001220E7">
        <w:rPr>
          <w:sz w:val="22"/>
          <w:szCs w:val="22"/>
        </w:rPr>
        <w:t xml:space="preserve">.  When </w:t>
      </w:r>
      <w:r w:rsidRPr="004961A9" w:rsidR="00132E27">
        <w:rPr>
          <w:sz w:val="22"/>
          <w:szCs w:val="22"/>
        </w:rPr>
        <w:t xml:space="preserve">a carrier petitions the Commission for forbearance, </w:t>
      </w:r>
      <w:r w:rsidRPr="004961A9" w:rsidR="001220E7">
        <w:rPr>
          <w:sz w:val="22"/>
          <w:szCs w:val="22"/>
        </w:rPr>
        <w:t xml:space="preserve">section 10 requires </w:t>
      </w:r>
      <w:r w:rsidRPr="004961A9" w:rsidR="00132E27">
        <w:rPr>
          <w:sz w:val="22"/>
          <w:szCs w:val="22"/>
        </w:rPr>
        <w:t xml:space="preserve">the Commission </w:t>
      </w:r>
      <w:r w:rsidRPr="004961A9" w:rsidR="001220E7">
        <w:rPr>
          <w:sz w:val="22"/>
          <w:szCs w:val="22"/>
        </w:rPr>
        <w:t xml:space="preserve">to </w:t>
      </w:r>
      <w:r w:rsidRPr="004961A9" w:rsidR="00132E27">
        <w:rPr>
          <w:sz w:val="22"/>
          <w:szCs w:val="22"/>
        </w:rPr>
        <w:t>make three determinations</w:t>
      </w:r>
      <w:r w:rsidRPr="004961A9">
        <w:rPr>
          <w:sz w:val="22"/>
          <w:szCs w:val="22"/>
        </w:rPr>
        <w:t xml:space="preserve"> with regard to the need for the challenged provision or regulation</w:t>
      </w:r>
      <w:r w:rsidRPr="004961A9" w:rsidR="001220E7">
        <w:rPr>
          <w:sz w:val="22"/>
          <w:szCs w:val="22"/>
        </w:rPr>
        <w:t>.  If</w:t>
      </w:r>
      <w:r w:rsidRPr="004961A9" w:rsidR="00132E27">
        <w:rPr>
          <w:sz w:val="22"/>
          <w:szCs w:val="22"/>
        </w:rPr>
        <w:t xml:space="preserve"> the Commission fails to act within one year (extended by three months</w:t>
      </w:r>
      <w:r w:rsidRPr="004961A9">
        <w:rPr>
          <w:sz w:val="22"/>
          <w:szCs w:val="22"/>
        </w:rPr>
        <w:t>,</w:t>
      </w:r>
      <w:r w:rsidRPr="004961A9" w:rsidR="00132E27">
        <w:rPr>
          <w:sz w:val="22"/>
          <w:szCs w:val="22"/>
        </w:rPr>
        <w:t xml:space="preserve"> if necessary) </w:t>
      </w:r>
      <w:r w:rsidRPr="004961A9" w:rsidR="00B15911">
        <w:rPr>
          <w:sz w:val="22"/>
          <w:szCs w:val="22"/>
        </w:rPr>
        <w:t>the petition</w:t>
      </w:r>
      <w:r w:rsidRPr="004961A9" w:rsidR="00132E27">
        <w:rPr>
          <w:sz w:val="22"/>
          <w:szCs w:val="22"/>
        </w:rPr>
        <w:t xml:space="preserve"> is “deemed granted” by operation</w:t>
      </w:r>
      <w:r w:rsidRPr="004961A9" w:rsidR="001220E7">
        <w:rPr>
          <w:sz w:val="22"/>
          <w:szCs w:val="22"/>
        </w:rPr>
        <w:t xml:space="preserve"> of law</w:t>
      </w:r>
      <w:r w:rsidRPr="004961A9" w:rsidR="00132E27">
        <w:rPr>
          <w:sz w:val="22"/>
          <w:szCs w:val="22"/>
        </w:rPr>
        <w:t xml:space="preserve">.  </w:t>
      </w:r>
      <w:r w:rsidRPr="004961A9" w:rsidR="00B15911">
        <w:rPr>
          <w:sz w:val="22"/>
          <w:szCs w:val="22"/>
        </w:rPr>
        <w:t xml:space="preserve">These determinations require complex, fact-intensive analysis, </w:t>
      </w:r>
      <w:r w:rsidRPr="004961A9" w:rsidR="00B15911">
        <w:rPr>
          <w:i/>
          <w:sz w:val="22"/>
          <w:szCs w:val="22"/>
        </w:rPr>
        <w:t>e.g.</w:t>
      </w:r>
      <w:r w:rsidRPr="004961A9" w:rsidR="00B15911">
        <w:rPr>
          <w:sz w:val="22"/>
          <w:szCs w:val="22"/>
        </w:rPr>
        <w:t xml:space="preserve">, “whether forbearance from enforcing the provision or regulation will promote competitive market conditions.”  </w:t>
      </w:r>
    </w:p>
    <w:p w:rsidR="00A31197" w:rsidRPr="004961A9" w:rsidP="00086735" w14:paraId="2229A5B8" w14:textId="77777777">
      <w:pPr>
        <w:rPr>
          <w:sz w:val="22"/>
          <w:szCs w:val="22"/>
        </w:rPr>
      </w:pPr>
    </w:p>
    <w:p w:rsidR="00D65A41" w:rsidRPr="004961A9" w:rsidP="00086735" w14:paraId="32C73AFE" w14:textId="77777777">
      <w:pPr>
        <w:rPr>
          <w:sz w:val="22"/>
          <w:szCs w:val="22"/>
        </w:rPr>
      </w:pPr>
      <w:r w:rsidRPr="004961A9">
        <w:rPr>
          <w:sz w:val="22"/>
          <w:szCs w:val="22"/>
        </w:rPr>
        <w:t xml:space="preserve">In the </w:t>
      </w:r>
      <w:r w:rsidRPr="004961A9">
        <w:rPr>
          <w:i/>
          <w:sz w:val="22"/>
          <w:szCs w:val="22"/>
        </w:rPr>
        <w:t>Forbearance Procedures Order</w:t>
      </w:r>
      <w:r w:rsidRPr="004961A9">
        <w:rPr>
          <w:sz w:val="22"/>
          <w:szCs w:val="22"/>
        </w:rPr>
        <w:t xml:space="preserve">, </w:t>
      </w:r>
      <w:r w:rsidRPr="004961A9">
        <w:rPr>
          <w:sz w:val="22"/>
          <w:szCs w:val="22"/>
        </w:rPr>
        <w:t xml:space="preserve">and specifically in rule 47 </w:t>
      </w:r>
      <w:r w:rsidRPr="004961A9" w:rsidR="00854093">
        <w:rPr>
          <w:sz w:val="22"/>
          <w:szCs w:val="22"/>
        </w:rPr>
        <w:t>C.F.R.</w:t>
      </w:r>
      <w:r w:rsidRPr="004961A9" w:rsidR="00B02427">
        <w:rPr>
          <w:sz w:val="22"/>
          <w:szCs w:val="22"/>
        </w:rPr>
        <w:t xml:space="preserve"> </w:t>
      </w:r>
      <w:bookmarkStart w:id="1" w:name="_Hlk528655352"/>
      <w:r w:rsidRPr="004961A9" w:rsidR="00B02427">
        <w:rPr>
          <w:sz w:val="22"/>
          <w:szCs w:val="22"/>
        </w:rPr>
        <w:t>§ </w:t>
      </w:r>
      <w:bookmarkEnd w:id="1"/>
      <w:r w:rsidRPr="004961A9">
        <w:rPr>
          <w:sz w:val="22"/>
          <w:szCs w:val="22"/>
        </w:rPr>
        <w:t xml:space="preserve">1.54, </w:t>
      </w:r>
      <w:r w:rsidRPr="004961A9">
        <w:rPr>
          <w:sz w:val="22"/>
          <w:szCs w:val="22"/>
        </w:rPr>
        <w:t xml:space="preserve">the Commission requires that petitions for forbearance must be “complete as filed” and explains in detail what must be included in </w:t>
      </w:r>
      <w:r w:rsidRPr="004961A9" w:rsidR="001220E7">
        <w:rPr>
          <w:sz w:val="22"/>
          <w:szCs w:val="22"/>
        </w:rPr>
        <w:t xml:space="preserve">a </w:t>
      </w:r>
      <w:r w:rsidRPr="004961A9">
        <w:rPr>
          <w:sz w:val="22"/>
          <w:szCs w:val="22"/>
        </w:rPr>
        <w:t xml:space="preserve">section 10 </w:t>
      </w:r>
      <w:r w:rsidRPr="004961A9" w:rsidR="001220E7">
        <w:rPr>
          <w:sz w:val="22"/>
          <w:szCs w:val="22"/>
        </w:rPr>
        <w:t xml:space="preserve">forbearance </w:t>
      </w:r>
      <w:r w:rsidRPr="004961A9">
        <w:rPr>
          <w:sz w:val="22"/>
          <w:szCs w:val="22"/>
        </w:rPr>
        <w:t xml:space="preserve">petition. </w:t>
      </w:r>
      <w:r w:rsidRPr="004961A9">
        <w:rPr>
          <w:sz w:val="22"/>
          <w:szCs w:val="22"/>
        </w:rPr>
        <w:t xml:space="preserve"> (In setting for</w:t>
      </w:r>
      <w:r w:rsidRPr="004961A9" w:rsidR="001F2D6A">
        <w:rPr>
          <w:sz w:val="22"/>
          <w:szCs w:val="22"/>
        </w:rPr>
        <w:t>th</w:t>
      </w:r>
      <w:r w:rsidRPr="004961A9">
        <w:rPr>
          <w:sz w:val="22"/>
          <w:szCs w:val="22"/>
        </w:rPr>
        <w:t xml:space="preserve"> with all possible clarity the precise “complete as filed” procedures that pertain to forbearance petitions, </w:t>
      </w:r>
      <w:r w:rsidRPr="004961A9" w:rsidR="00B02427">
        <w:rPr>
          <w:sz w:val="22"/>
          <w:szCs w:val="22"/>
        </w:rPr>
        <w:t>rule 47 C.F.R. § </w:t>
      </w:r>
      <w:r w:rsidRPr="004961A9">
        <w:rPr>
          <w:sz w:val="22"/>
          <w:szCs w:val="22"/>
        </w:rPr>
        <w:t xml:space="preserve">1.54 </w:t>
      </w:r>
      <w:r w:rsidRPr="004961A9">
        <w:rPr>
          <w:sz w:val="22"/>
          <w:szCs w:val="22"/>
        </w:rPr>
        <w:t xml:space="preserve">incorporates by reference </w:t>
      </w:r>
      <w:r w:rsidRPr="004961A9">
        <w:rPr>
          <w:sz w:val="22"/>
          <w:szCs w:val="22"/>
        </w:rPr>
        <w:t xml:space="preserve">the Commission’s existing </w:t>
      </w:r>
      <w:r w:rsidRPr="004961A9">
        <w:rPr>
          <w:sz w:val="22"/>
          <w:szCs w:val="22"/>
        </w:rPr>
        <w:t xml:space="preserve">rule 47 </w:t>
      </w:r>
      <w:r w:rsidRPr="004961A9" w:rsidR="00132E27">
        <w:rPr>
          <w:sz w:val="22"/>
          <w:szCs w:val="22"/>
        </w:rPr>
        <w:t>C.F.R.</w:t>
      </w:r>
      <w:r w:rsidRPr="004961A9">
        <w:rPr>
          <w:sz w:val="22"/>
          <w:szCs w:val="22"/>
        </w:rPr>
        <w:t xml:space="preserve"> §</w:t>
      </w:r>
      <w:r w:rsidRPr="004961A9" w:rsidR="00336F72">
        <w:rPr>
          <w:sz w:val="22"/>
          <w:szCs w:val="22"/>
        </w:rPr>
        <w:t> </w:t>
      </w:r>
      <w:r w:rsidRPr="004961A9">
        <w:rPr>
          <w:sz w:val="22"/>
          <w:szCs w:val="22"/>
        </w:rPr>
        <w:t>1.49</w:t>
      </w:r>
      <w:r w:rsidRPr="004961A9" w:rsidR="00B02427">
        <w:rPr>
          <w:sz w:val="22"/>
          <w:szCs w:val="22"/>
        </w:rPr>
        <w:t>.  47 C.F.R. § </w:t>
      </w:r>
      <w:r w:rsidRPr="004961A9">
        <w:rPr>
          <w:sz w:val="22"/>
          <w:szCs w:val="22"/>
        </w:rPr>
        <w:t xml:space="preserve">1.49 sets forth </w:t>
      </w:r>
      <w:r w:rsidRPr="004961A9" w:rsidR="00A31197">
        <w:rPr>
          <w:sz w:val="22"/>
          <w:szCs w:val="22"/>
        </w:rPr>
        <w:t xml:space="preserve">the </w:t>
      </w:r>
      <w:r w:rsidRPr="004961A9">
        <w:rPr>
          <w:sz w:val="22"/>
          <w:szCs w:val="22"/>
        </w:rPr>
        <w:t>standard “specifications as to pleadings and documents</w:t>
      </w:r>
      <w:r w:rsidRPr="004961A9">
        <w:rPr>
          <w:sz w:val="22"/>
          <w:szCs w:val="22"/>
        </w:rPr>
        <w:t>,</w:t>
      </w:r>
      <w:r w:rsidRPr="004961A9">
        <w:rPr>
          <w:sz w:val="22"/>
          <w:szCs w:val="22"/>
        </w:rPr>
        <w:t xml:space="preserve">” </w:t>
      </w:r>
      <w:r w:rsidRPr="004961A9">
        <w:rPr>
          <w:sz w:val="22"/>
          <w:szCs w:val="22"/>
        </w:rPr>
        <w:t xml:space="preserve">that apply to all pleadings, including all petitions, that are filed at the Commission.  </w:t>
      </w:r>
      <w:r w:rsidRPr="004961A9" w:rsidR="00854093">
        <w:rPr>
          <w:sz w:val="22"/>
          <w:szCs w:val="22"/>
        </w:rPr>
        <w:t>Incorporation</w:t>
      </w:r>
      <w:r w:rsidRPr="004961A9">
        <w:rPr>
          <w:sz w:val="22"/>
          <w:szCs w:val="22"/>
        </w:rPr>
        <w:t xml:space="preserve"> by reference </w:t>
      </w:r>
      <w:r w:rsidRPr="004961A9" w:rsidR="00854093">
        <w:rPr>
          <w:sz w:val="22"/>
          <w:szCs w:val="22"/>
        </w:rPr>
        <w:t xml:space="preserve">of the </w:t>
      </w:r>
      <w:r w:rsidRPr="004961A9" w:rsidR="00B02427">
        <w:rPr>
          <w:sz w:val="22"/>
          <w:szCs w:val="22"/>
        </w:rPr>
        <w:t>47 C.F.R. § </w:t>
      </w:r>
      <w:r w:rsidRPr="004961A9">
        <w:rPr>
          <w:sz w:val="22"/>
          <w:szCs w:val="22"/>
        </w:rPr>
        <w:t xml:space="preserve">1.49 </w:t>
      </w:r>
      <w:r w:rsidRPr="004961A9" w:rsidR="00854093">
        <w:rPr>
          <w:sz w:val="22"/>
          <w:szCs w:val="22"/>
        </w:rPr>
        <w:t>pleading specifications has no bearing on the paperwork burden of a forbearance petitioner.</w:t>
      </w:r>
      <w:r w:rsidRPr="004961A9">
        <w:rPr>
          <w:sz w:val="22"/>
          <w:szCs w:val="22"/>
        </w:rPr>
        <w:t xml:space="preserve">)  </w:t>
      </w:r>
      <w:r w:rsidRPr="004961A9">
        <w:rPr>
          <w:sz w:val="22"/>
          <w:szCs w:val="22"/>
        </w:rPr>
        <w:t xml:space="preserve"> </w:t>
      </w:r>
    </w:p>
    <w:p w:rsidR="00D65A41" w:rsidRPr="004961A9" w:rsidP="00086735" w14:paraId="202EF020" w14:textId="77777777">
      <w:pPr>
        <w:rPr>
          <w:sz w:val="22"/>
          <w:szCs w:val="22"/>
        </w:rPr>
      </w:pPr>
    </w:p>
    <w:p w:rsidR="009A1DFF" w:rsidRPr="004961A9" w:rsidP="00086735" w14:paraId="43BECAE6" w14:textId="77777777">
      <w:pPr>
        <w:rPr>
          <w:sz w:val="22"/>
          <w:szCs w:val="22"/>
        </w:rPr>
      </w:pPr>
      <w:r w:rsidRPr="004961A9">
        <w:rPr>
          <w:sz w:val="22"/>
          <w:szCs w:val="22"/>
        </w:rPr>
        <w:t>Precise filing requirements are necessary because of Section 10’</w:t>
      </w:r>
      <w:r w:rsidRPr="004961A9" w:rsidR="00502B2E">
        <w:rPr>
          <w:sz w:val="22"/>
          <w:szCs w:val="22"/>
        </w:rPr>
        <w:t>s strict time limit</w:t>
      </w:r>
      <w:r w:rsidRPr="004961A9">
        <w:rPr>
          <w:sz w:val="22"/>
          <w:szCs w:val="22"/>
        </w:rPr>
        <w:t xml:space="preserve"> for Commission action</w:t>
      </w:r>
      <w:r w:rsidRPr="004961A9" w:rsidR="001220E7">
        <w:rPr>
          <w:sz w:val="22"/>
          <w:szCs w:val="22"/>
        </w:rPr>
        <w:t xml:space="preserve">.  Also, </w:t>
      </w:r>
      <w:r w:rsidRPr="004961A9" w:rsidR="00502B2E">
        <w:rPr>
          <w:sz w:val="22"/>
          <w:szCs w:val="22"/>
        </w:rPr>
        <w:t xml:space="preserve">commenters must </w:t>
      </w:r>
      <w:r w:rsidRPr="004961A9" w:rsidR="00336F72">
        <w:rPr>
          <w:sz w:val="22"/>
          <w:szCs w:val="22"/>
        </w:rPr>
        <w:t xml:space="preserve">be able to </w:t>
      </w:r>
      <w:r w:rsidRPr="004961A9" w:rsidR="00132E27">
        <w:rPr>
          <w:sz w:val="22"/>
          <w:szCs w:val="22"/>
        </w:rPr>
        <w:t>understand</w:t>
      </w:r>
      <w:r w:rsidRPr="004961A9" w:rsidR="00502B2E">
        <w:rPr>
          <w:sz w:val="22"/>
          <w:szCs w:val="22"/>
        </w:rPr>
        <w:t xml:space="preserve"> clearly the scope of the petition in order to comment on it.  </w:t>
      </w:r>
      <w:r w:rsidRPr="004961A9" w:rsidR="001220E7">
        <w:rPr>
          <w:sz w:val="22"/>
          <w:szCs w:val="22"/>
        </w:rPr>
        <w:t xml:space="preserve">Finally, </w:t>
      </w:r>
      <w:r w:rsidRPr="004961A9" w:rsidR="00502B2E">
        <w:rPr>
          <w:sz w:val="22"/>
          <w:szCs w:val="22"/>
        </w:rPr>
        <w:t>standard filing procedures inform</w:t>
      </w:r>
      <w:r w:rsidRPr="004961A9" w:rsidR="001220E7">
        <w:rPr>
          <w:sz w:val="22"/>
          <w:szCs w:val="22"/>
        </w:rPr>
        <w:t xml:space="preserve"> </w:t>
      </w:r>
      <w:r w:rsidRPr="004961A9" w:rsidR="00502B2E">
        <w:rPr>
          <w:sz w:val="22"/>
          <w:szCs w:val="22"/>
        </w:rPr>
        <w:t xml:space="preserve">petitioners </w:t>
      </w:r>
      <w:r w:rsidRPr="004961A9" w:rsidR="001220E7">
        <w:rPr>
          <w:sz w:val="22"/>
          <w:szCs w:val="22"/>
        </w:rPr>
        <w:t xml:space="preserve">precisely what the Commission expects </w:t>
      </w:r>
      <w:r w:rsidRPr="004961A9" w:rsidR="00502B2E">
        <w:rPr>
          <w:sz w:val="22"/>
          <w:szCs w:val="22"/>
        </w:rPr>
        <w:t xml:space="preserve">from them in order to make the </w:t>
      </w:r>
      <w:r w:rsidRPr="004961A9" w:rsidR="00132E27">
        <w:rPr>
          <w:sz w:val="22"/>
          <w:szCs w:val="22"/>
        </w:rPr>
        <w:t>statutory</w:t>
      </w:r>
      <w:r w:rsidRPr="004961A9" w:rsidR="00502B2E">
        <w:rPr>
          <w:sz w:val="22"/>
          <w:szCs w:val="22"/>
        </w:rPr>
        <w:t xml:space="preserve"> determinations that the </w:t>
      </w:r>
      <w:r w:rsidRPr="004961A9" w:rsidR="00A31197">
        <w:rPr>
          <w:sz w:val="22"/>
          <w:szCs w:val="22"/>
        </w:rPr>
        <w:t xml:space="preserve">statute requires. </w:t>
      </w:r>
    </w:p>
    <w:p w:rsidR="00502B2E" w:rsidRPr="004961A9" w:rsidP="00086735" w14:paraId="097ABA24" w14:textId="77777777">
      <w:pPr>
        <w:rPr>
          <w:sz w:val="22"/>
          <w:szCs w:val="22"/>
        </w:rPr>
      </w:pPr>
    </w:p>
    <w:p w:rsidR="00C24C52" w:rsidRPr="004961A9" w:rsidP="00086735" w14:paraId="4443AFB9" w14:textId="77777777">
      <w:pPr>
        <w:rPr>
          <w:sz w:val="22"/>
          <w:szCs w:val="22"/>
        </w:rPr>
      </w:pPr>
      <w:r w:rsidRPr="004961A9">
        <w:rPr>
          <w:sz w:val="22"/>
          <w:szCs w:val="22"/>
        </w:rPr>
        <w:t>T</w:t>
      </w:r>
      <w:r w:rsidRPr="004961A9">
        <w:rPr>
          <w:sz w:val="22"/>
          <w:szCs w:val="22"/>
        </w:rPr>
        <w:t xml:space="preserve">his information collection does not affect individuals or households, and therefore does not </w:t>
      </w:r>
      <w:r w:rsidRPr="004961A9" w:rsidR="00B15911">
        <w:rPr>
          <w:sz w:val="22"/>
          <w:szCs w:val="22"/>
        </w:rPr>
        <w:t>implicate</w:t>
      </w:r>
      <w:r w:rsidRPr="004961A9">
        <w:rPr>
          <w:sz w:val="22"/>
          <w:szCs w:val="22"/>
        </w:rPr>
        <w:t xml:space="preserve"> the Privacy Act.</w:t>
      </w:r>
    </w:p>
    <w:p w:rsidR="00C24C52" w:rsidRPr="004961A9" w:rsidP="00086735" w14:paraId="73B93255" w14:textId="77777777">
      <w:pPr>
        <w:rPr>
          <w:sz w:val="22"/>
          <w:szCs w:val="22"/>
        </w:rPr>
      </w:pPr>
    </w:p>
    <w:p w:rsidR="00C24C52" w:rsidRPr="004961A9" w:rsidP="00086735" w14:paraId="22CCD6D3" w14:textId="77777777">
      <w:pPr>
        <w:rPr>
          <w:sz w:val="22"/>
          <w:szCs w:val="22"/>
        </w:rPr>
      </w:pPr>
      <w:r w:rsidRPr="004961A9">
        <w:rPr>
          <w:sz w:val="22"/>
          <w:szCs w:val="22"/>
        </w:rPr>
        <w:t>Note:  This submission is made pursuant to authority in sections 1, 4(i), 4(j), 5(c), 10, 201, and 303(r) of the Communications Act of 1934, as amended, 47 U.S.C. §§</w:t>
      </w:r>
      <w:r w:rsidRPr="004961A9" w:rsidR="00B02427">
        <w:rPr>
          <w:sz w:val="22"/>
          <w:szCs w:val="22"/>
        </w:rPr>
        <w:t> </w:t>
      </w:r>
      <w:r w:rsidRPr="004961A9">
        <w:rPr>
          <w:sz w:val="22"/>
          <w:szCs w:val="22"/>
        </w:rPr>
        <w:t>151, 154(i), 154(j), 155(c), 160, 201, and 303(r).</w:t>
      </w:r>
    </w:p>
    <w:p w:rsidR="00C24C52" w:rsidRPr="004961A9" w:rsidP="00086735" w14:paraId="275A1E84" w14:textId="77777777">
      <w:pPr>
        <w:rPr>
          <w:sz w:val="22"/>
          <w:szCs w:val="22"/>
        </w:rPr>
      </w:pPr>
    </w:p>
    <w:p w:rsidR="00D67930" w:rsidRPr="004961A9" w:rsidP="00086735" w14:paraId="47517AD4" w14:textId="77777777">
      <w:pPr>
        <w:rPr>
          <w:sz w:val="22"/>
          <w:szCs w:val="22"/>
        </w:rPr>
      </w:pPr>
      <w:r w:rsidRPr="004961A9">
        <w:rPr>
          <w:sz w:val="22"/>
          <w:szCs w:val="22"/>
        </w:rPr>
        <w:t xml:space="preserve">2.  </w:t>
      </w:r>
      <w:r w:rsidRPr="004961A9">
        <w:rPr>
          <w:sz w:val="22"/>
          <w:szCs w:val="22"/>
        </w:rPr>
        <w:t xml:space="preserve">Telecommunications carriers may petition for forbearance from procedures and regulations.  States, public interest groups, other carriers, and the public use the information </w:t>
      </w:r>
      <w:r w:rsidRPr="004961A9" w:rsidR="00A31197">
        <w:rPr>
          <w:sz w:val="22"/>
          <w:szCs w:val="22"/>
        </w:rPr>
        <w:t xml:space="preserve">in the </w:t>
      </w:r>
      <w:r w:rsidRPr="004961A9">
        <w:rPr>
          <w:sz w:val="22"/>
          <w:szCs w:val="22"/>
        </w:rPr>
        <w:t>petition</w:t>
      </w:r>
      <w:r w:rsidRPr="004961A9" w:rsidR="00A31197">
        <w:rPr>
          <w:sz w:val="22"/>
          <w:szCs w:val="22"/>
        </w:rPr>
        <w:t xml:space="preserve"> to comment on it</w:t>
      </w:r>
      <w:r w:rsidRPr="004961A9">
        <w:rPr>
          <w:sz w:val="22"/>
          <w:szCs w:val="22"/>
        </w:rPr>
        <w:t xml:space="preserve">, or as a basis for pleadings regarding the petition.  The Commission uses the information in the petition to make </w:t>
      </w:r>
      <w:r w:rsidRPr="004961A9" w:rsidR="00A31197">
        <w:rPr>
          <w:sz w:val="22"/>
          <w:szCs w:val="22"/>
        </w:rPr>
        <w:t xml:space="preserve">the </w:t>
      </w:r>
      <w:r w:rsidRPr="004961A9">
        <w:rPr>
          <w:sz w:val="22"/>
          <w:szCs w:val="22"/>
        </w:rPr>
        <w:t xml:space="preserve">three determinations required by </w:t>
      </w:r>
      <w:r w:rsidRPr="004961A9" w:rsidR="00336F72">
        <w:rPr>
          <w:sz w:val="22"/>
          <w:szCs w:val="22"/>
        </w:rPr>
        <w:t>s</w:t>
      </w:r>
      <w:r w:rsidRPr="004961A9">
        <w:rPr>
          <w:sz w:val="22"/>
          <w:szCs w:val="22"/>
        </w:rPr>
        <w:t xml:space="preserve">ection 10, and, ultimately, either to grant or deny the petition, in whole or in part. </w:t>
      </w:r>
    </w:p>
    <w:p w:rsidR="00D67930" w:rsidRPr="004961A9" w:rsidP="00086735" w14:paraId="1BE1FECB" w14:textId="77777777">
      <w:pPr>
        <w:rPr>
          <w:sz w:val="22"/>
          <w:szCs w:val="22"/>
        </w:rPr>
      </w:pPr>
    </w:p>
    <w:p w:rsidR="00D1743C" w:rsidRPr="004961A9" w:rsidP="00086735" w14:paraId="47F87B2D" w14:textId="77777777">
      <w:pPr>
        <w:rPr>
          <w:sz w:val="22"/>
          <w:szCs w:val="22"/>
        </w:rPr>
      </w:pPr>
      <w:r w:rsidRPr="004961A9">
        <w:rPr>
          <w:sz w:val="22"/>
          <w:szCs w:val="22"/>
        </w:rPr>
        <w:t>3.  Forbearance petit</w:t>
      </w:r>
      <w:r w:rsidRPr="004961A9">
        <w:rPr>
          <w:sz w:val="22"/>
          <w:szCs w:val="22"/>
        </w:rPr>
        <w:t>i</w:t>
      </w:r>
      <w:r w:rsidRPr="004961A9">
        <w:rPr>
          <w:sz w:val="22"/>
          <w:szCs w:val="22"/>
        </w:rPr>
        <w:t xml:space="preserve">ons must be filed </w:t>
      </w:r>
      <w:r w:rsidRPr="004961A9">
        <w:rPr>
          <w:sz w:val="22"/>
          <w:szCs w:val="22"/>
        </w:rPr>
        <w:t xml:space="preserve">by an e-mail to </w:t>
      </w:r>
      <w:hyperlink r:id="rId6" w:history="1">
        <w:r w:rsidRPr="004961A9">
          <w:rPr>
            <w:rStyle w:val="Hyperlink"/>
            <w:sz w:val="22"/>
            <w:szCs w:val="22"/>
          </w:rPr>
          <w:t>forbearance@fcc.gov</w:t>
        </w:r>
      </w:hyperlink>
      <w:r w:rsidRPr="004961A9">
        <w:rPr>
          <w:sz w:val="22"/>
          <w:szCs w:val="22"/>
        </w:rPr>
        <w:t xml:space="preserve">.  The e-mail will be forwarded automatically to a pre-set group </w:t>
      </w:r>
      <w:r w:rsidRPr="004961A9" w:rsidR="00336F72">
        <w:rPr>
          <w:sz w:val="22"/>
          <w:szCs w:val="22"/>
        </w:rPr>
        <w:t xml:space="preserve">within </w:t>
      </w:r>
      <w:r w:rsidRPr="004961A9">
        <w:rPr>
          <w:sz w:val="22"/>
          <w:szCs w:val="22"/>
        </w:rPr>
        <w:t xml:space="preserve">the Commission.  </w:t>
      </w:r>
      <w:r w:rsidRPr="004961A9" w:rsidR="00C24C52">
        <w:rPr>
          <w:sz w:val="22"/>
          <w:szCs w:val="22"/>
        </w:rPr>
        <w:t>The Commission will post f</w:t>
      </w:r>
      <w:r w:rsidRPr="004961A9">
        <w:rPr>
          <w:sz w:val="22"/>
          <w:szCs w:val="22"/>
        </w:rPr>
        <w:t>orbearance petitions on a dedicated page of the Commission’s website.</w:t>
      </w:r>
    </w:p>
    <w:p w:rsidR="00C24C52" w:rsidRPr="004961A9" w:rsidP="00086735" w14:paraId="229A477D" w14:textId="77777777">
      <w:pPr>
        <w:rPr>
          <w:sz w:val="22"/>
          <w:szCs w:val="22"/>
        </w:rPr>
      </w:pPr>
    </w:p>
    <w:p w:rsidR="00D1743C" w:rsidRPr="004961A9" w:rsidP="00086735" w14:paraId="13B54D98" w14:textId="77777777">
      <w:pPr>
        <w:rPr>
          <w:sz w:val="22"/>
          <w:szCs w:val="22"/>
        </w:rPr>
      </w:pPr>
      <w:r w:rsidRPr="004961A9">
        <w:rPr>
          <w:sz w:val="22"/>
          <w:szCs w:val="22"/>
        </w:rPr>
        <w:t xml:space="preserve">All filings, including all data related to a forbearance petition, must be provided in a searchable format.  The steps a filer must take to ensure its submission is searchable will vary by context.  </w:t>
      </w:r>
    </w:p>
    <w:p w:rsidR="00C24C52" w:rsidRPr="004961A9" w:rsidP="00086735" w14:paraId="2D6E8920" w14:textId="77777777">
      <w:pPr>
        <w:rPr>
          <w:sz w:val="22"/>
          <w:szCs w:val="22"/>
        </w:rPr>
      </w:pPr>
    </w:p>
    <w:p w:rsidR="00C24C52" w:rsidRPr="004961A9" w:rsidP="00086735" w14:paraId="048F605A" w14:textId="77777777">
      <w:pPr>
        <w:rPr>
          <w:sz w:val="22"/>
          <w:szCs w:val="22"/>
        </w:rPr>
      </w:pPr>
      <w:r w:rsidRPr="004961A9">
        <w:rPr>
          <w:sz w:val="22"/>
          <w:szCs w:val="22"/>
        </w:rPr>
        <w:t>In preparing a forbearance petition, a telecommunications carrier may make full use of any information technology at its disposal.</w:t>
      </w:r>
    </w:p>
    <w:p w:rsidR="00086735" w:rsidRPr="004961A9" w:rsidP="00086735" w14:paraId="0B701A5D" w14:textId="77777777">
      <w:pPr>
        <w:rPr>
          <w:sz w:val="22"/>
          <w:szCs w:val="22"/>
        </w:rPr>
      </w:pPr>
    </w:p>
    <w:p w:rsidR="0045300A" w:rsidRPr="004961A9" w:rsidP="00086735" w14:paraId="66B02811" w14:textId="77777777">
      <w:pPr>
        <w:rPr>
          <w:sz w:val="22"/>
          <w:szCs w:val="22"/>
        </w:rPr>
      </w:pPr>
      <w:r w:rsidRPr="004961A9">
        <w:rPr>
          <w:sz w:val="22"/>
          <w:szCs w:val="22"/>
        </w:rPr>
        <w:t xml:space="preserve">4.  </w:t>
      </w:r>
      <w:r w:rsidRPr="004961A9" w:rsidR="00C24C52">
        <w:rPr>
          <w:sz w:val="22"/>
          <w:szCs w:val="22"/>
        </w:rPr>
        <w:t>There is no duplication of information because e</w:t>
      </w:r>
      <w:r w:rsidRPr="004961A9">
        <w:rPr>
          <w:sz w:val="22"/>
          <w:szCs w:val="22"/>
        </w:rPr>
        <w:t xml:space="preserve">ach </w:t>
      </w:r>
      <w:r w:rsidRPr="004961A9" w:rsidR="00086735">
        <w:rPr>
          <w:sz w:val="22"/>
          <w:szCs w:val="22"/>
        </w:rPr>
        <w:t xml:space="preserve">forbearance </w:t>
      </w:r>
      <w:r w:rsidRPr="004961A9">
        <w:rPr>
          <w:sz w:val="22"/>
          <w:szCs w:val="22"/>
        </w:rPr>
        <w:t>petition is unique.</w:t>
      </w:r>
    </w:p>
    <w:p w:rsidR="0045300A" w:rsidRPr="004961A9" w:rsidP="00086735" w14:paraId="0EFDFC8E" w14:textId="77777777">
      <w:pPr>
        <w:rPr>
          <w:sz w:val="22"/>
          <w:szCs w:val="22"/>
        </w:rPr>
      </w:pPr>
    </w:p>
    <w:p w:rsidR="0045300A" w:rsidRPr="004961A9" w:rsidP="00086735" w14:paraId="40CE8809" w14:textId="77777777">
      <w:pPr>
        <w:rPr>
          <w:sz w:val="22"/>
          <w:szCs w:val="22"/>
        </w:rPr>
      </w:pPr>
      <w:r w:rsidRPr="004961A9">
        <w:rPr>
          <w:sz w:val="22"/>
          <w:szCs w:val="22"/>
        </w:rPr>
        <w:t xml:space="preserve">5.  </w:t>
      </w:r>
      <w:r w:rsidRPr="004961A9" w:rsidR="00C24C52">
        <w:rPr>
          <w:sz w:val="22"/>
          <w:szCs w:val="22"/>
        </w:rPr>
        <w:t xml:space="preserve">Small carriers are </w:t>
      </w:r>
      <w:r w:rsidRPr="004961A9" w:rsidR="00B15911">
        <w:rPr>
          <w:sz w:val="22"/>
          <w:szCs w:val="22"/>
        </w:rPr>
        <w:t>eligible</w:t>
      </w:r>
      <w:r w:rsidRPr="004961A9" w:rsidR="00C24C52">
        <w:rPr>
          <w:sz w:val="22"/>
          <w:szCs w:val="22"/>
        </w:rPr>
        <w:t xml:space="preserve"> to file forbearance petitions, but n</w:t>
      </w:r>
      <w:r w:rsidRPr="004961A9">
        <w:rPr>
          <w:sz w:val="22"/>
          <w:szCs w:val="22"/>
        </w:rPr>
        <w:t xml:space="preserve">othing in the record suggests that small carriers are disadvantaged by the </w:t>
      </w:r>
      <w:r w:rsidRPr="004961A9" w:rsidR="00C24C52">
        <w:rPr>
          <w:sz w:val="22"/>
          <w:szCs w:val="22"/>
        </w:rPr>
        <w:t xml:space="preserve">filing </w:t>
      </w:r>
      <w:r w:rsidRPr="004961A9">
        <w:rPr>
          <w:sz w:val="22"/>
          <w:szCs w:val="22"/>
        </w:rPr>
        <w:t xml:space="preserve">requirements.  </w:t>
      </w:r>
      <w:r w:rsidRPr="004961A9" w:rsidR="00A31197">
        <w:rPr>
          <w:sz w:val="22"/>
          <w:szCs w:val="22"/>
        </w:rPr>
        <w:t>S</w:t>
      </w:r>
      <w:r w:rsidRPr="004961A9">
        <w:rPr>
          <w:sz w:val="22"/>
          <w:szCs w:val="22"/>
        </w:rPr>
        <w:t xml:space="preserve">mall entities </w:t>
      </w:r>
      <w:r w:rsidRPr="004961A9" w:rsidR="00A31197">
        <w:rPr>
          <w:sz w:val="22"/>
          <w:szCs w:val="22"/>
        </w:rPr>
        <w:t xml:space="preserve">support </w:t>
      </w:r>
      <w:r w:rsidRPr="004961A9">
        <w:rPr>
          <w:sz w:val="22"/>
          <w:szCs w:val="22"/>
        </w:rPr>
        <w:t>procedural rules governing consideration of forbearance petitions because they have had to expend significant resources respond</w:t>
      </w:r>
      <w:r w:rsidRPr="004961A9" w:rsidR="00C24C52">
        <w:rPr>
          <w:sz w:val="22"/>
          <w:szCs w:val="22"/>
        </w:rPr>
        <w:t>ing</w:t>
      </w:r>
      <w:r w:rsidRPr="004961A9">
        <w:rPr>
          <w:sz w:val="22"/>
          <w:szCs w:val="22"/>
        </w:rPr>
        <w:t xml:space="preserve"> to scattershot arguments</w:t>
      </w:r>
      <w:r w:rsidRPr="004961A9" w:rsidR="00086735">
        <w:rPr>
          <w:sz w:val="22"/>
          <w:szCs w:val="22"/>
        </w:rPr>
        <w:t xml:space="preserve"> of </w:t>
      </w:r>
      <w:r w:rsidRPr="004961A9">
        <w:rPr>
          <w:sz w:val="22"/>
          <w:szCs w:val="22"/>
        </w:rPr>
        <w:t xml:space="preserve">much larger entities that have sought forbearance in recent years.  </w:t>
      </w:r>
      <w:r w:rsidRPr="004961A9" w:rsidR="00086735">
        <w:rPr>
          <w:sz w:val="22"/>
          <w:szCs w:val="22"/>
        </w:rPr>
        <w:t>In particular, t</w:t>
      </w:r>
      <w:r w:rsidRPr="004961A9">
        <w:rPr>
          <w:sz w:val="22"/>
          <w:szCs w:val="22"/>
        </w:rPr>
        <w:t>he Small Business Administration filed comments in this proceeding in support of the information requirement that petitions for forbearance must be complete as filed.</w:t>
      </w:r>
    </w:p>
    <w:p w:rsidR="009A1DFF" w:rsidRPr="004961A9" w:rsidP="00086735" w14:paraId="4E45A0CD" w14:textId="77777777">
      <w:pPr>
        <w:rPr>
          <w:sz w:val="22"/>
          <w:szCs w:val="22"/>
        </w:rPr>
      </w:pPr>
      <w:r w:rsidRPr="004961A9">
        <w:rPr>
          <w:sz w:val="22"/>
          <w:szCs w:val="22"/>
        </w:rPr>
        <w:t xml:space="preserve">  </w:t>
      </w:r>
    </w:p>
    <w:p w:rsidR="0045300A" w:rsidRPr="004961A9" w:rsidP="00086735" w14:paraId="6036C903" w14:textId="77777777">
      <w:pPr>
        <w:rPr>
          <w:sz w:val="22"/>
          <w:szCs w:val="22"/>
        </w:rPr>
      </w:pPr>
      <w:r w:rsidRPr="004961A9">
        <w:rPr>
          <w:sz w:val="22"/>
          <w:szCs w:val="22"/>
        </w:rPr>
        <w:t xml:space="preserve">6.  </w:t>
      </w:r>
      <w:r w:rsidRPr="004961A9" w:rsidR="005B52AC">
        <w:rPr>
          <w:sz w:val="22"/>
          <w:szCs w:val="22"/>
        </w:rPr>
        <w:t>N</w:t>
      </w:r>
      <w:r w:rsidRPr="004961A9" w:rsidR="00132E27">
        <w:rPr>
          <w:sz w:val="22"/>
          <w:szCs w:val="22"/>
        </w:rPr>
        <w:t>ot collecting or reducing the amount of infor</w:t>
      </w:r>
      <w:r w:rsidRPr="004961A9" w:rsidR="005B52AC">
        <w:rPr>
          <w:sz w:val="22"/>
          <w:szCs w:val="22"/>
        </w:rPr>
        <w:t>mation in forbearance petitions</w:t>
      </w:r>
      <w:r w:rsidRPr="004961A9" w:rsidR="00132E27">
        <w:rPr>
          <w:sz w:val="22"/>
          <w:szCs w:val="22"/>
        </w:rPr>
        <w:t xml:space="preserve"> </w:t>
      </w:r>
      <w:r w:rsidRPr="004961A9" w:rsidR="00086735">
        <w:rPr>
          <w:sz w:val="22"/>
          <w:szCs w:val="22"/>
        </w:rPr>
        <w:t xml:space="preserve">would deprive </w:t>
      </w:r>
      <w:r w:rsidRPr="004961A9" w:rsidR="00132E27">
        <w:rPr>
          <w:sz w:val="22"/>
          <w:szCs w:val="22"/>
        </w:rPr>
        <w:t xml:space="preserve">the Commission </w:t>
      </w:r>
      <w:r w:rsidRPr="004961A9" w:rsidR="00086735">
        <w:rPr>
          <w:sz w:val="22"/>
          <w:szCs w:val="22"/>
        </w:rPr>
        <w:t xml:space="preserve">of </w:t>
      </w:r>
      <w:r w:rsidRPr="004961A9" w:rsidR="00132E27">
        <w:rPr>
          <w:sz w:val="22"/>
          <w:szCs w:val="22"/>
        </w:rPr>
        <w:t>sufficient information</w:t>
      </w:r>
      <w:r w:rsidRPr="004961A9" w:rsidR="005B52AC">
        <w:rPr>
          <w:sz w:val="22"/>
          <w:szCs w:val="22"/>
        </w:rPr>
        <w:t>,</w:t>
      </w:r>
      <w:r w:rsidRPr="004961A9" w:rsidR="00132E27">
        <w:rPr>
          <w:sz w:val="22"/>
          <w:szCs w:val="22"/>
        </w:rPr>
        <w:t xml:space="preserve"> early enough in the process</w:t>
      </w:r>
      <w:r w:rsidRPr="004961A9" w:rsidR="005B52AC">
        <w:rPr>
          <w:sz w:val="22"/>
          <w:szCs w:val="22"/>
        </w:rPr>
        <w:t>,</w:t>
      </w:r>
      <w:r w:rsidRPr="004961A9" w:rsidR="00132E27">
        <w:rPr>
          <w:sz w:val="22"/>
          <w:szCs w:val="22"/>
        </w:rPr>
        <w:t xml:space="preserve"> to fulfill its obligation to make the three determinations required by section 10</w:t>
      </w:r>
      <w:r w:rsidRPr="004961A9" w:rsidR="005B52AC">
        <w:rPr>
          <w:sz w:val="22"/>
          <w:szCs w:val="22"/>
        </w:rPr>
        <w:t xml:space="preserve">.  Less than complete petitions also </w:t>
      </w:r>
      <w:r w:rsidRPr="004961A9" w:rsidR="00086735">
        <w:rPr>
          <w:sz w:val="22"/>
          <w:szCs w:val="22"/>
        </w:rPr>
        <w:t xml:space="preserve">unfairly tax </w:t>
      </w:r>
      <w:r w:rsidRPr="004961A9" w:rsidR="00132E27">
        <w:rPr>
          <w:sz w:val="22"/>
          <w:szCs w:val="22"/>
        </w:rPr>
        <w:t xml:space="preserve">the resources of interested parties </w:t>
      </w:r>
      <w:r w:rsidRPr="004961A9" w:rsidR="005B52AC">
        <w:rPr>
          <w:sz w:val="22"/>
          <w:szCs w:val="22"/>
        </w:rPr>
        <w:t xml:space="preserve">because it is difficult to </w:t>
      </w:r>
      <w:r w:rsidRPr="004961A9" w:rsidR="00132E27">
        <w:rPr>
          <w:sz w:val="22"/>
          <w:szCs w:val="22"/>
        </w:rPr>
        <w:t xml:space="preserve">comment on </w:t>
      </w:r>
      <w:r w:rsidRPr="004961A9" w:rsidR="00086735">
        <w:rPr>
          <w:sz w:val="22"/>
          <w:szCs w:val="22"/>
        </w:rPr>
        <w:t>a</w:t>
      </w:r>
      <w:r w:rsidRPr="004961A9" w:rsidR="005B52AC">
        <w:rPr>
          <w:sz w:val="22"/>
          <w:szCs w:val="22"/>
        </w:rPr>
        <w:t xml:space="preserve"> vague or</w:t>
      </w:r>
      <w:r w:rsidRPr="004961A9" w:rsidR="00086735">
        <w:rPr>
          <w:sz w:val="22"/>
          <w:szCs w:val="22"/>
        </w:rPr>
        <w:t xml:space="preserve"> </w:t>
      </w:r>
      <w:r w:rsidRPr="004961A9" w:rsidR="00132E27">
        <w:rPr>
          <w:sz w:val="22"/>
          <w:szCs w:val="22"/>
        </w:rPr>
        <w:t xml:space="preserve">moving target.  </w:t>
      </w:r>
    </w:p>
    <w:p w:rsidR="0045300A" w:rsidRPr="004961A9" w:rsidP="00086735" w14:paraId="30CA718D" w14:textId="77777777">
      <w:pPr>
        <w:rPr>
          <w:sz w:val="22"/>
          <w:szCs w:val="22"/>
        </w:rPr>
      </w:pPr>
    </w:p>
    <w:p w:rsidR="005B52AC" w:rsidRPr="004961A9" w:rsidP="00086735" w14:paraId="6172F28E" w14:textId="77777777">
      <w:pPr>
        <w:rPr>
          <w:sz w:val="22"/>
          <w:szCs w:val="22"/>
        </w:rPr>
      </w:pPr>
      <w:r w:rsidRPr="004961A9">
        <w:rPr>
          <w:sz w:val="22"/>
          <w:szCs w:val="22"/>
        </w:rPr>
        <w:t>7.</w:t>
      </w:r>
      <w:r w:rsidRPr="004961A9">
        <w:rPr>
          <w:i/>
          <w:sz w:val="22"/>
          <w:szCs w:val="22"/>
        </w:rPr>
        <w:t xml:space="preserve"> </w:t>
      </w:r>
      <w:r w:rsidRPr="004961A9" w:rsidR="00AE72D1">
        <w:rPr>
          <w:sz w:val="22"/>
          <w:szCs w:val="22"/>
        </w:rPr>
        <w:t xml:space="preserve"> </w:t>
      </w:r>
      <w:r w:rsidRPr="004961A9">
        <w:rPr>
          <w:sz w:val="22"/>
          <w:szCs w:val="22"/>
        </w:rPr>
        <w:t>Forbearance petitions are subject to</w:t>
      </w:r>
      <w:r w:rsidRPr="004961A9" w:rsidR="00B02427">
        <w:rPr>
          <w:sz w:val="22"/>
          <w:szCs w:val="22"/>
        </w:rPr>
        <w:t xml:space="preserve"> the Commission’s rule 47 CFR § </w:t>
      </w:r>
      <w:r w:rsidRPr="004961A9">
        <w:rPr>
          <w:sz w:val="22"/>
          <w:szCs w:val="22"/>
        </w:rPr>
        <w:t>1.49, which states its standard “specifications as to pleadings and documents</w:t>
      </w:r>
      <w:r w:rsidRPr="004961A9" w:rsidR="003E050A">
        <w:rPr>
          <w:sz w:val="22"/>
          <w:szCs w:val="22"/>
        </w:rPr>
        <w:t>.</w:t>
      </w:r>
      <w:r w:rsidRPr="004961A9">
        <w:rPr>
          <w:sz w:val="22"/>
          <w:szCs w:val="22"/>
        </w:rPr>
        <w:t>”</w:t>
      </w:r>
      <w:r w:rsidRPr="004961A9" w:rsidR="00FF600A">
        <w:rPr>
          <w:sz w:val="22"/>
          <w:szCs w:val="22"/>
        </w:rPr>
        <w:t xml:space="preserve"> </w:t>
      </w:r>
    </w:p>
    <w:p w:rsidR="005B52AC" w:rsidRPr="004961A9" w:rsidP="00086735" w14:paraId="11D0249B" w14:textId="77777777">
      <w:pPr>
        <w:rPr>
          <w:sz w:val="22"/>
          <w:szCs w:val="22"/>
        </w:rPr>
      </w:pPr>
    </w:p>
    <w:p w:rsidR="00D44AE3" w:rsidRPr="004961A9" w:rsidP="00086735" w14:paraId="7918FAD0" w14:textId="77777777">
      <w:pPr>
        <w:rPr>
          <w:sz w:val="22"/>
          <w:szCs w:val="22"/>
        </w:rPr>
      </w:pPr>
      <w:r w:rsidRPr="004961A9">
        <w:rPr>
          <w:sz w:val="22"/>
          <w:szCs w:val="22"/>
        </w:rPr>
        <w:t xml:space="preserve">Petitioners may </w:t>
      </w:r>
      <w:r w:rsidRPr="004961A9" w:rsidR="005A143F">
        <w:rPr>
          <w:sz w:val="22"/>
          <w:szCs w:val="22"/>
        </w:rPr>
        <w:t xml:space="preserve">indicate information that requires </w:t>
      </w:r>
      <w:r w:rsidRPr="004961A9">
        <w:rPr>
          <w:sz w:val="22"/>
          <w:szCs w:val="22"/>
        </w:rPr>
        <w:t>confidential treatment</w:t>
      </w:r>
      <w:r w:rsidRPr="004961A9" w:rsidR="005A143F">
        <w:rPr>
          <w:sz w:val="22"/>
          <w:szCs w:val="22"/>
        </w:rPr>
        <w:t xml:space="preserve">, and may submit a redacted version.  </w:t>
      </w:r>
      <w:r w:rsidRPr="004961A9" w:rsidR="00B15911">
        <w:rPr>
          <w:sz w:val="22"/>
          <w:szCs w:val="22"/>
        </w:rPr>
        <w:t xml:space="preserve">This allows the petitioner to ensure that sensitive information may be considered by the Commission but not made available to the general public. </w:t>
      </w:r>
      <w:r w:rsidRPr="004961A9" w:rsidR="005A143F">
        <w:rPr>
          <w:sz w:val="22"/>
          <w:szCs w:val="22"/>
        </w:rPr>
        <w:t>Confidentiality is discussed further at topic 10 below.</w:t>
      </w:r>
      <w:r w:rsidRPr="004961A9" w:rsidR="00A32DBF">
        <w:rPr>
          <w:sz w:val="22"/>
          <w:szCs w:val="22"/>
        </w:rPr>
        <w:t xml:space="preserve"> </w:t>
      </w:r>
      <w:r w:rsidRPr="004961A9" w:rsidR="00086735">
        <w:rPr>
          <w:sz w:val="22"/>
          <w:szCs w:val="22"/>
        </w:rPr>
        <w:t xml:space="preserve"> </w:t>
      </w:r>
      <w:r w:rsidRPr="004961A9" w:rsidR="00A32DBF">
        <w:rPr>
          <w:sz w:val="22"/>
          <w:szCs w:val="22"/>
        </w:rPr>
        <w:t xml:space="preserve">  </w:t>
      </w:r>
    </w:p>
    <w:p w:rsidR="00D44AE3" w:rsidRPr="004961A9" w:rsidP="00086735" w14:paraId="4E5AF9B8" w14:textId="77777777">
      <w:pPr>
        <w:rPr>
          <w:sz w:val="22"/>
          <w:szCs w:val="22"/>
        </w:rPr>
      </w:pPr>
    </w:p>
    <w:p w:rsidR="008F66F3" w:rsidRPr="004961A9" w:rsidP="00086735" w14:paraId="132AE0F0" w14:textId="092DD3FC">
      <w:pPr>
        <w:rPr>
          <w:sz w:val="22"/>
          <w:szCs w:val="22"/>
        </w:rPr>
      </w:pPr>
      <w:r w:rsidRPr="004961A9">
        <w:rPr>
          <w:sz w:val="22"/>
          <w:szCs w:val="22"/>
        </w:rPr>
        <w:t xml:space="preserve">8.  </w:t>
      </w:r>
      <w:r w:rsidRPr="001D4989" w:rsidR="00BF79F7">
        <w:rPr>
          <w:sz w:val="22"/>
          <w:szCs w:val="22"/>
        </w:rPr>
        <w:t>The Commission published a 60</w:t>
      </w:r>
      <w:r w:rsidRPr="001D4989" w:rsidR="00B00C28">
        <w:rPr>
          <w:sz w:val="22"/>
          <w:szCs w:val="22"/>
        </w:rPr>
        <w:t>-</w:t>
      </w:r>
      <w:r w:rsidRPr="001D4989" w:rsidR="00BF79F7">
        <w:rPr>
          <w:sz w:val="22"/>
          <w:szCs w:val="22"/>
        </w:rPr>
        <w:t>day no</w:t>
      </w:r>
      <w:r w:rsidRPr="001D4989" w:rsidR="00170E3D">
        <w:rPr>
          <w:sz w:val="22"/>
          <w:szCs w:val="22"/>
        </w:rPr>
        <w:t xml:space="preserve">tice in the Federal Register on </w:t>
      </w:r>
      <w:r w:rsidRPr="001D4989" w:rsidR="001D4989">
        <w:rPr>
          <w:sz w:val="22"/>
          <w:szCs w:val="22"/>
        </w:rPr>
        <w:t>July 10</w:t>
      </w:r>
      <w:r w:rsidRPr="001D4989" w:rsidR="006F5B39">
        <w:rPr>
          <w:sz w:val="22"/>
          <w:szCs w:val="22"/>
        </w:rPr>
        <w:t>, 202</w:t>
      </w:r>
      <w:r w:rsidRPr="001D4989" w:rsidR="00913EEA">
        <w:rPr>
          <w:sz w:val="22"/>
          <w:szCs w:val="22"/>
        </w:rPr>
        <w:t>4</w:t>
      </w:r>
      <w:r w:rsidRPr="001D4989" w:rsidR="006F5B39">
        <w:rPr>
          <w:sz w:val="22"/>
          <w:szCs w:val="22"/>
        </w:rPr>
        <w:t xml:space="preserve"> </w:t>
      </w:r>
      <w:r w:rsidRPr="001D4989" w:rsidR="00BF79F7">
        <w:rPr>
          <w:sz w:val="22"/>
          <w:szCs w:val="22"/>
        </w:rPr>
        <w:t>(</w:t>
      </w:r>
      <w:r w:rsidRPr="001D4989" w:rsidR="001D4989">
        <w:rPr>
          <w:sz w:val="22"/>
          <w:szCs w:val="22"/>
        </w:rPr>
        <w:t>89</w:t>
      </w:r>
      <w:r w:rsidRPr="001D4989" w:rsidR="0062329C">
        <w:rPr>
          <w:sz w:val="22"/>
          <w:szCs w:val="22"/>
        </w:rPr>
        <w:t xml:space="preserve"> </w:t>
      </w:r>
      <w:r w:rsidRPr="001D4989" w:rsidR="00BF79F7">
        <w:rPr>
          <w:sz w:val="22"/>
          <w:szCs w:val="22"/>
        </w:rPr>
        <w:t xml:space="preserve">FR </w:t>
      </w:r>
      <w:r w:rsidRPr="001D4989" w:rsidR="001D4989">
        <w:rPr>
          <w:sz w:val="22"/>
          <w:szCs w:val="22"/>
        </w:rPr>
        <w:t>56750</w:t>
      </w:r>
      <w:r w:rsidRPr="001D4989" w:rsidR="00BF79F7">
        <w:rPr>
          <w:sz w:val="22"/>
          <w:szCs w:val="22"/>
        </w:rPr>
        <w:t xml:space="preserve">).  No comments were received </w:t>
      </w:r>
      <w:r w:rsidRPr="001D4989" w:rsidR="00B00C28">
        <w:rPr>
          <w:sz w:val="22"/>
          <w:szCs w:val="22"/>
        </w:rPr>
        <w:t>in response to</w:t>
      </w:r>
      <w:r w:rsidRPr="001D4989" w:rsidR="00BF79F7">
        <w:rPr>
          <w:sz w:val="22"/>
          <w:szCs w:val="22"/>
        </w:rPr>
        <w:t xml:space="preserve"> the notice.</w:t>
      </w:r>
      <w:r w:rsidRPr="004961A9" w:rsidR="00BF79F7">
        <w:rPr>
          <w:sz w:val="22"/>
          <w:szCs w:val="22"/>
        </w:rPr>
        <w:t xml:space="preserve"> </w:t>
      </w:r>
    </w:p>
    <w:p w:rsidR="00EA31A8" w:rsidRPr="004961A9" w:rsidP="00086735" w14:paraId="6F040989" w14:textId="77777777">
      <w:pPr>
        <w:rPr>
          <w:sz w:val="22"/>
          <w:szCs w:val="22"/>
        </w:rPr>
      </w:pPr>
    </w:p>
    <w:p w:rsidR="00FB1DBF" w:rsidRPr="004961A9" w:rsidP="00FB1DBF" w14:paraId="08EECF60" w14:textId="77777777">
      <w:pPr>
        <w:pStyle w:val="Numberedparagraphs"/>
        <w:numPr>
          <w:ilvl w:val="0"/>
          <w:numId w:val="0"/>
        </w:numPr>
        <w:jc w:val="both"/>
        <w:rPr>
          <w:sz w:val="22"/>
          <w:szCs w:val="22"/>
        </w:rPr>
      </w:pPr>
      <w:r w:rsidRPr="004961A9">
        <w:rPr>
          <w:sz w:val="22"/>
          <w:szCs w:val="22"/>
        </w:rPr>
        <w:t xml:space="preserve">9.  </w:t>
      </w:r>
      <w:r w:rsidRPr="004961A9">
        <w:rPr>
          <w:sz w:val="22"/>
          <w:szCs w:val="22"/>
        </w:rPr>
        <w:t>The Commission does not anticipate providing any payment or gift to respondents.</w:t>
      </w:r>
    </w:p>
    <w:p w:rsidR="00086735" w:rsidRPr="004961A9" w:rsidP="00086735" w14:paraId="4C963A11" w14:textId="322AD490">
      <w:pPr>
        <w:rPr>
          <w:sz w:val="22"/>
          <w:szCs w:val="22"/>
        </w:rPr>
      </w:pPr>
      <w:r w:rsidRPr="004961A9">
        <w:rPr>
          <w:sz w:val="22"/>
          <w:szCs w:val="22"/>
        </w:rPr>
        <w:t>10.  The Commission’s existing rules regarding the submission of confidential information</w:t>
      </w:r>
      <w:r>
        <w:rPr>
          <w:rStyle w:val="FootnoteReference"/>
          <w:szCs w:val="22"/>
        </w:rPr>
        <w:footnoteReference w:id="2"/>
      </w:r>
      <w:r w:rsidRPr="004961A9">
        <w:rPr>
          <w:sz w:val="22"/>
          <w:szCs w:val="22"/>
        </w:rPr>
        <w:t xml:space="preserve"> permit </w:t>
      </w:r>
      <w:r w:rsidRPr="004961A9" w:rsidR="003D2FD5">
        <w:rPr>
          <w:sz w:val="22"/>
          <w:szCs w:val="22"/>
        </w:rPr>
        <w:t xml:space="preserve">it to </w:t>
      </w:r>
      <w:r w:rsidRPr="004961A9">
        <w:rPr>
          <w:sz w:val="22"/>
          <w:szCs w:val="22"/>
        </w:rPr>
        <w:t>balanc</w:t>
      </w:r>
      <w:r w:rsidRPr="004961A9" w:rsidR="003D2FD5">
        <w:rPr>
          <w:sz w:val="22"/>
          <w:szCs w:val="22"/>
        </w:rPr>
        <w:t xml:space="preserve">e </w:t>
      </w:r>
      <w:r w:rsidRPr="004961A9">
        <w:rPr>
          <w:sz w:val="22"/>
          <w:szCs w:val="22"/>
        </w:rPr>
        <w:t xml:space="preserve">the need for information against the risk of disclosure in individual circumstances.  </w:t>
      </w:r>
      <w:r w:rsidRPr="004961A9" w:rsidR="003D2FD5">
        <w:rPr>
          <w:sz w:val="22"/>
          <w:szCs w:val="22"/>
        </w:rPr>
        <w:t>The Commission addresses on a case-by-case basis i</w:t>
      </w:r>
      <w:r w:rsidRPr="004961A9">
        <w:rPr>
          <w:sz w:val="22"/>
          <w:szCs w:val="22"/>
        </w:rPr>
        <w:t xml:space="preserve">ssues </w:t>
      </w:r>
      <w:r w:rsidRPr="004961A9" w:rsidR="003D2FD5">
        <w:rPr>
          <w:sz w:val="22"/>
          <w:szCs w:val="22"/>
        </w:rPr>
        <w:t xml:space="preserve">not covered </w:t>
      </w:r>
      <w:r w:rsidRPr="004961A9" w:rsidR="00132E27">
        <w:rPr>
          <w:sz w:val="22"/>
          <w:szCs w:val="22"/>
        </w:rPr>
        <w:t>by its</w:t>
      </w:r>
      <w:r w:rsidRPr="004961A9" w:rsidR="003D2FD5">
        <w:rPr>
          <w:sz w:val="22"/>
          <w:szCs w:val="22"/>
        </w:rPr>
        <w:t xml:space="preserve"> existing rules </w:t>
      </w:r>
      <w:r w:rsidRPr="004961A9">
        <w:rPr>
          <w:sz w:val="22"/>
          <w:szCs w:val="22"/>
        </w:rPr>
        <w:t>that may arise regarding access to proprietary data.</w:t>
      </w:r>
      <w:r w:rsidRPr="004961A9" w:rsidR="003D2FD5">
        <w:rPr>
          <w:sz w:val="22"/>
          <w:szCs w:val="22"/>
        </w:rPr>
        <w:t xml:space="preserve">  </w:t>
      </w:r>
    </w:p>
    <w:p w:rsidR="00086735" w:rsidRPr="004961A9" w:rsidP="00086735" w14:paraId="3A3E6DC0" w14:textId="77777777">
      <w:pPr>
        <w:rPr>
          <w:sz w:val="22"/>
          <w:szCs w:val="22"/>
        </w:rPr>
      </w:pPr>
    </w:p>
    <w:p w:rsidR="003D2FD5" w:rsidRPr="004961A9" w:rsidP="00086735" w14:paraId="4AC910FE" w14:textId="77777777">
      <w:pPr>
        <w:rPr>
          <w:sz w:val="22"/>
          <w:szCs w:val="22"/>
        </w:rPr>
      </w:pPr>
    </w:p>
    <w:p w:rsidR="00AE72D1" w:rsidRPr="004961A9" w:rsidP="00086735" w14:paraId="1E9DC7E7" w14:textId="77777777">
      <w:pPr>
        <w:rPr>
          <w:i/>
          <w:sz w:val="22"/>
          <w:szCs w:val="22"/>
        </w:rPr>
      </w:pPr>
      <w:r w:rsidRPr="004961A9">
        <w:rPr>
          <w:sz w:val="22"/>
          <w:szCs w:val="22"/>
        </w:rPr>
        <w:t>11.</w:t>
      </w:r>
      <w:r w:rsidRPr="004961A9">
        <w:rPr>
          <w:sz w:val="22"/>
          <w:szCs w:val="22"/>
        </w:rPr>
        <w:t xml:space="preserve"> </w:t>
      </w:r>
      <w:r w:rsidRPr="004961A9" w:rsidR="00DF5F28">
        <w:rPr>
          <w:sz w:val="22"/>
          <w:szCs w:val="22"/>
        </w:rPr>
        <w:t xml:space="preserve"> </w:t>
      </w:r>
      <w:r w:rsidRPr="004961A9" w:rsidR="00FB1DBF">
        <w:rPr>
          <w:sz w:val="22"/>
          <w:szCs w:val="22"/>
        </w:rPr>
        <w:t>The information collection does not address any matters of a sensitive nature.</w:t>
      </w:r>
      <w:r w:rsidRPr="004961A9" w:rsidR="00FE3108">
        <w:rPr>
          <w:i/>
          <w:sz w:val="22"/>
          <w:szCs w:val="22"/>
        </w:rPr>
        <w:t xml:space="preserve"> </w:t>
      </w:r>
    </w:p>
    <w:p w:rsidR="00A32DBF" w:rsidRPr="004961A9" w:rsidP="00086735" w14:paraId="260AA46A" w14:textId="77777777">
      <w:pPr>
        <w:rPr>
          <w:sz w:val="22"/>
          <w:szCs w:val="22"/>
        </w:rPr>
      </w:pPr>
    </w:p>
    <w:p w:rsidR="004C6D24" w:rsidRPr="004961A9" w:rsidP="004961A9" w14:paraId="01523288" w14:textId="30CCB6DB">
      <w:pPr>
        <w:spacing w:after="120"/>
        <w:rPr>
          <w:sz w:val="22"/>
          <w:szCs w:val="22"/>
        </w:rPr>
      </w:pPr>
      <w:r w:rsidRPr="004961A9">
        <w:rPr>
          <w:sz w:val="22"/>
          <w:szCs w:val="22"/>
        </w:rPr>
        <w:t>12.</w:t>
      </w:r>
      <w:r w:rsidRPr="004961A9" w:rsidR="00BC09D8">
        <w:rPr>
          <w:sz w:val="22"/>
          <w:szCs w:val="22"/>
        </w:rPr>
        <w:t xml:space="preserve">  </w:t>
      </w:r>
      <w:r w:rsidRPr="004961A9">
        <w:rPr>
          <w:sz w:val="22"/>
          <w:szCs w:val="22"/>
        </w:rPr>
        <w:t>Respondent Burden:</w:t>
      </w:r>
    </w:p>
    <w:p w:rsidR="00CF1547" w:rsidRPr="004961A9" w:rsidP="00AE72D1" w14:paraId="49692B7A" w14:textId="090EDB6C">
      <w:pPr>
        <w:rPr>
          <w:sz w:val="22"/>
          <w:szCs w:val="22"/>
        </w:rPr>
      </w:pPr>
      <w:r w:rsidRPr="004961A9">
        <w:rPr>
          <w:sz w:val="22"/>
          <w:szCs w:val="22"/>
        </w:rPr>
        <w:t xml:space="preserve">The entire universe of potential respondents </w:t>
      </w:r>
      <w:r w:rsidRPr="004961A9">
        <w:rPr>
          <w:sz w:val="22"/>
          <w:szCs w:val="22"/>
        </w:rPr>
        <w:t xml:space="preserve">is </w:t>
      </w:r>
      <w:r w:rsidRPr="004961A9">
        <w:rPr>
          <w:sz w:val="22"/>
          <w:szCs w:val="22"/>
        </w:rPr>
        <w:t xml:space="preserve">approximately 3,773 providers or carriers.   </w:t>
      </w:r>
      <w:r w:rsidRPr="004961A9" w:rsidR="00C13D95">
        <w:rPr>
          <w:sz w:val="22"/>
          <w:szCs w:val="22"/>
        </w:rPr>
        <w:t>B</w:t>
      </w:r>
      <w:r w:rsidRPr="004961A9" w:rsidR="00EA31A8">
        <w:rPr>
          <w:sz w:val="22"/>
          <w:szCs w:val="22"/>
        </w:rPr>
        <w:t xml:space="preserve">ased on the staff forecast, </w:t>
      </w:r>
      <w:r w:rsidRPr="004961A9">
        <w:rPr>
          <w:sz w:val="22"/>
          <w:szCs w:val="22"/>
        </w:rPr>
        <w:t>the Commission estimate</w:t>
      </w:r>
      <w:r w:rsidRPr="004961A9" w:rsidR="00BF79F7">
        <w:rPr>
          <w:sz w:val="22"/>
          <w:szCs w:val="22"/>
        </w:rPr>
        <w:t>d</w:t>
      </w:r>
      <w:r w:rsidRPr="004961A9" w:rsidR="00C13D95">
        <w:rPr>
          <w:sz w:val="22"/>
          <w:szCs w:val="22"/>
        </w:rPr>
        <w:t xml:space="preserve"> that 11</w:t>
      </w:r>
      <w:r w:rsidRPr="004961A9">
        <w:rPr>
          <w:sz w:val="22"/>
          <w:szCs w:val="22"/>
        </w:rPr>
        <w:t xml:space="preserve"> respondents could possibly </w:t>
      </w:r>
      <w:r w:rsidRPr="004961A9" w:rsidR="004C6D24">
        <w:rPr>
          <w:sz w:val="22"/>
          <w:szCs w:val="22"/>
        </w:rPr>
        <w:t>file a petition on a yearly basis.</w:t>
      </w:r>
      <w:r w:rsidRPr="004961A9">
        <w:rPr>
          <w:sz w:val="22"/>
          <w:szCs w:val="22"/>
        </w:rPr>
        <w:t xml:space="preserve">  </w:t>
      </w:r>
      <w:r w:rsidRPr="004961A9" w:rsidR="00594B1D">
        <w:rPr>
          <w:sz w:val="22"/>
          <w:szCs w:val="22"/>
        </w:rPr>
        <w:t xml:space="preserve">In </w:t>
      </w:r>
      <w:r w:rsidRPr="004961A9" w:rsidR="00FF44BA">
        <w:rPr>
          <w:sz w:val="22"/>
          <w:szCs w:val="22"/>
        </w:rPr>
        <w:t xml:space="preserve">the three </w:t>
      </w:r>
      <w:r w:rsidRPr="004961A9" w:rsidR="00BF79F7">
        <w:rPr>
          <w:sz w:val="22"/>
          <w:szCs w:val="22"/>
        </w:rPr>
        <w:t>year</w:t>
      </w:r>
      <w:r w:rsidRPr="004961A9" w:rsidR="00FF44BA">
        <w:rPr>
          <w:sz w:val="22"/>
          <w:szCs w:val="22"/>
        </w:rPr>
        <w:t>s</w:t>
      </w:r>
      <w:r w:rsidRPr="004961A9" w:rsidR="00BF79F7">
        <w:rPr>
          <w:sz w:val="22"/>
          <w:szCs w:val="22"/>
        </w:rPr>
        <w:t xml:space="preserve"> </w:t>
      </w:r>
      <w:r w:rsidRPr="004961A9" w:rsidR="00FF44BA">
        <w:rPr>
          <w:sz w:val="22"/>
          <w:szCs w:val="22"/>
        </w:rPr>
        <w:t xml:space="preserve">since </w:t>
      </w:r>
      <w:r w:rsidRPr="004961A9" w:rsidR="00C91A8E">
        <w:rPr>
          <w:sz w:val="22"/>
          <w:szCs w:val="22"/>
        </w:rPr>
        <w:t>the previous renewal</w:t>
      </w:r>
      <w:r w:rsidRPr="004961A9" w:rsidR="00FF44BA">
        <w:rPr>
          <w:sz w:val="22"/>
          <w:szCs w:val="22"/>
        </w:rPr>
        <w:t xml:space="preserve"> of </w:t>
      </w:r>
      <w:r w:rsidRPr="004961A9" w:rsidR="00BF79F7">
        <w:rPr>
          <w:sz w:val="22"/>
          <w:szCs w:val="22"/>
        </w:rPr>
        <w:t>this information collection</w:t>
      </w:r>
      <w:r w:rsidRPr="004961A9" w:rsidR="005B1F38">
        <w:rPr>
          <w:sz w:val="22"/>
          <w:szCs w:val="22"/>
        </w:rPr>
        <w:t>,</w:t>
      </w:r>
      <w:r w:rsidRPr="004961A9" w:rsidR="00BF79F7">
        <w:rPr>
          <w:sz w:val="22"/>
          <w:szCs w:val="22"/>
        </w:rPr>
        <w:t xml:space="preserve"> the Commission has received </w:t>
      </w:r>
      <w:r w:rsidR="004961A9">
        <w:rPr>
          <w:sz w:val="22"/>
          <w:szCs w:val="22"/>
        </w:rPr>
        <w:t>1</w:t>
      </w:r>
      <w:r w:rsidRPr="004961A9">
        <w:rPr>
          <w:sz w:val="22"/>
          <w:szCs w:val="22"/>
        </w:rPr>
        <w:t>forbearance</w:t>
      </w:r>
      <w:r w:rsidRPr="004961A9" w:rsidR="00BF79F7">
        <w:rPr>
          <w:sz w:val="22"/>
          <w:szCs w:val="22"/>
        </w:rPr>
        <w:t xml:space="preserve"> petition.</w:t>
      </w:r>
      <w:r w:rsidRPr="004961A9" w:rsidR="00594B1D">
        <w:rPr>
          <w:sz w:val="22"/>
          <w:szCs w:val="22"/>
        </w:rPr>
        <w:t xml:space="preserve">  The</w:t>
      </w:r>
      <w:r w:rsidRPr="004961A9" w:rsidR="00C13D95">
        <w:rPr>
          <w:sz w:val="22"/>
          <w:szCs w:val="22"/>
        </w:rPr>
        <w:t xml:space="preserve"> Commission’s </w:t>
      </w:r>
      <w:r w:rsidR="004961A9">
        <w:rPr>
          <w:sz w:val="22"/>
          <w:szCs w:val="22"/>
        </w:rPr>
        <w:t xml:space="preserve">revised </w:t>
      </w:r>
      <w:r w:rsidRPr="004961A9" w:rsidR="00C13D95">
        <w:rPr>
          <w:sz w:val="22"/>
          <w:szCs w:val="22"/>
        </w:rPr>
        <w:t>forecast of</w:t>
      </w:r>
      <w:r w:rsidRPr="004961A9" w:rsidR="00BF79F7">
        <w:rPr>
          <w:sz w:val="22"/>
          <w:szCs w:val="22"/>
        </w:rPr>
        <w:t xml:space="preserve"> petitions-per</w:t>
      </w:r>
      <w:r w:rsidRPr="004961A9">
        <w:rPr>
          <w:sz w:val="22"/>
          <w:szCs w:val="22"/>
        </w:rPr>
        <w:t>-</w:t>
      </w:r>
      <w:r w:rsidRPr="004961A9" w:rsidR="00BF79F7">
        <w:rPr>
          <w:sz w:val="22"/>
          <w:szCs w:val="22"/>
        </w:rPr>
        <w:t xml:space="preserve">year estimate </w:t>
      </w:r>
      <w:r w:rsidRPr="004961A9" w:rsidR="00C13D95">
        <w:rPr>
          <w:sz w:val="22"/>
          <w:szCs w:val="22"/>
        </w:rPr>
        <w:t xml:space="preserve">is </w:t>
      </w:r>
      <w:r w:rsidR="004961A9">
        <w:rPr>
          <w:sz w:val="22"/>
          <w:szCs w:val="22"/>
        </w:rPr>
        <w:t>1</w:t>
      </w:r>
      <w:r w:rsidRPr="004961A9">
        <w:rPr>
          <w:sz w:val="22"/>
          <w:szCs w:val="22"/>
        </w:rPr>
        <w:t>.</w:t>
      </w:r>
    </w:p>
    <w:p w:rsidR="00A46099" w:rsidRPr="004961A9" w:rsidP="00AE72D1" w14:paraId="62B5B745" w14:textId="77777777">
      <w:pPr>
        <w:rPr>
          <w:sz w:val="22"/>
          <w:szCs w:val="22"/>
        </w:rPr>
      </w:pPr>
    </w:p>
    <w:p w:rsidR="00FC006B" w:rsidRPr="004961A9" w:rsidP="00E1179D" w14:paraId="1828F80F" w14:textId="5F1FB76F">
      <w:pPr>
        <w:ind w:firstLine="720"/>
        <w:rPr>
          <w:sz w:val="22"/>
          <w:szCs w:val="22"/>
        </w:rPr>
      </w:pPr>
      <w:r w:rsidRPr="004961A9">
        <w:rPr>
          <w:sz w:val="22"/>
          <w:szCs w:val="22"/>
        </w:rPr>
        <w:t>1</w:t>
      </w:r>
      <w:r w:rsidRPr="004961A9">
        <w:rPr>
          <w:sz w:val="22"/>
          <w:szCs w:val="22"/>
        </w:rPr>
        <w:t>.  Number of resp</w:t>
      </w:r>
      <w:r w:rsidRPr="004961A9" w:rsidR="00FB1DBF">
        <w:rPr>
          <w:sz w:val="22"/>
          <w:szCs w:val="22"/>
        </w:rPr>
        <w:t>o</w:t>
      </w:r>
      <w:r w:rsidRPr="004961A9">
        <w:rPr>
          <w:sz w:val="22"/>
          <w:szCs w:val="22"/>
        </w:rPr>
        <w:t xml:space="preserve">ndents:  </w:t>
      </w:r>
      <w:r w:rsidR="004961A9">
        <w:rPr>
          <w:sz w:val="22"/>
          <w:szCs w:val="22"/>
        </w:rPr>
        <w:t>1</w:t>
      </w:r>
      <w:r w:rsidRPr="004961A9" w:rsidR="00342C27">
        <w:rPr>
          <w:sz w:val="22"/>
          <w:szCs w:val="22"/>
        </w:rPr>
        <w:t>.</w:t>
      </w:r>
      <w:r w:rsidRPr="004961A9">
        <w:rPr>
          <w:sz w:val="22"/>
          <w:szCs w:val="22"/>
        </w:rPr>
        <w:t xml:space="preserve">   </w:t>
      </w:r>
    </w:p>
    <w:p w:rsidR="00A32DBF" w:rsidRPr="004961A9" w:rsidP="00342C27" w14:paraId="76C1223A" w14:textId="5ECD021A">
      <w:pPr>
        <w:ind w:firstLine="720"/>
        <w:rPr>
          <w:sz w:val="22"/>
          <w:szCs w:val="22"/>
        </w:rPr>
      </w:pPr>
      <w:r w:rsidRPr="004961A9">
        <w:rPr>
          <w:sz w:val="22"/>
          <w:szCs w:val="22"/>
        </w:rPr>
        <w:t>2</w:t>
      </w:r>
      <w:r w:rsidRPr="004961A9" w:rsidR="00FC006B">
        <w:rPr>
          <w:sz w:val="22"/>
          <w:szCs w:val="22"/>
        </w:rPr>
        <w:t>.  Total annual respondents</w:t>
      </w:r>
      <w:r w:rsidRPr="004961A9" w:rsidR="00545291">
        <w:rPr>
          <w:sz w:val="22"/>
          <w:szCs w:val="22"/>
        </w:rPr>
        <w:t>/Total Annual Responses</w:t>
      </w:r>
      <w:r w:rsidRPr="004961A9" w:rsidR="00FC006B">
        <w:rPr>
          <w:sz w:val="22"/>
          <w:szCs w:val="22"/>
        </w:rPr>
        <w:t xml:space="preserve">:  </w:t>
      </w:r>
      <w:r w:rsidR="004961A9">
        <w:rPr>
          <w:sz w:val="22"/>
          <w:szCs w:val="22"/>
        </w:rPr>
        <w:t>1</w:t>
      </w:r>
      <w:r w:rsidRPr="004961A9" w:rsidR="00FC006B">
        <w:rPr>
          <w:sz w:val="22"/>
          <w:szCs w:val="22"/>
        </w:rPr>
        <w:t xml:space="preserve">.  </w:t>
      </w:r>
    </w:p>
    <w:p w:rsidR="00FC006B" w:rsidRPr="004961A9" w:rsidP="00342C27" w14:paraId="6A4AEF8C" w14:textId="77777777">
      <w:pPr>
        <w:ind w:firstLine="720"/>
        <w:rPr>
          <w:sz w:val="22"/>
          <w:szCs w:val="22"/>
        </w:rPr>
      </w:pPr>
      <w:r w:rsidRPr="004961A9">
        <w:rPr>
          <w:sz w:val="22"/>
          <w:szCs w:val="22"/>
        </w:rPr>
        <w:t>3.</w:t>
      </w:r>
      <w:r w:rsidRPr="004961A9">
        <w:rPr>
          <w:sz w:val="22"/>
          <w:szCs w:val="22"/>
        </w:rPr>
        <w:t xml:space="preserve">  Percentage of those responses collected electronically:  </w:t>
      </w:r>
      <w:r w:rsidRPr="004961A9">
        <w:rPr>
          <w:sz w:val="22"/>
          <w:szCs w:val="22"/>
        </w:rPr>
        <w:t>100%</w:t>
      </w:r>
      <w:r w:rsidRPr="004961A9" w:rsidR="00954CAB">
        <w:rPr>
          <w:sz w:val="22"/>
          <w:szCs w:val="22"/>
        </w:rPr>
        <w:t>.</w:t>
      </w:r>
    </w:p>
    <w:p w:rsidR="00342C27" w:rsidRPr="004961A9" w:rsidP="00342C27" w14:paraId="57D4BE07" w14:textId="77777777">
      <w:pPr>
        <w:ind w:firstLine="720"/>
        <w:rPr>
          <w:sz w:val="22"/>
          <w:szCs w:val="22"/>
        </w:rPr>
      </w:pPr>
      <w:r w:rsidRPr="004961A9">
        <w:rPr>
          <w:sz w:val="22"/>
          <w:szCs w:val="22"/>
        </w:rPr>
        <w:t>4.</w:t>
      </w:r>
      <w:r w:rsidRPr="004961A9" w:rsidR="00FC006B">
        <w:rPr>
          <w:sz w:val="22"/>
          <w:szCs w:val="22"/>
        </w:rPr>
        <w:t xml:space="preserve">  </w:t>
      </w:r>
      <w:r w:rsidRPr="004961A9">
        <w:rPr>
          <w:sz w:val="22"/>
          <w:szCs w:val="22"/>
        </w:rPr>
        <w:t>Annual burden per respondent:   640</w:t>
      </w:r>
      <w:r w:rsidRPr="004961A9" w:rsidR="00336F72">
        <w:rPr>
          <w:sz w:val="22"/>
          <w:szCs w:val="22"/>
        </w:rPr>
        <w:t xml:space="preserve"> hours.</w:t>
      </w:r>
    </w:p>
    <w:p w:rsidR="00342C27" w:rsidRPr="004961A9" w:rsidP="004961A9" w14:paraId="178AE92A" w14:textId="4A7FE64C">
      <w:pPr>
        <w:ind w:left="990" w:hanging="270"/>
        <w:rPr>
          <w:b/>
          <w:sz w:val="22"/>
          <w:szCs w:val="22"/>
        </w:rPr>
      </w:pPr>
      <w:r w:rsidRPr="004961A9">
        <w:rPr>
          <w:sz w:val="22"/>
          <w:szCs w:val="22"/>
        </w:rPr>
        <w:t xml:space="preserve">5.  </w:t>
      </w:r>
      <w:r w:rsidRPr="004961A9" w:rsidR="00FC006B">
        <w:rPr>
          <w:sz w:val="22"/>
          <w:szCs w:val="22"/>
        </w:rPr>
        <w:t xml:space="preserve">Total annual hours requested:  </w:t>
      </w:r>
      <w:r w:rsidR="004961A9">
        <w:rPr>
          <w:sz w:val="22"/>
          <w:szCs w:val="22"/>
        </w:rPr>
        <w:t>1</w:t>
      </w:r>
      <w:r w:rsidRPr="004961A9" w:rsidR="004961A9">
        <w:rPr>
          <w:sz w:val="22"/>
          <w:szCs w:val="22"/>
        </w:rPr>
        <w:t xml:space="preserve"> </w:t>
      </w:r>
      <w:r w:rsidRPr="004961A9" w:rsidR="00E1179D">
        <w:rPr>
          <w:sz w:val="22"/>
          <w:szCs w:val="22"/>
        </w:rPr>
        <w:t>respon</w:t>
      </w:r>
      <w:r w:rsidRPr="004961A9" w:rsidR="00F93CB4">
        <w:rPr>
          <w:sz w:val="22"/>
          <w:szCs w:val="22"/>
        </w:rPr>
        <w:t>dents x 1 petition per respondent</w:t>
      </w:r>
      <w:r w:rsidRPr="004961A9" w:rsidR="00E1179D">
        <w:rPr>
          <w:sz w:val="22"/>
          <w:szCs w:val="22"/>
        </w:rPr>
        <w:t xml:space="preserve"> x 640 hours per response = </w:t>
      </w:r>
      <w:r w:rsidR="004961A9">
        <w:rPr>
          <w:b/>
          <w:sz w:val="22"/>
          <w:szCs w:val="22"/>
        </w:rPr>
        <w:t>640</w:t>
      </w:r>
      <w:r w:rsidRPr="004961A9" w:rsidR="00CF1547">
        <w:rPr>
          <w:b/>
          <w:sz w:val="22"/>
          <w:szCs w:val="22"/>
        </w:rPr>
        <w:t xml:space="preserve"> </w:t>
      </w:r>
      <w:r w:rsidRPr="004961A9" w:rsidR="00E1179D">
        <w:rPr>
          <w:b/>
          <w:sz w:val="22"/>
          <w:szCs w:val="22"/>
        </w:rPr>
        <w:t>total annual hours</w:t>
      </w:r>
      <w:r w:rsidRPr="004961A9" w:rsidR="00336F72">
        <w:rPr>
          <w:b/>
          <w:sz w:val="22"/>
          <w:szCs w:val="22"/>
        </w:rPr>
        <w:t>.</w:t>
      </w:r>
    </w:p>
    <w:p w:rsidR="00A46099" w:rsidRPr="004961A9" w:rsidP="00C76ED0" w14:paraId="471FA2D6" w14:textId="4E6EDE95">
      <w:pPr>
        <w:ind w:left="720"/>
        <w:rPr>
          <w:sz w:val="22"/>
          <w:szCs w:val="22"/>
        </w:rPr>
      </w:pPr>
      <w:r w:rsidRPr="004961A9">
        <w:rPr>
          <w:sz w:val="22"/>
          <w:szCs w:val="22"/>
        </w:rPr>
        <w:t>6</w:t>
      </w:r>
      <w:r w:rsidRPr="004961A9" w:rsidR="00CF1547">
        <w:rPr>
          <w:sz w:val="22"/>
          <w:szCs w:val="22"/>
        </w:rPr>
        <w:t>.</w:t>
      </w:r>
      <w:r w:rsidRPr="004961A9" w:rsidR="00342C27">
        <w:rPr>
          <w:sz w:val="22"/>
          <w:szCs w:val="22"/>
        </w:rPr>
        <w:t xml:space="preserve">  Explanation</w:t>
      </w:r>
      <w:r w:rsidRPr="004961A9" w:rsidR="00B15911">
        <w:rPr>
          <w:sz w:val="22"/>
          <w:szCs w:val="22"/>
        </w:rPr>
        <w:t xml:space="preserve">: </w:t>
      </w:r>
      <w:r w:rsidRPr="004961A9" w:rsidR="00342C27">
        <w:rPr>
          <w:sz w:val="22"/>
          <w:szCs w:val="22"/>
        </w:rPr>
        <w:t xml:space="preserve"> </w:t>
      </w:r>
      <w:r w:rsidRPr="004961A9">
        <w:rPr>
          <w:sz w:val="22"/>
          <w:szCs w:val="22"/>
        </w:rPr>
        <w:t xml:space="preserve">The estimated annual in-house cost to respondents is </w:t>
      </w:r>
      <w:r w:rsidRPr="004961A9">
        <w:rPr>
          <w:b/>
          <w:bCs/>
          <w:sz w:val="22"/>
          <w:szCs w:val="22"/>
        </w:rPr>
        <w:t>$</w:t>
      </w:r>
      <w:r w:rsidR="004961A9">
        <w:rPr>
          <w:b/>
          <w:bCs/>
          <w:sz w:val="22"/>
          <w:szCs w:val="22"/>
        </w:rPr>
        <w:t>54,910</w:t>
      </w:r>
      <w:r w:rsidR="00EF25D8">
        <w:rPr>
          <w:b/>
          <w:bCs/>
          <w:sz w:val="22"/>
          <w:szCs w:val="22"/>
        </w:rPr>
        <w:t>.</w:t>
      </w:r>
      <w:r w:rsidRPr="004961A9">
        <w:rPr>
          <w:sz w:val="22"/>
          <w:szCs w:val="22"/>
        </w:rPr>
        <w:t xml:space="preserve"> </w:t>
      </w:r>
    </w:p>
    <w:p w:rsidR="00A46099" w:rsidRPr="004961A9" w:rsidP="00C76ED0" w14:paraId="23B6B686" w14:textId="77777777">
      <w:pPr>
        <w:ind w:left="720"/>
        <w:rPr>
          <w:sz w:val="22"/>
          <w:szCs w:val="22"/>
        </w:rPr>
      </w:pPr>
    </w:p>
    <w:p w:rsidR="00925D98" w:rsidRPr="004961A9" w:rsidP="00C76ED0" w14:paraId="3384F0CC" w14:textId="7DF62E40">
      <w:pPr>
        <w:ind w:left="720"/>
        <w:rPr>
          <w:sz w:val="22"/>
          <w:szCs w:val="22"/>
        </w:rPr>
      </w:pPr>
      <w:r w:rsidRPr="004961A9">
        <w:rPr>
          <w:sz w:val="22"/>
          <w:szCs w:val="22"/>
        </w:rPr>
        <w:t xml:space="preserve">A complete as-filed forbearance petition may typically require a team of three in-house attorneys with an hourly wage of </w:t>
      </w:r>
      <w:r w:rsidRPr="004961A9">
        <w:rPr>
          <w:b/>
          <w:bCs/>
          <w:sz w:val="22"/>
          <w:szCs w:val="22"/>
        </w:rPr>
        <w:t>$</w:t>
      </w:r>
      <w:r w:rsidR="004961A9">
        <w:rPr>
          <w:b/>
          <w:bCs/>
          <w:sz w:val="22"/>
          <w:szCs w:val="22"/>
        </w:rPr>
        <w:t>89.04</w:t>
      </w:r>
      <w:r w:rsidRPr="004961A9">
        <w:rPr>
          <w:sz w:val="22"/>
          <w:szCs w:val="22"/>
        </w:rPr>
        <w:t xml:space="preserve"> (comparable to a GS 15, step 5 government attorney) to work 200 hours each (600 hours), plus approximately 40 hours from in-house support staff with an hourly wage of </w:t>
      </w:r>
      <w:r w:rsidRPr="004961A9">
        <w:rPr>
          <w:b/>
          <w:bCs/>
          <w:sz w:val="22"/>
          <w:szCs w:val="22"/>
        </w:rPr>
        <w:t>$</w:t>
      </w:r>
      <w:r w:rsidR="004961A9">
        <w:rPr>
          <w:b/>
          <w:bCs/>
          <w:sz w:val="22"/>
          <w:szCs w:val="22"/>
        </w:rPr>
        <w:t>37.15</w:t>
      </w:r>
      <w:r w:rsidRPr="004961A9">
        <w:rPr>
          <w:sz w:val="22"/>
          <w:szCs w:val="22"/>
        </w:rPr>
        <w:t xml:space="preserve"> (comparable to a GS 9 step 5) (40 hours):  ($</w:t>
      </w:r>
      <w:r w:rsidR="004961A9">
        <w:rPr>
          <w:sz w:val="22"/>
          <w:szCs w:val="22"/>
        </w:rPr>
        <w:t>89.04</w:t>
      </w:r>
      <w:r w:rsidRPr="004961A9">
        <w:rPr>
          <w:sz w:val="22"/>
          <w:szCs w:val="22"/>
        </w:rPr>
        <w:t xml:space="preserve"> x 600) + ($</w:t>
      </w:r>
      <w:r w:rsidR="004961A9">
        <w:rPr>
          <w:sz w:val="22"/>
          <w:szCs w:val="22"/>
        </w:rPr>
        <w:t>37.15</w:t>
      </w:r>
      <w:r w:rsidRPr="004961A9">
        <w:rPr>
          <w:sz w:val="22"/>
          <w:szCs w:val="22"/>
        </w:rPr>
        <w:t xml:space="preserve"> x 40)) x </w:t>
      </w:r>
      <w:r w:rsidR="004961A9">
        <w:rPr>
          <w:sz w:val="22"/>
          <w:szCs w:val="22"/>
        </w:rPr>
        <w:t>1</w:t>
      </w:r>
      <w:r w:rsidRPr="004961A9">
        <w:rPr>
          <w:sz w:val="22"/>
          <w:szCs w:val="22"/>
        </w:rPr>
        <w:t xml:space="preserve"> = </w:t>
      </w:r>
      <w:r w:rsidRPr="004961A9">
        <w:rPr>
          <w:b/>
          <w:bCs/>
          <w:sz w:val="22"/>
          <w:szCs w:val="22"/>
        </w:rPr>
        <w:t>$</w:t>
      </w:r>
      <w:r w:rsidR="004961A9">
        <w:rPr>
          <w:b/>
          <w:bCs/>
          <w:sz w:val="22"/>
          <w:szCs w:val="22"/>
        </w:rPr>
        <w:t>54,910</w:t>
      </w:r>
      <w:r w:rsidRPr="004961A9" w:rsidR="003E095F">
        <w:rPr>
          <w:sz w:val="22"/>
          <w:szCs w:val="22"/>
        </w:rPr>
        <w:t>.</w:t>
      </w:r>
    </w:p>
    <w:p w:rsidR="00545291" w:rsidRPr="004961A9" w:rsidP="00342C27" w14:paraId="0E168BD8" w14:textId="77777777">
      <w:pPr>
        <w:ind w:left="720"/>
        <w:rPr>
          <w:sz w:val="22"/>
          <w:szCs w:val="22"/>
        </w:rPr>
      </w:pPr>
    </w:p>
    <w:p w:rsidR="004C6D24" w:rsidRPr="004961A9" w:rsidP="004961A9" w14:paraId="11FF86C2" w14:textId="388FBC5C">
      <w:pPr>
        <w:spacing w:after="120"/>
        <w:rPr>
          <w:sz w:val="22"/>
          <w:szCs w:val="22"/>
        </w:rPr>
      </w:pPr>
      <w:r w:rsidRPr="004961A9">
        <w:rPr>
          <w:sz w:val="22"/>
          <w:szCs w:val="22"/>
        </w:rPr>
        <w:t xml:space="preserve">  </w:t>
      </w:r>
      <w:r w:rsidRPr="004961A9" w:rsidR="00FE3108">
        <w:rPr>
          <w:sz w:val="22"/>
          <w:szCs w:val="22"/>
        </w:rPr>
        <w:t>13</w:t>
      </w:r>
      <w:r w:rsidRPr="004961A9">
        <w:rPr>
          <w:sz w:val="22"/>
          <w:szCs w:val="22"/>
        </w:rPr>
        <w:t xml:space="preserve">.  Respondent Costs:   </w:t>
      </w:r>
    </w:p>
    <w:p w:rsidR="00EF25D8" w:rsidRPr="004961A9" w:rsidP="003215D0" w14:paraId="678C5C83" w14:textId="1A613F6B">
      <w:pPr>
        <w:numPr>
          <w:ilvl w:val="0"/>
          <w:numId w:val="26"/>
        </w:numPr>
        <w:ind w:left="1080"/>
        <w:rPr>
          <w:sz w:val="22"/>
          <w:szCs w:val="22"/>
        </w:rPr>
      </w:pPr>
      <w:r>
        <w:rPr>
          <w:sz w:val="22"/>
          <w:szCs w:val="22"/>
        </w:rPr>
        <w:t>No start-up costs are required to file a petition for forbearance.</w:t>
      </w:r>
    </w:p>
    <w:p w:rsidR="006F2BA9" w:rsidRPr="00EF25D8" w:rsidP="003215D0" w14:paraId="6EA5C3C0" w14:textId="77777777">
      <w:pPr>
        <w:numPr>
          <w:ilvl w:val="0"/>
          <w:numId w:val="26"/>
        </w:numPr>
        <w:ind w:left="1080"/>
        <w:rPr>
          <w:sz w:val="22"/>
          <w:szCs w:val="22"/>
        </w:rPr>
      </w:pPr>
      <w:r w:rsidRPr="00EF25D8">
        <w:rPr>
          <w:sz w:val="22"/>
          <w:szCs w:val="22"/>
        </w:rPr>
        <w:t xml:space="preserve">A </w:t>
      </w:r>
      <w:r w:rsidRPr="00EF25D8" w:rsidR="00C122F5">
        <w:rPr>
          <w:sz w:val="22"/>
          <w:szCs w:val="22"/>
        </w:rPr>
        <w:t>carrier</w:t>
      </w:r>
      <w:r w:rsidRPr="00EF25D8">
        <w:rPr>
          <w:sz w:val="22"/>
          <w:szCs w:val="22"/>
        </w:rPr>
        <w:t xml:space="preserve"> </w:t>
      </w:r>
      <w:r w:rsidRPr="00EF25D8" w:rsidR="00C122F5">
        <w:rPr>
          <w:sz w:val="22"/>
          <w:szCs w:val="22"/>
        </w:rPr>
        <w:t xml:space="preserve">is </w:t>
      </w:r>
      <w:r w:rsidRPr="00EF25D8" w:rsidR="00AE72D1">
        <w:rPr>
          <w:sz w:val="22"/>
          <w:szCs w:val="22"/>
        </w:rPr>
        <w:t xml:space="preserve">usually </w:t>
      </w:r>
      <w:r w:rsidRPr="00EF25D8" w:rsidR="00C122F5">
        <w:rPr>
          <w:sz w:val="22"/>
          <w:szCs w:val="22"/>
        </w:rPr>
        <w:t xml:space="preserve">able to </w:t>
      </w:r>
      <w:r w:rsidRPr="00EF25D8">
        <w:rPr>
          <w:sz w:val="22"/>
          <w:szCs w:val="22"/>
        </w:rPr>
        <w:t>prepare a</w:t>
      </w:r>
      <w:r w:rsidRPr="00EF25D8" w:rsidR="00DB45FE">
        <w:rPr>
          <w:sz w:val="22"/>
          <w:szCs w:val="22"/>
        </w:rPr>
        <w:t xml:space="preserve"> </w:t>
      </w:r>
      <w:r w:rsidRPr="00EF25D8" w:rsidR="00C122F5">
        <w:rPr>
          <w:sz w:val="22"/>
          <w:szCs w:val="22"/>
        </w:rPr>
        <w:t xml:space="preserve">forbearance </w:t>
      </w:r>
      <w:r w:rsidRPr="00EF25D8" w:rsidR="00DB45FE">
        <w:rPr>
          <w:sz w:val="22"/>
          <w:szCs w:val="22"/>
        </w:rPr>
        <w:t>petition</w:t>
      </w:r>
      <w:r w:rsidRPr="00EF25D8">
        <w:rPr>
          <w:sz w:val="22"/>
          <w:szCs w:val="22"/>
        </w:rPr>
        <w:t xml:space="preserve"> “in house</w:t>
      </w:r>
      <w:r w:rsidRPr="00EF25D8" w:rsidR="00C122F5">
        <w:rPr>
          <w:sz w:val="22"/>
          <w:szCs w:val="22"/>
        </w:rPr>
        <w:t>.</w:t>
      </w:r>
      <w:r w:rsidRPr="00EF25D8">
        <w:rPr>
          <w:sz w:val="22"/>
          <w:szCs w:val="22"/>
        </w:rPr>
        <w:t xml:space="preserve">” </w:t>
      </w:r>
      <w:r w:rsidRPr="00EF25D8" w:rsidR="001A43B0">
        <w:rPr>
          <w:sz w:val="22"/>
          <w:szCs w:val="22"/>
        </w:rPr>
        <w:t xml:space="preserve"> </w:t>
      </w:r>
    </w:p>
    <w:p w:rsidR="005D61DF" w:rsidRPr="004961A9" w:rsidP="005D61DF" w14:paraId="685384C0" w14:textId="77777777">
      <w:pPr>
        <w:ind w:left="1080"/>
        <w:rPr>
          <w:sz w:val="22"/>
          <w:szCs w:val="22"/>
        </w:rPr>
      </w:pPr>
    </w:p>
    <w:p w:rsidR="00F27884" w:rsidRPr="004961A9" w:rsidP="004961A9" w14:paraId="67189815" w14:textId="7D39F63A">
      <w:pPr>
        <w:keepNext/>
        <w:spacing w:after="120"/>
        <w:rPr>
          <w:sz w:val="22"/>
          <w:szCs w:val="22"/>
        </w:rPr>
      </w:pPr>
      <w:r w:rsidRPr="004961A9">
        <w:rPr>
          <w:sz w:val="22"/>
          <w:szCs w:val="22"/>
        </w:rPr>
        <w:t xml:space="preserve">14.  </w:t>
      </w:r>
      <w:r w:rsidRPr="004961A9">
        <w:rPr>
          <w:sz w:val="22"/>
          <w:szCs w:val="22"/>
        </w:rPr>
        <w:t>Government Costs:</w:t>
      </w:r>
    </w:p>
    <w:p w:rsidR="00086735" w:rsidRPr="004961A9" w:rsidP="00A46099" w14:paraId="358F51C5" w14:textId="685954CB">
      <w:pPr>
        <w:keepNext/>
        <w:rPr>
          <w:sz w:val="22"/>
          <w:szCs w:val="22"/>
        </w:rPr>
      </w:pPr>
      <w:r w:rsidRPr="004961A9">
        <w:rPr>
          <w:sz w:val="22"/>
          <w:szCs w:val="22"/>
        </w:rPr>
        <w:tab/>
      </w:r>
      <w:r w:rsidRPr="004961A9" w:rsidR="00A51202">
        <w:rPr>
          <w:sz w:val="22"/>
          <w:szCs w:val="22"/>
        </w:rPr>
        <w:t>For one proceeding initiated by a forbearance petition, the</w:t>
      </w:r>
      <w:r w:rsidRPr="004961A9" w:rsidR="00260D03">
        <w:rPr>
          <w:sz w:val="22"/>
          <w:szCs w:val="22"/>
        </w:rPr>
        <w:t xml:space="preserve"> Commission estimated </w:t>
      </w:r>
      <w:r w:rsidRPr="004961A9" w:rsidR="00A51202">
        <w:rPr>
          <w:sz w:val="22"/>
          <w:szCs w:val="22"/>
        </w:rPr>
        <w:t xml:space="preserve">the time spent to be </w:t>
      </w:r>
      <w:r w:rsidRPr="004961A9" w:rsidR="00260D03">
        <w:rPr>
          <w:sz w:val="22"/>
          <w:szCs w:val="22"/>
        </w:rPr>
        <w:t>2,096 hours</w:t>
      </w:r>
      <w:r w:rsidRPr="004961A9" w:rsidR="00D17022">
        <w:rPr>
          <w:sz w:val="22"/>
          <w:szCs w:val="22"/>
        </w:rPr>
        <w:t>,</w:t>
      </w:r>
      <w:r w:rsidRPr="004961A9" w:rsidR="00260D03">
        <w:rPr>
          <w:sz w:val="22"/>
          <w:szCs w:val="22"/>
        </w:rPr>
        <w:t xml:space="preserve"> at an estimated personnel cost of </w:t>
      </w:r>
      <w:r w:rsidRPr="001D4989" w:rsidR="00260D03">
        <w:rPr>
          <w:b/>
          <w:sz w:val="22"/>
          <w:szCs w:val="22"/>
        </w:rPr>
        <w:t>$</w:t>
      </w:r>
      <w:r w:rsidRPr="001D4989" w:rsidR="006266D9">
        <w:rPr>
          <w:b/>
          <w:sz w:val="22"/>
          <w:szCs w:val="22"/>
        </w:rPr>
        <w:t>186,628</w:t>
      </w:r>
      <w:r w:rsidRPr="004961A9" w:rsidR="00B02427">
        <w:rPr>
          <w:b/>
          <w:sz w:val="22"/>
          <w:szCs w:val="22"/>
        </w:rPr>
        <w:t xml:space="preserve"> (GS </w:t>
      </w:r>
      <w:r w:rsidRPr="004961A9" w:rsidR="00543177">
        <w:rPr>
          <w:b/>
          <w:sz w:val="22"/>
          <w:szCs w:val="22"/>
        </w:rPr>
        <w:t>15,</w:t>
      </w:r>
      <w:r w:rsidRPr="004961A9" w:rsidR="00543177">
        <w:rPr>
          <w:b/>
          <w:color w:val="00B050"/>
          <w:sz w:val="22"/>
          <w:szCs w:val="22"/>
        </w:rPr>
        <w:t xml:space="preserve"> </w:t>
      </w:r>
      <w:r w:rsidRPr="004961A9" w:rsidR="00B02427">
        <w:rPr>
          <w:b/>
          <w:sz w:val="22"/>
          <w:szCs w:val="22"/>
        </w:rPr>
        <w:t xml:space="preserve">Step </w:t>
      </w:r>
      <w:r w:rsidRPr="004961A9" w:rsidR="002D2D8E">
        <w:rPr>
          <w:b/>
          <w:sz w:val="22"/>
          <w:szCs w:val="22"/>
        </w:rPr>
        <w:t>5</w:t>
      </w:r>
      <w:r w:rsidR="006266D9">
        <w:rPr>
          <w:b/>
          <w:sz w:val="22"/>
          <w:szCs w:val="22"/>
        </w:rPr>
        <w:t>; rounded</w:t>
      </w:r>
      <w:r w:rsidRPr="004961A9" w:rsidR="00543177">
        <w:rPr>
          <w:b/>
          <w:sz w:val="22"/>
          <w:szCs w:val="22"/>
        </w:rPr>
        <w:t>)</w:t>
      </w:r>
      <w:r w:rsidRPr="004961A9" w:rsidR="00260D03">
        <w:rPr>
          <w:sz w:val="22"/>
          <w:szCs w:val="22"/>
        </w:rPr>
        <w:t xml:space="preserve">.  </w:t>
      </w:r>
    </w:p>
    <w:p w:rsidR="00086735" w:rsidRPr="004961A9" w:rsidP="00086735" w14:paraId="5640BADF" w14:textId="77777777">
      <w:pPr>
        <w:rPr>
          <w:sz w:val="22"/>
          <w:szCs w:val="22"/>
        </w:rPr>
      </w:pPr>
    </w:p>
    <w:p w:rsidR="00260D03" w:rsidRPr="004961A9" w:rsidP="00086735" w14:paraId="0C4DE1B8" w14:textId="4616E037">
      <w:pPr>
        <w:rPr>
          <w:sz w:val="22"/>
          <w:szCs w:val="22"/>
        </w:rPr>
      </w:pPr>
      <w:r w:rsidRPr="004961A9">
        <w:rPr>
          <w:sz w:val="22"/>
          <w:szCs w:val="22"/>
        </w:rPr>
        <w:t xml:space="preserve">The estimated annualized cost </w:t>
      </w:r>
      <w:r w:rsidRPr="004961A9" w:rsidR="00D17022">
        <w:rPr>
          <w:sz w:val="22"/>
          <w:szCs w:val="22"/>
        </w:rPr>
        <w:t xml:space="preserve">to the federal government of </w:t>
      </w:r>
      <w:r w:rsidRPr="004961A9" w:rsidR="00400A74">
        <w:rPr>
          <w:sz w:val="22"/>
          <w:szCs w:val="22"/>
        </w:rPr>
        <w:t>processing</w:t>
      </w:r>
      <w:r w:rsidRPr="004961A9" w:rsidR="00D17022">
        <w:rPr>
          <w:sz w:val="22"/>
          <w:szCs w:val="22"/>
        </w:rPr>
        <w:t xml:space="preserve"> forbearance petitions </w:t>
      </w:r>
      <w:r w:rsidRPr="004961A9">
        <w:rPr>
          <w:sz w:val="22"/>
          <w:szCs w:val="22"/>
        </w:rPr>
        <w:t>is</w:t>
      </w:r>
      <w:r w:rsidRPr="004961A9" w:rsidR="00EA31A8">
        <w:rPr>
          <w:sz w:val="22"/>
          <w:szCs w:val="22"/>
        </w:rPr>
        <w:t xml:space="preserve"> </w:t>
      </w:r>
      <w:r w:rsidRPr="004961A9" w:rsidR="00C13D95">
        <w:rPr>
          <w:b/>
          <w:sz w:val="22"/>
          <w:szCs w:val="22"/>
        </w:rPr>
        <w:t>$</w:t>
      </w:r>
      <w:r w:rsidR="006266D9">
        <w:rPr>
          <w:b/>
          <w:sz w:val="22"/>
          <w:szCs w:val="22"/>
        </w:rPr>
        <w:t>186,628 (rounded)</w:t>
      </w:r>
      <w:r w:rsidRPr="004961A9">
        <w:rPr>
          <w:sz w:val="22"/>
          <w:szCs w:val="22"/>
        </w:rPr>
        <w:t xml:space="preserve">. </w:t>
      </w:r>
      <w:r w:rsidRPr="004961A9" w:rsidR="00D17022">
        <w:rPr>
          <w:sz w:val="22"/>
          <w:szCs w:val="22"/>
        </w:rPr>
        <w:t xml:space="preserve"> </w:t>
      </w:r>
    </w:p>
    <w:p w:rsidR="00A46099" w:rsidRPr="004961A9" w:rsidP="00086735" w14:paraId="22D9081E" w14:textId="77777777">
      <w:pPr>
        <w:rPr>
          <w:sz w:val="22"/>
          <w:szCs w:val="22"/>
        </w:rPr>
      </w:pPr>
    </w:p>
    <w:p w:rsidR="0068471F" w:rsidRPr="004961A9" w:rsidP="00F056F5" w14:paraId="7B192A2E" w14:textId="14C4F8D8">
      <w:pPr>
        <w:numPr>
          <w:ilvl w:val="0"/>
          <w:numId w:val="23"/>
        </w:numPr>
        <w:rPr>
          <w:sz w:val="22"/>
          <w:szCs w:val="22"/>
        </w:rPr>
      </w:pPr>
      <w:r w:rsidRPr="004961A9">
        <w:rPr>
          <w:b/>
          <w:sz w:val="22"/>
          <w:szCs w:val="22"/>
        </w:rPr>
        <w:t>$</w:t>
      </w:r>
      <w:r w:rsidR="006266D9">
        <w:rPr>
          <w:b/>
          <w:sz w:val="22"/>
          <w:szCs w:val="22"/>
        </w:rPr>
        <w:t>186,628</w:t>
      </w:r>
      <w:r w:rsidRPr="004961A9" w:rsidR="00222DFD">
        <w:rPr>
          <w:b/>
          <w:sz w:val="22"/>
          <w:szCs w:val="22"/>
        </w:rPr>
        <w:t xml:space="preserve"> </w:t>
      </w:r>
      <w:r w:rsidRPr="004961A9">
        <w:rPr>
          <w:sz w:val="22"/>
          <w:szCs w:val="22"/>
        </w:rPr>
        <w:t xml:space="preserve">per petition x </w:t>
      </w:r>
      <w:r w:rsidR="004961A9">
        <w:rPr>
          <w:sz w:val="22"/>
          <w:szCs w:val="22"/>
        </w:rPr>
        <w:t>1</w:t>
      </w:r>
      <w:r w:rsidRPr="004961A9" w:rsidR="004927EC">
        <w:rPr>
          <w:sz w:val="22"/>
          <w:szCs w:val="22"/>
        </w:rPr>
        <w:t xml:space="preserve"> </w:t>
      </w:r>
      <w:r w:rsidRPr="004961A9" w:rsidR="00CF3430">
        <w:rPr>
          <w:sz w:val="22"/>
          <w:szCs w:val="22"/>
        </w:rPr>
        <w:t xml:space="preserve">petitions per year = </w:t>
      </w:r>
      <w:bookmarkStart w:id="2" w:name="_Hlk83121242"/>
      <w:r w:rsidRPr="004961A9" w:rsidR="00696AF7">
        <w:rPr>
          <w:b/>
          <w:sz w:val="22"/>
          <w:szCs w:val="22"/>
        </w:rPr>
        <w:t>$</w:t>
      </w:r>
      <w:r w:rsidR="006266D9">
        <w:rPr>
          <w:b/>
          <w:sz w:val="22"/>
          <w:szCs w:val="22"/>
        </w:rPr>
        <w:t>186,628</w:t>
      </w:r>
      <w:bookmarkEnd w:id="2"/>
      <w:r w:rsidRPr="004961A9">
        <w:rPr>
          <w:sz w:val="22"/>
          <w:szCs w:val="22"/>
        </w:rPr>
        <w:t xml:space="preserve">. </w:t>
      </w:r>
    </w:p>
    <w:p w:rsidR="00A32DBF" w:rsidRPr="004961A9" w:rsidP="003215D0" w14:paraId="0F742B43" w14:textId="0E76B0B2">
      <w:pPr>
        <w:rPr>
          <w:sz w:val="22"/>
          <w:szCs w:val="22"/>
        </w:rPr>
      </w:pPr>
    </w:p>
    <w:p w:rsidR="00EF25D8" w:rsidP="00222DFD" w14:paraId="4645E8FF" w14:textId="4E2BAB57">
      <w:pPr>
        <w:rPr>
          <w:iCs/>
          <w:sz w:val="22"/>
          <w:szCs w:val="22"/>
        </w:rPr>
      </w:pPr>
      <w:r w:rsidRPr="004961A9">
        <w:rPr>
          <w:sz w:val="22"/>
          <w:szCs w:val="22"/>
        </w:rPr>
        <w:t>15.</w:t>
      </w:r>
      <w:r w:rsidRPr="004961A9">
        <w:rPr>
          <w:i/>
          <w:sz w:val="22"/>
          <w:szCs w:val="22"/>
        </w:rPr>
        <w:t xml:space="preserve">  </w:t>
      </w:r>
      <w:r w:rsidR="004961A9">
        <w:rPr>
          <w:iCs/>
          <w:sz w:val="22"/>
          <w:szCs w:val="22"/>
        </w:rPr>
        <w:t xml:space="preserve">There </w:t>
      </w:r>
      <w:r w:rsidR="007831D0">
        <w:rPr>
          <w:iCs/>
          <w:sz w:val="22"/>
          <w:szCs w:val="22"/>
        </w:rPr>
        <w:t xml:space="preserve">are </w:t>
      </w:r>
      <w:r w:rsidR="006266D9">
        <w:rPr>
          <w:iCs/>
          <w:sz w:val="22"/>
          <w:szCs w:val="22"/>
        </w:rPr>
        <w:t>decrease</w:t>
      </w:r>
      <w:r w:rsidR="007831D0">
        <w:rPr>
          <w:iCs/>
          <w:sz w:val="22"/>
          <w:szCs w:val="22"/>
        </w:rPr>
        <w:t>s</w:t>
      </w:r>
      <w:r w:rsidR="004961A9">
        <w:rPr>
          <w:iCs/>
          <w:sz w:val="22"/>
          <w:szCs w:val="22"/>
        </w:rPr>
        <w:t xml:space="preserve"> </w:t>
      </w:r>
      <w:r w:rsidR="006266D9">
        <w:rPr>
          <w:iCs/>
          <w:sz w:val="22"/>
          <w:szCs w:val="22"/>
        </w:rPr>
        <w:t xml:space="preserve">to the </w:t>
      </w:r>
      <w:r w:rsidR="007831D0">
        <w:rPr>
          <w:iCs/>
          <w:sz w:val="22"/>
          <w:szCs w:val="22"/>
        </w:rPr>
        <w:t xml:space="preserve">total number of respondents, total annual responses and total burden </w:t>
      </w:r>
      <w:r w:rsidR="00FD0683">
        <w:rPr>
          <w:iCs/>
          <w:sz w:val="22"/>
          <w:szCs w:val="22"/>
        </w:rPr>
        <w:t>hour</w:t>
      </w:r>
      <w:r w:rsidR="007831D0">
        <w:rPr>
          <w:iCs/>
          <w:sz w:val="22"/>
          <w:szCs w:val="22"/>
        </w:rPr>
        <w:t>s</w:t>
      </w:r>
      <w:r w:rsidR="00FD0683">
        <w:rPr>
          <w:iCs/>
          <w:sz w:val="22"/>
          <w:szCs w:val="22"/>
        </w:rPr>
        <w:t xml:space="preserve"> </w:t>
      </w:r>
      <w:r w:rsidR="00973DBB">
        <w:rPr>
          <w:iCs/>
          <w:sz w:val="22"/>
          <w:szCs w:val="22"/>
        </w:rPr>
        <w:t xml:space="preserve">which are </w:t>
      </w:r>
      <w:r w:rsidR="006266D9">
        <w:rPr>
          <w:iCs/>
          <w:sz w:val="22"/>
          <w:szCs w:val="22"/>
        </w:rPr>
        <w:t xml:space="preserve">due to a reduction in the number of forbearance petitions </w:t>
      </w:r>
      <w:r w:rsidR="00973DBB">
        <w:rPr>
          <w:iCs/>
          <w:sz w:val="22"/>
          <w:szCs w:val="22"/>
        </w:rPr>
        <w:t xml:space="preserve">that </w:t>
      </w:r>
      <w:r w:rsidR="006266D9">
        <w:rPr>
          <w:iCs/>
          <w:sz w:val="22"/>
          <w:szCs w:val="22"/>
        </w:rPr>
        <w:t xml:space="preserve">the Commission estimates will be submitted annually (from 2 to 1).  </w:t>
      </w:r>
      <w:r w:rsidR="007831D0">
        <w:rPr>
          <w:iCs/>
          <w:sz w:val="22"/>
          <w:szCs w:val="22"/>
        </w:rPr>
        <w:t xml:space="preserve">Also,  </w:t>
      </w:r>
      <w:r w:rsidR="00973DBB">
        <w:rPr>
          <w:iCs/>
          <w:sz w:val="22"/>
          <w:szCs w:val="22"/>
        </w:rPr>
        <w:t>the r</w:t>
      </w:r>
      <w:r w:rsidR="00FD0683">
        <w:rPr>
          <w:iCs/>
          <w:sz w:val="22"/>
          <w:szCs w:val="22"/>
        </w:rPr>
        <w:t xml:space="preserve">espondents’ burden hours are reduced </w:t>
      </w:r>
      <w:r w:rsidR="00C61346">
        <w:rPr>
          <w:iCs/>
          <w:sz w:val="22"/>
          <w:szCs w:val="22"/>
        </w:rPr>
        <w:t>by half (</w:t>
      </w:r>
      <w:r w:rsidR="00596D45">
        <w:rPr>
          <w:iCs/>
          <w:sz w:val="22"/>
          <w:szCs w:val="22"/>
        </w:rPr>
        <w:t>from 1,280 to 640 hours</w:t>
      </w:r>
      <w:r w:rsidR="00C61346">
        <w:rPr>
          <w:iCs/>
          <w:sz w:val="22"/>
          <w:szCs w:val="22"/>
        </w:rPr>
        <w:t>)</w:t>
      </w:r>
      <w:r w:rsidR="00973DBB">
        <w:rPr>
          <w:iCs/>
          <w:sz w:val="22"/>
          <w:szCs w:val="22"/>
        </w:rPr>
        <w:t xml:space="preserve">. </w:t>
      </w:r>
      <w:r w:rsidR="00596D45">
        <w:rPr>
          <w:iCs/>
          <w:sz w:val="22"/>
          <w:szCs w:val="22"/>
        </w:rPr>
        <w:t xml:space="preserve">   </w:t>
      </w:r>
    </w:p>
    <w:p w:rsidR="00EF25D8" w:rsidP="00222DFD" w14:paraId="4EBAA404" w14:textId="77777777">
      <w:pPr>
        <w:rPr>
          <w:iCs/>
          <w:sz w:val="22"/>
          <w:szCs w:val="22"/>
        </w:rPr>
      </w:pPr>
    </w:p>
    <w:p w:rsidR="005D61DF" w:rsidRPr="004961A9" w:rsidP="003215D0" w14:paraId="76AC6940" w14:textId="4FE6DABA">
      <w:pPr>
        <w:ind w:firstLine="420"/>
        <w:rPr>
          <w:sz w:val="22"/>
          <w:szCs w:val="22"/>
        </w:rPr>
      </w:pPr>
      <w:r w:rsidRPr="004961A9">
        <w:rPr>
          <w:sz w:val="22"/>
          <w:szCs w:val="22"/>
        </w:rPr>
        <w:t>T</w:t>
      </w:r>
      <w:r w:rsidRPr="004961A9" w:rsidR="00720009">
        <w:rPr>
          <w:sz w:val="22"/>
          <w:szCs w:val="22"/>
        </w:rPr>
        <w:t>he</w:t>
      </w:r>
      <w:r w:rsidRPr="004961A9" w:rsidR="006F5B39">
        <w:rPr>
          <w:sz w:val="22"/>
          <w:szCs w:val="22"/>
        </w:rPr>
        <w:t xml:space="preserve">re </w:t>
      </w:r>
      <w:r w:rsidRPr="004961A9" w:rsidR="00222DFD">
        <w:rPr>
          <w:sz w:val="22"/>
          <w:szCs w:val="22"/>
        </w:rPr>
        <w:t xml:space="preserve">are no program changes since the last submission to OMB. </w:t>
      </w:r>
    </w:p>
    <w:p w:rsidR="00D17022" w:rsidRPr="004961A9" w:rsidP="00086735" w14:paraId="4F4EBA21" w14:textId="77777777">
      <w:pPr>
        <w:rPr>
          <w:sz w:val="22"/>
          <w:szCs w:val="22"/>
        </w:rPr>
      </w:pPr>
    </w:p>
    <w:p w:rsidR="009004C6" w:rsidRPr="004961A9" w:rsidP="00C138CC" w14:paraId="1A4763D3" w14:textId="77777777">
      <w:pPr>
        <w:numPr>
          <w:ilvl w:val="0"/>
          <w:numId w:val="22"/>
        </w:numPr>
        <w:tabs>
          <w:tab w:val="num" w:pos="0"/>
          <w:tab w:val="clear" w:pos="420"/>
        </w:tabs>
        <w:rPr>
          <w:sz w:val="22"/>
          <w:szCs w:val="22"/>
        </w:rPr>
      </w:pPr>
      <w:r w:rsidRPr="004961A9">
        <w:rPr>
          <w:sz w:val="22"/>
          <w:szCs w:val="22"/>
        </w:rPr>
        <w:t>The Commission publishes grants and denials of forbearance petitions in the FCC R</w:t>
      </w:r>
      <w:r w:rsidRPr="004961A9" w:rsidR="00ED50E8">
        <w:rPr>
          <w:sz w:val="22"/>
          <w:szCs w:val="22"/>
        </w:rPr>
        <w:t>e</w:t>
      </w:r>
      <w:r w:rsidRPr="004961A9">
        <w:rPr>
          <w:sz w:val="22"/>
          <w:szCs w:val="22"/>
        </w:rPr>
        <w:t>c</w:t>
      </w:r>
      <w:r w:rsidRPr="004961A9" w:rsidR="00ED50E8">
        <w:rPr>
          <w:sz w:val="22"/>
          <w:szCs w:val="22"/>
        </w:rPr>
        <w:t>or</w:t>
      </w:r>
      <w:r w:rsidRPr="004961A9">
        <w:rPr>
          <w:sz w:val="22"/>
          <w:szCs w:val="22"/>
        </w:rPr>
        <w:t>d</w:t>
      </w:r>
      <w:r w:rsidRPr="004961A9" w:rsidR="00ED50E8">
        <w:rPr>
          <w:sz w:val="22"/>
          <w:szCs w:val="22"/>
        </w:rPr>
        <w:t>.</w:t>
      </w:r>
      <w:r w:rsidRPr="004961A9" w:rsidR="00CF1547">
        <w:rPr>
          <w:sz w:val="22"/>
          <w:szCs w:val="22"/>
        </w:rPr>
        <w:t xml:space="preserve"> </w:t>
      </w:r>
      <w:r w:rsidRPr="004961A9">
        <w:rPr>
          <w:sz w:val="22"/>
          <w:szCs w:val="22"/>
        </w:rPr>
        <w:t xml:space="preserve">   </w:t>
      </w:r>
    </w:p>
    <w:p w:rsidR="009004C6" w:rsidRPr="004961A9" w:rsidP="009004C6" w14:paraId="3FCD5557" w14:textId="77777777">
      <w:pPr>
        <w:rPr>
          <w:sz w:val="22"/>
          <w:szCs w:val="22"/>
        </w:rPr>
      </w:pPr>
    </w:p>
    <w:p w:rsidR="00BA49F6" w:rsidRPr="004961A9" w:rsidP="00086735" w14:paraId="434FD395" w14:textId="7C2AAF63">
      <w:pPr>
        <w:rPr>
          <w:sz w:val="22"/>
          <w:szCs w:val="22"/>
        </w:rPr>
      </w:pPr>
      <w:r w:rsidRPr="004961A9">
        <w:rPr>
          <w:sz w:val="22"/>
          <w:szCs w:val="22"/>
        </w:rPr>
        <w:t xml:space="preserve">17. </w:t>
      </w:r>
      <w:r w:rsidRPr="004961A9" w:rsidR="007C2A0D">
        <w:rPr>
          <w:sz w:val="22"/>
          <w:szCs w:val="22"/>
        </w:rPr>
        <w:t xml:space="preserve"> </w:t>
      </w:r>
      <w:r w:rsidRPr="004961A9" w:rsidR="00FB1DBF">
        <w:rPr>
          <w:sz w:val="22"/>
          <w:szCs w:val="22"/>
        </w:rPr>
        <w:t>The Commission does not intend to seek approval not to display the expiration date for OMB approval of the information collections.</w:t>
      </w:r>
      <w:r w:rsidRPr="004961A9" w:rsidR="00AE72D1">
        <w:rPr>
          <w:sz w:val="22"/>
          <w:szCs w:val="22"/>
        </w:rPr>
        <w:t xml:space="preserve"> </w:t>
      </w:r>
      <w:r w:rsidRPr="004961A9" w:rsidR="009004C6">
        <w:rPr>
          <w:sz w:val="22"/>
          <w:szCs w:val="22"/>
        </w:rPr>
        <w:t xml:space="preserve"> </w:t>
      </w:r>
    </w:p>
    <w:p w:rsidR="00BA49F6" w:rsidRPr="004961A9" w:rsidP="00086735" w14:paraId="6874C0F6" w14:textId="77777777">
      <w:pPr>
        <w:rPr>
          <w:sz w:val="22"/>
          <w:szCs w:val="22"/>
        </w:rPr>
      </w:pPr>
    </w:p>
    <w:p w:rsidR="00826FCB" w:rsidRPr="004961A9" w:rsidP="00826FCB" w14:paraId="621B824B" w14:textId="77777777">
      <w:pPr>
        <w:rPr>
          <w:sz w:val="22"/>
          <w:szCs w:val="22"/>
        </w:rPr>
      </w:pPr>
      <w:r w:rsidRPr="004961A9">
        <w:rPr>
          <w:sz w:val="22"/>
          <w:szCs w:val="22"/>
        </w:rPr>
        <w:t>18.</w:t>
      </w:r>
      <w:r w:rsidRPr="004961A9" w:rsidR="007F1BBF">
        <w:rPr>
          <w:sz w:val="22"/>
          <w:szCs w:val="22"/>
        </w:rPr>
        <w:t xml:space="preserve">  </w:t>
      </w:r>
      <w:r w:rsidRPr="004961A9">
        <w:rPr>
          <w:sz w:val="22"/>
          <w:szCs w:val="22"/>
        </w:rPr>
        <w:t xml:space="preserve">There are </w:t>
      </w:r>
      <w:r w:rsidRPr="004961A9" w:rsidR="00FB1DBF">
        <w:rPr>
          <w:sz w:val="22"/>
          <w:szCs w:val="22"/>
        </w:rPr>
        <w:t xml:space="preserve">exceptions </w:t>
      </w:r>
      <w:r w:rsidRPr="004961A9">
        <w:rPr>
          <w:sz w:val="22"/>
          <w:szCs w:val="22"/>
        </w:rPr>
        <w:t xml:space="preserve">to the </w:t>
      </w:r>
      <w:r w:rsidRPr="004961A9" w:rsidR="00F93CB4">
        <w:rPr>
          <w:sz w:val="22"/>
          <w:szCs w:val="22"/>
        </w:rPr>
        <w:t>C</w:t>
      </w:r>
      <w:r w:rsidRPr="004961A9">
        <w:rPr>
          <w:sz w:val="22"/>
          <w:szCs w:val="22"/>
        </w:rPr>
        <w:t xml:space="preserve">ertification </w:t>
      </w:r>
      <w:r w:rsidRPr="004961A9" w:rsidR="00F93CB4">
        <w:rPr>
          <w:sz w:val="22"/>
          <w:szCs w:val="22"/>
        </w:rPr>
        <w:t>Statement</w:t>
      </w:r>
      <w:r w:rsidRPr="004961A9">
        <w:rPr>
          <w:sz w:val="22"/>
          <w:szCs w:val="22"/>
        </w:rPr>
        <w:t xml:space="preserve">.   </w:t>
      </w:r>
    </w:p>
    <w:p w:rsidR="00826FCB" w:rsidRPr="004961A9" w:rsidP="00826FCB" w14:paraId="54626AC9" w14:textId="77777777">
      <w:pPr>
        <w:ind w:left="420"/>
        <w:rPr>
          <w:sz w:val="22"/>
          <w:szCs w:val="22"/>
        </w:rPr>
      </w:pPr>
    </w:p>
    <w:p w:rsidR="00FB1DBF" w:rsidRPr="004961A9" w:rsidP="00FB1DBF" w14:paraId="5EA77E4E" w14:textId="77777777">
      <w:pPr>
        <w:rPr>
          <w:b/>
          <w:sz w:val="22"/>
          <w:szCs w:val="22"/>
          <w:u w:val="single"/>
        </w:rPr>
      </w:pPr>
      <w:r w:rsidRPr="004961A9">
        <w:rPr>
          <w:b/>
          <w:sz w:val="22"/>
          <w:szCs w:val="22"/>
          <w:u w:val="single"/>
        </w:rPr>
        <w:t>B. Collections of Information Employing Statistical Methods:</w:t>
      </w:r>
    </w:p>
    <w:p w:rsidR="00FB1DBF" w:rsidRPr="004961A9" w:rsidP="00FE64BE" w14:paraId="5AA555A5" w14:textId="77777777">
      <w:pPr>
        <w:rPr>
          <w:sz w:val="22"/>
          <w:szCs w:val="22"/>
        </w:rPr>
      </w:pPr>
    </w:p>
    <w:p w:rsidR="00FB1DBF" w:rsidRPr="004961A9" w:rsidP="00FE64BE" w14:paraId="13D37695" w14:textId="77777777">
      <w:pPr>
        <w:rPr>
          <w:sz w:val="22"/>
          <w:szCs w:val="22"/>
        </w:rPr>
      </w:pPr>
      <w:r w:rsidRPr="004961A9">
        <w:rPr>
          <w:sz w:val="22"/>
          <w:szCs w:val="22"/>
        </w:rPr>
        <w:t>The Commission does not anticipate that the collection of information will employ statistical methods.</w:t>
      </w:r>
      <w:bookmarkEnd w:id="0"/>
    </w:p>
    <w:sectPr w:rsidSect="00400A74">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A0A" w:rsidP="007076F1" w14:paraId="572EBE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2A0A" w14:paraId="373C98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A0A" w:rsidP="007076F1" w14:paraId="023D3A4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6124">
      <w:rPr>
        <w:rStyle w:val="PageNumber"/>
        <w:noProof/>
      </w:rPr>
      <w:t>2</w:t>
    </w:r>
    <w:r>
      <w:rPr>
        <w:rStyle w:val="PageNumber"/>
      </w:rPr>
      <w:fldChar w:fldCharType="end"/>
    </w:r>
  </w:p>
  <w:p w:rsidR="00EB2A0A" w14:paraId="01F186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0964" w14:paraId="3278EB3A" w14:textId="77777777">
      <w:r>
        <w:separator/>
      </w:r>
    </w:p>
  </w:footnote>
  <w:footnote w:type="continuationSeparator" w:id="1">
    <w:p w:rsidR="00490964" w14:paraId="5C8A485F" w14:textId="77777777">
      <w:r>
        <w:continuationSeparator/>
      </w:r>
    </w:p>
  </w:footnote>
  <w:footnote w:id="2">
    <w:p w:rsidR="00913EEA" w:rsidRPr="004961A9" w:rsidP="00913EEA" w14:paraId="5FD58B72" w14:textId="77777777">
      <w:pPr>
        <w:rPr>
          <w:sz w:val="20"/>
          <w:szCs w:val="20"/>
        </w:rPr>
      </w:pPr>
      <w:r w:rsidRPr="004961A9">
        <w:rPr>
          <w:rStyle w:val="FootnoteReference"/>
          <w:sz w:val="20"/>
          <w:szCs w:val="20"/>
        </w:rPr>
        <w:footnoteRef/>
      </w:r>
      <w:r w:rsidRPr="004961A9">
        <w:rPr>
          <w:sz w:val="20"/>
          <w:szCs w:val="20"/>
        </w:rPr>
        <w:t xml:space="preserve"> </w:t>
      </w:r>
      <w:r w:rsidRPr="004961A9">
        <w:rPr>
          <w:i/>
          <w:sz w:val="20"/>
          <w:szCs w:val="20"/>
        </w:rPr>
        <w:t>See</w:t>
      </w:r>
      <w:r w:rsidRPr="004961A9">
        <w:rPr>
          <w:sz w:val="20"/>
          <w:szCs w:val="20"/>
        </w:rPr>
        <w:t xml:space="preserve"> 47 C.F.R. § 0.459 (Commission rules governing requests that materials or information submitted to the Commission be withheld from public inspection); 47 C.F.R. § 0.457 (records not routinely available for public inspection); </w:t>
      </w:r>
      <w:r w:rsidRPr="004961A9">
        <w:rPr>
          <w:i/>
          <w:sz w:val="20"/>
          <w:szCs w:val="20"/>
        </w:rPr>
        <w:t>Petitions of Qwest Corporation for Forbearance Pursuant To 47 U.S.C. § 160(c) in the Denver, Minneapolis-St. Paul, Phoenix, and Seattle Metropolitan Statistical Areas</w:t>
      </w:r>
      <w:r w:rsidRPr="004961A9">
        <w:rPr>
          <w:sz w:val="20"/>
          <w:szCs w:val="20"/>
        </w:rPr>
        <w:t>, First Protective Order, WC Docket No. 07-97, 22 FCC Rcd 10129, para. 2 (WCB 2007) (sample protective order stating that “the term ‘document’ means all written, recorded, or graphic material, whether produced or created by a party or another person, whether produced pursuant to the Commission’s rules, pursuant to subpoena, by agreement, or otherwise”).</w:t>
      </w:r>
    </w:p>
    <w:p w:rsidR="00913EEA" w14:paraId="30295980" w14:textId="1E5385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EEA" w:rsidRPr="00913EEA" w:rsidP="00913EEA" w14:paraId="4CBAE5DA" w14:textId="0AAD3754">
    <w:pPr>
      <w:rPr>
        <w:b/>
        <w:sz w:val="22"/>
        <w:szCs w:val="22"/>
      </w:rPr>
    </w:pPr>
    <w:r w:rsidRPr="00913EEA">
      <w:rPr>
        <w:b/>
        <w:sz w:val="22"/>
        <w:szCs w:val="22"/>
      </w:rPr>
      <w:t xml:space="preserve">Sections 1.49 and 1.54, Forbearance Petition Filing Requirements  </w:t>
    </w:r>
    <w:r w:rsidRPr="00913EEA">
      <w:rPr>
        <w:b/>
        <w:sz w:val="22"/>
        <w:szCs w:val="22"/>
      </w:rPr>
      <w:tab/>
      <w:t xml:space="preserve"> </w:t>
    </w:r>
    <w:r>
      <w:rPr>
        <w:b/>
        <w:sz w:val="22"/>
        <w:szCs w:val="22"/>
      </w:rPr>
      <w:t xml:space="preserve"> </w:t>
    </w:r>
    <w:r>
      <w:rPr>
        <w:b/>
        <w:sz w:val="22"/>
        <w:szCs w:val="22"/>
      </w:rPr>
      <w:tab/>
      <w:t xml:space="preserve">   </w:t>
    </w:r>
    <w:r w:rsidRPr="00913EEA">
      <w:rPr>
        <w:b/>
        <w:sz w:val="22"/>
        <w:szCs w:val="22"/>
      </w:rPr>
      <w:t xml:space="preserve">     3060-1138</w:t>
    </w:r>
  </w:p>
  <w:p w:rsidR="00913EEA" w:rsidRPr="00913EEA" w:rsidP="00913EEA" w14:paraId="3910CAF1" w14:textId="20C625CF">
    <w:pPr>
      <w:jc w:val="right"/>
      <w:rPr>
        <w:b/>
        <w:sz w:val="22"/>
        <w:szCs w:val="22"/>
      </w:rPr>
    </w:pPr>
    <w:r>
      <w:rPr>
        <w:b/>
        <w:sz w:val="22"/>
        <w:szCs w:val="22"/>
      </w:rPr>
      <w:t xml:space="preserve"> September </w:t>
    </w:r>
    <w:r w:rsidRPr="00913EEA">
      <w:rPr>
        <w:b/>
        <w:sz w:val="22"/>
        <w:szCs w:val="22"/>
      </w:rPr>
      <w:t>202</w:t>
    </w:r>
    <w:r>
      <w:rPr>
        <w:b/>
        <w:sz w:val="22"/>
        <w:szCs w:val="22"/>
      </w:rPr>
      <w:t>4</w:t>
    </w:r>
  </w:p>
  <w:p w:rsidR="00913EEA" w:rsidRPr="00913EEA" w14:paraId="2D94FDA3" w14:textId="7777777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86FEB"/>
    <w:multiLevelType w:val="hybridMultilevel"/>
    <w:tmpl w:val="F97CAC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E172DA"/>
    <w:multiLevelType w:val="hybridMultilevel"/>
    <w:tmpl w:val="C53875A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540F8E"/>
    <w:multiLevelType w:val="hybridMultilevel"/>
    <w:tmpl w:val="362CAA3A"/>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181B3C"/>
    <w:multiLevelType w:val="hybridMultilevel"/>
    <w:tmpl w:val="387A08D4"/>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FA06B4F"/>
    <w:multiLevelType w:val="hybridMultilevel"/>
    <w:tmpl w:val="E27666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552228"/>
    <w:multiLevelType w:val="hybridMultilevel"/>
    <w:tmpl w:val="3B0EFF0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8B0C5B"/>
    <w:multiLevelType w:val="multilevel"/>
    <w:tmpl w:val="DEDE948C"/>
    <w:lvl w:ilvl="0">
      <w:start w:val="2"/>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C744EC"/>
    <w:multiLevelType w:val="hybridMultilevel"/>
    <w:tmpl w:val="1354BAC8"/>
    <w:lvl w:ilvl="0">
      <w:start w:val="15"/>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BC653F"/>
    <w:multiLevelType w:val="hybridMultilevel"/>
    <w:tmpl w:val="A0EC0754"/>
    <w:lvl w:ilvl="0">
      <w:start w:val="13"/>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783E29"/>
    <w:multiLevelType w:val="hybridMultilevel"/>
    <w:tmpl w:val="DEDE948C"/>
    <w:lvl w:ilvl="0">
      <w:start w:val="2"/>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1624487"/>
    <w:multiLevelType w:val="hybridMultilevel"/>
    <w:tmpl w:val="ED7C63E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424183D"/>
    <w:multiLevelType w:val="hybridMultilevel"/>
    <w:tmpl w:val="CA8607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nsid w:val="37F20DEA"/>
    <w:multiLevelType w:val="hybridMultilevel"/>
    <w:tmpl w:val="150826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40300B"/>
    <w:multiLevelType w:val="hybridMultilevel"/>
    <w:tmpl w:val="280EF16C"/>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EAC0B4E"/>
    <w:multiLevelType w:val="hybridMultilevel"/>
    <w:tmpl w:val="EA369E2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4AD6BE6"/>
    <w:multiLevelType w:val="hybridMultilevel"/>
    <w:tmpl w:val="30FECC02"/>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7A95491"/>
    <w:multiLevelType w:val="hybridMultilevel"/>
    <w:tmpl w:val="342CF992"/>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2ED1440"/>
    <w:multiLevelType w:val="hybridMultilevel"/>
    <w:tmpl w:val="0CEAC956"/>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55C6D28"/>
    <w:multiLevelType w:val="hybridMultilevel"/>
    <w:tmpl w:val="F1EE018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DA7264C"/>
    <w:multiLevelType w:val="hybridMultilevel"/>
    <w:tmpl w:val="EAE25F5C"/>
    <w:lvl w:ilvl="0">
      <w:start w:val="16"/>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nsid w:val="62E35EF1"/>
    <w:multiLevelType w:val="hybridMultilevel"/>
    <w:tmpl w:val="F3A8FEA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43C27BE"/>
    <w:multiLevelType w:val="hybridMultilevel"/>
    <w:tmpl w:val="9C1C7558"/>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85F392F"/>
    <w:multiLevelType w:val="hybridMultilevel"/>
    <w:tmpl w:val="10AA9E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E805264"/>
    <w:multiLevelType w:val="hybridMultilevel"/>
    <w:tmpl w:val="0526F806"/>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05426701">
    <w:abstractNumId w:val="11"/>
  </w:num>
  <w:num w:numId="2" w16cid:durableId="53899400">
    <w:abstractNumId w:val="24"/>
  </w:num>
  <w:num w:numId="3" w16cid:durableId="177887418">
    <w:abstractNumId w:val="21"/>
  </w:num>
  <w:num w:numId="4" w16cid:durableId="1074354017">
    <w:abstractNumId w:val="22"/>
  </w:num>
  <w:num w:numId="5" w16cid:durableId="300811379">
    <w:abstractNumId w:val="15"/>
  </w:num>
  <w:num w:numId="6" w16cid:durableId="1151410809">
    <w:abstractNumId w:val="2"/>
  </w:num>
  <w:num w:numId="7" w16cid:durableId="656959712">
    <w:abstractNumId w:val="13"/>
  </w:num>
  <w:num w:numId="8" w16cid:durableId="505437134">
    <w:abstractNumId w:val="1"/>
  </w:num>
  <w:num w:numId="9" w16cid:durableId="187989194">
    <w:abstractNumId w:val="16"/>
  </w:num>
  <w:num w:numId="10" w16cid:durableId="1640721783">
    <w:abstractNumId w:val="17"/>
  </w:num>
  <w:num w:numId="11" w16cid:durableId="2028167026">
    <w:abstractNumId w:val="8"/>
  </w:num>
  <w:num w:numId="12" w16cid:durableId="1256986214">
    <w:abstractNumId w:val="18"/>
  </w:num>
  <w:num w:numId="13" w16cid:durableId="1195655690">
    <w:abstractNumId w:val="23"/>
  </w:num>
  <w:num w:numId="14" w16cid:durableId="1766340995">
    <w:abstractNumId w:val="7"/>
  </w:num>
  <w:num w:numId="15" w16cid:durableId="1081950529">
    <w:abstractNumId w:val="14"/>
  </w:num>
  <w:num w:numId="16" w16cid:durableId="730932089">
    <w:abstractNumId w:val="25"/>
  </w:num>
  <w:num w:numId="17" w16cid:durableId="2026906369">
    <w:abstractNumId w:val="19"/>
  </w:num>
  <w:num w:numId="18" w16cid:durableId="67771906">
    <w:abstractNumId w:val="9"/>
  </w:num>
  <w:num w:numId="19" w16cid:durableId="1519852804">
    <w:abstractNumId w:val="6"/>
  </w:num>
  <w:num w:numId="20" w16cid:durableId="1245989482">
    <w:abstractNumId w:val="3"/>
  </w:num>
  <w:num w:numId="21" w16cid:durableId="1381438220">
    <w:abstractNumId w:val="12"/>
  </w:num>
  <w:num w:numId="22" w16cid:durableId="1483735702">
    <w:abstractNumId w:val="20"/>
  </w:num>
  <w:num w:numId="23" w16cid:durableId="1410224835">
    <w:abstractNumId w:val="10"/>
  </w:num>
  <w:num w:numId="24" w16cid:durableId="738407937">
    <w:abstractNumId w:val="0"/>
  </w:num>
  <w:num w:numId="25" w16cid:durableId="298346087">
    <w:abstractNumId w:val="5"/>
  </w:num>
  <w:num w:numId="26" w16cid:durableId="775635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FF"/>
    <w:rsid w:val="000024CC"/>
    <w:rsid w:val="00012B6A"/>
    <w:rsid w:val="000224A7"/>
    <w:rsid w:val="000430AD"/>
    <w:rsid w:val="00043BB6"/>
    <w:rsid w:val="00064318"/>
    <w:rsid w:val="00070874"/>
    <w:rsid w:val="0007554B"/>
    <w:rsid w:val="00086735"/>
    <w:rsid w:val="0009029A"/>
    <w:rsid w:val="000D7E0C"/>
    <w:rsid w:val="000F062E"/>
    <w:rsid w:val="000F2869"/>
    <w:rsid w:val="001062A9"/>
    <w:rsid w:val="00113FF0"/>
    <w:rsid w:val="001149F4"/>
    <w:rsid w:val="001220E7"/>
    <w:rsid w:val="00132E27"/>
    <w:rsid w:val="00170E3D"/>
    <w:rsid w:val="00180700"/>
    <w:rsid w:val="00184E7C"/>
    <w:rsid w:val="0018623E"/>
    <w:rsid w:val="001A43B0"/>
    <w:rsid w:val="001D3332"/>
    <w:rsid w:val="001D4989"/>
    <w:rsid w:val="001D4B3D"/>
    <w:rsid w:val="001E257A"/>
    <w:rsid w:val="001F2D6A"/>
    <w:rsid w:val="00211BDE"/>
    <w:rsid w:val="00222DFD"/>
    <w:rsid w:val="00232BE4"/>
    <w:rsid w:val="002532C6"/>
    <w:rsid w:val="00254E78"/>
    <w:rsid w:val="00260D03"/>
    <w:rsid w:val="002621A3"/>
    <w:rsid w:val="0027608F"/>
    <w:rsid w:val="002939AF"/>
    <w:rsid w:val="002C3CC6"/>
    <w:rsid w:val="002D2D8E"/>
    <w:rsid w:val="003215D0"/>
    <w:rsid w:val="003217CF"/>
    <w:rsid w:val="003257EC"/>
    <w:rsid w:val="00336F72"/>
    <w:rsid w:val="00342C27"/>
    <w:rsid w:val="003838DB"/>
    <w:rsid w:val="0038460C"/>
    <w:rsid w:val="00393F06"/>
    <w:rsid w:val="003C6694"/>
    <w:rsid w:val="003D10C3"/>
    <w:rsid w:val="003D2FD5"/>
    <w:rsid w:val="003D6A7B"/>
    <w:rsid w:val="003E050A"/>
    <w:rsid w:val="003E095F"/>
    <w:rsid w:val="003F78F0"/>
    <w:rsid w:val="00400A74"/>
    <w:rsid w:val="004041EC"/>
    <w:rsid w:val="00416124"/>
    <w:rsid w:val="0045300A"/>
    <w:rsid w:val="00490964"/>
    <w:rsid w:val="004927EC"/>
    <w:rsid w:val="0049574D"/>
    <w:rsid w:val="004961A9"/>
    <w:rsid w:val="004A74FE"/>
    <w:rsid w:val="004C6D24"/>
    <w:rsid w:val="004E4174"/>
    <w:rsid w:val="00502B2E"/>
    <w:rsid w:val="005071FC"/>
    <w:rsid w:val="00523863"/>
    <w:rsid w:val="005369B6"/>
    <w:rsid w:val="00543177"/>
    <w:rsid w:val="00545291"/>
    <w:rsid w:val="00571202"/>
    <w:rsid w:val="00591D55"/>
    <w:rsid w:val="00594B1D"/>
    <w:rsid w:val="00596D45"/>
    <w:rsid w:val="005A143F"/>
    <w:rsid w:val="005B1F38"/>
    <w:rsid w:val="005B52AC"/>
    <w:rsid w:val="005B6CF6"/>
    <w:rsid w:val="005C1276"/>
    <w:rsid w:val="005C2CBA"/>
    <w:rsid w:val="005D61BC"/>
    <w:rsid w:val="005D61DF"/>
    <w:rsid w:val="00600812"/>
    <w:rsid w:val="0060092B"/>
    <w:rsid w:val="0061260B"/>
    <w:rsid w:val="00616ACD"/>
    <w:rsid w:val="0062329C"/>
    <w:rsid w:val="006266D9"/>
    <w:rsid w:val="00632ABC"/>
    <w:rsid w:val="0064169F"/>
    <w:rsid w:val="006568EF"/>
    <w:rsid w:val="0068471F"/>
    <w:rsid w:val="0068721C"/>
    <w:rsid w:val="00687223"/>
    <w:rsid w:val="00696AF7"/>
    <w:rsid w:val="006A49FA"/>
    <w:rsid w:val="006B0FB7"/>
    <w:rsid w:val="006B1098"/>
    <w:rsid w:val="006B2683"/>
    <w:rsid w:val="006D1B41"/>
    <w:rsid w:val="006E76C0"/>
    <w:rsid w:val="006F2BA9"/>
    <w:rsid w:val="006F5B39"/>
    <w:rsid w:val="007076F1"/>
    <w:rsid w:val="00711CAC"/>
    <w:rsid w:val="00720009"/>
    <w:rsid w:val="00735137"/>
    <w:rsid w:val="007527A1"/>
    <w:rsid w:val="007831D0"/>
    <w:rsid w:val="007C2A0D"/>
    <w:rsid w:val="007C74EB"/>
    <w:rsid w:val="007F1BBF"/>
    <w:rsid w:val="00807A22"/>
    <w:rsid w:val="00816BDA"/>
    <w:rsid w:val="00826FCB"/>
    <w:rsid w:val="00854093"/>
    <w:rsid w:val="00856C8A"/>
    <w:rsid w:val="00881953"/>
    <w:rsid w:val="00890894"/>
    <w:rsid w:val="008A6722"/>
    <w:rsid w:val="008B7363"/>
    <w:rsid w:val="008D0E0C"/>
    <w:rsid w:val="008F66F3"/>
    <w:rsid w:val="009004C6"/>
    <w:rsid w:val="00900E6E"/>
    <w:rsid w:val="00903525"/>
    <w:rsid w:val="00907A4B"/>
    <w:rsid w:val="00913EEA"/>
    <w:rsid w:val="0092156C"/>
    <w:rsid w:val="00924F38"/>
    <w:rsid w:val="00925D98"/>
    <w:rsid w:val="00945348"/>
    <w:rsid w:val="00954CAB"/>
    <w:rsid w:val="0095549D"/>
    <w:rsid w:val="00965C0C"/>
    <w:rsid w:val="00973DBB"/>
    <w:rsid w:val="00983A93"/>
    <w:rsid w:val="009A1DFF"/>
    <w:rsid w:val="009C225F"/>
    <w:rsid w:val="009C428C"/>
    <w:rsid w:val="009C5512"/>
    <w:rsid w:val="00A06AFF"/>
    <w:rsid w:val="00A31197"/>
    <w:rsid w:val="00A32C36"/>
    <w:rsid w:val="00A32DBF"/>
    <w:rsid w:val="00A46099"/>
    <w:rsid w:val="00A51202"/>
    <w:rsid w:val="00A5275B"/>
    <w:rsid w:val="00A5749F"/>
    <w:rsid w:val="00A801C2"/>
    <w:rsid w:val="00AA65A6"/>
    <w:rsid w:val="00AA6A4B"/>
    <w:rsid w:val="00AB1EAA"/>
    <w:rsid w:val="00AE146A"/>
    <w:rsid w:val="00AE72D1"/>
    <w:rsid w:val="00AF67DA"/>
    <w:rsid w:val="00B00C28"/>
    <w:rsid w:val="00B02427"/>
    <w:rsid w:val="00B059D0"/>
    <w:rsid w:val="00B06434"/>
    <w:rsid w:val="00B12B1F"/>
    <w:rsid w:val="00B15911"/>
    <w:rsid w:val="00B405D1"/>
    <w:rsid w:val="00B56ED4"/>
    <w:rsid w:val="00BA49F6"/>
    <w:rsid w:val="00BB22A6"/>
    <w:rsid w:val="00BC09D8"/>
    <w:rsid w:val="00BC0ED4"/>
    <w:rsid w:val="00BC7481"/>
    <w:rsid w:val="00BD0809"/>
    <w:rsid w:val="00BE2F3B"/>
    <w:rsid w:val="00BF5BAA"/>
    <w:rsid w:val="00BF79F7"/>
    <w:rsid w:val="00C122F5"/>
    <w:rsid w:val="00C138CC"/>
    <w:rsid w:val="00C13D95"/>
    <w:rsid w:val="00C24C52"/>
    <w:rsid w:val="00C61346"/>
    <w:rsid w:val="00C63870"/>
    <w:rsid w:val="00C76ED0"/>
    <w:rsid w:val="00C7718B"/>
    <w:rsid w:val="00C85B82"/>
    <w:rsid w:val="00C91A8E"/>
    <w:rsid w:val="00CA35B6"/>
    <w:rsid w:val="00CB65A1"/>
    <w:rsid w:val="00CC24EC"/>
    <w:rsid w:val="00CC63D0"/>
    <w:rsid w:val="00CD29FB"/>
    <w:rsid w:val="00CE000C"/>
    <w:rsid w:val="00CF1547"/>
    <w:rsid w:val="00CF3430"/>
    <w:rsid w:val="00D07F7A"/>
    <w:rsid w:val="00D108CE"/>
    <w:rsid w:val="00D11070"/>
    <w:rsid w:val="00D141D5"/>
    <w:rsid w:val="00D17022"/>
    <w:rsid w:val="00D1743C"/>
    <w:rsid w:val="00D1755E"/>
    <w:rsid w:val="00D346CC"/>
    <w:rsid w:val="00D4186E"/>
    <w:rsid w:val="00D44AE3"/>
    <w:rsid w:val="00D65A41"/>
    <w:rsid w:val="00D668DB"/>
    <w:rsid w:val="00D67930"/>
    <w:rsid w:val="00D75D1C"/>
    <w:rsid w:val="00D840A8"/>
    <w:rsid w:val="00D95B61"/>
    <w:rsid w:val="00D96BAA"/>
    <w:rsid w:val="00DB45FE"/>
    <w:rsid w:val="00DB6E75"/>
    <w:rsid w:val="00DC768E"/>
    <w:rsid w:val="00DE71CD"/>
    <w:rsid w:val="00DF5F28"/>
    <w:rsid w:val="00E10B31"/>
    <w:rsid w:val="00E1179D"/>
    <w:rsid w:val="00E36A86"/>
    <w:rsid w:val="00E512A1"/>
    <w:rsid w:val="00E74646"/>
    <w:rsid w:val="00E81B77"/>
    <w:rsid w:val="00E85A93"/>
    <w:rsid w:val="00E975CD"/>
    <w:rsid w:val="00EA31A8"/>
    <w:rsid w:val="00EA3ACB"/>
    <w:rsid w:val="00EB2580"/>
    <w:rsid w:val="00EB2A0A"/>
    <w:rsid w:val="00EC5495"/>
    <w:rsid w:val="00ED50E8"/>
    <w:rsid w:val="00ED62FA"/>
    <w:rsid w:val="00EF25D8"/>
    <w:rsid w:val="00EF3CEB"/>
    <w:rsid w:val="00F00856"/>
    <w:rsid w:val="00F056F5"/>
    <w:rsid w:val="00F13021"/>
    <w:rsid w:val="00F27884"/>
    <w:rsid w:val="00F40C03"/>
    <w:rsid w:val="00F43E15"/>
    <w:rsid w:val="00F71B44"/>
    <w:rsid w:val="00F72B16"/>
    <w:rsid w:val="00F93CB4"/>
    <w:rsid w:val="00FB1DBF"/>
    <w:rsid w:val="00FC006B"/>
    <w:rsid w:val="00FC02E2"/>
    <w:rsid w:val="00FC2041"/>
    <w:rsid w:val="00FC55E2"/>
    <w:rsid w:val="00FC798E"/>
    <w:rsid w:val="00FD0683"/>
    <w:rsid w:val="00FD4738"/>
    <w:rsid w:val="00FE2204"/>
    <w:rsid w:val="00FE26ED"/>
    <w:rsid w:val="00FE3108"/>
    <w:rsid w:val="00FE64BE"/>
    <w:rsid w:val="00FF1DDF"/>
    <w:rsid w:val="00FF44BA"/>
    <w:rsid w:val="00FF60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D95168"/>
  <w15:chartTrackingRefBased/>
  <w15:docId w15:val="{46AE5E34-B977-47D6-8258-47770B14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B1DBF"/>
    <w:pPr>
      <w:keepNext/>
      <w:numPr>
        <w:ilvl w:val="1"/>
        <w:numId w:val="21"/>
      </w:numPr>
      <w:spacing w:after="220"/>
      <w:outlineLvl w:val="1"/>
    </w:pPr>
    <w:rPr>
      <w:rFonts w:ascii="Times New Roman Bold" w:hAnsi="Times New Roman Bold"/>
      <w:b/>
      <w:szCs w:val="20"/>
    </w:rPr>
  </w:style>
  <w:style w:type="paragraph" w:styleId="Heading4">
    <w:name w:val="heading 4"/>
    <w:basedOn w:val="Normal"/>
    <w:next w:val="Normal"/>
    <w:qFormat/>
    <w:rsid w:val="00FB1DBF"/>
    <w:pPr>
      <w:keepNext/>
      <w:numPr>
        <w:ilvl w:val="3"/>
        <w:numId w:val="21"/>
      </w:numPr>
      <w:spacing w:before="240" w:after="60"/>
      <w:outlineLvl w:val="3"/>
    </w:pPr>
    <w:rPr>
      <w:rFonts w:ascii="Arial" w:hAnsi="Arial"/>
      <w:b/>
      <w:szCs w:val="20"/>
    </w:rPr>
  </w:style>
  <w:style w:type="paragraph" w:styleId="Heading5">
    <w:name w:val="heading 5"/>
    <w:basedOn w:val="Normal"/>
    <w:next w:val="Normal"/>
    <w:qFormat/>
    <w:rsid w:val="00FB1DBF"/>
    <w:pPr>
      <w:numPr>
        <w:ilvl w:val="4"/>
        <w:numId w:val="21"/>
      </w:numPr>
      <w:spacing w:before="240" w:after="60"/>
      <w:outlineLvl w:val="4"/>
    </w:pPr>
    <w:rPr>
      <w:sz w:val="22"/>
      <w:szCs w:val="20"/>
    </w:rPr>
  </w:style>
  <w:style w:type="paragraph" w:styleId="Heading6">
    <w:name w:val="heading 6"/>
    <w:basedOn w:val="Normal"/>
    <w:next w:val="Normal"/>
    <w:qFormat/>
    <w:rsid w:val="00FB1DBF"/>
    <w:pPr>
      <w:numPr>
        <w:ilvl w:val="5"/>
        <w:numId w:val="21"/>
      </w:numPr>
      <w:spacing w:before="240" w:after="60"/>
      <w:outlineLvl w:val="5"/>
    </w:pPr>
    <w:rPr>
      <w:i/>
      <w:sz w:val="22"/>
      <w:szCs w:val="20"/>
    </w:rPr>
  </w:style>
  <w:style w:type="paragraph" w:styleId="Heading7">
    <w:name w:val="heading 7"/>
    <w:basedOn w:val="Normal"/>
    <w:next w:val="Normal"/>
    <w:qFormat/>
    <w:rsid w:val="00FB1DBF"/>
    <w:pPr>
      <w:numPr>
        <w:ilvl w:val="6"/>
        <w:numId w:val="21"/>
      </w:numPr>
      <w:spacing w:before="240" w:after="60"/>
      <w:outlineLvl w:val="6"/>
    </w:pPr>
    <w:rPr>
      <w:rFonts w:ascii="Arial" w:hAnsi="Arial"/>
      <w:szCs w:val="20"/>
    </w:rPr>
  </w:style>
  <w:style w:type="paragraph" w:styleId="Heading8">
    <w:name w:val="heading 8"/>
    <w:basedOn w:val="Normal"/>
    <w:next w:val="Normal"/>
    <w:qFormat/>
    <w:rsid w:val="00FB1DBF"/>
    <w:pPr>
      <w:numPr>
        <w:ilvl w:val="7"/>
        <w:numId w:val="21"/>
      </w:numPr>
      <w:spacing w:before="240" w:after="60"/>
      <w:outlineLvl w:val="7"/>
    </w:pPr>
    <w:rPr>
      <w:rFonts w:ascii="Arial" w:hAnsi="Arial"/>
      <w:i/>
      <w:szCs w:val="20"/>
    </w:rPr>
  </w:style>
  <w:style w:type="paragraph" w:styleId="Heading9">
    <w:name w:val="heading 9"/>
    <w:basedOn w:val="Normal"/>
    <w:next w:val="Normal"/>
    <w:qFormat/>
    <w:rsid w:val="00FB1DBF"/>
    <w:pPr>
      <w:numPr>
        <w:ilvl w:val="8"/>
        <w:numId w:val="2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9A1DFF"/>
    <w:pPr>
      <w:widowControl w:val="0"/>
      <w:numPr>
        <w:numId w:val="3"/>
      </w:numPr>
      <w:spacing w:after="120"/>
    </w:pPr>
    <w:rPr>
      <w:snapToGrid w:val="0"/>
      <w:kern w:val="28"/>
      <w:sz w:val="22"/>
      <w:szCs w:val="20"/>
    </w:rPr>
  </w:style>
  <w:style w:type="character" w:customStyle="1" w:styleId="ParaNumChar">
    <w:name w:val="ParaNum Char"/>
    <w:link w:val="ParaNum"/>
    <w:rsid w:val="009A1DFF"/>
    <w:rPr>
      <w:snapToGrid w:val="0"/>
      <w:kern w:val="28"/>
      <w:sz w:val="22"/>
      <w:lang w:val="en-US" w:eastAsia="en-US" w:bidi="ar-SA"/>
    </w:rPr>
  </w:style>
  <w:style w:type="paragraph" w:styleId="FootnoteText">
    <w:name w:val="footnote text"/>
    <w:aliases w:val="Footnote Text Char,Footnote Text Char Char,Footnote Text Char1,Footnote Text Char2,Footnote Text Char2 Char Char,Footnote Text Char2 Char1 Char1 Char Char,Footnote Text Char3 Char1 Char Char,Footnote Text Char3 Char1 Char Char Char Char,fn"/>
    <w:link w:val="FootnoteTextChar3"/>
    <w:semiHidden/>
    <w:rsid w:val="009A1DFF"/>
    <w:pPr>
      <w:spacing w:after="120"/>
    </w:pPr>
  </w:style>
  <w:style w:type="character" w:customStyle="1" w:styleId="FootnoteTextChar3">
    <w:name w:val="Footnote Text Char3"/>
    <w:aliases w:val="Footnote Text Char Char Char,Footnote Text Char1 Char,Footnote Text Char2 Char Char Char,Footnote Text Char2 Char1 Char1 Char Char Char,Footnote Text Char3 Char1 Char Char Char,Footnote Text Char3 Char1 Char Char Char Char Char"/>
    <w:link w:val="FootnoteText"/>
    <w:semiHidden/>
    <w:rsid w:val="009A1DFF"/>
    <w:rPr>
      <w:lang w:val="en-US" w:eastAsia="en-US" w:bidi="ar-SA"/>
    </w:rPr>
  </w:style>
  <w:style w:type="character" w:styleId="FootnoteReference">
    <w:name w:val="footnote reference"/>
    <w:aliases w:val="(NECG) Footnote Reference,Appel note de bas de p,Style 12,Style 3,fr,o"/>
    <w:semiHidden/>
    <w:rsid w:val="009A1DFF"/>
    <w:rPr>
      <w:rFonts w:ascii="Times New Roman" w:hAnsi="Times New Roman"/>
      <w:dstrike w:val="0"/>
      <w:color w:val="auto"/>
      <w:sz w:val="22"/>
      <w:vertAlign w:val="superscript"/>
    </w:rPr>
  </w:style>
  <w:style w:type="character" w:styleId="Hyperlink">
    <w:name w:val="Hyperlink"/>
    <w:rsid w:val="00D1743C"/>
    <w:rPr>
      <w:color w:val="0000FF"/>
      <w:u w:val="single"/>
    </w:rPr>
  </w:style>
  <w:style w:type="paragraph" w:styleId="Footer">
    <w:name w:val="footer"/>
    <w:basedOn w:val="Normal"/>
    <w:rsid w:val="00400A74"/>
    <w:pPr>
      <w:tabs>
        <w:tab w:val="center" w:pos="4320"/>
        <w:tab w:val="right" w:pos="8640"/>
      </w:tabs>
    </w:pPr>
  </w:style>
  <w:style w:type="character" w:styleId="PageNumber">
    <w:name w:val="page number"/>
    <w:basedOn w:val="DefaultParagraphFont"/>
    <w:rsid w:val="00400A74"/>
  </w:style>
  <w:style w:type="paragraph" w:styleId="BalloonText">
    <w:name w:val="Balloon Text"/>
    <w:basedOn w:val="Normal"/>
    <w:semiHidden/>
    <w:rsid w:val="00336F72"/>
    <w:rPr>
      <w:rFonts w:ascii="Tahoma" w:hAnsi="Tahoma" w:cs="Tahoma"/>
      <w:sz w:val="16"/>
      <w:szCs w:val="16"/>
    </w:rPr>
  </w:style>
  <w:style w:type="character" w:styleId="CommentReference">
    <w:name w:val="annotation reference"/>
    <w:semiHidden/>
    <w:rsid w:val="0027608F"/>
    <w:rPr>
      <w:sz w:val="16"/>
      <w:szCs w:val="16"/>
    </w:rPr>
  </w:style>
  <w:style w:type="paragraph" w:styleId="CommentText">
    <w:name w:val="annotation text"/>
    <w:basedOn w:val="Normal"/>
    <w:semiHidden/>
    <w:rsid w:val="0027608F"/>
    <w:rPr>
      <w:sz w:val="20"/>
      <w:szCs w:val="20"/>
    </w:rPr>
  </w:style>
  <w:style w:type="paragraph" w:styleId="CommentSubject">
    <w:name w:val="annotation subject"/>
    <w:basedOn w:val="CommentText"/>
    <w:next w:val="CommentText"/>
    <w:semiHidden/>
    <w:rsid w:val="0027608F"/>
    <w:rPr>
      <w:b/>
      <w:bCs/>
    </w:rPr>
  </w:style>
  <w:style w:type="paragraph" w:customStyle="1" w:styleId="Numberedparagraphs">
    <w:name w:val="Numbered paragraphs"/>
    <w:basedOn w:val="Normal"/>
    <w:rsid w:val="00FB1DBF"/>
    <w:pPr>
      <w:numPr>
        <w:ilvl w:val="2"/>
        <w:numId w:val="21"/>
      </w:numPr>
      <w:tabs>
        <w:tab w:val="left" w:pos="1440"/>
      </w:tabs>
      <w:spacing w:after="220"/>
    </w:pPr>
    <w:rPr>
      <w:szCs w:val="20"/>
    </w:rPr>
  </w:style>
  <w:style w:type="paragraph" w:styleId="Revision">
    <w:name w:val="Revision"/>
    <w:hidden/>
    <w:uiPriority w:val="99"/>
    <w:semiHidden/>
    <w:rsid w:val="0038460C"/>
    <w:rPr>
      <w:sz w:val="24"/>
      <w:szCs w:val="24"/>
    </w:rPr>
  </w:style>
  <w:style w:type="paragraph" w:styleId="Header">
    <w:name w:val="header"/>
    <w:basedOn w:val="Normal"/>
    <w:link w:val="HeaderChar"/>
    <w:rsid w:val="00913EEA"/>
    <w:pPr>
      <w:tabs>
        <w:tab w:val="center" w:pos="4680"/>
        <w:tab w:val="right" w:pos="9360"/>
      </w:tabs>
    </w:pPr>
  </w:style>
  <w:style w:type="character" w:customStyle="1" w:styleId="HeaderChar">
    <w:name w:val="Header Char"/>
    <w:basedOn w:val="DefaultParagraphFont"/>
    <w:link w:val="Header"/>
    <w:rsid w:val="00913E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forbearance@fcc.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7122-005F-4F6D-8505-9454EA26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new Paperwork Act Reduction Submission for:</vt:lpstr>
    </vt:vector>
  </TitlesOfParts>
  <Company>Federal Communications Commission</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Paperwork Act Reduction Submission for:</dc:title>
  <dc:creator>jonathan.reel</dc:creator>
  <cp:lastModifiedBy>Nicole Ongele</cp:lastModifiedBy>
  <cp:revision>2</cp:revision>
  <cp:lastPrinted>2013-04-18T18:31:00Z</cp:lastPrinted>
  <dcterms:created xsi:type="dcterms:W3CDTF">2024-09-10T14:04:00Z</dcterms:created>
  <dcterms:modified xsi:type="dcterms:W3CDTF">2024-09-10T14:04:00Z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4AAAyjQjm0EOGgKHoL5/3JglPhRJEYyUnlD4znVO9tk6jEn1po0sBEWV/g==</vt:lpwstr>
  </property>
  <property fmtid="{D5CDD505-2E9C-101B-9397-08002B2CF9AE}" pid="3" name="MAIL_MSG_ID1">
    <vt:lpwstr>oFAAspTNh41gn7DdLYf7Chx2Fuxq9QXAaBrlzKlVN4D8N5pzHwAPS3uTwI0HSpbb/d65a8mLqtQHEcs3
IscGeaogYfxRko/TmShF6g+F8asCFCxsK0ZeWBTFzhh3Bt05BhHyIquWTu12OhmtpAhwh+lvaZZN
Jh4wRfRrYrFUyNojvIAKE++sCVcqBEMyMiGqPzA9bxCQLRCymLp7uW06f2CExRysvPd25doBtoD7
0viBG+ds0aGaVoryB</vt:lpwstr>
  </property>
  <property fmtid="{D5CDD505-2E9C-101B-9397-08002B2CF9AE}" pid="4" name="MAIL_MSG_ID2">
    <vt:lpwstr>m+hHxxo0jtQoCaVn+HNd2E953knEKEHX0VqqereCBIWed5S+TY1ZnMzaGw5
BZFdOvdNz9ubU3SqwHNI0+yMQ7qlcoqsNgFbY906pHx/1TR3</vt:lpwstr>
  </property>
  <property fmtid="{D5CDD505-2E9C-101B-9397-08002B2CF9AE}" pid="5" name="RESPONSE_SENDER_NAME">
    <vt:lpwstr>sAAA4E8dREqJqIpRn9axpbLBh8QnoKYBqjlNH9cuUtYce4s=</vt:lpwstr>
  </property>
</Properties>
</file>