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75EE" w:rsidP="008B75EE" w14:paraId="72C57632" w14:textId="71B2A6D7">
      <w:pPr>
        <w:pStyle w:val="NoSpacing"/>
        <w:jc w:val="center"/>
        <w:rPr>
          <w:color w:val="000000"/>
          <w:sz w:val="24"/>
          <w:szCs w:val="24"/>
        </w:rPr>
      </w:pPr>
      <w:r w:rsidRPr="00DB4FA0">
        <w:rPr>
          <w:sz w:val="24"/>
          <w:szCs w:val="24"/>
        </w:rPr>
        <w:t>Supporting Statement for Paperwork Reduction Act Submissions</w:t>
      </w:r>
    </w:p>
    <w:p w:rsidR="008B75EE" w:rsidRPr="00DB4FA0" w:rsidP="008B75EE" w14:paraId="1C544C42" w14:textId="01A7DAFF">
      <w:pPr>
        <w:pStyle w:val="NoSpacing"/>
        <w:jc w:val="center"/>
        <w:rPr>
          <w:sz w:val="24"/>
          <w:szCs w:val="24"/>
        </w:rPr>
      </w:pPr>
      <w:r w:rsidRPr="00DB4FA0">
        <w:rPr>
          <w:color w:val="000000"/>
          <w:sz w:val="24"/>
          <w:szCs w:val="24"/>
        </w:rPr>
        <w:t xml:space="preserve">Community Development Block Grant </w:t>
      </w:r>
      <w:r w:rsidR="007F32ED">
        <w:rPr>
          <w:color w:val="000000"/>
          <w:sz w:val="24"/>
          <w:szCs w:val="24"/>
        </w:rPr>
        <w:t xml:space="preserve">(CDBG) Urban County Qualification/New York Towns </w:t>
      </w:r>
      <w:r w:rsidR="00B66E0E">
        <w:rPr>
          <w:color w:val="000000"/>
          <w:sz w:val="24"/>
          <w:szCs w:val="24"/>
        </w:rPr>
        <w:t>Qualification/Requalification Process, Notice</w:t>
      </w:r>
    </w:p>
    <w:p w:rsidR="008B75EE" w:rsidRPr="00DB4FA0" w:rsidP="008B75EE" w14:paraId="68FE4FA0" w14:textId="77777777">
      <w:pPr>
        <w:pStyle w:val="NoSpacing"/>
        <w:jc w:val="center"/>
        <w:rPr>
          <w:sz w:val="24"/>
          <w:szCs w:val="24"/>
        </w:rPr>
      </w:pPr>
      <w:r w:rsidRPr="00DB4FA0">
        <w:rPr>
          <w:sz w:val="24"/>
          <w:szCs w:val="24"/>
        </w:rPr>
        <w:t>(OMB #2506-0</w:t>
      </w:r>
      <w:r>
        <w:rPr>
          <w:sz w:val="24"/>
          <w:szCs w:val="24"/>
        </w:rPr>
        <w:t>170</w:t>
      </w:r>
      <w:r w:rsidRPr="00DB4FA0">
        <w:rPr>
          <w:sz w:val="24"/>
          <w:szCs w:val="24"/>
        </w:rPr>
        <w:t>)</w:t>
      </w:r>
    </w:p>
    <w:p w:rsidR="00F34890" w:rsidP="008B75EE" w14:paraId="5510538A" w14:textId="77777777">
      <w:pPr>
        <w:pStyle w:val="NoSpacing"/>
        <w:rPr>
          <w:sz w:val="24"/>
          <w:szCs w:val="24"/>
        </w:rPr>
      </w:pPr>
    </w:p>
    <w:p w:rsidR="008B75EE" w:rsidRPr="00DB4FA0" w:rsidP="00F34890" w14:paraId="105F1DD8" w14:textId="277E05F3">
      <w:pPr>
        <w:pStyle w:val="NoSpacing"/>
        <w:numPr>
          <w:ilvl w:val="0"/>
          <w:numId w:val="7"/>
        </w:numPr>
        <w:rPr>
          <w:sz w:val="24"/>
          <w:szCs w:val="24"/>
        </w:rPr>
      </w:pPr>
      <w:r w:rsidRPr="00DB4FA0">
        <w:rPr>
          <w:sz w:val="24"/>
          <w:szCs w:val="24"/>
        </w:rPr>
        <w:t>Justification</w:t>
      </w:r>
    </w:p>
    <w:p w:rsidR="008B75EE" w:rsidP="008B75EE" w14:paraId="2C08A92F" w14:textId="77777777">
      <w:pPr>
        <w:pStyle w:val="NoSpacing"/>
        <w:tabs>
          <w:tab w:val="left" w:pos="810"/>
          <w:tab w:val="left" w:pos="990"/>
        </w:tabs>
        <w:rPr>
          <w:sz w:val="24"/>
          <w:szCs w:val="24"/>
        </w:rPr>
      </w:pPr>
    </w:p>
    <w:p w:rsidR="008B75EE" w:rsidRPr="006F3585" w:rsidP="00F34890" w14:paraId="634F2F03" w14:textId="12F44437">
      <w:pPr>
        <w:pStyle w:val="NoSpacing"/>
        <w:numPr>
          <w:ilvl w:val="0"/>
          <w:numId w:val="8"/>
        </w:numPr>
        <w:tabs>
          <w:tab w:val="left" w:pos="810"/>
          <w:tab w:val="left" w:pos="990"/>
        </w:tabs>
        <w:rPr>
          <w:b/>
          <w:bCs/>
          <w:sz w:val="24"/>
          <w:szCs w:val="24"/>
        </w:rPr>
      </w:pPr>
      <w:r w:rsidRPr="006F3585">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B75EE" w:rsidP="008B75EE" w14:paraId="6FCB761B" w14:textId="77777777">
      <w:pPr>
        <w:pStyle w:val="NoSpacing"/>
        <w:rPr>
          <w:sz w:val="24"/>
          <w:szCs w:val="24"/>
        </w:rPr>
      </w:pPr>
    </w:p>
    <w:p w:rsidR="008B75EE" w:rsidRPr="00A11D55" w:rsidP="00F34890" w14:paraId="6B7ED8DA" w14:textId="5A57CAD8">
      <w:pPr>
        <w:ind w:left="360"/>
        <w:rPr>
          <w:sz w:val="24"/>
          <w:szCs w:val="24"/>
        </w:rPr>
      </w:pPr>
      <w:hyperlink r:id="rId8" w:history="1">
        <w:r w:rsidRPr="00BA5FDE">
          <w:rPr>
            <w:rStyle w:val="Hyperlink"/>
            <w:sz w:val="24"/>
            <w:szCs w:val="24"/>
          </w:rPr>
          <w:t>The Housing and Community Development Act of 1974</w:t>
        </w:r>
      </w:hyperlink>
      <w:r w:rsidRPr="00A11D55">
        <w:rPr>
          <w:sz w:val="24"/>
          <w:szCs w:val="24"/>
        </w:rPr>
        <w:t>, as amended (the Act), authorizes the Secretary to make Community Development Block Grant (CDBG) funds available to states and units of general local government, which includes “urban counties” as defined in the Act. Based on the provisions in the Act, HUD has established an urban county qualification/ requalification process that is conducted each year.</w:t>
      </w:r>
      <w:r>
        <w:rPr>
          <w:sz w:val="24"/>
          <w:szCs w:val="24"/>
        </w:rPr>
        <w:t xml:space="preserve"> </w:t>
      </w:r>
      <w:r w:rsidRPr="00A11D55">
        <w:rPr>
          <w:sz w:val="24"/>
          <w:szCs w:val="24"/>
        </w:rPr>
        <w:t xml:space="preserve">One of the provisions on which this process is based is </w:t>
      </w:r>
      <w:r w:rsidR="00C4184B">
        <w:rPr>
          <w:sz w:val="24"/>
          <w:szCs w:val="24"/>
        </w:rPr>
        <w:t xml:space="preserve">at </w:t>
      </w:r>
      <w:r w:rsidRPr="00A11D55">
        <w:rPr>
          <w:sz w:val="24"/>
          <w:szCs w:val="24"/>
        </w:rPr>
        <w:t xml:space="preserve">Section 102(e) of the Act, which provides that “any county seeking qualification as an urban county, including any urban county seeking to continue such qualification, shall notify, … each unit of general local government, which is included therein and is eligible to elect to have its population excluded from that of an urban county . . . of its opportunity to make such an election. Such notification shall, at a time and manner prescribed by the Secretary, be provided </w:t>
      </w:r>
      <w:r w:rsidRPr="00A11D55">
        <w:rPr>
          <w:sz w:val="24"/>
          <w:szCs w:val="24"/>
        </w:rPr>
        <w:t>so as to</w:t>
      </w:r>
      <w:r w:rsidRPr="00A11D55">
        <w:rPr>
          <w:sz w:val="24"/>
          <w:szCs w:val="24"/>
        </w:rPr>
        <w:t xml:space="preserve"> provide a reasonable period for response prior to the period for which such qualification is sought. The population of any unit of general local government which is provided such notification and which does not inform, at a time and in a manner prescribed by the Secretary, the county of its election to exclude its population from that of the county shall, if the county qualifies as an urban county, be included in the population of such urban county as provided in subsection (d).”</w:t>
      </w:r>
    </w:p>
    <w:p w:rsidR="008B75EE" w:rsidRPr="00A11D55" w:rsidP="00F34890" w14:paraId="7C520486" w14:textId="77777777">
      <w:pPr>
        <w:pStyle w:val="NoSpacing"/>
        <w:ind w:left="360"/>
        <w:rPr>
          <w:sz w:val="24"/>
          <w:szCs w:val="24"/>
        </w:rPr>
      </w:pPr>
    </w:p>
    <w:p w:rsidR="008B75EE" w:rsidRPr="00A11D55" w:rsidP="00F34890" w14:paraId="71848715" w14:textId="77777777">
      <w:pPr>
        <w:pStyle w:val="NoSpacing"/>
        <w:ind w:left="360"/>
        <w:rPr>
          <w:sz w:val="24"/>
          <w:szCs w:val="24"/>
        </w:rPr>
      </w:pPr>
      <w:r w:rsidRPr="00A11D55">
        <w:rPr>
          <w:sz w:val="24"/>
          <w:szCs w:val="24"/>
        </w:rPr>
        <w:t xml:space="preserve">Section 102(d) of the Act provides that any unit of general local government that is included in an urban county “shall be included in the population of such urban county for three program </w:t>
      </w:r>
      <w:r w:rsidRPr="00A11D55">
        <w:rPr>
          <w:sz w:val="24"/>
          <w:szCs w:val="24"/>
        </w:rPr>
        <w:t>years.”</w:t>
      </w:r>
    </w:p>
    <w:p w:rsidR="008B75EE" w:rsidRPr="00A11D55" w:rsidP="00F34890" w14:paraId="043F1AF5" w14:textId="77777777">
      <w:pPr>
        <w:pStyle w:val="NoSpacing"/>
        <w:ind w:left="360"/>
        <w:rPr>
          <w:sz w:val="24"/>
          <w:szCs w:val="24"/>
        </w:rPr>
      </w:pPr>
    </w:p>
    <w:p w:rsidR="008B75EE" w:rsidRPr="00A11D55" w:rsidP="00F34890" w14:paraId="03F9D2E5" w14:textId="2121E2B9">
      <w:pPr>
        <w:pStyle w:val="NoSpacing"/>
        <w:ind w:left="360"/>
        <w:rPr>
          <w:sz w:val="24"/>
          <w:szCs w:val="24"/>
        </w:rPr>
      </w:pPr>
      <w:r w:rsidRPr="00A11D55">
        <w:rPr>
          <w:sz w:val="24"/>
          <w:szCs w:val="24"/>
        </w:rPr>
        <w:t xml:space="preserve">Based on these provisions, the urban county qualification/requalification process is conducted annually. Once qualified, an urban county must requalify on a triennial cycle. However, in the two intervening years of the cycle, a county may contact non-participating communities and advise them of their opportunity to be included as part of the </w:t>
      </w:r>
      <w:r w:rsidR="00746897">
        <w:rPr>
          <w:sz w:val="24"/>
          <w:szCs w:val="24"/>
        </w:rPr>
        <w:t xml:space="preserve">urban </w:t>
      </w:r>
      <w:r w:rsidRPr="00A11D55">
        <w:rPr>
          <w:sz w:val="24"/>
          <w:szCs w:val="24"/>
        </w:rPr>
        <w:t>county for the remaining one or two years of the period of qualification.</w:t>
      </w:r>
    </w:p>
    <w:p w:rsidR="008B75EE" w:rsidRPr="00A11D55" w:rsidP="00F34890" w14:paraId="221C3CE9" w14:textId="77777777">
      <w:pPr>
        <w:pStyle w:val="NoSpacing"/>
        <w:ind w:left="360"/>
        <w:rPr>
          <w:sz w:val="24"/>
          <w:szCs w:val="24"/>
        </w:rPr>
      </w:pPr>
    </w:p>
    <w:p w:rsidR="00F34890" w:rsidP="00F34890" w14:paraId="59CA67F4" w14:textId="77777777">
      <w:pPr>
        <w:pStyle w:val="NoSpacing"/>
        <w:ind w:left="360"/>
        <w:rPr>
          <w:sz w:val="24"/>
          <w:szCs w:val="24"/>
        </w:rPr>
      </w:pPr>
      <w:r w:rsidRPr="00A11D55">
        <w:rPr>
          <w:sz w:val="24"/>
          <w:szCs w:val="24"/>
        </w:rPr>
        <w:t xml:space="preserve">New York Towns undertook a similar requalification process every three years. However, after consultation with program counsel, it was determined that a requalification process for New York Towns is unnecessary because the units of general local government in New York towns do not have the same statutory notice rights (under Section 102(e) of the Act) as units of general local government participating in an urban county. However, those New York Towns may qualify as metropolitan cities if they are able to secure the participation of </w:t>
      </w:r>
      <w:r w:rsidRPr="00A11D55" w:rsidR="00746897">
        <w:rPr>
          <w:sz w:val="24"/>
          <w:szCs w:val="24"/>
        </w:rPr>
        <w:t>all</w:t>
      </w:r>
      <w:r w:rsidRPr="00A11D55">
        <w:rPr>
          <w:sz w:val="24"/>
          <w:szCs w:val="24"/>
        </w:rPr>
        <w:t xml:space="preserve"> the villages located within their boundaries. Any New York Town located in an urban county may choose to leave that urban county when that county is requalifying to become a metropolitan city. That New York Town will be required to notify the urban county in advance of its decision to defer participation in the urban county’s CDBG program and complete the metropolitan city qualification process.</w:t>
      </w:r>
    </w:p>
    <w:p w:rsidR="008B75EE" w:rsidRPr="006F3585" w:rsidP="00F34890" w14:paraId="6D0FF2EC" w14:textId="3668665F">
      <w:pPr>
        <w:pStyle w:val="NoSpacing"/>
        <w:numPr>
          <w:ilvl w:val="0"/>
          <w:numId w:val="8"/>
        </w:numPr>
        <w:rPr>
          <w:b/>
          <w:bCs/>
          <w:sz w:val="24"/>
          <w:szCs w:val="24"/>
        </w:rPr>
      </w:pPr>
      <w:r w:rsidRPr="006F3585">
        <w:rPr>
          <w:b/>
          <w:bCs/>
          <w:sz w:val="24"/>
          <w:szCs w:val="24"/>
        </w:rPr>
        <w:t>Indicate how, by whom and for what purpose the information is to be used. Except for a new collection, indicate the actual use the agency has made of the information received from the current collection.</w:t>
      </w:r>
    </w:p>
    <w:p w:rsidR="008B75EE" w:rsidRPr="00A11D55" w:rsidP="008B75EE" w14:paraId="17E74C6F" w14:textId="77777777">
      <w:pPr>
        <w:pStyle w:val="NoSpacing"/>
        <w:ind w:left="360"/>
        <w:rPr>
          <w:sz w:val="24"/>
          <w:szCs w:val="24"/>
        </w:rPr>
      </w:pPr>
    </w:p>
    <w:p w:rsidR="00F34890" w:rsidP="00F34890" w14:paraId="7D316285" w14:textId="3FC5013B">
      <w:pPr>
        <w:pStyle w:val="NoSpacing"/>
        <w:ind w:left="360"/>
        <w:rPr>
          <w:sz w:val="24"/>
          <w:szCs w:val="24"/>
        </w:rPr>
      </w:pPr>
      <w:r w:rsidRPr="00BE0A3B">
        <w:rPr>
          <w:sz w:val="24"/>
          <w:szCs w:val="24"/>
        </w:rPr>
        <w:t xml:space="preserve">This is a reinstatement with change. </w:t>
      </w:r>
      <w:r w:rsidRPr="00A11D55" w:rsidR="008B75EE">
        <w:rPr>
          <w:sz w:val="24"/>
          <w:szCs w:val="24"/>
        </w:rPr>
        <w:t>The information obtained each year from the urban county qualification/requalification process establishes the participating population that is used by HUD in calculating the final CDBG grant allocations for all entitlement (which includes metro cities and urban counties) and state CDBG grantees for the next fiscal year, in accordance with section 106 of the Act.</w:t>
      </w:r>
    </w:p>
    <w:p w:rsidR="00F34890" w:rsidP="00F34890" w14:paraId="5EAB1DF1" w14:textId="77777777">
      <w:pPr>
        <w:pStyle w:val="NoSpacing"/>
        <w:rPr>
          <w:sz w:val="24"/>
          <w:szCs w:val="24"/>
        </w:rPr>
      </w:pPr>
    </w:p>
    <w:p w:rsidR="008B75EE" w:rsidRPr="006F3585" w:rsidP="00F34890" w14:paraId="3CDE5958" w14:textId="0843C617">
      <w:pPr>
        <w:pStyle w:val="NoSpacing"/>
        <w:numPr>
          <w:ilvl w:val="0"/>
          <w:numId w:val="8"/>
        </w:numPr>
        <w:rPr>
          <w:b/>
          <w:bCs/>
          <w:sz w:val="24"/>
          <w:szCs w:val="24"/>
        </w:rPr>
      </w:pPr>
      <w:r w:rsidRPr="006F3585">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B75EE" w:rsidP="008B75EE" w14:paraId="391663FB" w14:textId="77777777">
      <w:pPr>
        <w:pStyle w:val="NoSpacing"/>
        <w:rPr>
          <w:sz w:val="24"/>
          <w:szCs w:val="24"/>
        </w:rPr>
      </w:pPr>
    </w:p>
    <w:p w:rsidR="008B75EE" w:rsidP="00F34890" w14:paraId="2B0653F3" w14:textId="77777777">
      <w:pPr>
        <w:pStyle w:val="NoSpacing"/>
        <w:ind w:left="360"/>
        <w:rPr>
          <w:sz w:val="24"/>
          <w:szCs w:val="24"/>
        </w:rPr>
      </w:pPr>
      <w:r w:rsidRPr="00A11D55">
        <w:rPr>
          <w:sz w:val="24"/>
          <w:szCs w:val="24"/>
        </w:rPr>
        <w:t xml:space="preserve">The process for urban county </w:t>
      </w:r>
      <w:r w:rsidRPr="00A11D55">
        <w:rPr>
          <w:sz w:val="24"/>
          <w:szCs w:val="24"/>
        </w:rPr>
        <w:t>qualification</w:t>
      </w:r>
      <w:r w:rsidRPr="00A11D55">
        <w:rPr>
          <w:sz w:val="24"/>
          <w:szCs w:val="24"/>
        </w:rPr>
        <w:t xml:space="preserve"> and requalification is not automated because the information collected is based on written agreements that must be executed by the county and each unit of general local government that chooses to participate in the urban county program. These agreements are subject to interpretation and application of state and local laws governing the essential powers of these units of general local government. They vary greatly from state to state and may even vary from county to county within a given state. These agreements are drafted by legal counsel for the counties and local governments participating in the urban county program. As a result, HUD cannot provide one agreement that fits all situations and must review each on an individual basis to ensure that they address pertinent issues and </w:t>
      </w:r>
      <w:r w:rsidRPr="00A11D55">
        <w:rPr>
          <w:sz w:val="24"/>
          <w:szCs w:val="24"/>
        </w:rPr>
        <w:t>are in compliance with</w:t>
      </w:r>
      <w:r w:rsidRPr="00A11D55">
        <w:rPr>
          <w:sz w:val="24"/>
          <w:szCs w:val="24"/>
        </w:rPr>
        <w:t xml:space="preserve"> HUD requirements, as well as state and local law. HUD compiles limited statistical data with respect to these submissions. Urban counties may submit these agreements in PDF format via email</w:t>
      </w:r>
      <w:r>
        <w:rPr>
          <w:sz w:val="24"/>
          <w:szCs w:val="24"/>
        </w:rPr>
        <w:t>.</w:t>
      </w:r>
    </w:p>
    <w:p w:rsidR="008B75EE" w:rsidRPr="00DB4FA0" w:rsidP="008B75EE" w14:paraId="2CCF5ADC" w14:textId="77777777">
      <w:pPr>
        <w:pStyle w:val="NoSpacing"/>
        <w:rPr>
          <w:sz w:val="24"/>
          <w:szCs w:val="24"/>
        </w:rPr>
      </w:pPr>
    </w:p>
    <w:p w:rsidR="008B75EE" w:rsidRPr="006F3585" w:rsidP="00F34890" w14:paraId="29DD6BA3" w14:textId="64169D81">
      <w:pPr>
        <w:pStyle w:val="NoSpacing"/>
        <w:numPr>
          <w:ilvl w:val="0"/>
          <w:numId w:val="8"/>
        </w:numPr>
        <w:rPr>
          <w:b/>
          <w:bCs/>
          <w:sz w:val="24"/>
          <w:szCs w:val="24"/>
        </w:rPr>
      </w:pPr>
      <w:r w:rsidRPr="006F3585">
        <w:rPr>
          <w:b/>
          <w:bCs/>
          <w:sz w:val="24"/>
          <w:szCs w:val="24"/>
        </w:rPr>
        <w:t>Describe efforts to identify duplication.  Show specifically why any similar information already available cannot be used or modified for use for the purposes described in Item 2 above.</w:t>
      </w:r>
    </w:p>
    <w:p w:rsidR="008B75EE" w:rsidRPr="00DB4FA0" w:rsidP="008B75EE" w14:paraId="2E770B28" w14:textId="77777777">
      <w:pPr>
        <w:pStyle w:val="NoSpacing"/>
        <w:ind w:left="720"/>
        <w:rPr>
          <w:sz w:val="24"/>
          <w:szCs w:val="24"/>
        </w:rPr>
      </w:pPr>
    </w:p>
    <w:p w:rsidR="008B75EE" w:rsidRPr="00A11D55" w:rsidP="00F34890" w14:paraId="27F3C730" w14:textId="77777777">
      <w:pPr>
        <w:ind w:left="360"/>
        <w:rPr>
          <w:sz w:val="24"/>
          <w:szCs w:val="24"/>
        </w:rPr>
      </w:pPr>
      <w:r w:rsidRPr="00A11D55">
        <w:rPr>
          <w:sz w:val="24"/>
          <w:szCs w:val="24"/>
        </w:rPr>
        <w:t>The Department is not aware of any duplication of information collection requirements based on a review of the Act and existing program rules.</w:t>
      </w:r>
    </w:p>
    <w:p w:rsidR="00F34890" w:rsidP="00F34890" w14:paraId="5B241A9F" w14:textId="77777777">
      <w:pPr>
        <w:pStyle w:val="NoSpacing"/>
        <w:rPr>
          <w:sz w:val="24"/>
          <w:szCs w:val="24"/>
        </w:rPr>
      </w:pPr>
    </w:p>
    <w:p w:rsidR="008B75EE" w:rsidRPr="006F3585" w:rsidP="00F34890" w14:paraId="39C17115" w14:textId="3B9925FE">
      <w:pPr>
        <w:pStyle w:val="NoSpacing"/>
        <w:numPr>
          <w:ilvl w:val="0"/>
          <w:numId w:val="8"/>
        </w:numPr>
        <w:rPr>
          <w:b/>
          <w:bCs/>
          <w:sz w:val="24"/>
          <w:szCs w:val="24"/>
        </w:rPr>
      </w:pPr>
      <w:r w:rsidRPr="006F3585">
        <w:rPr>
          <w:b/>
          <w:bCs/>
          <w:sz w:val="24"/>
          <w:szCs w:val="24"/>
        </w:rPr>
        <w:t>If the collection of information impacts small businesses or other small entities describe any methods used to minimize burden.</w:t>
      </w:r>
    </w:p>
    <w:p w:rsidR="008B75EE" w:rsidP="008B75EE" w14:paraId="4D1BFCA8" w14:textId="77777777">
      <w:pPr>
        <w:pStyle w:val="NoSpacing"/>
        <w:rPr>
          <w:sz w:val="24"/>
          <w:szCs w:val="24"/>
        </w:rPr>
      </w:pPr>
    </w:p>
    <w:p w:rsidR="008B75EE" w:rsidP="00F34890" w14:paraId="45B8A48E" w14:textId="77777777">
      <w:pPr>
        <w:pStyle w:val="NoSpacing"/>
        <w:ind w:left="360"/>
        <w:rPr>
          <w:sz w:val="24"/>
          <w:szCs w:val="24"/>
        </w:rPr>
      </w:pPr>
      <w:r w:rsidRPr="00A11D55">
        <w:rPr>
          <w:sz w:val="24"/>
          <w:szCs w:val="24"/>
        </w:rPr>
        <w:t>Units of general local government in which an urban county does not have essential community development and housing assistance powers must enter into cooperation agreements with the county if they wish to participate in the CDBG program as part of the urban county. Some of these jurisdictions may be classified as small towns (entities); however, the information collection described here does not have a negative impact on these small towns (entities). Small businesses do not participate in the program.</w:t>
      </w:r>
    </w:p>
    <w:p w:rsidR="00F34890" w:rsidP="00F34890" w14:paraId="2BD6F8CB" w14:textId="77777777">
      <w:pPr>
        <w:pStyle w:val="NoSpacing"/>
        <w:rPr>
          <w:sz w:val="24"/>
          <w:szCs w:val="24"/>
        </w:rPr>
      </w:pPr>
    </w:p>
    <w:p w:rsidR="00F34890" w:rsidP="00F34890" w14:paraId="5F914F24" w14:textId="77777777">
      <w:pPr>
        <w:pStyle w:val="NoSpacing"/>
        <w:rPr>
          <w:sz w:val="24"/>
          <w:szCs w:val="24"/>
        </w:rPr>
      </w:pPr>
    </w:p>
    <w:p w:rsidR="00F34890" w:rsidP="00F34890" w14:paraId="6720F988" w14:textId="77777777">
      <w:pPr>
        <w:pStyle w:val="NoSpacing"/>
        <w:rPr>
          <w:sz w:val="24"/>
          <w:szCs w:val="24"/>
        </w:rPr>
      </w:pPr>
    </w:p>
    <w:p w:rsidR="008B75EE" w:rsidRPr="006F3585" w:rsidP="00F34890" w14:paraId="70791F28" w14:textId="53BCE87C">
      <w:pPr>
        <w:pStyle w:val="NoSpacing"/>
        <w:numPr>
          <w:ilvl w:val="0"/>
          <w:numId w:val="8"/>
        </w:numPr>
        <w:rPr>
          <w:b/>
          <w:bCs/>
          <w:sz w:val="24"/>
          <w:szCs w:val="24"/>
        </w:rPr>
      </w:pPr>
      <w:r w:rsidRPr="006F3585">
        <w:rPr>
          <w:b/>
          <w:bCs/>
          <w:sz w:val="24"/>
          <w:szCs w:val="24"/>
        </w:rPr>
        <w:t xml:space="preserve">Describe the </w:t>
      </w:r>
      <w:r w:rsidRPr="006F3585">
        <w:rPr>
          <w:b/>
          <w:bCs/>
          <w:sz w:val="24"/>
          <w:szCs w:val="24"/>
        </w:rPr>
        <w:t>consequence</w:t>
      </w:r>
      <w:r w:rsidRPr="006F3585">
        <w:rPr>
          <w:b/>
          <w:bCs/>
          <w:sz w:val="24"/>
          <w:szCs w:val="24"/>
        </w:rPr>
        <w:t xml:space="preserve"> to Federal program or policy activities if the collection is not conducted or is conducted less frequently, as well as any technical or legal obstacles to reducing burden.</w:t>
      </w:r>
    </w:p>
    <w:p w:rsidR="008B75EE" w:rsidP="008B75EE" w14:paraId="71AD41CE" w14:textId="77777777">
      <w:pPr>
        <w:pStyle w:val="NoSpacing"/>
        <w:rPr>
          <w:sz w:val="24"/>
          <w:szCs w:val="24"/>
        </w:rPr>
      </w:pPr>
    </w:p>
    <w:p w:rsidR="008B75EE" w:rsidP="00F34890" w14:paraId="1EC27AD7" w14:textId="2AF39939">
      <w:pPr>
        <w:pStyle w:val="NoSpacing"/>
        <w:ind w:left="360"/>
        <w:rPr>
          <w:sz w:val="24"/>
          <w:szCs w:val="24"/>
        </w:rPr>
      </w:pPr>
      <w:r w:rsidRPr="00A11D55">
        <w:rPr>
          <w:sz w:val="24"/>
          <w:szCs w:val="24"/>
        </w:rPr>
        <w:t>The collection requirement is at the minimum required by the Act. The information obtained through this qualification/requalification process is used in calculating the annual grant allocations under the CDBG program. Obtaining information for this purpose less frequently would be inconsistent with the Act. It may also result in incorrect grant amounts, since the data is collected for the purpose of confirming those communities as part of urban counties and, thereby, the population of those entities that will be used as part of the formula to determine the amount of CDBG funds each grantee receives annually</w:t>
      </w:r>
      <w:r w:rsidR="00846C0A">
        <w:rPr>
          <w:sz w:val="24"/>
          <w:szCs w:val="24"/>
        </w:rPr>
        <w:t>.</w:t>
      </w:r>
    </w:p>
    <w:p w:rsidR="008B75EE" w:rsidP="008B75EE" w14:paraId="25EF5F73" w14:textId="77777777">
      <w:pPr>
        <w:pStyle w:val="NoSpacing"/>
        <w:rPr>
          <w:sz w:val="24"/>
          <w:szCs w:val="24"/>
        </w:rPr>
      </w:pPr>
    </w:p>
    <w:p w:rsidR="008B75EE" w:rsidRPr="006F3585" w:rsidP="00F34890" w14:paraId="6B2D9458" w14:textId="0FC950F7">
      <w:pPr>
        <w:pStyle w:val="NoSpacing"/>
        <w:numPr>
          <w:ilvl w:val="0"/>
          <w:numId w:val="8"/>
        </w:numPr>
        <w:rPr>
          <w:b/>
          <w:bCs/>
          <w:sz w:val="24"/>
          <w:szCs w:val="24"/>
        </w:rPr>
      </w:pPr>
      <w:r w:rsidRPr="006F3585">
        <w:rPr>
          <w:b/>
          <w:bCs/>
          <w:sz w:val="24"/>
          <w:szCs w:val="24"/>
        </w:rPr>
        <w:t>Explain any special circumstances that would cause an information collection to be conducted in a manner:</w:t>
      </w:r>
    </w:p>
    <w:p w:rsidR="008B75EE" w:rsidRPr="006F3585" w:rsidP="008B75EE" w14:paraId="4EA0DE71" w14:textId="77777777">
      <w:pPr>
        <w:pStyle w:val="NoSpacing"/>
        <w:rPr>
          <w:b/>
          <w:bCs/>
          <w:sz w:val="24"/>
          <w:szCs w:val="24"/>
        </w:rPr>
      </w:pPr>
      <w:r w:rsidRPr="006F3585">
        <w:rPr>
          <w:b/>
          <w:bCs/>
          <w:sz w:val="24"/>
          <w:szCs w:val="24"/>
        </w:rPr>
        <w:t xml:space="preserve"> </w:t>
      </w:r>
    </w:p>
    <w:p w:rsidR="008B75EE" w:rsidRPr="00DB4FA0" w:rsidP="008B75EE" w14:paraId="0C82733D" w14:textId="77777777">
      <w:pPr>
        <w:pStyle w:val="NoSpacing"/>
        <w:numPr>
          <w:ilvl w:val="0"/>
          <w:numId w:val="4"/>
        </w:numPr>
        <w:rPr>
          <w:sz w:val="24"/>
          <w:szCs w:val="24"/>
        </w:rPr>
      </w:pPr>
      <w:r w:rsidRPr="00DB4FA0">
        <w:rPr>
          <w:sz w:val="24"/>
          <w:szCs w:val="24"/>
        </w:rPr>
        <w:t>requiring respondents to report information to the agency more than quarterl</w:t>
      </w:r>
      <w:r>
        <w:rPr>
          <w:sz w:val="24"/>
          <w:szCs w:val="24"/>
        </w:rPr>
        <w:t>y; N/A</w:t>
      </w:r>
    </w:p>
    <w:p w:rsidR="008B75EE" w:rsidRPr="00DB4FA0" w:rsidP="008B75EE" w14:paraId="038BAB01" w14:textId="77777777">
      <w:pPr>
        <w:pStyle w:val="NoSpacing"/>
        <w:numPr>
          <w:ilvl w:val="0"/>
          <w:numId w:val="4"/>
        </w:numPr>
        <w:rPr>
          <w:sz w:val="24"/>
          <w:szCs w:val="24"/>
        </w:rPr>
      </w:pPr>
      <w:r w:rsidRPr="00DB4FA0">
        <w:rPr>
          <w:sz w:val="24"/>
          <w:szCs w:val="24"/>
        </w:rPr>
        <w:t xml:space="preserve">requiring respondents to prepare a written response to a collection of information in fewer than 30 days after receipt of it; </w:t>
      </w:r>
      <w:r>
        <w:rPr>
          <w:sz w:val="24"/>
          <w:szCs w:val="24"/>
        </w:rPr>
        <w:t>N/A</w:t>
      </w:r>
    </w:p>
    <w:p w:rsidR="008B75EE" w:rsidRPr="00DB4FA0" w:rsidP="008B75EE" w14:paraId="202BEF8D" w14:textId="77777777">
      <w:pPr>
        <w:pStyle w:val="NoSpacing"/>
        <w:numPr>
          <w:ilvl w:val="0"/>
          <w:numId w:val="4"/>
        </w:numPr>
        <w:rPr>
          <w:sz w:val="24"/>
          <w:szCs w:val="24"/>
        </w:rPr>
      </w:pPr>
      <w:r w:rsidRPr="00DB4FA0">
        <w:rPr>
          <w:sz w:val="24"/>
          <w:szCs w:val="24"/>
        </w:rPr>
        <w:t xml:space="preserve">requiring respondents to submit more than an original and two copies of any document; </w:t>
      </w:r>
      <w:r>
        <w:rPr>
          <w:sz w:val="24"/>
          <w:szCs w:val="24"/>
        </w:rPr>
        <w:t>N/A</w:t>
      </w:r>
    </w:p>
    <w:p w:rsidR="008B75EE" w:rsidRPr="00DB4FA0" w:rsidP="008B75EE" w14:paraId="5091B1D0" w14:textId="77777777">
      <w:pPr>
        <w:pStyle w:val="NoSpacing"/>
        <w:numPr>
          <w:ilvl w:val="0"/>
          <w:numId w:val="5"/>
        </w:numPr>
        <w:rPr>
          <w:sz w:val="24"/>
          <w:szCs w:val="24"/>
        </w:rPr>
      </w:pPr>
      <w:r w:rsidRPr="00DB4FA0">
        <w:rPr>
          <w:sz w:val="24"/>
          <w:szCs w:val="24"/>
        </w:rPr>
        <w:t>requiring respondents to retain records other than health, medical, government contract, grant-in-aid, or tax records for more than three years;</w:t>
      </w:r>
      <w:r>
        <w:rPr>
          <w:sz w:val="24"/>
          <w:szCs w:val="24"/>
        </w:rPr>
        <w:t xml:space="preserve"> N/A</w:t>
      </w:r>
      <w:r w:rsidRPr="00DB4FA0">
        <w:rPr>
          <w:sz w:val="24"/>
          <w:szCs w:val="24"/>
        </w:rPr>
        <w:t xml:space="preserve"> </w:t>
      </w:r>
    </w:p>
    <w:p w:rsidR="008B75EE" w:rsidRPr="00DB4FA0" w:rsidP="008B75EE" w14:paraId="005F5E3F" w14:textId="77777777">
      <w:pPr>
        <w:pStyle w:val="NoSpacing"/>
        <w:numPr>
          <w:ilvl w:val="0"/>
          <w:numId w:val="5"/>
        </w:numPr>
        <w:rPr>
          <w:sz w:val="24"/>
          <w:szCs w:val="24"/>
        </w:rPr>
      </w:pPr>
      <w:r w:rsidRPr="00DB4FA0">
        <w:rPr>
          <w:sz w:val="24"/>
          <w:szCs w:val="24"/>
        </w:rPr>
        <w:t xml:space="preserve">in connection with a statistical </w:t>
      </w:r>
      <w:r w:rsidRPr="00DB4FA0">
        <w:rPr>
          <w:sz w:val="24"/>
          <w:szCs w:val="24"/>
        </w:rPr>
        <w:t>survey,</w:t>
      </w:r>
      <w:r w:rsidRPr="00DB4FA0">
        <w:rPr>
          <w:sz w:val="24"/>
          <w:szCs w:val="24"/>
        </w:rPr>
        <w:t xml:space="preserve"> that is not designed to produce valid and reliable results than can be generalized to the universe of study; </w:t>
      </w:r>
      <w:r>
        <w:rPr>
          <w:sz w:val="24"/>
          <w:szCs w:val="24"/>
        </w:rPr>
        <w:t>N/A</w:t>
      </w:r>
    </w:p>
    <w:p w:rsidR="008B75EE" w:rsidRPr="00DB4FA0" w:rsidP="008B75EE" w14:paraId="65AF36A8" w14:textId="77777777">
      <w:pPr>
        <w:pStyle w:val="NoSpacing"/>
        <w:numPr>
          <w:ilvl w:val="0"/>
          <w:numId w:val="5"/>
        </w:numPr>
        <w:rPr>
          <w:sz w:val="24"/>
          <w:szCs w:val="24"/>
        </w:rPr>
      </w:pPr>
      <w:r w:rsidRPr="00DB4FA0">
        <w:rPr>
          <w:sz w:val="24"/>
          <w:szCs w:val="24"/>
        </w:rPr>
        <w:t>requiring the use of a statistical data classification that has not been reviewed and approved by OMB;</w:t>
      </w:r>
      <w:r>
        <w:rPr>
          <w:sz w:val="24"/>
          <w:szCs w:val="24"/>
        </w:rPr>
        <w:t xml:space="preserve"> N/A</w:t>
      </w:r>
    </w:p>
    <w:p w:rsidR="008B75EE" w:rsidP="008B75EE" w14:paraId="0DD0A579" w14:textId="77777777">
      <w:pPr>
        <w:pStyle w:val="NoSpacing"/>
        <w:numPr>
          <w:ilvl w:val="0"/>
          <w:numId w:val="5"/>
        </w:numPr>
        <w:rPr>
          <w:sz w:val="24"/>
          <w:szCs w:val="24"/>
        </w:rPr>
      </w:pPr>
      <w:r w:rsidRPr="00DB4FA0">
        <w:rPr>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Pr>
          <w:sz w:val="24"/>
          <w:szCs w:val="24"/>
        </w:rPr>
        <w:t xml:space="preserve"> N/A</w:t>
      </w:r>
    </w:p>
    <w:p w:rsidR="008B75EE" w:rsidRPr="00DB4FA0" w:rsidP="008B75EE" w14:paraId="1868DE0A" w14:textId="77777777">
      <w:pPr>
        <w:pStyle w:val="NoSpacing"/>
        <w:numPr>
          <w:ilvl w:val="0"/>
          <w:numId w:val="5"/>
        </w:numPr>
        <w:rPr>
          <w:sz w:val="24"/>
          <w:szCs w:val="24"/>
        </w:rPr>
      </w:pPr>
      <w:r w:rsidRPr="00DB4FA0">
        <w:rPr>
          <w:sz w:val="24"/>
          <w:szCs w:val="24"/>
        </w:rPr>
        <w:t xml:space="preserve">requiring respondents to submit proprietary trade </w:t>
      </w:r>
      <w:r w:rsidRPr="00DB4FA0">
        <w:rPr>
          <w:sz w:val="24"/>
          <w:szCs w:val="24"/>
        </w:rPr>
        <w:t>secret</w:t>
      </w:r>
      <w:r w:rsidRPr="00DB4FA0">
        <w:rPr>
          <w:sz w:val="24"/>
          <w:szCs w:val="24"/>
        </w:rPr>
        <w:t>, or other confidential information unless the agency can demonstrate that it has instituted procedures to protect the information's confidentiality to the extent permitted by law.</w:t>
      </w:r>
      <w:r>
        <w:rPr>
          <w:sz w:val="24"/>
          <w:szCs w:val="24"/>
        </w:rPr>
        <w:t xml:space="preserve"> N/A</w:t>
      </w:r>
    </w:p>
    <w:p w:rsidR="008B75EE" w:rsidP="008B75EE" w14:paraId="0A1AD943" w14:textId="77777777">
      <w:pPr>
        <w:pStyle w:val="NoSpacing"/>
        <w:rPr>
          <w:sz w:val="24"/>
          <w:szCs w:val="24"/>
        </w:rPr>
      </w:pPr>
    </w:p>
    <w:p w:rsidR="008B75EE" w:rsidP="00F34890" w14:paraId="430D9896" w14:textId="77777777">
      <w:pPr>
        <w:pStyle w:val="NoSpacing"/>
        <w:ind w:left="720"/>
        <w:rPr>
          <w:sz w:val="24"/>
          <w:szCs w:val="24"/>
        </w:rPr>
      </w:pPr>
      <w:r w:rsidRPr="000A7603">
        <w:rPr>
          <w:sz w:val="24"/>
          <w:szCs w:val="24"/>
        </w:rPr>
        <w:t>There are no special circumstances that would cause this information collection to be conducted in a manner that would impose one or more of the additional requirements identified under this item.</w:t>
      </w:r>
    </w:p>
    <w:p w:rsidR="008B75EE" w:rsidRPr="00DB4FA0" w:rsidP="008B75EE" w14:paraId="7BA383A3" w14:textId="77777777">
      <w:pPr>
        <w:pStyle w:val="NoSpacing"/>
        <w:rPr>
          <w:sz w:val="24"/>
          <w:szCs w:val="24"/>
        </w:rPr>
      </w:pPr>
    </w:p>
    <w:p w:rsidR="008B75EE" w:rsidRPr="006F3585" w:rsidP="00F34890" w14:paraId="4AFDF98D" w14:textId="6B1FC7D0">
      <w:pPr>
        <w:pStyle w:val="NoSpacing"/>
        <w:numPr>
          <w:ilvl w:val="0"/>
          <w:numId w:val="8"/>
        </w:numPr>
        <w:rPr>
          <w:b/>
          <w:bCs/>
          <w:sz w:val="24"/>
          <w:szCs w:val="24"/>
        </w:rPr>
      </w:pPr>
      <w:r w:rsidRPr="006F3585">
        <w:rPr>
          <w:b/>
          <w:bCs/>
          <w:sz w:val="24"/>
          <w:szCs w:val="24"/>
        </w:rPr>
        <w:t xml:space="preserve">If applicable, provide a copy and identify the date and page number of </w:t>
      </w:r>
      <w:r w:rsidRPr="006F3585" w:rsidR="00C7279B">
        <w:rPr>
          <w:b/>
          <w:bCs/>
          <w:sz w:val="24"/>
          <w:szCs w:val="24"/>
        </w:rPr>
        <w:t>publications</w:t>
      </w:r>
      <w:r w:rsidRPr="006F3585">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B75EE" w:rsidP="008B75EE" w14:paraId="0C5B8173" w14:textId="77777777">
      <w:pPr>
        <w:pStyle w:val="NoSpacing"/>
        <w:rPr>
          <w:sz w:val="24"/>
          <w:szCs w:val="24"/>
        </w:rPr>
      </w:pPr>
    </w:p>
    <w:p w:rsidR="008B75EE" w:rsidP="00F34890" w14:paraId="671B5011" w14:textId="3B64CA8B">
      <w:pPr>
        <w:pStyle w:val="NoSpacing"/>
        <w:ind w:left="360"/>
        <w:rPr>
          <w:sz w:val="24"/>
          <w:szCs w:val="24"/>
        </w:rPr>
      </w:pPr>
      <w:r>
        <w:rPr>
          <w:sz w:val="24"/>
          <w:szCs w:val="24"/>
        </w:rPr>
        <w:t xml:space="preserve">In accordance with 5 CFR 1320.8(d), the agency’s notice announcing this </w:t>
      </w:r>
      <w:r w:rsidR="000D62C8">
        <w:rPr>
          <w:sz w:val="24"/>
          <w:szCs w:val="24"/>
        </w:rPr>
        <w:t>extension</w:t>
      </w:r>
      <w:r>
        <w:rPr>
          <w:sz w:val="24"/>
          <w:szCs w:val="24"/>
        </w:rPr>
        <w:t xml:space="preserve"> of a </w:t>
      </w:r>
      <w:r w:rsidR="000D62C8">
        <w:rPr>
          <w:sz w:val="24"/>
          <w:szCs w:val="24"/>
        </w:rPr>
        <w:t xml:space="preserve">currently </w:t>
      </w:r>
      <w:r>
        <w:rPr>
          <w:sz w:val="24"/>
          <w:szCs w:val="24"/>
        </w:rPr>
        <w:t xml:space="preserve">approved collection appeared in the Federal Register on September 24, 2024, (Volume </w:t>
      </w:r>
      <w:r w:rsidR="00C61210">
        <w:rPr>
          <w:sz w:val="24"/>
          <w:szCs w:val="24"/>
        </w:rPr>
        <w:t>89</w:t>
      </w:r>
      <w:r>
        <w:rPr>
          <w:sz w:val="24"/>
          <w:szCs w:val="24"/>
        </w:rPr>
        <w:t xml:space="preserve">, No. </w:t>
      </w:r>
      <w:r w:rsidR="00C61210">
        <w:rPr>
          <w:sz w:val="24"/>
          <w:szCs w:val="24"/>
        </w:rPr>
        <w:t>185</w:t>
      </w:r>
      <w:r>
        <w:rPr>
          <w:sz w:val="24"/>
          <w:szCs w:val="24"/>
        </w:rPr>
        <w:t xml:space="preserve">, </w:t>
      </w:r>
      <w:r w:rsidR="00C61210">
        <w:rPr>
          <w:sz w:val="24"/>
          <w:szCs w:val="24"/>
        </w:rPr>
        <w:t>77890-</w:t>
      </w:r>
      <w:r w:rsidR="007A38A3">
        <w:rPr>
          <w:sz w:val="24"/>
          <w:szCs w:val="24"/>
        </w:rPr>
        <w:t>77891).</w:t>
      </w:r>
      <w:r>
        <w:rPr>
          <w:sz w:val="24"/>
          <w:szCs w:val="24"/>
        </w:rPr>
        <w:t xml:space="preserve"> </w:t>
      </w:r>
      <w:r w:rsidR="004E3405">
        <w:rPr>
          <w:sz w:val="24"/>
          <w:szCs w:val="24"/>
        </w:rPr>
        <w:t>The public may comment until the 60-day deadline of November 25, 2024</w:t>
      </w:r>
      <w:r w:rsidR="00B56BB8">
        <w:rPr>
          <w:sz w:val="24"/>
          <w:szCs w:val="24"/>
        </w:rPr>
        <w:t>.</w:t>
      </w:r>
      <w:r w:rsidR="005D2FAA">
        <w:rPr>
          <w:sz w:val="24"/>
          <w:szCs w:val="24"/>
        </w:rPr>
        <w:t xml:space="preserve"> No comments have been received to date</w:t>
      </w:r>
      <w:r w:rsidR="001A5F65">
        <w:rPr>
          <w:sz w:val="24"/>
          <w:szCs w:val="24"/>
        </w:rPr>
        <w:t>.</w:t>
      </w:r>
    </w:p>
    <w:p w:rsidR="007E77B5" w:rsidRPr="00DB4FA0" w:rsidP="008B75EE" w14:paraId="33C40600" w14:textId="77777777">
      <w:pPr>
        <w:pStyle w:val="NoSpacing"/>
        <w:rPr>
          <w:sz w:val="24"/>
          <w:szCs w:val="24"/>
        </w:rPr>
      </w:pPr>
    </w:p>
    <w:p w:rsidR="008B75EE" w:rsidRPr="006F3585" w:rsidP="00F34890" w14:paraId="1DDB9AF5" w14:textId="77777777">
      <w:pPr>
        <w:pStyle w:val="NoSpacing"/>
        <w:numPr>
          <w:ilvl w:val="0"/>
          <w:numId w:val="8"/>
        </w:numPr>
        <w:rPr>
          <w:b/>
          <w:bCs/>
          <w:sz w:val="24"/>
          <w:szCs w:val="24"/>
        </w:rPr>
      </w:pPr>
      <w:r w:rsidRPr="006F3585">
        <w:rPr>
          <w:b/>
          <w:bCs/>
          <w:sz w:val="24"/>
          <w:szCs w:val="24"/>
        </w:rPr>
        <w:t>Explain any decision to provide any payment or gift to respondents, other than renumeration of contractors or grantees.</w:t>
      </w:r>
    </w:p>
    <w:p w:rsidR="008B75EE" w:rsidP="008B75EE" w14:paraId="0CD4695F" w14:textId="77777777">
      <w:pPr>
        <w:pStyle w:val="NoSpacing"/>
        <w:rPr>
          <w:sz w:val="24"/>
          <w:szCs w:val="24"/>
        </w:rPr>
      </w:pPr>
    </w:p>
    <w:p w:rsidR="008B75EE" w:rsidRPr="00DB4FA0" w:rsidP="00F34890" w14:paraId="4BDB161C" w14:textId="77777777">
      <w:pPr>
        <w:pStyle w:val="NoSpacing"/>
        <w:ind w:left="360"/>
        <w:rPr>
          <w:sz w:val="24"/>
          <w:szCs w:val="24"/>
        </w:rPr>
      </w:pPr>
      <w:r w:rsidRPr="004650F9">
        <w:rPr>
          <w:sz w:val="24"/>
          <w:szCs w:val="24"/>
        </w:rPr>
        <w:t>Not applicable.  No payment or gifts are provided to any respondents for any information.</w:t>
      </w:r>
    </w:p>
    <w:p w:rsidR="00F34890" w:rsidP="00F34890" w14:paraId="654043D9" w14:textId="77777777">
      <w:pPr>
        <w:pStyle w:val="NoSpacing"/>
        <w:rPr>
          <w:sz w:val="24"/>
          <w:szCs w:val="24"/>
        </w:rPr>
      </w:pPr>
    </w:p>
    <w:p w:rsidR="008B75EE" w:rsidRPr="006F3585" w:rsidP="00F34890" w14:paraId="333A04E1" w14:textId="3D84580C">
      <w:pPr>
        <w:pStyle w:val="NoSpacing"/>
        <w:numPr>
          <w:ilvl w:val="0"/>
          <w:numId w:val="8"/>
        </w:numPr>
        <w:rPr>
          <w:b/>
          <w:bCs/>
          <w:sz w:val="24"/>
          <w:szCs w:val="24"/>
        </w:rPr>
      </w:pPr>
      <w:r w:rsidRPr="006F3585">
        <w:rPr>
          <w:b/>
          <w:bCs/>
          <w:sz w:val="24"/>
          <w:szCs w:val="24"/>
        </w:rPr>
        <w:t>Decribe</w:t>
      </w:r>
      <w:r w:rsidRPr="006F3585">
        <w:rPr>
          <w:b/>
          <w:bCs/>
          <w:sz w:val="24"/>
          <w:szCs w:val="24"/>
        </w:rPr>
        <w:t xml:space="preserve"> any assurance of confidentiality provided to respondents and the basis for assurance in statute, regulation or agency policy. If the collection requires a system of records notice (SORN) or privacy impact assessment (PIA), those should be cited and described here.</w:t>
      </w:r>
    </w:p>
    <w:p w:rsidR="008B75EE" w:rsidP="008B75EE" w14:paraId="53D9FF95" w14:textId="77777777">
      <w:pPr>
        <w:pStyle w:val="NoSpacing"/>
        <w:rPr>
          <w:sz w:val="24"/>
          <w:szCs w:val="24"/>
        </w:rPr>
      </w:pPr>
    </w:p>
    <w:p w:rsidR="00052CB2" w:rsidP="00F34890" w14:paraId="1268260B" w14:textId="0B418782">
      <w:pPr>
        <w:pStyle w:val="NoSpacing"/>
        <w:ind w:left="360"/>
        <w:rPr>
          <w:sz w:val="24"/>
          <w:szCs w:val="24"/>
        </w:rPr>
      </w:pPr>
      <w:r>
        <w:rPr>
          <w:sz w:val="24"/>
          <w:szCs w:val="24"/>
        </w:rPr>
        <w:t xml:space="preserve">There is no </w:t>
      </w:r>
      <w:r>
        <w:rPr>
          <w:sz w:val="24"/>
          <w:szCs w:val="24"/>
        </w:rPr>
        <w:t>assurance</w:t>
      </w:r>
      <w:r>
        <w:rPr>
          <w:sz w:val="24"/>
          <w:szCs w:val="24"/>
        </w:rPr>
        <w:t xml:space="preserve"> of confidentiality</w:t>
      </w:r>
      <w:r w:rsidR="007C1014">
        <w:rPr>
          <w:sz w:val="24"/>
          <w:szCs w:val="24"/>
        </w:rPr>
        <w:t>. This information is available under the Freedom of Information Act. In addition, the information collected under this request does not include information on individuals.</w:t>
      </w:r>
    </w:p>
    <w:p w:rsidR="008B75EE" w:rsidP="008B75EE" w14:paraId="398C1AD3" w14:textId="44984506">
      <w:pPr>
        <w:pStyle w:val="NoSpacing"/>
        <w:rPr>
          <w:sz w:val="24"/>
          <w:szCs w:val="24"/>
        </w:rPr>
      </w:pPr>
    </w:p>
    <w:p w:rsidR="008B75EE" w:rsidRPr="006F3585" w:rsidP="00F34890" w14:paraId="4EEDE758" w14:textId="662DAFDD">
      <w:pPr>
        <w:pStyle w:val="NoSpacing"/>
        <w:numPr>
          <w:ilvl w:val="0"/>
          <w:numId w:val="8"/>
        </w:numPr>
        <w:rPr>
          <w:b/>
          <w:bCs/>
          <w:sz w:val="24"/>
          <w:szCs w:val="24"/>
        </w:rPr>
      </w:pPr>
      <w:r w:rsidRPr="006F3585">
        <w:rPr>
          <w:b/>
          <w:bCs/>
          <w:sz w:val="24"/>
          <w:szCs w:val="24"/>
        </w:rPr>
        <w:t>Provide</w:t>
      </w:r>
      <w:r w:rsidRPr="006F3585">
        <w:rPr>
          <w:b/>
          <w:bCs/>
          <w:sz w:val="24"/>
          <w:szCs w:val="24"/>
        </w:rPr>
        <w:t xml:space="preserv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6F3585">
        <w:rPr>
          <w:b/>
          <w:bCs/>
          <w:sz w:val="24"/>
          <w:szCs w:val="24"/>
        </w:rPr>
        <w:t>persons</w:t>
      </w:r>
      <w:r w:rsidRPr="006F3585">
        <w:rPr>
          <w:b/>
          <w:bCs/>
          <w:sz w:val="24"/>
          <w:szCs w:val="24"/>
        </w:rPr>
        <w:t xml:space="preserve"> from whom the information is requested, and any steps to be taken to obtain their consent.</w:t>
      </w:r>
    </w:p>
    <w:p w:rsidR="008B75EE" w:rsidRPr="00DB4FA0" w:rsidP="008B75EE" w14:paraId="17D0FAE1" w14:textId="77777777">
      <w:pPr>
        <w:pStyle w:val="NoSpacing"/>
        <w:rPr>
          <w:sz w:val="24"/>
          <w:szCs w:val="24"/>
        </w:rPr>
      </w:pPr>
    </w:p>
    <w:p w:rsidR="008B75EE" w:rsidRPr="00D8665D" w:rsidP="00F34890" w14:paraId="47355065" w14:textId="77777777">
      <w:pPr>
        <w:ind w:left="360"/>
        <w:rPr>
          <w:sz w:val="24"/>
          <w:szCs w:val="24"/>
        </w:rPr>
      </w:pPr>
      <w:r w:rsidRPr="00D8665D">
        <w:rPr>
          <w:sz w:val="24"/>
          <w:szCs w:val="24"/>
        </w:rPr>
        <w:t>No sensitive information is being collected under 24 CFR 570.307 and 24 CFR 570.308.</w:t>
      </w:r>
    </w:p>
    <w:p w:rsidR="008B75EE" w:rsidRPr="00DB4FA0" w:rsidP="008B75EE" w14:paraId="635A178B" w14:textId="77777777">
      <w:pPr>
        <w:pStyle w:val="NoSpacing"/>
        <w:rPr>
          <w:sz w:val="24"/>
          <w:szCs w:val="24"/>
        </w:rPr>
      </w:pPr>
    </w:p>
    <w:p w:rsidR="008B75EE" w:rsidRPr="006F3585" w:rsidP="00F34890" w14:paraId="12461C12" w14:textId="656324C9">
      <w:pPr>
        <w:pStyle w:val="NoSpacing"/>
        <w:numPr>
          <w:ilvl w:val="0"/>
          <w:numId w:val="8"/>
        </w:numPr>
        <w:rPr>
          <w:b/>
          <w:bCs/>
          <w:sz w:val="24"/>
          <w:szCs w:val="24"/>
        </w:rPr>
      </w:pPr>
      <w:r w:rsidRPr="006F3585">
        <w:rPr>
          <w:b/>
          <w:bCs/>
          <w:sz w:val="24"/>
          <w:szCs w:val="24"/>
        </w:rPr>
        <w:t>P</w:t>
      </w:r>
      <w:r w:rsidRPr="006F3585" w:rsidR="00F34890">
        <w:rPr>
          <w:b/>
          <w:bCs/>
          <w:sz w:val="24"/>
          <w:szCs w:val="24"/>
        </w:rPr>
        <w:t>ro</w:t>
      </w:r>
      <w:r w:rsidRPr="006F3585">
        <w:rPr>
          <w:b/>
          <w:bCs/>
          <w:sz w:val="24"/>
          <w:szCs w:val="24"/>
        </w:rPr>
        <w:t>vide estimates of the hour burden of the collection of information. The statement should:</w:t>
      </w:r>
    </w:p>
    <w:p w:rsidR="008B75EE" w:rsidRPr="00DB4FA0" w:rsidP="008B75EE" w14:paraId="26AF9996" w14:textId="77777777">
      <w:pPr>
        <w:pStyle w:val="NoSpacing"/>
        <w:rPr>
          <w:sz w:val="24"/>
          <w:szCs w:val="24"/>
        </w:rPr>
      </w:pPr>
    </w:p>
    <w:p w:rsidR="008B75EE" w:rsidRPr="00DB4FA0" w:rsidP="00F34890" w14:paraId="39A3C810" w14:textId="77777777">
      <w:pPr>
        <w:pStyle w:val="NoSpacing"/>
        <w:numPr>
          <w:ilvl w:val="0"/>
          <w:numId w:val="11"/>
        </w:numPr>
        <w:rPr>
          <w:sz w:val="24"/>
          <w:szCs w:val="24"/>
        </w:rPr>
      </w:pPr>
      <w:r w:rsidRPr="00DB4FA0">
        <w:rPr>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r w:rsidRPr="00DB4FA0">
        <w:rPr>
          <w:sz w:val="24"/>
          <w:szCs w:val="24"/>
        </w:rPr>
        <w:t>practices;</w:t>
      </w:r>
      <w:r w:rsidRPr="00DB4FA0">
        <w:rPr>
          <w:sz w:val="24"/>
          <w:szCs w:val="24"/>
        </w:rPr>
        <w:t xml:space="preserve"> </w:t>
      </w:r>
    </w:p>
    <w:p w:rsidR="008B75EE" w:rsidP="008B75EE" w14:paraId="5B3EECF8" w14:textId="77777777">
      <w:pPr>
        <w:pStyle w:val="NoSpacing"/>
        <w:rPr>
          <w:sz w:val="24"/>
          <w:szCs w:val="24"/>
        </w:rPr>
      </w:pPr>
    </w:p>
    <w:p w:rsidR="008B75EE" w:rsidRPr="00DB4FA0" w:rsidP="00F34890" w14:paraId="1815DA29" w14:textId="77777777">
      <w:pPr>
        <w:pStyle w:val="NoSpacing"/>
        <w:numPr>
          <w:ilvl w:val="0"/>
          <w:numId w:val="11"/>
        </w:numPr>
        <w:rPr>
          <w:sz w:val="24"/>
          <w:szCs w:val="24"/>
        </w:rPr>
      </w:pPr>
      <w:r w:rsidRPr="00DB4FA0">
        <w:rPr>
          <w:sz w:val="24"/>
          <w:szCs w:val="24"/>
        </w:rPr>
        <w:t xml:space="preserve">If this request covers more than one form, provide separate hour burden estimates for each form and aggregate the hour burdens in </w:t>
      </w:r>
      <w:r w:rsidRPr="00DB4FA0">
        <w:rPr>
          <w:sz w:val="24"/>
          <w:szCs w:val="24"/>
        </w:rPr>
        <w:t>chart</w:t>
      </w:r>
      <w:r w:rsidRPr="00DB4FA0">
        <w:rPr>
          <w:sz w:val="24"/>
          <w:szCs w:val="24"/>
        </w:rPr>
        <w:t xml:space="preserve"> below; and </w:t>
      </w:r>
    </w:p>
    <w:p w:rsidR="008B75EE" w:rsidP="008B75EE" w14:paraId="195F183C" w14:textId="77777777">
      <w:pPr>
        <w:pStyle w:val="NoSpacing"/>
        <w:rPr>
          <w:sz w:val="24"/>
          <w:szCs w:val="24"/>
        </w:rPr>
      </w:pPr>
    </w:p>
    <w:p w:rsidR="008B75EE" w:rsidP="00F34890" w14:paraId="70317841" w14:textId="77777777">
      <w:pPr>
        <w:pStyle w:val="NoSpacing"/>
        <w:numPr>
          <w:ilvl w:val="0"/>
          <w:numId w:val="11"/>
        </w:numPr>
        <w:rPr>
          <w:sz w:val="24"/>
          <w:szCs w:val="24"/>
        </w:rPr>
      </w:pPr>
      <w:r w:rsidRPr="00DB4FA0">
        <w:rPr>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8B75EE" w:rsidP="008B75EE" w14:paraId="34DF5A3D" w14:textId="77777777">
      <w:pPr>
        <w:pStyle w:val="NoSpacing"/>
        <w:rPr>
          <w:sz w:val="24"/>
          <w:szCs w:val="24"/>
        </w:rPr>
      </w:pPr>
    </w:p>
    <w:p w:rsidR="008B75EE" w:rsidRPr="004D7279" w:rsidP="00F34890" w14:paraId="77959D1D" w14:textId="7D501FFD">
      <w:pPr>
        <w:ind w:left="720"/>
        <w:rPr>
          <w:sz w:val="24"/>
          <w:szCs w:val="24"/>
        </w:rPr>
      </w:pPr>
      <w:r w:rsidRPr="004D7279">
        <w:rPr>
          <w:sz w:val="24"/>
          <w:szCs w:val="24"/>
          <w:u w:val="single"/>
        </w:rPr>
        <w:t>Computation of reporting hours</w:t>
      </w:r>
      <w:r>
        <w:rPr>
          <w:sz w:val="24"/>
          <w:szCs w:val="24"/>
        </w:rPr>
        <w:t xml:space="preserve">:  </w:t>
      </w:r>
      <w:r w:rsidRPr="00604158">
        <w:rPr>
          <w:sz w:val="24"/>
          <w:szCs w:val="24"/>
        </w:rPr>
        <w:t>There are currently 195 qualified urban counties participating in the CDBG program that must requalify on a triennial basis. On average, two new counties qualify each year. The burden on new counties is greater than for existing counties that requalify. The</w:t>
      </w:r>
      <w:r w:rsidRPr="004D7279">
        <w:rPr>
          <w:sz w:val="24"/>
          <w:szCs w:val="24"/>
        </w:rPr>
        <w:t xml:space="preserve"> Department estimates new grantees use, on average, 1</w:t>
      </w:r>
      <w:r>
        <w:rPr>
          <w:sz w:val="24"/>
          <w:szCs w:val="24"/>
        </w:rPr>
        <w:t>20</w:t>
      </w:r>
      <w:r w:rsidRPr="004D7279">
        <w:rPr>
          <w:sz w:val="24"/>
          <w:szCs w:val="24"/>
        </w:rPr>
        <w:t xml:space="preserve"> hours to:  review instructions, </w:t>
      </w:r>
      <w:r w:rsidRPr="004D7279">
        <w:rPr>
          <w:sz w:val="24"/>
          <w:szCs w:val="24"/>
        </w:rPr>
        <w:t>contact communities in the county, prepare and review agreements (the county must enter into cooperation agreements with those communities that want to participate but in which the county does not have essential powers), obtain legal opinions, have agreements executed at the local and county level, and prepare and transmit copies of required documents to HUD. It ha</w:t>
      </w:r>
      <w:r>
        <w:rPr>
          <w:sz w:val="24"/>
          <w:szCs w:val="24"/>
        </w:rPr>
        <w:t xml:space="preserve">s </w:t>
      </w:r>
      <w:r w:rsidRPr="004D7279">
        <w:rPr>
          <w:sz w:val="24"/>
          <w:szCs w:val="24"/>
        </w:rPr>
        <w:t>been estimated that counties that are requalifying use, on average, 6</w:t>
      </w:r>
      <w:r>
        <w:rPr>
          <w:sz w:val="24"/>
          <w:szCs w:val="24"/>
        </w:rPr>
        <w:t>7</w:t>
      </w:r>
      <w:r w:rsidRPr="004D7279">
        <w:rPr>
          <w:sz w:val="24"/>
          <w:szCs w:val="24"/>
        </w:rPr>
        <w:t xml:space="preserve"> hours to complete these actions. The timesaving on requalification is primarily because of a county’s ability to use cooperation agreements </w:t>
      </w:r>
      <w:r w:rsidR="004B53F4">
        <w:rPr>
          <w:sz w:val="24"/>
          <w:szCs w:val="24"/>
        </w:rPr>
        <w:t xml:space="preserve">that automatically </w:t>
      </w:r>
      <w:r w:rsidR="002A2919">
        <w:rPr>
          <w:sz w:val="24"/>
          <w:szCs w:val="24"/>
        </w:rPr>
        <w:t xml:space="preserve">renew </w:t>
      </w:r>
      <w:r w:rsidRPr="004D7279">
        <w:rPr>
          <w:sz w:val="24"/>
          <w:szCs w:val="24"/>
        </w:rPr>
        <w:t>with no specified end date. Although not all counties use this type of agreement, the use of “renewable” agreements enables a county to merely notify affected participating units of government in writing that their agreement will automatically be renewed unless the unit of government terminates the agreement in writing, rather than executing a new agreement every three years.</w:t>
      </w:r>
    </w:p>
    <w:p w:rsidR="008B75EE" w:rsidRPr="004D7279" w:rsidP="00F34890" w14:paraId="41B96243" w14:textId="77777777">
      <w:pPr>
        <w:ind w:left="384"/>
        <w:rPr>
          <w:sz w:val="24"/>
          <w:szCs w:val="24"/>
        </w:rPr>
      </w:pPr>
    </w:p>
    <w:p w:rsidR="00D87F53" w:rsidP="00F34890" w14:paraId="3F4DE117" w14:textId="77777777">
      <w:pPr>
        <w:ind w:left="720"/>
        <w:rPr>
          <w:sz w:val="24"/>
          <w:szCs w:val="24"/>
        </w:rPr>
      </w:pPr>
      <w:r w:rsidRPr="004D7279">
        <w:rPr>
          <w:sz w:val="24"/>
          <w:szCs w:val="24"/>
        </w:rPr>
        <w:t xml:space="preserve">No comments on the Notice </w:t>
      </w:r>
      <w:r w:rsidR="004D3FB0">
        <w:rPr>
          <w:sz w:val="24"/>
          <w:szCs w:val="24"/>
        </w:rPr>
        <w:t>have been</w:t>
      </w:r>
      <w:r w:rsidRPr="004D7279" w:rsidR="004D3FB0">
        <w:rPr>
          <w:sz w:val="24"/>
          <w:szCs w:val="24"/>
        </w:rPr>
        <w:t xml:space="preserve"> </w:t>
      </w:r>
      <w:r w:rsidRPr="004D7279">
        <w:rPr>
          <w:sz w:val="24"/>
          <w:szCs w:val="24"/>
        </w:rPr>
        <w:t>received</w:t>
      </w:r>
      <w:r w:rsidR="004D3FB0">
        <w:rPr>
          <w:sz w:val="24"/>
          <w:szCs w:val="24"/>
        </w:rPr>
        <w:t xml:space="preserve"> to date</w:t>
      </w:r>
      <w:r w:rsidRPr="004D7279">
        <w:rPr>
          <w:sz w:val="24"/>
          <w:szCs w:val="24"/>
        </w:rPr>
        <w:t xml:space="preserve">; </w:t>
      </w:r>
      <w:r w:rsidR="0034721A">
        <w:rPr>
          <w:sz w:val="24"/>
          <w:szCs w:val="24"/>
        </w:rPr>
        <w:t>regardless</w:t>
      </w:r>
      <w:r w:rsidRPr="004D7279">
        <w:rPr>
          <w:sz w:val="24"/>
          <w:szCs w:val="24"/>
        </w:rPr>
        <w:t>, the Department has determined it is appropriate to continue to use these estimates to calculate the time spent on the qualification process:  1</w:t>
      </w:r>
      <w:r>
        <w:rPr>
          <w:sz w:val="24"/>
          <w:szCs w:val="24"/>
        </w:rPr>
        <w:t>20</w:t>
      </w:r>
      <w:r w:rsidRPr="004D7279">
        <w:rPr>
          <w:sz w:val="24"/>
          <w:szCs w:val="24"/>
        </w:rPr>
        <w:t xml:space="preserve"> hours for a newly qualified grantee, and 6</w:t>
      </w:r>
      <w:r>
        <w:rPr>
          <w:sz w:val="24"/>
          <w:szCs w:val="24"/>
        </w:rPr>
        <w:t>7</w:t>
      </w:r>
      <w:r w:rsidRPr="004D7279">
        <w:rPr>
          <w:sz w:val="24"/>
          <w:szCs w:val="24"/>
        </w:rPr>
        <w:t xml:space="preserve"> hours for a grantee that is requalifying. The wide variance of factors that affect the amount of time it may take each county to complete the process make it difficult to accurately estimate this reporting burden. </w:t>
      </w:r>
      <w:r w:rsidR="0034721A">
        <w:rPr>
          <w:sz w:val="24"/>
          <w:szCs w:val="24"/>
        </w:rPr>
        <w:t>Neverthe</w:t>
      </w:r>
      <w:r w:rsidR="007B7021">
        <w:rPr>
          <w:sz w:val="24"/>
          <w:szCs w:val="24"/>
        </w:rPr>
        <w:t>less</w:t>
      </w:r>
      <w:r w:rsidRPr="004D7279">
        <w:rPr>
          <w:sz w:val="24"/>
          <w:szCs w:val="24"/>
        </w:rPr>
        <w:t xml:space="preserve">, HUD believes these estimates are reasonable based on a thorough review and consideration of the number of participating jurisdictions an urban county may have to contact to determine the interest of each in participating in, or remaining a part of, the urban county for purposes of receiving CDBG funds. This number varies among counties from those that have very few communities to contact, to those counties that have as many as 125 communities to contact. </w:t>
      </w:r>
      <w:r w:rsidRPr="003524C6">
        <w:rPr>
          <w:sz w:val="24"/>
          <w:szCs w:val="24"/>
        </w:rPr>
        <w:t>The 1</w:t>
      </w:r>
      <w:r>
        <w:rPr>
          <w:sz w:val="24"/>
          <w:szCs w:val="24"/>
        </w:rPr>
        <w:t>20-</w:t>
      </w:r>
      <w:r w:rsidRPr="003524C6">
        <w:rPr>
          <w:sz w:val="24"/>
          <w:szCs w:val="24"/>
        </w:rPr>
        <w:t xml:space="preserve">hour estimate for newly qualifying counties was derived from an evaluation of a range of urban counties nationwide to determine the average amount of time spent learning the urban county qualification process, reviewing HUD-provided guidance, preparing and mailing correspondence to units of general local government located therein, cataloguing the responses, drafting cooperation agreements, and gathering all documents and submitting them to the local HUD offices. If HUD required corrections or additions to cooperation agreements, time would be needed to make those corrections to each cooperation agreement and resubmit them to HUD. </w:t>
      </w:r>
    </w:p>
    <w:p w:rsidR="00D87F53" w:rsidP="00F34890" w14:paraId="6AECD2F7" w14:textId="77777777">
      <w:pPr>
        <w:ind w:left="720"/>
        <w:rPr>
          <w:sz w:val="24"/>
          <w:szCs w:val="24"/>
        </w:rPr>
      </w:pPr>
    </w:p>
    <w:p w:rsidR="00D87F53" w:rsidP="00F34890" w14:paraId="487BE98B" w14:textId="77777777">
      <w:pPr>
        <w:ind w:left="720"/>
        <w:rPr>
          <w:sz w:val="24"/>
          <w:szCs w:val="24"/>
        </w:rPr>
      </w:pPr>
      <w:r w:rsidRPr="003524C6">
        <w:rPr>
          <w:sz w:val="24"/>
          <w:szCs w:val="24"/>
        </w:rPr>
        <w:t>The 6</w:t>
      </w:r>
      <w:r>
        <w:rPr>
          <w:sz w:val="24"/>
          <w:szCs w:val="24"/>
        </w:rPr>
        <w:t>7</w:t>
      </w:r>
      <w:r w:rsidRPr="003524C6">
        <w:rPr>
          <w:sz w:val="24"/>
          <w:szCs w:val="24"/>
        </w:rPr>
        <w:t xml:space="preserve"> hour estimate for requalifying urban counties was derived from an evaluation of urban counties nationwide to determine the average amount of time spent preparing and mailing correspondence to units of general local government notifying them of the opportunity to continue to participate in the urban county or withdraw from the county, cataloguing the responses, making changes to cooperation agreements in response to new statutory requirements, and gathering all documents and submitting them to the local HUD offices. If corrections to the cooperation agreements were needed, time to make those corrections and resubmit the cooperation agreements to HUD would be necessary.</w:t>
      </w:r>
      <w:r>
        <w:rPr>
          <w:sz w:val="24"/>
          <w:szCs w:val="24"/>
        </w:rPr>
        <w:t xml:space="preserve"> </w:t>
      </w:r>
      <w:r w:rsidRPr="004D7279">
        <w:rPr>
          <w:sz w:val="24"/>
          <w:szCs w:val="24"/>
        </w:rPr>
        <w:t xml:space="preserve">This current estimate reflects an increase </w:t>
      </w:r>
    </w:p>
    <w:p w:rsidR="00D87F53" w:rsidP="00F34890" w14:paraId="303CAA24" w14:textId="77777777">
      <w:pPr>
        <w:ind w:left="720"/>
        <w:rPr>
          <w:sz w:val="24"/>
          <w:szCs w:val="24"/>
        </w:rPr>
      </w:pPr>
    </w:p>
    <w:p w:rsidR="00D87F53" w:rsidP="00F34890" w14:paraId="240895FA" w14:textId="77777777">
      <w:pPr>
        <w:ind w:left="720"/>
        <w:rPr>
          <w:sz w:val="24"/>
          <w:szCs w:val="24"/>
        </w:rPr>
      </w:pPr>
    </w:p>
    <w:p w:rsidR="00D87F53" w:rsidP="00F34890" w14:paraId="3E7E83EA" w14:textId="77777777">
      <w:pPr>
        <w:ind w:left="720"/>
        <w:rPr>
          <w:sz w:val="24"/>
          <w:szCs w:val="24"/>
        </w:rPr>
      </w:pPr>
    </w:p>
    <w:p w:rsidR="00D87F53" w:rsidP="00F34890" w14:paraId="4C493FEB" w14:textId="77777777">
      <w:pPr>
        <w:ind w:left="720"/>
        <w:rPr>
          <w:sz w:val="24"/>
          <w:szCs w:val="24"/>
        </w:rPr>
      </w:pPr>
    </w:p>
    <w:p w:rsidR="00D87F53" w:rsidP="00F34890" w14:paraId="19D13960" w14:textId="77777777">
      <w:pPr>
        <w:ind w:left="720"/>
        <w:rPr>
          <w:sz w:val="24"/>
          <w:szCs w:val="24"/>
        </w:rPr>
      </w:pPr>
    </w:p>
    <w:p w:rsidR="00D87F53" w:rsidP="00F34890" w14:paraId="3F1F6FE2" w14:textId="77777777">
      <w:pPr>
        <w:ind w:left="720"/>
        <w:rPr>
          <w:sz w:val="24"/>
          <w:szCs w:val="24"/>
        </w:rPr>
      </w:pPr>
    </w:p>
    <w:p w:rsidR="00D87F53" w:rsidP="00F34890" w14:paraId="7D0EF296" w14:textId="77777777">
      <w:pPr>
        <w:ind w:left="720"/>
        <w:rPr>
          <w:sz w:val="24"/>
          <w:szCs w:val="24"/>
        </w:rPr>
      </w:pPr>
    </w:p>
    <w:p w:rsidR="00D87F53" w:rsidP="00F34890" w14:paraId="00D7E613" w14:textId="77777777">
      <w:pPr>
        <w:ind w:left="720"/>
        <w:rPr>
          <w:sz w:val="24"/>
          <w:szCs w:val="24"/>
        </w:rPr>
      </w:pPr>
    </w:p>
    <w:p w:rsidR="008B75EE" w:rsidRPr="004D7279" w:rsidP="00F34890" w14:paraId="7FFB8093" w14:textId="417D594E">
      <w:pPr>
        <w:ind w:left="720"/>
        <w:rPr>
          <w:sz w:val="24"/>
          <w:szCs w:val="24"/>
        </w:rPr>
      </w:pPr>
      <w:r w:rsidRPr="004D7279">
        <w:rPr>
          <w:sz w:val="24"/>
          <w:szCs w:val="24"/>
        </w:rPr>
        <w:t>from the previous information collection approval only because of an increase in the number of urban county grantees. The computation of annual reporting hours using these estimates is as follows:</w:t>
      </w:r>
    </w:p>
    <w:p w:rsidR="008B75EE" w:rsidP="008B75EE" w14:paraId="6E80783E" w14:textId="77777777">
      <w:pPr>
        <w:rPr>
          <w:sz w:val="24"/>
          <w:szCs w:val="24"/>
        </w:rPr>
      </w:pPr>
    </w:p>
    <w:tbl>
      <w:tblPr>
        <w:tblW w:w="9482"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337"/>
        <w:gridCol w:w="1360"/>
        <w:gridCol w:w="1162"/>
        <w:gridCol w:w="1127"/>
        <w:gridCol w:w="1047"/>
        <w:gridCol w:w="916"/>
        <w:gridCol w:w="1047"/>
        <w:gridCol w:w="1486"/>
      </w:tblGrid>
      <w:tr w14:paraId="326AB30E" w14:textId="77777777" w:rsidTr="00F34890">
        <w:tblPrEx>
          <w:tblW w:w="9482"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1340" w:type="dxa"/>
            <w:tcMar>
              <w:top w:w="0" w:type="dxa"/>
              <w:left w:w="108" w:type="dxa"/>
              <w:bottom w:w="0" w:type="dxa"/>
              <w:right w:w="108" w:type="dxa"/>
            </w:tcMar>
            <w:hideMark/>
          </w:tcPr>
          <w:p w:rsidR="008B75EE" w:rsidRPr="00F34890" w:rsidP="00825D4E" w14:paraId="622468CD" w14:textId="77777777">
            <w:pPr>
              <w:jc w:val="center"/>
              <w:rPr>
                <w:b/>
                <w:bCs/>
                <w:color w:val="000000"/>
              </w:rPr>
            </w:pPr>
            <w:r w:rsidRPr="00F34890">
              <w:rPr>
                <w:b/>
                <w:bCs/>
                <w:color w:val="000000"/>
              </w:rPr>
              <w:t>Information Collection</w:t>
            </w:r>
          </w:p>
        </w:tc>
        <w:tc>
          <w:tcPr>
            <w:tcW w:w="1363" w:type="dxa"/>
            <w:tcMar>
              <w:top w:w="0" w:type="dxa"/>
              <w:left w:w="108" w:type="dxa"/>
              <w:bottom w:w="0" w:type="dxa"/>
              <w:right w:w="108" w:type="dxa"/>
            </w:tcMar>
            <w:hideMark/>
          </w:tcPr>
          <w:p w:rsidR="008B75EE" w:rsidRPr="00F34890" w:rsidP="00825D4E" w14:paraId="29D573B7" w14:textId="77777777">
            <w:pPr>
              <w:jc w:val="center"/>
              <w:rPr>
                <w:b/>
                <w:bCs/>
                <w:color w:val="000000"/>
              </w:rPr>
            </w:pPr>
            <w:r w:rsidRPr="00F34890">
              <w:rPr>
                <w:b/>
                <w:bCs/>
                <w:color w:val="000000"/>
              </w:rPr>
              <w:t>Number of Respondents</w:t>
            </w:r>
          </w:p>
        </w:tc>
        <w:tc>
          <w:tcPr>
            <w:tcW w:w="1164" w:type="dxa"/>
            <w:tcMar>
              <w:top w:w="0" w:type="dxa"/>
              <w:left w:w="108" w:type="dxa"/>
              <w:bottom w:w="0" w:type="dxa"/>
              <w:right w:w="108" w:type="dxa"/>
            </w:tcMar>
            <w:hideMark/>
          </w:tcPr>
          <w:p w:rsidR="008B75EE" w:rsidRPr="00F34890" w:rsidP="00825D4E" w14:paraId="7CC4F4E4" w14:textId="77777777">
            <w:pPr>
              <w:jc w:val="center"/>
              <w:rPr>
                <w:b/>
                <w:bCs/>
                <w:color w:val="000000"/>
              </w:rPr>
            </w:pPr>
            <w:r w:rsidRPr="00F34890">
              <w:rPr>
                <w:b/>
                <w:bCs/>
                <w:color w:val="000000"/>
              </w:rPr>
              <w:t>Frequency of Response</w:t>
            </w:r>
          </w:p>
        </w:tc>
        <w:tc>
          <w:tcPr>
            <w:tcW w:w="1129" w:type="dxa"/>
            <w:tcMar>
              <w:top w:w="0" w:type="dxa"/>
              <w:left w:w="108" w:type="dxa"/>
              <w:bottom w:w="0" w:type="dxa"/>
              <w:right w:w="108" w:type="dxa"/>
            </w:tcMar>
            <w:hideMark/>
          </w:tcPr>
          <w:p w:rsidR="008B75EE" w:rsidRPr="00F34890" w:rsidP="00825D4E" w14:paraId="2AF3BE9F" w14:textId="77777777">
            <w:pPr>
              <w:jc w:val="center"/>
              <w:rPr>
                <w:b/>
                <w:bCs/>
                <w:color w:val="000000"/>
              </w:rPr>
            </w:pPr>
            <w:r w:rsidRPr="00F34890">
              <w:rPr>
                <w:b/>
                <w:bCs/>
                <w:color w:val="000000"/>
              </w:rPr>
              <w:t>Responses</w:t>
            </w:r>
          </w:p>
          <w:p w:rsidR="008B75EE" w:rsidRPr="00F34890" w:rsidP="00825D4E" w14:paraId="63E4B3E6" w14:textId="77777777">
            <w:pPr>
              <w:jc w:val="center"/>
              <w:rPr>
                <w:b/>
                <w:bCs/>
                <w:color w:val="000000"/>
              </w:rPr>
            </w:pPr>
            <w:r w:rsidRPr="00F34890">
              <w:rPr>
                <w:b/>
                <w:bCs/>
                <w:color w:val="000000"/>
              </w:rPr>
              <w:t>Per Annum</w:t>
            </w:r>
          </w:p>
        </w:tc>
        <w:tc>
          <w:tcPr>
            <w:tcW w:w="1049" w:type="dxa"/>
            <w:tcMar>
              <w:top w:w="0" w:type="dxa"/>
              <w:left w:w="108" w:type="dxa"/>
              <w:bottom w:w="0" w:type="dxa"/>
              <w:right w:w="108" w:type="dxa"/>
            </w:tcMar>
            <w:hideMark/>
          </w:tcPr>
          <w:p w:rsidR="008B75EE" w:rsidRPr="00F34890" w:rsidP="00825D4E" w14:paraId="57D66C19" w14:textId="77777777">
            <w:pPr>
              <w:jc w:val="center"/>
              <w:rPr>
                <w:b/>
                <w:bCs/>
                <w:color w:val="000000"/>
              </w:rPr>
            </w:pPr>
            <w:r w:rsidRPr="00F34890">
              <w:rPr>
                <w:b/>
                <w:bCs/>
                <w:color w:val="000000"/>
              </w:rPr>
              <w:t>Burden Hour Per Response</w:t>
            </w:r>
          </w:p>
        </w:tc>
        <w:tc>
          <w:tcPr>
            <w:tcW w:w="887" w:type="dxa"/>
            <w:tcMar>
              <w:top w:w="0" w:type="dxa"/>
              <w:left w:w="108" w:type="dxa"/>
              <w:bottom w:w="0" w:type="dxa"/>
              <w:right w:w="108" w:type="dxa"/>
            </w:tcMar>
            <w:hideMark/>
          </w:tcPr>
          <w:p w:rsidR="008B75EE" w:rsidRPr="00F34890" w:rsidP="00825D4E" w14:paraId="57FDEA59" w14:textId="77777777">
            <w:pPr>
              <w:jc w:val="center"/>
              <w:rPr>
                <w:b/>
                <w:bCs/>
                <w:color w:val="000000"/>
              </w:rPr>
            </w:pPr>
            <w:r w:rsidRPr="00F34890">
              <w:rPr>
                <w:b/>
                <w:bCs/>
                <w:color w:val="000000"/>
              </w:rPr>
              <w:t>Annual Burden Hours</w:t>
            </w:r>
          </w:p>
        </w:tc>
        <w:tc>
          <w:tcPr>
            <w:tcW w:w="1049" w:type="dxa"/>
            <w:tcMar>
              <w:top w:w="0" w:type="dxa"/>
              <w:left w:w="108" w:type="dxa"/>
              <w:bottom w:w="0" w:type="dxa"/>
              <w:right w:w="108" w:type="dxa"/>
            </w:tcMar>
            <w:hideMark/>
          </w:tcPr>
          <w:p w:rsidR="008B75EE" w:rsidRPr="00F34890" w:rsidP="00825D4E" w14:paraId="43144E6B" w14:textId="77777777">
            <w:pPr>
              <w:jc w:val="center"/>
              <w:rPr>
                <w:b/>
                <w:bCs/>
                <w:color w:val="000000"/>
              </w:rPr>
            </w:pPr>
            <w:r w:rsidRPr="00F34890">
              <w:rPr>
                <w:b/>
                <w:bCs/>
                <w:color w:val="000000"/>
              </w:rPr>
              <w:t>Hourly Cost Per Response</w:t>
            </w:r>
          </w:p>
        </w:tc>
        <w:tc>
          <w:tcPr>
            <w:tcW w:w="1501" w:type="dxa"/>
            <w:tcMar>
              <w:top w:w="0" w:type="dxa"/>
              <w:left w:w="108" w:type="dxa"/>
              <w:bottom w:w="0" w:type="dxa"/>
              <w:right w:w="108" w:type="dxa"/>
            </w:tcMar>
          </w:tcPr>
          <w:p w:rsidR="008B75EE" w:rsidRPr="00F34890" w:rsidP="00825D4E" w14:paraId="7D1142E6" w14:textId="77777777">
            <w:pPr>
              <w:jc w:val="center"/>
              <w:rPr>
                <w:b/>
                <w:bCs/>
                <w:color w:val="000000"/>
              </w:rPr>
            </w:pPr>
            <w:r w:rsidRPr="00F34890">
              <w:rPr>
                <w:b/>
                <w:bCs/>
                <w:color w:val="000000"/>
              </w:rPr>
              <w:t>Annual Cost</w:t>
            </w:r>
          </w:p>
          <w:p w:rsidR="008B75EE" w:rsidRPr="00F34890" w:rsidP="00825D4E" w14:paraId="1A405E34" w14:textId="77777777">
            <w:pPr>
              <w:jc w:val="center"/>
              <w:rPr>
                <w:b/>
                <w:bCs/>
                <w:color w:val="000000"/>
              </w:rPr>
            </w:pPr>
          </w:p>
        </w:tc>
      </w:tr>
      <w:tr w14:paraId="0EBA0028" w14:textId="77777777" w:rsidTr="00F34890">
        <w:tblPrEx>
          <w:tblW w:w="9482" w:type="dxa"/>
          <w:tblInd w:w="588" w:type="dxa"/>
          <w:tblCellMar>
            <w:left w:w="0" w:type="dxa"/>
            <w:right w:w="0" w:type="dxa"/>
          </w:tblCellMar>
          <w:tblLook w:val="04A0"/>
        </w:tblPrEx>
        <w:tc>
          <w:tcPr>
            <w:tcW w:w="1340" w:type="dxa"/>
            <w:tcMar>
              <w:top w:w="0" w:type="dxa"/>
              <w:left w:w="108" w:type="dxa"/>
              <w:bottom w:w="0" w:type="dxa"/>
              <w:right w:w="108" w:type="dxa"/>
            </w:tcMar>
          </w:tcPr>
          <w:p w:rsidR="007F74E5" w:rsidRPr="00F34890" w:rsidP="00825D4E" w14:paraId="60693C46" w14:textId="3ADEB225">
            <w:pPr>
              <w:rPr>
                <w:b/>
                <w:bCs/>
                <w:color w:val="000000"/>
              </w:rPr>
            </w:pPr>
            <w:r w:rsidRPr="00F34890">
              <w:rPr>
                <w:b/>
                <w:bCs/>
                <w:color w:val="000000"/>
              </w:rPr>
              <w:t>2506-0170</w:t>
            </w:r>
          </w:p>
        </w:tc>
        <w:tc>
          <w:tcPr>
            <w:tcW w:w="1363" w:type="dxa"/>
            <w:tcMar>
              <w:top w:w="0" w:type="dxa"/>
              <w:left w:w="108" w:type="dxa"/>
              <w:bottom w:w="0" w:type="dxa"/>
              <w:right w:w="108" w:type="dxa"/>
            </w:tcMar>
          </w:tcPr>
          <w:p w:rsidR="007F74E5" w:rsidRPr="00F34890" w:rsidP="00334BAE" w14:paraId="403A3C85" w14:textId="0AFEEA0D">
            <w:pPr>
              <w:jc w:val="center"/>
              <w:rPr>
                <w:b/>
                <w:bCs/>
                <w:color w:val="000000"/>
              </w:rPr>
            </w:pPr>
            <w:r w:rsidRPr="00F34890">
              <w:rPr>
                <w:b/>
                <w:bCs/>
                <w:color w:val="000000"/>
              </w:rPr>
              <w:t>2</w:t>
            </w:r>
            <w:r w:rsidR="00F34890">
              <w:rPr>
                <w:b/>
                <w:bCs/>
                <w:color w:val="000000"/>
              </w:rPr>
              <w:t>*</w:t>
            </w:r>
          </w:p>
        </w:tc>
        <w:tc>
          <w:tcPr>
            <w:tcW w:w="1164" w:type="dxa"/>
            <w:tcMar>
              <w:top w:w="0" w:type="dxa"/>
              <w:left w:w="108" w:type="dxa"/>
              <w:bottom w:w="0" w:type="dxa"/>
              <w:right w:w="108" w:type="dxa"/>
            </w:tcMar>
          </w:tcPr>
          <w:p w:rsidR="007F74E5" w:rsidRPr="00F34890" w:rsidP="00825D4E" w14:paraId="15309429" w14:textId="65FFE931">
            <w:pPr>
              <w:jc w:val="center"/>
              <w:rPr>
                <w:b/>
                <w:bCs/>
                <w:color w:val="000000"/>
              </w:rPr>
            </w:pPr>
            <w:r w:rsidRPr="00F34890">
              <w:rPr>
                <w:b/>
                <w:bCs/>
                <w:color w:val="000000"/>
              </w:rPr>
              <w:t>1</w:t>
            </w:r>
          </w:p>
        </w:tc>
        <w:tc>
          <w:tcPr>
            <w:tcW w:w="1129" w:type="dxa"/>
            <w:tcMar>
              <w:top w:w="0" w:type="dxa"/>
              <w:left w:w="108" w:type="dxa"/>
              <w:bottom w:w="0" w:type="dxa"/>
              <w:right w:w="108" w:type="dxa"/>
            </w:tcMar>
          </w:tcPr>
          <w:p w:rsidR="007F74E5" w:rsidRPr="00F34890" w:rsidP="00825D4E" w14:paraId="03B09435" w14:textId="0533483A">
            <w:pPr>
              <w:jc w:val="center"/>
              <w:rPr>
                <w:b/>
                <w:bCs/>
                <w:color w:val="000000"/>
              </w:rPr>
            </w:pPr>
            <w:r w:rsidRPr="00F34890">
              <w:rPr>
                <w:b/>
                <w:bCs/>
                <w:color w:val="000000"/>
              </w:rPr>
              <w:t>2</w:t>
            </w:r>
          </w:p>
        </w:tc>
        <w:tc>
          <w:tcPr>
            <w:tcW w:w="1049" w:type="dxa"/>
            <w:tcMar>
              <w:top w:w="0" w:type="dxa"/>
              <w:left w:w="108" w:type="dxa"/>
              <w:bottom w:w="0" w:type="dxa"/>
              <w:right w:w="108" w:type="dxa"/>
            </w:tcMar>
          </w:tcPr>
          <w:p w:rsidR="007F74E5" w:rsidRPr="00F34890" w:rsidP="00825D4E" w14:paraId="28326848" w14:textId="54C8FB89">
            <w:pPr>
              <w:jc w:val="center"/>
              <w:rPr>
                <w:b/>
                <w:bCs/>
                <w:color w:val="000000"/>
              </w:rPr>
            </w:pPr>
            <w:r w:rsidRPr="00F34890">
              <w:rPr>
                <w:b/>
                <w:bCs/>
                <w:color w:val="000000"/>
              </w:rPr>
              <w:t>120</w:t>
            </w:r>
          </w:p>
        </w:tc>
        <w:tc>
          <w:tcPr>
            <w:tcW w:w="887" w:type="dxa"/>
            <w:tcMar>
              <w:top w:w="0" w:type="dxa"/>
              <w:left w:w="108" w:type="dxa"/>
              <w:bottom w:w="0" w:type="dxa"/>
              <w:right w:w="108" w:type="dxa"/>
            </w:tcMar>
          </w:tcPr>
          <w:p w:rsidR="007F74E5" w:rsidRPr="00F34890" w:rsidP="00825D4E" w14:paraId="30D76062" w14:textId="4BD32C57">
            <w:pPr>
              <w:jc w:val="center"/>
              <w:rPr>
                <w:b/>
                <w:bCs/>
                <w:color w:val="000000"/>
              </w:rPr>
            </w:pPr>
            <w:r w:rsidRPr="00F34890">
              <w:rPr>
                <w:b/>
                <w:bCs/>
                <w:color w:val="000000"/>
              </w:rPr>
              <w:t>240</w:t>
            </w:r>
          </w:p>
        </w:tc>
        <w:tc>
          <w:tcPr>
            <w:tcW w:w="1049" w:type="dxa"/>
            <w:tcMar>
              <w:top w:w="0" w:type="dxa"/>
              <w:left w:w="108" w:type="dxa"/>
              <w:bottom w:w="0" w:type="dxa"/>
              <w:right w:w="108" w:type="dxa"/>
            </w:tcMar>
          </w:tcPr>
          <w:p w:rsidR="007F74E5" w:rsidRPr="00F34890" w:rsidP="006F3585" w14:paraId="51995B5A" w14:textId="59D6847D">
            <w:pPr>
              <w:jc w:val="right"/>
              <w:rPr>
                <w:b/>
                <w:bCs/>
                <w:color w:val="000000"/>
              </w:rPr>
            </w:pPr>
            <w:r w:rsidRPr="006F3585">
              <w:rPr>
                <w:b/>
                <w:bCs/>
                <w:color w:val="000000"/>
              </w:rPr>
              <w:t xml:space="preserve">$48.59 </w:t>
            </w:r>
          </w:p>
        </w:tc>
        <w:tc>
          <w:tcPr>
            <w:tcW w:w="1501" w:type="dxa"/>
            <w:tcMar>
              <w:top w:w="0" w:type="dxa"/>
              <w:left w:w="108" w:type="dxa"/>
              <w:bottom w:w="0" w:type="dxa"/>
              <w:right w:w="108" w:type="dxa"/>
            </w:tcMar>
          </w:tcPr>
          <w:p w:rsidR="007F74E5" w:rsidRPr="00F34890" w:rsidP="00825D4E" w14:paraId="03527E0A" w14:textId="3116C812">
            <w:pPr>
              <w:jc w:val="right"/>
              <w:rPr>
                <w:b/>
                <w:bCs/>
                <w:color w:val="000000"/>
              </w:rPr>
            </w:pPr>
            <w:r w:rsidRPr="00F34890">
              <w:rPr>
                <w:b/>
                <w:bCs/>
                <w:color w:val="000000"/>
              </w:rPr>
              <w:t>$11,</w:t>
            </w:r>
            <w:r w:rsidR="006F3585">
              <w:rPr>
                <w:b/>
                <w:bCs/>
                <w:color w:val="000000"/>
              </w:rPr>
              <w:t>661</w:t>
            </w:r>
            <w:r w:rsidRPr="00F34890">
              <w:rPr>
                <w:b/>
                <w:bCs/>
                <w:color w:val="000000"/>
              </w:rPr>
              <w:t>20</w:t>
            </w:r>
          </w:p>
        </w:tc>
      </w:tr>
      <w:tr w14:paraId="569AF3C1" w14:textId="77777777" w:rsidTr="00D87F53">
        <w:tblPrEx>
          <w:tblW w:w="9482" w:type="dxa"/>
          <w:tblInd w:w="588" w:type="dxa"/>
          <w:tblCellMar>
            <w:left w:w="0" w:type="dxa"/>
            <w:right w:w="0" w:type="dxa"/>
          </w:tblCellMar>
          <w:tblLook w:val="04A0"/>
        </w:tblPrEx>
        <w:trPr>
          <w:trHeight w:val="260"/>
        </w:trPr>
        <w:tc>
          <w:tcPr>
            <w:tcW w:w="1340" w:type="dxa"/>
            <w:tcMar>
              <w:top w:w="0" w:type="dxa"/>
              <w:left w:w="108" w:type="dxa"/>
              <w:bottom w:w="0" w:type="dxa"/>
              <w:right w:w="108" w:type="dxa"/>
            </w:tcMar>
          </w:tcPr>
          <w:p w:rsidR="008B75EE" w:rsidRPr="00F34890" w:rsidP="00825D4E" w14:paraId="4263E279" w14:textId="77777777">
            <w:pPr>
              <w:rPr>
                <w:b/>
                <w:bCs/>
                <w:color w:val="000000"/>
              </w:rPr>
            </w:pPr>
            <w:r w:rsidRPr="00F34890">
              <w:rPr>
                <w:b/>
                <w:bCs/>
                <w:color w:val="000000"/>
              </w:rPr>
              <w:t>2506-0170</w:t>
            </w:r>
          </w:p>
        </w:tc>
        <w:tc>
          <w:tcPr>
            <w:tcW w:w="1363" w:type="dxa"/>
            <w:tcMar>
              <w:top w:w="0" w:type="dxa"/>
              <w:left w:w="108" w:type="dxa"/>
              <w:bottom w:w="0" w:type="dxa"/>
              <w:right w:w="108" w:type="dxa"/>
            </w:tcMar>
            <w:hideMark/>
          </w:tcPr>
          <w:p w:rsidR="008B75EE" w:rsidRPr="00F34890" w:rsidP="00825D4E" w14:paraId="0CF41340" w14:textId="0F4EB445">
            <w:pPr>
              <w:jc w:val="center"/>
              <w:rPr>
                <w:b/>
                <w:bCs/>
                <w:color w:val="000000"/>
              </w:rPr>
            </w:pPr>
            <w:r w:rsidRPr="00F34890">
              <w:rPr>
                <w:b/>
                <w:bCs/>
                <w:color w:val="000000"/>
              </w:rPr>
              <w:t>65</w:t>
            </w:r>
            <w:r w:rsidR="00F34890">
              <w:rPr>
                <w:b/>
                <w:bCs/>
                <w:color w:val="000000"/>
              </w:rPr>
              <w:t>**</w:t>
            </w:r>
          </w:p>
        </w:tc>
        <w:tc>
          <w:tcPr>
            <w:tcW w:w="1164" w:type="dxa"/>
            <w:tcMar>
              <w:top w:w="0" w:type="dxa"/>
              <w:left w:w="108" w:type="dxa"/>
              <w:bottom w:w="0" w:type="dxa"/>
              <w:right w:w="108" w:type="dxa"/>
            </w:tcMar>
            <w:hideMark/>
          </w:tcPr>
          <w:p w:rsidR="008B75EE" w:rsidRPr="00F34890" w:rsidP="00825D4E" w14:paraId="0A93492F" w14:textId="77777777">
            <w:pPr>
              <w:jc w:val="center"/>
              <w:rPr>
                <w:b/>
                <w:bCs/>
                <w:color w:val="000000"/>
              </w:rPr>
            </w:pPr>
            <w:r w:rsidRPr="00F34890">
              <w:rPr>
                <w:b/>
                <w:bCs/>
                <w:color w:val="000000"/>
              </w:rPr>
              <w:t>1</w:t>
            </w:r>
          </w:p>
        </w:tc>
        <w:tc>
          <w:tcPr>
            <w:tcW w:w="1129" w:type="dxa"/>
            <w:tcMar>
              <w:top w:w="0" w:type="dxa"/>
              <w:left w:w="108" w:type="dxa"/>
              <w:bottom w:w="0" w:type="dxa"/>
              <w:right w:w="108" w:type="dxa"/>
            </w:tcMar>
            <w:hideMark/>
          </w:tcPr>
          <w:p w:rsidR="008B75EE" w:rsidRPr="00F34890" w:rsidP="00825D4E" w14:paraId="4F6B35C3" w14:textId="77777777">
            <w:pPr>
              <w:jc w:val="center"/>
              <w:rPr>
                <w:b/>
                <w:bCs/>
                <w:color w:val="000000"/>
              </w:rPr>
            </w:pPr>
            <w:r w:rsidRPr="00F34890">
              <w:rPr>
                <w:b/>
                <w:bCs/>
                <w:color w:val="000000"/>
              </w:rPr>
              <w:t>65</w:t>
            </w:r>
          </w:p>
        </w:tc>
        <w:tc>
          <w:tcPr>
            <w:tcW w:w="1049" w:type="dxa"/>
            <w:tcMar>
              <w:top w:w="0" w:type="dxa"/>
              <w:left w:w="108" w:type="dxa"/>
              <w:bottom w:w="0" w:type="dxa"/>
              <w:right w:w="108" w:type="dxa"/>
            </w:tcMar>
            <w:hideMark/>
          </w:tcPr>
          <w:p w:rsidR="008B75EE" w:rsidRPr="00F34890" w:rsidP="00825D4E" w14:paraId="5EFA61B0" w14:textId="6CD89772">
            <w:pPr>
              <w:jc w:val="center"/>
              <w:rPr>
                <w:b/>
                <w:bCs/>
                <w:color w:val="000000"/>
              </w:rPr>
            </w:pPr>
            <w:r w:rsidRPr="00F34890">
              <w:rPr>
                <w:b/>
                <w:bCs/>
                <w:color w:val="000000"/>
              </w:rPr>
              <w:t>67</w:t>
            </w:r>
          </w:p>
        </w:tc>
        <w:tc>
          <w:tcPr>
            <w:tcW w:w="887" w:type="dxa"/>
            <w:tcMar>
              <w:top w:w="0" w:type="dxa"/>
              <w:left w:w="108" w:type="dxa"/>
              <w:bottom w:w="0" w:type="dxa"/>
              <w:right w:w="108" w:type="dxa"/>
            </w:tcMar>
            <w:hideMark/>
          </w:tcPr>
          <w:p w:rsidR="008B75EE" w:rsidRPr="00F34890" w:rsidP="00825D4E" w14:paraId="468293B3" w14:textId="164AD56B">
            <w:pPr>
              <w:jc w:val="center"/>
              <w:rPr>
                <w:b/>
                <w:bCs/>
                <w:color w:val="000000"/>
              </w:rPr>
            </w:pPr>
            <w:r w:rsidRPr="00F34890">
              <w:rPr>
                <w:b/>
                <w:bCs/>
                <w:color w:val="000000"/>
              </w:rPr>
              <w:t>4</w:t>
            </w:r>
            <w:r w:rsidR="00F50B24">
              <w:rPr>
                <w:b/>
                <w:bCs/>
                <w:color w:val="000000"/>
              </w:rPr>
              <w:t>,</w:t>
            </w:r>
            <w:r w:rsidRPr="00F34890">
              <w:rPr>
                <w:b/>
                <w:bCs/>
                <w:color w:val="000000"/>
              </w:rPr>
              <w:t>355</w:t>
            </w:r>
          </w:p>
        </w:tc>
        <w:tc>
          <w:tcPr>
            <w:tcW w:w="1049" w:type="dxa"/>
            <w:tcMar>
              <w:top w:w="0" w:type="dxa"/>
              <w:left w:w="108" w:type="dxa"/>
              <w:bottom w:w="0" w:type="dxa"/>
              <w:right w:w="108" w:type="dxa"/>
            </w:tcMar>
          </w:tcPr>
          <w:p w:rsidR="008B75EE" w:rsidRPr="00F34890" w:rsidP="006F3585" w14:paraId="1A69100C" w14:textId="3447331D">
            <w:pPr>
              <w:jc w:val="right"/>
              <w:rPr>
                <w:b/>
                <w:bCs/>
                <w:color w:val="000000"/>
              </w:rPr>
            </w:pPr>
            <w:r w:rsidRPr="006F3585">
              <w:rPr>
                <w:b/>
                <w:bCs/>
                <w:color w:val="000000"/>
              </w:rPr>
              <w:t xml:space="preserve">$48.59 </w:t>
            </w:r>
          </w:p>
        </w:tc>
        <w:tc>
          <w:tcPr>
            <w:tcW w:w="1501" w:type="dxa"/>
            <w:tcMar>
              <w:top w:w="0" w:type="dxa"/>
              <w:left w:w="108" w:type="dxa"/>
              <w:bottom w:w="0" w:type="dxa"/>
              <w:right w:w="108" w:type="dxa"/>
            </w:tcMar>
          </w:tcPr>
          <w:p w:rsidR="008B75EE" w:rsidRPr="00F34890" w:rsidP="00D87F53" w14:paraId="4B9963EA" w14:textId="2D3C7D34">
            <w:pPr>
              <w:jc w:val="right"/>
              <w:rPr>
                <w:b/>
                <w:bCs/>
                <w:color w:val="000000"/>
              </w:rPr>
            </w:pPr>
            <w:r w:rsidRPr="00F34890">
              <w:rPr>
                <w:b/>
                <w:bCs/>
                <w:color w:val="000000"/>
              </w:rPr>
              <w:t>$2</w:t>
            </w:r>
            <w:r w:rsidR="006F3585">
              <w:rPr>
                <w:b/>
                <w:bCs/>
                <w:color w:val="000000"/>
              </w:rPr>
              <w:t>11</w:t>
            </w:r>
            <w:r w:rsidRPr="00F34890">
              <w:rPr>
                <w:b/>
                <w:bCs/>
                <w:color w:val="000000"/>
              </w:rPr>
              <w:t>,</w:t>
            </w:r>
            <w:r w:rsidR="006F3585">
              <w:rPr>
                <w:b/>
                <w:bCs/>
                <w:color w:val="000000"/>
              </w:rPr>
              <w:t>60</w:t>
            </w:r>
            <w:r w:rsidRPr="00F34890">
              <w:rPr>
                <w:b/>
                <w:bCs/>
                <w:color w:val="000000"/>
              </w:rPr>
              <w:t>9.</w:t>
            </w:r>
            <w:r w:rsidR="006F3585">
              <w:rPr>
                <w:b/>
                <w:bCs/>
                <w:color w:val="000000"/>
              </w:rPr>
              <w:t>4</w:t>
            </w:r>
            <w:r w:rsidRPr="00F34890">
              <w:rPr>
                <w:b/>
                <w:bCs/>
                <w:color w:val="000000"/>
              </w:rPr>
              <w:t>5</w:t>
            </w:r>
          </w:p>
        </w:tc>
      </w:tr>
      <w:tr w14:paraId="5CEDD3B1" w14:textId="77777777" w:rsidTr="00F34890">
        <w:tblPrEx>
          <w:tblW w:w="9482" w:type="dxa"/>
          <w:tblInd w:w="588" w:type="dxa"/>
          <w:tblCellMar>
            <w:left w:w="0" w:type="dxa"/>
            <w:right w:w="0" w:type="dxa"/>
          </w:tblCellMar>
          <w:tblLook w:val="04A0"/>
        </w:tblPrEx>
        <w:tc>
          <w:tcPr>
            <w:tcW w:w="1340" w:type="dxa"/>
            <w:tcMar>
              <w:top w:w="0" w:type="dxa"/>
              <w:left w:w="108" w:type="dxa"/>
              <w:bottom w:w="0" w:type="dxa"/>
              <w:right w:w="108" w:type="dxa"/>
            </w:tcMar>
          </w:tcPr>
          <w:p w:rsidR="003C5F75" w:rsidRPr="00F34890" w:rsidP="00825D4E" w14:paraId="7BBFEF35" w14:textId="559020E0">
            <w:pPr>
              <w:rPr>
                <w:b/>
                <w:bCs/>
                <w:color w:val="000000"/>
              </w:rPr>
            </w:pPr>
            <w:r w:rsidRPr="00F34890">
              <w:rPr>
                <w:b/>
                <w:bCs/>
                <w:color w:val="000000"/>
              </w:rPr>
              <w:t xml:space="preserve">Total </w:t>
            </w:r>
          </w:p>
        </w:tc>
        <w:tc>
          <w:tcPr>
            <w:tcW w:w="1363" w:type="dxa"/>
            <w:tcMar>
              <w:top w:w="0" w:type="dxa"/>
              <w:left w:w="108" w:type="dxa"/>
              <w:bottom w:w="0" w:type="dxa"/>
              <w:right w:w="108" w:type="dxa"/>
            </w:tcMar>
          </w:tcPr>
          <w:p w:rsidR="003C5F75" w:rsidRPr="00F34890" w:rsidP="00825D4E" w14:paraId="0D48B938" w14:textId="5B2CF6AE">
            <w:pPr>
              <w:jc w:val="center"/>
              <w:rPr>
                <w:b/>
                <w:bCs/>
                <w:color w:val="000000"/>
              </w:rPr>
            </w:pPr>
            <w:r w:rsidRPr="00F34890">
              <w:rPr>
                <w:b/>
                <w:bCs/>
                <w:color w:val="000000"/>
              </w:rPr>
              <w:t>-</w:t>
            </w:r>
          </w:p>
        </w:tc>
        <w:tc>
          <w:tcPr>
            <w:tcW w:w="1164" w:type="dxa"/>
            <w:tcMar>
              <w:top w:w="0" w:type="dxa"/>
              <w:left w:w="108" w:type="dxa"/>
              <w:bottom w:w="0" w:type="dxa"/>
              <w:right w:w="108" w:type="dxa"/>
            </w:tcMar>
          </w:tcPr>
          <w:p w:rsidR="003C5F75" w:rsidRPr="00F34890" w:rsidP="00825D4E" w14:paraId="39F661A6" w14:textId="17838777">
            <w:pPr>
              <w:jc w:val="center"/>
              <w:rPr>
                <w:b/>
                <w:bCs/>
                <w:color w:val="000000"/>
              </w:rPr>
            </w:pPr>
            <w:r w:rsidRPr="00F34890">
              <w:rPr>
                <w:b/>
                <w:bCs/>
                <w:color w:val="000000"/>
              </w:rPr>
              <w:t>-</w:t>
            </w:r>
          </w:p>
        </w:tc>
        <w:tc>
          <w:tcPr>
            <w:tcW w:w="1129" w:type="dxa"/>
            <w:tcMar>
              <w:top w:w="0" w:type="dxa"/>
              <w:left w:w="108" w:type="dxa"/>
              <w:bottom w:w="0" w:type="dxa"/>
              <w:right w:w="108" w:type="dxa"/>
            </w:tcMar>
          </w:tcPr>
          <w:p w:rsidR="003C5F75" w:rsidRPr="00F34890" w:rsidP="00825D4E" w14:paraId="3C0D0202" w14:textId="22ADD707">
            <w:pPr>
              <w:jc w:val="center"/>
              <w:rPr>
                <w:b/>
                <w:bCs/>
                <w:color w:val="000000"/>
              </w:rPr>
            </w:pPr>
            <w:r>
              <w:rPr>
                <w:b/>
                <w:bCs/>
                <w:color w:val="000000"/>
              </w:rPr>
              <w:t>67</w:t>
            </w:r>
          </w:p>
        </w:tc>
        <w:tc>
          <w:tcPr>
            <w:tcW w:w="1049" w:type="dxa"/>
            <w:tcMar>
              <w:top w:w="0" w:type="dxa"/>
              <w:left w:w="108" w:type="dxa"/>
              <w:bottom w:w="0" w:type="dxa"/>
              <w:right w:w="108" w:type="dxa"/>
            </w:tcMar>
          </w:tcPr>
          <w:p w:rsidR="003C5F75" w:rsidRPr="00F34890" w:rsidP="00825D4E" w14:paraId="5A12E55C" w14:textId="3F6AB21A">
            <w:pPr>
              <w:jc w:val="center"/>
              <w:rPr>
                <w:b/>
                <w:bCs/>
                <w:color w:val="000000"/>
              </w:rPr>
            </w:pPr>
            <w:r w:rsidRPr="00F34890">
              <w:rPr>
                <w:b/>
                <w:bCs/>
                <w:color w:val="000000"/>
              </w:rPr>
              <w:t>-</w:t>
            </w:r>
          </w:p>
        </w:tc>
        <w:tc>
          <w:tcPr>
            <w:tcW w:w="887" w:type="dxa"/>
            <w:tcMar>
              <w:top w:w="0" w:type="dxa"/>
              <w:left w:w="108" w:type="dxa"/>
              <w:bottom w:w="0" w:type="dxa"/>
              <w:right w:w="108" w:type="dxa"/>
            </w:tcMar>
          </w:tcPr>
          <w:p w:rsidR="003C5F75" w:rsidRPr="00F34890" w:rsidP="00825D4E" w14:paraId="21F5E413" w14:textId="386E7E4B">
            <w:pPr>
              <w:jc w:val="center"/>
              <w:rPr>
                <w:b/>
                <w:bCs/>
                <w:color w:val="000000"/>
              </w:rPr>
            </w:pPr>
            <w:r>
              <w:rPr>
                <w:b/>
                <w:bCs/>
                <w:color w:val="000000"/>
              </w:rPr>
              <w:t>4,595.00</w:t>
            </w:r>
          </w:p>
        </w:tc>
        <w:tc>
          <w:tcPr>
            <w:tcW w:w="1049" w:type="dxa"/>
            <w:tcMar>
              <w:top w:w="0" w:type="dxa"/>
              <w:left w:w="108" w:type="dxa"/>
              <w:bottom w:w="0" w:type="dxa"/>
              <w:right w:w="108" w:type="dxa"/>
            </w:tcMar>
          </w:tcPr>
          <w:p w:rsidR="003C5F75" w:rsidRPr="00F34890" w:rsidP="00825D4E" w14:paraId="713B64B9" w14:textId="38F19DE0">
            <w:pPr>
              <w:jc w:val="right"/>
              <w:rPr>
                <w:b/>
                <w:bCs/>
                <w:color w:val="000000"/>
              </w:rPr>
            </w:pPr>
            <w:r w:rsidRPr="00F34890">
              <w:rPr>
                <w:b/>
                <w:bCs/>
                <w:color w:val="000000"/>
              </w:rPr>
              <w:t>-</w:t>
            </w:r>
          </w:p>
        </w:tc>
        <w:tc>
          <w:tcPr>
            <w:tcW w:w="1501" w:type="dxa"/>
            <w:tcMar>
              <w:top w:w="0" w:type="dxa"/>
              <w:left w:w="108" w:type="dxa"/>
              <w:bottom w:w="0" w:type="dxa"/>
              <w:right w:w="108" w:type="dxa"/>
            </w:tcMar>
          </w:tcPr>
          <w:p w:rsidR="003C5F75" w:rsidRPr="00F34890" w:rsidP="00825D4E" w14:paraId="0E93F36A" w14:textId="3CA8E513">
            <w:pPr>
              <w:jc w:val="right"/>
              <w:rPr>
                <w:b/>
                <w:bCs/>
                <w:color w:val="000000"/>
              </w:rPr>
            </w:pPr>
            <w:r w:rsidRPr="00F34890">
              <w:rPr>
                <w:b/>
                <w:bCs/>
                <w:color w:val="000000"/>
              </w:rPr>
              <w:t>$2</w:t>
            </w:r>
            <w:r w:rsidR="006F3585">
              <w:rPr>
                <w:b/>
                <w:bCs/>
                <w:color w:val="000000"/>
              </w:rPr>
              <w:t>23</w:t>
            </w:r>
            <w:r w:rsidRPr="00F34890">
              <w:rPr>
                <w:b/>
                <w:bCs/>
                <w:color w:val="000000"/>
              </w:rPr>
              <w:t>,</w:t>
            </w:r>
            <w:r w:rsidR="006F3585">
              <w:rPr>
                <w:b/>
                <w:bCs/>
                <w:color w:val="000000"/>
              </w:rPr>
              <w:t>271</w:t>
            </w:r>
            <w:r w:rsidRPr="00F34890">
              <w:rPr>
                <w:b/>
                <w:bCs/>
                <w:color w:val="000000"/>
              </w:rPr>
              <w:t>.</w:t>
            </w:r>
            <w:r w:rsidR="006F3585">
              <w:rPr>
                <w:b/>
                <w:bCs/>
                <w:color w:val="000000"/>
              </w:rPr>
              <w:t>0</w:t>
            </w:r>
            <w:r w:rsidRPr="00F34890">
              <w:rPr>
                <w:b/>
                <w:bCs/>
                <w:color w:val="000000"/>
              </w:rPr>
              <w:t>5</w:t>
            </w:r>
          </w:p>
        </w:tc>
      </w:tr>
    </w:tbl>
    <w:p w:rsidR="008B75EE" w:rsidRPr="0077718F" w:rsidP="0077718F" w14:paraId="11861499" w14:textId="1A664E9C">
      <w:pPr>
        <w:ind w:left="630"/>
        <w:rPr>
          <w:sz w:val="18"/>
          <w:szCs w:val="18"/>
        </w:rPr>
      </w:pPr>
      <w:r w:rsidRPr="0077718F">
        <w:rPr>
          <w:sz w:val="18"/>
          <w:szCs w:val="18"/>
        </w:rPr>
        <w:t>Th</w:t>
      </w:r>
      <w:r w:rsidR="0050045D">
        <w:rPr>
          <w:sz w:val="18"/>
          <w:szCs w:val="18"/>
        </w:rPr>
        <w:t xml:space="preserve">e burden estimate displayed </w:t>
      </w:r>
      <w:r w:rsidR="00A1281B">
        <w:rPr>
          <w:sz w:val="18"/>
          <w:szCs w:val="18"/>
        </w:rPr>
        <w:t xml:space="preserve">in this table </w:t>
      </w:r>
      <w:r w:rsidR="0050045D">
        <w:rPr>
          <w:sz w:val="18"/>
          <w:szCs w:val="18"/>
        </w:rPr>
        <w:t>represents the number of</w:t>
      </w:r>
      <w:r w:rsidR="00F34890">
        <w:rPr>
          <w:sz w:val="18"/>
          <w:szCs w:val="18"/>
        </w:rPr>
        <w:t xml:space="preserve"> **(65)</w:t>
      </w:r>
      <w:r w:rsidR="0050045D">
        <w:rPr>
          <w:sz w:val="18"/>
          <w:szCs w:val="18"/>
        </w:rPr>
        <w:t xml:space="preserve"> </w:t>
      </w:r>
      <w:r w:rsidR="004279DE">
        <w:rPr>
          <w:sz w:val="18"/>
          <w:szCs w:val="18"/>
        </w:rPr>
        <w:t xml:space="preserve">requalifying and </w:t>
      </w:r>
      <w:r w:rsidR="00F34890">
        <w:rPr>
          <w:sz w:val="18"/>
          <w:szCs w:val="18"/>
        </w:rPr>
        <w:t xml:space="preserve">*(2) </w:t>
      </w:r>
      <w:r w:rsidR="004279DE">
        <w:rPr>
          <w:sz w:val="18"/>
          <w:szCs w:val="18"/>
        </w:rPr>
        <w:t xml:space="preserve">new qualifying </w:t>
      </w:r>
      <w:r w:rsidR="0050045D">
        <w:rPr>
          <w:sz w:val="18"/>
          <w:szCs w:val="18"/>
        </w:rPr>
        <w:t xml:space="preserve">counties </w:t>
      </w:r>
      <w:r w:rsidR="00BD343C">
        <w:rPr>
          <w:sz w:val="18"/>
          <w:szCs w:val="18"/>
        </w:rPr>
        <w:t xml:space="preserve">anticipated to respond </w:t>
      </w:r>
      <w:r w:rsidR="00213E3E">
        <w:rPr>
          <w:sz w:val="18"/>
          <w:szCs w:val="18"/>
        </w:rPr>
        <w:t xml:space="preserve">to this information collection request (ICR) </w:t>
      </w:r>
      <w:r w:rsidR="00A10778">
        <w:rPr>
          <w:sz w:val="18"/>
          <w:szCs w:val="18"/>
        </w:rPr>
        <w:t xml:space="preserve">on an </w:t>
      </w:r>
      <w:r w:rsidR="00BD343C">
        <w:rPr>
          <w:sz w:val="18"/>
          <w:szCs w:val="18"/>
        </w:rPr>
        <w:t>annual</w:t>
      </w:r>
      <w:r w:rsidR="00A10778">
        <w:rPr>
          <w:sz w:val="18"/>
          <w:szCs w:val="18"/>
        </w:rPr>
        <w:t xml:space="preserve"> basis</w:t>
      </w:r>
      <w:r w:rsidR="003A5F7D">
        <w:rPr>
          <w:sz w:val="18"/>
          <w:szCs w:val="18"/>
        </w:rPr>
        <w:t xml:space="preserve">.  For example, </w:t>
      </w:r>
      <w:r w:rsidR="007F7BE2">
        <w:rPr>
          <w:sz w:val="18"/>
          <w:szCs w:val="18"/>
        </w:rPr>
        <w:t xml:space="preserve">there are </w:t>
      </w:r>
      <w:r>
        <w:rPr>
          <w:sz w:val="18"/>
          <w:szCs w:val="18"/>
        </w:rPr>
        <w:t xml:space="preserve">195 </w:t>
      </w:r>
      <w:r w:rsidR="00A10778">
        <w:rPr>
          <w:sz w:val="18"/>
          <w:szCs w:val="18"/>
        </w:rPr>
        <w:t xml:space="preserve">current </w:t>
      </w:r>
      <w:r w:rsidR="007F7BE2">
        <w:rPr>
          <w:sz w:val="18"/>
          <w:szCs w:val="18"/>
        </w:rPr>
        <w:t xml:space="preserve">qualifying </w:t>
      </w:r>
      <w:r w:rsidR="007F7BE2">
        <w:rPr>
          <w:sz w:val="18"/>
          <w:szCs w:val="18"/>
        </w:rPr>
        <w:t>counties</w:t>
      </w:r>
      <w:r w:rsidR="00916025">
        <w:rPr>
          <w:sz w:val="18"/>
          <w:szCs w:val="18"/>
        </w:rPr>
        <w:t xml:space="preserve"> and </w:t>
      </w:r>
      <w:r w:rsidR="00CE5049">
        <w:rPr>
          <w:sz w:val="18"/>
          <w:szCs w:val="18"/>
        </w:rPr>
        <w:t xml:space="preserve">these </w:t>
      </w:r>
      <w:r w:rsidR="00916025">
        <w:rPr>
          <w:sz w:val="18"/>
          <w:szCs w:val="18"/>
        </w:rPr>
        <w:t xml:space="preserve">counties </w:t>
      </w:r>
      <w:r w:rsidR="00A02C80">
        <w:rPr>
          <w:sz w:val="18"/>
          <w:szCs w:val="18"/>
        </w:rPr>
        <w:t>requalify on a triennial basis.  T</w:t>
      </w:r>
      <w:r w:rsidR="007F7BE2">
        <w:rPr>
          <w:sz w:val="18"/>
          <w:szCs w:val="18"/>
        </w:rPr>
        <w:t xml:space="preserve">herefore, </w:t>
      </w:r>
      <w:r w:rsidR="00A02C80">
        <w:rPr>
          <w:sz w:val="18"/>
          <w:szCs w:val="18"/>
        </w:rPr>
        <w:t xml:space="preserve">195 </w:t>
      </w:r>
      <w:r>
        <w:rPr>
          <w:sz w:val="18"/>
          <w:szCs w:val="18"/>
        </w:rPr>
        <w:t>(</w:t>
      </w:r>
      <w:r w:rsidR="006476AF">
        <w:rPr>
          <w:sz w:val="18"/>
          <w:szCs w:val="18"/>
        </w:rPr>
        <w:t>re</w:t>
      </w:r>
      <w:r w:rsidR="009B4BA4">
        <w:rPr>
          <w:sz w:val="18"/>
          <w:szCs w:val="18"/>
        </w:rPr>
        <w:t>qualifying</w:t>
      </w:r>
      <w:r>
        <w:rPr>
          <w:sz w:val="18"/>
          <w:szCs w:val="18"/>
        </w:rPr>
        <w:t xml:space="preserve"> counties)</w:t>
      </w:r>
      <w:r w:rsidR="00A314F3">
        <w:rPr>
          <w:sz w:val="18"/>
          <w:szCs w:val="18"/>
        </w:rPr>
        <w:t>/3</w:t>
      </w:r>
      <w:r w:rsidR="006476AF">
        <w:rPr>
          <w:sz w:val="18"/>
          <w:szCs w:val="18"/>
        </w:rPr>
        <w:t xml:space="preserve"> (counties requalify on a triennial basis)</w:t>
      </w:r>
      <w:r w:rsidR="00A314F3">
        <w:rPr>
          <w:sz w:val="18"/>
          <w:szCs w:val="18"/>
        </w:rPr>
        <w:t xml:space="preserve"> </w:t>
      </w:r>
      <w:r w:rsidR="00A02C80">
        <w:rPr>
          <w:sz w:val="18"/>
          <w:szCs w:val="18"/>
        </w:rPr>
        <w:t xml:space="preserve">= </w:t>
      </w:r>
      <w:r w:rsidR="006A59ED">
        <w:rPr>
          <w:sz w:val="18"/>
          <w:szCs w:val="18"/>
        </w:rPr>
        <w:t>65</w:t>
      </w:r>
      <w:r w:rsidR="00504FB1">
        <w:rPr>
          <w:sz w:val="18"/>
          <w:szCs w:val="18"/>
        </w:rPr>
        <w:t>; 65</w:t>
      </w:r>
      <w:r w:rsidR="00371BCF">
        <w:rPr>
          <w:sz w:val="18"/>
          <w:szCs w:val="18"/>
        </w:rPr>
        <w:t xml:space="preserve"> requalifying counties x 67 hours per response = 4,355 hours per year</w:t>
      </w:r>
      <w:r w:rsidRPr="0077718F">
        <w:rPr>
          <w:sz w:val="18"/>
          <w:szCs w:val="18"/>
        </w:rPr>
        <w:t>.</w:t>
      </w:r>
      <w:r w:rsidR="00BD343C">
        <w:rPr>
          <w:sz w:val="18"/>
          <w:szCs w:val="18"/>
        </w:rPr>
        <w:t xml:space="preserve">  </w:t>
      </w:r>
      <w:r w:rsidR="006A59ED">
        <w:rPr>
          <w:sz w:val="18"/>
          <w:szCs w:val="18"/>
        </w:rPr>
        <w:t xml:space="preserve">As for new </w:t>
      </w:r>
      <w:r w:rsidR="00371BCF">
        <w:rPr>
          <w:sz w:val="18"/>
          <w:szCs w:val="18"/>
        </w:rPr>
        <w:t xml:space="preserve">qualifying </w:t>
      </w:r>
      <w:r w:rsidR="006A59ED">
        <w:rPr>
          <w:sz w:val="18"/>
          <w:szCs w:val="18"/>
        </w:rPr>
        <w:t xml:space="preserve">urban counties, </w:t>
      </w:r>
      <w:r w:rsidR="00496920">
        <w:rPr>
          <w:sz w:val="18"/>
          <w:szCs w:val="18"/>
        </w:rPr>
        <w:t>roughly</w:t>
      </w:r>
      <w:r w:rsidR="006A59ED">
        <w:rPr>
          <w:sz w:val="18"/>
          <w:szCs w:val="18"/>
        </w:rPr>
        <w:t xml:space="preserve"> two new urban counties qualify per year.  Therefore, </w:t>
      </w:r>
      <w:r w:rsidR="00504FB1">
        <w:rPr>
          <w:sz w:val="18"/>
          <w:szCs w:val="18"/>
        </w:rPr>
        <w:t>2 (new qualifying urban counties</w:t>
      </w:r>
      <w:r w:rsidR="00AC0F80">
        <w:rPr>
          <w:sz w:val="18"/>
          <w:szCs w:val="18"/>
        </w:rPr>
        <w:t>)</w:t>
      </w:r>
      <w:r w:rsidR="00504FB1">
        <w:rPr>
          <w:sz w:val="18"/>
          <w:szCs w:val="18"/>
        </w:rPr>
        <w:t xml:space="preserve"> x 120 </w:t>
      </w:r>
      <w:r w:rsidR="00504FB1">
        <w:rPr>
          <w:sz w:val="18"/>
          <w:szCs w:val="18"/>
        </w:rPr>
        <w:t>hrs</w:t>
      </w:r>
      <w:r w:rsidR="00496920">
        <w:rPr>
          <w:sz w:val="18"/>
          <w:szCs w:val="18"/>
        </w:rPr>
        <w:t xml:space="preserve"> per response = $11,407.20</w:t>
      </w:r>
      <w:r w:rsidR="00504FB1">
        <w:rPr>
          <w:sz w:val="18"/>
          <w:szCs w:val="18"/>
        </w:rPr>
        <w:t>)</w:t>
      </w:r>
      <w:r w:rsidR="00496920">
        <w:rPr>
          <w:sz w:val="18"/>
          <w:szCs w:val="18"/>
        </w:rPr>
        <w:t>.  Lastly, t</w:t>
      </w:r>
      <w:r w:rsidR="009B4BA4">
        <w:rPr>
          <w:sz w:val="18"/>
          <w:szCs w:val="18"/>
        </w:rPr>
        <w:t>he</w:t>
      </w:r>
      <w:r w:rsidR="00BD343C">
        <w:rPr>
          <w:sz w:val="18"/>
          <w:szCs w:val="18"/>
        </w:rPr>
        <w:t xml:space="preserve"> estimated hourly cost per response is based on </w:t>
      </w:r>
      <w:r w:rsidR="00A1281B">
        <w:rPr>
          <w:sz w:val="18"/>
          <w:szCs w:val="18"/>
        </w:rPr>
        <w:t>the General</w:t>
      </w:r>
      <w:r w:rsidR="00A1281B">
        <w:rPr>
          <w:sz w:val="18"/>
          <w:szCs w:val="18"/>
        </w:rPr>
        <w:t xml:space="preserve"> Schedule (</w:t>
      </w:r>
      <w:r w:rsidRPr="0077718F">
        <w:rPr>
          <w:sz w:val="18"/>
          <w:szCs w:val="18"/>
        </w:rPr>
        <w:t>GS</w:t>
      </w:r>
      <w:r w:rsidR="00A1281B">
        <w:rPr>
          <w:sz w:val="18"/>
          <w:szCs w:val="18"/>
        </w:rPr>
        <w:t xml:space="preserve">) </w:t>
      </w:r>
      <w:r w:rsidRPr="0077718F">
        <w:rPr>
          <w:sz w:val="18"/>
          <w:szCs w:val="18"/>
        </w:rPr>
        <w:t>12, step 1.</w:t>
      </w:r>
    </w:p>
    <w:p w:rsidR="00D87F53" w:rsidP="00D87F53" w14:paraId="63F80E25" w14:textId="77777777">
      <w:pPr>
        <w:pStyle w:val="NoSpacing"/>
        <w:rPr>
          <w:sz w:val="24"/>
          <w:szCs w:val="24"/>
        </w:rPr>
      </w:pPr>
    </w:p>
    <w:p w:rsidR="008B75EE" w:rsidRPr="006F3585" w:rsidP="00C97BB8" w14:paraId="556E110C" w14:textId="3FEDCF6E">
      <w:pPr>
        <w:pStyle w:val="NoSpacing"/>
        <w:numPr>
          <w:ilvl w:val="0"/>
          <w:numId w:val="8"/>
        </w:numPr>
        <w:rPr>
          <w:b/>
          <w:bCs/>
          <w:sz w:val="24"/>
          <w:szCs w:val="24"/>
        </w:rPr>
      </w:pPr>
      <w:r w:rsidRPr="006F3585">
        <w:rPr>
          <w:b/>
          <w:bCs/>
          <w:sz w:val="24"/>
          <w:szCs w:val="24"/>
        </w:rPr>
        <w:t>Provide an estimate of the total annual cost burden to respondents or recordkeepers resulting from the collection of information. (Do not include the cost of any hour burden already reflected on the burden worksheet shown in Items 12 and 14).</w:t>
      </w:r>
    </w:p>
    <w:p w:rsidR="008B75EE" w:rsidP="008B75EE" w14:paraId="7A90DDAF" w14:textId="77777777">
      <w:pPr>
        <w:pStyle w:val="NoSpacing"/>
        <w:ind w:left="360"/>
        <w:rPr>
          <w:sz w:val="24"/>
          <w:szCs w:val="24"/>
        </w:rPr>
      </w:pPr>
    </w:p>
    <w:p w:rsidR="008B75EE" w:rsidRPr="00DB4FA0" w:rsidP="00C97BB8" w14:paraId="22958B18" w14:textId="77777777">
      <w:pPr>
        <w:pStyle w:val="NoSpacing"/>
        <w:numPr>
          <w:ilvl w:val="0"/>
          <w:numId w:val="13"/>
        </w:numPr>
        <w:ind w:left="720"/>
        <w:rPr>
          <w:sz w:val="24"/>
          <w:szCs w:val="24"/>
        </w:rPr>
      </w:pPr>
      <w:r w:rsidRPr="00DB4FA0">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DB4FA0">
        <w:rPr>
          <w:sz w:val="24"/>
          <w:szCs w:val="24"/>
        </w:rPr>
        <w:t>take into account</w:t>
      </w:r>
      <w:r w:rsidRPr="00DB4FA0">
        <w:rPr>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DB4FA0">
        <w:rPr>
          <w:sz w:val="24"/>
          <w:szCs w:val="24"/>
        </w:rPr>
        <w:t>time period</w:t>
      </w:r>
      <w:r w:rsidRPr="00DB4FA0">
        <w:rPr>
          <w:sz w:val="24"/>
          <w:szCs w:val="24"/>
        </w:rPr>
        <w:t xml:space="preserve"> </w:t>
      </w:r>
      <w:r w:rsidRPr="00DB4FA0">
        <w:rPr>
          <w:sz w:val="24"/>
          <w:szCs w:val="24"/>
        </w:rPr>
        <w:t>over</w:t>
      </w:r>
      <w:r w:rsidRPr="00DB4FA0">
        <w:rPr>
          <w:sz w:val="24"/>
          <w:szCs w:val="24"/>
        </w:rPr>
        <w:t xml:space="preserve"> which costs will be incurred. Capital and start-up costs include, among other items, preparations for collecting information such as purchasing computers and software; monitoring, sampling, drilling and testing equipment; and record storage </w:t>
      </w:r>
      <w:r w:rsidRPr="00DB4FA0">
        <w:rPr>
          <w:sz w:val="24"/>
          <w:szCs w:val="24"/>
        </w:rPr>
        <w:t>facilities;</w:t>
      </w:r>
      <w:r w:rsidRPr="00DB4FA0">
        <w:rPr>
          <w:sz w:val="24"/>
          <w:szCs w:val="24"/>
        </w:rPr>
        <w:t xml:space="preserve"> </w:t>
      </w:r>
    </w:p>
    <w:p w:rsidR="008B75EE" w:rsidP="00C97BB8" w14:paraId="5E05EFC2" w14:textId="77777777">
      <w:pPr>
        <w:pStyle w:val="NoSpacing"/>
        <w:rPr>
          <w:sz w:val="24"/>
          <w:szCs w:val="24"/>
        </w:rPr>
      </w:pPr>
    </w:p>
    <w:p w:rsidR="008B75EE" w:rsidRPr="00DB4FA0" w:rsidP="00C97BB8" w14:paraId="24CBCFBA" w14:textId="77777777">
      <w:pPr>
        <w:pStyle w:val="NoSpacing"/>
        <w:numPr>
          <w:ilvl w:val="0"/>
          <w:numId w:val="13"/>
        </w:numPr>
        <w:ind w:left="720"/>
        <w:rPr>
          <w:sz w:val="24"/>
          <w:szCs w:val="24"/>
        </w:rPr>
      </w:pPr>
      <w:r w:rsidRPr="00DB4FA0">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8B75EE" w:rsidP="00C97BB8" w14:paraId="39ECDBC7" w14:textId="77777777">
      <w:pPr>
        <w:pStyle w:val="NoSpacing"/>
        <w:rPr>
          <w:sz w:val="24"/>
          <w:szCs w:val="24"/>
        </w:rPr>
      </w:pPr>
    </w:p>
    <w:p w:rsidR="008B75EE" w:rsidP="00C97BB8" w14:paraId="4EB82687" w14:textId="77777777">
      <w:pPr>
        <w:pStyle w:val="NoSpacing"/>
        <w:numPr>
          <w:ilvl w:val="0"/>
          <w:numId w:val="13"/>
        </w:numPr>
        <w:ind w:left="720"/>
        <w:rPr>
          <w:sz w:val="24"/>
          <w:szCs w:val="24"/>
        </w:rPr>
      </w:pPr>
      <w:r w:rsidRPr="00DB4FA0">
        <w:rPr>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DB4FA0">
        <w:rPr>
          <w:sz w:val="24"/>
          <w:szCs w:val="24"/>
        </w:rPr>
        <w:t>to provide</w:t>
      </w:r>
      <w:r w:rsidRPr="00DB4FA0">
        <w:rPr>
          <w:sz w:val="24"/>
          <w:szCs w:val="24"/>
        </w:rPr>
        <w:t xml:space="preserve"> information or keep records for the government, or (4) as part of customary and usual business or private practices.</w:t>
      </w:r>
    </w:p>
    <w:p w:rsidR="008B75EE" w:rsidP="008B75EE" w14:paraId="09AADC97" w14:textId="77777777">
      <w:pPr>
        <w:pStyle w:val="NoSpacing"/>
        <w:rPr>
          <w:sz w:val="24"/>
          <w:szCs w:val="24"/>
        </w:rPr>
      </w:pPr>
    </w:p>
    <w:p w:rsidR="008B75EE" w:rsidRPr="00DB4FA0" w:rsidP="00C97BB8" w14:paraId="7ADD54A2" w14:textId="77777777">
      <w:pPr>
        <w:pStyle w:val="NoSpacing"/>
        <w:ind w:left="720"/>
        <w:rPr>
          <w:sz w:val="24"/>
          <w:szCs w:val="24"/>
        </w:rPr>
      </w:pPr>
      <w:r>
        <w:rPr>
          <w:sz w:val="24"/>
          <w:szCs w:val="24"/>
        </w:rPr>
        <w:t>No other costs than those stated at #12 above.</w:t>
      </w:r>
    </w:p>
    <w:p w:rsidR="008B75EE" w:rsidP="008B75EE" w14:paraId="1804CB82" w14:textId="77777777">
      <w:pPr>
        <w:pStyle w:val="NoSpacing"/>
        <w:rPr>
          <w:sz w:val="24"/>
          <w:szCs w:val="24"/>
        </w:rPr>
      </w:pPr>
    </w:p>
    <w:p w:rsidR="00F50B24" w:rsidP="008B75EE" w14:paraId="63C52D62" w14:textId="77777777">
      <w:pPr>
        <w:pStyle w:val="NoSpacing"/>
        <w:rPr>
          <w:sz w:val="24"/>
          <w:szCs w:val="24"/>
        </w:rPr>
      </w:pPr>
    </w:p>
    <w:p w:rsidR="008B75EE" w:rsidRPr="006F3585" w:rsidP="00C97BB8" w14:paraId="0AFFE90F" w14:textId="449E4C88">
      <w:pPr>
        <w:pStyle w:val="NoSpacing"/>
        <w:numPr>
          <w:ilvl w:val="0"/>
          <w:numId w:val="8"/>
        </w:numPr>
        <w:rPr>
          <w:b/>
          <w:bCs/>
          <w:sz w:val="24"/>
          <w:szCs w:val="24"/>
        </w:rPr>
      </w:pPr>
      <w:r w:rsidRPr="006F3585">
        <w:rPr>
          <w:b/>
          <w:bCs/>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6F3585">
        <w:rPr>
          <w:b/>
          <w:bCs/>
          <w:sz w:val="24"/>
          <w:szCs w:val="24"/>
        </w:rPr>
        <w:t>expense</w:t>
      </w:r>
      <w:r w:rsidRPr="006F3585">
        <w:rPr>
          <w:b/>
          <w:bCs/>
          <w:sz w:val="24"/>
          <w:szCs w:val="24"/>
        </w:rPr>
        <w:t xml:space="preserve"> that would not have been incurred without this collection of information. Agencies also may aggregate cost estimates from Items 12, 13, and 14 in a single table.</w:t>
      </w:r>
    </w:p>
    <w:p w:rsidR="00FC41B1" w:rsidP="00FC41B1" w14:paraId="6247513B" w14:textId="77777777">
      <w:pPr>
        <w:rPr>
          <w:rFonts w:ascii="Traditional Arabic" w:hAnsi="Traditional Arabic" w:cs="Traditional Arabic"/>
          <w:sz w:val="28"/>
          <w:szCs w:val="28"/>
        </w:rPr>
      </w:pP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261"/>
        <w:gridCol w:w="1419"/>
        <w:gridCol w:w="1370"/>
        <w:gridCol w:w="1094"/>
        <w:gridCol w:w="1100"/>
        <w:gridCol w:w="929"/>
        <w:gridCol w:w="1100"/>
        <w:gridCol w:w="1116"/>
      </w:tblGrid>
      <w:tr w14:paraId="7D12DEEB" w14:textId="77777777" w:rsidTr="00A35091">
        <w:tblPrEx>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1261" w:type="dxa"/>
            <w:tcMar>
              <w:top w:w="0" w:type="dxa"/>
              <w:left w:w="108" w:type="dxa"/>
              <w:bottom w:w="0" w:type="dxa"/>
              <w:right w:w="108" w:type="dxa"/>
            </w:tcMar>
            <w:hideMark/>
          </w:tcPr>
          <w:p w:rsidR="00FC41B1" w:rsidP="00E224AC" w14:paraId="6504222B" w14:textId="77777777">
            <w:pPr>
              <w:jc w:val="center"/>
              <w:rPr>
                <w:b/>
                <w:bCs/>
                <w:color w:val="000000"/>
              </w:rPr>
            </w:pPr>
            <w:r>
              <w:rPr>
                <w:b/>
                <w:bCs/>
                <w:color w:val="000000"/>
              </w:rPr>
              <w:t>Information Collection</w:t>
            </w:r>
          </w:p>
        </w:tc>
        <w:tc>
          <w:tcPr>
            <w:tcW w:w="1419" w:type="dxa"/>
            <w:tcMar>
              <w:top w:w="0" w:type="dxa"/>
              <w:left w:w="108" w:type="dxa"/>
              <w:bottom w:w="0" w:type="dxa"/>
              <w:right w:w="108" w:type="dxa"/>
            </w:tcMar>
            <w:hideMark/>
          </w:tcPr>
          <w:p w:rsidR="00FC41B1" w:rsidP="00E224AC" w14:paraId="6A9FAE60" w14:textId="77777777">
            <w:pPr>
              <w:jc w:val="center"/>
              <w:rPr>
                <w:b/>
                <w:bCs/>
                <w:color w:val="000000"/>
              </w:rPr>
            </w:pPr>
            <w:r>
              <w:rPr>
                <w:b/>
                <w:bCs/>
                <w:color w:val="000000"/>
              </w:rPr>
              <w:t>Number of Respondents</w:t>
            </w:r>
          </w:p>
        </w:tc>
        <w:tc>
          <w:tcPr>
            <w:tcW w:w="1370" w:type="dxa"/>
            <w:tcMar>
              <w:top w:w="0" w:type="dxa"/>
              <w:left w:w="108" w:type="dxa"/>
              <w:bottom w:w="0" w:type="dxa"/>
              <w:right w:w="108" w:type="dxa"/>
            </w:tcMar>
            <w:hideMark/>
          </w:tcPr>
          <w:p w:rsidR="00FC41B1" w:rsidP="00E224AC" w14:paraId="0AF18227" w14:textId="77777777">
            <w:pPr>
              <w:jc w:val="center"/>
              <w:rPr>
                <w:b/>
                <w:bCs/>
                <w:color w:val="000000"/>
              </w:rPr>
            </w:pPr>
            <w:r>
              <w:rPr>
                <w:b/>
                <w:bCs/>
                <w:color w:val="000000"/>
              </w:rPr>
              <w:t>Frequency of Response</w:t>
            </w:r>
          </w:p>
        </w:tc>
        <w:tc>
          <w:tcPr>
            <w:tcW w:w="1094" w:type="dxa"/>
            <w:tcMar>
              <w:top w:w="0" w:type="dxa"/>
              <w:left w:w="108" w:type="dxa"/>
              <w:bottom w:w="0" w:type="dxa"/>
              <w:right w:w="108" w:type="dxa"/>
            </w:tcMar>
            <w:hideMark/>
          </w:tcPr>
          <w:p w:rsidR="00FC41B1" w:rsidP="00E224AC" w14:paraId="6E1ACD82" w14:textId="77777777">
            <w:pPr>
              <w:jc w:val="center"/>
              <w:rPr>
                <w:b/>
                <w:bCs/>
                <w:color w:val="000000"/>
              </w:rPr>
            </w:pPr>
            <w:r>
              <w:rPr>
                <w:b/>
                <w:bCs/>
                <w:color w:val="000000"/>
              </w:rPr>
              <w:t>Responses</w:t>
            </w:r>
          </w:p>
          <w:p w:rsidR="00FC41B1" w:rsidP="00E224AC" w14:paraId="154AEF09" w14:textId="77777777">
            <w:pPr>
              <w:jc w:val="center"/>
              <w:rPr>
                <w:b/>
                <w:bCs/>
                <w:color w:val="000000"/>
              </w:rPr>
            </w:pPr>
            <w:r>
              <w:rPr>
                <w:b/>
                <w:bCs/>
                <w:color w:val="000000"/>
              </w:rPr>
              <w:t>Per Annum</w:t>
            </w:r>
          </w:p>
        </w:tc>
        <w:tc>
          <w:tcPr>
            <w:tcW w:w="1100" w:type="dxa"/>
            <w:tcMar>
              <w:top w:w="0" w:type="dxa"/>
              <w:left w:w="108" w:type="dxa"/>
              <w:bottom w:w="0" w:type="dxa"/>
              <w:right w:w="108" w:type="dxa"/>
            </w:tcMar>
            <w:hideMark/>
          </w:tcPr>
          <w:p w:rsidR="00FC41B1" w:rsidP="00E224AC" w14:paraId="76C0FB04" w14:textId="77777777">
            <w:pPr>
              <w:jc w:val="center"/>
              <w:rPr>
                <w:b/>
                <w:bCs/>
                <w:color w:val="000000"/>
              </w:rPr>
            </w:pPr>
            <w:r>
              <w:rPr>
                <w:b/>
                <w:bCs/>
                <w:color w:val="000000"/>
              </w:rPr>
              <w:t>Burden Hour Per Response</w:t>
            </w:r>
          </w:p>
        </w:tc>
        <w:tc>
          <w:tcPr>
            <w:tcW w:w="929" w:type="dxa"/>
            <w:tcMar>
              <w:top w:w="0" w:type="dxa"/>
              <w:left w:w="108" w:type="dxa"/>
              <w:bottom w:w="0" w:type="dxa"/>
              <w:right w:w="108" w:type="dxa"/>
            </w:tcMar>
            <w:hideMark/>
          </w:tcPr>
          <w:p w:rsidR="00FC41B1" w:rsidP="00E224AC" w14:paraId="646AC4FB" w14:textId="77777777">
            <w:pPr>
              <w:jc w:val="center"/>
              <w:rPr>
                <w:b/>
                <w:bCs/>
                <w:color w:val="000000"/>
              </w:rPr>
            </w:pPr>
            <w:r>
              <w:rPr>
                <w:b/>
                <w:bCs/>
                <w:color w:val="000000"/>
              </w:rPr>
              <w:t>Annual Burden Hours</w:t>
            </w:r>
          </w:p>
        </w:tc>
        <w:tc>
          <w:tcPr>
            <w:tcW w:w="1100" w:type="dxa"/>
            <w:tcMar>
              <w:top w:w="0" w:type="dxa"/>
              <w:left w:w="108" w:type="dxa"/>
              <w:bottom w:w="0" w:type="dxa"/>
              <w:right w:w="108" w:type="dxa"/>
            </w:tcMar>
            <w:hideMark/>
          </w:tcPr>
          <w:p w:rsidR="00FC41B1" w:rsidP="00E224AC" w14:paraId="6F13CD30" w14:textId="77777777">
            <w:pPr>
              <w:jc w:val="center"/>
              <w:rPr>
                <w:b/>
                <w:bCs/>
                <w:color w:val="000000"/>
              </w:rPr>
            </w:pPr>
            <w:r>
              <w:rPr>
                <w:b/>
                <w:bCs/>
                <w:color w:val="000000"/>
              </w:rPr>
              <w:t>Hourly Cost Per Response</w:t>
            </w:r>
          </w:p>
        </w:tc>
        <w:tc>
          <w:tcPr>
            <w:tcW w:w="1116" w:type="dxa"/>
            <w:tcMar>
              <w:top w:w="0" w:type="dxa"/>
              <w:left w:w="108" w:type="dxa"/>
              <w:bottom w:w="0" w:type="dxa"/>
              <w:right w:w="108" w:type="dxa"/>
            </w:tcMar>
          </w:tcPr>
          <w:p w:rsidR="00FC41B1" w:rsidP="00E224AC" w14:paraId="65B39BE1" w14:textId="77777777">
            <w:pPr>
              <w:jc w:val="center"/>
              <w:rPr>
                <w:b/>
                <w:bCs/>
                <w:color w:val="000000"/>
              </w:rPr>
            </w:pPr>
            <w:r>
              <w:rPr>
                <w:b/>
                <w:bCs/>
                <w:color w:val="000000"/>
              </w:rPr>
              <w:t>Annual Cost</w:t>
            </w:r>
          </w:p>
          <w:p w:rsidR="00FC41B1" w:rsidP="00E224AC" w14:paraId="366FE0E1" w14:textId="77777777">
            <w:pPr>
              <w:jc w:val="center"/>
              <w:rPr>
                <w:b/>
                <w:bCs/>
                <w:color w:val="000000"/>
              </w:rPr>
            </w:pPr>
          </w:p>
        </w:tc>
      </w:tr>
      <w:tr w14:paraId="519D9FA3" w14:textId="77777777" w:rsidTr="00A35091">
        <w:tblPrEx>
          <w:tblW w:w="0" w:type="auto"/>
          <w:tblInd w:w="350" w:type="dxa"/>
          <w:tblCellMar>
            <w:left w:w="0" w:type="dxa"/>
            <w:right w:w="0" w:type="dxa"/>
          </w:tblCellMar>
          <w:tblLook w:val="04A0"/>
        </w:tblPrEx>
        <w:tc>
          <w:tcPr>
            <w:tcW w:w="1261" w:type="dxa"/>
            <w:tcMar>
              <w:top w:w="0" w:type="dxa"/>
              <w:left w:w="108" w:type="dxa"/>
              <w:bottom w:w="0" w:type="dxa"/>
              <w:right w:w="108" w:type="dxa"/>
            </w:tcMar>
          </w:tcPr>
          <w:p w:rsidR="00FC41B1" w:rsidP="00E224AC" w14:paraId="57FECCA3" w14:textId="77777777">
            <w:pPr>
              <w:rPr>
                <w:b/>
                <w:bCs/>
                <w:color w:val="000000"/>
              </w:rPr>
            </w:pPr>
            <w:r>
              <w:rPr>
                <w:b/>
                <w:bCs/>
                <w:color w:val="000000"/>
              </w:rPr>
              <w:t>2506-0170</w:t>
            </w:r>
          </w:p>
        </w:tc>
        <w:tc>
          <w:tcPr>
            <w:tcW w:w="1419" w:type="dxa"/>
            <w:tcMar>
              <w:top w:w="0" w:type="dxa"/>
              <w:left w:w="108" w:type="dxa"/>
              <w:bottom w:w="0" w:type="dxa"/>
              <w:right w:w="108" w:type="dxa"/>
            </w:tcMar>
          </w:tcPr>
          <w:p w:rsidR="00FC41B1" w:rsidP="00E224AC" w14:paraId="64FD7F60" w14:textId="77777777">
            <w:pPr>
              <w:jc w:val="center"/>
              <w:rPr>
                <w:b/>
                <w:bCs/>
                <w:color w:val="000000"/>
              </w:rPr>
            </w:pPr>
            <w:r>
              <w:rPr>
                <w:b/>
                <w:bCs/>
                <w:color w:val="000000"/>
              </w:rPr>
              <w:t>65</w:t>
            </w:r>
          </w:p>
        </w:tc>
        <w:tc>
          <w:tcPr>
            <w:tcW w:w="1370" w:type="dxa"/>
            <w:tcMar>
              <w:top w:w="0" w:type="dxa"/>
              <w:left w:w="108" w:type="dxa"/>
              <w:bottom w:w="0" w:type="dxa"/>
              <w:right w:w="108" w:type="dxa"/>
            </w:tcMar>
          </w:tcPr>
          <w:p w:rsidR="00FC41B1" w:rsidP="00E224AC" w14:paraId="6C0C70DF" w14:textId="77777777">
            <w:pPr>
              <w:jc w:val="center"/>
              <w:rPr>
                <w:b/>
                <w:bCs/>
                <w:color w:val="000000"/>
              </w:rPr>
            </w:pPr>
            <w:r>
              <w:rPr>
                <w:b/>
                <w:bCs/>
                <w:color w:val="000000"/>
              </w:rPr>
              <w:t>1</w:t>
            </w:r>
          </w:p>
        </w:tc>
        <w:tc>
          <w:tcPr>
            <w:tcW w:w="1094" w:type="dxa"/>
            <w:tcMar>
              <w:top w:w="0" w:type="dxa"/>
              <w:left w:w="108" w:type="dxa"/>
              <w:bottom w:w="0" w:type="dxa"/>
              <w:right w:w="108" w:type="dxa"/>
            </w:tcMar>
          </w:tcPr>
          <w:p w:rsidR="00FC41B1" w:rsidP="00E224AC" w14:paraId="3453038A" w14:textId="77777777">
            <w:pPr>
              <w:jc w:val="center"/>
              <w:rPr>
                <w:b/>
                <w:bCs/>
                <w:color w:val="000000"/>
              </w:rPr>
            </w:pPr>
            <w:r>
              <w:rPr>
                <w:b/>
                <w:bCs/>
                <w:color w:val="000000"/>
              </w:rPr>
              <w:t>65</w:t>
            </w:r>
          </w:p>
        </w:tc>
        <w:tc>
          <w:tcPr>
            <w:tcW w:w="1100" w:type="dxa"/>
            <w:tcMar>
              <w:top w:w="0" w:type="dxa"/>
              <w:left w:w="108" w:type="dxa"/>
              <w:bottom w:w="0" w:type="dxa"/>
              <w:right w:w="108" w:type="dxa"/>
            </w:tcMar>
          </w:tcPr>
          <w:p w:rsidR="00FC41B1" w:rsidP="00E224AC" w14:paraId="6FBB8797" w14:textId="77777777">
            <w:pPr>
              <w:jc w:val="center"/>
              <w:rPr>
                <w:b/>
                <w:bCs/>
                <w:color w:val="000000"/>
              </w:rPr>
            </w:pPr>
            <w:r>
              <w:rPr>
                <w:b/>
                <w:bCs/>
                <w:color w:val="000000"/>
              </w:rPr>
              <w:t>8</w:t>
            </w:r>
          </w:p>
        </w:tc>
        <w:tc>
          <w:tcPr>
            <w:tcW w:w="929" w:type="dxa"/>
            <w:tcMar>
              <w:top w:w="0" w:type="dxa"/>
              <w:left w:w="108" w:type="dxa"/>
              <w:bottom w:w="0" w:type="dxa"/>
              <w:right w:w="108" w:type="dxa"/>
            </w:tcMar>
          </w:tcPr>
          <w:p w:rsidR="00FC41B1" w:rsidP="00E224AC" w14:paraId="084DB07B" w14:textId="77777777">
            <w:pPr>
              <w:jc w:val="center"/>
              <w:rPr>
                <w:b/>
                <w:bCs/>
                <w:color w:val="000000"/>
              </w:rPr>
            </w:pPr>
            <w:r>
              <w:rPr>
                <w:b/>
                <w:bCs/>
                <w:color w:val="000000"/>
              </w:rPr>
              <w:t>520.00</w:t>
            </w:r>
          </w:p>
        </w:tc>
        <w:tc>
          <w:tcPr>
            <w:tcW w:w="1100" w:type="dxa"/>
            <w:tcMar>
              <w:top w:w="0" w:type="dxa"/>
              <w:left w:w="108" w:type="dxa"/>
              <w:bottom w:w="0" w:type="dxa"/>
              <w:right w:w="108" w:type="dxa"/>
            </w:tcMar>
          </w:tcPr>
          <w:p w:rsidR="00FC41B1" w:rsidP="006F3585" w14:paraId="277825A4" w14:textId="0A6FAB37">
            <w:pPr>
              <w:jc w:val="right"/>
              <w:rPr>
                <w:b/>
                <w:bCs/>
                <w:color w:val="000000"/>
              </w:rPr>
            </w:pPr>
            <w:r w:rsidRPr="006F3585">
              <w:rPr>
                <w:b/>
                <w:bCs/>
                <w:color w:val="000000"/>
              </w:rPr>
              <w:t xml:space="preserve">$48.59 </w:t>
            </w:r>
          </w:p>
        </w:tc>
        <w:tc>
          <w:tcPr>
            <w:tcW w:w="1116" w:type="dxa"/>
            <w:tcMar>
              <w:top w:w="0" w:type="dxa"/>
              <w:left w:w="108" w:type="dxa"/>
              <w:bottom w:w="0" w:type="dxa"/>
              <w:right w:w="108" w:type="dxa"/>
            </w:tcMar>
          </w:tcPr>
          <w:p w:rsidR="00FC41B1" w:rsidP="00E224AC" w14:paraId="4748DEF1" w14:textId="29ACE609">
            <w:pPr>
              <w:jc w:val="right"/>
              <w:rPr>
                <w:b/>
                <w:bCs/>
                <w:color w:val="000000"/>
              </w:rPr>
            </w:pPr>
            <w:r>
              <w:rPr>
                <w:b/>
                <w:bCs/>
                <w:color w:val="000000"/>
              </w:rPr>
              <w:t>$2</w:t>
            </w:r>
            <w:r w:rsidR="006F3585">
              <w:rPr>
                <w:b/>
                <w:bCs/>
                <w:color w:val="000000"/>
              </w:rPr>
              <w:t>5</w:t>
            </w:r>
            <w:r>
              <w:rPr>
                <w:b/>
                <w:bCs/>
                <w:color w:val="000000"/>
              </w:rPr>
              <w:t>,</w:t>
            </w:r>
            <w:r w:rsidR="006F3585">
              <w:rPr>
                <w:b/>
                <w:bCs/>
                <w:color w:val="000000"/>
              </w:rPr>
              <w:t>266</w:t>
            </w:r>
            <w:r>
              <w:rPr>
                <w:b/>
                <w:bCs/>
                <w:color w:val="000000"/>
              </w:rPr>
              <w:t>.</w:t>
            </w:r>
            <w:r w:rsidR="006F3585">
              <w:rPr>
                <w:b/>
                <w:bCs/>
                <w:color w:val="000000"/>
              </w:rPr>
              <w:t>8</w:t>
            </w:r>
            <w:r>
              <w:rPr>
                <w:b/>
                <w:bCs/>
                <w:color w:val="000000"/>
              </w:rPr>
              <w:t>0</w:t>
            </w:r>
          </w:p>
        </w:tc>
      </w:tr>
    </w:tbl>
    <w:p w:rsidR="00FC41B1" w:rsidRPr="00C97BB8" w:rsidP="00C97BB8" w14:paraId="4D99C652" w14:textId="6D862944">
      <w:pPr>
        <w:pStyle w:val="NoSpacing"/>
        <w:ind w:left="360"/>
      </w:pPr>
      <w:r w:rsidRPr="00C97BB8">
        <w:t>*GS-12, Step 1 (202</w:t>
      </w:r>
      <w:r w:rsidR="006F3585">
        <w:t>5</w:t>
      </w:r>
      <w:r w:rsidRPr="00C97BB8">
        <w:t xml:space="preserve"> OMB tables)</w:t>
      </w:r>
    </w:p>
    <w:p w:rsidR="00FC41B1" w:rsidRPr="00DB4FA0" w:rsidP="00FC41B1" w14:paraId="1F5A20EA" w14:textId="77777777">
      <w:pPr>
        <w:pStyle w:val="NoSpacing"/>
        <w:rPr>
          <w:sz w:val="24"/>
          <w:szCs w:val="24"/>
        </w:rPr>
      </w:pPr>
    </w:p>
    <w:p w:rsidR="008B75EE" w:rsidRPr="006F3585" w:rsidP="00C97BB8" w14:paraId="65A52404" w14:textId="77777777">
      <w:pPr>
        <w:pStyle w:val="NoSpacing"/>
        <w:numPr>
          <w:ilvl w:val="0"/>
          <w:numId w:val="8"/>
        </w:numPr>
        <w:rPr>
          <w:b/>
          <w:bCs/>
          <w:sz w:val="24"/>
          <w:szCs w:val="24"/>
        </w:rPr>
      </w:pPr>
      <w:r w:rsidRPr="006F3585">
        <w:rPr>
          <w:b/>
          <w:bCs/>
          <w:sz w:val="24"/>
          <w:szCs w:val="24"/>
        </w:rPr>
        <w:t>Explain the reasons for any program changes or adjustments reported in Items 12 and 14 of the Supporting Statement.</w:t>
      </w:r>
    </w:p>
    <w:p w:rsidR="008B75EE" w:rsidP="008B75EE" w14:paraId="0B639A67" w14:textId="77777777">
      <w:pPr>
        <w:pStyle w:val="NoSpacing"/>
        <w:ind w:left="720"/>
        <w:rPr>
          <w:sz w:val="24"/>
          <w:szCs w:val="24"/>
        </w:rPr>
      </w:pPr>
    </w:p>
    <w:p w:rsidR="008B75EE" w:rsidP="008B75EE" w14:paraId="072718F2" w14:textId="6F97ABE8">
      <w:pPr>
        <w:pStyle w:val="NoSpacing"/>
        <w:ind w:left="360"/>
        <w:rPr>
          <w:sz w:val="24"/>
          <w:szCs w:val="24"/>
        </w:rPr>
      </w:pPr>
      <w:bookmarkStart w:id="0" w:name="_Hlk191392292"/>
      <w:r>
        <w:rPr>
          <w:sz w:val="24"/>
          <w:szCs w:val="24"/>
        </w:rPr>
        <w:t xml:space="preserve">This is a reinstatement with change. </w:t>
      </w:r>
      <w:bookmarkEnd w:id="0"/>
      <w:r w:rsidRPr="006E088F">
        <w:rPr>
          <w:sz w:val="24"/>
          <w:szCs w:val="24"/>
        </w:rPr>
        <w:t xml:space="preserve">The requested collection hours for the Urban County Qualification/Requalification process </w:t>
      </w:r>
      <w:r w:rsidRPr="006E088F" w:rsidR="00F50B24">
        <w:rPr>
          <w:sz w:val="24"/>
          <w:szCs w:val="24"/>
        </w:rPr>
        <w:t>reflect</w:t>
      </w:r>
      <w:r w:rsidRPr="006E088F">
        <w:rPr>
          <w:sz w:val="24"/>
          <w:szCs w:val="24"/>
        </w:rPr>
        <w:t xml:space="preserve"> the same number of hours estimated to be required to comply with program guidelines. However, the overall estimates have increased because of an increase in the number of new urban counties. There are now 195 qualified counties rather than 192 counties.</w:t>
      </w:r>
    </w:p>
    <w:p w:rsidR="008B75EE" w:rsidRPr="00DB4FA0" w:rsidP="008B75EE" w14:paraId="01F49FE2" w14:textId="77777777">
      <w:pPr>
        <w:pStyle w:val="NoSpacing"/>
        <w:ind w:left="360"/>
        <w:rPr>
          <w:sz w:val="24"/>
          <w:szCs w:val="24"/>
        </w:rPr>
      </w:pPr>
    </w:p>
    <w:p w:rsidR="008B75EE" w:rsidRPr="006F3585" w:rsidP="00C97BB8" w14:paraId="20A65BC6" w14:textId="77777777">
      <w:pPr>
        <w:pStyle w:val="NoSpacing"/>
        <w:numPr>
          <w:ilvl w:val="0"/>
          <w:numId w:val="8"/>
        </w:numPr>
        <w:rPr>
          <w:b/>
          <w:bCs/>
          <w:sz w:val="24"/>
          <w:szCs w:val="24"/>
        </w:rPr>
      </w:pPr>
      <w:r w:rsidRPr="006F3585">
        <w:rPr>
          <w:b/>
          <w:bCs/>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D2A52" w:rsidP="008B75EE" w14:paraId="4FC2C850" w14:textId="77777777">
      <w:pPr>
        <w:pStyle w:val="NoSpacing"/>
        <w:ind w:left="360"/>
        <w:rPr>
          <w:sz w:val="24"/>
          <w:szCs w:val="24"/>
        </w:rPr>
      </w:pPr>
    </w:p>
    <w:p w:rsidR="008B75EE" w:rsidRPr="00DB4FA0" w:rsidP="008B75EE" w14:paraId="291B7707" w14:textId="4FFD9ED2">
      <w:pPr>
        <w:pStyle w:val="NoSpacing"/>
        <w:ind w:left="360"/>
        <w:rPr>
          <w:sz w:val="24"/>
          <w:szCs w:val="24"/>
        </w:rPr>
      </w:pPr>
      <w:r w:rsidRPr="006E088F">
        <w:rPr>
          <w:sz w:val="24"/>
          <w:szCs w:val="24"/>
        </w:rPr>
        <w:t>Information</w:t>
      </w:r>
      <w:r w:rsidRPr="006E088F">
        <w:rPr>
          <w:sz w:val="24"/>
          <w:szCs w:val="24"/>
        </w:rPr>
        <w:t xml:space="preserve"> collected is not published.</w:t>
      </w:r>
    </w:p>
    <w:p w:rsidR="008B75EE" w:rsidRPr="00DB4FA0" w:rsidP="008B75EE" w14:paraId="1DB20596" w14:textId="77777777">
      <w:pPr>
        <w:pStyle w:val="NoSpacing"/>
        <w:rPr>
          <w:sz w:val="24"/>
          <w:szCs w:val="24"/>
        </w:rPr>
      </w:pPr>
    </w:p>
    <w:p w:rsidR="008B75EE" w:rsidRPr="006F3585" w:rsidP="00C97BB8" w14:paraId="518D0E41" w14:textId="77777777">
      <w:pPr>
        <w:pStyle w:val="NoSpacing"/>
        <w:numPr>
          <w:ilvl w:val="0"/>
          <w:numId w:val="8"/>
        </w:numPr>
        <w:rPr>
          <w:b/>
          <w:bCs/>
          <w:sz w:val="24"/>
          <w:szCs w:val="24"/>
        </w:rPr>
      </w:pPr>
      <w:r w:rsidRPr="006F3585">
        <w:rPr>
          <w:b/>
          <w:bCs/>
          <w:sz w:val="24"/>
          <w:szCs w:val="24"/>
        </w:rPr>
        <w:t>If seeking approval to not display the expiration date for OMB approval of the information collection, explain the reasons that display would be inappropriate.</w:t>
      </w:r>
    </w:p>
    <w:p w:rsidR="008B75EE" w:rsidP="008B75EE" w14:paraId="2B68A762" w14:textId="77777777">
      <w:pPr>
        <w:pStyle w:val="NoSpacing"/>
        <w:rPr>
          <w:sz w:val="24"/>
          <w:szCs w:val="24"/>
        </w:rPr>
      </w:pPr>
    </w:p>
    <w:p w:rsidR="008B75EE" w:rsidP="00C97BB8" w14:paraId="68EA3749" w14:textId="77777777">
      <w:pPr>
        <w:pStyle w:val="NoSpacing"/>
        <w:ind w:left="360"/>
        <w:rPr>
          <w:sz w:val="24"/>
          <w:szCs w:val="24"/>
        </w:rPr>
      </w:pPr>
      <w:r>
        <w:rPr>
          <w:sz w:val="24"/>
          <w:szCs w:val="24"/>
        </w:rPr>
        <w:t>HUD is not seeking approval to not display the expiration date for OMB approval of the information collection.</w:t>
      </w:r>
    </w:p>
    <w:p w:rsidR="008B75EE" w:rsidRPr="00DB4FA0" w:rsidP="008B75EE" w14:paraId="7C57DFCE" w14:textId="77777777">
      <w:pPr>
        <w:pStyle w:val="NoSpacing"/>
        <w:rPr>
          <w:sz w:val="24"/>
          <w:szCs w:val="24"/>
        </w:rPr>
      </w:pPr>
    </w:p>
    <w:p w:rsidR="008B75EE" w:rsidRPr="006F3585" w:rsidP="00C97BB8" w14:paraId="5231DE71" w14:textId="77777777">
      <w:pPr>
        <w:pStyle w:val="NoSpacing"/>
        <w:numPr>
          <w:ilvl w:val="0"/>
          <w:numId w:val="8"/>
        </w:numPr>
        <w:rPr>
          <w:b/>
          <w:bCs/>
          <w:sz w:val="24"/>
          <w:szCs w:val="24"/>
        </w:rPr>
      </w:pPr>
      <w:r w:rsidRPr="006F3585">
        <w:rPr>
          <w:b/>
          <w:bCs/>
          <w:sz w:val="24"/>
          <w:szCs w:val="24"/>
        </w:rPr>
        <w:t>Explain each exception to the certification statement.</w:t>
      </w:r>
    </w:p>
    <w:p w:rsidR="008B75EE" w:rsidP="008B75EE" w14:paraId="5E2F7196" w14:textId="77777777">
      <w:pPr>
        <w:pStyle w:val="NoSpacing"/>
        <w:rPr>
          <w:sz w:val="24"/>
          <w:szCs w:val="24"/>
        </w:rPr>
      </w:pPr>
    </w:p>
    <w:p w:rsidR="008B75EE" w:rsidP="00C97BB8" w14:paraId="5D256DD8" w14:textId="77777777">
      <w:pPr>
        <w:pStyle w:val="NoSpacing"/>
        <w:ind w:left="360"/>
        <w:rPr>
          <w:sz w:val="24"/>
          <w:szCs w:val="24"/>
        </w:rPr>
      </w:pPr>
      <w:r>
        <w:rPr>
          <w:sz w:val="24"/>
          <w:szCs w:val="24"/>
        </w:rPr>
        <w:t>There are no exceptions to the signed certification.</w:t>
      </w:r>
    </w:p>
    <w:p w:rsidR="008B75EE" w:rsidRPr="00DB4FA0" w:rsidP="008B75EE" w14:paraId="7FF3D5F3" w14:textId="77777777">
      <w:pPr>
        <w:pStyle w:val="NoSpacing"/>
        <w:rPr>
          <w:sz w:val="24"/>
          <w:szCs w:val="24"/>
        </w:rPr>
      </w:pPr>
    </w:p>
    <w:p w:rsidR="00CE4C30" w14:paraId="79E8E4DC" w14:textId="77777777"/>
    <w:sectPr w:rsidSect="00052CB2">
      <w:headerReference w:type="default" r:id="rId9"/>
      <w:pgSz w:w="12240" w:h="15840"/>
      <w:pgMar w:top="1440" w:right="1440" w:bottom="1440" w:left="900" w:header="480" w:footer="480" w:gutter="0"/>
      <w:cols w:space="480" w:equalWidth="0">
        <w:col w:w="10080"/>
      </w:cols>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aditional Arabic">
    <w:charset w:val="B2"/>
    <w:family w:val="roman"/>
    <w:pitch w:val="variable"/>
    <w:sig w:usb0="00002003" w:usb1="80000000" w:usb2="00000008" w:usb3="00000000" w:csb0="0000004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21986197"/>
      <w:docPartObj>
        <w:docPartGallery w:val="Page Numbers (Top of Page)"/>
        <w:docPartUnique/>
      </w:docPartObj>
    </w:sdtPr>
    <w:sdtEndPr>
      <w:rPr>
        <w:noProof/>
      </w:rPr>
    </w:sdtEndPr>
    <w:sdtContent>
      <w:p w:rsidR="009843B9" w:rsidP="00052CB2" w14:paraId="76CF971A" w14:textId="714B860F">
        <w:pPr>
          <w:pStyle w:val="Header"/>
          <w:ind w:left="5760" w:firstLine="3600"/>
        </w:pPr>
        <w:r>
          <w:fldChar w:fldCharType="begin"/>
        </w:r>
        <w:r>
          <w:instrText xml:space="preserve"> PAGE   \* MERGEFORMAT </w:instrText>
        </w:r>
        <w:r>
          <w:fldChar w:fldCharType="separate"/>
        </w:r>
        <w:r>
          <w:rPr>
            <w:noProof/>
          </w:rPr>
          <w:t>2</w:t>
        </w:r>
        <w:r>
          <w:rPr>
            <w:noProof/>
          </w:rPr>
          <w:fldChar w:fldCharType="end"/>
        </w:r>
      </w:p>
    </w:sdtContent>
  </w:sdt>
  <w:p w:rsidR="009843B9" w14:paraId="64C9058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E1466"/>
    <w:multiLevelType w:val="hybridMultilevel"/>
    <w:tmpl w:val="70448168"/>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EE2FD2"/>
    <w:multiLevelType w:val="hybridMultilevel"/>
    <w:tmpl w:val="FE661CE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FF31C23"/>
    <w:multiLevelType w:val="hybridMultilevel"/>
    <w:tmpl w:val="CA9C57E8"/>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83A227B"/>
    <w:multiLevelType w:val="hybridMultilevel"/>
    <w:tmpl w:val="764CD6D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2682FD7"/>
    <w:multiLevelType w:val="hybridMultilevel"/>
    <w:tmpl w:val="0AACBB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1D5714"/>
    <w:multiLevelType w:val="hybridMultilevel"/>
    <w:tmpl w:val="EF482C3E"/>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83F0A46"/>
    <w:multiLevelType w:val="hybridMultilevel"/>
    <w:tmpl w:val="32B6DD46"/>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86E15F8"/>
    <w:multiLevelType w:val="hybridMultilevel"/>
    <w:tmpl w:val="6F765B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53F5759"/>
    <w:multiLevelType w:val="hybridMultilevel"/>
    <w:tmpl w:val="5EE86B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6ED2A08"/>
    <w:multiLevelType w:val="hybridMultilevel"/>
    <w:tmpl w:val="0EE021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EA766C5"/>
    <w:multiLevelType w:val="hybridMultilevel"/>
    <w:tmpl w:val="9D0424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006044D"/>
    <w:multiLevelType w:val="hybridMultilevel"/>
    <w:tmpl w:val="09765EC6"/>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A81218D"/>
    <w:multiLevelType w:val="hybridMultilevel"/>
    <w:tmpl w:val="3BCC63BA"/>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999191510">
    <w:abstractNumId w:val="7"/>
  </w:num>
  <w:num w:numId="2" w16cid:durableId="1244611327">
    <w:abstractNumId w:val="5"/>
  </w:num>
  <w:num w:numId="3" w16cid:durableId="397094364">
    <w:abstractNumId w:val="11"/>
  </w:num>
  <w:num w:numId="4" w16cid:durableId="1112555774">
    <w:abstractNumId w:val="4"/>
  </w:num>
  <w:num w:numId="5" w16cid:durableId="232470966">
    <w:abstractNumId w:val="8"/>
  </w:num>
  <w:num w:numId="6" w16cid:durableId="1560170968">
    <w:abstractNumId w:val="3"/>
  </w:num>
  <w:num w:numId="7" w16cid:durableId="523785035">
    <w:abstractNumId w:val="12"/>
  </w:num>
  <w:num w:numId="8" w16cid:durableId="1858038784">
    <w:abstractNumId w:val="1"/>
  </w:num>
  <w:num w:numId="9" w16cid:durableId="1976524909">
    <w:abstractNumId w:val="2"/>
  </w:num>
  <w:num w:numId="10" w16cid:durableId="1474370357">
    <w:abstractNumId w:val="0"/>
  </w:num>
  <w:num w:numId="11" w16cid:durableId="191774499">
    <w:abstractNumId w:val="10"/>
  </w:num>
  <w:num w:numId="12" w16cid:durableId="1499807304">
    <w:abstractNumId w:val="6"/>
  </w:num>
  <w:num w:numId="13" w16cid:durableId="20291371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5EE"/>
    <w:rsid w:val="00011C07"/>
    <w:rsid w:val="000505DD"/>
    <w:rsid w:val="00052CB2"/>
    <w:rsid w:val="00057055"/>
    <w:rsid w:val="00083FC9"/>
    <w:rsid w:val="000A1483"/>
    <w:rsid w:val="000A7603"/>
    <w:rsid w:val="000B12E6"/>
    <w:rsid w:val="000D1B00"/>
    <w:rsid w:val="000D450B"/>
    <w:rsid w:val="000D62C8"/>
    <w:rsid w:val="000F16D8"/>
    <w:rsid w:val="0015285B"/>
    <w:rsid w:val="001903B0"/>
    <w:rsid w:val="001A5F65"/>
    <w:rsid w:val="001D7FC2"/>
    <w:rsid w:val="001E7282"/>
    <w:rsid w:val="001F1B58"/>
    <w:rsid w:val="001F2F05"/>
    <w:rsid w:val="001F48AC"/>
    <w:rsid w:val="00213E3E"/>
    <w:rsid w:val="00262A4E"/>
    <w:rsid w:val="00276A0D"/>
    <w:rsid w:val="00277F80"/>
    <w:rsid w:val="002A1512"/>
    <w:rsid w:val="002A2919"/>
    <w:rsid w:val="002B6D72"/>
    <w:rsid w:val="002D19F8"/>
    <w:rsid w:val="00326913"/>
    <w:rsid w:val="00334BAE"/>
    <w:rsid w:val="0034721A"/>
    <w:rsid w:val="003524C6"/>
    <w:rsid w:val="00363B61"/>
    <w:rsid w:val="00371BCF"/>
    <w:rsid w:val="003902F4"/>
    <w:rsid w:val="003A5F7D"/>
    <w:rsid w:val="003C5F75"/>
    <w:rsid w:val="003D01B2"/>
    <w:rsid w:val="003D211E"/>
    <w:rsid w:val="003E2FFF"/>
    <w:rsid w:val="003F29D3"/>
    <w:rsid w:val="00413547"/>
    <w:rsid w:val="00423906"/>
    <w:rsid w:val="00424DF4"/>
    <w:rsid w:val="004279DE"/>
    <w:rsid w:val="00436383"/>
    <w:rsid w:val="00454073"/>
    <w:rsid w:val="00460C28"/>
    <w:rsid w:val="004650F9"/>
    <w:rsid w:val="0047296E"/>
    <w:rsid w:val="00476EC7"/>
    <w:rsid w:val="0048314B"/>
    <w:rsid w:val="00496920"/>
    <w:rsid w:val="004B14EA"/>
    <w:rsid w:val="004B3260"/>
    <w:rsid w:val="004B53F4"/>
    <w:rsid w:val="004C3CBA"/>
    <w:rsid w:val="004D3662"/>
    <w:rsid w:val="004D3FB0"/>
    <w:rsid w:val="004D7279"/>
    <w:rsid w:val="004E3405"/>
    <w:rsid w:val="004F0FDA"/>
    <w:rsid w:val="0050045D"/>
    <w:rsid w:val="00504FB1"/>
    <w:rsid w:val="00521869"/>
    <w:rsid w:val="00527A13"/>
    <w:rsid w:val="00542288"/>
    <w:rsid w:val="00565C7D"/>
    <w:rsid w:val="005743AD"/>
    <w:rsid w:val="00577AB1"/>
    <w:rsid w:val="0059218B"/>
    <w:rsid w:val="00592228"/>
    <w:rsid w:val="005A23E2"/>
    <w:rsid w:val="005A51A9"/>
    <w:rsid w:val="005B0F63"/>
    <w:rsid w:val="005D1513"/>
    <w:rsid w:val="005D2B7A"/>
    <w:rsid w:val="005D2FAA"/>
    <w:rsid w:val="005F76D7"/>
    <w:rsid w:val="00604158"/>
    <w:rsid w:val="006101AF"/>
    <w:rsid w:val="00614722"/>
    <w:rsid w:val="006219CA"/>
    <w:rsid w:val="00634288"/>
    <w:rsid w:val="006476AF"/>
    <w:rsid w:val="006644C4"/>
    <w:rsid w:val="00685C3E"/>
    <w:rsid w:val="00697BDD"/>
    <w:rsid w:val="006A0D37"/>
    <w:rsid w:val="006A59ED"/>
    <w:rsid w:val="006B4D74"/>
    <w:rsid w:val="006E088F"/>
    <w:rsid w:val="006F3585"/>
    <w:rsid w:val="006F4D98"/>
    <w:rsid w:val="00710ED7"/>
    <w:rsid w:val="00720B61"/>
    <w:rsid w:val="00727B88"/>
    <w:rsid w:val="00740A5F"/>
    <w:rsid w:val="00746897"/>
    <w:rsid w:val="007730C8"/>
    <w:rsid w:val="0077718F"/>
    <w:rsid w:val="007A38A3"/>
    <w:rsid w:val="007B7021"/>
    <w:rsid w:val="007C1014"/>
    <w:rsid w:val="007E77B5"/>
    <w:rsid w:val="007F32ED"/>
    <w:rsid w:val="007F74E5"/>
    <w:rsid w:val="007F7BE2"/>
    <w:rsid w:val="008015BA"/>
    <w:rsid w:val="00825D4E"/>
    <w:rsid w:val="00835105"/>
    <w:rsid w:val="00835659"/>
    <w:rsid w:val="00846C0A"/>
    <w:rsid w:val="00851126"/>
    <w:rsid w:val="0085660E"/>
    <w:rsid w:val="008722E1"/>
    <w:rsid w:val="008747FA"/>
    <w:rsid w:val="00874AF9"/>
    <w:rsid w:val="0089140C"/>
    <w:rsid w:val="008B75EE"/>
    <w:rsid w:val="008D10D7"/>
    <w:rsid w:val="008D4CFD"/>
    <w:rsid w:val="008E108F"/>
    <w:rsid w:val="008F10BA"/>
    <w:rsid w:val="00916025"/>
    <w:rsid w:val="00933D0E"/>
    <w:rsid w:val="009843B9"/>
    <w:rsid w:val="009B4BA4"/>
    <w:rsid w:val="009B6667"/>
    <w:rsid w:val="00A02C80"/>
    <w:rsid w:val="00A10778"/>
    <w:rsid w:val="00A11D55"/>
    <w:rsid w:val="00A1281B"/>
    <w:rsid w:val="00A1731B"/>
    <w:rsid w:val="00A314F3"/>
    <w:rsid w:val="00A35091"/>
    <w:rsid w:val="00A42CD1"/>
    <w:rsid w:val="00A90494"/>
    <w:rsid w:val="00AA14DE"/>
    <w:rsid w:val="00AC0F80"/>
    <w:rsid w:val="00AC1799"/>
    <w:rsid w:val="00AD1D71"/>
    <w:rsid w:val="00AF31A6"/>
    <w:rsid w:val="00B215B0"/>
    <w:rsid w:val="00B50DCD"/>
    <w:rsid w:val="00B56BB8"/>
    <w:rsid w:val="00B66E0E"/>
    <w:rsid w:val="00BA5FDE"/>
    <w:rsid w:val="00BC7014"/>
    <w:rsid w:val="00BD343C"/>
    <w:rsid w:val="00BD3767"/>
    <w:rsid w:val="00BD42B5"/>
    <w:rsid w:val="00BE0A3B"/>
    <w:rsid w:val="00BF44AB"/>
    <w:rsid w:val="00C02114"/>
    <w:rsid w:val="00C03D3F"/>
    <w:rsid w:val="00C4184B"/>
    <w:rsid w:val="00C44993"/>
    <w:rsid w:val="00C61210"/>
    <w:rsid w:val="00C7279B"/>
    <w:rsid w:val="00C86854"/>
    <w:rsid w:val="00C97BB8"/>
    <w:rsid w:val="00CA589B"/>
    <w:rsid w:val="00CD2A52"/>
    <w:rsid w:val="00CE4C30"/>
    <w:rsid w:val="00CE5049"/>
    <w:rsid w:val="00D22BCE"/>
    <w:rsid w:val="00D43CA6"/>
    <w:rsid w:val="00D5400B"/>
    <w:rsid w:val="00D74EFB"/>
    <w:rsid w:val="00D80182"/>
    <w:rsid w:val="00D8665D"/>
    <w:rsid w:val="00D87F53"/>
    <w:rsid w:val="00D926FC"/>
    <w:rsid w:val="00D96CE0"/>
    <w:rsid w:val="00DB03CE"/>
    <w:rsid w:val="00DB37DE"/>
    <w:rsid w:val="00DB4FA0"/>
    <w:rsid w:val="00DC39AD"/>
    <w:rsid w:val="00DE6509"/>
    <w:rsid w:val="00E10BF0"/>
    <w:rsid w:val="00E115AB"/>
    <w:rsid w:val="00E12E9B"/>
    <w:rsid w:val="00E15237"/>
    <w:rsid w:val="00E224AC"/>
    <w:rsid w:val="00E34E00"/>
    <w:rsid w:val="00E750E4"/>
    <w:rsid w:val="00EA6020"/>
    <w:rsid w:val="00EB22A9"/>
    <w:rsid w:val="00EF6885"/>
    <w:rsid w:val="00F00EF4"/>
    <w:rsid w:val="00F1613E"/>
    <w:rsid w:val="00F2490E"/>
    <w:rsid w:val="00F34890"/>
    <w:rsid w:val="00F34C23"/>
    <w:rsid w:val="00F50B24"/>
    <w:rsid w:val="00F53934"/>
    <w:rsid w:val="00F64B8B"/>
    <w:rsid w:val="00FA2943"/>
    <w:rsid w:val="00FC41B1"/>
    <w:rsid w:val="00FC7B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70C4A8"/>
  <w15:chartTrackingRefBased/>
  <w15:docId w15:val="{389AB51F-B47E-44A0-8F19-2FD962BDC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75EE"/>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8B75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5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5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5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5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5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5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5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5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5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5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75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5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5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5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5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5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5EE"/>
    <w:rPr>
      <w:rFonts w:eastAsiaTheme="majorEastAsia" w:cstheme="majorBidi"/>
      <w:color w:val="272727" w:themeColor="text1" w:themeTint="D8"/>
    </w:rPr>
  </w:style>
  <w:style w:type="paragraph" w:styleId="Title">
    <w:name w:val="Title"/>
    <w:basedOn w:val="Normal"/>
    <w:next w:val="Normal"/>
    <w:link w:val="TitleChar"/>
    <w:uiPriority w:val="10"/>
    <w:qFormat/>
    <w:rsid w:val="008B75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5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5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5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5EE"/>
    <w:pPr>
      <w:spacing w:before="160"/>
      <w:jc w:val="center"/>
    </w:pPr>
    <w:rPr>
      <w:i/>
      <w:iCs/>
      <w:color w:val="404040" w:themeColor="text1" w:themeTint="BF"/>
    </w:rPr>
  </w:style>
  <w:style w:type="character" w:customStyle="1" w:styleId="QuoteChar">
    <w:name w:val="Quote Char"/>
    <w:basedOn w:val="DefaultParagraphFont"/>
    <w:link w:val="Quote"/>
    <w:uiPriority w:val="29"/>
    <w:rsid w:val="008B75EE"/>
    <w:rPr>
      <w:i/>
      <w:iCs/>
      <w:color w:val="404040" w:themeColor="text1" w:themeTint="BF"/>
    </w:rPr>
  </w:style>
  <w:style w:type="paragraph" w:styleId="ListParagraph">
    <w:name w:val="List Paragraph"/>
    <w:basedOn w:val="Normal"/>
    <w:uiPriority w:val="34"/>
    <w:qFormat/>
    <w:rsid w:val="008B75EE"/>
    <w:pPr>
      <w:ind w:left="720"/>
      <w:contextualSpacing/>
    </w:pPr>
  </w:style>
  <w:style w:type="character" w:styleId="IntenseEmphasis">
    <w:name w:val="Intense Emphasis"/>
    <w:basedOn w:val="DefaultParagraphFont"/>
    <w:uiPriority w:val="21"/>
    <w:qFormat/>
    <w:rsid w:val="008B75EE"/>
    <w:rPr>
      <w:i/>
      <w:iCs/>
      <w:color w:val="0F4761" w:themeColor="accent1" w:themeShade="BF"/>
    </w:rPr>
  </w:style>
  <w:style w:type="paragraph" w:styleId="IntenseQuote">
    <w:name w:val="Intense Quote"/>
    <w:basedOn w:val="Normal"/>
    <w:next w:val="Normal"/>
    <w:link w:val="IntenseQuoteChar"/>
    <w:uiPriority w:val="30"/>
    <w:qFormat/>
    <w:rsid w:val="008B75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5EE"/>
    <w:rPr>
      <w:i/>
      <w:iCs/>
      <w:color w:val="0F4761" w:themeColor="accent1" w:themeShade="BF"/>
    </w:rPr>
  </w:style>
  <w:style w:type="character" w:styleId="IntenseReference">
    <w:name w:val="Intense Reference"/>
    <w:basedOn w:val="DefaultParagraphFont"/>
    <w:uiPriority w:val="32"/>
    <w:qFormat/>
    <w:rsid w:val="008B75EE"/>
    <w:rPr>
      <w:b/>
      <w:bCs/>
      <w:smallCaps/>
      <w:color w:val="0F4761" w:themeColor="accent1" w:themeShade="BF"/>
      <w:spacing w:val="5"/>
    </w:rPr>
  </w:style>
  <w:style w:type="paragraph" w:styleId="Header">
    <w:name w:val="header"/>
    <w:basedOn w:val="Normal"/>
    <w:link w:val="HeaderChar"/>
    <w:uiPriority w:val="99"/>
    <w:rsid w:val="008B75EE"/>
    <w:pPr>
      <w:tabs>
        <w:tab w:val="center" w:pos="4320"/>
        <w:tab w:val="right" w:pos="8640"/>
      </w:tabs>
    </w:pPr>
  </w:style>
  <w:style w:type="character" w:customStyle="1" w:styleId="HeaderChar">
    <w:name w:val="Header Char"/>
    <w:basedOn w:val="DefaultParagraphFont"/>
    <w:link w:val="Header"/>
    <w:uiPriority w:val="99"/>
    <w:rsid w:val="008B75EE"/>
    <w:rPr>
      <w:rFonts w:ascii="Times New Roman" w:eastAsia="Times New Roman" w:hAnsi="Times New Roman" w:cs="Times New Roman"/>
      <w:kern w:val="0"/>
      <w:sz w:val="20"/>
      <w:szCs w:val="20"/>
      <w14:ligatures w14:val="none"/>
    </w:rPr>
  </w:style>
  <w:style w:type="paragraph" w:styleId="NoSpacing">
    <w:name w:val="No Spacing"/>
    <w:uiPriority w:val="1"/>
    <w:qFormat/>
    <w:rsid w:val="008B75EE"/>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7F32ED"/>
    <w:pPr>
      <w:spacing w:after="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4F0FDA"/>
    <w:rPr>
      <w:sz w:val="16"/>
      <w:szCs w:val="16"/>
    </w:rPr>
  </w:style>
  <w:style w:type="paragraph" w:styleId="CommentText">
    <w:name w:val="annotation text"/>
    <w:basedOn w:val="Normal"/>
    <w:link w:val="CommentTextChar"/>
    <w:uiPriority w:val="99"/>
    <w:unhideWhenUsed/>
    <w:rsid w:val="004F0FDA"/>
  </w:style>
  <w:style w:type="character" w:customStyle="1" w:styleId="CommentTextChar">
    <w:name w:val="Comment Text Char"/>
    <w:basedOn w:val="DefaultParagraphFont"/>
    <w:link w:val="CommentText"/>
    <w:uiPriority w:val="99"/>
    <w:rsid w:val="004F0FDA"/>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F0FDA"/>
    <w:rPr>
      <w:b/>
      <w:bCs/>
    </w:rPr>
  </w:style>
  <w:style w:type="character" w:customStyle="1" w:styleId="CommentSubjectChar">
    <w:name w:val="Comment Subject Char"/>
    <w:basedOn w:val="CommentTextChar"/>
    <w:link w:val="CommentSubject"/>
    <w:uiPriority w:val="99"/>
    <w:semiHidden/>
    <w:rsid w:val="004F0FDA"/>
    <w:rPr>
      <w:rFonts w:ascii="Times New Roman" w:eastAsia="Times New Roman" w:hAnsi="Times New Roman" w:cs="Times New Roman"/>
      <w:b/>
      <w:bCs/>
      <w:kern w:val="0"/>
      <w:sz w:val="20"/>
      <w:szCs w:val="20"/>
      <w14:ligatures w14:val="none"/>
    </w:rPr>
  </w:style>
  <w:style w:type="paragraph" w:styleId="Footer">
    <w:name w:val="footer"/>
    <w:basedOn w:val="Normal"/>
    <w:link w:val="FooterChar"/>
    <w:uiPriority w:val="99"/>
    <w:unhideWhenUsed/>
    <w:rsid w:val="008E108F"/>
    <w:pPr>
      <w:tabs>
        <w:tab w:val="center" w:pos="4680"/>
        <w:tab w:val="right" w:pos="9360"/>
      </w:tabs>
    </w:pPr>
  </w:style>
  <w:style w:type="character" w:customStyle="1" w:styleId="FooterChar">
    <w:name w:val="Footer Char"/>
    <w:basedOn w:val="DefaultParagraphFont"/>
    <w:link w:val="Footer"/>
    <w:uiPriority w:val="99"/>
    <w:rsid w:val="008E108F"/>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0B12E6"/>
    <w:rPr>
      <w:color w:val="467886" w:themeColor="hyperlink"/>
      <w:u w:val="single"/>
    </w:rPr>
  </w:style>
  <w:style w:type="character" w:styleId="UnresolvedMention">
    <w:name w:val="Unresolved Mention"/>
    <w:basedOn w:val="DefaultParagraphFont"/>
    <w:uiPriority w:val="99"/>
    <w:semiHidden/>
    <w:unhideWhenUsed/>
    <w:rsid w:val="000B1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COMPS-10382/pdf/COMPS-10382.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a71733-1480-480c-8178-737b92910626">
      <Terms xmlns="http://schemas.microsoft.com/office/infopath/2007/PartnerControls"/>
    </lcf76f155ced4ddcb4097134ff3c332f>
    <TaxCatchAll xmlns="d4a638c4-874f-49c0-bb2b-5cb8563c2b18" xsi:nil="true"/>
    <_dlc_DocId xmlns="d4a638c4-874f-49c0-bb2b-5cb8563c2b18">HUDOGC-1479810509-61069</_dlc_DocId>
    <_dlc_DocIdUrl xmlns="d4a638c4-874f-49c0-bb2b-5cb8563c2b18">
      <Url>https://hudgov.sharepoint.com/sites/OGC/OLR/_layouts/15/DocIdRedir.aspx?ID=HUDOGC-1479810509-61069</Url>
      <Description>HUDOGC-1479810509-61069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12" ma:contentTypeDescription="Create a new document." ma:contentTypeScope="" ma:versionID="dac534e1f54048a9d75e4494c6748434">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9f1162fe1bae727c4126cdd21777948f"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93058fa-7323-40bc-bd77-93e31bfab044}"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55A474-5D2C-48FF-BD83-D0CC0B30AE46}">
  <ds:schemaRefs>
    <ds:schemaRef ds:uri="http://schemas.microsoft.com/office/2006/metadata/properties"/>
    <ds:schemaRef ds:uri="http://schemas.microsoft.com/office/infopath/2007/PartnerControls"/>
    <ds:schemaRef ds:uri="1ea71733-1480-480c-8178-737b92910626"/>
    <ds:schemaRef ds:uri="d4a638c4-874f-49c0-bb2b-5cb8563c2b18"/>
  </ds:schemaRefs>
</ds:datastoreItem>
</file>

<file path=customXml/itemProps2.xml><?xml version="1.0" encoding="utf-8"?>
<ds:datastoreItem xmlns:ds="http://schemas.openxmlformats.org/officeDocument/2006/customXml" ds:itemID="{47F00320-AAFD-4F4A-8286-843A1F2EC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D3AA87-C541-49C4-99FC-881AB24A4DFB}">
  <ds:schemaRefs>
    <ds:schemaRef ds:uri="http://schemas.microsoft.com/sharepoint/events"/>
  </ds:schemaRefs>
</ds:datastoreItem>
</file>

<file path=customXml/itemProps4.xml><?xml version="1.0" encoding="utf-8"?>
<ds:datastoreItem xmlns:ds="http://schemas.openxmlformats.org/officeDocument/2006/customXml" ds:itemID="{957E921E-EB60-4CD7-803B-F0A41E4898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3171</Words>
  <Characters>18080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Johnson, Urnell</cp:lastModifiedBy>
  <cp:revision>2</cp:revision>
  <dcterms:created xsi:type="dcterms:W3CDTF">2025-02-27T19:32:00Z</dcterms:created>
  <dcterms:modified xsi:type="dcterms:W3CDTF">2025-02-27T19:32:00Z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0x0101006CC59265DDB75041B6E828A556B6EC84</vt:lpwstr>
  </property>
  <property fmtid="{D5CDD505-2E9C-101B-9397-08002B2CF9AE}" pid="3" name="MediaServiceImageTags">
    <vt:lpwstr/>
  </property>
  <property fmtid="{D5CDD505-2E9C-101B-9397-08002B2CF9AE}" pid="4" name="_dlc_DocIdItemGuid">
    <vt:lpwstr>80ef1a19-6885-4ecc-a355-025916ec6ccf</vt:lpwstr>
  </property>
</Properties>
</file>