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BB432F" w:rsidRPr="00BB3410" w:rsidP="00BB432F" w14:paraId="7B82FD92" w14:textId="6DAE9ADD">
      <w:pPr>
        <w:rPr>
          <w:rFonts w:cstheme="minorHAnsi"/>
        </w:rPr>
      </w:pPr>
      <w:r w:rsidRPr="00BB3410">
        <w:rPr>
          <w:rFonts w:cstheme="minorHAnsi"/>
          <w:b/>
          <w:bCs/>
        </w:rPr>
        <w:t>Title</w:t>
      </w:r>
      <w:r w:rsidRPr="00EA0D20">
        <w:rPr>
          <w:rFonts w:cstheme="minorHAnsi"/>
          <w:b/>
          <w:bCs/>
        </w:rPr>
        <w:t>:</w:t>
      </w:r>
      <w:r w:rsidR="001F34A5">
        <w:rPr>
          <w:rFonts w:cstheme="minorHAnsi"/>
        </w:rPr>
        <w:t xml:space="preserve"> </w:t>
      </w:r>
      <w:r w:rsidR="00BC46DD">
        <w:t>EPA’s Methane Challenge and Natural Gas STAR Program</w:t>
      </w:r>
    </w:p>
    <w:p w:rsidR="00EE2403" w:rsidRPr="00BB3410" w:rsidP="00BB432F" w14:paraId="71D5121E" w14:textId="1A7F4552">
      <w:pPr>
        <w:spacing w:line="240" w:lineRule="auto"/>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Pr="00F80315" w:rsidR="00231014">
        <w:t>2060-</w:t>
      </w:r>
      <w:r w:rsidR="00231014">
        <w:t>0722</w:t>
      </w:r>
    </w:p>
    <w:p w:rsidR="00EE2403" w:rsidRPr="00BB3410" w:rsidP="00ED57A4" w14:paraId="4FB77BCA" w14:textId="210385CF">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Pr="00F80315" w:rsidR="00AE357F">
        <w:t>2547.0</w:t>
      </w:r>
      <w:r w:rsidR="00AE357F">
        <w:t>2</w:t>
      </w:r>
    </w:p>
    <w:p w:rsidR="00BB432F" w:rsidP="4BDBF0A0" w14:paraId="6A3E928D" w14:textId="75F62B9C">
      <w:pPr>
        <w:spacing w:before="240"/>
        <w:rPr>
          <w:b/>
          <w:bCs/>
        </w:rPr>
      </w:pPr>
      <w:r w:rsidRPr="4BDBF0A0">
        <w:rPr>
          <w:b/>
          <w:bCs/>
        </w:rPr>
        <w:t>Abstract:</w:t>
      </w:r>
    </w:p>
    <w:p w:rsidR="00BC46DD" w:rsidRPr="00AB4360" w:rsidP="4BDBF0A0" w14:paraId="0DE07093" w14:textId="607A8DBD">
      <w:pPr>
        <w:spacing w:before="240"/>
        <w:rPr>
          <w:color w:val="000000" w:themeColor="text1"/>
          <w:sz w:val="20"/>
          <w:szCs w:val="20"/>
        </w:rPr>
      </w:pPr>
      <w:r w:rsidRPr="00AB4360">
        <w:rPr>
          <w:color w:val="000000" w:themeColor="text1"/>
        </w:rPr>
        <w:t>This ICR revision proposes to significantly pare down the information reported to EPA’s Natural Gas STAR and Methane Challenge Programs.  Specifically, it proposes to remove all of the partnership-specific reporting elements, based on the Programs’ changes to sunset the “Partnership” aspects of the programs. EPA proposes to retain one key element of the ICR, the Service Providers Directory.</w:t>
      </w:r>
    </w:p>
    <w:p w:rsidR="004A0FA5" w:rsidP="004A0FA5" w14:paraId="7C11AFAE" w14:textId="3DF82A59">
      <w:r>
        <w:t>The oil and natural gas industry is the second largest source of anthropogenic methane emissions in the U.S., according to the Inventory of U.S. Greenhouse Gas Emissions and Sinks: 1990-2022. Methane is the primary component of natural gas and a potent greenhouse gas. Since 1993, the US Environmental Protection Agency’s (EPA) Natural Gas STAR Program has encouraged oil and natural gas companies to adopt cost-saving technologies and practices that improve operational efficiency and reduce methane emissions. This non-regulatory Program supported Partner companies in making voluntary efforts to implement recommended technologies and report related methane emissions reductions to EPA. In 2016, EPA launched a new program</w:t>
      </w:r>
      <w:r w:rsidR="00BC46DD">
        <w:t xml:space="preserve">, </w:t>
      </w:r>
      <w:r>
        <w:t xml:space="preserve">the Methane Challenge Program. This Program leveraged the methane-reducing best practices and technologies developed by the industry and showcased through the Natural Gas STAR Program over the past 20+ years and created a mechanism for oil and natural gas companies </w:t>
      </w:r>
      <w:bookmarkStart w:id="1" w:name="_Hlk64384073"/>
      <w:r>
        <w:t>to make ambitious, voluntary commitments to reduce their methane emissions</w:t>
      </w:r>
      <w:bookmarkEnd w:id="1"/>
      <w:r>
        <w:t xml:space="preserve">. Methane Challenge Partners submitted detailed data to the Program each year so EPA, and the public, could track the progress Partners are making towards these commitments.  </w:t>
      </w:r>
    </w:p>
    <w:p w:rsidR="00BC46DD" w:rsidP="004A0FA5" w14:paraId="081EDE2C" w14:textId="77777777">
      <w:r w:rsidRPr="003D6B39">
        <w:t xml:space="preserve">EPA has recently taken historic steps to tackle wasteful methane emissions from the oil and gas sector beyond voluntary action. The Inflation Reduction Act directed EPA to implement a suite of actions to swiftly reduce methane emissions through the creation of the Methane Emissions Reductions Program (MERP). On December 2, 2023, EPA announced final New Source Performance Standards and Emissions Guidelines (NSPS/EG) to regulate the oil and gas industry under the Clean Air Act, resulting in ambitious requirements to reduce methane from both new and existing sources. The Department of Transportation has also imposed requirements on the transmission segment including implementation of the PIPES Act of 2020. </w:t>
      </w:r>
    </w:p>
    <w:p w:rsidR="00BC46DD" w:rsidP="004A0FA5" w14:paraId="0D5F55EE" w14:textId="3F9ABC6C">
      <w:r>
        <w:t>In 2022,</w:t>
      </w:r>
      <w:r w:rsidRPr="003D6B39">
        <w:t xml:space="preserve"> EPA</w:t>
      </w:r>
      <w:r>
        <w:t xml:space="preserve"> announced the</w:t>
      </w:r>
      <w:r w:rsidRPr="003D6B39">
        <w:t xml:space="preserve"> sunsetting of the</w:t>
      </w:r>
      <w:r>
        <w:t xml:space="preserve"> Natural Gas STAR Program</w:t>
      </w:r>
      <w:r w:rsidRPr="003D6B39">
        <w:t xml:space="preserve"> partnership agreements, implementation plans, and </w:t>
      </w:r>
      <w:r>
        <w:t>annual</w:t>
      </w:r>
      <w:r w:rsidRPr="003D6B39">
        <w:t xml:space="preserve"> reporting. </w:t>
      </w:r>
      <w:r w:rsidRPr="003D6B39" w:rsidR="004A0FA5">
        <w:t>Based on the limited remaining potential for voluntary actions to reduce methane emissions, EPA will be sunsetting the Methane Challenge Partnership</w:t>
      </w:r>
      <w:r>
        <w:t xml:space="preserve"> at the end of 2024.  EPA will be</w:t>
      </w:r>
      <w:r w:rsidRPr="003D6B39" w:rsidR="004A0FA5">
        <w:t xml:space="preserve"> transitioning </w:t>
      </w:r>
      <w:r>
        <w:t>the Natural Gas STAR Program</w:t>
      </w:r>
      <w:r w:rsidRPr="003D6B39">
        <w:t xml:space="preserve"> </w:t>
      </w:r>
      <w:r w:rsidRPr="003D6B39" w:rsidR="004A0FA5">
        <w:t xml:space="preserve">outreach efforts to advance ambitious, sector-wide methane reductions through technical assistance and outreach under the Methane Emissions Reduction Program. </w:t>
      </w:r>
    </w:p>
    <w:p w:rsidR="004A0FA5" w:rsidRPr="003D6B39" w:rsidP="004A0FA5" w14:paraId="4D8DAB48" w14:textId="24802901">
      <w:pPr>
        <w:rPr>
          <w:sz w:val="20"/>
          <w:szCs w:val="20"/>
        </w:rPr>
      </w:pPr>
    </w:p>
    <w:p w:rsidR="004A0FA5" w:rsidP="004A0FA5" w14:paraId="4EF0D9C6" w14:textId="144DF8F0">
      <w:r>
        <w:t xml:space="preserve">Therefore, based on these significantly reduced programmatic elements, for </w:t>
      </w:r>
      <w:r>
        <w:t>this revision</w:t>
      </w:r>
      <w:r>
        <w:t xml:space="preserve"> of the Program ICR</w:t>
      </w:r>
      <w:r>
        <w:t xml:space="preserve">, </w:t>
      </w:r>
      <w:r w:rsidRPr="00CD20B7">
        <w:t xml:space="preserve">EPA proposes to </w:t>
      </w:r>
      <w:r>
        <w:t xml:space="preserve">remove all partnership </w:t>
      </w:r>
      <w:r>
        <w:t xml:space="preserve">reporting data elements </w:t>
      </w:r>
      <w:r>
        <w:t xml:space="preserve">and </w:t>
      </w:r>
      <w:r>
        <w:t>partnership-</w:t>
      </w:r>
      <w:r>
        <w:t>related information collection forms for both the Methane Challenge Program and the Natural Gas STAR Program</w:t>
      </w:r>
      <w:r w:rsidRPr="00CD20B7">
        <w:t xml:space="preserve">. </w:t>
      </w:r>
      <w:r>
        <w:t xml:space="preserve">This includes the removal of annual reporting forms, partnership agreements, and implementation plans. The </w:t>
      </w:r>
      <w:r>
        <w:t xml:space="preserve">sole programmatic element involving voluntary </w:t>
      </w:r>
      <w:r>
        <w:t xml:space="preserve">information collection </w:t>
      </w:r>
      <w:r>
        <w:t xml:space="preserve">that </w:t>
      </w:r>
      <w:r>
        <w:t xml:space="preserve">EPA </w:t>
      </w:r>
      <w:r>
        <w:t xml:space="preserve">plans </w:t>
      </w:r>
      <w:r>
        <w:t xml:space="preserve">to retain is the Oil and Gas Equipment and Service Providers Directory. </w:t>
      </w:r>
      <w:r w:rsidRPr="003D6B39">
        <w:t>This directory’s purpose is to share information about service and technology providers that can facilitate methane emission reduction activities in the oil and gas sector.</w:t>
      </w:r>
      <w:r>
        <w:t xml:space="preserve"> </w:t>
      </w:r>
      <w:r>
        <w:t xml:space="preserve">These changes will result in a significant overall decrease in burden for this ICR. </w:t>
      </w:r>
    </w:p>
    <w:p w:rsidR="004A0FA5" w:rsidP="004A0FA5" w14:paraId="08DF5AFF" w14:textId="69F6FBEC">
      <w:pPr>
        <w:pStyle w:val="Heading3"/>
      </w:pPr>
      <w:bookmarkStart w:id="2" w:name="_Toc173939420"/>
      <w:r>
        <w:t xml:space="preserve">Background: </w:t>
      </w:r>
      <w:r>
        <w:t>Natural Gas STAR Program</w:t>
      </w:r>
      <w:bookmarkEnd w:id="2"/>
    </w:p>
    <w:p w:rsidR="004A0FA5" w:rsidP="004A0FA5" w14:paraId="7BB2A8D9" w14:textId="18D2C24A">
      <w:r>
        <w:t xml:space="preserve">Since 1993, the </w:t>
      </w:r>
      <w:r>
        <w:t>Natural Gas STAR (NGS) Program worked with oil and natural gas companies across the value chain (i.e., the production, gathering &amp; processing, transmission, and distribution segments), to remove barriers to implementing technologies and practices that reduce methane emissions. The NGS Program offered Partner companies flexibility to participate at whichever scale (e.g., number of facilities, number of emission sources, etc.) worked best for their operational context, business plan, and sustainability goals.</w:t>
      </w:r>
    </w:p>
    <w:p w:rsidR="004A0FA5" w:rsidP="004A0FA5" w14:paraId="1004803A" w14:textId="77777777">
      <w:r>
        <w:t xml:space="preserve">The Program was a collaboration of regional and national industry Partners that actively engaged in sharing Best Management Practices (BMPs) with one another, and other companies in the industry. This promoted the adoption of emission reduction technologies and practices by helping NGS Partners evaluate BMPs in the context of their current operations and implement them </w:t>
      </w:r>
      <w:r>
        <w:t>where</w:t>
      </w:r>
      <w:r>
        <w:t xml:space="preserve"> cost effective. Implementation of these BMPs saved participants money, improved operational efficiency, and enhanced the protection of the environment. The goal of the Program was to foster collaboration, networking, and technical information sharing; Partner companies were encouraged to report their methane emissions reductions to EPA, but there is no specific commitment to do so. </w:t>
      </w:r>
    </w:p>
    <w:p w:rsidR="004A0FA5" w:rsidP="004A0FA5" w14:paraId="17B7DA0F" w14:textId="3F5F67AA">
      <w:r>
        <w:t xml:space="preserve">Oil and natural gas companies </w:t>
      </w:r>
      <w:r w:rsidR="00BC46DD">
        <w:t xml:space="preserve">joined the Program as </w:t>
      </w:r>
      <w:r>
        <w:t>Natural Gas STAR Partners by completing and submitting a Partnership Agreement that outlined responsibilities of the Partner company and EPA. The agreement committed a Natural Gas STAR Partner to evaluate methane emission reduction opportunities and to implement BMPs that reduce methane emissions.</w:t>
      </w:r>
      <w:r w:rsidRPr="00116090">
        <w:t xml:space="preserve"> </w:t>
      </w:r>
      <w:r>
        <w:t xml:space="preserve">Partners could </w:t>
      </w:r>
      <w:r w:rsidRPr="00116090">
        <w:t xml:space="preserve">report </w:t>
      </w:r>
      <w:r>
        <w:t xml:space="preserve">annually </w:t>
      </w:r>
      <w:r w:rsidRPr="00116090">
        <w:t>on their voluntary actions and resulting emission reductions</w:t>
      </w:r>
      <w:r>
        <w:t xml:space="preserve">, though </w:t>
      </w:r>
      <w:r w:rsidR="00BC46DD">
        <w:t xml:space="preserve">were </w:t>
      </w:r>
      <w:r>
        <w:t xml:space="preserve">not required to do so. </w:t>
      </w:r>
      <w:r w:rsidR="00BC46DD">
        <w:t xml:space="preserve">EPA ended partner annual reporting, partnership agreements, and implementation plan elements of the Program in 2022. </w:t>
      </w:r>
    </w:p>
    <w:p w:rsidR="004A0FA5" w:rsidP="004A0FA5" w14:paraId="033532A4" w14:textId="7A6269F7">
      <w:pPr>
        <w:pStyle w:val="Heading3"/>
      </w:pPr>
      <w:bookmarkStart w:id="3" w:name="_Toc173939421"/>
      <w:r>
        <w:t xml:space="preserve">Background: </w:t>
      </w:r>
      <w:r>
        <w:t>Methane Challenge Program</w:t>
      </w:r>
      <w:bookmarkEnd w:id="3"/>
    </w:p>
    <w:p w:rsidR="004A0FA5" w:rsidP="004A0FA5" w14:paraId="2AE4721B" w14:textId="0F684BFE">
      <w:r>
        <w:t xml:space="preserve">in 2016, EPA launched the </w:t>
      </w:r>
      <w:r>
        <w:t xml:space="preserve">Methane Challenge (MC) Program. This Program was developed through extensive stakeholder engagement and with support from companies and trade organizations in the oil and gas industry. Methane Challenge expanded upon the key learnings made by NGS Partners and provided an innovative mechanism for oil and natural gas companies </w:t>
      </w:r>
      <w:r w:rsidRPr="00F260BE">
        <w:t>to make ambitious</w:t>
      </w:r>
      <w:r>
        <w:t xml:space="preserve"> and quantifiable </w:t>
      </w:r>
      <w:r w:rsidRPr="00F260BE">
        <w:t>voluntary commitments to reduce methane emissions</w:t>
      </w:r>
      <w:r>
        <w:t xml:space="preserve"> across their operations. The Program worked with oil and natural gas companies in the onshore production, gathering and boosting, processing, transmission and underground storage, and distribution segments.</w:t>
      </w:r>
    </w:p>
    <w:p w:rsidR="004A0FA5" w:rsidP="004A0FA5" w14:paraId="18FA35F4" w14:textId="77777777">
      <w:r>
        <w:t>Methane Challenge offered two commitment options for Partners. Both focused on reducing methane emissions across a company’s operations using different approaches. In the Best Management Practice (BMP) Commitment Option, Partners committed to implement specific practices and technologies to reduce methane emissions from specific emission sources. In the ONE Future Emissions Intensity (ONE Future) Commitment Option, Partners committed to achieve a specified methane emission intensity target. Throughout the course of its commitment, the company had flexibility in determining which emission sources to mitigate and which practices/technologies to implement to achieve its target intensity rate. Companies could join one or both commitment options.</w:t>
      </w:r>
    </w:p>
    <w:p w:rsidR="004A0FA5" w:rsidP="004A0FA5" w14:paraId="51F48856" w14:textId="77777777">
      <w:r>
        <w:t>Companies became Methane Challenge Partners by completing and submitting a Partnership Agreement that outlined responsibilities of the Methane Challenge Partner company and EPA. In the BMP Partnership Agreement, a company committed to mitigate emissions from at least one methane emissions source using technologies/practices specified in the Program’s Technical Document. In the agreement, the Partner would specify a start date and a target achievement year for its commitment(s). The achievement year must not have exceeded five [5] years from the commitment start date. ONE Future Commitment Partners committed to a segment-specific intensity target by a certain year. Collectively, the ONE Future Partners committed to a goal of reducing methane emissions across the natural gas value chain to 1% or less by 2025. The ONE Future collective and segment-specific intensity targets have been established by the ONE Future industry coalition. EPA collaborated with this group on the ONE Future commitment option, but the two are separate Programs.</w:t>
      </w:r>
    </w:p>
    <w:p w:rsidR="004A0FA5" w:rsidP="004A0FA5" w14:paraId="2D1F3C03" w14:textId="77777777">
      <w:r>
        <w:t>The voluntary partnership agreement could be terminated by the Methane Challenge Partner or by EPA with no notice or penalties and no further obligation.</w:t>
      </w:r>
    </w:p>
    <w:p w:rsidR="004A0FA5" w:rsidP="004A0FA5" w14:paraId="224E00BB" w14:textId="77777777">
      <w:r>
        <w:t xml:space="preserve">Methane Challenge Partners also agreed to submit an Implementation Plan within six [6] months of signing the Partnership Agreement and to annually report on their methane emissions, voluntary actions, and resulting emission reductions. Transparency through annual reporting was a key component of the Program, and a requirement for participation. </w:t>
      </w:r>
    </w:p>
    <w:p w:rsidR="004A0FA5" w:rsidP="004A0FA5" w14:paraId="257EBDE8" w14:textId="77777777">
      <w:r>
        <w:t xml:space="preserve">Program Partners reported annually to the EPA through the electronic Greenhouse Gas Reporting Tool (e-GGRT) system. EPA leveraged data reported to the Greenhouse Gas Reporting Program (GHGRP) through the Petroleum and Natural Gas Systems source category (Subpart W) to track Program activities. Partners also reported supplemental data to comprehensively track progress towards their source-specific commitments, including data that enabled Partners to highlight emission reductions achieved through voluntary action. Data elements to be reported were provided in detailed “Technical Documents” for each commitment option. Methane Challenge reports were due annually each fall (on a date to be specified by the EPA). A Partner was expected to begin reporting after its first full calendar year of participation in the Program. EPA compiled and publicly released (i.e., on the EPA website) all non-confidential data submitted to the Methane Challenge Program to track the progress of individual Partner companies in meeting their Program commitments. </w:t>
      </w:r>
    </w:p>
    <w:p w:rsidR="00C91D5A" w:rsidP="004A0FA5" w14:paraId="3CCDF3F5" w14:textId="24DDAC18">
      <w:r w:rsidRPr="00AB4360">
        <w:t>To align with increased Agency regulations for reducing methane emissions from the oil and gas sector</w:t>
      </w:r>
      <w:r>
        <w:t xml:space="preserve"> under the Inflation Reduction Act’s Methane Emissions Reductions Program (MERP)</w:t>
      </w:r>
      <w:r w:rsidRPr="00AB4360">
        <w:t>, EPA plans to sunset the Methane Challenge Partnership at the end of 2024.</w:t>
      </w:r>
    </w:p>
    <w:p w:rsidR="004A0FA5" w:rsidP="004A0FA5" w14:paraId="0A483B0F" w14:textId="77777777">
      <w:pPr>
        <w:pStyle w:val="Heading3"/>
      </w:pPr>
      <w:bookmarkStart w:id="4" w:name="_Toc173939422"/>
      <w:r>
        <w:t>Other Activities:</w:t>
      </w:r>
      <w:bookmarkEnd w:id="4"/>
    </w:p>
    <w:p w:rsidR="00C91D5A" w:rsidP="004A0FA5" w14:paraId="4A6FA3E1" w14:textId="77777777">
      <w:r>
        <w:t xml:space="preserve">In addition to the core Program data collection, </w:t>
      </w:r>
      <w:r w:rsidRPr="0097394A">
        <w:t>EPA also track</w:t>
      </w:r>
      <w:r>
        <w:t>ed</w:t>
      </w:r>
      <w:r w:rsidRPr="0097394A">
        <w:t xml:space="preserve"> </w:t>
      </w:r>
      <w:r>
        <w:t xml:space="preserve">a few additional data elements that helped improve program implementation including </w:t>
      </w:r>
      <w:r w:rsidRPr="0097394A">
        <w:t xml:space="preserve">changes to partner's contact information or changes in operating circumstances of a company. </w:t>
      </w:r>
    </w:p>
    <w:p w:rsidR="004A0FA5" w:rsidRPr="00E92F00" w:rsidP="004A0FA5" w14:paraId="100E76C2" w14:textId="73F1318A">
      <w:r>
        <w:t>Further, a</w:t>
      </w:r>
      <w:r w:rsidRPr="0097394A">
        <w:t xml:space="preserve">s a service to </w:t>
      </w:r>
      <w:r>
        <w:t>P</w:t>
      </w:r>
      <w:r w:rsidRPr="0097394A">
        <w:t>artners, EPA</w:t>
      </w:r>
      <w:r>
        <w:t xml:space="preserve"> also</w:t>
      </w:r>
      <w:r w:rsidRPr="0097394A">
        <w:t xml:space="preserve"> </w:t>
      </w:r>
      <w:r>
        <w:t>maintains</w:t>
      </w:r>
      <w:r w:rsidRPr="0097394A">
        <w:t xml:space="preserve"> a “</w:t>
      </w:r>
      <w:hyperlink r:id="rId10" w:history="1">
        <w:r w:rsidRPr="00AB4360">
          <w:rPr>
            <w:rStyle w:val="Hyperlink"/>
          </w:rPr>
          <w:t>service provider directory</w:t>
        </w:r>
      </w:hyperlink>
      <w:r w:rsidRPr="0097394A">
        <w:t>” to share information on services and technologies available to oil and natural gas companies seeking to reduce methane emissions from their operations.</w:t>
      </w:r>
      <w:r w:rsidRPr="00EA2325">
        <w:t xml:space="preserve"> </w:t>
      </w:r>
      <w:r>
        <w:t xml:space="preserve">Service provider companies fill out a short form one time to be included on the directory. </w:t>
      </w:r>
      <w:r w:rsidRPr="0097394A">
        <w:t xml:space="preserve">EPA does not endorse any company or product in the directory. </w:t>
      </w:r>
    </w:p>
    <w:p w:rsidR="00B44259" w:rsidRPr="00BB3410" w:rsidP="4BDBF0A0" w14:paraId="4FE837E5" w14:textId="77777777">
      <w:pPr>
        <w:spacing w:before="240"/>
        <w:rPr>
          <w:color w:val="000000"/>
        </w:rPr>
      </w:pPr>
    </w:p>
    <w:p w:rsidR="00DE4E0C" w:rsidRPr="00BB3410" w:rsidP="4BDBF0A0" w14:paraId="12DA0580" w14:textId="3A9EBC77">
      <w:pPr>
        <w:rPr>
          <w:b/>
          <w:bCs/>
          <w:u w:val="single"/>
        </w:rPr>
      </w:pPr>
      <w:r w:rsidRPr="4BDBF0A0">
        <w:rPr>
          <w:b/>
          <w:bCs/>
          <w:u w:val="single"/>
        </w:rPr>
        <w:t>Supporting Statement A</w:t>
      </w:r>
      <w:bookmarkEnd w:id="0"/>
    </w:p>
    <w:p w:rsidR="00D47CB3" w:rsidRPr="00E3122D" w:rsidP="00854AAE" w14:paraId="73FF37C3" w14:textId="77C3FA07">
      <w:pPr>
        <w:pStyle w:val="ListParagraph"/>
        <w:numPr>
          <w:ilvl w:val="0"/>
          <w:numId w:val="25"/>
        </w:numPr>
        <w:pBdr>
          <w:bottom w:val="single" w:sz="4" w:space="1" w:color="auto"/>
        </w:pBdr>
        <w:spacing w:before="240" w:after="0"/>
        <w:rPr>
          <w:rFonts w:cstheme="minorHAnsi"/>
          <w:b/>
          <w:bCs/>
        </w:rPr>
      </w:pPr>
      <w:bookmarkStart w:id="5" w:name="_Toc156593368"/>
      <w:r w:rsidRPr="00E3122D">
        <w:rPr>
          <w:rFonts w:cstheme="minorHAnsi"/>
          <w:b/>
          <w:bCs/>
        </w:rPr>
        <w:t>NEED AND AUTHORITY FOR THE COLLECTION</w:t>
      </w:r>
      <w:bookmarkEnd w:id="5"/>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C91D5A" w:rsidP="009A1169" w14:paraId="757E3CFC" w14:textId="1CF7500B">
      <w:bookmarkStart w:id="6" w:name="_Toc156593369"/>
      <w:r>
        <w:t xml:space="preserve">EPA developed previous versions of this ICR to obtain authorization to collect information from Partners of the Natural Gas STAR and the Methane Challenge Programs. </w:t>
      </w:r>
      <w:r w:rsidR="00AB4360">
        <w:t>This ICR renewal proposes significant revisions that drastically reduce respondent burden and cost, including the removal of all former partnership-related data collection such as partnership agreements, annual reporting forms, and implementation plans.</w:t>
      </w:r>
    </w:p>
    <w:p w:rsidR="009A1169" w:rsidRPr="00E94AF4" w:rsidP="009A1169" w14:paraId="307B30AE" w14:textId="19DEAE9B">
      <w:r>
        <w:t>With this ICR revision, EPA seeks to collect information</w:t>
      </w:r>
      <w:r w:rsidR="00C91D5A">
        <w:t xml:space="preserve"> only</w:t>
      </w:r>
      <w:r>
        <w:t xml:space="preserve"> from</w:t>
      </w:r>
      <w:r w:rsidR="00C91D5A">
        <w:t xml:space="preserve"> voluntary</w:t>
      </w:r>
      <w:r>
        <w:t xml:space="preserve"> </w:t>
      </w:r>
      <w:r w:rsidR="00C91D5A">
        <w:t xml:space="preserve">stakeholders who wish to provide information to be shared through the </w:t>
      </w:r>
      <w:r>
        <w:t>Natural Gas STAR Service Provider Directory.</w:t>
      </w:r>
    </w:p>
    <w:p w:rsidR="00D47CB3" w:rsidRPr="00E3122D" w:rsidP="00854AAE" w14:paraId="24F38A28" w14:textId="345BCCC4">
      <w:pPr>
        <w:pStyle w:val="ListParagraph"/>
        <w:numPr>
          <w:ilvl w:val="0"/>
          <w:numId w:val="25"/>
        </w:numPr>
        <w:pBdr>
          <w:bottom w:val="single" w:sz="4" w:space="1" w:color="auto"/>
        </w:pBdr>
        <w:spacing w:before="240" w:after="0"/>
        <w:rPr>
          <w:rFonts w:cstheme="minorHAnsi"/>
          <w:b/>
          <w:bCs/>
        </w:rPr>
      </w:pPr>
      <w:r w:rsidRPr="00E3122D">
        <w:rPr>
          <w:rFonts w:cstheme="minorHAnsi"/>
          <w:b/>
          <w:bCs/>
        </w:rPr>
        <w:t>PRACTICAL UTILITY/USERS OF THE DATA</w:t>
      </w:r>
      <w:bookmarkEnd w:id="6"/>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C726B2" w:rsidP="00C726B2" w14:paraId="281BB34E" w14:textId="1822DA3C">
      <w:r>
        <w:t>EPA uses the information provided in the Service Provider Directory form to populate a database for the Directory displaying the information submitted via the form. This database is provided and maintained as a service to oil and gas industry stakeholders. EPA does not endorse any company or product in the Directory.</w:t>
      </w:r>
    </w:p>
    <w:p w:rsidR="00074917" w:rsidRPr="00E3122D" w:rsidP="00854AAE" w14:paraId="1522D565" w14:textId="553E3A2D">
      <w:pPr>
        <w:pStyle w:val="ListParagraph"/>
        <w:numPr>
          <w:ilvl w:val="0"/>
          <w:numId w:val="25"/>
        </w:numPr>
        <w:pBdr>
          <w:bottom w:val="single" w:sz="4" w:space="1" w:color="auto"/>
        </w:pBdr>
        <w:spacing w:before="240" w:after="0"/>
        <w:rPr>
          <w:rFonts w:cstheme="minorHAnsi"/>
          <w:b/>
          <w:bCs/>
        </w:rPr>
      </w:pPr>
      <w:bookmarkStart w:id="7" w:name="_Toc156593370"/>
      <w:r w:rsidRPr="00E3122D">
        <w:rPr>
          <w:rFonts w:cstheme="minorHAnsi"/>
          <w:b/>
          <w:bCs/>
        </w:rPr>
        <w:t>USE OF TECHNOLOGY</w:t>
      </w:r>
      <w:bookmarkEnd w:id="7"/>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54DA2" w:rsidP="00354DA2" w14:paraId="247EE44A" w14:textId="1C03FA46">
      <w:r>
        <w:t>In collecting and analyzing the information associated with this ICR, EPA uses typical office equipment such as telephones, computers, and database and word processing software systems.</w:t>
      </w:r>
      <w:r w:rsidR="00B8093B">
        <w:t xml:space="preserve"> </w:t>
      </w:r>
      <w:r w:rsidR="00A62802">
        <w:t>Using</w:t>
      </w:r>
      <w:r w:rsidR="00B8093B">
        <w:t xml:space="preserve"> information technology equipment </w:t>
      </w:r>
      <w:r w:rsidR="00A62802">
        <w:t>will not reduce burden.</w:t>
      </w:r>
    </w:p>
    <w:p w:rsidR="009F1E00" w:rsidRPr="00354DA2" w:rsidP="00354DA2" w14:paraId="7B30150C" w14:textId="3F70F774">
      <w:r>
        <w:t xml:space="preserve">EPA ensures the accuracy and completeness of collected information by reviewing each submission. </w:t>
      </w:r>
    </w:p>
    <w:p w:rsidR="005263EC" w:rsidRPr="00E3122D" w:rsidP="00854AAE" w14:paraId="2CB3B868" w14:textId="58CBB947">
      <w:pPr>
        <w:pStyle w:val="ListParagraph"/>
        <w:numPr>
          <w:ilvl w:val="0"/>
          <w:numId w:val="25"/>
        </w:numPr>
        <w:pBdr>
          <w:bottom w:val="single" w:sz="4" w:space="1" w:color="auto"/>
        </w:pBdr>
        <w:spacing w:before="240" w:after="0"/>
        <w:rPr>
          <w:rFonts w:cstheme="minorHAnsi"/>
          <w:b/>
          <w:bCs/>
        </w:rPr>
      </w:pPr>
      <w:bookmarkStart w:id="8" w:name="_Toc156593371"/>
      <w:r w:rsidRPr="00E3122D">
        <w:rPr>
          <w:rFonts w:cstheme="minorHAnsi"/>
          <w:b/>
          <w:bCs/>
        </w:rPr>
        <w:t>EFFORTS TO IDENTIFY DUPLICATION</w:t>
      </w:r>
      <w:bookmarkEnd w:id="8"/>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ED57A4" w:rsidRPr="00E6208C" w:rsidP="00854AAE" w14:paraId="0E470EF3" w14:textId="2FD2474A">
      <w:r>
        <w:t>The information to be obtained under this ICR is not collected by EPA or any other Federal agency.</w:t>
      </w:r>
    </w:p>
    <w:p w:rsidR="00251151" w:rsidRPr="00E3122D" w:rsidP="4BDBF0A0" w14:paraId="79D36B3F" w14:textId="440DD77F">
      <w:pPr>
        <w:pStyle w:val="ListParagraph"/>
        <w:numPr>
          <w:ilvl w:val="0"/>
          <w:numId w:val="25"/>
        </w:numPr>
        <w:pBdr>
          <w:bottom w:val="single" w:sz="4" w:space="1" w:color="auto"/>
        </w:pBdr>
        <w:spacing w:before="240" w:after="0"/>
        <w:rPr>
          <w:b/>
          <w:bCs/>
        </w:rPr>
      </w:pPr>
      <w:bookmarkStart w:id="9" w:name="_Toc156593372"/>
      <w:r w:rsidRPr="4BDBF0A0">
        <w:rPr>
          <w:b/>
          <w:bCs/>
        </w:rPr>
        <w:t xml:space="preserve">MINIMIZING BURDEN ON SMALL </w:t>
      </w:r>
      <w:r w:rsidRPr="4BDBF0A0" w:rsidR="0F43C128">
        <w:rPr>
          <w:b/>
          <w:bCs/>
        </w:rPr>
        <w:t xml:space="preserve">BUSINESSES AND SMALL </w:t>
      </w:r>
      <w:r w:rsidRPr="4BDBF0A0">
        <w:rPr>
          <w:b/>
          <w:bCs/>
        </w:rPr>
        <w:t>ENTITIES</w:t>
      </w:r>
      <w:bookmarkEnd w:id="9"/>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B65947" w:rsidP="00B65947" w14:paraId="2C1AC086" w14:textId="0C1AEBE5">
      <w:r>
        <w:t>EPA has designed and streamlined its Service Provider Directory form to minimize respondent burden while obtaining sufficient and accurate information</w:t>
      </w:r>
      <w:r w:rsidR="00C91D5A">
        <w:t>. T</w:t>
      </w:r>
      <w:r>
        <w:t xml:space="preserve">he estimated burden cannot be further reduced for small entities. </w:t>
      </w:r>
    </w:p>
    <w:p w:rsidR="004252C1" w:rsidRPr="00E3122D" w:rsidP="4BDBF0A0" w14:paraId="1FF5A778" w14:textId="02F91DFF">
      <w:pPr>
        <w:pStyle w:val="ListParagraph"/>
        <w:numPr>
          <w:ilvl w:val="0"/>
          <w:numId w:val="25"/>
        </w:numPr>
        <w:pBdr>
          <w:bottom w:val="single" w:sz="4" w:space="1" w:color="auto"/>
        </w:pBdr>
        <w:spacing w:before="240" w:after="0"/>
        <w:rPr>
          <w:b/>
          <w:bCs/>
        </w:rPr>
      </w:pPr>
      <w:bookmarkStart w:id="10" w:name="_Toc156593373"/>
      <w:r w:rsidRPr="4BDBF0A0">
        <w:rPr>
          <w:b/>
          <w:bCs/>
        </w:rPr>
        <w:t>CONSEQUENCES</w:t>
      </w:r>
      <w:r w:rsidRPr="4BDBF0A0" w:rsidR="00061A77">
        <w:rPr>
          <w:b/>
          <w:bCs/>
        </w:rPr>
        <w:t xml:space="preserve"> OF LESS FREQUENT COLLECTION</w:t>
      </w:r>
      <w:bookmarkEnd w:id="10"/>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5E50F8" w:rsidP="005E50F8" w14:paraId="5934FB28" w14:textId="278C4593">
      <w:r>
        <w:t>For the Service Provider Directory, respondents may voluntarily submit the form at any time. EPA reviews the form submissions and updates the Directory on a regular basis.</w:t>
      </w:r>
    </w:p>
    <w:p w:rsidR="00A233E0" w:rsidRPr="00E3122D" w:rsidP="00854AAE" w14:paraId="27596CC0" w14:textId="77777777">
      <w:pPr>
        <w:pStyle w:val="ListParagraph"/>
        <w:numPr>
          <w:ilvl w:val="0"/>
          <w:numId w:val="25"/>
        </w:numPr>
        <w:pBdr>
          <w:bottom w:val="single" w:sz="4" w:space="1" w:color="auto"/>
        </w:pBdr>
        <w:spacing w:before="240" w:after="0"/>
        <w:rPr>
          <w:rFonts w:cstheme="minorHAnsi"/>
          <w:b/>
          <w:bCs/>
        </w:rPr>
      </w:pPr>
      <w:bookmarkStart w:id="11" w:name="_Toc156593374"/>
      <w:r w:rsidRPr="00E3122D">
        <w:rPr>
          <w:rFonts w:cstheme="minorHAnsi"/>
          <w:b/>
          <w:bCs/>
        </w:rPr>
        <w:t>GENERAL GUIDELINES</w:t>
      </w:r>
      <w:bookmarkEnd w:id="11"/>
    </w:p>
    <w:p w:rsidR="00A233E0" w:rsidRPr="00A233E0" w:rsidP="00854AAE" w14:paraId="7754F228" w14:textId="2EAFBFAF">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111663" w:rsidRPr="00BB3410" w:rsidP="00854AAE" w14:paraId="775EDF16" w14:textId="1D67167F">
      <w:pPr>
        <w:pBdr>
          <w:top w:val="single" w:sz="6" w:space="0" w:color="FFFFFF"/>
          <w:left w:val="single" w:sz="6" w:space="0" w:color="FFFFFF"/>
          <w:bottom w:val="single" w:sz="6" w:space="0" w:color="FFFFFF"/>
          <w:right w:val="single" w:sz="6" w:space="0" w:color="FFFFFF"/>
        </w:pBdr>
        <w:rPr>
          <w:rFonts w:cstheme="minorHAnsi"/>
          <w:color w:val="000000"/>
        </w:rPr>
      </w:pPr>
      <w:r>
        <w:rPr>
          <w:rFonts w:cstheme="minorHAnsi"/>
          <w:color w:val="000000"/>
        </w:rPr>
        <w:t xml:space="preserve">The Natural Gas STAR Program does not anticipate any special circumstances that require </w:t>
      </w:r>
      <w:r w:rsidR="00526531">
        <w:rPr>
          <w:rFonts w:cstheme="minorHAnsi"/>
          <w:color w:val="000000"/>
        </w:rPr>
        <w:t>the collection to be conducted in a manner inconsistent with OMB guidelines.</w:t>
      </w:r>
    </w:p>
    <w:p w:rsidR="006036CD" w:rsidRPr="00E3122D" w:rsidP="00854AAE" w14:paraId="02EE9B8D" w14:textId="77777777">
      <w:pPr>
        <w:pStyle w:val="ListParagraph"/>
        <w:numPr>
          <w:ilvl w:val="0"/>
          <w:numId w:val="25"/>
        </w:numPr>
        <w:pBdr>
          <w:bottom w:val="single" w:sz="4" w:space="1" w:color="auto"/>
        </w:pBdr>
        <w:spacing w:before="240" w:after="0"/>
        <w:rPr>
          <w:rFonts w:cstheme="minorHAnsi"/>
          <w:b/>
          <w:bCs/>
        </w:rPr>
      </w:pPr>
      <w:bookmarkStart w:id="12" w:name="_Toc156593375"/>
      <w:r w:rsidRPr="00E3122D">
        <w:rPr>
          <w:rFonts w:cstheme="minorHAnsi"/>
          <w:b/>
          <w:bCs/>
        </w:rPr>
        <w:t>PUBLIC COMMENT AND CONSULTATIONS</w:t>
      </w:r>
      <w:bookmarkStart w:id="13" w:name="_Toc156593376"/>
      <w:bookmarkEnd w:id="12"/>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4" w:name="_Toc156593377"/>
      <w:bookmarkEnd w:id="13"/>
    </w:p>
    <w:p w:rsidR="00A233E0" w:rsidRPr="00A233E0" w:rsidP="00854AAE" w14:paraId="4D2D25D5" w14:textId="77777777">
      <w:pPr>
        <w:spacing w:line="240" w:lineRule="auto"/>
        <w:rPr>
          <w:rFonts w:cstheme="minorHAnsi"/>
          <w:i/>
          <w:iCs/>
        </w:rPr>
      </w:pPr>
      <w:r w:rsidRPr="00A233E0">
        <w:rPr>
          <w:rFonts w:cstheme="minorHAnsi"/>
          <w:i/>
          <w:iCs/>
        </w:rPr>
        <w:t xml:space="preserve">If applicable, provide a copy and identify the date and page number of </w:t>
      </w:r>
      <w:r w:rsidRPr="00A233E0">
        <w:rPr>
          <w:rFonts w:cstheme="minorHAnsi"/>
          <w:i/>
          <w:iCs/>
        </w:rPr>
        <w:t>publication</w:t>
      </w:r>
      <w:r w:rsidRPr="00A233E0">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57A4" w:rsidP="00854AAE" w14:paraId="102C4D0F" w14:textId="36CA5F8F">
      <w:pPr>
        <w:pBdr>
          <w:top w:val="single" w:sz="6" w:space="0" w:color="FFFFFF"/>
          <w:left w:val="single" w:sz="6" w:space="0" w:color="FFFFFF"/>
          <w:bottom w:val="single" w:sz="6" w:space="0" w:color="FFFFFF"/>
          <w:right w:val="single" w:sz="6" w:space="0" w:color="FFFFFF"/>
        </w:pBdr>
        <w:rPr>
          <w:rFonts w:cstheme="minorHAnsi"/>
          <w:color w:val="000000"/>
        </w:rPr>
      </w:pPr>
      <w:r>
        <w:rPr>
          <w:rFonts w:cstheme="minorHAnsi"/>
          <w:color w:val="000000"/>
        </w:rPr>
        <w:t xml:space="preserve">This notice can be found in the Federal Register at 89 FR </w:t>
      </w:r>
      <w:r w:rsidR="00FC24FF">
        <w:rPr>
          <w:rFonts w:cstheme="minorHAnsi"/>
          <w:color w:val="000000"/>
        </w:rPr>
        <w:t>48164.</w:t>
      </w:r>
    </w:p>
    <w:p w:rsidR="00FC24FF" w:rsidP="00854AAE" w14:paraId="5902D225" w14:textId="150FE0E9">
      <w:pPr>
        <w:pBdr>
          <w:top w:val="single" w:sz="6" w:space="0" w:color="FFFFFF"/>
          <w:left w:val="single" w:sz="6" w:space="0" w:color="FFFFFF"/>
          <w:bottom w:val="single" w:sz="6" w:space="0" w:color="FFFFFF"/>
          <w:right w:val="single" w:sz="6" w:space="0" w:color="FFFFFF"/>
        </w:pBdr>
        <w:rPr>
          <w:rFonts w:cstheme="minorHAnsi"/>
          <w:color w:val="000000"/>
        </w:rPr>
      </w:pPr>
      <w:r>
        <w:rPr>
          <w:rFonts w:cstheme="minorHAnsi"/>
          <w:color w:val="000000"/>
        </w:rPr>
        <w:t>One comment was received</w:t>
      </w:r>
      <w:r w:rsidR="003B42C6">
        <w:rPr>
          <w:rFonts w:cstheme="minorHAnsi"/>
          <w:color w:val="000000"/>
        </w:rPr>
        <w:t xml:space="preserve">, which supported the </w:t>
      </w:r>
      <w:r w:rsidR="00500E23">
        <w:rPr>
          <w:rFonts w:cstheme="minorHAnsi"/>
          <w:color w:val="000000"/>
        </w:rPr>
        <w:t>removal of nearly all reporting requirements of the voluntary program and therefore the reduction of overall burden.</w:t>
      </w:r>
    </w:p>
    <w:p w:rsidR="00DB7775" w:rsidRPr="00E3122D" w:rsidP="00854AAE" w14:paraId="71A9B3CC" w14:textId="77087A05">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4"/>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w:t>
      </w:r>
      <w:r w:rsidRPr="00A233E0">
        <w:rPr>
          <w:rFonts w:cstheme="minorHAnsi"/>
          <w:i/>
          <w:iCs/>
        </w:rPr>
        <w:t>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35C69" w:rsidP="00135C69" w14:paraId="5CE955A8" w14:textId="7FD8573A">
      <w:r>
        <w:t>Since the last ICR Renewal, information collection procedures for both Programs are expected to decrease significantly. EPA consulted with the following former Implementation Managers regarding the proposed sunset of Methane Challenge:</w:t>
      </w:r>
    </w:p>
    <w:p w:rsidR="00135C69" w:rsidP="00135C69" w14:paraId="7E880337" w14:textId="77777777">
      <w:pPr>
        <w:pStyle w:val="Heading3"/>
        <w:numPr>
          <w:ilvl w:val="2"/>
          <w:numId w:val="0"/>
        </w:numPr>
      </w:pPr>
      <w:bookmarkStart w:id="15" w:name="_Toc173939431"/>
      <w:r>
        <w:t>Former Methane Challenge ONE Future Partners:</w:t>
      </w:r>
      <w:bookmarkEnd w:id="15"/>
    </w:p>
    <w:p w:rsidR="00135C69" w:rsidP="00135C69" w14:paraId="42F0587B" w14:textId="77777777">
      <w:pPr>
        <w:pStyle w:val="NoSpacing"/>
      </w:pPr>
      <w:r>
        <w:t>Dawn Meyers</w:t>
      </w:r>
    </w:p>
    <w:p w:rsidR="00135C69" w:rsidP="00135C69" w14:paraId="197F3822" w14:textId="77777777">
      <w:pPr>
        <w:pStyle w:val="NoSpacing"/>
      </w:pPr>
      <w:r>
        <w:t>Kinder Morgan</w:t>
      </w:r>
    </w:p>
    <w:p w:rsidR="00135C69" w:rsidP="00135C69" w14:paraId="409934D6" w14:textId="77777777">
      <w:pPr>
        <w:pStyle w:val="NoSpacing"/>
      </w:pPr>
      <w:r>
        <w:t>370 Van Gordon St.</w:t>
      </w:r>
    </w:p>
    <w:p w:rsidR="00135C69" w:rsidP="00135C69" w14:paraId="508CD054" w14:textId="77777777">
      <w:pPr>
        <w:pStyle w:val="NoSpacing"/>
      </w:pPr>
      <w:r>
        <w:t>Lakewood, CO 80228</w:t>
      </w:r>
    </w:p>
    <w:p w:rsidR="00135C69" w:rsidRPr="00713E46" w:rsidP="00135C69" w14:paraId="45211782" w14:textId="77777777">
      <w:pPr>
        <w:pStyle w:val="NoSpacing"/>
      </w:pPr>
      <w:r w:rsidRPr="00713E46">
        <w:t>dawn_meyers@kindermorgan.com</w:t>
      </w:r>
    </w:p>
    <w:p w:rsidR="00135C69" w:rsidRPr="00713E46" w:rsidP="00135C69" w14:paraId="218FACC5" w14:textId="77777777">
      <w:r w:rsidRPr="00713E46">
        <w:t>(303) 914-7837</w:t>
      </w:r>
    </w:p>
    <w:p w:rsidR="00135C69" w:rsidRPr="00713E46" w:rsidP="00135C69" w14:paraId="1FE3D38A" w14:textId="77777777">
      <w:pPr>
        <w:spacing w:after="0"/>
      </w:pPr>
      <w:r w:rsidRPr="00713E46">
        <w:t>Dorian Afanador</w:t>
      </w:r>
    </w:p>
    <w:p w:rsidR="00135C69" w:rsidRPr="00F827A7" w:rsidP="00135C69" w14:paraId="02372409" w14:textId="77777777">
      <w:pPr>
        <w:spacing w:after="0"/>
        <w:rPr>
          <w:rFonts w:cstheme="minorHAnsi"/>
        </w:rPr>
      </w:pPr>
      <w:r w:rsidRPr="00F827A7">
        <w:rPr>
          <w:rFonts w:cstheme="minorHAnsi"/>
        </w:rPr>
        <w:t>Southern Company Gas</w:t>
      </w:r>
    </w:p>
    <w:p w:rsidR="00135C69" w:rsidRPr="00F827A7" w:rsidP="00135C69" w14:paraId="186E2B03" w14:textId="77777777">
      <w:pPr>
        <w:spacing w:after="0"/>
        <w:rPr>
          <w:rFonts w:cstheme="minorHAnsi"/>
        </w:rPr>
      </w:pPr>
      <w:r w:rsidRPr="00F827A7">
        <w:rPr>
          <w:rFonts w:cstheme="minorHAnsi"/>
        </w:rPr>
        <w:t>Ten Peachtree Place NE</w:t>
      </w:r>
      <w:r>
        <w:rPr>
          <w:rFonts w:cstheme="minorHAnsi"/>
        </w:rPr>
        <w:t xml:space="preserve">, </w:t>
      </w:r>
      <w:r w:rsidRPr="00F827A7">
        <w:rPr>
          <w:rFonts w:cstheme="minorHAnsi"/>
        </w:rPr>
        <w:t>8th Floor</w:t>
      </w:r>
    </w:p>
    <w:p w:rsidR="00135C69" w:rsidRPr="007E505C" w:rsidP="00135C69" w14:paraId="5574DF58" w14:textId="77777777">
      <w:pPr>
        <w:spacing w:after="0"/>
        <w:rPr>
          <w:rFonts w:cstheme="minorHAnsi"/>
          <w:lang w:val="es-CO"/>
        </w:rPr>
      </w:pPr>
      <w:r w:rsidRPr="007E505C">
        <w:rPr>
          <w:rFonts w:cstheme="minorHAnsi"/>
          <w:lang w:val="es-CO"/>
        </w:rPr>
        <w:t>Atlanta, GA 30030</w:t>
      </w:r>
    </w:p>
    <w:p w:rsidR="00135C69" w:rsidRPr="00713E46" w:rsidP="00135C69" w14:paraId="7FA907DC" w14:textId="77777777">
      <w:pPr>
        <w:spacing w:after="0"/>
        <w:rPr>
          <w:lang w:val="es-CO"/>
        </w:rPr>
      </w:pPr>
      <w:r w:rsidRPr="00713E46">
        <w:rPr>
          <w:shd w:val="clear" w:color="auto" w:fill="FFFFFF"/>
          <w:lang w:val="es-CO"/>
        </w:rPr>
        <w:t>dlafanad@southernco.com</w:t>
      </w:r>
    </w:p>
    <w:p w:rsidR="00135C69" w:rsidRPr="00713E46" w:rsidP="00135C69" w14:paraId="129F7B69" w14:textId="77777777">
      <w:pPr>
        <w:rPr>
          <w:lang w:val="es-CO"/>
        </w:rPr>
      </w:pPr>
      <w:r w:rsidRPr="00713E46">
        <w:rPr>
          <w:lang w:val="es-CO"/>
        </w:rPr>
        <w:t>(205) 257-6291</w:t>
      </w:r>
    </w:p>
    <w:p w:rsidR="00135C69" w:rsidP="00135C69" w14:paraId="0B4E219F" w14:textId="77777777">
      <w:pPr>
        <w:pStyle w:val="Heading3"/>
        <w:numPr>
          <w:ilvl w:val="2"/>
          <w:numId w:val="0"/>
        </w:numPr>
      </w:pPr>
      <w:bookmarkStart w:id="16" w:name="_Toc173939432"/>
      <w:r>
        <w:t>Former Methane Challenge BMP Partners:</w:t>
      </w:r>
      <w:bookmarkEnd w:id="16"/>
    </w:p>
    <w:p w:rsidR="00135C69" w:rsidP="00135C69" w14:paraId="4F6C8643" w14:textId="77777777">
      <w:pPr>
        <w:pStyle w:val="NoSpacing"/>
      </w:pPr>
      <w:r>
        <w:t>Kristen Jones</w:t>
      </w:r>
    </w:p>
    <w:p w:rsidR="00135C69" w:rsidP="00135C69" w14:paraId="11678658" w14:textId="77777777">
      <w:pPr>
        <w:pStyle w:val="NoSpacing"/>
      </w:pPr>
      <w:r>
        <w:t>Atmos Energy</w:t>
      </w:r>
    </w:p>
    <w:p w:rsidR="00135C69" w:rsidP="00135C69" w14:paraId="4B9994D1" w14:textId="77777777">
      <w:pPr>
        <w:pStyle w:val="NoSpacing"/>
      </w:pPr>
      <w:r>
        <w:t>5420 LBJ Freeway, Suite 1800</w:t>
      </w:r>
    </w:p>
    <w:p w:rsidR="00135C69" w:rsidP="00135C69" w14:paraId="5DEEEE44" w14:textId="77777777">
      <w:pPr>
        <w:pStyle w:val="NoSpacing"/>
      </w:pPr>
      <w:r>
        <w:t>Dallas, TX 75240</w:t>
      </w:r>
    </w:p>
    <w:p w:rsidR="00135C69" w:rsidP="00135C69" w14:paraId="32378676" w14:textId="77777777">
      <w:pPr>
        <w:pStyle w:val="NoSpacing"/>
      </w:pPr>
      <w:hyperlink r:id="rId11" w:history="1"/>
      <w:r>
        <w:t xml:space="preserve"> kristen.jones@atmosenergy.com</w:t>
      </w:r>
    </w:p>
    <w:p w:rsidR="00135C69" w:rsidP="00135C69" w14:paraId="172E3BF4" w14:textId="77777777">
      <w:r w:rsidRPr="006B2758">
        <w:t>(</w:t>
      </w:r>
      <w:r>
        <w:t>214) 240-1971</w:t>
      </w:r>
    </w:p>
    <w:p w:rsidR="00135C69" w:rsidP="00135C69" w14:paraId="63BEC65F" w14:textId="77777777">
      <w:pPr>
        <w:pStyle w:val="NoSpacing"/>
      </w:pPr>
      <w:r>
        <w:t>James Roush</w:t>
      </w:r>
    </w:p>
    <w:p w:rsidR="00135C69" w:rsidP="00135C69" w14:paraId="28CD1656" w14:textId="77777777">
      <w:pPr>
        <w:pStyle w:val="NoSpacing"/>
      </w:pPr>
      <w:r>
        <w:t>Consumers Energy Company</w:t>
      </w:r>
    </w:p>
    <w:p w:rsidR="00135C69" w:rsidP="00135C69" w14:paraId="5EDEA354" w14:textId="77777777">
      <w:pPr>
        <w:pStyle w:val="NoSpacing"/>
      </w:pPr>
      <w:r>
        <w:t xml:space="preserve">1945 W. </w:t>
      </w:r>
      <w:r>
        <w:t>Parnall</w:t>
      </w:r>
      <w:r>
        <w:t xml:space="preserve"> Rd.</w:t>
      </w:r>
    </w:p>
    <w:p w:rsidR="00135C69" w:rsidRPr="00713E46" w:rsidP="00135C69" w14:paraId="1E2CAF4D" w14:textId="77777777">
      <w:pPr>
        <w:pStyle w:val="NoSpacing"/>
        <w:rPr>
          <w:lang w:val="es-CO"/>
        </w:rPr>
      </w:pPr>
      <w:r w:rsidRPr="00713E46">
        <w:rPr>
          <w:lang w:val="es-CO"/>
        </w:rPr>
        <w:t>Jackson, MI 49201</w:t>
      </w:r>
    </w:p>
    <w:p w:rsidR="00135C69" w:rsidRPr="00713E46" w:rsidP="00135C69" w14:paraId="334DD206" w14:textId="77777777">
      <w:pPr>
        <w:pStyle w:val="NoSpacing"/>
        <w:rPr>
          <w:lang w:val="es-CO"/>
        </w:rPr>
      </w:pPr>
      <w:hyperlink r:id="rId12" w:history="1">
        <w:r w:rsidRPr="00713E46">
          <w:rPr>
            <w:rStyle w:val="Hyperlink"/>
            <w:lang w:val="es-CO"/>
          </w:rPr>
          <w:t>James.roush@cmsenergy.com</w:t>
        </w:r>
      </w:hyperlink>
    </w:p>
    <w:p w:rsidR="00135C69" w:rsidRPr="00713E46" w:rsidP="00135C69" w14:paraId="4B7EFABC" w14:textId="77777777">
      <w:pPr>
        <w:pStyle w:val="NoSpacing"/>
      </w:pPr>
      <w:r w:rsidRPr="00713E46">
        <w:t>(517) 788-1661</w:t>
      </w:r>
    </w:p>
    <w:p w:rsidR="00135C69" w:rsidRPr="00713E46" w:rsidP="00135C69" w14:paraId="6165CDDE" w14:textId="77777777">
      <w:pPr>
        <w:pStyle w:val="NoSpacing"/>
      </w:pPr>
    </w:p>
    <w:p w:rsidR="00135C69" w:rsidP="00135C69" w14:paraId="1997BA1B" w14:textId="43246D67">
      <w:r>
        <w:t xml:space="preserve">The feedback from former Program Implementation Managers </w:t>
      </w:r>
      <w:r w:rsidR="001F65FB">
        <w:t xml:space="preserve">supported </w:t>
      </w:r>
      <w:r>
        <w:t>the removal of nearly all partner-reported information, thereby significantly decreasing burden estimates.</w:t>
      </w:r>
    </w:p>
    <w:p w:rsidR="00111663" w:rsidP="00854AAE" w14:paraId="5E198479" w14:textId="103F0682">
      <w:pPr>
        <w:rPr>
          <w:rFonts w:cstheme="minorHAnsi"/>
        </w:rPr>
      </w:pPr>
    </w:p>
    <w:p w:rsidR="001F65FB" w:rsidP="00854AAE" w14:paraId="761B7A51" w14:textId="77777777">
      <w:pPr>
        <w:rPr>
          <w:rFonts w:cstheme="minorHAnsi"/>
        </w:rPr>
      </w:pPr>
    </w:p>
    <w:p w:rsidR="001F65FB" w:rsidP="00854AAE" w14:paraId="01FD22CB" w14:textId="77777777">
      <w:pPr>
        <w:rPr>
          <w:rFonts w:cstheme="minorHAnsi"/>
        </w:rPr>
      </w:pPr>
    </w:p>
    <w:p w:rsidR="001F65FB" w:rsidRPr="00BB3410" w:rsidP="00854AAE" w14:paraId="5AEC4B2E" w14:textId="77777777">
      <w:pPr>
        <w:rPr>
          <w:rFonts w:cstheme="minorHAnsi"/>
        </w:rPr>
      </w:pPr>
    </w:p>
    <w:p w:rsidR="00A233E0" w:rsidRPr="00E3122D" w:rsidP="00854AAE" w14:paraId="191560B2" w14:textId="77777777">
      <w:pPr>
        <w:pStyle w:val="ListParagraph"/>
        <w:numPr>
          <w:ilvl w:val="0"/>
          <w:numId w:val="25"/>
        </w:numPr>
        <w:pBdr>
          <w:bottom w:val="single" w:sz="4" w:space="1" w:color="auto"/>
        </w:pBdr>
        <w:spacing w:before="240" w:after="0"/>
        <w:rPr>
          <w:rFonts w:cstheme="minorHAnsi"/>
          <w:b/>
          <w:bCs/>
        </w:rPr>
      </w:pPr>
      <w:bookmarkStart w:id="17" w:name="_Toc156593378"/>
      <w:r w:rsidRPr="00E3122D">
        <w:rPr>
          <w:rFonts w:cstheme="minorHAnsi"/>
          <w:b/>
          <w:bCs/>
        </w:rPr>
        <w:t>PAYMENTS OR GIFTS TO RESPONDENTS</w:t>
      </w:r>
      <w:bookmarkEnd w:id="17"/>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54AAE" w14:paraId="0D75D3D3" w14:textId="0FA6920D">
      <w:pPr>
        <w:rPr>
          <w:rFonts w:cstheme="minorHAnsi"/>
        </w:rPr>
      </w:pPr>
      <w:r>
        <w:rPr>
          <w:rStyle w:val="normaltextrun"/>
          <w:color w:val="000000"/>
          <w:bdr w:val="none" w:sz="0" w:space="0" w:color="auto" w:frame="1"/>
        </w:rPr>
        <w:t xml:space="preserve">The Natural Gas STAR Program </w:t>
      </w:r>
      <w:r w:rsidR="00FA7BAA">
        <w:rPr>
          <w:rStyle w:val="normaltextrun"/>
          <w:color w:val="000000"/>
          <w:bdr w:val="none" w:sz="0" w:space="0" w:color="auto" w:frame="1"/>
        </w:rPr>
        <w:t>did not provide any payments or gifts to respondents.</w:t>
      </w:r>
    </w:p>
    <w:p w:rsidR="4C04BBF2" w:rsidP="4BDBF0A0" w14:paraId="333FE36D" w14:textId="45DEA41F">
      <w:pPr>
        <w:pStyle w:val="ListParagraph"/>
        <w:numPr>
          <w:ilvl w:val="0"/>
          <w:numId w:val="25"/>
        </w:numPr>
        <w:pBdr>
          <w:bottom w:val="single" w:sz="4" w:space="1" w:color="auto"/>
        </w:pBdr>
        <w:spacing w:before="240" w:after="0"/>
        <w:rPr>
          <w:b/>
          <w:bCs/>
        </w:rPr>
      </w:pPr>
      <w:r w:rsidRPr="4BDBF0A0">
        <w:rPr>
          <w:b/>
          <w:bCs/>
        </w:rPr>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 xml:space="preserve">Describe any assurance of confidentiality provided to respondents and the basis for the assurance in statute, regulation, or Agency policy. If the collection requires a </w:t>
      </w:r>
      <w:r w:rsidRPr="00A233E0">
        <w:rPr>
          <w:rFonts w:cstheme="minorHAnsi"/>
          <w:i/>
          <w:iCs/>
        </w:rPr>
        <w:t>systems of records notice (SORN)</w:t>
      </w:r>
      <w:r w:rsidRPr="00A233E0">
        <w:rPr>
          <w:rFonts w:cstheme="minorHAnsi"/>
          <w:i/>
          <w:iCs/>
        </w:rPr>
        <w:t xml:space="preserve"> or privacy impact assessment (PIA), those should be cited and described here.</w:t>
      </w:r>
    </w:p>
    <w:p w:rsidR="009F1E00" w:rsidRPr="00F46842" w:rsidP="00F46842" w14:paraId="3676EBC5" w14:textId="14EC6B9C">
      <w:r>
        <w:t>T</w:t>
      </w:r>
      <w:r>
        <w:rPr>
          <w:rStyle w:val="cf01"/>
          <w:rFonts w:asciiTheme="minorHAnsi" w:hAnsiTheme="minorHAnsi" w:cstheme="minorHAnsi"/>
          <w:sz w:val="22"/>
          <w:szCs w:val="22"/>
        </w:rPr>
        <w:t>his</w:t>
      </w:r>
      <w:r w:rsidRPr="001F65FB">
        <w:rPr>
          <w:rStyle w:val="cf01"/>
          <w:rFonts w:asciiTheme="minorHAnsi" w:hAnsiTheme="minorHAnsi" w:cstheme="minorHAnsi"/>
          <w:sz w:val="22"/>
          <w:szCs w:val="22"/>
        </w:rPr>
        <w:t xml:space="preserve"> information is collected on a voluntary basis for inclusion in a public-facing </w:t>
      </w:r>
      <w:r>
        <w:rPr>
          <w:rStyle w:val="cf01"/>
          <w:rFonts w:asciiTheme="minorHAnsi" w:hAnsiTheme="minorHAnsi" w:cstheme="minorHAnsi"/>
          <w:sz w:val="22"/>
          <w:szCs w:val="22"/>
        </w:rPr>
        <w:t>S</w:t>
      </w:r>
      <w:r w:rsidRPr="001F65FB">
        <w:rPr>
          <w:rStyle w:val="cf01"/>
          <w:rFonts w:asciiTheme="minorHAnsi" w:hAnsiTheme="minorHAnsi" w:cstheme="minorHAnsi"/>
          <w:sz w:val="22"/>
          <w:szCs w:val="22"/>
        </w:rPr>
        <w:t xml:space="preserve">ervice </w:t>
      </w:r>
      <w:r>
        <w:rPr>
          <w:rStyle w:val="cf01"/>
          <w:rFonts w:asciiTheme="minorHAnsi" w:hAnsiTheme="minorHAnsi" w:cstheme="minorHAnsi"/>
          <w:sz w:val="22"/>
          <w:szCs w:val="22"/>
        </w:rPr>
        <w:t>P</w:t>
      </w:r>
      <w:r w:rsidRPr="001F65FB">
        <w:rPr>
          <w:rStyle w:val="cf01"/>
          <w:rFonts w:asciiTheme="minorHAnsi" w:hAnsiTheme="minorHAnsi" w:cstheme="minorHAnsi"/>
          <w:sz w:val="22"/>
          <w:szCs w:val="22"/>
        </w:rPr>
        <w:t xml:space="preserve">roviders </w:t>
      </w:r>
      <w:r>
        <w:rPr>
          <w:rStyle w:val="cf01"/>
          <w:rFonts w:asciiTheme="minorHAnsi" w:hAnsiTheme="minorHAnsi" w:cstheme="minorHAnsi"/>
          <w:sz w:val="22"/>
          <w:szCs w:val="22"/>
        </w:rPr>
        <w:t>D</w:t>
      </w:r>
      <w:r w:rsidRPr="001F65FB">
        <w:rPr>
          <w:rStyle w:val="cf01"/>
          <w:rFonts w:asciiTheme="minorHAnsi" w:hAnsiTheme="minorHAnsi" w:cstheme="minorHAnsi"/>
          <w:sz w:val="22"/>
          <w:szCs w:val="22"/>
        </w:rPr>
        <w:t xml:space="preserve">irectory. EPA makes clear that </w:t>
      </w:r>
      <w:r w:rsidRPr="008741FA">
        <w:t>the Service Provider Directory</w:t>
      </w:r>
      <w:r>
        <w:t xml:space="preserve"> was created</w:t>
      </w:r>
      <w:r w:rsidRPr="008741FA">
        <w:t xml:space="preserve"> to share information on service and technology providers that can facilitate methane emission reduction activities, not to endorse particular companies or products. Providing contact information and links to non-EPA websites does not constitute an endorsement by EPA or any of its employees.</w:t>
      </w:r>
      <w:r w:rsidRPr="008741FA">
        <w:t xml:space="preserve"> </w:t>
      </w:r>
      <w:r w:rsidR="00195D70">
        <w:t>All user-submitted information is subject to the Freedom of Information Act.</w:t>
      </w:r>
    </w:p>
    <w:p w:rsidR="00A233E0" w:rsidRPr="00E3122D" w:rsidP="00854AAE" w14:paraId="36FBAEFB" w14:textId="77777777">
      <w:pPr>
        <w:pStyle w:val="ListParagraph"/>
        <w:numPr>
          <w:ilvl w:val="0"/>
          <w:numId w:val="25"/>
        </w:numPr>
        <w:pBdr>
          <w:bottom w:val="single" w:sz="4" w:space="1" w:color="auto"/>
        </w:pBdr>
        <w:spacing w:before="240" w:after="0"/>
        <w:rPr>
          <w:rFonts w:cstheme="minorHAnsi"/>
          <w:b/>
          <w:bCs/>
        </w:rPr>
      </w:pPr>
      <w:bookmarkStart w:id="18" w:name="_Toc156593380"/>
      <w:r w:rsidRPr="4BDBF0A0">
        <w:rPr>
          <w:b/>
          <w:bCs/>
        </w:rPr>
        <w:t>JUSTIFICATION FOR SENSITIVE QUESTIONS</w:t>
      </w:r>
      <w:bookmarkEnd w:id="18"/>
    </w:p>
    <w:p w:rsidR="00A233E0" w:rsidRPr="00A233E0" w:rsidP="00854AAE" w14:paraId="6E3B78D8" w14:textId="5C334C1C">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1B39DF" w:rsidP="001B39DF" w14:paraId="77467D05" w14:textId="37BC59EC">
      <w:r>
        <w:t>No sensitive questions are asked in the Service Provider Directory form. However, some information may be made available to the public as required by the Freedom of Information Act, 5 U.S.C. § 552.</w:t>
      </w:r>
    </w:p>
    <w:p w:rsidR="001172FE" w:rsidRPr="00E3122D" w:rsidP="00854AAE" w14:paraId="637A8E82" w14:textId="77777777">
      <w:pPr>
        <w:pStyle w:val="ListParagraph"/>
        <w:numPr>
          <w:ilvl w:val="0"/>
          <w:numId w:val="25"/>
        </w:numPr>
        <w:spacing w:before="240" w:after="0"/>
        <w:rPr>
          <w:rFonts w:cstheme="minorHAnsi"/>
          <w:b/>
          <w:bCs/>
        </w:rPr>
      </w:pPr>
      <w:bookmarkStart w:id="19" w:name="_Toc156593381"/>
      <w:r w:rsidRPr="4BDBF0A0">
        <w:rPr>
          <w:b/>
          <w:bCs/>
        </w:rPr>
        <w:t>RESPONDENT BURDEN HOURS</w:t>
      </w:r>
      <w:r w:rsidRPr="4BDBF0A0" w:rsidR="00DB799B">
        <w:rPr>
          <w:b/>
          <w:bCs/>
        </w:rPr>
        <w:t xml:space="preserve"> &amp; LABOR COSTS</w:t>
      </w:r>
      <w:bookmarkStart w:id="20" w:name="_Toc156593382"/>
      <w:bookmarkEnd w:id="19"/>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1172FE" w:rsidRPr="00E3122D" w:rsidP="00854AAE" w14:paraId="571186E5" w14:textId="2917827F">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21" w:name="_Toc156593383"/>
      <w:bookmarkEnd w:id="20"/>
    </w:p>
    <w:p w:rsidR="00174134" w:rsidP="00174134" w14:paraId="56C07EF9" w14:textId="77777777">
      <w:r>
        <w:t>The following is a list of North American Industry Classification System (NAICS) Codes and associated industries that may be affected by information collection requirements covered under this ICR:</w:t>
      </w:r>
    </w:p>
    <w:p w:rsidR="00DC1549" w:rsidP="00174134" w14:paraId="1FFFEFFA" w14:textId="77777777">
      <w:pPr>
        <w:spacing w:after="0"/>
      </w:pPr>
    </w:p>
    <w:p w:rsidR="00DC1549" w:rsidP="00174134" w14:paraId="5D13CFB5" w14:textId="77777777">
      <w:pPr>
        <w:spacing w:after="0"/>
      </w:pPr>
    </w:p>
    <w:p w:rsidR="0056192C" w:rsidP="00174134" w14:paraId="7B0B35A9" w14:textId="77777777">
      <w:pPr>
        <w:spacing w:after="0"/>
      </w:pPr>
    </w:p>
    <w:p w:rsidR="00D316B2" w:rsidRPr="002006B5" w:rsidP="00174134" w14:paraId="32265DA0" w14:textId="7B4C5FC1">
      <w:pPr>
        <w:spacing w:after="0"/>
        <w:rPr>
          <w:color w:val="000000" w:themeColor="text1"/>
        </w:rPr>
      </w:pPr>
      <w:r w:rsidRPr="002006B5">
        <w:rPr>
          <w:color w:val="000000" w:themeColor="text1"/>
        </w:rPr>
        <w:t>2</w:t>
      </w:r>
      <w:r w:rsidRPr="002006B5">
        <w:rPr>
          <w:color w:val="000000" w:themeColor="text1"/>
        </w:rPr>
        <w:t>11130</w:t>
      </w:r>
      <w:r w:rsidRPr="002006B5">
        <w:rPr>
          <w:color w:val="000000" w:themeColor="text1"/>
        </w:rPr>
        <w:tab/>
      </w:r>
      <w:r w:rsidRPr="002006B5">
        <w:rPr>
          <w:color w:val="000000" w:themeColor="text1"/>
        </w:rPr>
        <w:tab/>
        <w:t>Natural Gas Production</w:t>
      </w:r>
      <w:r w:rsidRPr="002006B5" w:rsidR="00D61A9C">
        <w:rPr>
          <w:color w:val="000000" w:themeColor="text1"/>
        </w:rPr>
        <w:t xml:space="preserve"> and Gathering Lines</w:t>
      </w:r>
    </w:p>
    <w:p w:rsidR="001B3B6C" w:rsidRPr="002006B5" w:rsidP="00174134" w14:paraId="56F27FB9" w14:textId="77777777">
      <w:pPr>
        <w:spacing w:after="0"/>
        <w:rPr>
          <w:color w:val="000000" w:themeColor="text1"/>
        </w:rPr>
      </w:pPr>
      <w:r w:rsidRPr="002006B5">
        <w:rPr>
          <w:color w:val="000000" w:themeColor="text1"/>
        </w:rPr>
        <w:t>221210</w:t>
      </w:r>
      <w:r w:rsidRPr="002006B5">
        <w:rPr>
          <w:color w:val="000000" w:themeColor="text1"/>
        </w:rPr>
        <w:tab/>
      </w:r>
      <w:r w:rsidRPr="002006B5">
        <w:rPr>
          <w:color w:val="000000" w:themeColor="text1"/>
        </w:rPr>
        <w:tab/>
        <w:t>Natural Gas Distribution</w:t>
      </w:r>
    </w:p>
    <w:p w:rsidR="00BB3410" w:rsidRPr="002006B5" w:rsidP="00174134" w14:paraId="0DA69975" w14:textId="163F7FAE">
      <w:pPr>
        <w:spacing w:after="0"/>
        <w:rPr>
          <w:color w:val="000000" w:themeColor="text1"/>
        </w:rPr>
      </w:pPr>
      <w:r w:rsidRPr="002006B5">
        <w:rPr>
          <w:color w:val="000000" w:themeColor="text1"/>
        </w:rPr>
        <w:t>486210</w:t>
      </w:r>
      <w:r w:rsidRPr="002006B5">
        <w:rPr>
          <w:color w:val="000000" w:themeColor="text1"/>
        </w:rPr>
        <w:tab/>
      </w:r>
      <w:r w:rsidRPr="002006B5">
        <w:rPr>
          <w:color w:val="000000" w:themeColor="text1"/>
        </w:rPr>
        <w:tab/>
        <w:t xml:space="preserve">Natural Gas </w:t>
      </w:r>
      <w:r w:rsidRPr="002006B5" w:rsidR="002006B5">
        <w:rPr>
          <w:color w:val="000000" w:themeColor="text1"/>
        </w:rPr>
        <w:t xml:space="preserve">Boosting Stations, </w:t>
      </w:r>
      <w:r w:rsidRPr="002006B5" w:rsidR="00677AEB">
        <w:rPr>
          <w:color w:val="000000" w:themeColor="text1"/>
        </w:rPr>
        <w:t xml:space="preserve">Processing Plants, </w:t>
      </w:r>
      <w:r w:rsidRPr="002006B5">
        <w:rPr>
          <w:color w:val="000000" w:themeColor="text1"/>
        </w:rPr>
        <w:t>Transmission</w:t>
      </w:r>
      <w:r w:rsidRPr="002006B5" w:rsidR="00677AEB">
        <w:rPr>
          <w:color w:val="000000" w:themeColor="text1"/>
        </w:rPr>
        <w:t>,</w:t>
      </w:r>
      <w:r w:rsidRPr="002006B5">
        <w:rPr>
          <w:color w:val="000000" w:themeColor="text1"/>
        </w:rPr>
        <w:t xml:space="preserve"> and Storage</w:t>
      </w:r>
      <w:r w:rsidRPr="002006B5" w:rsidR="00174134">
        <w:rPr>
          <w:color w:val="000000" w:themeColor="text1"/>
        </w:rPr>
        <w:br/>
        <w:t>541100</w:t>
      </w:r>
      <w:r w:rsidRPr="002006B5" w:rsidR="00174134">
        <w:rPr>
          <w:color w:val="000000" w:themeColor="text1"/>
        </w:rPr>
        <w:tab/>
      </w:r>
      <w:r w:rsidRPr="002006B5" w:rsidR="00174134">
        <w:rPr>
          <w:color w:val="000000" w:themeColor="text1"/>
        </w:rPr>
        <w:tab/>
        <w:t>Legal Services</w:t>
      </w:r>
    </w:p>
    <w:p w:rsidR="00174134" w:rsidRPr="00174134" w:rsidP="00174134" w14:paraId="0ECC9AD4" w14:textId="77777777">
      <w:pPr>
        <w:spacing w:after="0"/>
      </w:pPr>
    </w:p>
    <w:p w:rsidR="00ED57A4" w:rsidRPr="00163C69" w:rsidP="00854AAE" w14:paraId="24D360E5" w14:textId="6DF33794">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22" w:name="_Toc156593384"/>
      <w:bookmarkEnd w:id="21"/>
    </w:p>
    <w:p w:rsidR="00B30806" w:rsidP="00B30806" w14:paraId="0AE928F4" w14:textId="77777777">
      <w:pPr>
        <w:pStyle w:val="Heading3"/>
      </w:pPr>
      <w:bookmarkStart w:id="23" w:name="_Toc173939440"/>
      <w:r>
        <w:t>Service Provider Directory</w:t>
      </w:r>
      <w:bookmarkEnd w:id="23"/>
    </w:p>
    <w:p w:rsidR="00B30806" w:rsidP="00B30806" w14:paraId="2DD4CFDD" w14:textId="77777777">
      <w:r w:rsidRPr="0097394A">
        <w:t xml:space="preserve">As a service to </w:t>
      </w:r>
      <w:r>
        <w:t>the oil and gas industry</w:t>
      </w:r>
      <w:r w:rsidRPr="0097394A">
        <w:t xml:space="preserve">, EPA </w:t>
      </w:r>
      <w:r>
        <w:t>maintains</w:t>
      </w:r>
      <w:r w:rsidRPr="0097394A">
        <w:t xml:space="preserve"> a “service provider directory” to share information on services and technologies available to oil and natural gas companies seeking to reduce methane emissions from their operations.</w:t>
      </w:r>
      <w:r w:rsidRPr="00EA2325">
        <w:t xml:space="preserve"> </w:t>
      </w:r>
      <w:r w:rsidRPr="0097394A">
        <w:t xml:space="preserve">EPA does not endorse any company or product in the directory. </w:t>
      </w:r>
      <w:r>
        <w:t>C</w:t>
      </w:r>
      <w:r w:rsidRPr="0097394A">
        <w:t>ontact information is provided to foster the exchange of information.</w:t>
      </w:r>
    </w:p>
    <w:p w:rsidR="00B30806" w:rsidRPr="003E12CF" w:rsidP="00B30806" w14:paraId="5837261A" w14:textId="77777777">
      <w:r w:rsidRPr="003E12CF">
        <w:t>(i)</w:t>
      </w:r>
      <w:r w:rsidRPr="003E12CF">
        <w:tab/>
        <w:t>Data items:</w:t>
      </w:r>
    </w:p>
    <w:p w:rsidR="00BB3410" w:rsidRPr="00B30806" w:rsidP="00B30806" w14:paraId="42074A5E" w14:textId="6D1A3638">
      <w:r w:rsidRPr="0097394A">
        <w:t>Third-party vendors (service providers) complete an on-line form providing contact information and a short description of their technology, product, or service to be added to the directory listing.</w:t>
      </w:r>
    </w:p>
    <w:p w:rsidR="001172FE" w:rsidRPr="00163C69" w:rsidP="00854AAE" w14:paraId="7B8A0ACD" w14:textId="27119692">
      <w:pPr>
        <w:spacing w:before="120" w:after="0"/>
        <w:rPr>
          <w:rFonts w:cstheme="minorHAnsi"/>
          <w:b/>
          <w:bCs/>
        </w:rPr>
      </w:pPr>
      <w:r w:rsidRPr="00163C69">
        <w:rPr>
          <w:rFonts w:cstheme="minorHAnsi"/>
          <w:b/>
          <w:bCs/>
        </w:rPr>
        <w:t xml:space="preserve">12c. </w:t>
      </w:r>
      <w:r w:rsidRPr="00163C69" w:rsidR="00DD718B">
        <w:rPr>
          <w:rFonts w:cstheme="minorHAnsi"/>
          <w:b/>
          <w:bCs/>
        </w:rPr>
        <w:t>Respondent Activities</w:t>
      </w:r>
      <w:bookmarkStart w:id="24" w:name="_Toc156593385"/>
      <w:bookmarkEnd w:id="22"/>
    </w:p>
    <w:p w:rsidR="009F1E00" w:rsidRPr="00B30806" w:rsidP="00B30806" w14:paraId="3C4B52CA" w14:textId="53773BF4">
      <w:r>
        <w:t>Complete the form.</w:t>
      </w:r>
    </w:p>
    <w:p w:rsidR="00D92ED6" w:rsidRPr="00163C69" w:rsidP="00854AAE" w14:paraId="0B6BE1C2" w14:textId="3F49A8F0">
      <w:pPr>
        <w:spacing w:before="120" w:after="0"/>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24"/>
      <w:r w:rsidRPr="00163C69" w:rsidR="00BB2B15">
        <w:rPr>
          <w:rFonts w:cstheme="minorHAnsi"/>
          <w:b/>
          <w:bCs/>
        </w:rPr>
        <w:t>Costs</w:t>
      </w:r>
    </w:p>
    <w:p w:rsidR="005A6F2B" w:rsidP="00C175F6" w14:paraId="32A1D5EE" w14:textId="77777777">
      <w:pPr>
        <w:pStyle w:val="Caption"/>
        <w:spacing w:after="0"/>
        <w:jc w:val="center"/>
        <w:rPr>
          <w:rFonts w:cstheme="minorHAnsi"/>
        </w:rPr>
      </w:pPr>
      <w:bookmarkStart w:id="25" w:name="_Ref63948880"/>
    </w:p>
    <w:p w:rsidR="00C175F6" w:rsidP="00C175F6" w14:paraId="35CA0058" w14:textId="19E20E75">
      <w:pPr>
        <w:pStyle w:val="Caption"/>
        <w:spacing w:after="0"/>
        <w:jc w:val="center"/>
        <w:rPr>
          <w:rFonts w:cstheme="minorHAnsi"/>
        </w:rPr>
      </w:pPr>
      <w:r w:rsidRPr="00860D2A">
        <w:rPr>
          <w:rFonts w:cstheme="minorHAnsi"/>
        </w:rPr>
        <w:t xml:space="preserve">Table </w:t>
      </w:r>
      <w:r w:rsidRPr="00860D2A">
        <w:rPr>
          <w:rFonts w:cstheme="minorHAnsi"/>
          <w:b w:val="0"/>
          <w:bCs w:val="0"/>
        </w:rPr>
        <w:fldChar w:fldCharType="begin"/>
      </w:r>
      <w:r w:rsidRPr="00860D2A">
        <w:rPr>
          <w:rFonts w:cstheme="minorHAnsi"/>
        </w:rPr>
        <w:instrText xml:space="preserve"> SEQ Table \* ARABIC </w:instrText>
      </w:r>
      <w:r w:rsidRPr="00860D2A">
        <w:rPr>
          <w:rFonts w:cstheme="minorHAnsi"/>
          <w:b w:val="0"/>
          <w:bCs w:val="0"/>
        </w:rPr>
        <w:fldChar w:fldCharType="separate"/>
      </w:r>
      <w:r w:rsidR="00763F56">
        <w:rPr>
          <w:rFonts w:cstheme="minorHAnsi"/>
          <w:noProof/>
        </w:rPr>
        <w:t>1</w:t>
      </w:r>
      <w:r w:rsidRPr="00860D2A">
        <w:rPr>
          <w:rFonts w:cstheme="minorHAnsi"/>
          <w:b w:val="0"/>
          <w:bCs w:val="0"/>
        </w:rPr>
        <w:fldChar w:fldCharType="end"/>
      </w:r>
      <w:bookmarkEnd w:id="25"/>
      <w:r w:rsidRPr="00860D2A">
        <w:rPr>
          <w:rFonts w:cstheme="minorHAnsi"/>
        </w:rPr>
        <w:t xml:space="preserve">: Average Annual Burden for a </w:t>
      </w:r>
      <w:r w:rsidR="005A6F2B">
        <w:rPr>
          <w:rFonts w:cstheme="minorHAnsi"/>
        </w:rPr>
        <w:t>Respondent</w:t>
      </w:r>
      <w:r w:rsidRPr="00860D2A">
        <w:rPr>
          <w:rFonts w:cstheme="minorHAnsi"/>
        </w:rPr>
        <w:t>, by Year of Participation</w:t>
      </w:r>
    </w:p>
    <w:p w:rsidR="003F30A6" w:rsidRPr="003F30A6" w:rsidP="003F30A6" w14:paraId="39DF2F41" w14:textId="77777777"/>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70"/>
        <w:gridCol w:w="2545"/>
        <w:gridCol w:w="2545"/>
      </w:tblGrid>
      <w:tr w14:paraId="56FC884B" w14:textId="77777777" w:rsidTr="00C819B9">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55"/>
        </w:trPr>
        <w:tc>
          <w:tcPr>
            <w:tcW w:w="4270" w:type="dxa"/>
            <w:tcBorders>
              <w:top w:val="nil"/>
              <w:left w:val="nil"/>
            </w:tcBorders>
            <w:shd w:val="clear" w:color="auto" w:fill="auto"/>
            <w:noWrap/>
            <w:hideMark/>
          </w:tcPr>
          <w:p w:rsidR="00C175F6" w:rsidRPr="00860D2A" w:rsidP="00C819B9" w14:paraId="217BFC79" w14:textId="77777777">
            <w:pPr>
              <w:pStyle w:val="NoSpacing"/>
              <w:keepNext/>
              <w:jc w:val="both"/>
              <w:rPr>
                <w:rFonts w:cstheme="minorHAnsi"/>
                <w:b/>
                <w:bCs/>
              </w:rPr>
            </w:pPr>
          </w:p>
        </w:tc>
        <w:tc>
          <w:tcPr>
            <w:tcW w:w="2545" w:type="dxa"/>
            <w:shd w:val="clear" w:color="auto" w:fill="auto"/>
            <w:noWrap/>
            <w:hideMark/>
          </w:tcPr>
          <w:p w:rsidR="00C175F6" w:rsidRPr="00860D2A" w:rsidP="00C819B9" w14:paraId="2C9172E4" w14:textId="77777777">
            <w:pPr>
              <w:pStyle w:val="NoSpacing"/>
              <w:keepNext/>
              <w:jc w:val="center"/>
              <w:rPr>
                <w:rFonts w:cstheme="minorHAnsi"/>
                <w:b/>
                <w:bCs/>
              </w:rPr>
            </w:pPr>
            <w:r w:rsidRPr="00860D2A">
              <w:rPr>
                <w:rFonts w:cstheme="minorHAnsi"/>
                <w:b/>
                <w:bCs/>
              </w:rPr>
              <w:t>Respondent Annual Burden Hours</w:t>
            </w:r>
          </w:p>
          <w:p w:rsidR="00C175F6" w:rsidRPr="00860D2A" w:rsidP="00C819B9" w14:paraId="62F172DC" w14:textId="77777777">
            <w:pPr>
              <w:pStyle w:val="NoSpacing"/>
              <w:keepNext/>
              <w:jc w:val="center"/>
              <w:rPr>
                <w:rFonts w:cstheme="minorHAnsi"/>
                <w:b/>
                <w:bCs/>
              </w:rPr>
            </w:pPr>
            <w:r w:rsidRPr="00860D2A">
              <w:rPr>
                <w:rFonts w:cstheme="minorHAnsi"/>
                <w:b/>
                <w:bCs/>
              </w:rPr>
              <w:t>First Year</w:t>
            </w:r>
          </w:p>
        </w:tc>
        <w:tc>
          <w:tcPr>
            <w:tcW w:w="2545" w:type="dxa"/>
          </w:tcPr>
          <w:p w:rsidR="00C175F6" w:rsidRPr="00860D2A" w:rsidP="00C819B9" w14:paraId="63D0608C" w14:textId="77777777">
            <w:pPr>
              <w:pStyle w:val="NoSpacing"/>
              <w:keepNext/>
              <w:jc w:val="center"/>
              <w:rPr>
                <w:rFonts w:cstheme="minorHAnsi"/>
                <w:b/>
                <w:bCs/>
              </w:rPr>
            </w:pPr>
            <w:r w:rsidRPr="00860D2A">
              <w:rPr>
                <w:rFonts w:cstheme="minorHAnsi"/>
                <w:b/>
                <w:bCs/>
              </w:rPr>
              <w:t>Respondent Annual Burden Hours</w:t>
            </w:r>
          </w:p>
          <w:p w:rsidR="00C175F6" w:rsidRPr="00860D2A" w:rsidP="00C819B9" w14:paraId="4C14DA03" w14:textId="77777777">
            <w:pPr>
              <w:pStyle w:val="NoSpacing"/>
              <w:keepNext/>
              <w:jc w:val="center"/>
              <w:rPr>
                <w:rFonts w:cstheme="minorHAnsi"/>
                <w:b/>
                <w:bCs/>
              </w:rPr>
            </w:pPr>
            <w:r w:rsidRPr="00860D2A">
              <w:rPr>
                <w:rFonts w:cstheme="minorHAnsi"/>
                <w:b/>
                <w:bCs/>
              </w:rPr>
              <w:t xml:space="preserve"> Subsequent Years</w:t>
            </w:r>
          </w:p>
        </w:tc>
      </w:tr>
      <w:tr w14:paraId="1CD2DA21" w14:textId="77777777" w:rsidTr="00C819B9">
        <w:tblPrEx>
          <w:tblW w:w="9360" w:type="dxa"/>
          <w:tblLayout w:type="fixed"/>
          <w:tblLook w:val="04A0"/>
        </w:tblPrEx>
        <w:trPr>
          <w:trHeight w:val="255"/>
        </w:trPr>
        <w:tc>
          <w:tcPr>
            <w:tcW w:w="4270" w:type="dxa"/>
            <w:shd w:val="clear" w:color="auto" w:fill="auto"/>
            <w:noWrap/>
          </w:tcPr>
          <w:p w:rsidR="00C175F6" w:rsidRPr="00860D2A" w:rsidP="00C819B9" w14:paraId="310591F8" w14:textId="77777777">
            <w:pPr>
              <w:pStyle w:val="NoSpacing"/>
              <w:keepNext/>
              <w:rPr>
                <w:rFonts w:cstheme="minorHAnsi"/>
                <w:b/>
                <w:bCs/>
              </w:rPr>
            </w:pPr>
            <w:r>
              <w:rPr>
                <w:rFonts w:cstheme="minorHAnsi"/>
                <w:b/>
                <w:bCs/>
              </w:rPr>
              <w:t xml:space="preserve">Service Provider Directory Respondent </w:t>
            </w:r>
          </w:p>
        </w:tc>
        <w:tc>
          <w:tcPr>
            <w:tcW w:w="2545" w:type="dxa"/>
            <w:shd w:val="clear" w:color="auto" w:fill="auto"/>
            <w:noWrap/>
            <w:vAlign w:val="bottom"/>
          </w:tcPr>
          <w:p w:rsidR="00C175F6" w:rsidP="00C819B9" w14:paraId="3DBDA013" w14:textId="77777777">
            <w:pPr>
              <w:pStyle w:val="NoSpacing"/>
              <w:keepNext/>
              <w:jc w:val="center"/>
              <w:rPr>
                <w:rFonts w:cstheme="minorHAnsi"/>
              </w:rPr>
            </w:pPr>
            <w:r>
              <w:rPr>
                <w:rFonts w:cstheme="minorHAnsi"/>
              </w:rPr>
              <w:t>0.25</w:t>
            </w:r>
          </w:p>
        </w:tc>
        <w:tc>
          <w:tcPr>
            <w:tcW w:w="2545" w:type="dxa"/>
            <w:vAlign w:val="bottom"/>
          </w:tcPr>
          <w:p w:rsidR="00C175F6" w:rsidRPr="00860D2A" w:rsidP="00C819B9" w14:paraId="2EB2CF99" w14:textId="77777777">
            <w:pPr>
              <w:pStyle w:val="NoSpacing"/>
              <w:keepNext/>
              <w:jc w:val="center"/>
              <w:rPr>
                <w:rFonts w:cstheme="minorHAnsi"/>
              </w:rPr>
            </w:pPr>
            <w:r>
              <w:rPr>
                <w:rFonts w:cstheme="minorHAnsi"/>
              </w:rPr>
              <w:t>0.25</w:t>
            </w:r>
          </w:p>
        </w:tc>
      </w:tr>
    </w:tbl>
    <w:p w:rsidR="00ED57A4" w:rsidP="00854AAE" w14:paraId="68F435BE" w14:textId="270BC3D5">
      <w:pPr>
        <w:spacing w:before="60"/>
        <w:rPr>
          <w:rFonts w:cstheme="minorHAnsi"/>
        </w:rPr>
      </w:pPr>
    </w:p>
    <w:p w:rsidR="005A6F2B" w:rsidP="005A6F2B" w14:paraId="19779797" w14:textId="08CA3125">
      <w:pPr>
        <w:pStyle w:val="Caption"/>
        <w:spacing w:after="0"/>
        <w:jc w:val="center"/>
        <w:rPr>
          <w:rFonts w:cstheme="minorHAnsi"/>
        </w:rPr>
      </w:pPr>
      <w:bookmarkStart w:id="26" w:name="_Ref63949128"/>
      <w:r w:rsidRPr="00860D2A">
        <w:rPr>
          <w:rFonts w:cstheme="minorHAnsi"/>
        </w:rPr>
        <w:t xml:space="preserve">Table </w:t>
      </w:r>
      <w:r w:rsidRPr="00860D2A">
        <w:rPr>
          <w:rFonts w:cstheme="minorHAnsi"/>
          <w:b w:val="0"/>
          <w:bCs w:val="0"/>
        </w:rPr>
        <w:fldChar w:fldCharType="begin"/>
      </w:r>
      <w:r w:rsidRPr="00860D2A">
        <w:rPr>
          <w:rFonts w:cstheme="minorHAnsi"/>
        </w:rPr>
        <w:instrText xml:space="preserve"> SEQ Table \* ARABIC </w:instrText>
      </w:r>
      <w:r w:rsidRPr="00860D2A">
        <w:rPr>
          <w:rFonts w:cstheme="minorHAnsi"/>
          <w:b w:val="0"/>
          <w:bCs w:val="0"/>
        </w:rPr>
        <w:fldChar w:fldCharType="separate"/>
      </w:r>
      <w:r w:rsidR="00763F56">
        <w:rPr>
          <w:rFonts w:cstheme="minorHAnsi"/>
          <w:noProof/>
        </w:rPr>
        <w:t>2</w:t>
      </w:r>
      <w:r w:rsidRPr="00860D2A">
        <w:rPr>
          <w:rFonts w:cstheme="minorHAnsi"/>
          <w:b w:val="0"/>
          <w:bCs w:val="0"/>
        </w:rPr>
        <w:fldChar w:fldCharType="end"/>
      </w:r>
      <w:bookmarkEnd w:id="26"/>
      <w:r w:rsidRPr="00860D2A">
        <w:rPr>
          <w:rFonts w:cstheme="minorHAnsi"/>
        </w:rPr>
        <w:t>: Average Annual Cost for a</w:t>
      </w:r>
      <w:r>
        <w:rPr>
          <w:rFonts w:cstheme="minorHAnsi"/>
        </w:rPr>
        <w:t xml:space="preserve"> Respondent</w:t>
      </w:r>
      <w:r w:rsidRPr="00860D2A">
        <w:rPr>
          <w:rFonts w:cstheme="minorHAnsi"/>
        </w:rPr>
        <w:t>, by Year of Participation</w:t>
      </w:r>
    </w:p>
    <w:p w:rsidR="003F30A6" w:rsidRPr="003F30A6" w:rsidP="003F30A6" w14:paraId="49A0D608" w14:textId="77777777"/>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70"/>
        <w:gridCol w:w="2545"/>
        <w:gridCol w:w="2545"/>
      </w:tblGrid>
      <w:tr w14:paraId="7F963797" w14:textId="77777777" w:rsidTr="00C819B9">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55"/>
        </w:trPr>
        <w:tc>
          <w:tcPr>
            <w:tcW w:w="4270" w:type="dxa"/>
            <w:tcBorders>
              <w:top w:val="nil"/>
              <w:left w:val="nil"/>
            </w:tcBorders>
            <w:shd w:val="clear" w:color="auto" w:fill="auto"/>
            <w:noWrap/>
            <w:hideMark/>
          </w:tcPr>
          <w:p w:rsidR="005A6F2B" w:rsidRPr="00860D2A" w:rsidP="00C819B9" w14:paraId="1BFF45BD" w14:textId="77777777">
            <w:pPr>
              <w:pStyle w:val="NoSpacing"/>
              <w:keepNext/>
              <w:jc w:val="both"/>
              <w:rPr>
                <w:rFonts w:cstheme="minorHAnsi"/>
                <w:b/>
                <w:bCs/>
              </w:rPr>
            </w:pPr>
          </w:p>
        </w:tc>
        <w:tc>
          <w:tcPr>
            <w:tcW w:w="2545" w:type="dxa"/>
            <w:shd w:val="clear" w:color="auto" w:fill="auto"/>
            <w:noWrap/>
            <w:hideMark/>
          </w:tcPr>
          <w:p w:rsidR="005A6F2B" w:rsidRPr="00860D2A" w:rsidP="00C819B9" w14:paraId="2B231AE2" w14:textId="77777777">
            <w:pPr>
              <w:pStyle w:val="NoSpacing"/>
              <w:keepNext/>
              <w:jc w:val="center"/>
              <w:rPr>
                <w:rFonts w:cstheme="minorHAnsi"/>
                <w:b/>
                <w:bCs/>
              </w:rPr>
            </w:pPr>
            <w:r w:rsidRPr="00860D2A">
              <w:rPr>
                <w:rFonts w:cstheme="minorHAnsi"/>
                <w:b/>
                <w:bCs/>
              </w:rPr>
              <w:t xml:space="preserve">Respondent Annual Cost </w:t>
            </w:r>
          </w:p>
          <w:p w:rsidR="005A6F2B" w:rsidRPr="00860D2A" w:rsidP="00C819B9" w14:paraId="7CCB24EB" w14:textId="77777777">
            <w:pPr>
              <w:pStyle w:val="NoSpacing"/>
              <w:keepNext/>
              <w:jc w:val="center"/>
              <w:rPr>
                <w:rFonts w:cstheme="minorHAnsi"/>
                <w:b/>
                <w:bCs/>
              </w:rPr>
            </w:pPr>
            <w:r w:rsidRPr="00860D2A">
              <w:rPr>
                <w:rFonts w:cstheme="minorHAnsi"/>
                <w:b/>
                <w:bCs/>
              </w:rPr>
              <w:t>First Year</w:t>
            </w:r>
          </w:p>
        </w:tc>
        <w:tc>
          <w:tcPr>
            <w:tcW w:w="2545" w:type="dxa"/>
          </w:tcPr>
          <w:p w:rsidR="005A6F2B" w:rsidRPr="00860D2A" w:rsidP="00C819B9" w14:paraId="18543CE4" w14:textId="77777777">
            <w:pPr>
              <w:pStyle w:val="NoSpacing"/>
              <w:keepNext/>
              <w:jc w:val="center"/>
              <w:rPr>
                <w:rFonts w:cstheme="minorHAnsi"/>
                <w:b/>
                <w:bCs/>
              </w:rPr>
            </w:pPr>
            <w:r w:rsidRPr="00860D2A">
              <w:rPr>
                <w:rFonts w:cstheme="minorHAnsi"/>
                <w:b/>
                <w:bCs/>
              </w:rPr>
              <w:t>Respondent Annual Cost</w:t>
            </w:r>
          </w:p>
          <w:p w:rsidR="005A6F2B" w:rsidRPr="00860D2A" w:rsidP="00C819B9" w14:paraId="72B0B17F" w14:textId="77777777">
            <w:pPr>
              <w:pStyle w:val="NoSpacing"/>
              <w:keepNext/>
              <w:jc w:val="center"/>
              <w:rPr>
                <w:rFonts w:cstheme="minorHAnsi"/>
                <w:b/>
                <w:bCs/>
              </w:rPr>
            </w:pPr>
            <w:r w:rsidRPr="00860D2A">
              <w:rPr>
                <w:rFonts w:cstheme="minorHAnsi"/>
                <w:b/>
                <w:bCs/>
              </w:rPr>
              <w:t xml:space="preserve"> Subsequent Years</w:t>
            </w:r>
          </w:p>
        </w:tc>
      </w:tr>
      <w:tr w14:paraId="72370887" w14:textId="77777777" w:rsidTr="00C819B9">
        <w:tblPrEx>
          <w:tblW w:w="9360" w:type="dxa"/>
          <w:tblLayout w:type="fixed"/>
          <w:tblLook w:val="04A0"/>
        </w:tblPrEx>
        <w:trPr>
          <w:trHeight w:val="255"/>
        </w:trPr>
        <w:tc>
          <w:tcPr>
            <w:tcW w:w="4270" w:type="dxa"/>
            <w:shd w:val="clear" w:color="auto" w:fill="auto"/>
            <w:noWrap/>
          </w:tcPr>
          <w:p w:rsidR="005A6F2B" w:rsidRPr="00860D2A" w:rsidP="00C819B9" w14:paraId="40DF8FC5" w14:textId="77777777">
            <w:pPr>
              <w:pStyle w:val="NoSpacing"/>
              <w:keepNext/>
              <w:rPr>
                <w:rFonts w:cstheme="minorHAnsi"/>
                <w:b/>
                <w:bCs/>
              </w:rPr>
            </w:pPr>
            <w:r>
              <w:rPr>
                <w:rFonts w:cstheme="minorHAnsi"/>
                <w:b/>
                <w:bCs/>
              </w:rPr>
              <w:t xml:space="preserve">Service Provider Directory Respondent </w:t>
            </w:r>
          </w:p>
        </w:tc>
        <w:tc>
          <w:tcPr>
            <w:tcW w:w="2545" w:type="dxa"/>
            <w:shd w:val="clear" w:color="auto" w:fill="auto"/>
            <w:noWrap/>
            <w:vAlign w:val="bottom"/>
          </w:tcPr>
          <w:p w:rsidR="005A6F2B" w:rsidRPr="000624AA" w:rsidP="00C819B9" w14:paraId="5B9B5267" w14:textId="77777777">
            <w:pPr>
              <w:pStyle w:val="NoSpacing"/>
              <w:keepNext/>
              <w:jc w:val="center"/>
              <w:rPr>
                <w:rFonts w:cstheme="minorHAnsi"/>
              </w:rPr>
            </w:pPr>
            <w:r>
              <w:rPr>
                <w:rFonts w:cstheme="minorHAnsi"/>
              </w:rPr>
              <w:t>$28</w:t>
            </w:r>
          </w:p>
        </w:tc>
        <w:tc>
          <w:tcPr>
            <w:tcW w:w="2545" w:type="dxa"/>
            <w:vAlign w:val="bottom"/>
          </w:tcPr>
          <w:p w:rsidR="005A6F2B" w:rsidRPr="000624AA" w:rsidP="00C819B9" w14:paraId="70B53173" w14:textId="77777777">
            <w:pPr>
              <w:pStyle w:val="NoSpacing"/>
              <w:keepNext/>
              <w:jc w:val="center"/>
              <w:rPr>
                <w:rFonts w:cstheme="minorHAnsi"/>
              </w:rPr>
            </w:pPr>
            <w:r>
              <w:rPr>
                <w:rFonts w:cstheme="minorHAnsi"/>
              </w:rPr>
              <w:t>$28</w:t>
            </w:r>
          </w:p>
        </w:tc>
      </w:tr>
    </w:tbl>
    <w:p w:rsidR="00C175F6" w:rsidRPr="00BB3410" w:rsidP="00854AAE" w14:paraId="579384ED" w14:textId="77777777">
      <w:pPr>
        <w:spacing w:before="60"/>
        <w:rPr>
          <w:rFonts w:cstheme="minorHAnsi"/>
        </w:rPr>
      </w:pPr>
    </w:p>
    <w:p w:rsidR="00BB2B15" w:rsidRPr="00163C69" w:rsidP="00854AAE" w14:paraId="5D1B71A2" w14:textId="2ADBBFA0">
      <w:pPr>
        <w:pStyle w:val="ListParagraph"/>
        <w:numPr>
          <w:ilvl w:val="0"/>
          <w:numId w:val="25"/>
        </w:numPr>
        <w:spacing w:before="240" w:after="0"/>
        <w:rPr>
          <w:rFonts w:cstheme="minorHAnsi"/>
          <w:b/>
          <w:bCs/>
          <w:caps/>
        </w:rPr>
      </w:pPr>
      <w:bookmarkStart w:id="27" w:name="_Toc156593386"/>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27"/>
      <w:r w:rsidRPr="4BDBF0A0" w:rsidR="004E3CB0">
        <w:rPr>
          <w:b/>
          <w:bCs/>
          <w:caps/>
        </w:rPr>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F92596" w:rsidRPr="00F92596" w:rsidP="00F92596" w14:paraId="7ED5E3E9" w14:textId="77777777">
      <w:pPr>
        <w:spacing w:after="0" w:line="240" w:lineRule="auto"/>
        <w:rPr>
          <w:rFonts w:cstheme="minorHAnsi"/>
          <w:i/>
          <w:iCs/>
        </w:rPr>
      </w:pPr>
      <w:r w:rsidRPr="00F92596">
        <w:rPr>
          <w:rFonts w:cstheme="minorHAnsi"/>
          <w:i/>
          <w:iCs/>
        </w:rPr>
        <w:t xml:space="preserve">component (annualized over its expected useful life) and (b) a total operation and maintenance and purchase of services component. The estimates should consider costs associated with generating, </w:t>
      </w:r>
      <w:r w:rsidRPr="00F92596">
        <w:rPr>
          <w:rFonts w:cstheme="minorHAnsi"/>
          <w:i/>
          <w:iCs/>
        </w:rPr>
        <w:t>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77731C5"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B3410" w:rsidRPr="000E38C2" w:rsidP="000E38C2" w14:paraId="678BA42F" w14:textId="756B8F61">
      <w:r>
        <w:t>There are no capital/start-up costs or O&amp;M costs associated with this information collection.</w:t>
      </w:r>
    </w:p>
    <w:p w:rsidR="00023EFE" w:rsidRPr="00163C69" w:rsidP="00854AAE" w14:paraId="7D2BF7DE" w14:textId="77777777">
      <w:pPr>
        <w:pStyle w:val="ListParagraph"/>
        <w:numPr>
          <w:ilvl w:val="0"/>
          <w:numId w:val="25"/>
        </w:numPr>
        <w:pBdr>
          <w:bottom w:val="single" w:sz="4" w:space="1" w:color="auto"/>
        </w:pBdr>
        <w:spacing w:before="240" w:after="0"/>
        <w:rPr>
          <w:rFonts w:cstheme="minorHAnsi"/>
          <w:b/>
          <w:bCs/>
        </w:rPr>
      </w:pPr>
      <w:bookmarkStart w:id="28" w:name="_Toc156593387"/>
      <w:r w:rsidRPr="4BDBF0A0">
        <w:rPr>
          <w:b/>
          <w:bCs/>
        </w:rPr>
        <w:t xml:space="preserve">AGENCY </w:t>
      </w:r>
      <w:bookmarkStart w:id="29" w:name="_Toc156593388"/>
      <w:bookmarkEnd w:id="28"/>
      <w:r w:rsidRPr="4BDBF0A0" w:rsidR="00BB2B15">
        <w:rPr>
          <w:b/>
          <w:bCs/>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163C69" w:rsidP="00854AAE" w14:paraId="1D8BBDEC" w14:textId="7D3333D9">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9F1E00" w:rsidRPr="00BB3410" w:rsidP="00854AAE" w14:paraId="647FDC77" w14:textId="01101826">
      <w:pPr>
        <w:keepNext/>
        <w:keepLines/>
        <w:spacing w:before="60"/>
        <w:rPr>
          <w:rFonts w:cstheme="minorHAnsi"/>
        </w:rPr>
      </w:pPr>
      <w:r w:rsidRPr="00C672EB">
        <w:rPr>
          <w:rFonts w:ascii="Calibri" w:eastAsia="Times New Roman" w:hAnsi="Calibri" w:cs="Calibri"/>
          <w:color w:val="000000"/>
        </w:rPr>
        <w:t>Review form</w:t>
      </w:r>
      <w:r w:rsidR="003F30A6">
        <w:rPr>
          <w:rFonts w:ascii="Calibri" w:eastAsia="Times New Roman" w:hAnsi="Calibri" w:cs="Calibri"/>
          <w:color w:val="000000"/>
        </w:rPr>
        <w:t xml:space="preserve"> submissions</w:t>
      </w:r>
      <w:r w:rsidRPr="00C672EB">
        <w:rPr>
          <w:rFonts w:ascii="Calibri" w:eastAsia="Times New Roman" w:hAnsi="Calibri" w:cs="Calibri"/>
          <w:color w:val="000000"/>
        </w:rPr>
        <w:t xml:space="preserve"> and enter data in database</w:t>
      </w:r>
    </w:p>
    <w:p w:rsidR="00023EFE" w:rsidRPr="00163C69" w:rsidP="00854AAE" w14:paraId="30F74537" w14:textId="3975E491">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BB3410" w:rsidRPr="00BB3410" w:rsidP="00854AAE" w14:paraId="5BA12778" w14:textId="2D1B37D6">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Fonts w:cstheme="minorHAnsi"/>
          <w:color w:val="000000"/>
        </w:rPr>
        <w:t>$379 per year</w:t>
      </w:r>
    </w:p>
    <w:p w:rsidR="00D17BB9" w:rsidRPr="00163C69" w:rsidP="00854AAE" w14:paraId="164B7E2B" w14:textId="2BCAACF4">
      <w:pPr>
        <w:spacing w:before="120" w:after="0"/>
        <w:rPr>
          <w:rFonts w:cstheme="minorHAnsi"/>
          <w:b/>
          <w:bCs/>
        </w:rPr>
      </w:pPr>
      <w:r w:rsidRPr="00163C69">
        <w:rPr>
          <w:rFonts w:eastAsiaTheme="majorEastAsia" w:cstheme="minorHAnsi"/>
          <w:b/>
          <w:bCs/>
        </w:rPr>
        <w:t xml:space="preserve">14c. </w:t>
      </w:r>
      <w:r w:rsidRPr="00163C69">
        <w:rPr>
          <w:rFonts w:eastAsiaTheme="majorEastAsia" w:cstheme="minorHAnsi"/>
          <w:b/>
          <w:bCs/>
        </w:rPr>
        <w:t>Agency Non-Labor Costs</w:t>
      </w:r>
    </w:p>
    <w:p w:rsidR="00BB3410" w:rsidP="00854AAE" w14:paraId="7FCA1ABF" w14:textId="69774DB7">
      <w:pPr>
        <w:spacing w:before="60"/>
        <w:rPr>
          <w:rFonts w:cstheme="minorHAnsi"/>
        </w:rPr>
      </w:pPr>
      <w:r>
        <w:rPr>
          <w:rFonts w:cstheme="minorHAnsi"/>
        </w:rPr>
        <w:t>$0</w:t>
      </w:r>
    </w:p>
    <w:p w:rsidR="0012291A" w:rsidP="00854AAE" w14:paraId="4A9CE7B3" w14:textId="77777777">
      <w:pPr>
        <w:spacing w:before="60"/>
        <w:rPr>
          <w:rFonts w:cstheme="minorHAnsi"/>
        </w:rPr>
      </w:pPr>
    </w:p>
    <w:p w:rsidR="004620CA" w:rsidRPr="00163C69" w:rsidP="4BDBF0A0" w14:paraId="3144CC9D" w14:textId="72F4E703">
      <w:pPr>
        <w:pStyle w:val="ListParagraph"/>
        <w:numPr>
          <w:ilvl w:val="0"/>
          <w:numId w:val="27"/>
        </w:numPr>
        <w:spacing w:before="240" w:after="0"/>
        <w:rPr>
          <w:b/>
          <w:bCs/>
        </w:rPr>
      </w:pPr>
      <w:r w:rsidRPr="4BDBF0A0">
        <w:rPr>
          <w:b/>
          <w:bCs/>
        </w:rPr>
        <w:t xml:space="preserve">REASONS FOR </w:t>
      </w:r>
      <w:r w:rsidRPr="4BDBF0A0" w:rsidR="00AD46F7">
        <w:rPr>
          <w:b/>
          <w:bCs/>
        </w:rPr>
        <w:t>CHANGE IN BURDEN</w:t>
      </w:r>
      <w:bookmarkEnd w:id="29"/>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ED57A4" w:rsidRPr="00BB3410" w:rsidP="00854AAE" w14:paraId="18F76AB6" w14:textId="727EE600">
      <w:pPr>
        <w:pBdr>
          <w:top w:val="single" w:sz="6" w:space="0" w:color="FFFFFF"/>
          <w:left w:val="single" w:sz="6" w:space="0" w:color="FFFFFF"/>
          <w:bottom w:val="single" w:sz="6" w:space="0" w:color="FFFFFF"/>
          <w:right w:val="single" w:sz="6" w:space="0" w:color="FFFFFF"/>
        </w:pBdr>
        <w:rPr>
          <w:rFonts w:cstheme="minorHAnsi"/>
          <w:color w:val="FF0000"/>
        </w:rPr>
      </w:pPr>
      <w:r>
        <w:t>The overall annual burden for respondents under this ICR number decreased from 4,859 hours in the previous ICR to 12.5 hours in this proposed revision ICR. This change is attributed to removing all reporting and recordkeeping requirements of the Natural Gas STAR and Methane Challenge Programs except for the Natural Gas STAR Program Service Provider Directory.</w:t>
      </w:r>
    </w:p>
    <w:p w:rsidR="005D140B" w:rsidRPr="00163C69" w:rsidP="4BDBF0A0" w14:paraId="3604F417" w14:textId="5D0F3160">
      <w:pPr>
        <w:pStyle w:val="ListParagraph"/>
        <w:numPr>
          <w:ilvl w:val="0"/>
          <w:numId w:val="27"/>
        </w:numPr>
        <w:spacing w:before="240" w:after="0"/>
        <w:rPr>
          <w:b/>
          <w:bCs/>
        </w:rPr>
      </w:pPr>
      <w:bookmarkStart w:id="30" w:name="_Toc156593389"/>
      <w:r w:rsidRPr="4BDBF0A0">
        <w:rPr>
          <w:b/>
          <w:bCs/>
        </w:rPr>
        <w:t xml:space="preserve">PUBLICATION OF </w:t>
      </w:r>
      <w:bookmarkStart w:id="31" w:name="_Toc156593390"/>
      <w:bookmarkEnd w:id="30"/>
      <w:r w:rsidR="00E73E81">
        <w:rPr>
          <w:b/>
          <w:bCs/>
        </w:rPr>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3767D" w:rsidRPr="0073767D" w:rsidP="00854AAE" w14:paraId="5CBE5491" w14:textId="452540C4">
      <w:pPr>
        <w:pBdr>
          <w:top w:val="single" w:sz="6" w:space="0" w:color="FFFFFF"/>
          <w:left w:val="single" w:sz="6" w:space="0" w:color="FFFFFF"/>
          <w:bottom w:val="single" w:sz="6" w:space="0" w:color="FFFFFF"/>
          <w:right w:val="single" w:sz="6" w:space="0" w:color="FFFFFF"/>
        </w:pBdr>
      </w:pPr>
      <w:r>
        <w:t xml:space="preserve">Information collected from respondents is reviewed by EPA, added to a database, and published to the Natural Gas STAR Program’s Service Provider Directory </w:t>
      </w:r>
      <w:r w:rsidR="00FC3F18">
        <w:t>w</w:t>
      </w:r>
      <w:r>
        <w:t>ebsite</w:t>
      </w:r>
      <w:r w:rsidR="00FC3F18">
        <w:t>.</w:t>
      </w:r>
    </w:p>
    <w:p w:rsidR="00627768" w:rsidRPr="00163C69" w:rsidP="4BDBF0A0" w14:paraId="54E9D2D0" w14:textId="67124984">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31"/>
      <w:r w:rsidRPr="4BDBF0A0"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ED57A4" w:rsidRPr="0073767D" w:rsidP="00854AAE" w14:paraId="38543EA2" w14:textId="4A4B6A3B">
      <w:pPr>
        <w:pBdr>
          <w:top w:val="single" w:sz="6" w:space="0" w:color="FFFFFF"/>
          <w:left w:val="single" w:sz="6" w:space="0" w:color="FFFFFF"/>
          <w:bottom w:val="single" w:sz="6" w:space="0" w:color="FFFFFF"/>
          <w:right w:val="single" w:sz="6" w:space="0" w:color="FFFFFF"/>
        </w:pBdr>
      </w:pPr>
      <w:r>
        <w:t>Not applicable</w:t>
      </w:r>
    </w:p>
    <w:p w:rsidR="00691828" w:rsidRPr="00163C69" w:rsidP="00854AAE" w14:paraId="7CCB26DD" w14:textId="4CB12282">
      <w:pPr>
        <w:pStyle w:val="ListParagraph"/>
        <w:numPr>
          <w:ilvl w:val="0"/>
          <w:numId w:val="27"/>
        </w:numPr>
        <w:spacing w:before="240" w:after="0"/>
        <w:rPr>
          <w:rFonts w:cstheme="minorHAnsi"/>
          <w:b/>
          <w:bCs/>
        </w:rPr>
      </w:pPr>
      <w:bookmarkStart w:id="32" w:name="_Toc156593391"/>
      <w:r w:rsidRPr="00163C69">
        <w:rPr>
          <w:rFonts w:cstheme="minorHAnsi"/>
          <w:b/>
          <w:bCs/>
        </w:rPr>
        <w:t>CERTIFICATION STATEMENT</w:t>
      </w:r>
      <w:bookmarkEnd w:id="32"/>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ED57A4" w:rsidRPr="0073767D" w:rsidP="00854AAE" w14:paraId="2765D073" w14:textId="58A1EBD4">
      <w:pPr>
        <w:pBdr>
          <w:top w:val="single" w:sz="6" w:space="0" w:color="FFFFFF"/>
          <w:left w:val="single" w:sz="6" w:space="0" w:color="FFFFFF"/>
          <w:bottom w:val="single" w:sz="6" w:space="0" w:color="FFFFFF"/>
          <w:right w:val="single" w:sz="6" w:space="0" w:color="FFFFFF"/>
        </w:pBdr>
      </w:pPr>
      <w:r>
        <w:t xml:space="preserve">Not applicable </w:t>
      </w:r>
    </w:p>
    <w:sectPr w:rsidSect="00EE5C95">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D70341"/>
    <w:multiLevelType w:val="hybridMultilevel"/>
    <w:tmpl w:val="E9BC54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2">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5">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2"/>
  </w:num>
  <w:num w:numId="2" w16cid:durableId="1032609060">
    <w:abstractNumId w:val="5"/>
  </w:num>
  <w:num w:numId="3" w16cid:durableId="1158494831">
    <w:abstractNumId w:val="2"/>
  </w:num>
  <w:num w:numId="4" w16cid:durableId="493573829">
    <w:abstractNumId w:val="26"/>
  </w:num>
  <w:num w:numId="5" w16cid:durableId="2055687918">
    <w:abstractNumId w:val="17"/>
  </w:num>
  <w:num w:numId="6" w16cid:durableId="1603025219">
    <w:abstractNumId w:val="24"/>
  </w:num>
  <w:num w:numId="7" w16cid:durableId="423957196">
    <w:abstractNumId w:val="15"/>
  </w:num>
  <w:num w:numId="8" w16cid:durableId="2031829208">
    <w:abstractNumId w:val="20"/>
  </w:num>
  <w:num w:numId="9" w16cid:durableId="218439549">
    <w:abstractNumId w:val="8"/>
  </w:num>
  <w:num w:numId="10" w16cid:durableId="1285231924">
    <w:abstractNumId w:val="4"/>
  </w:num>
  <w:num w:numId="11" w16cid:durableId="327370686">
    <w:abstractNumId w:val="7"/>
  </w:num>
  <w:num w:numId="12" w16cid:durableId="1802993385">
    <w:abstractNumId w:val="10"/>
  </w:num>
  <w:num w:numId="13" w16cid:durableId="1792938267">
    <w:abstractNumId w:val="27"/>
  </w:num>
  <w:num w:numId="14" w16cid:durableId="239490726">
    <w:abstractNumId w:val="6"/>
  </w:num>
  <w:num w:numId="15" w16cid:durableId="1395350314">
    <w:abstractNumId w:val="9"/>
  </w:num>
  <w:num w:numId="16" w16cid:durableId="441535906">
    <w:abstractNumId w:val="13"/>
  </w:num>
  <w:num w:numId="17" w16cid:durableId="2008243381">
    <w:abstractNumId w:val="21"/>
  </w:num>
  <w:num w:numId="18" w16cid:durableId="840463183">
    <w:abstractNumId w:val="19"/>
  </w:num>
  <w:num w:numId="19" w16cid:durableId="469980091">
    <w:abstractNumId w:val="23"/>
  </w:num>
  <w:num w:numId="20" w16cid:durableId="2126730031">
    <w:abstractNumId w:val="11"/>
  </w:num>
  <w:num w:numId="21" w16cid:durableId="106124704">
    <w:abstractNumId w:val="1"/>
  </w:num>
  <w:num w:numId="22" w16cid:durableId="1552418013">
    <w:abstractNumId w:val="14"/>
  </w:num>
  <w:num w:numId="23" w16cid:durableId="1598828334">
    <w:abstractNumId w:val="25"/>
  </w:num>
  <w:num w:numId="24" w16cid:durableId="2051031068">
    <w:abstractNumId w:val="0"/>
  </w:num>
  <w:num w:numId="25" w16cid:durableId="258569098">
    <w:abstractNumId w:val="16"/>
  </w:num>
  <w:num w:numId="26" w16cid:durableId="331181582">
    <w:abstractNumId w:val="18"/>
  </w:num>
  <w:num w:numId="27" w16cid:durableId="1015961391">
    <w:abstractNumId w:val="22"/>
  </w:num>
  <w:num w:numId="28" w16cid:durableId="1274552544">
    <w:abstractNumId w:val="3"/>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eluch, Andrew (he/him/his)">
    <w15:presenceInfo w15:providerId="AD" w15:userId="S::Meluch.Andrew@epa.gov::322d6021-4c3c-4c0d-9301-83c8d0589b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09"/>
    <w:rsid w:val="0000050D"/>
    <w:rsid w:val="0000329D"/>
    <w:rsid w:val="00003D64"/>
    <w:rsid w:val="00004678"/>
    <w:rsid w:val="000069C3"/>
    <w:rsid w:val="00006C95"/>
    <w:rsid w:val="00007FB5"/>
    <w:rsid w:val="00010EEE"/>
    <w:rsid w:val="000129E1"/>
    <w:rsid w:val="00013852"/>
    <w:rsid w:val="00013CE8"/>
    <w:rsid w:val="00014B10"/>
    <w:rsid w:val="00015FF6"/>
    <w:rsid w:val="0001637F"/>
    <w:rsid w:val="00017B90"/>
    <w:rsid w:val="00020791"/>
    <w:rsid w:val="00023A2A"/>
    <w:rsid w:val="00023EFE"/>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3570"/>
    <w:rsid w:val="000544D0"/>
    <w:rsid w:val="0005572E"/>
    <w:rsid w:val="0005629D"/>
    <w:rsid w:val="0005783D"/>
    <w:rsid w:val="00060163"/>
    <w:rsid w:val="0006085E"/>
    <w:rsid w:val="0006128A"/>
    <w:rsid w:val="00061A77"/>
    <w:rsid w:val="00061BCE"/>
    <w:rsid w:val="000624AA"/>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1FF5"/>
    <w:rsid w:val="0009219E"/>
    <w:rsid w:val="000925BD"/>
    <w:rsid w:val="00093C6D"/>
    <w:rsid w:val="00093DC2"/>
    <w:rsid w:val="00094023"/>
    <w:rsid w:val="0009492C"/>
    <w:rsid w:val="00095F01"/>
    <w:rsid w:val="000978FD"/>
    <w:rsid w:val="000A1198"/>
    <w:rsid w:val="000A11F1"/>
    <w:rsid w:val="000A170A"/>
    <w:rsid w:val="000A397C"/>
    <w:rsid w:val="000A410A"/>
    <w:rsid w:val="000A4527"/>
    <w:rsid w:val="000B3576"/>
    <w:rsid w:val="000B461B"/>
    <w:rsid w:val="000B7BBA"/>
    <w:rsid w:val="000C41A7"/>
    <w:rsid w:val="000C43C8"/>
    <w:rsid w:val="000C608D"/>
    <w:rsid w:val="000D224E"/>
    <w:rsid w:val="000D251E"/>
    <w:rsid w:val="000D2D5D"/>
    <w:rsid w:val="000D3C22"/>
    <w:rsid w:val="000D45B2"/>
    <w:rsid w:val="000D516A"/>
    <w:rsid w:val="000D5863"/>
    <w:rsid w:val="000D6FA4"/>
    <w:rsid w:val="000E1158"/>
    <w:rsid w:val="000E184B"/>
    <w:rsid w:val="000E19CB"/>
    <w:rsid w:val="000E1FE8"/>
    <w:rsid w:val="000E3298"/>
    <w:rsid w:val="000E348B"/>
    <w:rsid w:val="000E38C2"/>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17F"/>
    <w:rsid w:val="00103DD8"/>
    <w:rsid w:val="00105F52"/>
    <w:rsid w:val="00106C2C"/>
    <w:rsid w:val="00107505"/>
    <w:rsid w:val="00111663"/>
    <w:rsid w:val="00112360"/>
    <w:rsid w:val="00112675"/>
    <w:rsid w:val="001141DA"/>
    <w:rsid w:val="00116064"/>
    <w:rsid w:val="00116090"/>
    <w:rsid w:val="001172FE"/>
    <w:rsid w:val="00117FE1"/>
    <w:rsid w:val="0012291A"/>
    <w:rsid w:val="0013006A"/>
    <w:rsid w:val="00130CF9"/>
    <w:rsid w:val="001310E0"/>
    <w:rsid w:val="00132921"/>
    <w:rsid w:val="001329B3"/>
    <w:rsid w:val="00135C69"/>
    <w:rsid w:val="00135EAD"/>
    <w:rsid w:val="00136237"/>
    <w:rsid w:val="00137EB8"/>
    <w:rsid w:val="00145DAE"/>
    <w:rsid w:val="00147B68"/>
    <w:rsid w:val="0015084F"/>
    <w:rsid w:val="00152A80"/>
    <w:rsid w:val="00160461"/>
    <w:rsid w:val="00161846"/>
    <w:rsid w:val="001636DA"/>
    <w:rsid w:val="00163C69"/>
    <w:rsid w:val="00164169"/>
    <w:rsid w:val="00166B27"/>
    <w:rsid w:val="00170329"/>
    <w:rsid w:val="00170689"/>
    <w:rsid w:val="00170EB8"/>
    <w:rsid w:val="00171DC0"/>
    <w:rsid w:val="00173422"/>
    <w:rsid w:val="00173E50"/>
    <w:rsid w:val="00174134"/>
    <w:rsid w:val="00176BA8"/>
    <w:rsid w:val="001775F3"/>
    <w:rsid w:val="00180511"/>
    <w:rsid w:val="00184011"/>
    <w:rsid w:val="00185251"/>
    <w:rsid w:val="0019149E"/>
    <w:rsid w:val="0019182F"/>
    <w:rsid w:val="00191C72"/>
    <w:rsid w:val="001925B3"/>
    <w:rsid w:val="0019580A"/>
    <w:rsid w:val="00195BEB"/>
    <w:rsid w:val="00195D70"/>
    <w:rsid w:val="00197A23"/>
    <w:rsid w:val="001A20B0"/>
    <w:rsid w:val="001A21A7"/>
    <w:rsid w:val="001A3351"/>
    <w:rsid w:val="001A53A7"/>
    <w:rsid w:val="001A76B3"/>
    <w:rsid w:val="001A7DEF"/>
    <w:rsid w:val="001B1773"/>
    <w:rsid w:val="001B1962"/>
    <w:rsid w:val="001B2D25"/>
    <w:rsid w:val="001B39DF"/>
    <w:rsid w:val="001B3B6C"/>
    <w:rsid w:val="001B4565"/>
    <w:rsid w:val="001B46D7"/>
    <w:rsid w:val="001B4BEC"/>
    <w:rsid w:val="001B7B47"/>
    <w:rsid w:val="001C0151"/>
    <w:rsid w:val="001C260A"/>
    <w:rsid w:val="001C2D48"/>
    <w:rsid w:val="001C3106"/>
    <w:rsid w:val="001C3D5A"/>
    <w:rsid w:val="001C4634"/>
    <w:rsid w:val="001C6741"/>
    <w:rsid w:val="001C7470"/>
    <w:rsid w:val="001C7D52"/>
    <w:rsid w:val="001D01BB"/>
    <w:rsid w:val="001D294E"/>
    <w:rsid w:val="001D47F8"/>
    <w:rsid w:val="001D4CDC"/>
    <w:rsid w:val="001D4D40"/>
    <w:rsid w:val="001D4F2F"/>
    <w:rsid w:val="001D51D8"/>
    <w:rsid w:val="001D5CED"/>
    <w:rsid w:val="001E0924"/>
    <w:rsid w:val="001E211E"/>
    <w:rsid w:val="001E3A31"/>
    <w:rsid w:val="001E43D7"/>
    <w:rsid w:val="001E534A"/>
    <w:rsid w:val="001E548A"/>
    <w:rsid w:val="001E601A"/>
    <w:rsid w:val="001E6891"/>
    <w:rsid w:val="001E6E50"/>
    <w:rsid w:val="001E7480"/>
    <w:rsid w:val="001E74E1"/>
    <w:rsid w:val="001F0834"/>
    <w:rsid w:val="001F0D3B"/>
    <w:rsid w:val="001F1A52"/>
    <w:rsid w:val="001F1F14"/>
    <w:rsid w:val="001F34A5"/>
    <w:rsid w:val="001F370A"/>
    <w:rsid w:val="001F5541"/>
    <w:rsid w:val="001F65FB"/>
    <w:rsid w:val="001F75D9"/>
    <w:rsid w:val="001F7B1A"/>
    <w:rsid w:val="001F7DF2"/>
    <w:rsid w:val="002006B5"/>
    <w:rsid w:val="0020142E"/>
    <w:rsid w:val="00201886"/>
    <w:rsid w:val="002064A4"/>
    <w:rsid w:val="00210F2E"/>
    <w:rsid w:val="00211627"/>
    <w:rsid w:val="0021345A"/>
    <w:rsid w:val="00213AE6"/>
    <w:rsid w:val="00216C6A"/>
    <w:rsid w:val="002173CF"/>
    <w:rsid w:val="00220258"/>
    <w:rsid w:val="00222530"/>
    <w:rsid w:val="0022259D"/>
    <w:rsid w:val="0022416D"/>
    <w:rsid w:val="00224BB3"/>
    <w:rsid w:val="00224D61"/>
    <w:rsid w:val="00224F14"/>
    <w:rsid w:val="00226D49"/>
    <w:rsid w:val="0022710C"/>
    <w:rsid w:val="002272EE"/>
    <w:rsid w:val="00227759"/>
    <w:rsid w:val="00230F45"/>
    <w:rsid w:val="00231014"/>
    <w:rsid w:val="00233342"/>
    <w:rsid w:val="002335AB"/>
    <w:rsid w:val="00234B8D"/>
    <w:rsid w:val="00235E79"/>
    <w:rsid w:val="002360BC"/>
    <w:rsid w:val="00240F23"/>
    <w:rsid w:val="0024175E"/>
    <w:rsid w:val="002420F2"/>
    <w:rsid w:val="002455F0"/>
    <w:rsid w:val="0024599B"/>
    <w:rsid w:val="00246A7E"/>
    <w:rsid w:val="00247198"/>
    <w:rsid w:val="0025051F"/>
    <w:rsid w:val="00251151"/>
    <w:rsid w:val="00252A4E"/>
    <w:rsid w:val="0025319A"/>
    <w:rsid w:val="0025617C"/>
    <w:rsid w:val="0026050F"/>
    <w:rsid w:val="00260FB7"/>
    <w:rsid w:val="002648CF"/>
    <w:rsid w:val="00265FE7"/>
    <w:rsid w:val="00270940"/>
    <w:rsid w:val="00277A03"/>
    <w:rsid w:val="0028340E"/>
    <w:rsid w:val="00283764"/>
    <w:rsid w:val="00283AE9"/>
    <w:rsid w:val="00283C66"/>
    <w:rsid w:val="002847BB"/>
    <w:rsid w:val="00285782"/>
    <w:rsid w:val="00285A68"/>
    <w:rsid w:val="00286FA0"/>
    <w:rsid w:val="00287F94"/>
    <w:rsid w:val="00290BEB"/>
    <w:rsid w:val="00291493"/>
    <w:rsid w:val="00291589"/>
    <w:rsid w:val="0029755D"/>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4713"/>
    <w:rsid w:val="002C7DDE"/>
    <w:rsid w:val="002D3E1A"/>
    <w:rsid w:val="002E0316"/>
    <w:rsid w:val="002E0999"/>
    <w:rsid w:val="002E2569"/>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378B5"/>
    <w:rsid w:val="00342DB5"/>
    <w:rsid w:val="00343CEF"/>
    <w:rsid w:val="00344CB0"/>
    <w:rsid w:val="003467C8"/>
    <w:rsid w:val="00347C3C"/>
    <w:rsid w:val="0035079F"/>
    <w:rsid w:val="003527C1"/>
    <w:rsid w:val="00352C25"/>
    <w:rsid w:val="00354DA2"/>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330C"/>
    <w:rsid w:val="003856DC"/>
    <w:rsid w:val="003901B8"/>
    <w:rsid w:val="003A1D0D"/>
    <w:rsid w:val="003A38FB"/>
    <w:rsid w:val="003A41A0"/>
    <w:rsid w:val="003A5C7C"/>
    <w:rsid w:val="003A6BEF"/>
    <w:rsid w:val="003B04B9"/>
    <w:rsid w:val="003B0A8F"/>
    <w:rsid w:val="003B153D"/>
    <w:rsid w:val="003B42C6"/>
    <w:rsid w:val="003B4D4F"/>
    <w:rsid w:val="003C0DBC"/>
    <w:rsid w:val="003C2B04"/>
    <w:rsid w:val="003C321D"/>
    <w:rsid w:val="003C5631"/>
    <w:rsid w:val="003C68C2"/>
    <w:rsid w:val="003C6CE9"/>
    <w:rsid w:val="003D06CD"/>
    <w:rsid w:val="003D0C03"/>
    <w:rsid w:val="003D1457"/>
    <w:rsid w:val="003D1D8F"/>
    <w:rsid w:val="003D23D5"/>
    <w:rsid w:val="003D29E8"/>
    <w:rsid w:val="003D2F77"/>
    <w:rsid w:val="003D3498"/>
    <w:rsid w:val="003D598C"/>
    <w:rsid w:val="003D6B39"/>
    <w:rsid w:val="003D7167"/>
    <w:rsid w:val="003D7919"/>
    <w:rsid w:val="003D7B2A"/>
    <w:rsid w:val="003E12CF"/>
    <w:rsid w:val="003E133B"/>
    <w:rsid w:val="003E4B7A"/>
    <w:rsid w:val="003E5AAE"/>
    <w:rsid w:val="003E5D61"/>
    <w:rsid w:val="003E7E56"/>
    <w:rsid w:val="003F0A11"/>
    <w:rsid w:val="003F30A6"/>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248"/>
    <w:rsid w:val="00415988"/>
    <w:rsid w:val="00417612"/>
    <w:rsid w:val="0042383B"/>
    <w:rsid w:val="0042409F"/>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5BA6"/>
    <w:rsid w:val="00477D70"/>
    <w:rsid w:val="004831CC"/>
    <w:rsid w:val="00485567"/>
    <w:rsid w:val="004855BE"/>
    <w:rsid w:val="00486860"/>
    <w:rsid w:val="00491CC3"/>
    <w:rsid w:val="00491ED9"/>
    <w:rsid w:val="00495623"/>
    <w:rsid w:val="00496F19"/>
    <w:rsid w:val="0049718B"/>
    <w:rsid w:val="004A0C7A"/>
    <w:rsid w:val="004A0FA5"/>
    <w:rsid w:val="004A2646"/>
    <w:rsid w:val="004A284B"/>
    <w:rsid w:val="004A2961"/>
    <w:rsid w:val="004A2CDE"/>
    <w:rsid w:val="004A3ABF"/>
    <w:rsid w:val="004A4B8D"/>
    <w:rsid w:val="004A5B46"/>
    <w:rsid w:val="004A6B13"/>
    <w:rsid w:val="004B0167"/>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0B1C"/>
    <w:rsid w:val="00500E23"/>
    <w:rsid w:val="005016D0"/>
    <w:rsid w:val="00501DE1"/>
    <w:rsid w:val="005024CE"/>
    <w:rsid w:val="00502BAA"/>
    <w:rsid w:val="00504949"/>
    <w:rsid w:val="00506171"/>
    <w:rsid w:val="005062F5"/>
    <w:rsid w:val="00510C48"/>
    <w:rsid w:val="005119F4"/>
    <w:rsid w:val="00511DDD"/>
    <w:rsid w:val="00512F2D"/>
    <w:rsid w:val="00513479"/>
    <w:rsid w:val="00515993"/>
    <w:rsid w:val="00517F46"/>
    <w:rsid w:val="00520209"/>
    <w:rsid w:val="0052076B"/>
    <w:rsid w:val="00524059"/>
    <w:rsid w:val="005263EC"/>
    <w:rsid w:val="00526531"/>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9B4"/>
    <w:rsid w:val="00560A26"/>
    <w:rsid w:val="0056192C"/>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662D"/>
    <w:rsid w:val="00586994"/>
    <w:rsid w:val="005900C3"/>
    <w:rsid w:val="00590A21"/>
    <w:rsid w:val="005932EC"/>
    <w:rsid w:val="005966D8"/>
    <w:rsid w:val="0059769C"/>
    <w:rsid w:val="005A0F75"/>
    <w:rsid w:val="005A129A"/>
    <w:rsid w:val="005A35B4"/>
    <w:rsid w:val="005A422E"/>
    <w:rsid w:val="005A6F2B"/>
    <w:rsid w:val="005A7235"/>
    <w:rsid w:val="005A7BA6"/>
    <w:rsid w:val="005B499E"/>
    <w:rsid w:val="005B6A8D"/>
    <w:rsid w:val="005C195D"/>
    <w:rsid w:val="005C2031"/>
    <w:rsid w:val="005D0ACB"/>
    <w:rsid w:val="005D140B"/>
    <w:rsid w:val="005D1C36"/>
    <w:rsid w:val="005D1F2E"/>
    <w:rsid w:val="005D2654"/>
    <w:rsid w:val="005D2E6F"/>
    <w:rsid w:val="005D5624"/>
    <w:rsid w:val="005D5865"/>
    <w:rsid w:val="005D5F1D"/>
    <w:rsid w:val="005E03A2"/>
    <w:rsid w:val="005E35C4"/>
    <w:rsid w:val="005E4A7B"/>
    <w:rsid w:val="005E50F8"/>
    <w:rsid w:val="005E588F"/>
    <w:rsid w:val="005E5BEC"/>
    <w:rsid w:val="005E5D2D"/>
    <w:rsid w:val="005E6FAB"/>
    <w:rsid w:val="005F1234"/>
    <w:rsid w:val="005F13AA"/>
    <w:rsid w:val="005F484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D76"/>
    <w:rsid w:val="00643FF8"/>
    <w:rsid w:val="00644EBE"/>
    <w:rsid w:val="00645B0D"/>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752F7"/>
    <w:rsid w:val="00677AEB"/>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EDB"/>
    <w:rsid w:val="006B102F"/>
    <w:rsid w:val="006B15F9"/>
    <w:rsid w:val="006B18D6"/>
    <w:rsid w:val="006B20E9"/>
    <w:rsid w:val="006B2749"/>
    <w:rsid w:val="006B2758"/>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3E46"/>
    <w:rsid w:val="00714D14"/>
    <w:rsid w:val="00714E66"/>
    <w:rsid w:val="0071589D"/>
    <w:rsid w:val="007167A3"/>
    <w:rsid w:val="00716971"/>
    <w:rsid w:val="00716CE1"/>
    <w:rsid w:val="00716D1D"/>
    <w:rsid w:val="00724442"/>
    <w:rsid w:val="00724815"/>
    <w:rsid w:val="00726EFA"/>
    <w:rsid w:val="007279D9"/>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3F56"/>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505C"/>
    <w:rsid w:val="007E6E0D"/>
    <w:rsid w:val="007F1FD4"/>
    <w:rsid w:val="007F246C"/>
    <w:rsid w:val="007F2A90"/>
    <w:rsid w:val="007F5265"/>
    <w:rsid w:val="007F60B7"/>
    <w:rsid w:val="007F7757"/>
    <w:rsid w:val="0080187D"/>
    <w:rsid w:val="00802495"/>
    <w:rsid w:val="0080293D"/>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0D2A"/>
    <w:rsid w:val="00862ACA"/>
    <w:rsid w:val="00863B5C"/>
    <w:rsid w:val="00863E35"/>
    <w:rsid w:val="0086480C"/>
    <w:rsid w:val="0086680C"/>
    <w:rsid w:val="00866A4F"/>
    <w:rsid w:val="00866F44"/>
    <w:rsid w:val="00870F86"/>
    <w:rsid w:val="00873EFF"/>
    <w:rsid w:val="008741FA"/>
    <w:rsid w:val="008749E8"/>
    <w:rsid w:val="00876774"/>
    <w:rsid w:val="00876C6F"/>
    <w:rsid w:val="008803DA"/>
    <w:rsid w:val="00881794"/>
    <w:rsid w:val="00881CAD"/>
    <w:rsid w:val="00883A58"/>
    <w:rsid w:val="0089326A"/>
    <w:rsid w:val="0089358E"/>
    <w:rsid w:val="00893F67"/>
    <w:rsid w:val="00895E6F"/>
    <w:rsid w:val="008A0297"/>
    <w:rsid w:val="008A034D"/>
    <w:rsid w:val="008A1004"/>
    <w:rsid w:val="008A15C2"/>
    <w:rsid w:val="008A2F96"/>
    <w:rsid w:val="008A34CB"/>
    <w:rsid w:val="008A474D"/>
    <w:rsid w:val="008A6835"/>
    <w:rsid w:val="008B0300"/>
    <w:rsid w:val="008B170E"/>
    <w:rsid w:val="008B37A1"/>
    <w:rsid w:val="008B4625"/>
    <w:rsid w:val="008B467F"/>
    <w:rsid w:val="008B57B0"/>
    <w:rsid w:val="008C06CB"/>
    <w:rsid w:val="008C0C83"/>
    <w:rsid w:val="008C582D"/>
    <w:rsid w:val="008C6A5F"/>
    <w:rsid w:val="008C7F35"/>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768B"/>
    <w:rsid w:val="00922AA7"/>
    <w:rsid w:val="00922C6F"/>
    <w:rsid w:val="00922D6B"/>
    <w:rsid w:val="00923155"/>
    <w:rsid w:val="00925391"/>
    <w:rsid w:val="009254E0"/>
    <w:rsid w:val="00925CEA"/>
    <w:rsid w:val="00927A0F"/>
    <w:rsid w:val="00927A30"/>
    <w:rsid w:val="00927DC6"/>
    <w:rsid w:val="00931E9D"/>
    <w:rsid w:val="009328B3"/>
    <w:rsid w:val="009336A3"/>
    <w:rsid w:val="00936A54"/>
    <w:rsid w:val="00937543"/>
    <w:rsid w:val="00937AC9"/>
    <w:rsid w:val="00940B0E"/>
    <w:rsid w:val="00940F81"/>
    <w:rsid w:val="00941552"/>
    <w:rsid w:val="00942B82"/>
    <w:rsid w:val="00943C5A"/>
    <w:rsid w:val="00944273"/>
    <w:rsid w:val="00944C1D"/>
    <w:rsid w:val="00945D12"/>
    <w:rsid w:val="0095227C"/>
    <w:rsid w:val="009523A7"/>
    <w:rsid w:val="009523F2"/>
    <w:rsid w:val="00953FB7"/>
    <w:rsid w:val="009551C5"/>
    <w:rsid w:val="00956636"/>
    <w:rsid w:val="00961BE2"/>
    <w:rsid w:val="00961FE9"/>
    <w:rsid w:val="009620C0"/>
    <w:rsid w:val="009628DB"/>
    <w:rsid w:val="00963312"/>
    <w:rsid w:val="0096386A"/>
    <w:rsid w:val="0096508A"/>
    <w:rsid w:val="00965ABF"/>
    <w:rsid w:val="00971A41"/>
    <w:rsid w:val="0097394A"/>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169"/>
    <w:rsid w:val="009A151F"/>
    <w:rsid w:val="009A24BC"/>
    <w:rsid w:val="009A442C"/>
    <w:rsid w:val="009A5C07"/>
    <w:rsid w:val="009A6AF8"/>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4F0C"/>
    <w:rsid w:val="009C66BD"/>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33E0"/>
    <w:rsid w:val="00A24F5B"/>
    <w:rsid w:val="00A26353"/>
    <w:rsid w:val="00A26E89"/>
    <w:rsid w:val="00A274B4"/>
    <w:rsid w:val="00A27E5C"/>
    <w:rsid w:val="00A306EB"/>
    <w:rsid w:val="00A31484"/>
    <w:rsid w:val="00A352DB"/>
    <w:rsid w:val="00A358CC"/>
    <w:rsid w:val="00A35BC3"/>
    <w:rsid w:val="00A35F5B"/>
    <w:rsid w:val="00A361CE"/>
    <w:rsid w:val="00A45770"/>
    <w:rsid w:val="00A45865"/>
    <w:rsid w:val="00A5226D"/>
    <w:rsid w:val="00A53BD4"/>
    <w:rsid w:val="00A53C9A"/>
    <w:rsid w:val="00A55764"/>
    <w:rsid w:val="00A56C84"/>
    <w:rsid w:val="00A60384"/>
    <w:rsid w:val="00A62802"/>
    <w:rsid w:val="00A6282F"/>
    <w:rsid w:val="00A62AFA"/>
    <w:rsid w:val="00A64B54"/>
    <w:rsid w:val="00A67FC6"/>
    <w:rsid w:val="00A68791"/>
    <w:rsid w:val="00A71397"/>
    <w:rsid w:val="00A71F84"/>
    <w:rsid w:val="00A72623"/>
    <w:rsid w:val="00A768D2"/>
    <w:rsid w:val="00A80A27"/>
    <w:rsid w:val="00A816BC"/>
    <w:rsid w:val="00A82647"/>
    <w:rsid w:val="00A8542E"/>
    <w:rsid w:val="00A8593A"/>
    <w:rsid w:val="00A9188B"/>
    <w:rsid w:val="00A91EFC"/>
    <w:rsid w:val="00A955EC"/>
    <w:rsid w:val="00A9734E"/>
    <w:rsid w:val="00A975AC"/>
    <w:rsid w:val="00A97EE9"/>
    <w:rsid w:val="00AA26C8"/>
    <w:rsid w:val="00AA2AE3"/>
    <w:rsid w:val="00AA3857"/>
    <w:rsid w:val="00AA4A5E"/>
    <w:rsid w:val="00AA4F24"/>
    <w:rsid w:val="00AA5BD7"/>
    <w:rsid w:val="00AA67A0"/>
    <w:rsid w:val="00AA74E9"/>
    <w:rsid w:val="00AB4360"/>
    <w:rsid w:val="00AB58D2"/>
    <w:rsid w:val="00AC105E"/>
    <w:rsid w:val="00AC1131"/>
    <w:rsid w:val="00AC1AC4"/>
    <w:rsid w:val="00AC5472"/>
    <w:rsid w:val="00AD15AC"/>
    <w:rsid w:val="00AD1B66"/>
    <w:rsid w:val="00AD1CFF"/>
    <w:rsid w:val="00AD2447"/>
    <w:rsid w:val="00AD3F78"/>
    <w:rsid w:val="00AD46F7"/>
    <w:rsid w:val="00AE026A"/>
    <w:rsid w:val="00AE1346"/>
    <w:rsid w:val="00AE2594"/>
    <w:rsid w:val="00AE274D"/>
    <w:rsid w:val="00AE357F"/>
    <w:rsid w:val="00AE3624"/>
    <w:rsid w:val="00AE3760"/>
    <w:rsid w:val="00AE3F7E"/>
    <w:rsid w:val="00AE63B1"/>
    <w:rsid w:val="00AE7BE7"/>
    <w:rsid w:val="00AE7FC5"/>
    <w:rsid w:val="00AF2486"/>
    <w:rsid w:val="00AF3D20"/>
    <w:rsid w:val="00AF4218"/>
    <w:rsid w:val="00AF6F5C"/>
    <w:rsid w:val="00B027C5"/>
    <w:rsid w:val="00B02874"/>
    <w:rsid w:val="00B04655"/>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0806"/>
    <w:rsid w:val="00B31C31"/>
    <w:rsid w:val="00B37C28"/>
    <w:rsid w:val="00B400AE"/>
    <w:rsid w:val="00B434D7"/>
    <w:rsid w:val="00B44259"/>
    <w:rsid w:val="00B45BEF"/>
    <w:rsid w:val="00B47058"/>
    <w:rsid w:val="00B5068E"/>
    <w:rsid w:val="00B51024"/>
    <w:rsid w:val="00B524A9"/>
    <w:rsid w:val="00B603E4"/>
    <w:rsid w:val="00B62988"/>
    <w:rsid w:val="00B63B97"/>
    <w:rsid w:val="00B65237"/>
    <w:rsid w:val="00B65947"/>
    <w:rsid w:val="00B666CD"/>
    <w:rsid w:val="00B67894"/>
    <w:rsid w:val="00B72371"/>
    <w:rsid w:val="00B737EF"/>
    <w:rsid w:val="00B74D25"/>
    <w:rsid w:val="00B7519D"/>
    <w:rsid w:val="00B77C81"/>
    <w:rsid w:val="00B8093B"/>
    <w:rsid w:val="00B80F76"/>
    <w:rsid w:val="00B818B8"/>
    <w:rsid w:val="00B81A2E"/>
    <w:rsid w:val="00B83587"/>
    <w:rsid w:val="00B8407F"/>
    <w:rsid w:val="00B8491D"/>
    <w:rsid w:val="00B85B34"/>
    <w:rsid w:val="00B8742C"/>
    <w:rsid w:val="00B90437"/>
    <w:rsid w:val="00B92284"/>
    <w:rsid w:val="00B9379D"/>
    <w:rsid w:val="00B93F50"/>
    <w:rsid w:val="00B9424F"/>
    <w:rsid w:val="00B9504D"/>
    <w:rsid w:val="00B957FA"/>
    <w:rsid w:val="00B95BD0"/>
    <w:rsid w:val="00B9602F"/>
    <w:rsid w:val="00BA1A18"/>
    <w:rsid w:val="00BA45E6"/>
    <w:rsid w:val="00BA5E6F"/>
    <w:rsid w:val="00BA77C1"/>
    <w:rsid w:val="00BB0D04"/>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C46DD"/>
    <w:rsid w:val="00BD12E4"/>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175F6"/>
    <w:rsid w:val="00C20372"/>
    <w:rsid w:val="00C2356F"/>
    <w:rsid w:val="00C24C6C"/>
    <w:rsid w:val="00C25A7A"/>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73BC"/>
    <w:rsid w:val="00C60DDA"/>
    <w:rsid w:val="00C6228D"/>
    <w:rsid w:val="00C63846"/>
    <w:rsid w:val="00C672EB"/>
    <w:rsid w:val="00C67D9C"/>
    <w:rsid w:val="00C706D7"/>
    <w:rsid w:val="00C72590"/>
    <w:rsid w:val="00C726B2"/>
    <w:rsid w:val="00C72CCD"/>
    <w:rsid w:val="00C733F7"/>
    <w:rsid w:val="00C754FD"/>
    <w:rsid w:val="00C76FDB"/>
    <w:rsid w:val="00C80081"/>
    <w:rsid w:val="00C80E50"/>
    <w:rsid w:val="00C81982"/>
    <w:rsid w:val="00C819B9"/>
    <w:rsid w:val="00C81E8A"/>
    <w:rsid w:val="00C83ECD"/>
    <w:rsid w:val="00C8408B"/>
    <w:rsid w:val="00C86ABE"/>
    <w:rsid w:val="00C8720B"/>
    <w:rsid w:val="00C87C08"/>
    <w:rsid w:val="00C87E71"/>
    <w:rsid w:val="00C91270"/>
    <w:rsid w:val="00C9141A"/>
    <w:rsid w:val="00C916DE"/>
    <w:rsid w:val="00C91D5A"/>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0B7"/>
    <w:rsid w:val="00CD275E"/>
    <w:rsid w:val="00CD2EF7"/>
    <w:rsid w:val="00CD38AB"/>
    <w:rsid w:val="00CD4100"/>
    <w:rsid w:val="00CD4338"/>
    <w:rsid w:val="00CD4809"/>
    <w:rsid w:val="00CD5A92"/>
    <w:rsid w:val="00CE0942"/>
    <w:rsid w:val="00CE0B32"/>
    <w:rsid w:val="00CE1EF9"/>
    <w:rsid w:val="00CE2CB1"/>
    <w:rsid w:val="00CE3ACF"/>
    <w:rsid w:val="00CE4292"/>
    <w:rsid w:val="00CE4DEB"/>
    <w:rsid w:val="00CE4F47"/>
    <w:rsid w:val="00CE5752"/>
    <w:rsid w:val="00CE6F2D"/>
    <w:rsid w:val="00CF23B4"/>
    <w:rsid w:val="00CF242E"/>
    <w:rsid w:val="00CF413A"/>
    <w:rsid w:val="00CF4631"/>
    <w:rsid w:val="00CF5A3C"/>
    <w:rsid w:val="00CF5EFF"/>
    <w:rsid w:val="00D00106"/>
    <w:rsid w:val="00D00D33"/>
    <w:rsid w:val="00D01A8F"/>
    <w:rsid w:val="00D04072"/>
    <w:rsid w:val="00D043F3"/>
    <w:rsid w:val="00D10B82"/>
    <w:rsid w:val="00D12D20"/>
    <w:rsid w:val="00D14A68"/>
    <w:rsid w:val="00D163B0"/>
    <w:rsid w:val="00D17BB9"/>
    <w:rsid w:val="00D210DB"/>
    <w:rsid w:val="00D225E2"/>
    <w:rsid w:val="00D234AD"/>
    <w:rsid w:val="00D24AC0"/>
    <w:rsid w:val="00D26124"/>
    <w:rsid w:val="00D316B2"/>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A9C"/>
    <w:rsid w:val="00D61EDC"/>
    <w:rsid w:val="00D64254"/>
    <w:rsid w:val="00D73509"/>
    <w:rsid w:val="00D73DBE"/>
    <w:rsid w:val="00D73E09"/>
    <w:rsid w:val="00D74290"/>
    <w:rsid w:val="00D76DB3"/>
    <w:rsid w:val="00D77C8D"/>
    <w:rsid w:val="00D87764"/>
    <w:rsid w:val="00D90653"/>
    <w:rsid w:val="00D92ED6"/>
    <w:rsid w:val="00D9599C"/>
    <w:rsid w:val="00DA4019"/>
    <w:rsid w:val="00DA4E0C"/>
    <w:rsid w:val="00DA53F8"/>
    <w:rsid w:val="00DA7843"/>
    <w:rsid w:val="00DA7E80"/>
    <w:rsid w:val="00DB0E66"/>
    <w:rsid w:val="00DB13CB"/>
    <w:rsid w:val="00DB4FBE"/>
    <w:rsid w:val="00DB523F"/>
    <w:rsid w:val="00DB52E0"/>
    <w:rsid w:val="00DB5E95"/>
    <w:rsid w:val="00DB6062"/>
    <w:rsid w:val="00DB7775"/>
    <w:rsid w:val="00DB799B"/>
    <w:rsid w:val="00DC1549"/>
    <w:rsid w:val="00DC1889"/>
    <w:rsid w:val="00DC1EEC"/>
    <w:rsid w:val="00DC2D99"/>
    <w:rsid w:val="00DC57CD"/>
    <w:rsid w:val="00DC6593"/>
    <w:rsid w:val="00DD2682"/>
    <w:rsid w:val="00DD2796"/>
    <w:rsid w:val="00DD35B0"/>
    <w:rsid w:val="00DD4E7A"/>
    <w:rsid w:val="00DD6533"/>
    <w:rsid w:val="00DD718B"/>
    <w:rsid w:val="00DE15D8"/>
    <w:rsid w:val="00DE26D9"/>
    <w:rsid w:val="00DE3DF8"/>
    <w:rsid w:val="00DE4E0C"/>
    <w:rsid w:val="00DE50FF"/>
    <w:rsid w:val="00DE60DC"/>
    <w:rsid w:val="00DE68CB"/>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389F"/>
    <w:rsid w:val="00E25157"/>
    <w:rsid w:val="00E27F78"/>
    <w:rsid w:val="00E30F8E"/>
    <w:rsid w:val="00E3122D"/>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208C"/>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1C6A"/>
    <w:rsid w:val="00E92F00"/>
    <w:rsid w:val="00E94AF4"/>
    <w:rsid w:val="00E94E34"/>
    <w:rsid w:val="00E957A4"/>
    <w:rsid w:val="00E97093"/>
    <w:rsid w:val="00EA0CF2"/>
    <w:rsid w:val="00EA0D20"/>
    <w:rsid w:val="00EA2325"/>
    <w:rsid w:val="00EA3AE4"/>
    <w:rsid w:val="00EA4A33"/>
    <w:rsid w:val="00EA58E6"/>
    <w:rsid w:val="00EA5D83"/>
    <w:rsid w:val="00EA6184"/>
    <w:rsid w:val="00EA6BDC"/>
    <w:rsid w:val="00EB0C83"/>
    <w:rsid w:val="00EB1912"/>
    <w:rsid w:val="00EB1C08"/>
    <w:rsid w:val="00EB2A3A"/>
    <w:rsid w:val="00EB34A6"/>
    <w:rsid w:val="00EB4C2F"/>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5C95"/>
    <w:rsid w:val="00EE68B7"/>
    <w:rsid w:val="00EE7609"/>
    <w:rsid w:val="00EE782C"/>
    <w:rsid w:val="00EF2E9D"/>
    <w:rsid w:val="00EF3B34"/>
    <w:rsid w:val="00EF71E8"/>
    <w:rsid w:val="00EF7A31"/>
    <w:rsid w:val="00EF7B2E"/>
    <w:rsid w:val="00F0015C"/>
    <w:rsid w:val="00F02003"/>
    <w:rsid w:val="00F0705E"/>
    <w:rsid w:val="00F071BE"/>
    <w:rsid w:val="00F10CF0"/>
    <w:rsid w:val="00F13918"/>
    <w:rsid w:val="00F15CFE"/>
    <w:rsid w:val="00F171C6"/>
    <w:rsid w:val="00F1773A"/>
    <w:rsid w:val="00F17E88"/>
    <w:rsid w:val="00F17F8C"/>
    <w:rsid w:val="00F229AC"/>
    <w:rsid w:val="00F252CD"/>
    <w:rsid w:val="00F2554C"/>
    <w:rsid w:val="00F260BE"/>
    <w:rsid w:val="00F27BD2"/>
    <w:rsid w:val="00F3030A"/>
    <w:rsid w:val="00F31DEE"/>
    <w:rsid w:val="00F32BF6"/>
    <w:rsid w:val="00F33388"/>
    <w:rsid w:val="00F33E4D"/>
    <w:rsid w:val="00F34178"/>
    <w:rsid w:val="00F34BCA"/>
    <w:rsid w:val="00F36723"/>
    <w:rsid w:val="00F37D13"/>
    <w:rsid w:val="00F405E9"/>
    <w:rsid w:val="00F43533"/>
    <w:rsid w:val="00F440BC"/>
    <w:rsid w:val="00F462DB"/>
    <w:rsid w:val="00F46842"/>
    <w:rsid w:val="00F47EAC"/>
    <w:rsid w:val="00F5019F"/>
    <w:rsid w:val="00F50C29"/>
    <w:rsid w:val="00F51F05"/>
    <w:rsid w:val="00F532D6"/>
    <w:rsid w:val="00F56114"/>
    <w:rsid w:val="00F573CC"/>
    <w:rsid w:val="00F57EAD"/>
    <w:rsid w:val="00F601B4"/>
    <w:rsid w:val="00F62C65"/>
    <w:rsid w:val="00F63290"/>
    <w:rsid w:val="00F652A6"/>
    <w:rsid w:val="00F66728"/>
    <w:rsid w:val="00F67649"/>
    <w:rsid w:val="00F67C9A"/>
    <w:rsid w:val="00F7072E"/>
    <w:rsid w:val="00F71C27"/>
    <w:rsid w:val="00F7283C"/>
    <w:rsid w:val="00F741CB"/>
    <w:rsid w:val="00F74FF8"/>
    <w:rsid w:val="00F7776D"/>
    <w:rsid w:val="00F80315"/>
    <w:rsid w:val="00F823FF"/>
    <w:rsid w:val="00F827A7"/>
    <w:rsid w:val="00F84AF9"/>
    <w:rsid w:val="00F85BB1"/>
    <w:rsid w:val="00F8697C"/>
    <w:rsid w:val="00F904F9"/>
    <w:rsid w:val="00F90ACE"/>
    <w:rsid w:val="00F9157A"/>
    <w:rsid w:val="00F916E8"/>
    <w:rsid w:val="00F91707"/>
    <w:rsid w:val="00F919C9"/>
    <w:rsid w:val="00F91EF0"/>
    <w:rsid w:val="00F92596"/>
    <w:rsid w:val="00F95973"/>
    <w:rsid w:val="00FA0F0D"/>
    <w:rsid w:val="00FA243A"/>
    <w:rsid w:val="00FA4C93"/>
    <w:rsid w:val="00FA5FC1"/>
    <w:rsid w:val="00FA7931"/>
    <w:rsid w:val="00FA7BAA"/>
    <w:rsid w:val="00FB012C"/>
    <w:rsid w:val="00FB2200"/>
    <w:rsid w:val="00FB37E2"/>
    <w:rsid w:val="00FB38ED"/>
    <w:rsid w:val="00FB6E02"/>
    <w:rsid w:val="00FB72D9"/>
    <w:rsid w:val="00FB7E9F"/>
    <w:rsid w:val="00FC02BD"/>
    <w:rsid w:val="00FC0F42"/>
    <w:rsid w:val="00FC2365"/>
    <w:rsid w:val="00FC24FF"/>
    <w:rsid w:val="00FC3F18"/>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iPriority w:val="99"/>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customStyle="1" w:styleId="cf01">
    <w:name w:val="cf01"/>
    <w:basedOn w:val="DefaultParagraphFont"/>
    <w:rsid w:val="001F65F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pa.gov/natural-gas-star-program/oil-and-gas-equipment-and-service-providers-directory" TargetMode="External" /><Relationship Id="rId11" Type="http://schemas.openxmlformats.org/officeDocument/2006/relationships/hyperlink" Target="mailto:mcarr@sjindustries.com" TargetMode="External" /><Relationship Id="rId12" Type="http://schemas.openxmlformats.org/officeDocument/2006/relationships/hyperlink" Target="mailto:James.roush@cmsenergy.com"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lcf76f155ced4ddcb4097134ff3c332f xmlns="083044a9-a286-4394-88a4-9e6f987db6ba">
      <Terms xmlns="http://schemas.microsoft.com/office/infopath/2007/PartnerControls"/>
    </lcf76f155ced4ddcb4097134ff3c332f>
    <DateVersionFinalized xmlns="083044a9-a286-4394-88a4-9e6f987db6ba" xsi:nil="true"/>
    <_dlc_DocId xmlns="53234b3b-bd85-46f9-96f0-0025e43774af">XMR4K2FQXKJU-1532969082-116057</_dlc_DocId>
    <_dlc_DocIdUrl xmlns="53234b3b-bd85-46f9-96f0-0025e43774af">
      <Url>https://usepa.sharepoint.com/sites/GasSTAR/_layouts/15/DocIdRedir.aspx?ID=XMR4K2FQXKJU-1532969082-116057</Url>
      <Description>XMR4K2FQXKJU-1532969082-116057</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89950E74566BA4A9E496115F2145A35" ma:contentTypeVersion="65" ma:contentTypeDescription="Create a new document." ma:contentTypeScope="" ma:versionID="753a1c881f80820777d4a7677f27b74c">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83044a9-a286-4394-88a4-9e6f987db6ba" xmlns:ns6="53234b3b-bd85-46f9-96f0-0025e43774af" targetNamespace="http://schemas.microsoft.com/office/2006/metadata/properties" ma:root="true" ma:fieldsID="7c2765f676bd0606ac0801c45b8e20e1" ns1:_="" ns2:_="" ns3:_="" ns4:_="" ns5:_="" ns6:_="">
    <xsd:import namespace="http://schemas.microsoft.com/sharepoint/v3"/>
    <xsd:import namespace="4ffa91fb-a0ff-4ac5-b2db-65c790d184a4"/>
    <xsd:import namespace="http://schemas.microsoft.com/sharepoint.v3"/>
    <xsd:import namespace="http://schemas.microsoft.com/sharepoint/v3/fields"/>
    <xsd:import namespace="083044a9-a286-4394-88a4-9e6f987db6ba"/>
    <xsd:import namespace="53234b3b-bd85-46f9-96f0-0025e43774af"/>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ServiceOCR" minOccurs="0"/>
                <xsd:element ref="ns5:MediaServiceDateTaken" minOccurs="0"/>
                <xsd:element ref="ns5:MediaServiceLocation" minOccurs="0"/>
                <xsd:element ref="ns5:DateVersionFinalized" minOccurs="0"/>
                <xsd:element ref="ns6:_dlc_DocId" minOccurs="0"/>
                <xsd:element ref="ns6:_dlc_DocIdUrl" minOccurs="0"/>
                <xsd:element ref="ns6:_dlc_DocIdPersistId" minOccurs="0"/>
                <xsd:element ref="ns5:MediaServiceAutoKeyPoints" minOccurs="0"/>
                <xsd:element ref="ns5:MediaServiceKeyPoints" minOccurs="0"/>
                <xsd:element ref="ns1:_ip_UnifiedCompliancePolicyProperties" minOccurs="0"/>
                <xsd:element ref="ns1:_ip_UnifiedCompliancePolicyUIAction" minOccurs="0"/>
                <xsd:element ref="ns5:MediaLengthInSeconds" minOccurs="0"/>
                <xsd:element ref="ns5:lcf76f155ced4ddcb4097134ff3c332f"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44" nillable="true" ma:displayName="Unified Compliance Policy Properties" ma:hidden="true" ma:internalName="_ip_UnifiedCompliancePolicyProperties">
      <xsd:simpleType>
        <xsd:restriction base="dms:Note"/>
      </xsd:simpleType>
    </xsd:element>
    <xsd:element name="_ip_UnifiedCompliancePolicyUIAction" ma:index="4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7ed78f11-d1b6-4cf8-8429-36c7a5160c50}" ma:internalName="TaxCatchAllLabel" ma:readOnly="true" ma:showField="CatchAllDataLabel" ma:web="53234b3b-bd85-46f9-96f0-0025e43774af">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7ed78f11-d1b6-4cf8-8429-36c7a5160c50}" ma:internalName="TaxCatchAll" ma:showField="CatchAllData" ma:web="53234b3b-bd85-46f9-96f0-0025e43774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3044a9-a286-4394-88a4-9e6f987db6ba"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DateTaken" ma:index="36" nillable="true" ma:displayName="MediaServiceDateTaken" ma:hidden="true" ma:internalName="MediaServiceDateTaken"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DateVersionFinalized" ma:index="38" nillable="true" ma:displayName="Date Version Finalized" ma:description="This is the date that the particular version of the file was done; included for sorting purposes" ma:format="DateOnly" ma:internalName="DateVersionFinalized">
      <xsd:simpleType>
        <xsd:restriction base="dms:DateTime"/>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element name="MediaLengthInSeconds" ma:index="46" nillable="true" ma:displayName="MediaLengthInSeconds" ma:hidden="true" ma:internalName="MediaLengthInSeconds" ma:readOnly="true">
      <xsd:simpleType>
        <xsd:restriction base="dms:Unknown"/>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234b3b-bd85-46f9-96f0-0025e43774af"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_dlc_DocId" ma:index="39" nillable="true" ma:displayName="Document ID Value" ma:description="The value of the document ID assigned to this item." ma:internalName="_dlc_DocId" ma:readOnly="true">
      <xsd:simpleType>
        <xsd:restriction base="dms:Text"/>
      </xsd:simpleType>
    </xsd:element>
    <xsd:element name="_dlc_DocIdUrl" ma:index="4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3D8C8B-B810-46D9-85D4-43C505A3034E}">
  <ds:schemaRefs>
    <ds:schemaRef ds:uri="Microsoft.SharePoint.Taxonomy.ContentTypeSync"/>
  </ds:schemaRefs>
</ds:datastoreItem>
</file>

<file path=customXml/itemProps2.xml><?xml version="1.0" encoding="utf-8"?>
<ds:datastoreItem xmlns:ds="http://schemas.openxmlformats.org/officeDocument/2006/customXml" ds:itemID="{00E1035B-CE75-4345-A4BF-627BACA5A3F0}">
  <ds:schemaRefs>
    <ds:schemaRef ds:uri="http://schemas.microsoft.com/sharepoint/events"/>
  </ds:schemaRefs>
</ds:datastoreItem>
</file>

<file path=customXml/itemProps3.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083044a9-a286-4394-88a4-9e6f987db6ba"/>
    <ds:schemaRef ds:uri="53234b3b-bd85-46f9-96f0-0025e43774af"/>
  </ds:schemaRefs>
</ds:datastoreItem>
</file>

<file path=customXml/itemProps4.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5.xml><?xml version="1.0" encoding="utf-8"?>
<ds:datastoreItem xmlns:ds="http://schemas.openxmlformats.org/officeDocument/2006/customXml" ds:itemID="{4419746D-AF60-4D63-80E1-2CB851D3F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83044a9-a286-4394-88a4-9e6f987db6ba"/>
    <ds:schemaRef ds:uri="53234b3b-bd85-46f9-96f0-0025e4377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AC11DD8-5415-43A4-B697-62AC812BCC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10</Pages>
  <Words>3725</Words>
  <Characters>21237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24913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Meluch, Andrew (he/him/his)</cp:lastModifiedBy>
  <cp:revision>12</cp:revision>
  <cp:lastPrinted>2024-08-08T12:35:00Z</cp:lastPrinted>
  <dcterms:created xsi:type="dcterms:W3CDTF">2024-08-20T13:17:00Z</dcterms:created>
  <dcterms:modified xsi:type="dcterms:W3CDTF">2024-08-20T14:23:00Z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0x010100589950E74566BA4A9E496115F2145A35</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MediaServiceImageTags">
    <vt:lpwstr/>
  </property>
  <property fmtid="{D5CDD505-2E9C-101B-9397-08002B2CF9AE}" pid="8" name="TaxKeyword">
    <vt:lpwstr/>
  </property>
  <property fmtid="{D5CDD505-2E9C-101B-9397-08002B2CF9AE}" pid="9" name="_dlc_DocIdItemGuid">
    <vt:lpwstr>6916de77-abba-40cf-8dd5-bd2b373d5bec</vt:lpwstr>
  </property>
  <property fmtid="{D5CDD505-2E9C-101B-9397-08002B2CF9AE}" pid="10" name="_ExtendedDescription">
    <vt:lpwstr/>
  </property>
</Properties>
</file>