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152836D1">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5A7988" w:rsidR="005A7988">
        <w:rPr>
          <w:rFonts w:asciiTheme="minorHAnsi" w:hAnsiTheme="minorHAnsi" w:cstheme="minorHAnsi"/>
          <w:color w:val="000000" w:themeColor="text1"/>
          <w:sz w:val="22"/>
          <w:szCs w:val="22"/>
        </w:rPr>
        <w:t>NSPS for VOC Emissions from Petroleum Refinery Wastewater Systems (40 CFR Part 60, Subpart QQQ) (Renewal)</w:t>
      </w:r>
    </w:p>
    <w:p w:rsidR="00EE2403" w:rsidRPr="008B3B3E" w:rsidP="00940939" w14:paraId="71D5121E" w14:textId="48764AA0">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5A7988">
        <w:rPr>
          <w:rFonts w:asciiTheme="minorHAnsi" w:hAnsiTheme="minorHAnsi" w:cstheme="minorHAnsi"/>
          <w:color w:val="000000" w:themeColor="text1"/>
          <w:sz w:val="22"/>
          <w:szCs w:val="22"/>
        </w:rPr>
        <w:t>2060-0172</w:t>
      </w:r>
    </w:p>
    <w:p w:rsidR="00EE2403" w:rsidRPr="008B3B3E" w:rsidP="00940939" w14:paraId="4FB77BCA" w14:textId="48E1A0F5">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5A7988">
        <w:rPr>
          <w:rFonts w:asciiTheme="minorHAnsi" w:hAnsiTheme="minorHAnsi" w:cstheme="minorHAnsi"/>
          <w:color w:val="000000" w:themeColor="text1"/>
          <w:sz w:val="22"/>
          <w:szCs w:val="22"/>
        </w:rPr>
        <w:t>1136.14</w:t>
      </w:r>
    </w:p>
    <w:p w:rsidR="0011244C" w:rsidP="00940939" w14:paraId="671E1787" w14:textId="40C01249">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C23CBE" w:rsidP="00C23CBE" w14:paraId="51B52E23" w14:textId="77777777">
      <w:pPr>
        <w:spacing w:line="259" w:lineRule="auto"/>
        <w:ind w:left="0" w:firstLine="0"/>
      </w:pPr>
      <w:r>
        <w:t>The New Source Performance Standards (NSPS) for VOC Emissions from Petroleum Refinery Wastewater Systems (40 CFR Part 60, Subpart QQQ) were proposed on May 4, 1987; and promulgated on November 23, 1988. These regulations apply to existing facilities and new wastewater systems at petroleum refineries, and cover individual drain systems, oil-water separators, and aggregate facilities. An individual drain system consists of all process drains connected to the first downstream junction box. An oil-water separator is the wastewater treatment equipment used to separate oil from water. An aggregate facility is an individual drain system together with ancillary downstream sewer lines and oil-water separators, down to and including the secondary oil-water separator, as applicable. Aggregate facilities are intended to capture any potential VOC emissions within the petroleum refinery wastewater system during expansions of and additions to the system. New facilities include those that commenced construction, modification, or reconstruction after the date of proposal. This information is being collected to assure compliance with 40 CFR Part 60, Subpart QQQ.</w:t>
      </w:r>
    </w:p>
    <w:p w:rsidR="00C23CBE" w:rsidP="00C23CBE" w14:paraId="2EB7DC58" w14:textId="77777777">
      <w:pPr>
        <w:spacing w:line="259" w:lineRule="auto"/>
        <w:ind w:left="0" w:firstLine="0"/>
      </w:pPr>
      <w:r>
        <w:t xml:space="preserve">In general, all NSPS standards require initial notifications, performance tests, and periodic reports by the owners/operators of the affected facilities. They are also required to maintain records of the occurrence and duration of any startup, or shutdown, or malfunction in the operation of an affected facility, or any period during which the monitoring system is inoperative. These notifications, reports, and records are essential in determining compliance, and are required of all affected facilities subject to NSPS. </w:t>
      </w:r>
    </w:p>
    <w:p w:rsidR="00C23CBE" w:rsidP="00C23CBE" w14:paraId="5E8CD776" w14:textId="77777777">
      <w:pPr>
        <w:spacing w:line="259" w:lineRule="auto"/>
        <w:ind w:left="0" w:firstLine="0"/>
      </w:pPr>
      <w:r>
        <w:t xml:space="preserve">Any owner/operator subject to the provisions of this part shall maintain a file of these measurements and retain the file for at least two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If there is no such delegated authority, the EPA’s regional offices can review them. All other reports are sent to either the delegated state or local authority. If there is no such delegated authority, the reports are sent directly to the EPA’s regional offices. The use of the term "Designated Administrator" throughout this document refers to the U.S. EPA or a delegated authority, such as a state agency. The term “Administrator” alone refers to the U.S. EPA Administrator. </w:t>
      </w:r>
    </w:p>
    <w:p w:rsidR="00C23CBE" w:rsidP="00C23CBE" w14:paraId="5C32AC3F" w14:textId="77777777">
      <w:pPr>
        <w:spacing w:line="259" w:lineRule="auto"/>
        <w:ind w:left="0" w:firstLine="0"/>
      </w:pPr>
      <w:r>
        <w:t xml:space="preserve">There are approximately 130 wastewater systems with VOC emissions facilities, which are owned and operated by the petroleum refinery industry. None of the 130 facilities in the United States are owned by either state, or local, or tribal entities or by the Federal government. They are all owned and operated by privately-owned, for-profit businesses. We assume that they will all respond to EPA </w:t>
      </w:r>
      <w:r>
        <w:t xml:space="preserve">inquiries. The ‘burden’ to the “Affected Public” may be found at the end of this document in Table 1: Annual Respondent Burden and Cost – NSPS for VOC Emissions from Petroleum Refinery Wastewater Systems (40 CFR Part 60, Subpart QQQ) (Renewal). The ‘burden’ to the Federal government is attributed entirely to work performed by either Federal employees or government contractors and may be found at the end of this document in Table 2: Average Annual EPA Burden and Cost – NSPS for VOC Emissions from Petroleum Refinery Wastewater Systems (40 CFR Part 60, Subpart QQQ) (Renewal). </w:t>
      </w:r>
    </w:p>
    <w:p w:rsidR="00C23CBE" w:rsidP="00C23CBE" w14:paraId="1F06D9AF" w14:textId="77777777">
      <w:pPr>
        <w:spacing w:line="259" w:lineRule="auto"/>
        <w:ind w:left="0" w:firstLine="0"/>
      </w:pPr>
      <w:r>
        <w:t>Based on our consultations with industry representatives, there is an average of 1 affected facility at each plant site and each plant site has only one respondent (i.e., the owner/operator of the plant site).</w:t>
      </w:r>
    </w:p>
    <w:p w:rsidR="00C23CBE" w:rsidP="00C23CBE" w14:paraId="64D9DE85" w14:textId="77777777">
      <w:pPr>
        <w:spacing w:line="259" w:lineRule="auto"/>
        <w:ind w:left="0" w:firstLine="0"/>
      </w:pPr>
      <w:r>
        <w:t xml:space="preserve">Over the next three years, approximately 130 respondents per year will be subject to these standards, and no additional respondents per year will become subject to these same standards. </w:t>
      </w:r>
    </w:p>
    <w:p w:rsidR="00C23CBE" w:rsidRPr="00C23CBE" w:rsidP="00C23CBE" w14:paraId="0E099121" w14:textId="153A8D41">
      <w:pPr>
        <w:spacing w:line="259" w:lineRule="auto"/>
        <w:ind w:left="0" w:firstLine="0"/>
      </w:pPr>
      <w:r>
        <w:t>Over the next three years, approximately 130 respondents per year will be subject to these standards, and no additional respondents per year will become subject to these same standards. In renewing the currently approved ICR, the agency has reviewed the number of respondents in industry and updated the burden estimates accordingly. This ICR reflects a decrease in the number of respondents following a review of EPA’s Enforcement and Compliance History Online (ECHO) database and industry consultation. In this case, we identified 6 number of sources based on consolidation within the industry. Due to this consolidation, we assume no new sources will appear over the next three years.</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CA7F4C" w:rsidRPr="00CA7F4C" w:rsidP="00CA7F4C" w14:paraId="2A20CA94" w14:textId="69A3377F">
      <w:pPr>
        <w:spacing w:line="259" w:lineRule="auto"/>
        <w:ind w:left="0" w:firstLine="0"/>
        <w:rPr>
          <w:rFonts w:cstheme="minorHAnsi"/>
        </w:rPr>
      </w:pPr>
      <w:r w:rsidRPr="00CA7F4C">
        <w:rPr>
          <w:rFonts w:cstheme="minorHAnsi"/>
        </w:rPr>
        <w:t>EPA is charged under Section 111 of the Clean Air Act (CAA), as amended, to establish standards of performance for new stationary sources that reflect:</w:t>
      </w:r>
      <w:r>
        <w:rPr>
          <w:rFonts w:cstheme="minorHAnsi"/>
        </w:rPr>
        <w:t xml:space="preserve"> </w:t>
      </w:r>
      <w:r w:rsidR="00CD5818">
        <w:rPr>
          <w:rFonts w:cstheme="minorHAnsi"/>
        </w:rPr>
        <w:t>“</w:t>
      </w:r>
      <w:r w:rsidRPr="00CA7F4C">
        <w:rPr>
          <w:rFonts w:cstheme="minorHAnsi"/>
        </w:rPr>
        <w:t>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r w:rsidR="00CD5818">
        <w:rPr>
          <w:rFonts w:cstheme="minorHAnsi"/>
        </w:rPr>
        <w:t>”</w:t>
      </w:r>
    </w:p>
    <w:p w:rsidR="00CA7F4C" w:rsidP="00CA7F4C" w14:paraId="4EA18A9E" w14:textId="3EBCEAC8">
      <w:pPr>
        <w:spacing w:line="259" w:lineRule="auto"/>
        <w:ind w:left="0" w:firstLine="0"/>
        <w:rPr>
          <w:rFonts w:cstheme="minorHAnsi"/>
        </w:rPr>
      </w:pPr>
      <w:r w:rsidRPr="00CA7F4C">
        <w:rPr>
          <w:rFonts w:cstheme="minorHAnsi"/>
        </w:rPr>
        <w:t>The Agency refers to this charge as selecting the best demonstrated technology (BDT). Section 111 also requires that the Administrator review and, if appropriate, revise such standards every eight years.</w:t>
      </w:r>
    </w:p>
    <w:p w:rsidR="00CA7F4C" w:rsidP="00CA7F4C" w14:paraId="21DD9DF5" w14:textId="0D87CF5C">
      <w:pPr>
        <w:spacing w:line="259" w:lineRule="auto"/>
        <w:ind w:left="0" w:firstLine="0"/>
        <w:rPr>
          <w:rFonts w:cstheme="minorHAnsi"/>
        </w:rPr>
      </w:pPr>
      <w:r w:rsidRPr="00CA7F4C">
        <w:rPr>
          <w:rFonts w:cstheme="minorHAnsi"/>
        </w:rPr>
        <w:t>In addition, section 114(a) states that the Administrator may require any owner/operator subject to any requirement of this Act to:</w:t>
      </w:r>
      <w:r>
        <w:rPr>
          <w:rFonts w:cstheme="minorHAnsi"/>
        </w:rPr>
        <w:t xml:space="preserve"> </w:t>
      </w:r>
      <w:r w:rsidR="00CD5818">
        <w:rPr>
          <w:rFonts w:cstheme="minorHAnsi"/>
        </w:rPr>
        <w:t>“</w:t>
      </w:r>
      <w:r w:rsidRPr="00CA7F4C">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r w:rsidR="00CD5818">
        <w:rPr>
          <w:rFonts w:cstheme="minorHAnsi"/>
        </w:rPr>
        <w:t>”</w:t>
      </w:r>
    </w:p>
    <w:p w:rsidR="00CA7F4C" w:rsidRPr="008B3B3E" w:rsidP="00354979" w14:paraId="0548DEA7" w14:textId="09D6FDDD">
      <w:pPr>
        <w:spacing w:line="259" w:lineRule="auto"/>
        <w:ind w:left="0" w:firstLine="0"/>
        <w:rPr>
          <w:rFonts w:cstheme="minorHAnsi"/>
        </w:rPr>
      </w:pPr>
      <w:r w:rsidRPr="00CA7F4C">
        <w:rPr>
          <w:rFonts w:cstheme="minorHAnsi"/>
        </w:rPr>
        <w:t xml:space="preserve">In the Administrator's judgment, volatile organic compound (VOC) emissions from petroleum refinery wastewater systems either cause or contribute to air pollution that may reasonably be anticipated to </w:t>
      </w:r>
      <w:r w:rsidRPr="00CA7F4C">
        <w:rPr>
          <w:rFonts w:cstheme="minorHAnsi"/>
        </w:rPr>
        <w:t>endanger public health and/or welfare. Therefore, the NSPS promulgated for this source category at 40 CFR Part 60, Subpart QQQ.</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024257" w:rsidRPr="00024257" w:rsidP="00024257" w14:paraId="02BBFF35" w14:textId="6FDCC0F9">
      <w:pPr>
        <w:spacing w:line="259" w:lineRule="auto"/>
        <w:ind w:left="0" w:firstLine="0"/>
        <w:rPr>
          <w:rFonts w:cstheme="minorHAnsi"/>
        </w:rPr>
      </w:pPr>
      <w:r w:rsidRPr="00024257">
        <w:rPr>
          <w:rFonts w:cstheme="minorHAnsi"/>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024257" w:rsidRPr="00024257" w:rsidP="00024257" w14:paraId="354032B4" w14:textId="77777777">
      <w:pPr>
        <w:spacing w:line="259" w:lineRule="auto"/>
        <w:ind w:left="0" w:firstLine="0"/>
        <w:rPr>
          <w:rFonts w:cstheme="minorHAnsi"/>
        </w:rPr>
      </w:pPr>
      <w:r w:rsidRPr="00024257">
        <w:rPr>
          <w:rFonts w:cstheme="minorHAnsi"/>
        </w:rPr>
        <w:t>Performance tests are required in order to determine an affected facility’s initial capability to comply with these emission standards. Continuous emission monitors are used to ensure compliance with these same standards at all times. During the performance test a record of the operating parameters under which compliance was achieved may be recorded and used to determine compliance in place of a continuous emission monitor.</w:t>
      </w:r>
    </w:p>
    <w:p w:rsidR="00024257" w:rsidRPr="00024257" w:rsidP="00024257" w14:paraId="609881FB" w14:textId="77777777">
      <w:pPr>
        <w:spacing w:line="259" w:lineRule="auto"/>
        <w:ind w:left="0" w:firstLine="0"/>
        <w:rPr>
          <w:rFonts w:cstheme="minorHAnsi"/>
        </w:rPr>
      </w:pPr>
      <w:r w:rsidRPr="00024257">
        <w:rPr>
          <w:rFonts w:cstheme="minorHAnsi"/>
        </w:rPr>
        <w:t>The notifications required in these standards are used to inform the Agency or its delegated authority when a source becomes subject to the requirements of these regulations. The reviewing authority may then inspect the source to check if the pollution control devices are properly installed and operated, leaks are being detected and repaired, and that these standards are being met. The performance test may also be observed.</w:t>
      </w:r>
    </w:p>
    <w:p w:rsidR="00BB432F" w:rsidRPr="008B3B3E" w:rsidP="00024257" w14:paraId="1E879A61" w14:textId="2AA7DD97">
      <w:pPr>
        <w:spacing w:line="259" w:lineRule="auto"/>
        <w:ind w:left="0" w:firstLine="0"/>
        <w:rPr>
          <w:rFonts w:cstheme="minorHAnsi"/>
          <w:color w:val="000000" w:themeColor="text1"/>
        </w:rPr>
      </w:pPr>
      <w:r w:rsidRPr="00024257">
        <w:rPr>
          <w:rFonts w:cstheme="minorHAnsi"/>
        </w:rPr>
        <w:t>The required semiannual reports are used to determine periods of excess emissions, identify problems at the facility, verify operation/maintenance procedures and for compliance determinations.</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C1134" w:rsidRPr="00DC1134" w:rsidP="000E63B5" w14:paraId="6FCEE8DA" w14:textId="3DB72A1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DC1134">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both comply with the emission standards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DC1134" w:rsidRPr="00DC1134" w:rsidP="000E63B5" w14:paraId="61E8E338"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DC1134">
        <w:rPr>
          <w:rFonts w:cstheme="minorHAnsi"/>
        </w:rPr>
        <w:t>Information contained in the reports is reported by state and local governments in the ICIS Air database, which is operated and maintained by EPA's Office of Compliance. The EPA uses ICIS for tracking air pollution compliance and enforcement by local and state regulatory agencies, EPA’s regional offices, and EPA headquarters. The EPA and its delegated Authorities can edit, store, retrieve and analyze the data.</w:t>
      </w:r>
    </w:p>
    <w:p w:rsidR="009F1E00" w:rsidP="000E63B5" w14:paraId="7B30150C" w14:textId="4A1C67F2">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DC1134">
        <w:rPr>
          <w:rFonts w:cstheme="minorHAnsi"/>
        </w:rPr>
        <w:t xml:space="preserve"> The records required by this regulation must be retained by the owner/operator for two years.</w:t>
      </w:r>
    </w:p>
    <w:p w:rsidR="00DF22C4" w:rsidRPr="008B3B3E" w:rsidP="000E63B5" w14:paraId="4772598D" w14:textId="267780D4">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DF22C4">
        <w:rPr>
          <w:rFonts w:cstheme="minorHAnsi"/>
        </w:rPr>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0E63B5" w:rsidRPr="000E63B5" w:rsidP="000E63B5" w14:paraId="0F90F4D0" w14:textId="31418005">
      <w:pPr>
        <w:spacing w:line="259" w:lineRule="auto"/>
        <w:ind w:left="0" w:firstLine="0"/>
        <w:rPr>
          <w:rFonts w:cstheme="minorHAnsi"/>
        </w:rPr>
      </w:pPr>
      <w:r w:rsidRPr="000E63B5">
        <w:rPr>
          <w:rFonts w:cstheme="minorHAnsi"/>
        </w:rPr>
        <w:t xml:space="preserve">For reports required to be submitted electronically, the information is sent through the EPA's CDX, using CEDRI, where the appropriate EPA regional office can review it, as well as for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8B3B3E" w:rsidP="000E63B5" w14:paraId="0E470EF3" w14:textId="38D91BAE">
      <w:pPr>
        <w:spacing w:line="259" w:lineRule="auto"/>
        <w:ind w:left="0" w:firstLine="0"/>
        <w:rPr>
          <w:rFonts w:cstheme="minorHAnsi"/>
          <w:shd w:val="clear" w:color="auto" w:fill="FFFFFF"/>
        </w:rPr>
      </w:pPr>
      <w:r w:rsidRPr="000E63B5">
        <w:rPr>
          <w:rFonts w:cstheme="minorHAnsi"/>
        </w:rPr>
        <w:t>For all other reports, if the subject standards have not been delegated, the information is sent directly to the appropriate EPA regional office. Otherwise, the information is sent directly to either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2"/>
      <w:r w:rsidRPr="008B3B3E">
        <w:rPr>
          <w:rFonts w:asciiTheme="minorHAnsi" w:hAnsiTheme="minorHAnsi" w:cstheme="minorHAnsi"/>
          <w:b/>
          <w:bCs/>
          <w:color w:val="000000" w:themeColor="text1"/>
          <w:sz w:val="22"/>
          <w:szCs w:val="22"/>
        </w:rPr>
        <w:t>MINIMIZING BURDEN ON SMALL ENTITIES</w:t>
      </w:r>
      <w:bookmarkEnd w:id="5"/>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F64AAD" w14:paraId="518B46AB" w14:textId="2C627957">
      <w:pPr>
        <w:spacing w:line="259" w:lineRule="auto"/>
        <w:ind w:left="0" w:firstLine="0"/>
        <w:rPr>
          <w:rFonts w:cstheme="minorHAnsi"/>
        </w:rPr>
      </w:pPr>
      <w:r w:rsidRPr="00F64AAD">
        <w:rPr>
          <w:rFonts w:cstheme="minorHAnsi"/>
        </w:rPr>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3"/>
      <w:r w:rsidRPr="008B3B3E">
        <w:rPr>
          <w:rFonts w:asciiTheme="minorHAnsi" w:hAnsiTheme="minorHAnsi" w:cstheme="minorHAnsi"/>
          <w:b/>
          <w:bCs/>
          <w:color w:val="000000" w:themeColor="text1"/>
          <w:sz w:val="22"/>
          <w:szCs w:val="22"/>
        </w:rPr>
        <w:t>EFFECTS OF LESS FREQUENT COLLECTION</w:t>
      </w:r>
      <w:bookmarkEnd w:id="6"/>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81118" w:rsidP="00681118" w14:paraId="5934FB28" w14:textId="4AF3134F">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681118">
        <w:rPr>
          <w:rFonts w:cstheme="minorHAnsi"/>
        </w:rPr>
        <w:t>Less-frequent information collection would decrease the margin of assurance that facilities are continuing to meet these standards. Requirements for information gathering and recordkeeping are useful techniques to ensure that good operation and maintenance practices are applied and that emission limitations are met. If the information required by these standards was collected less-frequently,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7" w:name="_Toc156593374"/>
      <w:r w:rsidRPr="008B3B3E">
        <w:rPr>
          <w:rFonts w:asciiTheme="minorHAnsi" w:hAnsiTheme="minorHAnsi" w:cstheme="minorHAnsi"/>
          <w:b/>
          <w:bCs/>
          <w:color w:val="000000" w:themeColor="text1"/>
          <w:sz w:val="22"/>
          <w:szCs w:val="22"/>
        </w:rPr>
        <w:t>GENERAL GUIDELINES</w:t>
      </w:r>
      <w:bookmarkEnd w:id="7"/>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111663" w:rsidRPr="00A35BF1" w:rsidP="00A35BF1" w14:paraId="775EDF16" w14:textId="2891B6AA">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815D6F">
        <w:rPr>
          <w:rFonts w:cstheme="minorHAnsi"/>
        </w:rPr>
        <w:t>These reporting or recordkeeping requirements do not violate any of the regulations promulgated by OMB under 5 CFR Part 1320, Section 1320.5.</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8" w:name="_Toc156593375"/>
      <w:r w:rsidRPr="008B3B3E">
        <w:rPr>
          <w:rFonts w:asciiTheme="minorHAnsi" w:hAnsiTheme="minorHAnsi" w:cstheme="minorHAnsi"/>
          <w:b/>
          <w:bCs/>
          <w:color w:val="000000" w:themeColor="text1"/>
          <w:sz w:val="22"/>
          <w:szCs w:val="22"/>
        </w:rPr>
        <w:t>PUBLIC COMMENT AND CONSULTATIONS</w:t>
      </w:r>
      <w:bookmarkStart w:id="9" w:name="_Toc156593376"/>
      <w:bookmarkEnd w:id="8"/>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0" w:name="_Toc156593377"/>
      <w:bookmarkEnd w:id="9"/>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8B3B3E" w:rsidP="00A35BF1" w14:paraId="102C4D0F" w14:textId="535349E2">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A35BF1">
        <w:rPr>
          <w:rFonts w:cstheme="minorHAnsi"/>
        </w:rPr>
        <w:t xml:space="preserve">An announcement of a public comment period for the renewal of this ICR was published in the </w:t>
      </w:r>
      <w:r w:rsidRPr="002709F2">
        <w:rPr>
          <w:rFonts w:cstheme="minorHAnsi"/>
          <w:i/>
          <w:iCs/>
        </w:rPr>
        <w:t>Federal Register</w:t>
      </w:r>
      <w:r w:rsidRPr="00A35BF1">
        <w:rPr>
          <w:rFonts w:cstheme="minorHAnsi"/>
        </w:rPr>
        <w:t xml:space="preserve"> (87 FR 43843) on July 22, 2022. No comments were received on the burden published in the </w:t>
      </w:r>
      <w:r w:rsidRPr="002709F2">
        <w:rPr>
          <w:rFonts w:cstheme="minorHAnsi"/>
          <w:i/>
          <w:iCs/>
        </w:rPr>
        <w:t>Federal Register</w:t>
      </w:r>
      <w:r w:rsidRPr="00A35BF1">
        <w:rPr>
          <w:rFonts w:cstheme="minorHAnsi"/>
        </w:rPr>
        <w:t xml:space="preserve"> for this renewal.</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0"/>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F3A42" w:rsidRPr="004F3A42" w:rsidP="004F3A42" w14:paraId="21BF85DD" w14:textId="1991DD31">
      <w:pPr>
        <w:spacing w:line="259" w:lineRule="auto"/>
        <w:ind w:left="0" w:firstLine="0"/>
        <w:rPr>
          <w:rFonts w:cstheme="minorHAnsi"/>
        </w:rPr>
      </w:pPr>
      <w:r w:rsidRPr="004F3A42">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130 respondents will be subject to these standards over the three-year period covered by this ICR.</w:t>
      </w:r>
    </w:p>
    <w:p w:rsidR="004F3A42" w:rsidRPr="004F3A42" w:rsidP="004F3A42" w14:paraId="6922F077" w14:textId="77777777">
      <w:pPr>
        <w:spacing w:line="259" w:lineRule="auto"/>
        <w:ind w:left="0" w:firstLine="0"/>
        <w:rPr>
          <w:rFonts w:cstheme="minorHAnsi"/>
        </w:rPr>
      </w:pPr>
      <w:r w:rsidRPr="004F3A42">
        <w:rPr>
          <w:rFonts w:cstheme="minorHAnsi"/>
        </w:rPr>
        <w:t>Industry trade associations and other interested parties were provided an opportunity to comment on the burden associated with these standards as they were being developed and these standards have been reviewed previously to determine the minimum information needed for compliance purposes. In developing this ICR, we contacted both the American Petroleum Institute, at (202) 682-8000, and the American Fuel &amp; Petrochemical Manufacturers, at (202) 457-0480.</w:t>
      </w:r>
    </w:p>
    <w:p w:rsidR="00940939" w:rsidRPr="00940939" w:rsidP="004F3A42" w14:paraId="09E7F150" w14:textId="6CBED0D6">
      <w:pPr>
        <w:spacing w:line="259" w:lineRule="auto"/>
        <w:ind w:left="0" w:firstLine="0"/>
        <w:rPr>
          <w:rFonts w:cstheme="minorHAnsi"/>
        </w:rPr>
      </w:pPr>
      <w:r w:rsidRPr="004F3A42">
        <w:rPr>
          <w:rFonts w:cstheme="minorHAnsi"/>
        </w:rPr>
        <w:t>It is our policy to respond after a thorough review of comments received since the last ICR renewal, as well as for those submitted in response to the first Federal Register notice. In this case, no comments were received.</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1" w:name="_Toc156593378"/>
      <w:r w:rsidRPr="00940939">
        <w:rPr>
          <w:rFonts w:asciiTheme="minorHAnsi" w:hAnsiTheme="minorHAnsi" w:cstheme="minorHAnsi"/>
          <w:b/>
          <w:bCs/>
          <w:color w:val="auto"/>
          <w:sz w:val="22"/>
          <w:szCs w:val="22"/>
        </w:rPr>
        <w:t>PAYMENTS OR GIFTS TO RESPONDENTS</w:t>
      </w:r>
      <w:bookmarkEnd w:id="11"/>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750C9C" w:rsidRPr="00750C9C" w:rsidP="000F2C6E" w14:paraId="6F506917" w14:textId="168B827C">
      <w:pPr>
        <w:spacing w:line="259" w:lineRule="auto"/>
        <w:ind w:left="0" w:firstLine="0"/>
        <w:rPr>
          <w:rFonts w:cstheme="minorHAnsi"/>
        </w:rPr>
      </w:pPr>
      <w:r w:rsidRPr="002709F2">
        <w:rPr>
          <w:rFonts w:ascii="Calibri" w:hAnsi="Calibri" w:cs="Calibri"/>
          <w:shd w:val="clear" w:color="auto" w:fill="FFFFFF"/>
        </w:rPr>
        <w:t>The Agency does not intend to provide payments or gifts to respondents as part of this collection.</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9"/>
      <w:r w:rsidRPr="008B3B3E">
        <w:rPr>
          <w:rFonts w:asciiTheme="minorHAnsi" w:hAnsiTheme="minorHAnsi" w:cstheme="minorHAnsi"/>
          <w:b/>
          <w:bCs/>
          <w:color w:val="000000" w:themeColor="text1"/>
          <w:sz w:val="22"/>
          <w:szCs w:val="22"/>
        </w:rPr>
        <w:t>PROVISIONS FOR PROTECTION OF INFORMATION</w:t>
      </w:r>
      <w:bookmarkEnd w:id="12"/>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D67C55" w:rsidP="000F2C6E" w14:paraId="3676EBC5" w14:textId="2EF7BD08">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0F2C6E">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3" w:name="_Toc156593380"/>
      <w:r w:rsidRPr="008B3B3E">
        <w:rPr>
          <w:rFonts w:asciiTheme="minorHAnsi" w:hAnsiTheme="minorHAnsi" w:cstheme="minorHAnsi"/>
          <w:b/>
          <w:bCs/>
          <w:color w:val="000000" w:themeColor="text1"/>
          <w:sz w:val="22"/>
          <w:szCs w:val="22"/>
        </w:rPr>
        <w:t>JUSTIFICATION FOR SENSITIVE QUESTIONS</w:t>
      </w:r>
      <w:bookmarkEnd w:id="13"/>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D67C55" w:rsidP="00D67C55" w14:paraId="77467D05" w14:textId="59325A00">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AC4A70">
        <w:rPr>
          <w:rFonts w:cstheme="minorHAnsi"/>
        </w:rPr>
        <w:t>The reporting or recordkeeping requirements in these standards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81"/>
      <w:r w:rsidRPr="008B3B3E">
        <w:rPr>
          <w:rFonts w:asciiTheme="minorHAnsi" w:hAnsiTheme="minorHAnsi" w:cstheme="minorHAnsi"/>
          <w:b/>
          <w:bCs/>
          <w:color w:val="000000" w:themeColor="text1"/>
          <w:sz w:val="22"/>
          <w:szCs w:val="22"/>
        </w:rPr>
        <w:t>RESPONDENT BURDEN HOURS AND LABOR COSTS</w:t>
      </w:r>
      <w:bookmarkStart w:id="15" w:name="_Toc156593382"/>
      <w:bookmarkEnd w:id="14"/>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6" w:name="_Toc156593383"/>
      <w:bookmarkEnd w:id="15"/>
    </w:p>
    <w:p w:rsidR="00BB3410" w:rsidP="0088513F" w14:paraId="0DA69975" w14:textId="254C04FE">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D67C55">
        <w:rPr>
          <w:rFonts w:cstheme="minorHAnsi"/>
        </w:rPr>
        <w:t>The respondents to the recordkeeping and reporting requirements are petroleum refineries that have one or more subject wastewater systems. The United States Standard Industrial Classification (SIC) code for the respondents affected by the standards is SIC 2911 which corresponds to the North American Industry Classification System (NAICS) code 324110 for petroleum refineries.</w:t>
      </w:r>
    </w:p>
    <w:p w:rsidR="0088513F" w:rsidP="0088513F" w14:paraId="7741B7A5" w14:textId="0AC8493A">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88513F">
        <w:rPr>
          <w:rFonts w:cstheme="minorHAnsi"/>
          <w:color w:val="000000"/>
        </w:rPr>
        <w:t xml:space="preserve">Based on our research for this ICR, on average over the next three years, approximately 130 existing respondents will be subject to these standards. It is estimated that no additional respondents per year </w:t>
      </w:r>
      <w:r w:rsidRPr="0088513F">
        <w:rPr>
          <w:rFonts w:cstheme="minorHAnsi"/>
          <w:color w:val="000000"/>
        </w:rPr>
        <w:t>will become subject. The overall average number of respondents, as shown in the table below, is 130 per year.</w:t>
      </w:r>
    </w:p>
    <w:p w:rsidR="0088513F" w:rsidP="0088513F" w14:paraId="30087105" w14:textId="22F1F8F9">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88513F">
        <w:rPr>
          <w:rFonts w:cstheme="minorHAnsi"/>
          <w:color w:val="000000"/>
        </w:rPr>
        <w:t>The number of respondents is calculated using the following table that addresses the three years covered by this ICR:</w:t>
      </w:r>
    </w:p>
    <w:tbl>
      <w:tblPr>
        <w:tblW w:w="9478" w:type="dxa"/>
        <w:tblInd w:w="-9" w:type="dxa"/>
        <w:tblLayout w:type="fixed"/>
        <w:tblCellMar>
          <w:left w:w="110" w:type="dxa"/>
          <w:right w:w="110" w:type="dxa"/>
        </w:tblCellMar>
        <w:tblLook w:val="0000"/>
      </w:tblPr>
      <w:tblGrid>
        <w:gridCol w:w="1019"/>
        <w:gridCol w:w="1597"/>
        <w:gridCol w:w="1282"/>
        <w:gridCol w:w="2070"/>
        <w:gridCol w:w="1800"/>
        <w:gridCol w:w="1710"/>
      </w:tblGrid>
      <w:tr w14:paraId="5AC29521" w14:textId="77777777" w:rsidTr="0088513F">
        <w:tblPrEx>
          <w:tblW w:w="9478" w:type="dxa"/>
          <w:tblInd w:w="-9" w:type="dxa"/>
          <w:tblLayout w:type="fixed"/>
          <w:tblCellMar>
            <w:left w:w="110" w:type="dxa"/>
            <w:right w:w="110" w:type="dxa"/>
          </w:tblCellMar>
          <w:tblLook w:val="0000"/>
        </w:tblPrEx>
        <w:trPr>
          <w:tblHeader/>
        </w:trPr>
        <w:tc>
          <w:tcPr>
            <w:tcW w:w="9478" w:type="dxa"/>
            <w:gridSpan w:val="6"/>
            <w:tcBorders>
              <w:top w:val="single" w:sz="7" w:space="0" w:color="000000"/>
              <w:left w:val="single" w:sz="7" w:space="0" w:color="000000"/>
              <w:bottom w:val="single" w:sz="6" w:space="0" w:color="FFFFFF"/>
              <w:right w:val="single" w:sz="7" w:space="0" w:color="000000"/>
            </w:tcBorders>
          </w:tcPr>
          <w:p w:rsidR="0088513F" w:rsidRPr="0088513F" w:rsidP="0088513F" w14:paraId="46FFB4A9"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b/>
                <w:bCs/>
                <w:color w:val="000000"/>
              </w:rPr>
            </w:pPr>
            <w:r w:rsidRPr="0088513F">
              <w:rPr>
                <w:rFonts w:cstheme="minorHAnsi"/>
                <w:b/>
                <w:bCs/>
                <w:color w:val="000000"/>
              </w:rPr>
              <w:t>Number of Respondents</w:t>
            </w:r>
          </w:p>
        </w:tc>
      </w:tr>
      <w:tr w14:paraId="4FA927D9" w14:textId="77777777" w:rsidTr="0088513F">
        <w:tblPrEx>
          <w:tblW w:w="9478" w:type="dxa"/>
          <w:tblInd w:w="-9" w:type="dxa"/>
          <w:tblLayout w:type="fixed"/>
          <w:tblCellMar>
            <w:left w:w="110" w:type="dxa"/>
            <w:right w:w="110" w:type="dxa"/>
          </w:tblCellMar>
          <w:tblLook w:val="0000"/>
        </w:tblPrEx>
        <w:trPr>
          <w:trHeight w:val="856"/>
        </w:trPr>
        <w:tc>
          <w:tcPr>
            <w:tcW w:w="1019" w:type="dxa"/>
            <w:tcBorders>
              <w:top w:val="single" w:sz="7" w:space="0" w:color="000000"/>
              <w:left w:val="single" w:sz="7" w:space="0" w:color="000000"/>
              <w:bottom w:val="single" w:sz="6" w:space="0" w:color="FFFFFF"/>
              <w:right w:val="single" w:sz="6" w:space="0" w:color="FFFFFF"/>
            </w:tcBorders>
          </w:tcPr>
          <w:p w:rsidR="0088513F" w:rsidRPr="0088513F" w:rsidP="0088513F" w14:paraId="2BE3634D"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p>
        </w:tc>
        <w:tc>
          <w:tcPr>
            <w:tcW w:w="2879" w:type="dxa"/>
            <w:gridSpan w:val="2"/>
            <w:tcBorders>
              <w:top w:val="single" w:sz="7" w:space="0" w:color="000000"/>
              <w:left w:val="single" w:sz="7" w:space="0" w:color="000000"/>
              <w:bottom w:val="single" w:sz="6" w:space="0" w:color="FFFFFF"/>
              <w:right w:val="single" w:sz="6" w:space="0" w:color="FFFFFF"/>
            </w:tcBorders>
          </w:tcPr>
          <w:p w:rsidR="0088513F" w:rsidRPr="0088513F" w:rsidP="0088513F" w14:paraId="3FCAA3BE"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88513F" w:rsidRPr="0088513F" w:rsidP="0088513F" w14:paraId="66834F56"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88513F" w:rsidRPr="0088513F" w:rsidP="0088513F" w14:paraId="2A13AB8E"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p>
        </w:tc>
      </w:tr>
      <w:tr w14:paraId="425A3072" w14:textId="77777777" w:rsidTr="0088513F">
        <w:tblPrEx>
          <w:tblW w:w="9478" w:type="dxa"/>
          <w:tblInd w:w="-9" w:type="dxa"/>
          <w:tblLayout w:type="fixed"/>
          <w:tblCellMar>
            <w:left w:w="110" w:type="dxa"/>
            <w:right w:w="110" w:type="dxa"/>
          </w:tblCellMar>
          <w:tblLook w:val="0000"/>
        </w:tblPrEx>
        <w:tc>
          <w:tcPr>
            <w:tcW w:w="1019" w:type="dxa"/>
            <w:tcBorders>
              <w:top w:val="single" w:sz="7" w:space="0" w:color="000000"/>
              <w:left w:val="single" w:sz="7" w:space="0" w:color="000000"/>
              <w:bottom w:val="single" w:sz="8" w:space="0" w:color="000000"/>
              <w:right w:val="single" w:sz="6" w:space="0" w:color="FFFFFF"/>
            </w:tcBorders>
          </w:tcPr>
          <w:p w:rsidR="0088513F" w:rsidRPr="0088513F" w:rsidP="0088513F" w14:paraId="3E63EF52"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p>
          <w:p w:rsidR="0088513F" w:rsidRPr="0088513F" w:rsidP="0088513F" w14:paraId="1AE0E339"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Year</w:t>
            </w:r>
          </w:p>
        </w:tc>
        <w:tc>
          <w:tcPr>
            <w:tcW w:w="1597" w:type="dxa"/>
            <w:tcBorders>
              <w:top w:val="single" w:sz="7" w:space="0" w:color="000000"/>
              <w:left w:val="single" w:sz="7" w:space="0" w:color="000000"/>
              <w:bottom w:val="single" w:sz="8" w:space="0" w:color="000000"/>
              <w:right w:val="single" w:sz="6" w:space="0" w:color="FFFFFF"/>
            </w:tcBorders>
          </w:tcPr>
          <w:p w:rsidR="0088513F" w:rsidRPr="0088513F" w:rsidP="0088513F" w14:paraId="1C6CEC9B"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(A)</w:t>
            </w:r>
          </w:p>
          <w:p w:rsidR="0088513F" w:rsidRPr="0088513F" w:rsidP="0088513F" w14:paraId="19BDB03B"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 xml:space="preserve">Number of New Respondents </w:t>
            </w:r>
            <w:r w:rsidRPr="0088513F">
              <w:rPr>
                <w:rFonts w:cstheme="minorHAnsi"/>
                <w:color w:val="00000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88513F" w:rsidRPr="0088513F" w:rsidP="0088513F" w14:paraId="37B6D34A"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(B)</w:t>
            </w:r>
          </w:p>
          <w:p w:rsidR="0088513F" w:rsidRPr="0088513F" w:rsidP="0088513F" w14:paraId="7BD485F6"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88513F" w:rsidRPr="0088513F" w:rsidP="0088513F" w14:paraId="3C9A3A1E"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(C)</w:t>
            </w:r>
          </w:p>
          <w:p w:rsidR="0088513F" w:rsidRPr="0088513F" w:rsidP="0088513F" w14:paraId="03B45A08"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88513F" w:rsidRPr="0088513F" w:rsidP="0088513F" w14:paraId="35F6A6A7"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(D)</w:t>
            </w:r>
          </w:p>
          <w:p w:rsidR="0088513F" w:rsidRPr="0088513F" w:rsidP="0088513F" w14:paraId="52641C13"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88513F" w:rsidRPr="0088513F" w:rsidP="0088513F" w14:paraId="422749D7"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(E)</w:t>
            </w:r>
          </w:p>
          <w:p w:rsidR="0088513F" w:rsidRPr="0088513F" w:rsidP="0088513F" w14:paraId="7848A241"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Number of Respondents</w:t>
            </w:r>
          </w:p>
          <w:p w:rsidR="0088513F" w:rsidRPr="0088513F" w:rsidP="0088513F" w14:paraId="1585A010"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(E=A+B+C-D)</w:t>
            </w:r>
          </w:p>
        </w:tc>
      </w:tr>
      <w:tr w14:paraId="08CB018E" w14:textId="77777777" w:rsidTr="0088513F">
        <w:tblPrEx>
          <w:tblW w:w="9478" w:type="dxa"/>
          <w:tblInd w:w="-9" w:type="dxa"/>
          <w:tblLayout w:type="fixed"/>
          <w:tblCellMar>
            <w:left w:w="110" w:type="dxa"/>
            <w:right w:w="110" w:type="dxa"/>
          </w:tblCellMar>
          <w:tblLook w:val="0000"/>
        </w:tblPrEx>
        <w:tc>
          <w:tcPr>
            <w:tcW w:w="1019" w:type="dxa"/>
            <w:tcBorders>
              <w:top w:val="single" w:sz="8" w:space="0" w:color="000000"/>
              <w:left w:val="single" w:sz="8" w:space="0" w:color="000000"/>
              <w:bottom w:val="single" w:sz="6" w:space="0" w:color="000000"/>
              <w:right w:val="single" w:sz="6" w:space="0" w:color="000000"/>
            </w:tcBorders>
          </w:tcPr>
          <w:p w:rsidR="0088513F" w:rsidRPr="0088513F" w:rsidP="0088513F" w14:paraId="19016CD1"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88513F" w:rsidRPr="0088513F" w:rsidP="0088513F" w14:paraId="66B85AE0"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88513F" w:rsidRPr="0088513F" w:rsidP="0088513F" w14:paraId="4983321E"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130</w:t>
            </w:r>
          </w:p>
        </w:tc>
        <w:tc>
          <w:tcPr>
            <w:tcW w:w="2070" w:type="dxa"/>
            <w:tcBorders>
              <w:top w:val="single" w:sz="4" w:space="0" w:color="auto"/>
              <w:left w:val="nil"/>
              <w:bottom w:val="single" w:sz="4" w:space="0" w:color="auto"/>
              <w:right w:val="single" w:sz="4" w:space="0" w:color="auto"/>
            </w:tcBorders>
            <w:shd w:val="clear" w:color="auto" w:fill="auto"/>
            <w:vAlign w:val="center"/>
          </w:tcPr>
          <w:p w:rsidR="0088513F" w:rsidRPr="0088513F" w:rsidP="0088513F" w14:paraId="49269492"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88513F" w:rsidRPr="0088513F" w:rsidP="0088513F" w14:paraId="681E7F8D"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0</w:t>
            </w:r>
          </w:p>
        </w:tc>
        <w:tc>
          <w:tcPr>
            <w:tcW w:w="1710" w:type="dxa"/>
            <w:tcBorders>
              <w:top w:val="single" w:sz="4" w:space="0" w:color="auto"/>
              <w:left w:val="nil"/>
              <w:bottom w:val="single" w:sz="4" w:space="0" w:color="auto"/>
              <w:right w:val="single" w:sz="4" w:space="0" w:color="auto"/>
            </w:tcBorders>
            <w:shd w:val="clear" w:color="auto" w:fill="auto"/>
            <w:vAlign w:val="center"/>
          </w:tcPr>
          <w:p w:rsidR="0088513F" w:rsidRPr="0088513F" w:rsidP="0088513F" w14:paraId="75102E3E"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130</w:t>
            </w:r>
          </w:p>
        </w:tc>
      </w:tr>
      <w:tr w14:paraId="787513A5" w14:textId="77777777" w:rsidTr="0088513F">
        <w:tblPrEx>
          <w:tblW w:w="9478" w:type="dxa"/>
          <w:tblInd w:w="-9" w:type="dxa"/>
          <w:tblLayout w:type="fixed"/>
          <w:tblCellMar>
            <w:left w:w="110" w:type="dxa"/>
            <w:right w:w="110" w:type="dxa"/>
          </w:tblCellMar>
          <w:tblLook w:val="0000"/>
        </w:tblPrEx>
        <w:tc>
          <w:tcPr>
            <w:tcW w:w="1019" w:type="dxa"/>
            <w:tcBorders>
              <w:top w:val="single" w:sz="6" w:space="0" w:color="000000"/>
              <w:left w:val="single" w:sz="8" w:space="0" w:color="000000"/>
              <w:bottom w:val="single" w:sz="6" w:space="0" w:color="000000"/>
              <w:right w:val="single" w:sz="6" w:space="0" w:color="000000"/>
            </w:tcBorders>
          </w:tcPr>
          <w:p w:rsidR="0088513F" w:rsidRPr="0088513F" w:rsidP="0088513F" w14:paraId="6F074FF8"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88513F" w:rsidRPr="0088513F" w:rsidP="0088513F" w14:paraId="0693BD75"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0</w:t>
            </w:r>
          </w:p>
        </w:tc>
        <w:tc>
          <w:tcPr>
            <w:tcW w:w="1282" w:type="dxa"/>
            <w:tcBorders>
              <w:top w:val="nil"/>
              <w:left w:val="nil"/>
              <w:bottom w:val="single" w:sz="4" w:space="0" w:color="auto"/>
              <w:right w:val="single" w:sz="4" w:space="0" w:color="auto"/>
            </w:tcBorders>
            <w:shd w:val="clear" w:color="auto" w:fill="auto"/>
            <w:vAlign w:val="center"/>
          </w:tcPr>
          <w:p w:rsidR="0088513F" w:rsidRPr="0088513F" w:rsidP="0088513F" w14:paraId="6CD7D564"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130</w:t>
            </w:r>
          </w:p>
        </w:tc>
        <w:tc>
          <w:tcPr>
            <w:tcW w:w="2070" w:type="dxa"/>
            <w:tcBorders>
              <w:top w:val="nil"/>
              <w:left w:val="nil"/>
              <w:bottom w:val="single" w:sz="4" w:space="0" w:color="auto"/>
              <w:right w:val="single" w:sz="4" w:space="0" w:color="auto"/>
            </w:tcBorders>
            <w:shd w:val="clear" w:color="auto" w:fill="auto"/>
            <w:vAlign w:val="center"/>
          </w:tcPr>
          <w:p w:rsidR="0088513F" w:rsidRPr="0088513F" w:rsidP="0088513F" w14:paraId="2F225DC2"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0</w:t>
            </w:r>
          </w:p>
        </w:tc>
        <w:tc>
          <w:tcPr>
            <w:tcW w:w="1800" w:type="dxa"/>
            <w:tcBorders>
              <w:top w:val="nil"/>
              <w:left w:val="nil"/>
              <w:bottom w:val="single" w:sz="4" w:space="0" w:color="auto"/>
              <w:right w:val="single" w:sz="4" w:space="0" w:color="auto"/>
            </w:tcBorders>
            <w:shd w:val="clear" w:color="auto" w:fill="auto"/>
            <w:vAlign w:val="center"/>
          </w:tcPr>
          <w:p w:rsidR="0088513F" w:rsidRPr="0088513F" w:rsidP="0088513F" w14:paraId="54739BD7"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0</w:t>
            </w:r>
          </w:p>
        </w:tc>
        <w:tc>
          <w:tcPr>
            <w:tcW w:w="1710" w:type="dxa"/>
            <w:tcBorders>
              <w:top w:val="nil"/>
              <w:left w:val="nil"/>
              <w:bottom w:val="single" w:sz="4" w:space="0" w:color="auto"/>
              <w:right w:val="single" w:sz="4" w:space="0" w:color="auto"/>
            </w:tcBorders>
            <w:shd w:val="clear" w:color="auto" w:fill="auto"/>
            <w:vAlign w:val="center"/>
          </w:tcPr>
          <w:p w:rsidR="0088513F" w:rsidRPr="0088513F" w:rsidP="0088513F" w14:paraId="722E6211"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130</w:t>
            </w:r>
          </w:p>
        </w:tc>
      </w:tr>
      <w:tr w14:paraId="121066BA" w14:textId="77777777" w:rsidTr="0088513F">
        <w:tblPrEx>
          <w:tblW w:w="9478" w:type="dxa"/>
          <w:tblInd w:w="-9" w:type="dxa"/>
          <w:tblLayout w:type="fixed"/>
          <w:tblCellMar>
            <w:left w:w="110" w:type="dxa"/>
            <w:right w:w="110" w:type="dxa"/>
          </w:tblCellMar>
          <w:tblLook w:val="0000"/>
        </w:tblPrEx>
        <w:tc>
          <w:tcPr>
            <w:tcW w:w="1019" w:type="dxa"/>
            <w:tcBorders>
              <w:top w:val="single" w:sz="6" w:space="0" w:color="000000"/>
              <w:left w:val="single" w:sz="8" w:space="0" w:color="000000"/>
              <w:bottom w:val="single" w:sz="6" w:space="0" w:color="000000"/>
              <w:right w:val="single" w:sz="6" w:space="0" w:color="000000"/>
            </w:tcBorders>
          </w:tcPr>
          <w:p w:rsidR="0088513F" w:rsidRPr="0088513F" w:rsidP="0088513F" w14:paraId="3E7F8951"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88513F" w:rsidRPr="0088513F" w:rsidP="0088513F" w14:paraId="3DC3C350"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0</w:t>
            </w:r>
          </w:p>
        </w:tc>
        <w:tc>
          <w:tcPr>
            <w:tcW w:w="1282" w:type="dxa"/>
            <w:tcBorders>
              <w:top w:val="nil"/>
              <w:left w:val="nil"/>
              <w:bottom w:val="single" w:sz="4" w:space="0" w:color="auto"/>
              <w:right w:val="single" w:sz="4" w:space="0" w:color="auto"/>
            </w:tcBorders>
            <w:shd w:val="clear" w:color="auto" w:fill="auto"/>
            <w:vAlign w:val="center"/>
          </w:tcPr>
          <w:p w:rsidR="0088513F" w:rsidRPr="0088513F" w:rsidP="0088513F" w14:paraId="1A28BA91"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130</w:t>
            </w:r>
          </w:p>
        </w:tc>
        <w:tc>
          <w:tcPr>
            <w:tcW w:w="2070" w:type="dxa"/>
            <w:tcBorders>
              <w:top w:val="nil"/>
              <w:left w:val="nil"/>
              <w:bottom w:val="single" w:sz="4" w:space="0" w:color="auto"/>
              <w:right w:val="single" w:sz="4" w:space="0" w:color="auto"/>
            </w:tcBorders>
            <w:shd w:val="clear" w:color="auto" w:fill="auto"/>
            <w:vAlign w:val="center"/>
          </w:tcPr>
          <w:p w:rsidR="0088513F" w:rsidRPr="0088513F" w:rsidP="0088513F" w14:paraId="278A12BC"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0</w:t>
            </w:r>
          </w:p>
        </w:tc>
        <w:tc>
          <w:tcPr>
            <w:tcW w:w="1800" w:type="dxa"/>
            <w:tcBorders>
              <w:top w:val="nil"/>
              <w:left w:val="nil"/>
              <w:bottom w:val="single" w:sz="4" w:space="0" w:color="auto"/>
              <w:right w:val="single" w:sz="4" w:space="0" w:color="auto"/>
            </w:tcBorders>
            <w:shd w:val="clear" w:color="auto" w:fill="auto"/>
            <w:vAlign w:val="center"/>
          </w:tcPr>
          <w:p w:rsidR="0088513F" w:rsidRPr="0088513F" w:rsidP="0088513F" w14:paraId="76FD89C4"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0</w:t>
            </w:r>
          </w:p>
        </w:tc>
        <w:tc>
          <w:tcPr>
            <w:tcW w:w="1710" w:type="dxa"/>
            <w:tcBorders>
              <w:top w:val="nil"/>
              <w:left w:val="nil"/>
              <w:bottom w:val="single" w:sz="4" w:space="0" w:color="auto"/>
              <w:right w:val="single" w:sz="4" w:space="0" w:color="auto"/>
            </w:tcBorders>
            <w:shd w:val="clear" w:color="auto" w:fill="auto"/>
            <w:vAlign w:val="center"/>
          </w:tcPr>
          <w:p w:rsidR="0088513F" w:rsidRPr="0088513F" w:rsidP="0088513F" w14:paraId="779B0B60"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130</w:t>
            </w:r>
          </w:p>
        </w:tc>
      </w:tr>
      <w:tr w14:paraId="26F9DA5E" w14:textId="77777777" w:rsidTr="0088513F">
        <w:tblPrEx>
          <w:tblW w:w="9478" w:type="dxa"/>
          <w:tblInd w:w="-9" w:type="dxa"/>
          <w:tblLayout w:type="fixed"/>
          <w:tblCellMar>
            <w:left w:w="110" w:type="dxa"/>
            <w:right w:w="110" w:type="dxa"/>
          </w:tblCellMar>
          <w:tblLook w:val="0000"/>
        </w:tblPrEx>
        <w:tc>
          <w:tcPr>
            <w:tcW w:w="1019" w:type="dxa"/>
            <w:tcBorders>
              <w:top w:val="single" w:sz="6" w:space="0" w:color="000000"/>
              <w:left w:val="single" w:sz="8" w:space="0" w:color="000000"/>
              <w:bottom w:val="single" w:sz="8" w:space="0" w:color="000000"/>
              <w:right w:val="single" w:sz="6" w:space="0" w:color="000000"/>
            </w:tcBorders>
          </w:tcPr>
          <w:p w:rsidR="0088513F" w:rsidRPr="0088513F" w:rsidP="0088513F" w14:paraId="1A41A2FF"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88513F" w:rsidRPr="0088513F" w:rsidP="0088513F" w14:paraId="6316D7AB"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0</w:t>
            </w:r>
          </w:p>
        </w:tc>
        <w:tc>
          <w:tcPr>
            <w:tcW w:w="1282" w:type="dxa"/>
            <w:tcBorders>
              <w:top w:val="nil"/>
              <w:left w:val="nil"/>
              <w:bottom w:val="single" w:sz="4" w:space="0" w:color="auto"/>
              <w:right w:val="single" w:sz="4" w:space="0" w:color="auto"/>
            </w:tcBorders>
            <w:shd w:val="clear" w:color="auto" w:fill="auto"/>
            <w:vAlign w:val="center"/>
          </w:tcPr>
          <w:p w:rsidR="0088513F" w:rsidRPr="0088513F" w:rsidP="0088513F" w14:paraId="7E5C9C73"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130</w:t>
            </w:r>
          </w:p>
        </w:tc>
        <w:tc>
          <w:tcPr>
            <w:tcW w:w="2070" w:type="dxa"/>
            <w:tcBorders>
              <w:top w:val="nil"/>
              <w:left w:val="nil"/>
              <w:bottom w:val="single" w:sz="4" w:space="0" w:color="auto"/>
              <w:right w:val="single" w:sz="4" w:space="0" w:color="auto"/>
            </w:tcBorders>
            <w:shd w:val="clear" w:color="auto" w:fill="auto"/>
            <w:vAlign w:val="center"/>
          </w:tcPr>
          <w:p w:rsidR="0088513F" w:rsidRPr="0088513F" w:rsidP="0088513F" w14:paraId="41EAE61B"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0</w:t>
            </w:r>
          </w:p>
        </w:tc>
        <w:tc>
          <w:tcPr>
            <w:tcW w:w="1800" w:type="dxa"/>
            <w:tcBorders>
              <w:top w:val="nil"/>
              <w:left w:val="nil"/>
              <w:bottom w:val="single" w:sz="4" w:space="0" w:color="auto"/>
              <w:right w:val="single" w:sz="4" w:space="0" w:color="auto"/>
            </w:tcBorders>
            <w:shd w:val="clear" w:color="auto" w:fill="auto"/>
            <w:vAlign w:val="center"/>
          </w:tcPr>
          <w:p w:rsidR="0088513F" w:rsidRPr="0088513F" w:rsidP="0088513F" w14:paraId="6B8A7D3C"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0</w:t>
            </w:r>
          </w:p>
        </w:tc>
        <w:tc>
          <w:tcPr>
            <w:tcW w:w="1710" w:type="dxa"/>
            <w:tcBorders>
              <w:top w:val="nil"/>
              <w:left w:val="nil"/>
              <w:bottom w:val="single" w:sz="4" w:space="0" w:color="auto"/>
              <w:right w:val="single" w:sz="4" w:space="0" w:color="auto"/>
            </w:tcBorders>
            <w:shd w:val="clear" w:color="auto" w:fill="auto"/>
            <w:vAlign w:val="center"/>
          </w:tcPr>
          <w:p w:rsidR="0088513F" w:rsidRPr="0088513F" w:rsidP="0088513F" w14:paraId="3AF3686C"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88513F">
              <w:rPr>
                <w:rFonts w:cstheme="minorHAnsi"/>
                <w:color w:val="000000"/>
              </w:rPr>
              <w:t>130</w:t>
            </w:r>
          </w:p>
        </w:tc>
      </w:tr>
    </w:tbl>
    <w:p w:rsidR="0088513F" w:rsidP="0088513F" w14:paraId="05B06830" w14:textId="18374495">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88513F">
        <w:rPr>
          <w:rFonts w:cstheme="minorHAnsi"/>
          <w:color w:val="000000"/>
          <w:vertAlign w:val="superscript"/>
        </w:rPr>
        <w:t>1</w:t>
      </w:r>
      <w:r w:rsidRPr="0088513F">
        <w:rPr>
          <w:rFonts w:cstheme="minorHAnsi"/>
          <w:color w:val="000000"/>
        </w:rPr>
        <w:t xml:space="preserve"> New respondents include sources with constructed, reconstructed and modified affected facilities.</w:t>
      </w:r>
    </w:p>
    <w:p w:rsidR="0088513F" w:rsidP="00D67C55" w14:paraId="6CB15CD6" w14:textId="133E9213">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88513F">
        <w:rPr>
          <w:rFonts w:cstheme="minorHAnsi"/>
          <w:color w:val="000000"/>
        </w:rPr>
        <w:t>Column D is subtracted to avoid double-counting respondents. As shown above, the average Number of Respondents over the three-year period of this ICR is 130.</w:t>
      </w:r>
    </w:p>
    <w:p w:rsidR="001B711D" w:rsidP="00D67C55" w14:paraId="50773349" w14:textId="3678B4F8">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1B711D">
        <w:rPr>
          <w:rFonts w:cstheme="minorHAnsi"/>
          <w:color w:val="000000"/>
        </w:rPr>
        <w:t>The total number of annual responses per year is calculated using the following table:</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939"/>
        <w:gridCol w:w="1440"/>
        <w:gridCol w:w="1350"/>
        <w:gridCol w:w="2160"/>
        <w:gridCol w:w="1291"/>
      </w:tblGrid>
      <w:tr w14:paraId="0CDF78C5" w14:textId="77777777" w:rsidTr="00C97D0B">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Borders>
              <w:top w:val="single" w:sz="8" w:space="0" w:color="000000"/>
              <w:left w:val="single" w:sz="8" w:space="0" w:color="000000"/>
              <w:bottom w:val="single" w:sz="6" w:space="0" w:color="000000"/>
              <w:right w:val="single" w:sz="8" w:space="0" w:color="000000"/>
            </w:tcBorders>
          </w:tcPr>
          <w:p w:rsidR="001B711D" w:rsidRPr="001B711D" w:rsidP="000E5364" w14:paraId="427490B0"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b/>
                <w:bCs/>
                <w:color w:val="000000"/>
              </w:rPr>
            </w:pPr>
            <w:r w:rsidRPr="001B711D">
              <w:rPr>
                <w:rFonts w:cstheme="minorHAnsi"/>
                <w:b/>
                <w:bCs/>
                <w:color w:val="000000"/>
              </w:rPr>
              <w:t>Total Annual Responses</w:t>
            </w:r>
          </w:p>
        </w:tc>
      </w:tr>
      <w:tr w14:paraId="425F22EF" w14:textId="77777777" w:rsidTr="001B711D">
        <w:tblPrEx>
          <w:tblW w:w="9180" w:type="dxa"/>
          <w:tblInd w:w="201" w:type="dxa"/>
          <w:tblLayout w:type="fixed"/>
          <w:tblCellMar>
            <w:left w:w="111" w:type="dxa"/>
            <w:right w:w="111" w:type="dxa"/>
          </w:tblCellMar>
          <w:tblLook w:val="0000"/>
        </w:tblPrEx>
        <w:trPr>
          <w:tblHeader/>
        </w:trPr>
        <w:tc>
          <w:tcPr>
            <w:tcW w:w="2939" w:type="dxa"/>
          </w:tcPr>
          <w:p w:rsidR="001B711D" w:rsidRPr="001B711D" w:rsidP="000E5364" w14:paraId="6018BFF0"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(A)</w:t>
            </w:r>
          </w:p>
          <w:p w:rsidR="001B711D" w:rsidRPr="001B711D" w:rsidP="000E5364" w14:paraId="7709A224"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Information Collection Activity</w:t>
            </w:r>
          </w:p>
        </w:tc>
        <w:tc>
          <w:tcPr>
            <w:tcW w:w="1440" w:type="dxa"/>
          </w:tcPr>
          <w:p w:rsidR="001B711D" w:rsidRPr="001B711D" w:rsidP="000E5364" w14:paraId="192E6A1A"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(B)</w:t>
            </w:r>
          </w:p>
          <w:p w:rsidR="001B711D" w:rsidRPr="001B711D" w:rsidP="000E5364" w14:paraId="06C27E2D"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Number of Respondents</w:t>
            </w:r>
          </w:p>
        </w:tc>
        <w:tc>
          <w:tcPr>
            <w:tcW w:w="1350" w:type="dxa"/>
          </w:tcPr>
          <w:p w:rsidR="001B711D" w:rsidRPr="001B711D" w:rsidP="000E5364" w14:paraId="3D7AF747"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(C)</w:t>
            </w:r>
          </w:p>
          <w:p w:rsidR="001B711D" w:rsidRPr="001B711D" w:rsidP="000E5364" w14:paraId="48169A05"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Number of Responses</w:t>
            </w:r>
          </w:p>
        </w:tc>
        <w:tc>
          <w:tcPr>
            <w:tcW w:w="2160" w:type="dxa"/>
          </w:tcPr>
          <w:p w:rsidR="001B711D" w:rsidRPr="001B711D" w:rsidP="000E5364" w14:paraId="24F26A0C"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(D)</w:t>
            </w:r>
          </w:p>
          <w:p w:rsidR="001B711D" w:rsidRPr="001B711D" w:rsidP="000E5364" w14:paraId="02DB1B2A"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Number of Existing Respondents That Keep Records But Do Not Submit Reports</w:t>
            </w:r>
          </w:p>
        </w:tc>
        <w:tc>
          <w:tcPr>
            <w:tcW w:w="1291" w:type="dxa"/>
          </w:tcPr>
          <w:p w:rsidR="001B711D" w:rsidRPr="001B711D" w:rsidP="000E5364" w14:paraId="69C5CAF1"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lang w:val="pt-BR"/>
              </w:rPr>
            </w:pPr>
            <w:r w:rsidRPr="001B711D">
              <w:rPr>
                <w:rFonts w:cstheme="minorHAnsi"/>
                <w:color w:val="000000"/>
                <w:lang w:val="pt-BR"/>
              </w:rPr>
              <w:t>(E)</w:t>
            </w:r>
          </w:p>
          <w:p w:rsidR="001B711D" w:rsidRPr="001B711D" w:rsidP="000E5364" w14:paraId="64077051"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lang w:val="pt-BR"/>
              </w:rPr>
            </w:pPr>
            <w:r w:rsidRPr="001B711D">
              <w:rPr>
                <w:rFonts w:cstheme="minorHAnsi"/>
                <w:color w:val="000000"/>
                <w:lang w:val="pt-BR"/>
              </w:rPr>
              <w:t>Total Annual Responses</w:t>
            </w:r>
          </w:p>
          <w:p w:rsidR="001B711D" w:rsidRPr="001B711D" w:rsidP="000E5364" w14:paraId="0C6CBB6E"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lang w:val="pt-BR"/>
              </w:rPr>
            </w:pPr>
            <w:r w:rsidRPr="001B711D">
              <w:rPr>
                <w:rFonts w:cstheme="minorHAnsi"/>
                <w:color w:val="000000"/>
                <w:lang w:val="pt-BR"/>
              </w:rPr>
              <w:t>E=(BxC)+D</w:t>
            </w:r>
          </w:p>
        </w:tc>
      </w:tr>
      <w:tr w14:paraId="58E50A73" w14:textId="77777777" w:rsidTr="001B711D">
        <w:tblPrEx>
          <w:tblW w:w="9180" w:type="dxa"/>
          <w:tblInd w:w="201" w:type="dxa"/>
          <w:tblLayout w:type="fixed"/>
          <w:tblCellMar>
            <w:left w:w="111" w:type="dxa"/>
            <w:right w:w="111" w:type="dxa"/>
          </w:tblCellMar>
          <w:tblLook w:val="0000"/>
        </w:tblPrEx>
        <w:trPr>
          <w:trHeight w:val="366"/>
        </w:trPr>
        <w:tc>
          <w:tcPr>
            <w:tcW w:w="2939" w:type="dxa"/>
            <w:vAlign w:val="center"/>
          </w:tcPr>
          <w:p w:rsidR="001B711D" w:rsidRPr="001B711D" w:rsidP="000E5364" w14:paraId="56CBF899"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Notification of construction/</w:t>
            </w:r>
            <w:r w:rsidRPr="001B711D">
              <w:rPr>
                <w:rFonts w:cstheme="minorHAnsi"/>
                <w:color w:val="000000"/>
              </w:rPr>
              <w:br/>
              <w:t>reconstruction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B711D" w:rsidRPr="001B711D" w:rsidP="000E5364" w14:paraId="6A0CF440"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1B711D" w:rsidRPr="001B711D" w:rsidP="000E5364" w14:paraId="0E031FF5"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1</w:t>
            </w:r>
          </w:p>
        </w:tc>
        <w:tc>
          <w:tcPr>
            <w:tcW w:w="2160" w:type="dxa"/>
            <w:tcBorders>
              <w:top w:val="single" w:sz="4" w:space="0" w:color="auto"/>
              <w:left w:val="nil"/>
              <w:bottom w:val="single" w:sz="4" w:space="0" w:color="auto"/>
              <w:right w:val="single" w:sz="4" w:space="0" w:color="auto"/>
            </w:tcBorders>
            <w:shd w:val="clear" w:color="auto" w:fill="auto"/>
            <w:vAlign w:val="center"/>
          </w:tcPr>
          <w:p w:rsidR="001B711D" w:rsidRPr="001B711D" w:rsidP="000E5364" w14:paraId="28EDB247"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N/A</w:t>
            </w:r>
          </w:p>
        </w:tc>
        <w:tc>
          <w:tcPr>
            <w:tcW w:w="1291" w:type="dxa"/>
            <w:tcBorders>
              <w:top w:val="single" w:sz="4" w:space="0" w:color="auto"/>
              <w:left w:val="nil"/>
              <w:bottom w:val="single" w:sz="4" w:space="0" w:color="auto"/>
              <w:right w:val="single" w:sz="4" w:space="0" w:color="auto"/>
            </w:tcBorders>
            <w:shd w:val="clear" w:color="auto" w:fill="auto"/>
            <w:vAlign w:val="center"/>
          </w:tcPr>
          <w:p w:rsidR="001B711D" w:rsidRPr="001B711D" w:rsidP="000E5364" w14:paraId="41DD1114"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r>
      <w:tr w14:paraId="01E119D8" w14:textId="77777777" w:rsidTr="001B711D">
        <w:tblPrEx>
          <w:tblW w:w="9180" w:type="dxa"/>
          <w:tblInd w:w="201" w:type="dxa"/>
          <w:tblLayout w:type="fixed"/>
          <w:tblCellMar>
            <w:left w:w="111" w:type="dxa"/>
            <w:right w:w="111" w:type="dxa"/>
          </w:tblCellMar>
          <w:tblLook w:val="0000"/>
        </w:tblPrEx>
        <w:trPr>
          <w:trHeight w:val="366"/>
        </w:trPr>
        <w:tc>
          <w:tcPr>
            <w:tcW w:w="2939" w:type="dxa"/>
            <w:vAlign w:val="center"/>
          </w:tcPr>
          <w:p w:rsidR="001B711D" w:rsidRPr="001B711D" w:rsidP="000E5364" w14:paraId="65CEC3FA"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Notification of modification</w:t>
            </w:r>
          </w:p>
        </w:tc>
        <w:tc>
          <w:tcPr>
            <w:tcW w:w="1440" w:type="dxa"/>
            <w:tcBorders>
              <w:top w:val="nil"/>
              <w:left w:val="single" w:sz="4" w:space="0" w:color="auto"/>
              <w:bottom w:val="single" w:sz="4" w:space="0" w:color="auto"/>
              <w:right w:val="single" w:sz="4" w:space="0" w:color="auto"/>
            </w:tcBorders>
            <w:shd w:val="clear" w:color="auto" w:fill="auto"/>
            <w:vAlign w:val="center"/>
          </w:tcPr>
          <w:p w:rsidR="001B711D" w:rsidRPr="001B711D" w:rsidP="000E5364" w14:paraId="484144BB"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c>
          <w:tcPr>
            <w:tcW w:w="1350" w:type="dxa"/>
            <w:tcBorders>
              <w:top w:val="nil"/>
              <w:left w:val="nil"/>
              <w:bottom w:val="single" w:sz="4" w:space="0" w:color="auto"/>
              <w:right w:val="single" w:sz="4" w:space="0" w:color="auto"/>
            </w:tcBorders>
            <w:shd w:val="clear" w:color="auto" w:fill="auto"/>
            <w:vAlign w:val="center"/>
          </w:tcPr>
          <w:p w:rsidR="001B711D" w:rsidRPr="001B711D" w:rsidP="000E5364" w14:paraId="0AF69DE4"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1</w:t>
            </w:r>
          </w:p>
        </w:tc>
        <w:tc>
          <w:tcPr>
            <w:tcW w:w="2160" w:type="dxa"/>
            <w:tcBorders>
              <w:top w:val="nil"/>
              <w:left w:val="nil"/>
              <w:bottom w:val="single" w:sz="4" w:space="0" w:color="auto"/>
              <w:right w:val="single" w:sz="4" w:space="0" w:color="auto"/>
            </w:tcBorders>
            <w:shd w:val="clear" w:color="auto" w:fill="auto"/>
            <w:vAlign w:val="center"/>
          </w:tcPr>
          <w:p w:rsidR="001B711D" w:rsidRPr="001B711D" w:rsidP="000E5364" w14:paraId="3213F325"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N/A</w:t>
            </w:r>
          </w:p>
        </w:tc>
        <w:tc>
          <w:tcPr>
            <w:tcW w:w="1291" w:type="dxa"/>
            <w:tcBorders>
              <w:top w:val="nil"/>
              <w:left w:val="nil"/>
              <w:bottom w:val="single" w:sz="4" w:space="0" w:color="auto"/>
              <w:right w:val="single" w:sz="4" w:space="0" w:color="auto"/>
            </w:tcBorders>
            <w:shd w:val="clear" w:color="auto" w:fill="auto"/>
            <w:vAlign w:val="center"/>
          </w:tcPr>
          <w:p w:rsidR="001B711D" w:rsidRPr="001B711D" w:rsidP="000E5364" w14:paraId="42639893"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r>
      <w:tr w14:paraId="7FF778AC" w14:textId="77777777" w:rsidTr="001B711D">
        <w:tblPrEx>
          <w:tblW w:w="9180" w:type="dxa"/>
          <w:tblInd w:w="201" w:type="dxa"/>
          <w:tblLayout w:type="fixed"/>
          <w:tblCellMar>
            <w:left w:w="111" w:type="dxa"/>
            <w:right w:w="111" w:type="dxa"/>
          </w:tblCellMar>
          <w:tblLook w:val="0000"/>
        </w:tblPrEx>
        <w:trPr>
          <w:trHeight w:val="366"/>
        </w:trPr>
        <w:tc>
          <w:tcPr>
            <w:tcW w:w="2939" w:type="dxa"/>
            <w:vAlign w:val="center"/>
          </w:tcPr>
          <w:p w:rsidR="001B711D" w:rsidRPr="001B711D" w:rsidP="000E5364" w14:paraId="33A93029"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Notification of actual startup</w:t>
            </w:r>
          </w:p>
        </w:tc>
        <w:tc>
          <w:tcPr>
            <w:tcW w:w="1440" w:type="dxa"/>
            <w:tcBorders>
              <w:top w:val="nil"/>
              <w:left w:val="single" w:sz="4" w:space="0" w:color="auto"/>
              <w:bottom w:val="single" w:sz="4" w:space="0" w:color="auto"/>
              <w:right w:val="single" w:sz="4" w:space="0" w:color="auto"/>
            </w:tcBorders>
            <w:shd w:val="clear" w:color="auto" w:fill="auto"/>
            <w:vAlign w:val="center"/>
          </w:tcPr>
          <w:p w:rsidR="001B711D" w:rsidRPr="001B711D" w:rsidP="000E5364" w14:paraId="7CA973AE"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c>
          <w:tcPr>
            <w:tcW w:w="1350" w:type="dxa"/>
            <w:tcBorders>
              <w:top w:val="nil"/>
              <w:left w:val="nil"/>
              <w:bottom w:val="single" w:sz="4" w:space="0" w:color="auto"/>
              <w:right w:val="single" w:sz="4" w:space="0" w:color="auto"/>
            </w:tcBorders>
            <w:shd w:val="clear" w:color="auto" w:fill="auto"/>
            <w:vAlign w:val="center"/>
          </w:tcPr>
          <w:p w:rsidR="001B711D" w:rsidRPr="001B711D" w:rsidP="000E5364" w14:paraId="0BC7C271"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1</w:t>
            </w:r>
          </w:p>
        </w:tc>
        <w:tc>
          <w:tcPr>
            <w:tcW w:w="2160" w:type="dxa"/>
            <w:tcBorders>
              <w:top w:val="nil"/>
              <w:left w:val="nil"/>
              <w:bottom w:val="single" w:sz="4" w:space="0" w:color="auto"/>
              <w:right w:val="single" w:sz="4" w:space="0" w:color="auto"/>
            </w:tcBorders>
            <w:shd w:val="clear" w:color="auto" w:fill="auto"/>
            <w:vAlign w:val="center"/>
          </w:tcPr>
          <w:p w:rsidR="001B711D" w:rsidRPr="001B711D" w:rsidP="000E5364" w14:paraId="097B0FA4"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N/A</w:t>
            </w:r>
          </w:p>
        </w:tc>
        <w:tc>
          <w:tcPr>
            <w:tcW w:w="1291" w:type="dxa"/>
            <w:tcBorders>
              <w:top w:val="nil"/>
              <w:left w:val="nil"/>
              <w:bottom w:val="single" w:sz="4" w:space="0" w:color="auto"/>
              <w:right w:val="single" w:sz="4" w:space="0" w:color="auto"/>
            </w:tcBorders>
            <w:shd w:val="clear" w:color="auto" w:fill="auto"/>
            <w:vAlign w:val="center"/>
          </w:tcPr>
          <w:p w:rsidR="001B711D" w:rsidRPr="001B711D" w:rsidP="000E5364" w14:paraId="5113CEF5"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r>
      <w:tr w14:paraId="069B0BE3" w14:textId="77777777" w:rsidTr="001B711D">
        <w:tblPrEx>
          <w:tblW w:w="9180" w:type="dxa"/>
          <w:tblInd w:w="201" w:type="dxa"/>
          <w:tblLayout w:type="fixed"/>
          <w:tblCellMar>
            <w:left w:w="111" w:type="dxa"/>
            <w:right w:w="111" w:type="dxa"/>
          </w:tblCellMar>
          <w:tblLook w:val="0000"/>
        </w:tblPrEx>
        <w:trPr>
          <w:trHeight w:val="366"/>
        </w:trPr>
        <w:tc>
          <w:tcPr>
            <w:tcW w:w="2939" w:type="dxa"/>
            <w:vAlign w:val="center"/>
          </w:tcPr>
          <w:p w:rsidR="001B711D" w:rsidRPr="001B711D" w:rsidP="000E5364" w14:paraId="53DD5F5C"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Initial certification of equipment and inspections</w:t>
            </w:r>
          </w:p>
        </w:tc>
        <w:tc>
          <w:tcPr>
            <w:tcW w:w="1440" w:type="dxa"/>
            <w:tcBorders>
              <w:top w:val="nil"/>
              <w:left w:val="single" w:sz="4" w:space="0" w:color="auto"/>
              <w:bottom w:val="single" w:sz="4" w:space="0" w:color="auto"/>
              <w:right w:val="single" w:sz="4" w:space="0" w:color="auto"/>
            </w:tcBorders>
            <w:shd w:val="clear" w:color="auto" w:fill="auto"/>
            <w:vAlign w:val="center"/>
          </w:tcPr>
          <w:p w:rsidR="001B711D" w:rsidRPr="001B711D" w:rsidP="000E5364" w14:paraId="6EA03671"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c>
          <w:tcPr>
            <w:tcW w:w="1350" w:type="dxa"/>
            <w:tcBorders>
              <w:top w:val="nil"/>
              <w:left w:val="nil"/>
              <w:bottom w:val="single" w:sz="4" w:space="0" w:color="auto"/>
              <w:right w:val="single" w:sz="4" w:space="0" w:color="auto"/>
            </w:tcBorders>
            <w:shd w:val="clear" w:color="auto" w:fill="auto"/>
            <w:vAlign w:val="center"/>
          </w:tcPr>
          <w:p w:rsidR="001B711D" w:rsidRPr="001B711D" w:rsidP="000E5364" w14:paraId="13558E15"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1</w:t>
            </w:r>
          </w:p>
        </w:tc>
        <w:tc>
          <w:tcPr>
            <w:tcW w:w="2160" w:type="dxa"/>
            <w:tcBorders>
              <w:top w:val="nil"/>
              <w:left w:val="nil"/>
              <w:bottom w:val="single" w:sz="4" w:space="0" w:color="auto"/>
              <w:right w:val="single" w:sz="4" w:space="0" w:color="auto"/>
            </w:tcBorders>
            <w:shd w:val="clear" w:color="auto" w:fill="auto"/>
            <w:vAlign w:val="center"/>
          </w:tcPr>
          <w:p w:rsidR="001B711D" w:rsidRPr="001B711D" w:rsidP="000E5364" w14:paraId="54386703"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N/A</w:t>
            </w:r>
          </w:p>
        </w:tc>
        <w:tc>
          <w:tcPr>
            <w:tcW w:w="1291" w:type="dxa"/>
            <w:tcBorders>
              <w:top w:val="nil"/>
              <w:left w:val="nil"/>
              <w:bottom w:val="single" w:sz="4" w:space="0" w:color="auto"/>
              <w:right w:val="single" w:sz="4" w:space="0" w:color="auto"/>
            </w:tcBorders>
            <w:shd w:val="clear" w:color="auto" w:fill="auto"/>
            <w:vAlign w:val="center"/>
          </w:tcPr>
          <w:p w:rsidR="001B711D" w:rsidRPr="001B711D" w:rsidP="000E5364" w14:paraId="12D4BE73"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r>
      <w:tr w14:paraId="21797A3E" w14:textId="77777777" w:rsidTr="001B711D">
        <w:tblPrEx>
          <w:tblW w:w="9180" w:type="dxa"/>
          <w:tblInd w:w="201" w:type="dxa"/>
          <w:tblLayout w:type="fixed"/>
          <w:tblCellMar>
            <w:left w:w="111" w:type="dxa"/>
            <w:right w:w="111" w:type="dxa"/>
          </w:tblCellMar>
          <w:tblLook w:val="0000"/>
        </w:tblPrEx>
        <w:trPr>
          <w:trHeight w:val="366"/>
        </w:trPr>
        <w:tc>
          <w:tcPr>
            <w:tcW w:w="2939" w:type="dxa"/>
            <w:vAlign w:val="center"/>
          </w:tcPr>
          <w:p w:rsidR="001B711D" w:rsidRPr="001B711D" w:rsidP="000E5364" w14:paraId="0523A93C"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Initial inspection report detailing emission problems</w:t>
            </w:r>
          </w:p>
        </w:tc>
        <w:tc>
          <w:tcPr>
            <w:tcW w:w="1440" w:type="dxa"/>
            <w:tcBorders>
              <w:top w:val="nil"/>
              <w:left w:val="single" w:sz="4" w:space="0" w:color="auto"/>
              <w:bottom w:val="single" w:sz="4" w:space="0" w:color="auto"/>
              <w:right w:val="single" w:sz="4" w:space="0" w:color="auto"/>
            </w:tcBorders>
            <w:shd w:val="clear" w:color="auto" w:fill="auto"/>
            <w:vAlign w:val="center"/>
          </w:tcPr>
          <w:p w:rsidR="001B711D" w:rsidRPr="001B711D" w:rsidP="000E5364" w14:paraId="442004E4"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c>
          <w:tcPr>
            <w:tcW w:w="1350" w:type="dxa"/>
            <w:tcBorders>
              <w:top w:val="nil"/>
              <w:left w:val="nil"/>
              <w:bottom w:val="single" w:sz="4" w:space="0" w:color="auto"/>
              <w:right w:val="single" w:sz="4" w:space="0" w:color="auto"/>
            </w:tcBorders>
            <w:shd w:val="clear" w:color="auto" w:fill="auto"/>
            <w:vAlign w:val="center"/>
          </w:tcPr>
          <w:p w:rsidR="001B711D" w:rsidRPr="001B711D" w:rsidP="000E5364" w14:paraId="1B686B1C"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1</w:t>
            </w:r>
          </w:p>
        </w:tc>
        <w:tc>
          <w:tcPr>
            <w:tcW w:w="2160" w:type="dxa"/>
            <w:tcBorders>
              <w:top w:val="nil"/>
              <w:left w:val="nil"/>
              <w:bottom w:val="single" w:sz="4" w:space="0" w:color="auto"/>
              <w:right w:val="single" w:sz="4" w:space="0" w:color="auto"/>
            </w:tcBorders>
            <w:shd w:val="clear" w:color="auto" w:fill="auto"/>
            <w:vAlign w:val="center"/>
          </w:tcPr>
          <w:p w:rsidR="001B711D" w:rsidRPr="001B711D" w:rsidP="000E5364" w14:paraId="0FE1C134"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N/A</w:t>
            </w:r>
          </w:p>
        </w:tc>
        <w:tc>
          <w:tcPr>
            <w:tcW w:w="1291" w:type="dxa"/>
            <w:tcBorders>
              <w:top w:val="nil"/>
              <w:left w:val="nil"/>
              <w:bottom w:val="single" w:sz="4" w:space="0" w:color="auto"/>
              <w:right w:val="single" w:sz="4" w:space="0" w:color="auto"/>
            </w:tcBorders>
            <w:shd w:val="clear" w:color="auto" w:fill="auto"/>
            <w:vAlign w:val="center"/>
          </w:tcPr>
          <w:p w:rsidR="001B711D" w:rsidRPr="001B711D" w:rsidP="000E5364" w14:paraId="62BDABEC"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r>
      <w:tr w14:paraId="7FF83645" w14:textId="77777777" w:rsidTr="001B711D">
        <w:tblPrEx>
          <w:tblW w:w="9180" w:type="dxa"/>
          <w:tblInd w:w="201" w:type="dxa"/>
          <w:tblLayout w:type="fixed"/>
          <w:tblCellMar>
            <w:left w:w="111" w:type="dxa"/>
            <w:right w:w="111" w:type="dxa"/>
          </w:tblCellMar>
          <w:tblLook w:val="0000"/>
        </w:tblPrEx>
        <w:trPr>
          <w:trHeight w:val="366"/>
        </w:trPr>
        <w:tc>
          <w:tcPr>
            <w:tcW w:w="2939" w:type="dxa"/>
            <w:vAlign w:val="center"/>
          </w:tcPr>
          <w:p w:rsidR="001B711D" w:rsidRPr="001B711D" w:rsidP="000E5364" w14:paraId="4C535984"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Notifications of various intent</w:t>
            </w:r>
          </w:p>
        </w:tc>
        <w:tc>
          <w:tcPr>
            <w:tcW w:w="1440" w:type="dxa"/>
            <w:tcBorders>
              <w:top w:val="nil"/>
              <w:left w:val="single" w:sz="4" w:space="0" w:color="auto"/>
              <w:bottom w:val="single" w:sz="4" w:space="0" w:color="auto"/>
              <w:right w:val="single" w:sz="4" w:space="0" w:color="auto"/>
            </w:tcBorders>
            <w:shd w:val="clear" w:color="auto" w:fill="auto"/>
            <w:vAlign w:val="center"/>
          </w:tcPr>
          <w:p w:rsidR="001B711D" w:rsidRPr="001B711D" w:rsidP="000E5364" w14:paraId="349DF140"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c>
          <w:tcPr>
            <w:tcW w:w="1350" w:type="dxa"/>
            <w:tcBorders>
              <w:top w:val="nil"/>
              <w:left w:val="nil"/>
              <w:bottom w:val="single" w:sz="4" w:space="0" w:color="auto"/>
              <w:right w:val="single" w:sz="4" w:space="0" w:color="auto"/>
            </w:tcBorders>
            <w:shd w:val="clear" w:color="auto" w:fill="auto"/>
            <w:vAlign w:val="center"/>
          </w:tcPr>
          <w:p w:rsidR="001B711D" w:rsidRPr="001B711D" w:rsidP="000E5364" w14:paraId="2A3CE4FD"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1</w:t>
            </w:r>
          </w:p>
        </w:tc>
        <w:tc>
          <w:tcPr>
            <w:tcW w:w="2160" w:type="dxa"/>
            <w:tcBorders>
              <w:top w:val="nil"/>
              <w:left w:val="nil"/>
              <w:bottom w:val="single" w:sz="4" w:space="0" w:color="auto"/>
              <w:right w:val="single" w:sz="4" w:space="0" w:color="auto"/>
            </w:tcBorders>
            <w:shd w:val="clear" w:color="auto" w:fill="auto"/>
            <w:vAlign w:val="center"/>
          </w:tcPr>
          <w:p w:rsidR="001B711D" w:rsidRPr="001B711D" w:rsidP="000E5364" w14:paraId="7D299559"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N/A</w:t>
            </w:r>
          </w:p>
        </w:tc>
        <w:tc>
          <w:tcPr>
            <w:tcW w:w="1291" w:type="dxa"/>
            <w:tcBorders>
              <w:top w:val="nil"/>
              <w:left w:val="nil"/>
              <w:bottom w:val="single" w:sz="4" w:space="0" w:color="auto"/>
              <w:right w:val="single" w:sz="4" w:space="0" w:color="auto"/>
            </w:tcBorders>
            <w:shd w:val="clear" w:color="auto" w:fill="auto"/>
            <w:vAlign w:val="center"/>
          </w:tcPr>
          <w:p w:rsidR="001B711D" w:rsidRPr="001B711D" w:rsidP="000E5364" w14:paraId="3F537690"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r>
      <w:tr w14:paraId="285E63C9" w14:textId="77777777" w:rsidTr="001B711D">
        <w:tblPrEx>
          <w:tblW w:w="9180" w:type="dxa"/>
          <w:tblInd w:w="201" w:type="dxa"/>
          <w:tblLayout w:type="fixed"/>
          <w:tblCellMar>
            <w:left w:w="111" w:type="dxa"/>
            <w:right w:w="111" w:type="dxa"/>
          </w:tblCellMar>
          <w:tblLook w:val="0000"/>
        </w:tblPrEx>
        <w:trPr>
          <w:trHeight w:val="366"/>
        </w:trPr>
        <w:tc>
          <w:tcPr>
            <w:tcW w:w="2939" w:type="dxa"/>
            <w:vAlign w:val="center"/>
          </w:tcPr>
          <w:p w:rsidR="001B711D" w:rsidRPr="001B711D" w:rsidP="000E5364" w14:paraId="7046EB9A"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Demonstration for alternative operational or process parameter</w:t>
            </w:r>
          </w:p>
        </w:tc>
        <w:tc>
          <w:tcPr>
            <w:tcW w:w="1440" w:type="dxa"/>
            <w:tcBorders>
              <w:top w:val="nil"/>
              <w:left w:val="single" w:sz="4" w:space="0" w:color="auto"/>
              <w:bottom w:val="single" w:sz="4" w:space="0" w:color="auto"/>
              <w:right w:val="single" w:sz="4" w:space="0" w:color="auto"/>
            </w:tcBorders>
            <w:shd w:val="clear" w:color="auto" w:fill="auto"/>
            <w:vAlign w:val="center"/>
          </w:tcPr>
          <w:p w:rsidR="001B711D" w:rsidRPr="001B711D" w:rsidP="000E5364" w14:paraId="6BC95A92"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c>
          <w:tcPr>
            <w:tcW w:w="1350" w:type="dxa"/>
            <w:tcBorders>
              <w:top w:val="nil"/>
              <w:left w:val="nil"/>
              <w:bottom w:val="single" w:sz="4" w:space="0" w:color="auto"/>
              <w:right w:val="single" w:sz="4" w:space="0" w:color="auto"/>
            </w:tcBorders>
            <w:shd w:val="clear" w:color="auto" w:fill="auto"/>
            <w:vAlign w:val="center"/>
          </w:tcPr>
          <w:p w:rsidR="001B711D" w:rsidRPr="001B711D" w:rsidP="000E5364" w14:paraId="26A474F9"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1</w:t>
            </w:r>
          </w:p>
        </w:tc>
        <w:tc>
          <w:tcPr>
            <w:tcW w:w="2160" w:type="dxa"/>
            <w:tcBorders>
              <w:top w:val="nil"/>
              <w:left w:val="nil"/>
              <w:bottom w:val="single" w:sz="4" w:space="0" w:color="auto"/>
              <w:right w:val="single" w:sz="4" w:space="0" w:color="auto"/>
            </w:tcBorders>
            <w:shd w:val="clear" w:color="auto" w:fill="auto"/>
            <w:vAlign w:val="center"/>
          </w:tcPr>
          <w:p w:rsidR="001B711D" w:rsidRPr="001B711D" w:rsidP="000E5364" w14:paraId="0E283785"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N/A</w:t>
            </w:r>
          </w:p>
        </w:tc>
        <w:tc>
          <w:tcPr>
            <w:tcW w:w="1291" w:type="dxa"/>
            <w:tcBorders>
              <w:top w:val="nil"/>
              <w:left w:val="nil"/>
              <w:bottom w:val="single" w:sz="4" w:space="0" w:color="auto"/>
              <w:right w:val="single" w:sz="4" w:space="0" w:color="auto"/>
            </w:tcBorders>
            <w:shd w:val="clear" w:color="auto" w:fill="auto"/>
            <w:vAlign w:val="center"/>
          </w:tcPr>
          <w:p w:rsidR="001B711D" w:rsidRPr="001B711D" w:rsidP="000E5364" w14:paraId="37E6B299"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r>
      <w:tr w14:paraId="558F3FAE" w14:textId="77777777" w:rsidTr="001B711D">
        <w:tblPrEx>
          <w:tblW w:w="9180" w:type="dxa"/>
          <w:tblInd w:w="201" w:type="dxa"/>
          <w:tblLayout w:type="fixed"/>
          <w:tblCellMar>
            <w:left w:w="111" w:type="dxa"/>
            <w:right w:w="111" w:type="dxa"/>
          </w:tblCellMar>
          <w:tblLook w:val="0000"/>
        </w:tblPrEx>
        <w:trPr>
          <w:trHeight w:val="366"/>
        </w:trPr>
        <w:tc>
          <w:tcPr>
            <w:tcW w:w="2939" w:type="dxa"/>
            <w:vAlign w:val="center"/>
          </w:tcPr>
          <w:p w:rsidR="001B711D" w:rsidRPr="001B711D" w:rsidP="000E5364" w14:paraId="4826E571"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Notification of delay in compliance</w:t>
            </w:r>
          </w:p>
        </w:tc>
        <w:tc>
          <w:tcPr>
            <w:tcW w:w="1440" w:type="dxa"/>
            <w:tcBorders>
              <w:top w:val="nil"/>
              <w:left w:val="single" w:sz="4" w:space="0" w:color="auto"/>
              <w:bottom w:val="single" w:sz="4" w:space="0" w:color="auto"/>
              <w:right w:val="single" w:sz="4" w:space="0" w:color="auto"/>
            </w:tcBorders>
            <w:shd w:val="clear" w:color="auto" w:fill="auto"/>
            <w:vAlign w:val="center"/>
          </w:tcPr>
          <w:p w:rsidR="001B711D" w:rsidRPr="001B711D" w:rsidP="000E5364" w14:paraId="173D0E93"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c>
          <w:tcPr>
            <w:tcW w:w="1350" w:type="dxa"/>
            <w:tcBorders>
              <w:top w:val="nil"/>
              <w:left w:val="nil"/>
              <w:bottom w:val="single" w:sz="4" w:space="0" w:color="auto"/>
              <w:right w:val="single" w:sz="4" w:space="0" w:color="auto"/>
            </w:tcBorders>
            <w:shd w:val="clear" w:color="auto" w:fill="auto"/>
            <w:vAlign w:val="center"/>
          </w:tcPr>
          <w:p w:rsidR="001B711D" w:rsidRPr="001B711D" w:rsidP="000E5364" w14:paraId="1C64CDCF"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1</w:t>
            </w:r>
          </w:p>
        </w:tc>
        <w:tc>
          <w:tcPr>
            <w:tcW w:w="2160" w:type="dxa"/>
            <w:tcBorders>
              <w:top w:val="nil"/>
              <w:left w:val="nil"/>
              <w:bottom w:val="single" w:sz="4" w:space="0" w:color="auto"/>
              <w:right w:val="single" w:sz="4" w:space="0" w:color="auto"/>
            </w:tcBorders>
            <w:shd w:val="clear" w:color="auto" w:fill="auto"/>
            <w:vAlign w:val="center"/>
          </w:tcPr>
          <w:p w:rsidR="001B711D" w:rsidRPr="001B711D" w:rsidP="000E5364" w14:paraId="62383EB6"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N/A</w:t>
            </w:r>
          </w:p>
        </w:tc>
        <w:tc>
          <w:tcPr>
            <w:tcW w:w="1291" w:type="dxa"/>
            <w:tcBorders>
              <w:top w:val="nil"/>
              <w:left w:val="nil"/>
              <w:bottom w:val="single" w:sz="4" w:space="0" w:color="auto"/>
              <w:right w:val="single" w:sz="4" w:space="0" w:color="auto"/>
            </w:tcBorders>
            <w:shd w:val="clear" w:color="auto" w:fill="auto"/>
            <w:vAlign w:val="center"/>
          </w:tcPr>
          <w:p w:rsidR="001B711D" w:rsidRPr="001B711D" w:rsidP="000E5364" w14:paraId="22CAB505"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r>
      <w:tr w14:paraId="67E17B3F" w14:textId="77777777" w:rsidTr="001B711D">
        <w:tblPrEx>
          <w:tblW w:w="9180" w:type="dxa"/>
          <w:tblInd w:w="201" w:type="dxa"/>
          <w:tblLayout w:type="fixed"/>
          <w:tblCellMar>
            <w:left w:w="111" w:type="dxa"/>
            <w:right w:w="111" w:type="dxa"/>
          </w:tblCellMar>
          <w:tblLook w:val="0000"/>
        </w:tblPrEx>
        <w:trPr>
          <w:trHeight w:val="366"/>
        </w:trPr>
        <w:tc>
          <w:tcPr>
            <w:tcW w:w="2939" w:type="dxa"/>
            <w:vAlign w:val="center"/>
          </w:tcPr>
          <w:p w:rsidR="001B711D" w:rsidRPr="001B711D" w:rsidP="000E5364" w14:paraId="738ADF42"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Semiannual report</w:t>
            </w:r>
          </w:p>
        </w:tc>
        <w:tc>
          <w:tcPr>
            <w:tcW w:w="1440" w:type="dxa"/>
            <w:tcBorders>
              <w:top w:val="nil"/>
              <w:left w:val="single" w:sz="4" w:space="0" w:color="auto"/>
              <w:bottom w:val="single" w:sz="4" w:space="0" w:color="auto"/>
              <w:right w:val="single" w:sz="4" w:space="0" w:color="auto"/>
            </w:tcBorders>
            <w:shd w:val="clear" w:color="auto" w:fill="auto"/>
            <w:vAlign w:val="center"/>
          </w:tcPr>
          <w:p w:rsidR="001B711D" w:rsidRPr="001B711D" w:rsidP="000E5364" w14:paraId="31A3DA24"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130</w:t>
            </w:r>
          </w:p>
        </w:tc>
        <w:tc>
          <w:tcPr>
            <w:tcW w:w="1350" w:type="dxa"/>
            <w:tcBorders>
              <w:top w:val="nil"/>
              <w:left w:val="nil"/>
              <w:bottom w:val="single" w:sz="4" w:space="0" w:color="auto"/>
              <w:right w:val="single" w:sz="4" w:space="0" w:color="auto"/>
            </w:tcBorders>
            <w:shd w:val="clear" w:color="auto" w:fill="auto"/>
            <w:vAlign w:val="center"/>
          </w:tcPr>
          <w:p w:rsidR="001B711D" w:rsidRPr="001B711D" w:rsidP="000E5364" w14:paraId="75F477F5"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2</w:t>
            </w:r>
          </w:p>
        </w:tc>
        <w:tc>
          <w:tcPr>
            <w:tcW w:w="2160" w:type="dxa"/>
            <w:tcBorders>
              <w:top w:val="nil"/>
              <w:left w:val="nil"/>
              <w:bottom w:val="single" w:sz="4" w:space="0" w:color="auto"/>
              <w:right w:val="single" w:sz="4" w:space="0" w:color="auto"/>
            </w:tcBorders>
            <w:shd w:val="clear" w:color="auto" w:fill="auto"/>
            <w:vAlign w:val="center"/>
          </w:tcPr>
          <w:p w:rsidR="001B711D" w:rsidRPr="001B711D" w:rsidP="000E5364" w14:paraId="3EAAECE3"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N/A</w:t>
            </w:r>
          </w:p>
        </w:tc>
        <w:tc>
          <w:tcPr>
            <w:tcW w:w="1291" w:type="dxa"/>
            <w:tcBorders>
              <w:top w:val="nil"/>
              <w:left w:val="nil"/>
              <w:bottom w:val="single" w:sz="4" w:space="0" w:color="auto"/>
              <w:right w:val="single" w:sz="4" w:space="0" w:color="auto"/>
            </w:tcBorders>
            <w:shd w:val="clear" w:color="auto" w:fill="auto"/>
            <w:vAlign w:val="center"/>
          </w:tcPr>
          <w:p w:rsidR="001B711D" w:rsidRPr="001B711D" w:rsidP="000E5364" w14:paraId="3E4E961C"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260</w:t>
            </w:r>
          </w:p>
        </w:tc>
      </w:tr>
      <w:tr w14:paraId="7198D3D9" w14:textId="77777777" w:rsidTr="001B711D">
        <w:tblPrEx>
          <w:tblW w:w="9180" w:type="dxa"/>
          <w:tblInd w:w="201" w:type="dxa"/>
          <w:tblLayout w:type="fixed"/>
          <w:tblCellMar>
            <w:left w:w="111" w:type="dxa"/>
            <w:right w:w="111" w:type="dxa"/>
          </w:tblCellMar>
          <w:tblLook w:val="0000"/>
        </w:tblPrEx>
        <w:trPr>
          <w:trHeight w:val="366"/>
        </w:trPr>
        <w:tc>
          <w:tcPr>
            <w:tcW w:w="2939" w:type="dxa"/>
            <w:vAlign w:val="center"/>
          </w:tcPr>
          <w:p w:rsidR="001B711D" w:rsidRPr="001B711D" w:rsidP="000E5364" w14:paraId="5042203D"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Notification of initial performance test</w:t>
            </w:r>
          </w:p>
        </w:tc>
        <w:tc>
          <w:tcPr>
            <w:tcW w:w="1440" w:type="dxa"/>
            <w:tcBorders>
              <w:top w:val="nil"/>
              <w:left w:val="single" w:sz="4" w:space="0" w:color="auto"/>
              <w:bottom w:val="single" w:sz="4" w:space="0" w:color="auto"/>
              <w:right w:val="single" w:sz="4" w:space="0" w:color="auto"/>
            </w:tcBorders>
            <w:shd w:val="clear" w:color="auto" w:fill="auto"/>
            <w:vAlign w:val="center"/>
          </w:tcPr>
          <w:p w:rsidR="001B711D" w:rsidRPr="001B711D" w:rsidP="000E5364" w14:paraId="13DBA3C6"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c>
          <w:tcPr>
            <w:tcW w:w="1350" w:type="dxa"/>
            <w:tcBorders>
              <w:top w:val="nil"/>
              <w:left w:val="nil"/>
              <w:bottom w:val="single" w:sz="4" w:space="0" w:color="auto"/>
              <w:right w:val="single" w:sz="4" w:space="0" w:color="auto"/>
            </w:tcBorders>
            <w:shd w:val="clear" w:color="auto" w:fill="auto"/>
            <w:vAlign w:val="center"/>
          </w:tcPr>
          <w:p w:rsidR="001B711D" w:rsidRPr="001B711D" w:rsidP="000E5364" w14:paraId="6C268DB6"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1</w:t>
            </w:r>
          </w:p>
        </w:tc>
        <w:tc>
          <w:tcPr>
            <w:tcW w:w="2160" w:type="dxa"/>
            <w:tcBorders>
              <w:top w:val="nil"/>
              <w:left w:val="nil"/>
              <w:bottom w:val="single" w:sz="4" w:space="0" w:color="auto"/>
              <w:right w:val="single" w:sz="4" w:space="0" w:color="auto"/>
            </w:tcBorders>
            <w:shd w:val="clear" w:color="auto" w:fill="auto"/>
            <w:vAlign w:val="center"/>
          </w:tcPr>
          <w:p w:rsidR="001B711D" w:rsidRPr="001B711D" w:rsidP="000E5364" w14:paraId="1E177475"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N/A</w:t>
            </w:r>
          </w:p>
        </w:tc>
        <w:tc>
          <w:tcPr>
            <w:tcW w:w="1291" w:type="dxa"/>
            <w:tcBorders>
              <w:top w:val="nil"/>
              <w:left w:val="nil"/>
              <w:bottom w:val="single" w:sz="4" w:space="0" w:color="auto"/>
              <w:right w:val="single" w:sz="4" w:space="0" w:color="auto"/>
            </w:tcBorders>
            <w:shd w:val="clear" w:color="auto" w:fill="auto"/>
            <w:vAlign w:val="center"/>
          </w:tcPr>
          <w:p w:rsidR="001B711D" w:rsidRPr="001B711D" w:rsidP="000E5364" w14:paraId="04DB715E"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0</w:t>
            </w:r>
          </w:p>
        </w:tc>
      </w:tr>
      <w:tr w14:paraId="2FE30FAD" w14:textId="77777777" w:rsidTr="001B711D">
        <w:tblPrEx>
          <w:tblW w:w="9180" w:type="dxa"/>
          <w:tblInd w:w="201" w:type="dxa"/>
          <w:tblLayout w:type="fixed"/>
          <w:tblCellMar>
            <w:left w:w="111" w:type="dxa"/>
            <w:right w:w="111" w:type="dxa"/>
          </w:tblCellMar>
          <w:tblLook w:val="0000"/>
        </w:tblPrEx>
        <w:trPr>
          <w:trHeight w:val="366"/>
        </w:trPr>
        <w:tc>
          <w:tcPr>
            <w:tcW w:w="2939" w:type="dxa"/>
            <w:vAlign w:val="bottom"/>
          </w:tcPr>
          <w:p w:rsidR="001B711D" w:rsidRPr="001B711D" w:rsidP="000E5364" w14:paraId="0F042E96"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 </w:t>
            </w:r>
          </w:p>
        </w:tc>
        <w:tc>
          <w:tcPr>
            <w:tcW w:w="1440" w:type="dxa"/>
            <w:tcBorders>
              <w:top w:val="nil"/>
              <w:left w:val="single" w:sz="4" w:space="0" w:color="auto"/>
              <w:bottom w:val="single" w:sz="4" w:space="0" w:color="auto"/>
              <w:right w:val="single" w:sz="4" w:space="0" w:color="auto"/>
            </w:tcBorders>
            <w:shd w:val="clear" w:color="auto" w:fill="auto"/>
            <w:vAlign w:val="bottom"/>
          </w:tcPr>
          <w:p w:rsidR="001B711D" w:rsidRPr="001B711D" w:rsidP="000E5364" w14:paraId="2E7BE29F"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 </w:t>
            </w:r>
          </w:p>
        </w:tc>
        <w:tc>
          <w:tcPr>
            <w:tcW w:w="1350" w:type="dxa"/>
            <w:tcBorders>
              <w:top w:val="nil"/>
              <w:left w:val="nil"/>
              <w:bottom w:val="single" w:sz="4" w:space="0" w:color="auto"/>
              <w:right w:val="single" w:sz="4" w:space="0" w:color="auto"/>
            </w:tcBorders>
            <w:shd w:val="clear" w:color="auto" w:fill="auto"/>
            <w:vAlign w:val="bottom"/>
          </w:tcPr>
          <w:p w:rsidR="001B711D" w:rsidRPr="001B711D" w:rsidP="000E5364" w14:paraId="61B1B517"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color w:val="000000"/>
              </w:rPr>
              <w:t> </w:t>
            </w:r>
          </w:p>
        </w:tc>
        <w:tc>
          <w:tcPr>
            <w:tcW w:w="2160" w:type="dxa"/>
            <w:tcBorders>
              <w:top w:val="nil"/>
              <w:left w:val="nil"/>
              <w:bottom w:val="single" w:sz="4" w:space="0" w:color="auto"/>
              <w:right w:val="single" w:sz="4" w:space="0" w:color="auto"/>
            </w:tcBorders>
            <w:shd w:val="clear" w:color="auto" w:fill="auto"/>
            <w:vAlign w:val="center"/>
          </w:tcPr>
          <w:p w:rsidR="001B711D" w:rsidRPr="001B711D" w:rsidP="000E5364" w14:paraId="797D308F"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b/>
                <w:bCs/>
                <w:color w:val="000000"/>
              </w:rPr>
              <w:t>Total</w:t>
            </w:r>
          </w:p>
        </w:tc>
        <w:tc>
          <w:tcPr>
            <w:tcW w:w="1291" w:type="dxa"/>
            <w:tcBorders>
              <w:top w:val="nil"/>
              <w:left w:val="nil"/>
              <w:bottom w:val="single" w:sz="4" w:space="0" w:color="auto"/>
              <w:right w:val="single" w:sz="4" w:space="0" w:color="auto"/>
            </w:tcBorders>
            <w:shd w:val="clear" w:color="auto" w:fill="auto"/>
            <w:vAlign w:val="center"/>
          </w:tcPr>
          <w:p w:rsidR="001B711D" w:rsidRPr="001B711D" w:rsidP="000E5364" w14:paraId="52BCCBCB" w14:textId="77777777">
            <w:pPr>
              <w:pBdr>
                <w:top w:val="single" w:sz="6" w:space="0" w:color="FFFFFF"/>
                <w:left w:val="single" w:sz="6" w:space="0" w:color="FFFFFF"/>
                <w:bottom w:val="single" w:sz="6" w:space="0" w:color="FFFFFF"/>
                <w:right w:val="single" w:sz="6" w:space="0" w:color="FFFFFF"/>
              </w:pBdr>
              <w:spacing w:line="240" w:lineRule="auto"/>
              <w:ind w:left="0" w:firstLine="0"/>
              <w:contextualSpacing/>
              <w:rPr>
                <w:rFonts w:cstheme="minorHAnsi"/>
                <w:color w:val="000000"/>
              </w:rPr>
            </w:pPr>
            <w:r w:rsidRPr="001B711D">
              <w:rPr>
                <w:rFonts w:cstheme="minorHAnsi"/>
                <w:b/>
                <w:bCs/>
                <w:color w:val="000000"/>
              </w:rPr>
              <w:t>260</w:t>
            </w:r>
          </w:p>
        </w:tc>
      </w:tr>
    </w:tbl>
    <w:p w:rsidR="00F81E92" w:rsidP="00D67C55" w14:paraId="41BEF5FF"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p>
    <w:p w:rsidR="001B711D" w:rsidRPr="008B3B3E" w:rsidP="00D67C55" w14:paraId="5351B777" w14:textId="034679E5">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1B711D">
        <w:rPr>
          <w:rFonts w:cstheme="minorHAnsi"/>
          <w:color w:val="000000"/>
        </w:rPr>
        <w:t>The number of Total Annual Responses is 260.</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7" w:name="_Toc156593384"/>
      <w:bookmarkEnd w:id="16"/>
    </w:p>
    <w:p w:rsidR="00BB3410" w:rsidP="00F81E92" w14:paraId="42074A5E" w14:textId="18571C84">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F81E92">
        <w:rPr>
          <w:rFonts w:cstheme="minorHAnsi"/>
          <w:color w:val="000000"/>
        </w:rPr>
        <w:t>In this ICR, all the data that are recorded or reported is required by the NSPS for VOC Emissions from Petroleum Refinery Wastewater Systems (40 CFR Part 60, Subpart QQQ).</w:t>
      </w:r>
    </w:p>
    <w:p w:rsidR="00F81E92" w:rsidP="00F81E92" w14:paraId="1AE07A3E" w14:textId="1110F8B8">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F81E92">
        <w:rPr>
          <w:rFonts w:cstheme="minorHAnsi"/>
          <w:color w:val="000000"/>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57231000" w14:textId="77777777" w:rsidTr="00C97D0B">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2D7C1B" w:rsidRPr="002D7C1B" w:rsidP="002D7C1B" w14:paraId="4DB5EBC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b/>
                <w:color w:val="000000"/>
              </w:rPr>
            </w:pPr>
            <w:r w:rsidRPr="002D7C1B">
              <w:rPr>
                <w:rFonts w:cstheme="minorHAnsi"/>
                <w:b/>
                <w:color w:val="000000"/>
              </w:rPr>
              <w:t>Notifications</w:t>
            </w:r>
          </w:p>
        </w:tc>
      </w:tr>
      <w:tr w14:paraId="05F56099" w14:textId="77777777" w:rsidTr="00C97D0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D7C1B" w:rsidRPr="002D7C1B" w:rsidP="002D7C1B" w14:paraId="7729C09D"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b/>
                <w:bCs/>
                <w:color w:val="000000"/>
              </w:rPr>
            </w:pPr>
            <w:r w:rsidRPr="002D7C1B">
              <w:rPr>
                <w:rFonts w:cstheme="minorHAnsi"/>
                <w:color w:val="000000"/>
              </w:rPr>
              <w:t>Notification of construction or 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2D7C1B" w:rsidRPr="002D7C1B" w:rsidP="002D7C1B" w14:paraId="17CF477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b/>
                <w:bCs/>
                <w:color w:val="000000"/>
              </w:rPr>
            </w:pPr>
            <w:r w:rsidRPr="002D7C1B">
              <w:rPr>
                <w:rFonts w:cstheme="minorHAnsi"/>
                <w:color w:val="000000"/>
              </w:rPr>
              <w:t>§60.7(a)(1)</w:t>
            </w:r>
          </w:p>
        </w:tc>
      </w:tr>
      <w:tr w14:paraId="4ED22903" w14:textId="77777777" w:rsidTr="00C97D0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D7C1B" w:rsidRPr="002D7C1B" w:rsidP="002D7C1B" w14:paraId="3187822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Notification of modification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2D7C1B" w:rsidRPr="002D7C1B" w:rsidP="002D7C1B" w14:paraId="369A0C2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§60.7(a)(4)</w:t>
            </w:r>
          </w:p>
        </w:tc>
      </w:tr>
      <w:tr w14:paraId="7FC55FA2" w14:textId="77777777" w:rsidTr="00C97D0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D7C1B" w:rsidRPr="002D7C1B" w:rsidP="002D7C1B" w14:paraId="6F7C2BE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Notification of actual startup date</w:t>
            </w:r>
          </w:p>
        </w:tc>
        <w:tc>
          <w:tcPr>
            <w:tcW w:w="2529" w:type="dxa"/>
            <w:tcBorders>
              <w:top w:val="single" w:sz="7" w:space="0" w:color="000000"/>
              <w:left w:val="single" w:sz="7" w:space="0" w:color="000000"/>
              <w:bottom w:val="single" w:sz="7" w:space="0" w:color="000000"/>
              <w:right w:val="single" w:sz="7" w:space="0" w:color="000000"/>
            </w:tcBorders>
            <w:vAlign w:val="center"/>
          </w:tcPr>
          <w:p w:rsidR="002D7C1B" w:rsidRPr="002D7C1B" w:rsidP="002D7C1B" w14:paraId="09AE537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§60.7(a)(3)</w:t>
            </w:r>
          </w:p>
        </w:tc>
      </w:tr>
      <w:tr w14:paraId="0C6E6DFA" w14:textId="77777777" w:rsidTr="00C97D0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D7C1B" w:rsidRPr="002D7C1B" w:rsidP="002D7C1B" w14:paraId="51F2D4C5"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Notification of initial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2D7C1B" w:rsidRPr="002D7C1B" w:rsidP="002D7C1B" w14:paraId="6BD95A69"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§60.8(a)</w:t>
            </w:r>
          </w:p>
        </w:tc>
      </w:tr>
      <w:tr w14:paraId="45F52E1B" w14:textId="77777777" w:rsidTr="00C97D0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D7C1B" w:rsidRPr="002D7C1B" w:rsidP="002D7C1B" w14:paraId="037DBEC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Notification of election to construct and operate a completely closed drain system</w:t>
            </w:r>
          </w:p>
        </w:tc>
        <w:tc>
          <w:tcPr>
            <w:tcW w:w="2529" w:type="dxa"/>
            <w:tcBorders>
              <w:top w:val="single" w:sz="7" w:space="0" w:color="000000"/>
              <w:left w:val="single" w:sz="7" w:space="0" w:color="000000"/>
              <w:bottom w:val="single" w:sz="7" w:space="0" w:color="000000"/>
              <w:right w:val="single" w:sz="7" w:space="0" w:color="000000"/>
            </w:tcBorders>
            <w:vAlign w:val="center"/>
          </w:tcPr>
          <w:p w:rsidR="002D7C1B" w:rsidRPr="002D7C1B" w:rsidP="002D7C1B" w14:paraId="0A0D940B"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§60.7, §60.693-1(c), §60.698(a)</w:t>
            </w:r>
          </w:p>
        </w:tc>
      </w:tr>
      <w:tr w14:paraId="05E5E3FB" w14:textId="77777777" w:rsidTr="00C97D0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D7C1B" w:rsidRPr="002D7C1B" w:rsidP="002D7C1B" w14:paraId="69F69FEB"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Notification of election to construct and operate a floating roof on an oil-water separator tank or other subject auxiliary equipment</w:t>
            </w:r>
          </w:p>
        </w:tc>
        <w:tc>
          <w:tcPr>
            <w:tcW w:w="2529" w:type="dxa"/>
            <w:tcBorders>
              <w:top w:val="single" w:sz="7" w:space="0" w:color="000000"/>
              <w:left w:val="single" w:sz="7" w:space="0" w:color="000000"/>
              <w:bottom w:val="single" w:sz="7" w:space="0" w:color="000000"/>
              <w:right w:val="single" w:sz="7" w:space="0" w:color="000000"/>
            </w:tcBorders>
            <w:vAlign w:val="center"/>
          </w:tcPr>
          <w:p w:rsidR="002D7C1B" w:rsidRPr="002D7C1B" w:rsidP="002D7C1B" w14:paraId="3561D99B"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§60.7, §60.693-2(b), §60.698(a)</w:t>
            </w:r>
          </w:p>
        </w:tc>
      </w:tr>
      <w:tr w14:paraId="2090DB5B" w14:textId="77777777" w:rsidTr="00C97D0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D7C1B" w:rsidRPr="002D7C1B" w:rsidP="002D7C1B" w14:paraId="5F67D166"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Notification of intent to use an alternative means of emission limitation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2D7C1B" w:rsidRPr="002D7C1B" w:rsidP="002D7C1B" w14:paraId="2CD91F41"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§60.7, §60.694(c)</w:t>
            </w:r>
          </w:p>
        </w:tc>
      </w:tr>
      <w:tr w14:paraId="48DBE260" w14:textId="77777777" w:rsidTr="00C97D0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D7C1B" w:rsidRPr="002D7C1B" w:rsidP="002D7C1B" w14:paraId="703BE442"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Notification of intent to use a VOC control device other than a carbon absorber to meet the requirement of §60.692-5(a), with information describing the control device and the process parameters being monitored</w:t>
            </w:r>
          </w:p>
        </w:tc>
        <w:tc>
          <w:tcPr>
            <w:tcW w:w="2529" w:type="dxa"/>
            <w:tcBorders>
              <w:top w:val="single" w:sz="7" w:space="0" w:color="000000"/>
              <w:left w:val="single" w:sz="7" w:space="0" w:color="000000"/>
              <w:bottom w:val="single" w:sz="7" w:space="0" w:color="000000"/>
              <w:right w:val="single" w:sz="7" w:space="0" w:color="000000"/>
            </w:tcBorders>
            <w:vAlign w:val="center"/>
          </w:tcPr>
          <w:p w:rsidR="002D7C1B" w:rsidRPr="002D7C1B" w:rsidP="002D7C1B" w14:paraId="44B0ACA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§60.7, §60.695(b)</w:t>
            </w:r>
          </w:p>
        </w:tc>
      </w:tr>
      <w:tr w14:paraId="41FFEFA1" w14:textId="77777777" w:rsidTr="00C97D0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D7C1B" w:rsidRPr="002D7C1B" w:rsidP="002D7C1B" w14:paraId="36884BB3"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Demonstration that an alternative operational or process parameter will ensure that the control device is operated in compliance with standards</w:t>
            </w:r>
          </w:p>
        </w:tc>
        <w:tc>
          <w:tcPr>
            <w:tcW w:w="2529" w:type="dxa"/>
            <w:tcBorders>
              <w:top w:val="single" w:sz="7" w:space="0" w:color="000000"/>
              <w:left w:val="single" w:sz="7" w:space="0" w:color="000000"/>
              <w:bottom w:val="single" w:sz="7" w:space="0" w:color="000000"/>
              <w:right w:val="single" w:sz="7" w:space="0" w:color="000000"/>
            </w:tcBorders>
            <w:vAlign w:val="center"/>
          </w:tcPr>
          <w:p w:rsidR="002D7C1B" w:rsidRPr="002D7C1B" w:rsidP="002D7C1B" w14:paraId="25CCEF2A"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§60.7, §60.695(c)</w:t>
            </w:r>
          </w:p>
        </w:tc>
      </w:tr>
      <w:tr w14:paraId="4DEC352D" w14:textId="77777777" w:rsidTr="00C97D0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D7C1B" w:rsidRPr="002D7C1B" w:rsidP="002D7C1B" w14:paraId="1298D75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Initial certification that the requirements for equipment and inspections have been met</w:t>
            </w:r>
          </w:p>
        </w:tc>
        <w:tc>
          <w:tcPr>
            <w:tcW w:w="2529" w:type="dxa"/>
            <w:tcBorders>
              <w:top w:val="single" w:sz="7" w:space="0" w:color="000000"/>
              <w:left w:val="single" w:sz="7" w:space="0" w:color="000000"/>
              <w:bottom w:val="single" w:sz="7" w:space="0" w:color="000000"/>
              <w:right w:val="single" w:sz="7" w:space="0" w:color="000000"/>
            </w:tcBorders>
            <w:vAlign w:val="center"/>
          </w:tcPr>
          <w:p w:rsidR="002D7C1B" w:rsidRPr="002D7C1B" w:rsidP="002D7C1B" w14:paraId="0C8B0FD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§60.698(b)(1)</w:t>
            </w:r>
          </w:p>
        </w:tc>
      </w:tr>
      <w:tr w14:paraId="143AC150" w14:textId="77777777" w:rsidTr="00C97D0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D7C1B" w:rsidRPr="002D7C1B" w:rsidP="002D7C1B" w14:paraId="79C0D969"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Notification of delay in compliance along with the date of the next scheduled refinery or process unit shutdown and reasons why delay is necessary</w:t>
            </w:r>
          </w:p>
        </w:tc>
        <w:tc>
          <w:tcPr>
            <w:tcW w:w="2529" w:type="dxa"/>
            <w:tcBorders>
              <w:top w:val="single" w:sz="7" w:space="0" w:color="000000"/>
              <w:left w:val="single" w:sz="7" w:space="0" w:color="000000"/>
              <w:bottom w:val="single" w:sz="7" w:space="0" w:color="000000"/>
              <w:right w:val="single" w:sz="7" w:space="0" w:color="000000"/>
            </w:tcBorders>
            <w:vAlign w:val="center"/>
          </w:tcPr>
          <w:p w:rsidR="002D7C1B" w:rsidRPr="002D7C1B" w:rsidP="002D7C1B" w14:paraId="766177B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2D7C1B">
              <w:rPr>
                <w:rFonts w:cstheme="minorHAnsi"/>
                <w:color w:val="000000"/>
              </w:rPr>
              <w:t>§60.7(a)(4), §60.698(e)</w:t>
            </w:r>
          </w:p>
        </w:tc>
      </w:tr>
    </w:tbl>
    <w:p w:rsidR="00F81E92" w:rsidP="002621A5" w14:paraId="66BD5627"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color w:val="000000"/>
        </w:rPr>
      </w:pPr>
    </w:p>
    <w:tbl>
      <w:tblPr>
        <w:tblW w:w="9360" w:type="dxa"/>
        <w:jc w:val="center"/>
        <w:tblLayout w:type="fixed"/>
        <w:tblCellMar>
          <w:left w:w="120" w:type="dxa"/>
          <w:right w:w="120" w:type="dxa"/>
        </w:tblCellMar>
        <w:tblLook w:val="0000"/>
      </w:tblPr>
      <w:tblGrid>
        <w:gridCol w:w="7290"/>
        <w:gridCol w:w="2070"/>
      </w:tblGrid>
      <w:tr w14:paraId="337500D8" w14:textId="77777777" w:rsidTr="00C97D0B">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91FCA" w:rsidRPr="00191FCA" w:rsidP="00191FCA" w14:paraId="037B7CF2"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b/>
                <w:color w:val="000000"/>
              </w:rPr>
            </w:pPr>
            <w:r w:rsidRPr="00191FCA">
              <w:rPr>
                <w:rFonts w:cstheme="minorHAnsi"/>
                <w:b/>
                <w:color w:val="000000"/>
              </w:rPr>
              <w:t>Reports</w:t>
            </w:r>
          </w:p>
        </w:tc>
      </w:tr>
      <w:tr w14:paraId="4D65C5A9" w14:textId="77777777" w:rsidTr="00C97D0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191FCA" w:rsidRPr="00191FCA" w:rsidP="00191FCA" w14:paraId="2AAE2966"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Semiannual reports of excess emissions from and performance of continuous monitoring systems, and/or summary report forms</w:t>
            </w:r>
          </w:p>
        </w:tc>
        <w:tc>
          <w:tcPr>
            <w:tcW w:w="207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7676FA1B"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§60.7(c), §60.7(d), §60.698(c)</w:t>
            </w:r>
          </w:p>
        </w:tc>
      </w:tr>
      <w:tr w14:paraId="3BC0EB8B" w14:textId="77777777" w:rsidTr="00C97D0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191FCA" w:rsidRPr="00191FCA" w:rsidP="00191FCA" w14:paraId="545CB4F1"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Semiannual certification that required inspections have been carried out</w:t>
            </w:r>
          </w:p>
        </w:tc>
        <w:tc>
          <w:tcPr>
            <w:tcW w:w="207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03966582"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§60.698(b)(1)</w:t>
            </w:r>
          </w:p>
        </w:tc>
      </w:tr>
      <w:tr w14:paraId="0A2BBA3B" w14:textId="77777777" w:rsidTr="00C97D0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7318F9A0"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Initial performance test data and result for flares</w:t>
            </w:r>
          </w:p>
        </w:tc>
        <w:tc>
          <w:tcPr>
            <w:tcW w:w="207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202D6FE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§60.8(a), §60.698(b)(2)</w:t>
            </w:r>
          </w:p>
        </w:tc>
      </w:tr>
      <w:tr w14:paraId="5A0A096E" w14:textId="77777777" w:rsidTr="00C97D0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191FCA" w:rsidRPr="00191FCA" w:rsidP="00191FCA" w14:paraId="4A9428D3"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Initial and semiannual inspection reports detailing problems resulting in VOC emissions and the corrective actions taken</w:t>
            </w:r>
          </w:p>
        </w:tc>
        <w:tc>
          <w:tcPr>
            <w:tcW w:w="207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30EEF3C1"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§60.7(c), §60.698(c)</w:t>
            </w:r>
          </w:p>
        </w:tc>
      </w:tr>
      <w:tr w14:paraId="749762D5" w14:textId="77777777" w:rsidTr="00C97D0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191FCA" w:rsidRPr="00191FCA" w:rsidP="00191FCA" w14:paraId="4E18A46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Semiannual reporting on control device performance</w:t>
            </w:r>
          </w:p>
        </w:tc>
        <w:tc>
          <w:tcPr>
            <w:tcW w:w="207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22676B9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§§60.7(c)-(d), §60.698(d)</w:t>
            </w:r>
          </w:p>
        </w:tc>
      </w:tr>
    </w:tbl>
    <w:p w:rsidR="00961C25" w:rsidP="00191FCA" w14:paraId="2D6ADE52"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p>
    <w:p w:rsidR="00191FCA" w:rsidP="00191FCA" w14:paraId="18DEE8BB" w14:textId="214D4C0A">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191FCA">
        <w:rPr>
          <w:rFonts w:cstheme="minorHAnsi"/>
          <w:color w:val="000000"/>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2A799992" w14:textId="77777777" w:rsidTr="00C97D0B">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191FCA" w:rsidRPr="00191FCA" w:rsidP="00191FCA" w14:paraId="75DFEC4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b/>
                <w:color w:val="000000"/>
              </w:rPr>
            </w:pPr>
            <w:r w:rsidRPr="00191FCA">
              <w:rPr>
                <w:rFonts w:cstheme="minorHAnsi"/>
                <w:b/>
                <w:color w:val="000000"/>
              </w:rPr>
              <w:t>Recordkeeping</w:t>
            </w:r>
          </w:p>
        </w:tc>
      </w:tr>
      <w:tr w14:paraId="333E7429"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16054E15"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Retain records for a period of two years after being recorded</w:t>
            </w:r>
          </w:p>
        </w:tc>
        <w:tc>
          <w:tcPr>
            <w:tcW w:w="225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64913F83"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§60.7(f), §60.697(a)</w:t>
            </w:r>
          </w:p>
        </w:tc>
      </w:tr>
      <w:tr w14:paraId="4947DEA0"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7DFB0E20"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Maintain records of startups, shutdowns, malfunctions of affected facilities; malfunctions of control devices; and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2359DB89"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§60.7(b), §60.7(h), §60.692-1(a), §60.697(f)(3)(iv)</w:t>
            </w:r>
          </w:p>
        </w:tc>
      </w:tr>
      <w:tr w14:paraId="01979DFD"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65348161"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Maintain records of measurements, performance evaluations, calibration checks, adjustments and maintenance related to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2A545D9A"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§60.7(f), §§60.697(b)-(c)</w:t>
            </w:r>
          </w:p>
        </w:tc>
      </w:tr>
      <w:tr w14:paraId="34F02DEA"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30949980"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 xml:space="preserve">Maintain records of location, date, and corrective actions for process drains not in compliance </w:t>
            </w:r>
          </w:p>
        </w:tc>
        <w:tc>
          <w:tcPr>
            <w:tcW w:w="225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4FD18BE2"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§60.7(f), §60.697(b)(1)</w:t>
            </w:r>
          </w:p>
        </w:tc>
      </w:tr>
      <w:tr w14:paraId="08250AE6"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7D1E2CD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Maintain records of location, date, and corrective actions for junction boxes out of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09AB3536"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§60.7(f), §60.697(b)(2)</w:t>
            </w:r>
          </w:p>
        </w:tc>
      </w:tr>
      <w:tr w14:paraId="535C34D3"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101FC87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Maintain records of location, date, and corrective actions for sewer lines out of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2E5A257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§60.7(f), §60.697(b)(3)</w:t>
            </w:r>
          </w:p>
        </w:tc>
      </w:tr>
      <w:tr w14:paraId="4870B41E"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1363606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Maintain records of location, date, and corrective actions for oil-water separators out of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667598B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§60.7(f), §60.697(c)</w:t>
            </w:r>
          </w:p>
        </w:tc>
      </w:tr>
      <w:tr w14:paraId="58AEB4C9"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26BAC49B"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Maintain records of location, date and corrective actions for closed vent systems and completely closed drain systems out of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661542C0"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§60.7(f), §60.697(d)</w:t>
            </w:r>
          </w:p>
        </w:tc>
      </w:tr>
      <w:tr w14:paraId="523EED27"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415A7895"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Maintain records of expected date of repairs if emission point cannot be repaired without a process shutdown; reason for delay; signature of company official who authorizes the delay; and the date of actual repairs</w:t>
            </w:r>
          </w:p>
        </w:tc>
        <w:tc>
          <w:tcPr>
            <w:tcW w:w="225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46D0C5B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§60.697(e)</w:t>
            </w:r>
          </w:p>
        </w:tc>
      </w:tr>
      <w:tr w14:paraId="578A300F"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531CD6EB"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Maintain records of copy of design specifications for all equipment used to comply with the standards for the life of the source</w:t>
            </w:r>
          </w:p>
        </w:tc>
        <w:tc>
          <w:tcPr>
            <w:tcW w:w="225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146DE8D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§§60.697(f)(1)-(2)</w:t>
            </w:r>
          </w:p>
        </w:tc>
      </w:tr>
      <w:tr w14:paraId="68F8EC21"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6B6292E0"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Maintain records of information pertaining to the operation and maintenance of closed-drain systems and closed-vent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3FA99D00"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§60.697(f)(3)</w:t>
            </w:r>
          </w:p>
        </w:tc>
      </w:tr>
      <w:tr w14:paraId="786D7AF0"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308793B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Maintain records of location, plans or specifications for inactive process drains for the life of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5C3BAD20"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§60.697(g)</w:t>
            </w:r>
          </w:p>
        </w:tc>
      </w:tr>
      <w:tr w14:paraId="7032D243"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1B1252F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Maintain records of location, plans or specifications for exempted storm water sewer systems for the life of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29064286"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§60.697(h)</w:t>
            </w:r>
          </w:p>
        </w:tc>
      </w:tr>
      <w:tr w14:paraId="5AEC81D8"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68B94E65"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Maintain records of location, plans or specification for exempted ancillary equipment for the life of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280174D9"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§60.697(i)</w:t>
            </w:r>
          </w:p>
        </w:tc>
      </w:tr>
      <w:tr w14:paraId="025EB6BC"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3E3E339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Maintain records of location, plans or specifications for exempted non-contact cooling water systems for the life of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734D951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§60.697(j)</w:t>
            </w:r>
          </w:p>
        </w:tc>
      </w:tr>
      <w:tr w14:paraId="4ED5CA3A"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0694F02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Maintain records for inspections and corrective actions taken for oil-water separators</w:t>
            </w:r>
          </w:p>
        </w:tc>
        <w:tc>
          <w:tcPr>
            <w:tcW w:w="2250" w:type="dxa"/>
            <w:tcBorders>
              <w:top w:val="single" w:sz="7" w:space="0" w:color="000000"/>
              <w:left w:val="single" w:sz="7" w:space="0" w:color="000000"/>
              <w:bottom w:val="single" w:sz="7" w:space="0" w:color="000000"/>
              <w:right w:val="single" w:sz="7" w:space="0" w:color="000000"/>
            </w:tcBorders>
            <w:vAlign w:val="center"/>
          </w:tcPr>
          <w:p w:rsidR="00191FCA" w:rsidRPr="00191FCA" w:rsidP="00191FCA" w14:paraId="1ACD3E25"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91FCA">
              <w:rPr>
                <w:rFonts w:cstheme="minorHAnsi"/>
                <w:color w:val="000000"/>
              </w:rPr>
              <w:t>§60.7(f), §60.697(k)</w:t>
            </w:r>
          </w:p>
        </w:tc>
      </w:tr>
    </w:tbl>
    <w:p w:rsidR="00A800E6" w:rsidP="009478B5" w14:paraId="557DD968"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p>
    <w:p w:rsidR="00191FCA" w:rsidRPr="008B3B3E" w:rsidP="009478B5" w14:paraId="710CCE9F" w14:textId="0DECEE4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9478B5">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8" w:name="_Toc156593385"/>
      <w:bookmarkEnd w:id="17"/>
    </w:p>
    <w:p w:rsidR="005C0A18" w:rsidRPr="005C0A18" w:rsidP="005C0A18" w14:paraId="2C9A82F8" w14:textId="12BC11A1">
      <w:pPr>
        <w:spacing w:line="240" w:lineRule="auto"/>
        <w:rPr>
          <w:rFonts w:cstheme="minorHAnsi"/>
        </w:rPr>
      </w:pPr>
      <w:r>
        <w:rPr>
          <w:rFonts w:cstheme="minorHAnsi"/>
        </w:rPr>
        <w:t>Respondent Activities listed here:</w:t>
      </w:r>
    </w:p>
    <w:p w:rsidR="005A5E85" w:rsidRPr="005A5E85" w:rsidP="005A5E85" w14:paraId="1CF049A2" w14:textId="66D24B2A">
      <w:pPr>
        <w:pStyle w:val="ListParagraph"/>
        <w:numPr>
          <w:ilvl w:val="0"/>
          <w:numId w:val="30"/>
        </w:numPr>
        <w:spacing w:line="240" w:lineRule="auto"/>
        <w:rPr>
          <w:rFonts w:cstheme="minorHAnsi"/>
        </w:rPr>
      </w:pPr>
      <w:r w:rsidRPr="005A5E85">
        <w:rPr>
          <w:rFonts w:cstheme="minorHAnsi"/>
        </w:rPr>
        <w:t>Familiarization with the regulatory requirements.</w:t>
      </w:r>
    </w:p>
    <w:p w:rsidR="005A5E85" w:rsidRPr="005A5E85" w:rsidP="005A5E85" w14:paraId="494587CB" w14:textId="77777777">
      <w:pPr>
        <w:pStyle w:val="ListParagraph"/>
        <w:numPr>
          <w:ilvl w:val="0"/>
          <w:numId w:val="30"/>
        </w:numPr>
        <w:spacing w:line="240" w:lineRule="auto"/>
        <w:rPr>
          <w:rFonts w:cstheme="minorHAnsi"/>
        </w:rPr>
      </w:pPr>
      <w:r w:rsidRPr="005A5E85">
        <w:rPr>
          <w:rFonts w:cstheme="minorHAnsi"/>
        </w:rPr>
        <w:t>Install, calibrate, maintain, and operate continuous temperature monitoring device for thermal or catalytic incinerators; a continuous VOC monitoring device for regenerative carbon absorbers; and/or a thermocouple or equivalent device for flares, as applicable.</w:t>
      </w:r>
    </w:p>
    <w:p w:rsidR="005A5E85" w:rsidRPr="005A5E85" w:rsidP="005A5E85" w14:paraId="0B775C94" w14:textId="77777777">
      <w:pPr>
        <w:pStyle w:val="ListParagraph"/>
        <w:numPr>
          <w:ilvl w:val="0"/>
          <w:numId w:val="30"/>
        </w:numPr>
        <w:spacing w:line="240" w:lineRule="auto"/>
        <w:rPr>
          <w:rFonts w:cstheme="minorHAnsi"/>
        </w:rPr>
      </w:pPr>
      <w:r w:rsidRPr="005A5E85">
        <w:rPr>
          <w:rFonts w:cstheme="minorHAnsi"/>
        </w:rPr>
        <w:t>Perform initial performance test, Reference Method 21 test (Method 22 for flares), and repeat performance tests if necessary.</w:t>
      </w:r>
    </w:p>
    <w:p w:rsidR="005A5E85" w:rsidRPr="005A5E85" w:rsidP="005A5E85" w14:paraId="7D274778" w14:textId="77777777">
      <w:pPr>
        <w:pStyle w:val="ListParagraph"/>
        <w:numPr>
          <w:ilvl w:val="0"/>
          <w:numId w:val="30"/>
        </w:numPr>
        <w:spacing w:line="240" w:lineRule="auto"/>
        <w:rPr>
          <w:rFonts w:cstheme="minorHAnsi"/>
        </w:rPr>
      </w:pPr>
      <w:r w:rsidRPr="005A5E85">
        <w:rPr>
          <w:rFonts w:cstheme="minorHAnsi"/>
        </w:rPr>
        <w:t>Write the notifications and reports listed above.</w:t>
      </w:r>
    </w:p>
    <w:p w:rsidR="005A5E85" w:rsidRPr="005A5E85" w:rsidP="005A5E85" w14:paraId="66EDBF27" w14:textId="77777777">
      <w:pPr>
        <w:pStyle w:val="ListParagraph"/>
        <w:numPr>
          <w:ilvl w:val="0"/>
          <w:numId w:val="30"/>
        </w:numPr>
        <w:spacing w:line="240" w:lineRule="auto"/>
        <w:rPr>
          <w:rFonts w:cstheme="minorHAnsi"/>
        </w:rPr>
      </w:pPr>
      <w:r w:rsidRPr="005A5E85">
        <w:rPr>
          <w:rFonts w:cstheme="minorHAnsi"/>
        </w:rPr>
        <w:t>Enter information required to be recorded above.</w:t>
      </w:r>
    </w:p>
    <w:p w:rsidR="005A5E85" w:rsidRPr="005A5E85" w:rsidP="005A5E85" w14:paraId="49CB1F0C" w14:textId="77777777">
      <w:pPr>
        <w:pStyle w:val="ListParagraph"/>
        <w:numPr>
          <w:ilvl w:val="0"/>
          <w:numId w:val="30"/>
        </w:numPr>
        <w:spacing w:line="240" w:lineRule="auto"/>
        <w:rPr>
          <w:rFonts w:cstheme="minorHAnsi"/>
        </w:rPr>
      </w:pPr>
      <w:r w:rsidRPr="005A5E85">
        <w:rPr>
          <w:rFonts w:cstheme="minorHAnsi"/>
        </w:rPr>
        <w:t>Submit the required reports developing, acquiring, installing, and utilizing technology and systems for collecting, validating, and verifying information.</w:t>
      </w:r>
    </w:p>
    <w:p w:rsidR="005A5E85" w:rsidRPr="005A5E85" w:rsidP="005A5E85" w14:paraId="1072EE12" w14:textId="77777777">
      <w:pPr>
        <w:pStyle w:val="ListParagraph"/>
        <w:numPr>
          <w:ilvl w:val="0"/>
          <w:numId w:val="30"/>
        </w:numPr>
        <w:spacing w:line="240" w:lineRule="auto"/>
        <w:rPr>
          <w:rFonts w:cstheme="minorHAnsi"/>
        </w:rPr>
      </w:pPr>
      <w:r w:rsidRPr="005A5E85">
        <w:rPr>
          <w:rFonts w:cstheme="minorHAnsi"/>
        </w:rPr>
        <w:t>Develop, acquire, install, and utilize technology and systems for processing and maintaining information.</w:t>
      </w:r>
    </w:p>
    <w:p w:rsidR="005A5E85" w:rsidRPr="005A5E85" w:rsidP="005A5E85" w14:paraId="2423F2CC" w14:textId="77777777">
      <w:pPr>
        <w:pStyle w:val="ListParagraph"/>
        <w:numPr>
          <w:ilvl w:val="0"/>
          <w:numId w:val="30"/>
        </w:numPr>
        <w:spacing w:line="240" w:lineRule="auto"/>
        <w:rPr>
          <w:rFonts w:cstheme="minorHAnsi"/>
        </w:rPr>
      </w:pPr>
      <w:r w:rsidRPr="005A5E85">
        <w:rPr>
          <w:rFonts w:cstheme="minorHAnsi"/>
        </w:rPr>
        <w:t>Develop, acquire, install, and utilize technology and systems for disclosing and providing information.</w:t>
      </w:r>
    </w:p>
    <w:p w:rsidR="005A5E85" w:rsidRPr="005A5E85" w:rsidP="005A5E85" w14:paraId="12262FD0" w14:textId="77777777">
      <w:pPr>
        <w:pStyle w:val="ListParagraph"/>
        <w:numPr>
          <w:ilvl w:val="0"/>
          <w:numId w:val="30"/>
        </w:numPr>
        <w:spacing w:line="240" w:lineRule="auto"/>
        <w:rPr>
          <w:rFonts w:cstheme="minorHAnsi"/>
        </w:rPr>
      </w:pPr>
      <w:r w:rsidRPr="005A5E85">
        <w:rPr>
          <w:rFonts w:cstheme="minorHAnsi"/>
        </w:rPr>
        <w:t>Train personnel to be able to respond to a collection of information.</w:t>
      </w:r>
    </w:p>
    <w:p w:rsidR="009F1E00" w:rsidP="005A5E85" w14:paraId="3C4B52CA" w14:textId="5E04FEC6">
      <w:pPr>
        <w:pStyle w:val="ListParagraph"/>
        <w:numPr>
          <w:ilvl w:val="0"/>
          <w:numId w:val="30"/>
        </w:numPr>
        <w:spacing w:line="240" w:lineRule="auto"/>
        <w:rPr>
          <w:rFonts w:cstheme="minorHAnsi"/>
        </w:rPr>
      </w:pPr>
      <w:r w:rsidRPr="005A5E85">
        <w:rPr>
          <w:rFonts w:cstheme="minorHAnsi"/>
        </w:rPr>
        <w:t>Transmit, or otherwise disclose the information.</w:t>
      </w:r>
    </w:p>
    <w:p w:rsidR="00483774" w:rsidRPr="00483774" w:rsidP="0024565E" w14:paraId="018A3B0F" w14:textId="40B13B2A">
      <w:pPr>
        <w:spacing w:line="259" w:lineRule="auto"/>
        <w:ind w:left="0" w:firstLine="0"/>
        <w:rPr>
          <w:rFonts w:cstheme="minorHAnsi"/>
        </w:rPr>
      </w:pPr>
      <w:r w:rsidRPr="00483774">
        <w:rPr>
          <w:rFonts w:cstheme="minorHAnsi"/>
        </w:rPr>
        <w:t>The specific frequency for each information collection activity within this request is shown at the end of this document in Table: Annual Respondent Burden and Cost – NSPS for VOC Emissions from Petroleum Refinery Wastewater Systems (40 CFR Part 60, Subpart QQQ)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8"/>
      <w:r w:rsidRPr="008B3B3E" w:rsidR="0042474D">
        <w:rPr>
          <w:rFonts w:asciiTheme="minorHAnsi" w:hAnsiTheme="minorHAnsi" w:cstheme="minorHAnsi"/>
          <w:b/>
          <w:bCs/>
          <w:color w:val="000000" w:themeColor="text1"/>
          <w:sz w:val="22"/>
          <w:szCs w:val="22"/>
        </w:rPr>
        <w:t>COSTS</w:t>
      </w:r>
    </w:p>
    <w:p w:rsidR="00ED57A4" w:rsidP="006F063F" w14:paraId="68F435BE" w14:textId="40304151">
      <w:pPr>
        <w:spacing w:line="259" w:lineRule="auto"/>
        <w:ind w:left="0" w:firstLine="0"/>
        <w:rPr>
          <w:rFonts w:cstheme="minorHAnsi"/>
        </w:rPr>
      </w:pPr>
      <w:r w:rsidRPr="00300014">
        <w:rPr>
          <w:rFonts w:cstheme="minorHAnsi"/>
        </w:rPr>
        <w:t>The average annual burden to industry over the next three years from these recordkeeping and reporting requirements is estimated to be 8,900 hours (Total Labor Hours from Table below). These hours are based on Agency studies and background documents from the development of the regulation, Agency knowledge and experience with the NSPS program, the previously-approved ICR, and any comments received.</w:t>
      </w:r>
    </w:p>
    <w:p w:rsidR="00DF28A7" w:rsidRPr="00DF28A7" w:rsidP="006F063F" w14:paraId="4086DAE9" w14:textId="77777777">
      <w:pPr>
        <w:spacing w:line="259" w:lineRule="auto"/>
        <w:ind w:left="0" w:firstLine="0"/>
        <w:rPr>
          <w:rFonts w:cstheme="minorHAnsi"/>
        </w:rPr>
      </w:pPr>
      <w:r w:rsidRPr="00DF28A7">
        <w:rPr>
          <w:rFonts w:cstheme="minorHAnsi"/>
        </w:rPr>
        <w:t xml:space="preserve">This ICR uses the following labor rates: </w:t>
      </w:r>
    </w:p>
    <w:p w:rsidR="00DF28A7" w:rsidRPr="00DF28A7" w:rsidP="006F063F" w14:paraId="6F22FEB6" w14:textId="77777777">
      <w:pPr>
        <w:spacing w:line="259" w:lineRule="auto"/>
        <w:ind w:firstLine="0"/>
        <w:rPr>
          <w:rFonts w:cstheme="minorHAnsi"/>
        </w:rPr>
      </w:pPr>
      <w:r w:rsidRPr="00DF28A7">
        <w:rPr>
          <w:rFonts w:cstheme="minorHAnsi"/>
        </w:rPr>
        <w:t>Managerial</w:t>
      </w:r>
      <w:r w:rsidRPr="00DF28A7">
        <w:rPr>
          <w:rFonts w:cstheme="minorHAnsi"/>
        </w:rPr>
        <w:tab/>
        <w:t xml:space="preserve">$157.61 ($75.05 + 110%) </w:t>
      </w:r>
    </w:p>
    <w:p w:rsidR="00DF28A7" w:rsidRPr="00DF28A7" w:rsidP="006F063F" w14:paraId="2C927C36" w14:textId="77777777">
      <w:pPr>
        <w:spacing w:line="259" w:lineRule="auto"/>
        <w:ind w:firstLine="0"/>
        <w:rPr>
          <w:rFonts w:cstheme="minorHAnsi"/>
        </w:rPr>
      </w:pPr>
      <w:r w:rsidRPr="00DF28A7">
        <w:rPr>
          <w:rFonts w:cstheme="minorHAnsi"/>
        </w:rPr>
        <w:t>Technical</w:t>
      </w:r>
      <w:r w:rsidRPr="00DF28A7">
        <w:rPr>
          <w:rFonts w:cstheme="minorHAnsi"/>
        </w:rPr>
        <w:tab/>
        <w:t>$123.94 ($59.02 + 110%)</w:t>
      </w:r>
    </w:p>
    <w:p w:rsidR="00DF28A7" w:rsidRPr="00DF28A7" w:rsidP="006F063F" w14:paraId="0AB3F345" w14:textId="05F82FAA">
      <w:pPr>
        <w:spacing w:line="259" w:lineRule="auto"/>
        <w:ind w:firstLine="0"/>
        <w:rPr>
          <w:rFonts w:cstheme="minorHAnsi"/>
        </w:rPr>
      </w:pPr>
      <w:r w:rsidRPr="00DF28A7">
        <w:rPr>
          <w:rFonts w:cstheme="minorHAnsi"/>
        </w:rPr>
        <w:t>Clerical</w:t>
      </w:r>
      <w:r w:rsidRPr="00DF28A7">
        <w:rPr>
          <w:rFonts w:cstheme="minorHAnsi"/>
        </w:rPr>
        <w:tab/>
      </w:r>
      <w:r>
        <w:rPr>
          <w:rFonts w:cstheme="minorHAnsi"/>
        </w:rPr>
        <w:tab/>
      </w:r>
      <w:r w:rsidRPr="00DF28A7">
        <w:rPr>
          <w:rFonts w:cstheme="minorHAnsi"/>
        </w:rPr>
        <w:t>$62.52 ($29.77 + 110%)</w:t>
      </w:r>
    </w:p>
    <w:p w:rsidR="00DF28A7" w:rsidRPr="00DF28A7" w:rsidP="006F063F" w14:paraId="6D28AD9B" w14:textId="1F986164">
      <w:pPr>
        <w:spacing w:line="259" w:lineRule="auto"/>
        <w:ind w:left="0" w:firstLine="0"/>
        <w:rPr>
          <w:rFonts w:cstheme="minorHAnsi"/>
        </w:rPr>
      </w:pPr>
      <w:r w:rsidRPr="00DF28A7">
        <w:rPr>
          <w:rFonts w:cstheme="minorHAnsi"/>
        </w:rPr>
        <w:t>These rates are from the United States Department of Labor, Bureau of Labor Statistics, September 2021, “Table.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300014" w:rsidP="006F063F" w14:paraId="1A7E4616" w14:textId="53B29C3B">
      <w:pPr>
        <w:spacing w:line="259" w:lineRule="auto"/>
        <w:ind w:left="0" w:firstLine="0"/>
        <w:rPr>
          <w:rFonts w:cstheme="minorHAnsi"/>
        </w:rPr>
      </w:pPr>
      <w:r w:rsidRPr="006F063F">
        <w:rPr>
          <w:rFonts w:cstheme="minorHAnsi"/>
        </w:rPr>
        <w:t>Based on our research for this ICR, on average over the next three years, approximately 130 existing respondents will be subject to these standards. It is estimated that no additional respondents per year will become subject. The overall average number of respondents, as shown in the table below, is 130 per year.</w:t>
      </w:r>
    </w:p>
    <w:p w:rsidR="006F063F" w:rsidP="006F063F" w14:paraId="23E629C0" w14:textId="45FE22AF">
      <w:pPr>
        <w:spacing w:line="259" w:lineRule="auto"/>
        <w:ind w:left="0" w:firstLine="0"/>
        <w:rPr>
          <w:rFonts w:cstheme="minorHAnsi"/>
        </w:rPr>
      </w:pPr>
      <w:r w:rsidRPr="006F063F">
        <w:rPr>
          <w:rFonts w:cstheme="minorHAnsi"/>
        </w:rPr>
        <w:t>The number of respondents is calculated using the following table that addresses the three years covered by this ICR:</w:t>
      </w:r>
    </w:p>
    <w:tbl>
      <w:tblPr>
        <w:tblW w:w="9359" w:type="dxa"/>
        <w:tblInd w:w="110" w:type="dxa"/>
        <w:tblLayout w:type="fixed"/>
        <w:tblCellMar>
          <w:left w:w="110" w:type="dxa"/>
          <w:right w:w="110" w:type="dxa"/>
        </w:tblCellMar>
        <w:tblLook w:val="0000"/>
      </w:tblPr>
      <w:tblGrid>
        <w:gridCol w:w="1051"/>
        <w:gridCol w:w="1446"/>
        <w:gridCol w:w="1282"/>
        <w:gridCol w:w="2070"/>
        <w:gridCol w:w="1800"/>
        <w:gridCol w:w="1710"/>
      </w:tblGrid>
      <w:tr w14:paraId="26186329" w14:textId="77777777" w:rsidTr="00C97D0B">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6F063F" w:rsidRPr="006F063F" w:rsidP="00F40EE8" w14:paraId="78F690A8" w14:textId="77777777">
            <w:pPr>
              <w:spacing w:line="259" w:lineRule="auto"/>
              <w:ind w:left="0" w:firstLine="0"/>
              <w:contextualSpacing/>
              <w:jc w:val="center"/>
              <w:rPr>
                <w:rFonts w:cstheme="minorHAnsi"/>
                <w:b/>
                <w:bCs/>
              </w:rPr>
            </w:pPr>
            <w:r w:rsidRPr="006F063F">
              <w:rPr>
                <w:rFonts w:cstheme="minorHAnsi"/>
                <w:b/>
                <w:bCs/>
              </w:rPr>
              <w:t>Number of Respondents</w:t>
            </w:r>
          </w:p>
        </w:tc>
      </w:tr>
      <w:tr w14:paraId="59E25B87" w14:textId="77777777" w:rsidTr="006F063F">
        <w:tblPrEx>
          <w:tblW w:w="9359" w:type="dxa"/>
          <w:tblInd w:w="110" w:type="dxa"/>
          <w:tblLayout w:type="fixed"/>
          <w:tblCellMar>
            <w:left w:w="110" w:type="dxa"/>
            <w:right w:w="110" w:type="dxa"/>
          </w:tblCellMar>
          <w:tblLook w:val="0000"/>
        </w:tblPrEx>
        <w:tc>
          <w:tcPr>
            <w:tcW w:w="1051" w:type="dxa"/>
            <w:tcBorders>
              <w:top w:val="single" w:sz="7" w:space="0" w:color="000000"/>
              <w:left w:val="single" w:sz="7" w:space="0" w:color="000000"/>
              <w:bottom w:val="single" w:sz="6" w:space="0" w:color="FFFFFF"/>
              <w:right w:val="single" w:sz="6" w:space="0" w:color="FFFFFF"/>
            </w:tcBorders>
          </w:tcPr>
          <w:p w:rsidR="006F063F" w:rsidRPr="006F063F" w:rsidP="006F063F" w14:paraId="07931AE8" w14:textId="77777777">
            <w:pPr>
              <w:spacing w:line="259" w:lineRule="auto"/>
              <w:ind w:left="0" w:firstLine="0"/>
              <w:contextualSpacing/>
              <w:rPr>
                <w:rFonts w:cstheme="minorHAnsi"/>
              </w:rPr>
            </w:pPr>
          </w:p>
        </w:tc>
        <w:tc>
          <w:tcPr>
            <w:tcW w:w="2728" w:type="dxa"/>
            <w:gridSpan w:val="2"/>
            <w:tcBorders>
              <w:top w:val="single" w:sz="7" w:space="0" w:color="000000"/>
              <w:left w:val="single" w:sz="7" w:space="0" w:color="000000"/>
              <w:bottom w:val="single" w:sz="6" w:space="0" w:color="FFFFFF"/>
              <w:right w:val="single" w:sz="6" w:space="0" w:color="FFFFFF"/>
            </w:tcBorders>
          </w:tcPr>
          <w:p w:rsidR="006F063F" w:rsidRPr="006F063F" w:rsidP="006F063F" w14:paraId="7ADD3C79" w14:textId="77777777">
            <w:pPr>
              <w:spacing w:line="259" w:lineRule="auto"/>
              <w:ind w:left="0" w:firstLine="0"/>
              <w:contextualSpacing/>
              <w:rPr>
                <w:rFonts w:cstheme="minorHAnsi"/>
              </w:rPr>
            </w:pPr>
            <w:r w:rsidRPr="006F063F">
              <w:rPr>
                <w:rFonts w:cstheme="minorHAnsi"/>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6F063F" w:rsidRPr="006F063F" w:rsidP="006F063F" w14:paraId="22551056" w14:textId="77777777">
            <w:pPr>
              <w:spacing w:line="259" w:lineRule="auto"/>
              <w:ind w:left="0" w:firstLine="0"/>
              <w:contextualSpacing/>
              <w:rPr>
                <w:rFonts w:cstheme="minorHAnsi"/>
              </w:rPr>
            </w:pPr>
            <w:r w:rsidRPr="006F063F">
              <w:rPr>
                <w:rFonts w:cstheme="minorHAnsi"/>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6F063F" w:rsidRPr="006F063F" w:rsidP="006F063F" w14:paraId="7605DC53" w14:textId="77777777">
            <w:pPr>
              <w:spacing w:line="259" w:lineRule="auto"/>
              <w:ind w:left="0" w:firstLine="0"/>
              <w:contextualSpacing/>
              <w:rPr>
                <w:rFonts w:cstheme="minorHAnsi"/>
              </w:rPr>
            </w:pPr>
          </w:p>
        </w:tc>
      </w:tr>
      <w:tr w14:paraId="5F45F871" w14:textId="77777777" w:rsidTr="006F063F">
        <w:tblPrEx>
          <w:tblW w:w="9359" w:type="dxa"/>
          <w:tblInd w:w="110" w:type="dxa"/>
          <w:tblLayout w:type="fixed"/>
          <w:tblCellMar>
            <w:left w:w="110" w:type="dxa"/>
            <w:right w:w="110" w:type="dxa"/>
          </w:tblCellMar>
          <w:tblLook w:val="0000"/>
        </w:tblPrEx>
        <w:tc>
          <w:tcPr>
            <w:tcW w:w="1051" w:type="dxa"/>
            <w:tcBorders>
              <w:top w:val="single" w:sz="7" w:space="0" w:color="000000"/>
              <w:left w:val="single" w:sz="7" w:space="0" w:color="000000"/>
              <w:bottom w:val="single" w:sz="8" w:space="0" w:color="000000"/>
              <w:right w:val="single" w:sz="6" w:space="0" w:color="FFFFFF"/>
            </w:tcBorders>
          </w:tcPr>
          <w:p w:rsidR="006F063F" w:rsidRPr="006F063F" w:rsidP="006F063F" w14:paraId="2E79AF26" w14:textId="77777777">
            <w:pPr>
              <w:spacing w:line="259" w:lineRule="auto"/>
              <w:ind w:left="0" w:firstLine="0"/>
              <w:contextualSpacing/>
              <w:rPr>
                <w:rFonts w:cstheme="minorHAnsi"/>
              </w:rPr>
            </w:pPr>
            <w:r w:rsidRPr="006F063F">
              <w:rPr>
                <w:rFonts w:cstheme="minorHAnsi"/>
              </w:rPr>
              <w:t>Year</w:t>
            </w:r>
          </w:p>
        </w:tc>
        <w:tc>
          <w:tcPr>
            <w:tcW w:w="1446" w:type="dxa"/>
            <w:tcBorders>
              <w:top w:val="single" w:sz="7" w:space="0" w:color="000000"/>
              <w:left w:val="single" w:sz="7" w:space="0" w:color="000000"/>
              <w:bottom w:val="single" w:sz="8" w:space="0" w:color="000000"/>
              <w:right w:val="single" w:sz="6" w:space="0" w:color="FFFFFF"/>
            </w:tcBorders>
          </w:tcPr>
          <w:p w:rsidR="006F063F" w:rsidRPr="006F063F" w:rsidP="006F063F" w14:paraId="14364927" w14:textId="77777777">
            <w:pPr>
              <w:spacing w:line="259" w:lineRule="auto"/>
              <w:ind w:left="0" w:firstLine="0"/>
              <w:contextualSpacing/>
              <w:rPr>
                <w:rFonts w:cstheme="minorHAnsi"/>
              </w:rPr>
            </w:pPr>
            <w:r w:rsidRPr="006F063F">
              <w:rPr>
                <w:rFonts w:cstheme="minorHAnsi"/>
              </w:rPr>
              <w:t>(A)</w:t>
            </w:r>
          </w:p>
          <w:p w:rsidR="006F063F" w:rsidRPr="006F063F" w:rsidP="006F063F" w14:paraId="01A12554" w14:textId="77777777">
            <w:pPr>
              <w:spacing w:line="259" w:lineRule="auto"/>
              <w:ind w:left="0" w:firstLine="0"/>
              <w:contextualSpacing/>
              <w:rPr>
                <w:rFonts w:cstheme="minorHAnsi"/>
              </w:rPr>
            </w:pPr>
            <w:r w:rsidRPr="006F063F">
              <w:rPr>
                <w:rFonts w:cstheme="minorHAnsi"/>
              </w:rPr>
              <w:t xml:space="preserve">Number of New Respondents </w:t>
            </w:r>
            <w:r w:rsidRPr="006F063F">
              <w:rPr>
                <w:rFonts w:cstheme="minorHAnsi"/>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6F063F" w:rsidRPr="006F063F" w:rsidP="006F063F" w14:paraId="0E999941" w14:textId="77777777">
            <w:pPr>
              <w:spacing w:line="259" w:lineRule="auto"/>
              <w:ind w:left="0" w:firstLine="0"/>
              <w:contextualSpacing/>
              <w:rPr>
                <w:rFonts w:cstheme="minorHAnsi"/>
              </w:rPr>
            </w:pPr>
            <w:r w:rsidRPr="006F063F">
              <w:rPr>
                <w:rFonts w:cstheme="minorHAnsi"/>
              </w:rPr>
              <w:t>(B)</w:t>
            </w:r>
          </w:p>
          <w:p w:rsidR="006F063F" w:rsidRPr="006F063F" w:rsidP="006F063F" w14:paraId="3598FA4A" w14:textId="77777777">
            <w:pPr>
              <w:spacing w:line="259" w:lineRule="auto"/>
              <w:ind w:left="0" w:firstLine="0"/>
              <w:contextualSpacing/>
              <w:rPr>
                <w:rFonts w:cstheme="minorHAnsi"/>
              </w:rPr>
            </w:pPr>
            <w:r w:rsidRPr="006F063F">
              <w:rPr>
                <w:rFonts w:cstheme="minorHAnsi"/>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6F063F" w:rsidRPr="006F063F" w:rsidP="006F063F" w14:paraId="0A502A32" w14:textId="77777777">
            <w:pPr>
              <w:spacing w:line="259" w:lineRule="auto"/>
              <w:ind w:left="0" w:firstLine="0"/>
              <w:contextualSpacing/>
              <w:rPr>
                <w:rFonts w:cstheme="minorHAnsi"/>
              </w:rPr>
            </w:pPr>
            <w:r w:rsidRPr="006F063F">
              <w:rPr>
                <w:rFonts w:cstheme="minorHAnsi"/>
              </w:rPr>
              <w:t>(C)</w:t>
            </w:r>
          </w:p>
          <w:p w:rsidR="006F063F" w:rsidRPr="006F063F" w:rsidP="006F063F" w14:paraId="406F6A0D" w14:textId="77777777">
            <w:pPr>
              <w:spacing w:line="259" w:lineRule="auto"/>
              <w:ind w:left="0" w:firstLine="0"/>
              <w:contextualSpacing/>
              <w:rPr>
                <w:rFonts w:cstheme="minorHAnsi"/>
              </w:rPr>
            </w:pPr>
            <w:r w:rsidRPr="006F063F">
              <w:rPr>
                <w:rFonts w:cstheme="minorHAnsi"/>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6F063F" w:rsidRPr="006F063F" w:rsidP="006F063F" w14:paraId="0DDD7AA3" w14:textId="77777777">
            <w:pPr>
              <w:spacing w:line="259" w:lineRule="auto"/>
              <w:ind w:left="0" w:firstLine="0"/>
              <w:contextualSpacing/>
              <w:rPr>
                <w:rFonts w:cstheme="minorHAnsi"/>
              </w:rPr>
            </w:pPr>
            <w:r w:rsidRPr="006F063F">
              <w:rPr>
                <w:rFonts w:cstheme="minorHAnsi"/>
              </w:rPr>
              <w:t>(D)</w:t>
            </w:r>
          </w:p>
          <w:p w:rsidR="006F063F" w:rsidRPr="006F063F" w:rsidP="006F063F" w14:paraId="04B683DA" w14:textId="77777777">
            <w:pPr>
              <w:spacing w:line="259" w:lineRule="auto"/>
              <w:ind w:left="0" w:firstLine="0"/>
              <w:contextualSpacing/>
              <w:rPr>
                <w:rFonts w:cstheme="minorHAnsi"/>
              </w:rPr>
            </w:pPr>
            <w:r w:rsidRPr="006F063F">
              <w:rPr>
                <w:rFonts w:cstheme="minorHAnsi"/>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6F063F" w:rsidRPr="006F063F" w:rsidP="006F063F" w14:paraId="67CCFFCE" w14:textId="77777777">
            <w:pPr>
              <w:spacing w:line="259" w:lineRule="auto"/>
              <w:ind w:left="0" w:firstLine="0"/>
              <w:contextualSpacing/>
              <w:rPr>
                <w:rFonts w:cstheme="minorHAnsi"/>
              </w:rPr>
            </w:pPr>
            <w:r w:rsidRPr="006F063F">
              <w:rPr>
                <w:rFonts w:cstheme="minorHAnsi"/>
              </w:rPr>
              <w:t>(E)</w:t>
            </w:r>
          </w:p>
          <w:p w:rsidR="006F063F" w:rsidRPr="006F063F" w:rsidP="006F063F" w14:paraId="3E7E7F7E" w14:textId="77777777">
            <w:pPr>
              <w:spacing w:line="259" w:lineRule="auto"/>
              <w:ind w:left="0" w:firstLine="0"/>
              <w:contextualSpacing/>
              <w:rPr>
                <w:rFonts w:cstheme="minorHAnsi"/>
              </w:rPr>
            </w:pPr>
            <w:r w:rsidRPr="006F063F">
              <w:rPr>
                <w:rFonts w:cstheme="minorHAnsi"/>
              </w:rPr>
              <w:t>Number of Respondents</w:t>
            </w:r>
          </w:p>
          <w:p w:rsidR="006F063F" w:rsidRPr="006F063F" w:rsidP="006F063F" w14:paraId="15EDCFB4" w14:textId="77777777">
            <w:pPr>
              <w:spacing w:line="259" w:lineRule="auto"/>
              <w:ind w:left="0" w:firstLine="0"/>
              <w:contextualSpacing/>
              <w:rPr>
                <w:rFonts w:cstheme="minorHAnsi"/>
              </w:rPr>
            </w:pPr>
            <w:r w:rsidRPr="006F063F">
              <w:rPr>
                <w:rFonts w:cstheme="minorHAnsi"/>
              </w:rPr>
              <w:t>(E=A+B+C-D)</w:t>
            </w:r>
          </w:p>
        </w:tc>
      </w:tr>
      <w:tr w14:paraId="521D0549" w14:textId="77777777" w:rsidTr="006F063F">
        <w:tblPrEx>
          <w:tblW w:w="9359" w:type="dxa"/>
          <w:tblInd w:w="110" w:type="dxa"/>
          <w:tblLayout w:type="fixed"/>
          <w:tblCellMar>
            <w:left w:w="110" w:type="dxa"/>
            <w:right w:w="110" w:type="dxa"/>
          </w:tblCellMar>
          <w:tblLook w:val="0000"/>
        </w:tblPrEx>
        <w:tc>
          <w:tcPr>
            <w:tcW w:w="1051" w:type="dxa"/>
            <w:tcBorders>
              <w:top w:val="single" w:sz="8" w:space="0" w:color="000000"/>
              <w:left w:val="single" w:sz="8" w:space="0" w:color="000000"/>
              <w:bottom w:val="single" w:sz="6" w:space="0" w:color="000000"/>
              <w:right w:val="single" w:sz="6" w:space="0" w:color="000000"/>
            </w:tcBorders>
          </w:tcPr>
          <w:p w:rsidR="006F063F" w:rsidRPr="006F063F" w:rsidP="006F063F" w14:paraId="1A58EEE7" w14:textId="77777777">
            <w:pPr>
              <w:spacing w:line="259" w:lineRule="auto"/>
              <w:ind w:left="0" w:firstLine="0"/>
              <w:contextualSpacing/>
              <w:rPr>
                <w:rFonts w:cstheme="minorHAnsi"/>
              </w:rPr>
            </w:pPr>
            <w:r w:rsidRPr="006F063F">
              <w:rPr>
                <w:rFonts w:cstheme="minorHAnsi"/>
              </w:rPr>
              <w:t>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6F063F" w:rsidRPr="006F063F" w:rsidP="006F063F" w14:paraId="60D1E450" w14:textId="77777777">
            <w:pPr>
              <w:spacing w:line="259" w:lineRule="auto"/>
              <w:ind w:left="0" w:firstLine="0"/>
              <w:contextualSpacing/>
              <w:rPr>
                <w:rFonts w:cstheme="minorHAnsi"/>
              </w:rPr>
            </w:pPr>
            <w:r w:rsidRPr="006F063F">
              <w:rPr>
                <w:rFonts w:cstheme="minorHAnsi"/>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6F063F" w:rsidRPr="006F063F" w:rsidP="006F063F" w14:paraId="6F30CD71" w14:textId="77777777">
            <w:pPr>
              <w:spacing w:line="259" w:lineRule="auto"/>
              <w:ind w:left="0" w:firstLine="0"/>
              <w:contextualSpacing/>
              <w:rPr>
                <w:rFonts w:cstheme="minorHAnsi"/>
              </w:rPr>
            </w:pPr>
            <w:r w:rsidRPr="006F063F">
              <w:rPr>
                <w:rFonts w:cstheme="minorHAnsi"/>
              </w:rPr>
              <w:t>130</w:t>
            </w:r>
          </w:p>
        </w:tc>
        <w:tc>
          <w:tcPr>
            <w:tcW w:w="2070" w:type="dxa"/>
            <w:tcBorders>
              <w:top w:val="single" w:sz="4" w:space="0" w:color="auto"/>
              <w:left w:val="nil"/>
              <w:bottom w:val="single" w:sz="4" w:space="0" w:color="auto"/>
              <w:right w:val="single" w:sz="4" w:space="0" w:color="auto"/>
            </w:tcBorders>
            <w:shd w:val="clear" w:color="auto" w:fill="auto"/>
            <w:vAlign w:val="center"/>
          </w:tcPr>
          <w:p w:rsidR="006F063F" w:rsidRPr="006F063F" w:rsidP="006F063F" w14:paraId="3E4655F9" w14:textId="77777777">
            <w:pPr>
              <w:spacing w:line="259" w:lineRule="auto"/>
              <w:ind w:left="0" w:firstLine="0"/>
              <w:contextualSpacing/>
              <w:rPr>
                <w:rFonts w:cstheme="minorHAnsi"/>
              </w:rPr>
            </w:pPr>
            <w:r w:rsidRPr="006F063F">
              <w:rPr>
                <w:rFonts w:cstheme="minorHAnsi"/>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6F063F" w:rsidRPr="006F063F" w:rsidP="006F063F" w14:paraId="2B5CF6EB" w14:textId="77777777">
            <w:pPr>
              <w:spacing w:line="259" w:lineRule="auto"/>
              <w:ind w:left="0" w:firstLine="0"/>
              <w:contextualSpacing/>
              <w:rPr>
                <w:rFonts w:cstheme="minorHAnsi"/>
              </w:rPr>
            </w:pPr>
            <w:r w:rsidRPr="006F063F">
              <w:rPr>
                <w:rFonts w:cstheme="minorHAnsi"/>
              </w:rPr>
              <w:t>0</w:t>
            </w:r>
          </w:p>
        </w:tc>
        <w:tc>
          <w:tcPr>
            <w:tcW w:w="1710" w:type="dxa"/>
            <w:tcBorders>
              <w:top w:val="single" w:sz="4" w:space="0" w:color="auto"/>
              <w:left w:val="nil"/>
              <w:bottom w:val="single" w:sz="4" w:space="0" w:color="auto"/>
              <w:right w:val="single" w:sz="4" w:space="0" w:color="auto"/>
            </w:tcBorders>
            <w:shd w:val="clear" w:color="auto" w:fill="auto"/>
            <w:vAlign w:val="center"/>
          </w:tcPr>
          <w:p w:rsidR="006F063F" w:rsidRPr="006F063F" w:rsidP="006F063F" w14:paraId="28795776" w14:textId="77777777">
            <w:pPr>
              <w:spacing w:line="259" w:lineRule="auto"/>
              <w:ind w:left="0" w:firstLine="0"/>
              <w:contextualSpacing/>
              <w:rPr>
                <w:rFonts w:cstheme="minorHAnsi"/>
              </w:rPr>
            </w:pPr>
            <w:r w:rsidRPr="006F063F">
              <w:rPr>
                <w:rFonts w:cstheme="minorHAnsi"/>
              </w:rPr>
              <w:t>130</w:t>
            </w:r>
          </w:p>
        </w:tc>
      </w:tr>
      <w:tr w14:paraId="60FCB779" w14:textId="77777777" w:rsidTr="006F063F">
        <w:tblPrEx>
          <w:tblW w:w="9359" w:type="dxa"/>
          <w:tblInd w:w="110" w:type="dxa"/>
          <w:tblLayout w:type="fixed"/>
          <w:tblCellMar>
            <w:left w:w="110" w:type="dxa"/>
            <w:right w:w="110" w:type="dxa"/>
          </w:tblCellMar>
          <w:tblLook w:val="0000"/>
        </w:tblPrEx>
        <w:tc>
          <w:tcPr>
            <w:tcW w:w="1051" w:type="dxa"/>
            <w:tcBorders>
              <w:top w:val="single" w:sz="6" w:space="0" w:color="000000"/>
              <w:left w:val="single" w:sz="8" w:space="0" w:color="000000"/>
              <w:bottom w:val="single" w:sz="6" w:space="0" w:color="000000"/>
              <w:right w:val="single" w:sz="6" w:space="0" w:color="000000"/>
            </w:tcBorders>
          </w:tcPr>
          <w:p w:rsidR="006F063F" w:rsidRPr="006F063F" w:rsidP="006F063F" w14:paraId="3E609CEF" w14:textId="77777777">
            <w:pPr>
              <w:spacing w:line="259" w:lineRule="auto"/>
              <w:ind w:left="0" w:firstLine="0"/>
              <w:contextualSpacing/>
              <w:rPr>
                <w:rFonts w:cstheme="minorHAnsi"/>
              </w:rPr>
            </w:pPr>
            <w:r w:rsidRPr="006F063F">
              <w:rPr>
                <w:rFonts w:cstheme="minorHAnsi"/>
              </w:rPr>
              <w:t>2</w:t>
            </w:r>
          </w:p>
        </w:tc>
        <w:tc>
          <w:tcPr>
            <w:tcW w:w="1446" w:type="dxa"/>
            <w:tcBorders>
              <w:top w:val="nil"/>
              <w:left w:val="single" w:sz="4" w:space="0" w:color="auto"/>
              <w:bottom w:val="single" w:sz="4" w:space="0" w:color="auto"/>
              <w:right w:val="single" w:sz="4" w:space="0" w:color="auto"/>
            </w:tcBorders>
            <w:shd w:val="clear" w:color="auto" w:fill="auto"/>
            <w:vAlign w:val="center"/>
          </w:tcPr>
          <w:p w:rsidR="006F063F" w:rsidRPr="006F063F" w:rsidP="006F063F" w14:paraId="1B714761" w14:textId="77777777">
            <w:pPr>
              <w:spacing w:line="259" w:lineRule="auto"/>
              <w:ind w:left="0" w:firstLine="0"/>
              <w:contextualSpacing/>
              <w:rPr>
                <w:rFonts w:cstheme="minorHAnsi"/>
              </w:rPr>
            </w:pPr>
            <w:r w:rsidRPr="006F063F">
              <w:rPr>
                <w:rFonts w:cstheme="minorHAnsi"/>
              </w:rPr>
              <w:t>0</w:t>
            </w:r>
          </w:p>
        </w:tc>
        <w:tc>
          <w:tcPr>
            <w:tcW w:w="1282" w:type="dxa"/>
            <w:tcBorders>
              <w:top w:val="nil"/>
              <w:left w:val="nil"/>
              <w:bottom w:val="single" w:sz="4" w:space="0" w:color="auto"/>
              <w:right w:val="single" w:sz="4" w:space="0" w:color="auto"/>
            </w:tcBorders>
            <w:shd w:val="clear" w:color="auto" w:fill="auto"/>
            <w:vAlign w:val="center"/>
          </w:tcPr>
          <w:p w:rsidR="006F063F" w:rsidRPr="006F063F" w:rsidP="006F063F" w14:paraId="63CC23CF" w14:textId="77777777">
            <w:pPr>
              <w:spacing w:line="259" w:lineRule="auto"/>
              <w:ind w:left="0" w:firstLine="0"/>
              <w:contextualSpacing/>
              <w:rPr>
                <w:rFonts w:cstheme="minorHAnsi"/>
              </w:rPr>
            </w:pPr>
            <w:r w:rsidRPr="006F063F">
              <w:rPr>
                <w:rFonts w:cstheme="minorHAnsi"/>
              </w:rPr>
              <w:t>130</w:t>
            </w:r>
          </w:p>
        </w:tc>
        <w:tc>
          <w:tcPr>
            <w:tcW w:w="2070" w:type="dxa"/>
            <w:tcBorders>
              <w:top w:val="nil"/>
              <w:left w:val="nil"/>
              <w:bottom w:val="single" w:sz="4" w:space="0" w:color="auto"/>
              <w:right w:val="single" w:sz="4" w:space="0" w:color="auto"/>
            </w:tcBorders>
            <w:shd w:val="clear" w:color="auto" w:fill="auto"/>
            <w:vAlign w:val="center"/>
          </w:tcPr>
          <w:p w:rsidR="006F063F" w:rsidRPr="006F063F" w:rsidP="006F063F" w14:paraId="2986B8A8" w14:textId="77777777">
            <w:pPr>
              <w:spacing w:line="259" w:lineRule="auto"/>
              <w:ind w:left="0" w:firstLine="0"/>
              <w:contextualSpacing/>
              <w:rPr>
                <w:rFonts w:cstheme="minorHAnsi"/>
              </w:rPr>
            </w:pPr>
            <w:r w:rsidRPr="006F063F">
              <w:rPr>
                <w:rFonts w:cstheme="minorHAnsi"/>
              </w:rPr>
              <w:t>0</w:t>
            </w:r>
          </w:p>
        </w:tc>
        <w:tc>
          <w:tcPr>
            <w:tcW w:w="1800" w:type="dxa"/>
            <w:tcBorders>
              <w:top w:val="nil"/>
              <w:left w:val="nil"/>
              <w:bottom w:val="single" w:sz="4" w:space="0" w:color="auto"/>
              <w:right w:val="single" w:sz="4" w:space="0" w:color="auto"/>
            </w:tcBorders>
            <w:shd w:val="clear" w:color="auto" w:fill="auto"/>
            <w:vAlign w:val="center"/>
          </w:tcPr>
          <w:p w:rsidR="006F063F" w:rsidRPr="006F063F" w:rsidP="006F063F" w14:paraId="3066D38F" w14:textId="77777777">
            <w:pPr>
              <w:spacing w:line="259" w:lineRule="auto"/>
              <w:ind w:left="0" w:firstLine="0"/>
              <w:contextualSpacing/>
              <w:rPr>
                <w:rFonts w:cstheme="minorHAnsi"/>
              </w:rPr>
            </w:pPr>
            <w:r w:rsidRPr="006F063F">
              <w:rPr>
                <w:rFonts w:cstheme="minorHAnsi"/>
              </w:rPr>
              <w:t>0</w:t>
            </w:r>
          </w:p>
        </w:tc>
        <w:tc>
          <w:tcPr>
            <w:tcW w:w="1710" w:type="dxa"/>
            <w:tcBorders>
              <w:top w:val="nil"/>
              <w:left w:val="nil"/>
              <w:bottom w:val="single" w:sz="4" w:space="0" w:color="auto"/>
              <w:right w:val="single" w:sz="4" w:space="0" w:color="auto"/>
            </w:tcBorders>
            <w:shd w:val="clear" w:color="auto" w:fill="auto"/>
            <w:vAlign w:val="center"/>
          </w:tcPr>
          <w:p w:rsidR="006F063F" w:rsidRPr="006F063F" w:rsidP="006F063F" w14:paraId="73CED635" w14:textId="77777777">
            <w:pPr>
              <w:spacing w:line="259" w:lineRule="auto"/>
              <w:ind w:left="0" w:firstLine="0"/>
              <w:contextualSpacing/>
              <w:rPr>
                <w:rFonts w:cstheme="minorHAnsi"/>
              </w:rPr>
            </w:pPr>
            <w:r w:rsidRPr="006F063F">
              <w:rPr>
                <w:rFonts w:cstheme="minorHAnsi"/>
              </w:rPr>
              <w:t>130</w:t>
            </w:r>
          </w:p>
        </w:tc>
      </w:tr>
      <w:tr w14:paraId="1606743D" w14:textId="77777777" w:rsidTr="006F063F">
        <w:tblPrEx>
          <w:tblW w:w="9359" w:type="dxa"/>
          <w:tblInd w:w="110" w:type="dxa"/>
          <w:tblLayout w:type="fixed"/>
          <w:tblCellMar>
            <w:left w:w="110" w:type="dxa"/>
            <w:right w:w="110" w:type="dxa"/>
          </w:tblCellMar>
          <w:tblLook w:val="0000"/>
        </w:tblPrEx>
        <w:tc>
          <w:tcPr>
            <w:tcW w:w="1051" w:type="dxa"/>
            <w:tcBorders>
              <w:top w:val="single" w:sz="6" w:space="0" w:color="000000"/>
              <w:left w:val="single" w:sz="8" w:space="0" w:color="000000"/>
              <w:bottom w:val="single" w:sz="6" w:space="0" w:color="000000"/>
              <w:right w:val="single" w:sz="6" w:space="0" w:color="000000"/>
            </w:tcBorders>
          </w:tcPr>
          <w:p w:rsidR="006F063F" w:rsidRPr="006F063F" w:rsidP="006F063F" w14:paraId="5A177F7D" w14:textId="77777777">
            <w:pPr>
              <w:spacing w:line="259" w:lineRule="auto"/>
              <w:ind w:left="0" w:firstLine="0"/>
              <w:contextualSpacing/>
              <w:rPr>
                <w:rFonts w:cstheme="minorHAnsi"/>
              </w:rPr>
            </w:pPr>
            <w:r w:rsidRPr="006F063F">
              <w:rPr>
                <w:rFonts w:cstheme="minorHAnsi"/>
              </w:rPr>
              <w:t>3</w:t>
            </w:r>
          </w:p>
        </w:tc>
        <w:tc>
          <w:tcPr>
            <w:tcW w:w="1446" w:type="dxa"/>
            <w:tcBorders>
              <w:top w:val="nil"/>
              <w:left w:val="single" w:sz="4" w:space="0" w:color="auto"/>
              <w:bottom w:val="single" w:sz="4" w:space="0" w:color="auto"/>
              <w:right w:val="single" w:sz="4" w:space="0" w:color="auto"/>
            </w:tcBorders>
            <w:shd w:val="clear" w:color="auto" w:fill="auto"/>
            <w:vAlign w:val="center"/>
          </w:tcPr>
          <w:p w:rsidR="006F063F" w:rsidRPr="006F063F" w:rsidP="006F063F" w14:paraId="5282B2C7" w14:textId="77777777">
            <w:pPr>
              <w:spacing w:line="259" w:lineRule="auto"/>
              <w:ind w:left="0" w:firstLine="0"/>
              <w:contextualSpacing/>
              <w:rPr>
                <w:rFonts w:cstheme="minorHAnsi"/>
              </w:rPr>
            </w:pPr>
            <w:r w:rsidRPr="006F063F">
              <w:rPr>
                <w:rFonts w:cstheme="minorHAnsi"/>
              </w:rPr>
              <w:t>0</w:t>
            </w:r>
          </w:p>
        </w:tc>
        <w:tc>
          <w:tcPr>
            <w:tcW w:w="1282" w:type="dxa"/>
            <w:tcBorders>
              <w:top w:val="nil"/>
              <w:left w:val="nil"/>
              <w:bottom w:val="single" w:sz="4" w:space="0" w:color="auto"/>
              <w:right w:val="single" w:sz="4" w:space="0" w:color="auto"/>
            </w:tcBorders>
            <w:shd w:val="clear" w:color="auto" w:fill="auto"/>
            <w:vAlign w:val="center"/>
          </w:tcPr>
          <w:p w:rsidR="006F063F" w:rsidRPr="006F063F" w:rsidP="006F063F" w14:paraId="7B116A5C" w14:textId="77777777">
            <w:pPr>
              <w:spacing w:line="259" w:lineRule="auto"/>
              <w:ind w:left="0" w:firstLine="0"/>
              <w:contextualSpacing/>
              <w:rPr>
                <w:rFonts w:cstheme="minorHAnsi"/>
              </w:rPr>
            </w:pPr>
            <w:r w:rsidRPr="006F063F">
              <w:rPr>
                <w:rFonts w:cstheme="minorHAnsi"/>
              </w:rPr>
              <w:t>130</w:t>
            </w:r>
          </w:p>
        </w:tc>
        <w:tc>
          <w:tcPr>
            <w:tcW w:w="2070" w:type="dxa"/>
            <w:tcBorders>
              <w:top w:val="nil"/>
              <w:left w:val="nil"/>
              <w:bottom w:val="single" w:sz="4" w:space="0" w:color="auto"/>
              <w:right w:val="single" w:sz="4" w:space="0" w:color="auto"/>
            </w:tcBorders>
            <w:shd w:val="clear" w:color="auto" w:fill="auto"/>
            <w:vAlign w:val="center"/>
          </w:tcPr>
          <w:p w:rsidR="006F063F" w:rsidRPr="006F063F" w:rsidP="006F063F" w14:paraId="662A451A" w14:textId="77777777">
            <w:pPr>
              <w:spacing w:line="259" w:lineRule="auto"/>
              <w:ind w:left="0" w:firstLine="0"/>
              <w:contextualSpacing/>
              <w:rPr>
                <w:rFonts w:cstheme="minorHAnsi"/>
              </w:rPr>
            </w:pPr>
            <w:r w:rsidRPr="006F063F">
              <w:rPr>
                <w:rFonts w:cstheme="minorHAnsi"/>
              </w:rPr>
              <w:t>0</w:t>
            </w:r>
          </w:p>
        </w:tc>
        <w:tc>
          <w:tcPr>
            <w:tcW w:w="1800" w:type="dxa"/>
            <w:tcBorders>
              <w:top w:val="nil"/>
              <w:left w:val="nil"/>
              <w:bottom w:val="single" w:sz="4" w:space="0" w:color="auto"/>
              <w:right w:val="single" w:sz="4" w:space="0" w:color="auto"/>
            </w:tcBorders>
            <w:shd w:val="clear" w:color="auto" w:fill="auto"/>
            <w:vAlign w:val="center"/>
          </w:tcPr>
          <w:p w:rsidR="006F063F" w:rsidRPr="006F063F" w:rsidP="006F063F" w14:paraId="7EA9F60B" w14:textId="77777777">
            <w:pPr>
              <w:spacing w:line="259" w:lineRule="auto"/>
              <w:ind w:left="0" w:firstLine="0"/>
              <w:contextualSpacing/>
              <w:rPr>
                <w:rFonts w:cstheme="minorHAnsi"/>
              </w:rPr>
            </w:pPr>
            <w:r w:rsidRPr="006F063F">
              <w:rPr>
                <w:rFonts w:cstheme="minorHAnsi"/>
              </w:rPr>
              <w:t>0</w:t>
            </w:r>
          </w:p>
        </w:tc>
        <w:tc>
          <w:tcPr>
            <w:tcW w:w="1710" w:type="dxa"/>
            <w:tcBorders>
              <w:top w:val="nil"/>
              <w:left w:val="nil"/>
              <w:bottom w:val="single" w:sz="4" w:space="0" w:color="auto"/>
              <w:right w:val="single" w:sz="4" w:space="0" w:color="auto"/>
            </w:tcBorders>
            <w:shd w:val="clear" w:color="auto" w:fill="auto"/>
            <w:vAlign w:val="center"/>
          </w:tcPr>
          <w:p w:rsidR="006F063F" w:rsidRPr="006F063F" w:rsidP="006F063F" w14:paraId="59511103" w14:textId="77777777">
            <w:pPr>
              <w:spacing w:line="259" w:lineRule="auto"/>
              <w:ind w:left="0" w:firstLine="0"/>
              <w:contextualSpacing/>
              <w:rPr>
                <w:rFonts w:cstheme="minorHAnsi"/>
              </w:rPr>
            </w:pPr>
            <w:r w:rsidRPr="006F063F">
              <w:rPr>
                <w:rFonts w:cstheme="minorHAnsi"/>
              </w:rPr>
              <w:t>130</w:t>
            </w:r>
          </w:p>
        </w:tc>
      </w:tr>
      <w:tr w14:paraId="767C723C" w14:textId="77777777" w:rsidTr="006F063F">
        <w:tblPrEx>
          <w:tblW w:w="9359" w:type="dxa"/>
          <w:tblInd w:w="110" w:type="dxa"/>
          <w:tblLayout w:type="fixed"/>
          <w:tblCellMar>
            <w:left w:w="110" w:type="dxa"/>
            <w:right w:w="110" w:type="dxa"/>
          </w:tblCellMar>
          <w:tblLook w:val="0000"/>
        </w:tblPrEx>
        <w:tc>
          <w:tcPr>
            <w:tcW w:w="1051" w:type="dxa"/>
            <w:tcBorders>
              <w:top w:val="single" w:sz="6" w:space="0" w:color="000000"/>
              <w:left w:val="single" w:sz="8" w:space="0" w:color="000000"/>
              <w:bottom w:val="single" w:sz="8" w:space="0" w:color="000000"/>
              <w:right w:val="single" w:sz="6" w:space="0" w:color="000000"/>
            </w:tcBorders>
          </w:tcPr>
          <w:p w:rsidR="006F063F" w:rsidRPr="006F063F" w:rsidP="006F063F" w14:paraId="10A5FAF7" w14:textId="77777777">
            <w:pPr>
              <w:spacing w:line="259" w:lineRule="auto"/>
              <w:ind w:left="0" w:firstLine="0"/>
              <w:contextualSpacing/>
              <w:rPr>
                <w:rFonts w:cstheme="minorHAnsi"/>
              </w:rPr>
            </w:pPr>
            <w:r w:rsidRPr="006F063F">
              <w:rPr>
                <w:rFonts w:cstheme="minorHAnsi"/>
              </w:rPr>
              <w:t>Average</w:t>
            </w:r>
          </w:p>
        </w:tc>
        <w:tc>
          <w:tcPr>
            <w:tcW w:w="1446" w:type="dxa"/>
            <w:tcBorders>
              <w:top w:val="nil"/>
              <w:left w:val="single" w:sz="4" w:space="0" w:color="auto"/>
              <w:bottom w:val="single" w:sz="4" w:space="0" w:color="auto"/>
              <w:right w:val="single" w:sz="4" w:space="0" w:color="auto"/>
            </w:tcBorders>
            <w:shd w:val="clear" w:color="auto" w:fill="auto"/>
            <w:vAlign w:val="center"/>
          </w:tcPr>
          <w:p w:rsidR="006F063F" w:rsidRPr="006F063F" w:rsidP="006F063F" w14:paraId="4A998F0D" w14:textId="77777777">
            <w:pPr>
              <w:spacing w:line="259" w:lineRule="auto"/>
              <w:ind w:left="0" w:firstLine="0"/>
              <w:contextualSpacing/>
              <w:rPr>
                <w:rFonts w:cstheme="minorHAnsi"/>
              </w:rPr>
            </w:pPr>
            <w:r w:rsidRPr="006F063F">
              <w:rPr>
                <w:rFonts w:cstheme="minorHAnsi"/>
              </w:rPr>
              <w:t>0</w:t>
            </w:r>
          </w:p>
        </w:tc>
        <w:tc>
          <w:tcPr>
            <w:tcW w:w="1282" w:type="dxa"/>
            <w:tcBorders>
              <w:top w:val="nil"/>
              <w:left w:val="nil"/>
              <w:bottom w:val="single" w:sz="4" w:space="0" w:color="auto"/>
              <w:right w:val="single" w:sz="4" w:space="0" w:color="auto"/>
            </w:tcBorders>
            <w:shd w:val="clear" w:color="auto" w:fill="auto"/>
            <w:vAlign w:val="center"/>
          </w:tcPr>
          <w:p w:rsidR="006F063F" w:rsidRPr="006F063F" w:rsidP="006F063F" w14:paraId="0011BDD8" w14:textId="77777777">
            <w:pPr>
              <w:spacing w:line="259" w:lineRule="auto"/>
              <w:ind w:left="0" w:firstLine="0"/>
              <w:contextualSpacing/>
              <w:rPr>
                <w:rFonts w:cstheme="minorHAnsi"/>
              </w:rPr>
            </w:pPr>
            <w:r w:rsidRPr="006F063F">
              <w:rPr>
                <w:rFonts w:cstheme="minorHAnsi"/>
              </w:rPr>
              <w:t>130</w:t>
            </w:r>
          </w:p>
        </w:tc>
        <w:tc>
          <w:tcPr>
            <w:tcW w:w="2070" w:type="dxa"/>
            <w:tcBorders>
              <w:top w:val="nil"/>
              <w:left w:val="nil"/>
              <w:bottom w:val="single" w:sz="4" w:space="0" w:color="auto"/>
              <w:right w:val="single" w:sz="4" w:space="0" w:color="auto"/>
            </w:tcBorders>
            <w:shd w:val="clear" w:color="auto" w:fill="auto"/>
            <w:vAlign w:val="center"/>
          </w:tcPr>
          <w:p w:rsidR="006F063F" w:rsidRPr="006F063F" w:rsidP="006F063F" w14:paraId="43ACABF5" w14:textId="77777777">
            <w:pPr>
              <w:spacing w:line="259" w:lineRule="auto"/>
              <w:ind w:left="0" w:firstLine="0"/>
              <w:contextualSpacing/>
              <w:rPr>
                <w:rFonts w:cstheme="minorHAnsi"/>
              </w:rPr>
            </w:pPr>
            <w:r w:rsidRPr="006F063F">
              <w:rPr>
                <w:rFonts w:cstheme="minorHAnsi"/>
              </w:rPr>
              <w:t>0</w:t>
            </w:r>
          </w:p>
        </w:tc>
        <w:tc>
          <w:tcPr>
            <w:tcW w:w="1800" w:type="dxa"/>
            <w:tcBorders>
              <w:top w:val="nil"/>
              <w:left w:val="nil"/>
              <w:bottom w:val="single" w:sz="4" w:space="0" w:color="auto"/>
              <w:right w:val="single" w:sz="4" w:space="0" w:color="auto"/>
            </w:tcBorders>
            <w:shd w:val="clear" w:color="auto" w:fill="auto"/>
            <w:vAlign w:val="center"/>
          </w:tcPr>
          <w:p w:rsidR="006F063F" w:rsidRPr="006F063F" w:rsidP="006F063F" w14:paraId="524DC174" w14:textId="77777777">
            <w:pPr>
              <w:spacing w:line="259" w:lineRule="auto"/>
              <w:ind w:left="0" w:firstLine="0"/>
              <w:contextualSpacing/>
              <w:rPr>
                <w:rFonts w:cstheme="minorHAnsi"/>
              </w:rPr>
            </w:pPr>
            <w:r w:rsidRPr="006F063F">
              <w:rPr>
                <w:rFonts w:cstheme="minorHAnsi"/>
              </w:rPr>
              <w:t>0</w:t>
            </w:r>
          </w:p>
        </w:tc>
        <w:tc>
          <w:tcPr>
            <w:tcW w:w="1710" w:type="dxa"/>
            <w:tcBorders>
              <w:top w:val="nil"/>
              <w:left w:val="nil"/>
              <w:bottom w:val="single" w:sz="4" w:space="0" w:color="auto"/>
              <w:right w:val="single" w:sz="4" w:space="0" w:color="auto"/>
            </w:tcBorders>
            <w:shd w:val="clear" w:color="auto" w:fill="auto"/>
            <w:vAlign w:val="center"/>
          </w:tcPr>
          <w:p w:rsidR="006F063F" w:rsidRPr="006F063F" w:rsidP="006F063F" w14:paraId="0C035264" w14:textId="77777777">
            <w:pPr>
              <w:spacing w:line="259" w:lineRule="auto"/>
              <w:ind w:left="0" w:firstLine="0"/>
              <w:contextualSpacing/>
              <w:rPr>
                <w:rFonts w:cstheme="minorHAnsi"/>
              </w:rPr>
            </w:pPr>
            <w:r w:rsidRPr="006F063F">
              <w:rPr>
                <w:rFonts w:cstheme="minorHAnsi"/>
              </w:rPr>
              <w:t>130</w:t>
            </w:r>
          </w:p>
        </w:tc>
      </w:tr>
    </w:tbl>
    <w:p w:rsidR="006D6279" w:rsidRPr="006D6279" w:rsidP="006D6279" w14:paraId="72ADCB7A" w14:textId="77777777">
      <w:pPr>
        <w:spacing w:line="259" w:lineRule="auto"/>
        <w:ind w:left="0" w:firstLine="0"/>
        <w:rPr>
          <w:rFonts w:cstheme="minorHAnsi"/>
          <w:sz w:val="20"/>
          <w:szCs w:val="20"/>
        </w:rPr>
      </w:pPr>
      <w:r w:rsidRPr="006D6279">
        <w:rPr>
          <w:rFonts w:cstheme="minorHAnsi"/>
          <w:sz w:val="20"/>
          <w:szCs w:val="20"/>
          <w:vertAlign w:val="superscript"/>
        </w:rPr>
        <w:t>1</w:t>
      </w:r>
      <w:r w:rsidRPr="006D6279">
        <w:rPr>
          <w:rFonts w:cstheme="minorHAnsi"/>
          <w:sz w:val="20"/>
          <w:szCs w:val="20"/>
        </w:rPr>
        <w:t xml:space="preserve"> New respondents include sources with constructed, reconstructed and modified affected facilities. </w:t>
      </w:r>
    </w:p>
    <w:p w:rsidR="006D6279" w:rsidP="006D6279" w14:paraId="489064ED" w14:textId="77777777">
      <w:pPr>
        <w:spacing w:line="259" w:lineRule="auto"/>
        <w:ind w:left="0" w:firstLine="0"/>
        <w:rPr>
          <w:rFonts w:cstheme="minorHAnsi"/>
        </w:rPr>
      </w:pPr>
      <w:r w:rsidRPr="006D6279">
        <w:rPr>
          <w:rFonts w:cstheme="minorHAnsi"/>
        </w:rPr>
        <w:t xml:space="preserve">Column D is subtracted to avoid double-counting respondents. As shown above, the average Number of Respondents over the three-year period of this ICR is 130. </w:t>
      </w:r>
    </w:p>
    <w:p w:rsidR="006F063F" w:rsidP="006D6279" w14:paraId="3852F235" w14:textId="476D5631">
      <w:pPr>
        <w:spacing w:line="259" w:lineRule="auto"/>
        <w:ind w:left="0" w:firstLine="0"/>
        <w:rPr>
          <w:rFonts w:cstheme="minorHAnsi"/>
        </w:rPr>
      </w:pPr>
      <w:r w:rsidRPr="006D6279">
        <w:rPr>
          <w:rFonts w:cstheme="minorHAnsi"/>
        </w:rPr>
        <w:t>The total number of annual responses per year is calculated using the following table:</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7DC85BB" w14:textId="77777777" w:rsidTr="00C97D0B">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Borders>
              <w:top w:val="single" w:sz="8" w:space="0" w:color="000000"/>
              <w:left w:val="single" w:sz="8" w:space="0" w:color="000000"/>
              <w:bottom w:val="single" w:sz="6" w:space="0" w:color="000000"/>
              <w:right w:val="single" w:sz="8" w:space="0" w:color="000000"/>
            </w:tcBorders>
          </w:tcPr>
          <w:p w:rsidR="00D13167" w:rsidRPr="00D13167" w:rsidP="00D13167" w14:paraId="267594DC" w14:textId="77777777">
            <w:pPr>
              <w:spacing w:line="259" w:lineRule="auto"/>
              <w:ind w:left="0" w:firstLine="0"/>
              <w:contextualSpacing/>
              <w:rPr>
                <w:rFonts w:cstheme="minorHAnsi"/>
                <w:b/>
                <w:bCs/>
              </w:rPr>
            </w:pPr>
            <w:r w:rsidRPr="00D13167">
              <w:rPr>
                <w:rFonts w:cstheme="minorHAnsi"/>
                <w:b/>
                <w:bCs/>
              </w:rPr>
              <w:t>Total Annual Responses</w:t>
            </w:r>
          </w:p>
        </w:tc>
      </w:tr>
      <w:tr w14:paraId="12D043F2" w14:textId="77777777" w:rsidTr="00C97D0B">
        <w:tblPrEx>
          <w:tblW w:w="9180" w:type="dxa"/>
          <w:tblInd w:w="201" w:type="dxa"/>
          <w:tblLayout w:type="fixed"/>
          <w:tblCellMar>
            <w:left w:w="111" w:type="dxa"/>
            <w:right w:w="111" w:type="dxa"/>
          </w:tblCellMar>
          <w:tblLook w:val="0000"/>
        </w:tblPrEx>
        <w:trPr>
          <w:tblHeader/>
        </w:trPr>
        <w:tc>
          <w:tcPr>
            <w:tcW w:w="2700" w:type="dxa"/>
          </w:tcPr>
          <w:p w:rsidR="00D13167" w:rsidRPr="00D13167" w:rsidP="00D13167" w14:paraId="39379561" w14:textId="77777777">
            <w:pPr>
              <w:spacing w:line="259" w:lineRule="auto"/>
              <w:ind w:left="0" w:firstLine="0"/>
              <w:contextualSpacing/>
              <w:rPr>
                <w:rFonts w:cstheme="minorHAnsi"/>
              </w:rPr>
            </w:pPr>
            <w:r w:rsidRPr="00D13167">
              <w:rPr>
                <w:rFonts w:cstheme="minorHAnsi"/>
              </w:rPr>
              <w:t>(A)</w:t>
            </w:r>
          </w:p>
          <w:p w:rsidR="00D13167" w:rsidRPr="00D13167" w:rsidP="00D13167" w14:paraId="2317FEEF" w14:textId="77777777">
            <w:pPr>
              <w:spacing w:line="259" w:lineRule="auto"/>
              <w:ind w:left="0" w:firstLine="0"/>
              <w:contextualSpacing/>
              <w:rPr>
                <w:rFonts w:cstheme="minorHAnsi"/>
              </w:rPr>
            </w:pPr>
            <w:r w:rsidRPr="00D13167">
              <w:rPr>
                <w:rFonts w:cstheme="minorHAnsi"/>
              </w:rPr>
              <w:t>Information Collection Activity</w:t>
            </w:r>
          </w:p>
        </w:tc>
        <w:tc>
          <w:tcPr>
            <w:tcW w:w="1260" w:type="dxa"/>
          </w:tcPr>
          <w:p w:rsidR="00D13167" w:rsidRPr="00D13167" w:rsidP="00D13167" w14:paraId="7902773B" w14:textId="77777777">
            <w:pPr>
              <w:spacing w:line="259" w:lineRule="auto"/>
              <w:ind w:left="0" w:firstLine="0"/>
              <w:contextualSpacing/>
              <w:rPr>
                <w:rFonts w:cstheme="minorHAnsi"/>
              </w:rPr>
            </w:pPr>
            <w:r w:rsidRPr="00D13167">
              <w:rPr>
                <w:rFonts w:cstheme="minorHAnsi"/>
              </w:rPr>
              <w:t>(B)</w:t>
            </w:r>
          </w:p>
          <w:p w:rsidR="00D13167" w:rsidRPr="00D13167" w:rsidP="00D13167" w14:paraId="4E44637A" w14:textId="77777777">
            <w:pPr>
              <w:spacing w:line="259" w:lineRule="auto"/>
              <w:ind w:left="0" w:firstLine="0"/>
              <w:contextualSpacing/>
              <w:rPr>
                <w:rFonts w:cstheme="minorHAnsi"/>
              </w:rPr>
            </w:pPr>
            <w:r w:rsidRPr="00D13167">
              <w:rPr>
                <w:rFonts w:cstheme="minorHAnsi"/>
              </w:rPr>
              <w:t>Number of Respondents</w:t>
            </w:r>
          </w:p>
        </w:tc>
        <w:tc>
          <w:tcPr>
            <w:tcW w:w="1260" w:type="dxa"/>
          </w:tcPr>
          <w:p w:rsidR="00D13167" w:rsidRPr="00D13167" w:rsidP="00D13167" w14:paraId="60B01D27" w14:textId="77777777">
            <w:pPr>
              <w:spacing w:line="259" w:lineRule="auto"/>
              <w:ind w:left="0" w:firstLine="0"/>
              <w:contextualSpacing/>
              <w:rPr>
                <w:rFonts w:cstheme="minorHAnsi"/>
              </w:rPr>
            </w:pPr>
            <w:r w:rsidRPr="00D13167">
              <w:rPr>
                <w:rFonts w:cstheme="minorHAnsi"/>
              </w:rPr>
              <w:t>(C)</w:t>
            </w:r>
          </w:p>
          <w:p w:rsidR="00D13167" w:rsidRPr="00D13167" w:rsidP="00D13167" w14:paraId="4D6325D3" w14:textId="77777777">
            <w:pPr>
              <w:spacing w:line="259" w:lineRule="auto"/>
              <w:ind w:left="0" w:firstLine="0"/>
              <w:contextualSpacing/>
              <w:rPr>
                <w:rFonts w:cstheme="minorHAnsi"/>
              </w:rPr>
            </w:pPr>
            <w:r w:rsidRPr="00D13167">
              <w:rPr>
                <w:rFonts w:cstheme="minorHAnsi"/>
              </w:rPr>
              <w:t>Number of Responses</w:t>
            </w:r>
          </w:p>
        </w:tc>
        <w:tc>
          <w:tcPr>
            <w:tcW w:w="1890" w:type="dxa"/>
          </w:tcPr>
          <w:p w:rsidR="00D13167" w:rsidRPr="00D13167" w:rsidP="00D13167" w14:paraId="24ECD0B0" w14:textId="77777777">
            <w:pPr>
              <w:spacing w:line="259" w:lineRule="auto"/>
              <w:ind w:left="0" w:firstLine="0"/>
              <w:contextualSpacing/>
              <w:rPr>
                <w:rFonts w:cstheme="minorHAnsi"/>
              </w:rPr>
            </w:pPr>
            <w:r w:rsidRPr="00D13167">
              <w:rPr>
                <w:rFonts w:cstheme="minorHAnsi"/>
              </w:rPr>
              <w:t>(D)</w:t>
            </w:r>
          </w:p>
          <w:p w:rsidR="00D13167" w:rsidRPr="00D13167" w:rsidP="00D13167" w14:paraId="2C0EB865" w14:textId="77777777">
            <w:pPr>
              <w:spacing w:line="259" w:lineRule="auto"/>
              <w:ind w:left="0" w:firstLine="0"/>
              <w:contextualSpacing/>
              <w:rPr>
                <w:rFonts w:cstheme="minorHAnsi"/>
              </w:rPr>
            </w:pPr>
            <w:r w:rsidRPr="00D13167">
              <w:rPr>
                <w:rFonts w:cstheme="minorHAnsi"/>
              </w:rPr>
              <w:t>Number of Existing Respondents That Keep Records But Do Not Submit Reports</w:t>
            </w:r>
          </w:p>
        </w:tc>
        <w:tc>
          <w:tcPr>
            <w:tcW w:w="2070" w:type="dxa"/>
          </w:tcPr>
          <w:p w:rsidR="00D13167" w:rsidRPr="00D13167" w:rsidP="00D13167" w14:paraId="5711EE7C" w14:textId="77777777">
            <w:pPr>
              <w:spacing w:line="259" w:lineRule="auto"/>
              <w:ind w:left="0" w:firstLine="0"/>
              <w:contextualSpacing/>
              <w:rPr>
                <w:rFonts w:cstheme="minorHAnsi"/>
                <w:lang w:val="pt-BR"/>
              </w:rPr>
            </w:pPr>
            <w:r w:rsidRPr="00D13167">
              <w:rPr>
                <w:rFonts w:cstheme="minorHAnsi"/>
                <w:lang w:val="pt-BR"/>
              </w:rPr>
              <w:t>(E)</w:t>
            </w:r>
          </w:p>
          <w:p w:rsidR="00D13167" w:rsidRPr="00D13167" w:rsidP="00D13167" w14:paraId="65F6F571" w14:textId="77777777">
            <w:pPr>
              <w:spacing w:line="259" w:lineRule="auto"/>
              <w:ind w:left="0" w:firstLine="0"/>
              <w:contextualSpacing/>
              <w:rPr>
                <w:rFonts w:cstheme="minorHAnsi"/>
                <w:lang w:val="pt-BR"/>
              </w:rPr>
            </w:pPr>
            <w:r w:rsidRPr="00D13167">
              <w:rPr>
                <w:rFonts w:cstheme="minorHAnsi"/>
                <w:lang w:val="pt-BR"/>
              </w:rPr>
              <w:t>Total Annual Responses</w:t>
            </w:r>
          </w:p>
          <w:p w:rsidR="00D13167" w:rsidRPr="00D13167" w:rsidP="00D13167" w14:paraId="4E32ED8E" w14:textId="77777777">
            <w:pPr>
              <w:spacing w:line="259" w:lineRule="auto"/>
              <w:ind w:left="0" w:firstLine="0"/>
              <w:contextualSpacing/>
              <w:rPr>
                <w:rFonts w:cstheme="minorHAnsi"/>
                <w:lang w:val="pt-BR"/>
              </w:rPr>
            </w:pPr>
            <w:r w:rsidRPr="00D13167">
              <w:rPr>
                <w:rFonts w:cstheme="minorHAnsi"/>
                <w:lang w:val="pt-BR"/>
              </w:rPr>
              <w:t>E=(BxC)+D</w:t>
            </w:r>
          </w:p>
        </w:tc>
      </w:tr>
      <w:tr w14:paraId="778DA081"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D13167" w:rsidRPr="00D13167" w:rsidP="00D13167" w14:paraId="5ACB48D8" w14:textId="77777777">
            <w:pPr>
              <w:spacing w:line="259" w:lineRule="auto"/>
              <w:ind w:left="0" w:firstLine="0"/>
              <w:contextualSpacing/>
              <w:rPr>
                <w:rFonts w:cstheme="minorHAnsi"/>
              </w:rPr>
            </w:pPr>
            <w:r w:rsidRPr="00D13167">
              <w:rPr>
                <w:rFonts w:cstheme="minorHAnsi"/>
              </w:rPr>
              <w:t>Notification of construction/</w:t>
            </w:r>
            <w:r w:rsidRPr="00D13167">
              <w:rPr>
                <w:rFonts w:cstheme="minorHAnsi"/>
              </w:rPr>
              <w:br/>
              <w:t>reconstruction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13167" w:rsidRPr="00D13167" w:rsidP="00D13167" w14:paraId="43B66D92" w14:textId="77777777">
            <w:pPr>
              <w:spacing w:line="259" w:lineRule="auto"/>
              <w:ind w:left="0" w:firstLine="0"/>
              <w:contextualSpacing/>
              <w:rPr>
                <w:rFonts w:cstheme="minorHAnsi"/>
              </w:rPr>
            </w:pPr>
            <w:r w:rsidRPr="00D13167">
              <w:rPr>
                <w:rFonts w:cstheme="minorHAnsi"/>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D13167" w:rsidRPr="00D13167" w:rsidP="00D13167" w14:paraId="4896517B" w14:textId="77777777">
            <w:pPr>
              <w:spacing w:line="259" w:lineRule="auto"/>
              <w:ind w:left="0" w:firstLine="0"/>
              <w:contextualSpacing/>
              <w:rPr>
                <w:rFonts w:cstheme="minorHAnsi"/>
              </w:rPr>
            </w:pPr>
            <w:r w:rsidRPr="00D13167">
              <w:rPr>
                <w:rFonts w:cstheme="minorHAnsi"/>
              </w:rPr>
              <w:t>1</w:t>
            </w:r>
          </w:p>
        </w:tc>
        <w:tc>
          <w:tcPr>
            <w:tcW w:w="1890" w:type="dxa"/>
            <w:tcBorders>
              <w:top w:val="single" w:sz="4" w:space="0" w:color="auto"/>
              <w:left w:val="nil"/>
              <w:bottom w:val="single" w:sz="4" w:space="0" w:color="auto"/>
              <w:right w:val="single" w:sz="4" w:space="0" w:color="auto"/>
            </w:tcBorders>
            <w:shd w:val="clear" w:color="auto" w:fill="auto"/>
            <w:vAlign w:val="center"/>
          </w:tcPr>
          <w:p w:rsidR="00D13167" w:rsidRPr="00D13167" w:rsidP="00D13167" w14:paraId="49C0B48C" w14:textId="77777777">
            <w:pPr>
              <w:spacing w:line="259" w:lineRule="auto"/>
              <w:ind w:left="0" w:firstLine="0"/>
              <w:contextualSpacing/>
              <w:rPr>
                <w:rFonts w:cstheme="minorHAnsi"/>
              </w:rPr>
            </w:pPr>
            <w:r w:rsidRPr="00D13167">
              <w:rPr>
                <w:rFonts w:cstheme="minorHAnsi"/>
              </w:rPr>
              <w:t>N/A</w:t>
            </w:r>
          </w:p>
        </w:tc>
        <w:tc>
          <w:tcPr>
            <w:tcW w:w="2070" w:type="dxa"/>
            <w:tcBorders>
              <w:top w:val="single" w:sz="4" w:space="0" w:color="auto"/>
              <w:left w:val="nil"/>
              <w:bottom w:val="single" w:sz="4" w:space="0" w:color="auto"/>
              <w:right w:val="single" w:sz="4" w:space="0" w:color="auto"/>
            </w:tcBorders>
            <w:shd w:val="clear" w:color="auto" w:fill="auto"/>
            <w:vAlign w:val="center"/>
          </w:tcPr>
          <w:p w:rsidR="00D13167" w:rsidRPr="00D13167" w:rsidP="00D13167" w14:paraId="00DB4909" w14:textId="77777777">
            <w:pPr>
              <w:spacing w:line="259" w:lineRule="auto"/>
              <w:ind w:left="0" w:firstLine="0"/>
              <w:contextualSpacing/>
              <w:rPr>
                <w:rFonts w:cstheme="minorHAnsi"/>
              </w:rPr>
            </w:pPr>
            <w:r w:rsidRPr="00D13167">
              <w:rPr>
                <w:rFonts w:cstheme="minorHAnsi"/>
              </w:rPr>
              <w:t>0</w:t>
            </w:r>
          </w:p>
        </w:tc>
      </w:tr>
      <w:tr w14:paraId="05A6B886"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D13167" w:rsidRPr="00D13167" w:rsidP="00D13167" w14:paraId="0F536496" w14:textId="77777777">
            <w:pPr>
              <w:spacing w:line="259" w:lineRule="auto"/>
              <w:ind w:left="0" w:firstLine="0"/>
              <w:contextualSpacing/>
              <w:rPr>
                <w:rFonts w:cstheme="minorHAnsi"/>
              </w:rPr>
            </w:pPr>
            <w:r w:rsidRPr="00D13167">
              <w:rPr>
                <w:rFonts w:cstheme="minorHAnsi"/>
              </w:rPr>
              <w:t>Notification of modification</w:t>
            </w:r>
          </w:p>
        </w:tc>
        <w:tc>
          <w:tcPr>
            <w:tcW w:w="1260" w:type="dxa"/>
            <w:tcBorders>
              <w:top w:val="nil"/>
              <w:left w:val="single" w:sz="4" w:space="0" w:color="auto"/>
              <w:bottom w:val="single" w:sz="4" w:space="0" w:color="auto"/>
              <w:right w:val="single" w:sz="4" w:space="0" w:color="auto"/>
            </w:tcBorders>
            <w:shd w:val="clear" w:color="auto" w:fill="auto"/>
            <w:vAlign w:val="center"/>
          </w:tcPr>
          <w:p w:rsidR="00D13167" w:rsidRPr="00D13167" w:rsidP="00D13167" w14:paraId="0D4686EB" w14:textId="77777777">
            <w:pPr>
              <w:spacing w:line="259" w:lineRule="auto"/>
              <w:ind w:left="0" w:firstLine="0"/>
              <w:contextualSpacing/>
              <w:rPr>
                <w:rFonts w:cstheme="minorHAnsi"/>
              </w:rPr>
            </w:pPr>
            <w:r w:rsidRPr="00D13167">
              <w:rPr>
                <w:rFonts w:cstheme="minorHAnsi"/>
              </w:rPr>
              <w:t>0</w:t>
            </w:r>
          </w:p>
        </w:tc>
        <w:tc>
          <w:tcPr>
            <w:tcW w:w="1260" w:type="dxa"/>
            <w:tcBorders>
              <w:top w:val="nil"/>
              <w:left w:val="nil"/>
              <w:bottom w:val="single" w:sz="4" w:space="0" w:color="auto"/>
              <w:right w:val="single" w:sz="4" w:space="0" w:color="auto"/>
            </w:tcBorders>
            <w:shd w:val="clear" w:color="auto" w:fill="auto"/>
            <w:vAlign w:val="center"/>
          </w:tcPr>
          <w:p w:rsidR="00D13167" w:rsidRPr="00D13167" w:rsidP="00D13167" w14:paraId="65B2903A" w14:textId="77777777">
            <w:pPr>
              <w:spacing w:line="259" w:lineRule="auto"/>
              <w:ind w:left="0" w:firstLine="0"/>
              <w:contextualSpacing/>
              <w:rPr>
                <w:rFonts w:cstheme="minorHAnsi"/>
              </w:rPr>
            </w:pPr>
            <w:r w:rsidRPr="00D13167">
              <w:rPr>
                <w:rFonts w:cstheme="minorHAnsi"/>
              </w:rPr>
              <w:t>1</w:t>
            </w:r>
          </w:p>
        </w:tc>
        <w:tc>
          <w:tcPr>
            <w:tcW w:w="1890" w:type="dxa"/>
            <w:tcBorders>
              <w:top w:val="nil"/>
              <w:left w:val="nil"/>
              <w:bottom w:val="single" w:sz="4" w:space="0" w:color="auto"/>
              <w:right w:val="single" w:sz="4" w:space="0" w:color="auto"/>
            </w:tcBorders>
            <w:shd w:val="clear" w:color="auto" w:fill="auto"/>
            <w:vAlign w:val="center"/>
          </w:tcPr>
          <w:p w:rsidR="00D13167" w:rsidRPr="00D13167" w:rsidP="00D13167" w14:paraId="0E53FD61" w14:textId="77777777">
            <w:pPr>
              <w:spacing w:line="259" w:lineRule="auto"/>
              <w:ind w:left="0" w:firstLine="0"/>
              <w:contextualSpacing/>
              <w:rPr>
                <w:rFonts w:cstheme="minorHAnsi"/>
              </w:rPr>
            </w:pPr>
            <w:r w:rsidRPr="00D13167">
              <w:rPr>
                <w:rFonts w:cstheme="minorHAnsi"/>
              </w:rPr>
              <w:t>N/A</w:t>
            </w:r>
          </w:p>
        </w:tc>
        <w:tc>
          <w:tcPr>
            <w:tcW w:w="2070" w:type="dxa"/>
            <w:tcBorders>
              <w:top w:val="nil"/>
              <w:left w:val="nil"/>
              <w:bottom w:val="single" w:sz="4" w:space="0" w:color="auto"/>
              <w:right w:val="single" w:sz="4" w:space="0" w:color="auto"/>
            </w:tcBorders>
            <w:shd w:val="clear" w:color="auto" w:fill="auto"/>
            <w:vAlign w:val="center"/>
          </w:tcPr>
          <w:p w:rsidR="00D13167" w:rsidRPr="00D13167" w:rsidP="00D13167" w14:paraId="472C32D4" w14:textId="77777777">
            <w:pPr>
              <w:spacing w:line="259" w:lineRule="auto"/>
              <w:ind w:left="0" w:firstLine="0"/>
              <w:contextualSpacing/>
              <w:rPr>
                <w:rFonts w:cstheme="minorHAnsi"/>
              </w:rPr>
            </w:pPr>
            <w:r w:rsidRPr="00D13167">
              <w:rPr>
                <w:rFonts w:cstheme="minorHAnsi"/>
              </w:rPr>
              <w:t>0</w:t>
            </w:r>
          </w:p>
        </w:tc>
      </w:tr>
      <w:tr w14:paraId="4A69F3F6"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D13167" w:rsidRPr="00D13167" w:rsidP="00D13167" w14:paraId="6801A76C" w14:textId="77777777">
            <w:pPr>
              <w:spacing w:line="259" w:lineRule="auto"/>
              <w:ind w:left="0" w:firstLine="0"/>
              <w:contextualSpacing/>
              <w:rPr>
                <w:rFonts w:cstheme="minorHAnsi"/>
              </w:rPr>
            </w:pPr>
            <w:r w:rsidRPr="00D13167">
              <w:rPr>
                <w:rFonts w:cstheme="minorHAnsi"/>
              </w:rPr>
              <w:t>Notification of actual startup</w:t>
            </w:r>
          </w:p>
        </w:tc>
        <w:tc>
          <w:tcPr>
            <w:tcW w:w="1260" w:type="dxa"/>
            <w:tcBorders>
              <w:top w:val="nil"/>
              <w:left w:val="single" w:sz="4" w:space="0" w:color="auto"/>
              <w:bottom w:val="single" w:sz="4" w:space="0" w:color="auto"/>
              <w:right w:val="single" w:sz="4" w:space="0" w:color="auto"/>
            </w:tcBorders>
            <w:shd w:val="clear" w:color="auto" w:fill="auto"/>
            <w:vAlign w:val="center"/>
          </w:tcPr>
          <w:p w:rsidR="00D13167" w:rsidRPr="00D13167" w:rsidP="00D13167" w14:paraId="2280C3A9" w14:textId="77777777">
            <w:pPr>
              <w:spacing w:line="259" w:lineRule="auto"/>
              <w:ind w:left="0" w:firstLine="0"/>
              <w:contextualSpacing/>
              <w:rPr>
                <w:rFonts w:cstheme="minorHAnsi"/>
              </w:rPr>
            </w:pPr>
            <w:r w:rsidRPr="00D13167">
              <w:rPr>
                <w:rFonts w:cstheme="minorHAnsi"/>
              </w:rPr>
              <w:t>0</w:t>
            </w:r>
          </w:p>
        </w:tc>
        <w:tc>
          <w:tcPr>
            <w:tcW w:w="1260" w:type="dxa"/>
            <w:tcBorders>
              <w:top w:val="nil"/>
              <w:left w:val="nil"/>
              <w:bottom w:val="single" w:sz="4" w:space="0" w:color="auto"/>
              <w:right w:val="single" w:sz="4" w:space="0" w:color="auto"/>
            </w:tcBorders>
            <w:shd w:val="clear" w:color="auto" w:fill="auto"/>
            <w:vAlign w:val="center"/>
          </w:tcPr>
          <w:p w:rsidR="00D13167" w:rsidRPr="00D13167" w:rsidP="00D13167" w14:paraId="40DEF3AD" w14:textId="77777777">
            <w:pPr>
              <w:spacing w:line="259" w:lineRule="auto"/>
              <w:ind w:left="0" w:firstLine="0"/>
              <w:contextualSpacing/>
              <w:rPr>
                <w:rFonts w:cstheme="minorHAnsi"/>
              </w:rPr>
            </w:pPr>
            <w:r w:rsidRPr="00D13167">
              <w:rPr>
                <w:rFonts w:cstheme="minorHAnsi"/>
              </w:rPr>
              <w:t>1</w:t>
            </w:r>
          </w:p>
        </w:tc>
        <w:tc>
          <w:tcPr>
            <w:tcW w:w="1890" w:type="dxa"/>
            <w:tcBorders>
              <w:top w:val="nil"/>
              <w:left w:val="nil"/>
              <w:bottom w:val="single" w:sz="4" w:space="0" w:color="auto"/>
              <w:right w:val="single" w:sz="4" w:space="0" w:color="auto"/>
            </w:tcBorders>
            <w:shd w:val="clear" w:color="auto" w:fill="auto"/>
            <w:vAlign w:val="center"/>
          </w:tcPr>
          <w:p w:rsidR="00D13167" w:rsidRPr="00D13167" w:rsidP="00D13167" w14:paraId="4437000D" w14:textId="77777777">
            <w:pPr>
              <w:spacing w:line="259" w:lineRule="auto"/>
              <w:ind w:left="0" w:firstLine="0"/>
              <w:contextualSpacing/>
              <w:rPr>
                <w:rFonts w:cstheme="minorHAnsi"/>
              </w:rPr>
            </w:pPr>
            <w:r w:rsidRPr="00D13167">
              <w:rPr>
                <w:rFonts w:cstheme="minorHAnsi"/>
              </w:rPr>
              <w:t>N/A</w:t>
            </w:r>
          </w:p>
        </w:tc>
        <w:tc>
          <w:tcPr>
            <w:tcW w:w="2070" w:type="dxa"/>
            <w:tcBorders>
              <w:top w:val="nil"/>
              <w:left w:val="nil"/>
              <w:bottom w:val="single" w:sz="4" w:space="0" w:color="auto"/>
              <w:right w:val="single" w:sz="4" w:space="0" w:color="auto"/>
            </w:tcBorders>
            <w:shd w:val="clear" w:color="auto" w:fill="auto"/>
            <w:vAlign w:val="center"/>
          </w:tcPr>
          <w:p w:rsidR="00D13167" w:rsidRPr="00D13167" w:rsidP="00D13167" w14:paraId="0D09C226" w14:textId="77777777">
            <w:pPr>
              <w:spacing w:line="259" w:lineRule="auto"/>
              <w:ind w:left="0" w:firstLine="0"/>
              <w:contextualSpacing/>
              <w:rPr>
                <w:rFonts w:cstheme="minorHAnsi"/>
              </w:rPr>
            </w:pPr>
            <w:r w:rsidRPr="00D13167">
              <w:rPr>
                <w:rFonts w:cstheme="minorHAnsi"/>
              </w:rPr>
              <w:t>0</w:t>
            </w:r>
          </w:p>
        </w:tc>
      </w:tr>
      <w:tr w14:paraId="085E60DB"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D13167" w:rsidRPr="00D13167" w:rsidP="00D13167" w14:paraId="5DC0FB22" w14:textId="77777777">
            <w:pPr>
              <w:spacing w:line="259" w:lineRule="auto"/>
              <w:ind w:left="0" w:firstLine="0"/>
              <w:contextualSpacing/>
              <w:rPr>
                <w:rFonts w:cstheme="minorHAnsi"/>
              </w:rPr>
            </w:pPr>
            <w:r w:rsidRPr="00D13167">
              <w:rPr>
                <w:rFonts w:cstheme="minorHAnsi"/>
              </w:rPr>
              <w:t>Initial certification of equipment and inspections</w:t>
            </w:r>
          </w:p>
        </w:tc>
        <w:tc>
          <w:tcPr>
            <w:tcW w:w="1260" w:type="dxa"/>
            <w:tcBorders>
              <w:top w:val="nil"/>
              <w:left w:val="single" w:sz="4" w:space="0" w:color="auto"/>
              <w:bottom w:val="single" w:sz="4" w:space="0" w:color="auto"/>
              <w:right w:val="single" w:sz="4" w:space="0" w:color="auto"/>
            </w:tcBorders>
            <w:shd w:val="clear" w:color="auto" w:fill="auto"/>
            <w:vAlign w:val="center"/>
          </w:tcPr>
          <w:p w:rsidR="00D13167" w:rsidRPr="00D13167" w:rsidP="00D13167" w14:paraId="4F6F2E3A" w14:textId="77777777">
            <w:pPr>
              <w:spacing w:line="259" w:lineRule="auto"/>
              <w:ind w:left="0" w:firstLine="0"/>
              <w:contextualSpacing/>
              <w:rPr>
                <w:rFonts w:cstheme="minorHAnsi"/>
              </w:rPr>
            </w:pPr>
            <w:r w:rsidRPr="00D13167">
              <w:rPr>
                <w:rFonts w:cstheme="minorHAnsi"/>
              </w:rPr>
              <w:t>0</w:t>
            </w:r>
          </w:p>
        </w:tc>
        <w:tc>
          <w:tcPr>
            <w:tcW w:w="1260" w:type="dxa"/>
            <w:tcBorders>
              <w:top w:val="nil"/>
              <w:left w:val="nil"/>
              <w:bottom w:val="single" w:sz="4" w:space="0" w:color="auto"/>
              <w:right w:val="single" w:sz="4" w:space="0" w:color="auto"/>
            </w:tcBorders>
            <w:shd w:val="clear" w:color="auto" w:fill="auto"/>
            <w:vAlign w:val="center"/>
          </w:tcPr>
          <w:p w:rsidR="00D13167" w:rsidRPr="00D13167" w:rsidP="00D13167" w14:paraId="774D4FF8" w14:textId="77777777">
            <w:pPr>
              <w:spacing w:line="259" w:lineRule="auto"/>
              <w:ind w:left="0" w:firstLine="0"/>
              <w:contextualSpacing/>
              <w:rPr>
                <w:rFonts w:cstheme="minorHAnsi"/>
              </w:rPr>
            </w:pPr>
            <w:r w:rsidRPr="00D13167">
              <w:rPr>
                <w:rFonts w:cstheme="minorHAnsi"/>
              </w:rPr>
              <w:t>1</w:t>
            </w:r>
          </w:p>
        </w:tc>
        <w:tc>
          <w:tcPr>
            <w:tcW w:w="1890" w:type="dxa"/>
            <w:tcBorders>
              <w:top w:val="nil"/>
              <w:left w:val="nil"/>
              <w:bottom w:val="single" w:sz="4" w:space="0" w:color="auto"/>
              <w:right w:val="single" w:sz="4" w:space="0" w:color="auto"/>
            </w:tcBorders>
            <w:shd w:val="clear" w:color="auto" w:fill="auto"/>
            <w:vAlign w:val="center"/>
          </w:tcPr>
          <w:p w:rsidR="00D13167" w:rsidRPr="00D13167" w:rsidP="00D13167" w14:paraId="6C01C252" w14:textId="77777777">
            <w:pPr>
              <w:spacing w:line="259" w:lineRule="auto"/>
              <w:ind w:left="0" w:firstLine="0"/>
              <w:contextualSpacing/>
              <w:rPr>
                <w:rFonts w:cstheme="minorHAnsi"/>
              </w:rPr>
            </w:pPr>
            <w:r w:rsidRPr="00D13167">
              <w:rPr>
                <w:rFonts w:cstheme="minorHAnsi"/>
              </w:rPr>
              <w:t>N/A</w:t>
            </w:r>
          </w:p>
        </w:tc>
        <w:tc>
          <w:tcPr>
            <w:tcW w:w="2070" w:type="dxa"/>
            <w:tcBorders>
              <w:top w:val="nil"/>
              <w:left w:val="nil"/>
              <w:bottom w:val="single" w:sz="4" w:space="0" w:color="auto"/>
              <w:right w:val="single" w:sz="4" w:space="0" w:color="auto"/>
            </w:tcBorders>
            <w:shd w:val="clear" w:color="auto" w:fill="auto"/>
            <w:vAlign w:val="center"/>
          </w:tcPr>
          <w:p w:rsidR="00D13167" w:rsidRPr="00D13167" w:rsidP="00D13167" w14:paraId="1A88ACEB" w14:textId="77777777">
            <w:pPr>
              <w:spacing w:line="259" w:lineRule="auto"/>
              <w:ind w:left="0" w:firstLine="0"/>
              <w:contextualSpacing/>
              <w:rPr>
                <w:rFonts w:cstheme="minorHAnsi"/>
              </w:rPr>
            </w:pPr>
            <w:r w:rsidRPr="00D13167">
              <w:rPr>
                <w:rFonts w:cstheme="minorHAnsi"/>
              </w:rPr>
              <w:t>0</w:t>
            </w:r>
          </w:p>
        </w:tc>
      </w:tr>
      <w:tr w14:paraId="14DC573C"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D13167" w:rsidRPr="00D13167" w:rsidP="00D13167" w14:paraId="27B66EDA" w14:textId="77777777">
            <w:pPr>
              <w:spacing w:line="259" w:lineRule="auto"/>
              <w:ind w:left="0" w:firstLine="0"/>
              <w:contextualSpacing/>
              <w:rPr>
                <w:rFonts w:cstheme="minorHAnsi"/>
              </w:rPr>
            </w:pPr>
            <w:r w:rsidRPr="00D13167">
              <w:rPr>
                <w:rFonts w:cstheme="minorHAnsi"/>
              </w:rPr>
              <w:t>Initial inspection report detailing emission problems</w:t>
            </w:r>
          </w:p>
        </w:tc>
        <w:tc>
          <w:tcPr>
            <w:tcW w:w="1260" w:type="dxa"/>
            <w:tcBorders>
              <w:top w:val="nil"/>
              <w:left w:val="single" w:sz="4" w:space="0" w:color="auto"/>
              <w:bottom w:val="single" w:sz="4" w:space="0" w:color="auto"/>
              <w:right w:val="single" w:sz="4" w:space="0" w:color="auto"/>
            </w:tcBorders>
            <w:shd w:val="clear" w:color="auto" w:fill="auto"/>
            <w:vAlign w:val="center"/>
          </w:tcPr>
          <w:p w:rsidR="00D13167" w:rsidRPr="00D13167" w:rsidP="00D13167" w14:paraId="1CC76B01" w14:textId="77777777">
            <w:pPr>
              <w:spacing w:line="259" w:lineRule="auto"/>
              <w:ind w:left="0" w:firstLine="0"/>
              <w:contextualSpacing/>
              <w:rPr>
                <w:rFonts w:cstheme="minorHAnsi"/>
              </w:rPr>
            </w:pPr>
            <w:r w:rsidRPr="00D13167">
              <w:rPr>
                <w:rFonts w:cstheme="minorHAnsi"/>
              </w:rPr>
              <w:t>0</w:t>
            </w:r>
          </w:p>
        </w:tc>
        <w:tc>
          <w:tcPr>
            <w:tcW w:w="1260" w:type="dxa"/>
            <w:tcBorders>
              <w:top w:val="nil"/>
              <w:left w:val="nil"/>
              <w:bottom w:val="single" w:sz="4" w:space="0" w:color="auto"/>
              <w:right w:val="single" w:sz="4" w:space="0" w:color="auto"/>
            </w:tcBorders>
            <w:shd w:val="clear" w:color="auto" w:fill="auto"/>
            <w:vAlign w:val="center"/>
          </w:tcPr>
          <w:p w:rsidR="00D13167" w:rsidRPr="00D13167" w:rsidP="00D13167" w14:paraId="2960B59E" w14:textId="77777777">
            <w:pPr>
              <w:spacing w:line="259" w:lineRule="auto"/>
              <w:ind w:left="0" w:firstLine="0"/>
              <w:contextualSpacing/>
              <w:rPr>
                <w:rFonts w:cstheme="minorHAnsi"/>
              </w:rPr>
            </w:pPr>
            <w:r w:rsidRPr="00D13167">
              <w:rPr>
                <w:rFonts w:cstheme="minorHAnsi"/>
              </w:rPr>
              <w:t>1</w:t>
            </w:r>
          </w:p>
        </w:tc>
        <w:tc>
          <w:tcPr>
            <w:tcW w:w="1890" w:type="dxa"/>
            <w:tcBorders>
              <w:top w:val="nil"/>
              <w:left w:val="nil"/>
              <w:bottom w:val="single" w:sz="4" w:space="0" w:color="auto"/>
              <w:right w:val="single" w:sz="4" w:space="0" w:color="auto"/>
            </w:tcBorders>
            <w:shd w:val="clear" w:color="auto" w:fill="auto"/>
            <w:vAlign w:val="center"/>
          </w:tcPr>
          <w:p w:rsidR="00D13167" w:rsidRPr="00D13167" w:rsidP="00D13167" w14:paraId="7E244756" w14:textId="77777777">
            <w:pPr>
              <w:spacing w:line="259" w:lineRule="auto"/>
              <w:ind w:left="0" w:firstLine="0"/>
              <w:contextualSpacing/>
              <w:rPr>
                <w:rFonts w:cstheme="minorHAnsi"/>
              </w:rPr>
            </w:pPr>
            <w:r w:rsidRPr="00D13167">
              <w:rPr>
                <w:rFonts w:cstheme="minorHAnsi"/>
              </w:rPr>
              <w:t>N/A</w:t>
            </w:r>
          </w:p>
        </w:tc>
        <w:tc>
          <w:tcPr>
            <w:tcW w:w="2070" w:type="dxa"/>
            <w:tcBorders>
              <w:top w:val="nil"/>
              <w:left w:val="nil"/>
              <w:bottom w:val="single" w:sz="4" w:space="0" w:color="auto"/>
              <w:right w:val="single" w:sz="4" w:space="0" w:color="auto"/>
            </w:tcBorders>
            <w:shd w:val="clear" w:color="auto" w:fill="auto"/>
            <w:vAlign w:val="center"/>
          </w:tcPr>
          <w:p w:rsidR="00D13167" w:rsidRPr="00D13167" w:rsidP="00D13167" w14:paraId="50D19F62" w14:textId="77777777">
            <w:pPr>
              <w:spacing w:line="259" w:lineRule="auto"/>
              <w:ind w:left="0" w:firstLine="0"/>
              <w:contextualSpacing/>
              <w:rPr>
                <w:rFonts w:cstheme="minorHAnsi"/>
              </w:rPr>
            </w:pPr>
            <w:r w:rsidRPr="00D13167">
              <w:rPr>
                <w:rFonts w:cstheme="minorHAnsi"/>
              </w:rPr>
              <w:t>0</w:t>
            </w:r>
          </w:p>
        </w:tc>
      </w:tr>
      <w:tr w14:paraId="31D37C87"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D13167" w:rsidRPr="00D13167" w:rsidP="00D13167" w14:paraId="640B4A19" w14:textId="77777777">
            <w:pPr>
              <w:spacing w:line="259" w:lineRule="auto"/>
              <w:ind w:left="0" w:firstLine="0"/>
              <w:contextualSpacing/>
              <w:rPr>
                <w:rFonts w:cstheme="minorHAnsi"/>
              </w:rPr>
            </w:pPr>
            <w:r w:rsidRPr="00D13167">
              <w:rPr>
                <w:rFonts w:cstheme="minorHAnsi"/>
              </w:rPr>
              <w:t>Notifications of various intent</w:t>
            </w:r>
          </w:p>
        </w:tc>
        <w:tc>
          <w:tcPr>
            <w:tcW w:w="1260" w:type="dxa"/>
            <w:tcBorders>
              <w:top w:val="nil"/>
              <w:left w:val="single" w:sz="4" w:space="0" w:color="auto"/>
              <w:bottom w:val="single" w:sz="4" w:space="0" w:color="auto"/>
              <w:right w:val="single" w:sz="4" w:space="0" w:color="auto"/>
            </w:tcBorders>
            <w:shd w:val="clear" w:color="auto" w:fill="auto"/>
            <w:vAlign w:val="center"/>
          </w:tcPr>
          <w:p w:rsidR="00D13167" w:rsidRPr="00D13167" w:rsidP="00D13167" w14:paraId="20268EDB" w14:textId="77777777">
            <w:pPr>
              <w:spacing w:line="259" w:lineRule="auto"/>
              <w:ind w:left="0" w:firstLine="0"/>
              <w:contextualSpacing/>
              <w:rPr>
                <w:rFonts w:cstheme="minorHAnsi"/>
              </w:rPr>
            </w:pPr>
            <w:r w:rsidRPr="00D13167">
              <w:rPr>
                <w:rFonts w:cstheme="minorHAnsi"/>
              </w:rPr>
              <w:t>0</w:t>
            </w:r>
          </w:p>
        </w:tc>
        <w:tc>
          <w:tcPr>
            <w:tcW w:w="1260" w:type="dxa"/>
            <w:tcBorders>
              <w:top w:val="nil"/>
              <w:left w:val="nil"/>
              <w:bottom w:val="single" w:sz="4" w:space="0" w:color="auto"/>
              <w:right w:val="single" w:sz="4" w:space="0" w:color="auto"/>
            </w:tcBorders>
            <w:shd w:val="clear" w:color="auto" w:fill="auto"/>
            <w:vAlign w:val="center"/>
          </w:tcPr>
          <w:p w:rsidR="00D13167" w:rsidRPr="00D13167" w:rsidP="00D13167" w14:paraId="02431F02" w14:textId="77777777">
            <w:pPr>
              <w:spacing w:line="259" w:lineRule="auto"/>
              <w:ind w:left="0" w:firstLine="0"/>
              <w:contextualSpacing/>
              <w:rPr>
                <w:rFonts w:cstheme="minorHAnsi"/>
              </w:rPr>
            </w:pPr>
            <w:r w:rsidRPr="00D13167">
              <w:rPr>
                <w:rFonts w:cstheme="minorHAnsi"/>
              </w:rPr>
              <w:t>1</w:t>
            </w:r>
          </w:p>
        </w:tc>
        <w:tc>
          <w:tcPr>
            <w:tcW w:w="1890" w:type="dxa"/>
            <w:tcBorders>
              <w:top w:val="nil"/>
              <w:left w:val="nil"/>
              <w:bottom w:val="single" w:sz="4" w:space="0" w:color="auto"/>
              <w:right w:val="single" w:sz="4" w:space="0" w:color="auto"/>
            </w:tcBorders>
            <w:shd w:val="clear" w:color="auto" w:fill="auto"/>
            <w:vAlign w:val="center"/>
          </w:tcPr>
          <w:p w:rsidR="00D13167" w:rsidRPr="00D13167" w:rsidP="00D13167" w14:paraId="64095316" w14:textId="77777777">
            <w:pPr>
              <w:spacing w:line="259" w:lineRule="auto"/>
              <w:ind w:left="0" w:firstLine="0"/>
              <w:contextualSpacing/>
              <w:rPr>
                <w:rFonts w:cstheme="minorHAnsi"/>
              </w:rPr>
            </w:pPr>
            <w:r w:rsidRPr="00D13167">
              <w:rPr>
                <w:rFonts w:cstheme="minorHAnsi"/>
              </w:rPr>
              <w:t>N/A</w:t>
            </w:r>
          </w:p>
        </w:tc>
        <w:tc>
          <w:tcPr>
            <w:tcW w:w="2070" w:type="dxa"/>
            <w:tcBorders>
              <w:top w:val="nil"/>
              <w:left w:val="nil"/>
              <w:bottom w:val="single" w:sz="4" w:space="0" w:color="auto"/>
              <w:right w:val="single" w:sz="4" w:space="0" w:color="auto"/>
            </w:tcBorders>
            <w:shd w:val="clear" w:color="auto" w:fill="auto"/>
            <w:vAlign w:val="center"/>
          </w:tcPr>
          <w:p w:rsidR="00D13167" w:rsidRPr="00D13167" w:rsidP="00D13167" w14:paraId="54C55826" w14:textId="77777777">
            <w:pPr>
              <w:spacing w:line="259" w:lineRule="auto"/>
              <w:ind w:left="0" w:firstLine="0"/>
              <w:contextualSpacing/>
              <w:rPr>
                <w:rFonts w:cstheme="minorHAnsi"/>
              </w:rPr>
            </w:pPr>
            <w:r w:rsidRPr="00D13167">
              <w:rPr>
                <w:rFonts w:cstheme="minorHAnsi"/>
              </w:rPr>
              <w:t>0</w:t>
            </w:r>
          </w:p>
        </w:tc>
      </w:tr>
      <w:tr w14:paraId="1876A4B0"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D13167" w:rsidRPr="00D13167" w:rsidP="00D13167" w14:paraId="195D0EE7" w14:textId="77777777">
            <w:pPr>
              <w:spacing w:line="259" w:lineRule="auto"/>
              <w:ind w:left="0" w:firstLine="0"/>
              <w:contextualSpacing/>
              <w:rPr>
                <w:rFonts w:cstheme="minorHAnsi"/>
              </w:rPr>
            </w:pPr>
            <w:r w:rsidRPr="00D13167">
              <w:rPr>
                <w:rFonts w:cstheme="minorHAnsi"/>
              </w:rPr>
              <w:t>Demonstration for alternative operational or process parameter</w:t>
            </w:r>
          </w:p>
        </w:tc>
        <w:tc>
          <w:tcPr>
            <w:tcW w:w="1260" w:type="dxa"/>
            <w:tcBorders>
              <w:top w:val="nil"/>
              <w:left w:val="single" w:sz="4" w:space="0" w:color="auto"/>
              <w:bottom w:val="single" w:sz="4" w:space="0" w:color="auto"/>
              <w:right w:val="single" w:sz="4" w:space="0" w:color="auto"/>
            </w:tcBorders>
            <w:shd w:val="clear" w:color="auto" w:fill="auto"/>
            <w:vAlign w:val="center"/>
          </w:tcPr>
          <w:p w:rsidR="00D13167" w:rsidRPr="00D13167" w:rsidP="00D13167" w14:paraId="22116ED0" w14:textId="77777777">
            <w:pPr>
              <w:spacing w:line="259" w:lineRule="auto"/>
              <w:ind w:left="0" w:firstLine="0"/>
              <w:contextualSpacing/>
              <w:rPr>
                <w:rFonts w:cstheme="minorHAnsi"/>
              </w:rPr>
            </w:pPr>
            <w:r w:rsidRPr="00D13167">
              <w:rPr>
                <w:rFonts w:cstheme="minorHAnsi"/>
              </w:rPr>
              <w:t>0</w:t>
            </w:r>
          </w:p>
        </w:tc>
        <w:tc>
          <w:tcPr>
            <w:tcW w:w="1260" w:type="dxa"/>
            <w:tcBorders>
              <w:top w:val="nil"/>
              <w:left w:val="nil"/>
              <w:bottom w:val="single" w:sz="4" w:space="0" w:color="auto"/>
              <w:right w:val="single" w:sz="4" w:space="0" w:color="auto"/>
            </w:tcBorders>
            <w:shd w:val="clear" w:color="auto" w:fill="auto"/>
            <w:vAlign w:val="center"/>
          </w:tcPr>
          <w:p w:rsidR="00D13167" w:rsidRPr="00D13167" w:rsidP="00D13167" w14:paraId="11D4F290" w14:textId="77777777">
            <w:pPr>
              <w:spacing w:line="259" w:lineRule="auto"/>
              <w:ind w:left="0" w:firstLine="0"/>
              <w:contextualSpacing/>
              <w:rPr>
                <w:rFonts w:cstheme="minorHAnsi"/>
              </w:rPr>
            </w:pPr>
            <w:r w:rsidRPr="00D13167">
              <w:rPr>
                <w:rFonts w:cstheme="minorHAnsi"/>
              </w:rPr>
              <w:t>1</w:t>
            </w:r>
          </w:p>
        </w:tc>
        <w:tc>
          <w:tcPr>
            <w:tcW w:w="1890" w:type="dxa"/>
            <w:tcBorders>
              <w:top w:val="nil"/>
              <w:left w:val="nil"/>
              <w:bottom w:val="single" w:sz="4" w:space="0" w:color="auto"/>
              <w:right w:val="single" w:sz="4" w:space="0" w:color="auto"/>
            </w:tcBorders>
            <w:shd w:val="clear" w:color="auto" w:fill="auto"/>
            <w:vAlign w:val="center"/>
          </w:tcPr>
          <w:p w:rsidR="00D13167" w:rsidRPr="00D13167" w:rsidP="00D13167" w14:paraId="316A3F5A" w14:textId="77777777">
            <w:pPr>
              <w:spacing w:line="259" w:lineRule="auto"/>
              <w:ind w:left="0" w:firstLine="0"/>
              <w:contextualSpacing/>
              <w:rPr>
                <w:rFonts w:cstheme="minorHAnsi"/>
              </w:rPr>
            </w:pPr>
            <w:r w:rsidRPr="00D13167">
              <w:rPr>
                <w:rFonts w:cstheme="minorHAnsi"/>
              </w:rPr>
              <w:t>N/A</w:t>
            </w:r>
          </w:p>
        </w:tc>
        <w:tc>
          <w:tcPr>
            <w:tcW w:w="2070" w:type="dxa"/>
            <w:tcBorders>
              <w:top w:val="nil"/>
              <w:left w:val="nil"/>
              <w:bottom w:val="single" w:sz="4" w:space="0" w:color="auto"/>
              <w:right w:val="single" w:sz="4" w:space="0" w:color="auto"/>
            </w:tcBorders>
            <w:shd w:val="clear" w:color="auto" w:fill="auto"/>
            <w:vAlign w:val="center"/>
          </w:tcPr>
          <w:p w:rsidR="00D13167" w:rsidRPr="00D13167" w:rsidP="00D13167" w14:paraId="540D2CA5" w14:textId="77777777">
            <w:pPr>
              <w:spacing w:line="259" w:lineRule="auto"/>
              <w:ind w:left="0" w:firstLine="0"/>
              <w:contextualSpacing/>
              <w:rPr>
                <w:rFonts w:cstheme="minorHAnsi"/>
              </w:rPr>
            </w:pPr>
            <w:r w:rsidRPr="00D13167">
              <w:rPr>
                <w:rFonts w:cstheme="minorHAnsi"/>
              </w:rPr>
              <w:t>0</w:t>
            </w:r>
          </w:p>
        </w:tc>
      </w:tr>
      <w:tr w14:paraId="090847A3"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D13167" w:rsidRPr="00D13167" w:rsidP="00D13167" w14:paraId="1A98B940" w14:textId="77777777">
            <w:pPr>
              <w:spacing w:line="259" w:lineRule="auto"/>
              <w:ind w:left="0" w:firstLine="0"/>
              <w:contextualSpacing/>
              <w:rPr>
                <w:rFonts w:cstheme="minorHAnsi"/>
              </w:rPr>
            </w:pPr>
            <w:r w:rsidRPr="00D13167">
              <w:rPr>
                <w:rFonts w:cstheme="minorHAnsi"/>
              </w:rPr>
              <w:t>Notification of delay in compliance</w:t>
            </w:r>
          </w:p>
        </w:tc>
        <w:tc>
          <w:tcPr>
            <w:tcW w:w="1260" w:type="dxa"/>
            <w:tcBorders>
              <w:top w:val="nil"/>
              <w:left w:val="single" w:sz="4" w:space="0" w:color="auto"/>
              <w:bottom w:val="single" w:sz="4" w:space="0" w:color="auto"/>
              <w:right w:val="single" w:sz="4" w:space="0" w:color="auto"/>
            </w:tcBorders>
            <w:shd w:val="clear" w:color="auto" w:fill="auto"/>
            <w:vAlign w:val="center"/>
          </w:tcPr>
          <w:p w:rsidR="00D13167" w:rsidRPr="00D13167" w:rsidP="00D13167" w14:paraId="70078066" w14:textId="77777777">
            <w:pPr>
              <w:spacing w:line="259" w:lineRule="auto"/>
              <w:ind w:left="0" w:firstLine="0"/>
              <w:contextualSpacing/>
              <w:rPr>
                <w:rFonts w:cstheme="minorHAnsi"/>
              </w:rPr>
            </w:pPr>
            <w:r w:rsidRPr="00D13167">
              <w:rPr>
                <w:rFonts w:cstheme="minorHAnsi"/>
              </w:rPr>
              <w:t>0</w:t>
            </w:r>
          </w:p>
        </w:tc>
        <w:tc>
          <w:tcPr>
            <w:tcW w:w="1260" w:type="dxa"/>
            <w:tcBorders>
              <w:top w:val="nil"/>
              <w:left w:val="nil"/>
              <w:bottom w:val="single" w:sz="4" w:space="0" w:color="auto"/>
              <w:right w:val="single" w:sz="4" w:space="0" w:color="auto"/>
            </w:tcBorders>
            <w:shd w:val="clear" w:color="auto" w:fill="auto"/>
            <w:vAlign w:val="center"/>
          </w:tcPr>
          <w:p w:rsidR="00D13167" w:rsidRPr="00D13167" w:rsidP="00D13167" w14:paraId="6AD5B313" w14:textId="77777777">
            <w:pPr>
              <w:spacing w:line="259" w:lineRule="auto"/>
              <w:ind w:left="0" w:firstLine="0"/>
              <w:contextualSpacing/>
              <w:rPr>
                <w:rFonts w:cstheme="minorHAnsi"/>
              </w:rPr>
            </w:pPr>
            <w:r w:rsidRPr="00D13167">
              <w:rPr>
                <w:rFonts w:cstheme="minorHAnsi"/>
              </w:rPr>
              <w:t>1</w:t>
            </w:r>
          </w:p>
        </w:tc>
        <w:tc>
          <w:tcPr>
            <w:tcW w:w="1890" w:type="dxa"/>
            <w:tcBorders>
              <w:top w:val="nil"/>
              <w:left w:val="nil"/>
              <w:bottom w:val="single" w:sz="4" w:space="0" w:color="auto"/>
              <w:right w:val="single" w:sz="4" w:space="0" w:color="auto"/>
            </w:tcBorders>
            <w:shd w:val="clear" w:color="auto" w:fill="auto"/>
            <w:vAlign w:val="center"/>
          </w:tcPr>
          <w:p w:rsidR="00D13167" w:rsidRPr="00D13167" w:rsidP="00D13167" w14:paraId="2343E102" w14:textId="77777777">
            <w:pPr>
              <w:spacing w:line="259" w:lineRule="auto"/>
              <w:ind w:left="0" w:firstLine="0"/>
              <w:contextualSpacing/>
              <w:rPr>
                <w:rFonts w:cstheme="minorHAnsi"/>
              </w:rPr>
            </w:pPr>
            <w:r w:rsidRPr="00D13167">
              <w:rPr>
                <w:rFonts w:cstheme="minorHAnsi"/>
              </w:rPr>
              <w:t>N/A</w:t>
            </w:r>
          </w:p>
        </w:tc>
        <w:tc>
          <w:tcPr>
            <w:tcW w:w="2070" w:type="dxa"/>
            <w:tcBorders>
              <w:top w:val="nil"/>
              <w:left w:val="nil"/>
              <w:bottom w:val="single" w:sz="4" w:space="0" w:color="auto"/>
              <w:right w:val="single" w:sz="4" w:space="0" w:color="auto"/>
            </w:tcBorders>
            <w:shd w:val="clear" w:color="auto" w:fill="auto"/>
            <w:vAlign w:val="center"/>
          </w:tcPr>
          <w:p w:rsidR="00D13167" w:rsidRPr="00D13167" w:rsidP="00D13167" w14:paraId="7E1BBC00" w14:textId="77777777">
            <w:pPr>
              <w:spacing w:line="259" w:lineRule="auto"/>
              <w:ind w:left="0" w:firstLine="0"/>
              <w:contextualSpacing/>
              <w:rPr>
                <w:rFonts w:cstheme="minorHAnsi"/>
              </w:rPr>
            </w:pPr>
            <w:r w:rsidRPr="00D13167">
              <w:rPr>
                <w:rFonts w:cstheme="minorHAnsi"/>
              </w:rPr>
              <w:t>0</w:t>
            </w:r>
          </w:p>
        </w:tc>
      </w:tr>
      <w:tr w14:paraId="0F6B75B8"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D13167" w:rsidRPr="00D13167" w:rsidP="00D13167" w14:paraId="1DB0E09B" w14:textId="77777777">
            <w:pPr>
              <w:spacing w:line="259" w:lineRule="auto"/>
              <w:ind w:left="0" w:firstLine="0"/>
              <w:contextualSpacing/>
              <w:rPr>
                <w:rFonts w:cstheme="minorHAnsi"/>
              </w:rPr>
            </w:pPr>
            <w:r w:rsidRPr="00D13167">
              <w:rPr>
                <w:rFonts w:cstheme="minorHAnsi"/>
              </w:rPr>
              <w:t>Semiannual report</w:t>
            </w:r>
          </w:p>
        </w:tc>
        <w:tc>
          <w:tcPr>
            <w:tcW w:w="1260" w:type="dxa"/>
            <w:tcBorders>
              <w:top w:val="nil"/>
              <w:left w:val="single" w:sz="4" w:space="0" w:color="auto"/>
              <w:bottom w:val="single" w:sz="4" w:space="0" w:color="auto"/>
              <w:right w:val="single" w:sz="4" w:space="0" w:color="auto"/>
            </w:tcBorders>
            <w:shd w:val="clear" w:color="auto" w:fill="auto"/>
            <w:vAlign w:val="center"/>
          </w:tcPr>
          <w:p w:rsidR="00D13167" w:rsidRPr="00D13167" w:rsidP="00D13167" w14:paraId="25A54A1D" w14:textId="77777777">
            <w:pPr>
              <w:spacing w:line="259" w:lineRule="auto"/>
              <w:ind w:left="0" w:firstLine="0"/>
              <w:contextualSpacing/>
              <w:rPr>
                <w:rFonts w:cstheme="minorHAnsi"/>
              </w:rPr>
            </w:pPr>
            <w:r w:rsidRPr="00D13167">
              <w:rPr>
                <w:rFonts w:cstheme="minorHAnsi"/>
              </w:rPr>
              <w:t>130</w:t>
            </w:r>
          </w:p>
        </w:tc>
        <w:tc>
          <w:tcPr>
            <w:tcW w:w="1260" w:type="dxa"/>
            <w:tcBorders>
              <w:top w:val="nil"/>
              <w:left w:val="nil"/>
              <w:bottom w:val="single" w:sz="4" w:space="0" w:color="auto"/>
              <w:right w:val="single" w:sz="4" w:space="0" w:color="auto"/>
            </w:tcBorders>
            <w:shd w:val="clear" w:color="auto" w:fill="auto"/>
            <w:vAlign w:val="center"/>
          </w:tcPr>
          <w:p w:rsidR="00D13167" w:rsidRPr="00D13167" w:rsidP="00D13167" w14:paraId="51191007" w14:textId="77777777">
            <w:pPr>
              <w:spacing w:line="259" w:lineRule="auto"/>
              <w:ind w:left="0" w:firstLine="0"/>
              <w:contextualSpacing/>
              <w:rPr>
                <w:rFonts w:cstheme="minorHAnsi"/>
              </w:rPr>
            </w:pPr>
            <w:r w:rsidRPr="00D13167">
              <w:rPr>
                <w:rFonts w:cstheme="minorHAnsi"/>
              </w:rPr>
              <w:t>2</w:t>
            </w:r>
          </w:p>
        </w:tc>
        <w:tc>
          <w:tcPr>
            <w:tcW w:w="1890" w:type="dxa"/>
            <w:tcBorders>
              <w:top w:val="nil"/>
              <w:left w:val="nil"/>
              <w:bottom w:val="single" w:sz="4" w:space="0" w:color="auto"/>
              <w:right w:val="single" w:sz="4" w:space="0" w:color="auto"/>
            </w:tcBorders>
            <w:shd w:val="clear" w:color="auto" w:fill="auto"/>
            <w:vAlign w:val="center"/>
          </w:tcPr>
          <w:p w:rsidR="00D13167" w:rsidRPr="00D13167" w:rsidP="00D13167" w14:paraId="4988C00C" w14:textId="77777777">
            <w:pPr>
              <w:spacing w:line="259" w:lineRule="auto"/>
              <w:ind w:left="0" w:firstLine="0"/>
              <w:contextualSpacing/>
              <w:rPr>
                <w:rFonts w:cstheme="minorHAnsi"/>
              </w:rPr>
            </w:pPr>
            <w:r w:rsidRPr="00D13167">
              <w:rPr>
                <w:rFonts w:cstheme="minorHAnsi"/>
              </w:rPr>
              <w:t>N/A</w:t>
            </w:r>
          </w:p>
        </w:tc>
        <w:tc>
          <w:tcPr>
            <w:tcW w:w="2070" w:type="dxa"/>
            <w:tcBorders>
              <w:top w:val="nil"/>
              <w:left w:val="nil"/>
              <w:bottom w:val="single" w:sz="4" w:space="0" w:color="auto"/>
              <w:right w:val="single" w:sz="4" w:space="0" w:color="auto"/>
            </w:tcBorders>
            <w:shd w:val="clear" w:color="auto" w:fill="auto"/>
            <w:vAlign w:val="center"/>
          </w:tcPr>
          <w:p w:rsidR="00D13167" w:rsidRPr="00D13167" w:rsidP="00D13167" w14:paraId="1E3C6E98" w14:textId="77777777">
            <w:pPr>
              <w:spacing w:line="259" w:lineRule="auto"/>
              <w:ind w:left="0" w:firstLine="0"/>
              <w:contextualSpacing/>
              <w:rPr>
                <w:rFonts w:cstheme="minorHAnsi"/>
              </w:rPr>
            </w:pPr>
            <w:r w:rsidRPr="00D13167">
              <w:rPr>
                <w:rFonts w:cstheme="minorHAnsi"/>
              </w:rPr>
              <w:t>260</w:t>
            </w:r>
          </w:p>
        </w:tc>
      </w:tr>
      <w:tr w14:paraId="13C9F3FB"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D13167" w:rsidRPr="00D13167" w:rsidP="00D13167" w14:paraId="288FC5AC" w14:textId="77777777">
            <w:pPr>
              <w:spacing w:line="259" w:lineRule="auto"/>
              <w:ind w:left="0" w:firstLine="0"/>
              <w:contextualSpacing/>
              <w:rPr>
                <w:rFonts w:cstheme="minorHAnsi"/>
              </w:rPr>
            </w:pPr>
            <w:r w:rsidRPr="00D13167">
              <w:rPr>
                <w:rFonts w:cstheme="minorHAnsi"/>
              </w:rPr>
              <w:t>Notification of initial performance test</w:t>
            </w:r>
          </w:p>
        </w:tc>
        <w:tc>
          <w:tcPr>
            <w:tcW w:w="1260" w:type="dxa"/>
            <w:tcBorders>
              <w:top w:val="nil"/>
              <w:left w:val="single" w:sz="4" w:space="0" w:color="auto"/>
              <w:bottom w:val="single" w:sz="4" w:space="0" w:color="auto"/>
              <w:right w:val="single" w:sz="4" w:space="0" w:color="auto"/>
            </w:tcBorders>
            <w:shd w:val="clear" w:color="auto" w:fill="auto"/>
            <w:vAlign w:val="center"/>
          </w:tcPr>
          <w:p w:rsidR="00D13167" w:rsidRPr="00D13167" w:rsidP="00D13167" w14:paraId="2E9F294F" w14:textId="77777777">
            <w:pPr>
              <w:spacing w:line="259" w:lineRule="auto"/>
              <w:ind w:left="0" w:firstLine="0"/>
              <w:contextualSpacing/>
              <w:rPr>
                <w:rFonts w:cstheme="minorHAnsi"/>
              </w:rPr>
            </w:pPr>
            <w:r w:rsidRPr="00D13167">
              <w:rPr>
                <w:rFonts w:cstheme="minorHAnsi"/>
              </w:rPr>
              <w:t>0</w:t>
            </w:r>
          </w:p>
        </w:tc>
        <w:tc>
          <w:tcPr>
            <w:tcW w:w="1260" w:type="dxa"/>
            <w:tcBorders>
              <w:top w:val="nil"/>
              <w:left w:val="nil"/>
              <w:bottom w:val="single" w:sz="4" w:space="0" w:color="auto"/>
              <w:right w:val="single" w:sz="4" w:space="0" w:color="auto"/>
            </w:tcBorders>
            <w:shd w:val="clear" w:color="auto" w:fill="auto"/>
            <w:vAlign w:val="center"/>
          </w:tcPr>
          <w:p w:rsidR="00D13167" w:rsidRPr="00D13167" w:rsidP="00D13167" w14:paraId="2B007CAA" w14:textId="77777777">
            <w:pPr>
              <w:spacing w:line="259" w:lineRule="auto"/>
              <w:ind w:left="0" w:firstLine="0"/>
              <w:contextualSpacing/>
              <w:rPr>
                <w:rFonts w:cstheme="minorHAnsi"/>
              </w:rPr>
            </w:pPr>
            <w:r w:rsidRPr="00D13167">
              <w:rPr>
                <w:rFonts w:cstheme="minorHAnsi"/>
              </w:rPr>
              <w:t>1</w:t>
            </w:r>
          </w:p>
        </w:tc>
        <w:tc>
          <w:tcPr>
            <w:tcW w:w="1890" w:type="dxa"/>
            <w:tcBorders>
              <w:top w:val="nil"/>
              <w:left w:val="nil"/>
              <w:bottom w:val="single" w:sz="4" w:space="0" w:color="auto"/>
              <w:right w:val="single" w:sz="4" w:space="0" w:color="auto"/>
            </w:tcBorders>
            <w:shd w:val="clear" w:color="auto" w:fill="auto"/>
            <w:vAlign w:val="center"/>
          </w:tcPr>
          <w:p w:rsidR="00D13167" w:rsidRPr="00D13167" w:rsidP="00D13167" w14:paraId="4CBB4BBE" w14:textId="77777777">
            <w:pPr>
              <w:spacing w:line="259" w:lineRule="auto"/>
              <w:ind w:left="0" w:firstLine="0"/>
              <w:contextualSpacing/>
              <w:rPr>
                <w:rFonts w:cstheme="minorHAnsi"/>
              </w:rPr>
            </w:pPr>
            <w:r w:rsidRPr="00D13167">
              <w:rPr>
                <w:rFonts w:cstheme="minorHAnsi"/>
              </w:rPr>
              <w:t>N/A</w:t>
            </w:r>
          </w:p>
        </w:tc>
        <w:tc>
          <w:tcPr>
            <w:tcW w:w="2070" w:type="dxa"/>
            <w:tcBorders>
              <w:top w:val="nil"/>
              <w:left w:val="nil"/>
              <w:bottom w:val="single" w:sz="4" w:space="0" w:color="auto"/>
              <w:right w:val="single" w:sz="4" w:space="0" w:color="auto"/>
            </w:tcBorders>
            <w:shd w:val="clear" w:color="auto" w:fill="auto"/>
            <w:vAlign w:val="center"/>
          </w:tcPr>
          <w:p w:rsidR="00D13167" w:rsidRPr="00D13167" w:rsidP="00D13167" w14:paraId="48558486" w14:textId="77777777">
            <w:pPr>
              <w:spacing w:line="259" w:lineRule="auto"/>
              <w:ind w:left="0" w:firstLine="0"/>
              <w:contextualSpacing/>
              <w:rPr>
                <w:rFonts w:cstheme="minorHAnsi"/>
              </w:rPr>
            </w:pPr>
            <w:r w:rsidRPr="00D13167">
              <w:rPr>
                <w:rFonts w:cstheme="minorHAnsi"/>
              </w:rPr>
              <w:t>0</w:t>
            </w:r>
          </w:p>
        </w:tc>
      </w:tr>
      <w:tr w14:paraId="53921B39" w14:textId="77777777" w:rsidTr="00C97D0B">
        <w:tblPrEx>
          <w:tblW w:w="9180" w:type="dxa"/>
          <w:tblInd w:w="201" w:type="dxa"/>
          <w:tblLayout w:type="fixed"/>
          <w:tblCellMar>
            <w:left w:w="111" w:type="dxa"/>
            <w:right w:w="111" w:type="dxa"/>
          </w:tblCellMar>
          <w:tblLook w:val="0000"/>
        </w:tblPrEx>
        <w:trPr>
          <w:trHeight w:val="366"/>
        </w:trPr>
        <w:tc>
          <w:tcPr>
            <w:tcW w:w="2700" w:type="dxa"/>
            <w:vAlign w:val="bottom"/>
          </w:tcPr>
          <w:p w:rsidR="00D13167" w:rsidRPr="00D13167" w:rsidP="00D13167" w14:paraId="45A19BDB" w14:textId="77777777">
            <w:pPr>
              <w:spacing w:line="259" w:lineRule="auto"/>
              <w:ind w:left="0" w:firstLine="0"/>
              <w:contextualSpacing/>
              <w:rPr>
                <w:rFonts w:cstheme="minorHAnsi"/>
              </w:rPr>
            </w:pPr>
            <w:r w:rsidRPr="00D13167">
              <w:rPr>
                <w:rFonts w:cstheme="minorHAnsi"/>
              </w:rPr>
              <w:t> </w:t>
            </w:r>
          </w:p>
        </w:tc>
        <w:tc>
          <w:tcPr>
            <w:tcW w:w="1260" w:type="dxa"/>
            <w:tcBorders>
              <w:top w:val="nil"/>
              <w:left w:val="single" w:sz="4" w:space="0" w:color="auto"/>
              <w:bottom w:val="single" w:sz="4" w:space="0" w:color="auto"/>
              <w:right w:val="single" w:sz="4" w:space="0" w:color="auto"/>
            </w:tcBorders>
            <w:shd w:val="clear" w:color="auto" w:fill="auto"/>
            <w:vAlign w:val="bottom"/>
          </w:tcPr>
          <w:p w:rsidR="00D13167" w:rsidRPr="00D13167" w:rsidP="00D13167" w14:paraId="63E4F8D2" w14:textId="77777777">
            <w:pPr>
              <w:spacing w:line="259" w:lineRule="auto"/>
              <w:ind w:left="0" w:firstLine="0"/>
              <w:contextualSpacing/>
              <w:rPr>
                <w:rFonts w:cstheme="minorHAnsi"/>
              </w:rPr>
            </w:pPr>
            <w:r w:rsidRPr="00D13167">
              <w:rPr>
                <w:rFonts w:cstheme="minorHAnsi"/>
              </w:rPr>
              <w:t> </w:t>
            </w:r>
          </w:p>
        </w:tc>
        <w:tc>
          <w:tcPr>
            <w:tcW w:w="1260" w:type="dxa"/>
            <w:tcBorders>
              <w:top w:val="nil"/>
              <w:left w:val="nil"/>
              <w:bottom w:val="single" w:sz="4" w:space="0" w:color="auto"/>
              <w:right w:val="single" w:sz="4" w:space="0" w:color="auto"/>
            </w:tcBorders>
            <w:shd w:val="clear" w:color="auto" w:fill="auto"/>
            <w:vAlign w:val="bottom"/>
          </w:tcPr>
          <w:p w:rsidR="00D13167" w:rsidRPr="00D13167" w:rsidP="00D13167" w14:paraId="622A8F71" w14:textId="77777777">
            <w:pPr>
              <w:spacing w:line="259" w:lineRule="auto"/>
              <w:ind w:left="0" w:firstLine="0"/>
              <w:contextualSpacing/>
              <w:rPr>
                <w:rFonts w:cstheme="minorHAnsi"/>
              </w:rPr>
            </w:pPr>
            <w:r w:rsidRPr="00D13167">
              <w:rPr>
                <w:rFonts w:cstheme="minorHAnsi"/>
              </w:rPr>
              <w:t> </w:t>
            </w:r>
          </w:p>
        </w:tc>
        <w:tc>
          <w:tcPr>
            <w:tcW w:w="1890" w:type="dxa"/>
            <w:tcBorders>
              <w:top w:val="nil"/>
              <w:left w:val="nil"/>
              <w:bottom w:val="single" w:sz="4" w:space="0" w:color="auto"/>
              <w:right w:val="single" w:sz="4" w:space="0" w:color="auto"/>
            </w:tcBorders>
            <w:shd w:val="clear" w:color="auto" w:fill="auto"/>
            <w:vAlign w:val="center"/>
          </w:tcPr>
          <w:p w:rsidR="00D13167" w:rsidRPr="00D13167" w:rsidP="00D13167" w14:paraId="15CDC542" w14:textId="77777777">
            <w:pPr>
              <w:spacing w:line="259" w:lineRule="auto"/>
              <w:ind w:left="0" w:firstLine="0"/>
              <w:contextualSpacing/>
              <w:rPr>
                <w:rFonts w:cstheme="minorHAnsi"/>
              </w:rPr>
            </w:pPr>
            <w:r w:rsidRPr="00D13167">
              <w:rPr>
                <w:rFonts w:cstheme="minorHAnsi"/>
                <w:b/>
                <w:bCs/>
              </w:rPr>
              <w:t>Total</w:t>
            </w:r>
          </w:p>
        </w:tc>
        <w:tc>
          <w:tcPr>
            <w:tcW w:w="2070" w:type="dxa"/>
            <w:tcBorders>
              <w:top w:val="nil"/>
              <w:left w:val="nil"/>
              <w:bottom w:val="single" w:sz="4" w:space="0" w:color="auto"/>
              <w:right w:val="single" w:sz="4" w:space="0" w:color="auto"/>
            </w:tcBorders>
            <w:shd w:val="clear" w:color="auto" w:fill="auto"/>
            <w:vAlign w:val="center"/>
          </w:tcPr>
          <w:p w:rsidR="00D13167" w:rsidRPr="00D13167" w:rsidP="00D13167" w14:paraId="12153B56" w14:textId="77777777">
            <w:pPr>
              <w:spacing w:line="259" w:lineRule="auto"/>
              <w:ind w:left="0" w:firstLine="0"/>
              <w:contextualSpacing/>
              <w:rPr>
                <w:rFonts w:cstheme="minorHAnsi"/>
              </w:rPr>
            </w:pPr>
            <w:r w:rsidRPr="00D13167">
              <w:rPr>
                <w:rFonts w:cstheme="minorHAnsi"/>
                <w:b/>
                <w:bCs/>
              </w:rPr>
              <w:t>260</w:t>
            </w:r>
          </w:p>
        </w:tc>
      </w:tr>
    </w:tbl>
    <w:p w:rsidR="006D6279" w:rsidP="006F063F" w14:paraId="12F1B157" w14:textId="77777777">
      <w:pPr>
        <w:spacing w:line="259" w:lineRule="auto"/>
        <w:ind w:left="0" w:firstLine="0"/>
        <w:rPr>
          <w:rFonts w:cstheme="minorHAnsi"/>
        </w:rPr>
      </w:pPr>
    </w:p>
    <w:p w:rsidR="00275D9E" w:rsidP="006F063F" w14:paraId="4C30D1DE" w14:textId="73AC0390">
      <w:pPr>
        <w:spacing w:line="259" w:lineRule="auto"/>
        <w:ind w:left="0" w:firstLine="0"/>
        <w:rPr>
          <w:rFonts w:cstheme="minorHAnsi"/>
        </w:rPr>
      </w:pPr>
      <w:r w:rsidRPr="00CA77EB">
        <w:rPr>
          <w:rFonts w:cstheme="minorHAnsi"/>
        </w:rPr>
        <w:t>The number of Total Annual Responses is 260.</w:t>
      </w:r>
    </w:p>
    <w:p w:rsidR="00CA77EB" w:rsidP="006F063F" w14:paraId="266C3303" w14:textId="4AB0E2C2">
      <w:pPr>
        <w:spacing w:line="259" w:lineRule="auto"/>
        <w:ind w:left="0" w:firstLine="0"/>
        <w:rPr>
          <w:rFonts w:cstheme="minorHAnsi"/>
        </w:rPr>
      </w:pPr>
      <w:r w:rsidRPr="00CA77EB">
        <w:rPr>
          <w:rFonts w:cstheme="minorHAnsi"/>
        </w:rPr>
        <w:t>The total annual labor costs are $1,320,000. Details regarding these estimates may be found at the end of this document in Table: Annual Respondent Burden and Cost – NSPS for VOC Emissions from Petroleum Refinery Wastewater Systems (40 CFR Part 60, Subpart QQQ) (Renewal).</w:t>
      </w:r>
    </w:p>
    <w:p w:rsidR="002E1857" w:rsidRPr="002E1857" w:rsidP="002E1857" w14:paraId="2BACB677" w14:textId="6764696A">
      <w:pPr>
        <w:spacing w:line="259" w:lineRule="auto"/>
        <w:ind w:left="0" w:firstLine="0"/>
        <w:rPr>
          <w:rFonts w:cstheme="minorHAnsi"/>
        </w:rPr>
      </w:pPr>
      <w:r w:rsidRPr="002E1857">
        <w:rPr>
          <w:rFonts w:cstheme="minorHAnsi"/>
        </w:rPr>
        <w:t xml:space="preserve">The total annual labor hours are 8,900 hours. Details regarding these estimates may be found below in Table: Annual Respondent Burden and Cost – NSPS for VOC Emissions from Petroleum Refinery Wastewater Systems (40 CFR Part 60, Subpart QQQ) (Renewal). </w:t>
      </w:r>
    </w:p>
    <w:p w:rsidR="002E1857" w:rsidRPr="002E1857" w:rsidP="002E1857" w14:paraId="1611AC4A" w14:textId="77777777">
      <w:pPr>
        <w:spacing w:line="259" w:lineRule="auto"/>
        <w:ind w:left="0" w:firstLine="0"/>
        <w:rPr>
          <w:rFonts w:cstheme="minorHAnsi"/>
        </w:rPr>
      </w:pPr>
      <w:r w:rsidRPr="002E1857">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1E3AE9" w:rsidRPr="008B3B3E" w:rsidP="002E1857" w14:paraId="0205D312" w14:textId="2F1B4325">
      <w:pPr>
        <w:spacing w:line="259" w:lineRule="auto"/>
        <w:ind w:left="0" w:firstLine="0"/>
        <w:rPr>
          <w:rFonts w:cstheme="minorHAnsi"/>
        </w:rPr>
      </w:pPr>
      <w:r w:rsidRPr="002E1857">
        <w:rPr>
          <w:rFonts w:cstheme="minorHAnsi"/>
        </w:rPr>
        <w:t>Furthermore, the annual public reporting and recordkeeping burden for this collection of information is estimated to average 34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19" w:name="_Toc156593386"/>
      <w:r w:rsidRPr="008B3B3E">
        <w:rPr>
          <w:rFonts w:asciiTheme="minorHAnsi" w:hAnsiTheme="minorHAnsi" w:cstheme="minorHAnsi"/>
          <w:b/>
          <w:bCs/>
          <w:color w:val="000000" w:themeColor="text1"/>
          <w:sz w:val="22"/>
          <w:szCs w:val="22"/>
        </w:rPr>
        <w:t>RESPONDENT CAPITAL AND O&amp;M COSTS</w:t>
      </w:r>
      <w:bookmarkEnd w:id="19"/>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B5A78" w:rsidP="00FB5A78" w14:paraId="0E32BD70" w14:textId="1847E081">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FB5A78">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these regulations. The annual operation and maintenance costs are the ongoing costs to maintain the monitor(s) and other such costs as photocopying and postage.</w:t>
      </w:r>
    </w:p>
    <w:tbl>
      <w:tblPr>
        <w:tblStyle w:val="TableGrid"/>
        <w:tblW w:w="9662" w:type="dxa"/>
        <w:tblLayout w:type="fixed"/>
        <w:tblLook w:val="0000"/>
      </w:tblPr>
      <w:tblGrid>
        <w:gridCol w:w="1770"/>
        <w:gridCol w:w="1440"/>
        <w:gridCol w:w="1320"/>
        <w:gridCol w:w="1440"/>
        <w:gridCol w:w="1350"/>
        <w:gridCol w:w="1260"/>
        <w:gridCol w:w="1050"/>
        <w:gridCol w:w="32"/>
      </w:tblGrid>
      <w:tr w14:paraId="417652DD" w14:textId="77777777" w:rsidTr="00C97D0B">
        <w:tblPrEx>
          <w:tblW w:w="9662" w:type="dxa"/>
          <w:tblLayout w:type="fixed"/>
          <w:tblLook w:val="0000"/>
        </w:tblPrEx>
        <w:trPr>
          <w:trHeight w:val="550"/>
        </w:trPr>
        <w:tc>
          <w:tcPr>
            <w:tcW w:w="9662" w:type="dxa"/>
            <w:gridSpan w:val="8"/>
          </w:tcPr>
          <w:p w:rsidR="00FB5A78" w:rsidRPr="00FB5A78" w:rsidP="00FB5A78" w14:paraId="5D131E17"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b/>
                <w:bCs/>
                <w:color w:val="000000"/>
              </w:rPr>
            </w:pPr>
            <w:r w:rsidRPr="00FB5A78">
              <w:rPr>
                <w:rFonts w:cstheme="minorHAnsi"/>
                <w:b/>
                <w:bCs/>
                <w:color w:val="000000"/>
              </w:rPr>
              <w:t>Capital/Startup vs. Operation and Maintenance (O&amp;M) Costs</w:t>
            </w:r>
          </w:p>
        </w:tc>
      </w:tr>
      <w:tr w14:paraId="17ACF700" w14:textId="77777777" w:rsidTr="00C97D0B">
        <w:tblPrEx>
          <w:tblW w:w="9662" w:type="dxa"/>
          <w:tblLayout w:type="fixed"/>
          <w:tblLook w:val="0000"/>
        </w:tblPrEx>
        <w:trPr>
          <w:gridAfter w:val="1"/>
          <w:wAfter w:w="32" w:type="dxa"/>
        </w:trPr>
        <w:tc>
          <w:tcPr>
            <w:tcW w:w="1770" w:type="dxa"/>
          </w:tcPr>
          <w:p w:rsidR="00FB5A78" w:rsidRPr="00FB5A78" w:rsidP="00FB5A78" w14:paraId="7355C172"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(A)</w:t>
            </w:r>
          </w:p>
          <w:p w:rsidR="00FB5A78" w:rsidRPr="00FB5A78" w:rsidP="00FB5A78" w14:paraId="3BEB3876"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Continuous Monitoring Device</w:t>
            </w:r>
          </w:p>
        </w:tc>
        <w:tc>
          <w:tcPr>
            <w:tcW w:w="1440" w:type="dxa"/>
          </w:tcPr>
          <w:p w:rsidR="00FB5A78" w:rsidRPr="00FB5A78" w:rsidP="00FB5A78" w14:paraId="49E1DF0F"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(B)</w:t>
            </w:r>
          </w:p>
          <w:p w:rsidR="00FB5A78" w:rsidRPr="00FB5A78" w:rsidP="00FB5A78" w14:paraId="79371445"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Capital/Startup Cost for One Respondent</w:t>
            </w:r>
          </w:p>
        </w:tc>
        <w:tc>
          <w:tcPr>
            <w:tcW w:w="1320" w:type="dxa"/>
          </w:tcPr>
          <w:p w:rsidR="00FB5A78" w:rsidRPr="00FB5A78" w:rsidP="00FB5A78" w14:paraId="51118264"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(C)</w:t>
            </w:r>
          </w:p>
          <w:p w:rsidR="00FB5A78" w:rsidRPr="00FB5A78" w:rsidP="00FB5A78" w14:paraId="27C422C0"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Number of New Respondents</w:t>
            </w:r>
          </w:p>
        </w:tc>
        <w:tc>
          <w:tcPr>
            <w:tcW w:w="1440" w:type="dxa"/>
          </w:tcPr>
          <w:p w:rsidR="00FB5A78" w:rsidRPr="00FB5A78" w:rsidP="00FB5A78" w14:paraId="2A75F339"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(D)</w:t>
            </w:r>
          </w:p>
          <w:p w:rsidR="00FB5A78" w:rsidRPr="00FB5A78" w:rsidP="00FB5A78" w14:paraId="0A009286"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Total Capital/Startup Cost, (B X C)</w:t>
            </w:r>
          </w:p>
        </w:tc>
        <w:tc>
          <w:tcPr>
            <w:tcW w:w="1350" w:type="dxa"/>
          </w:tcPr>
          <w:p w:rsidR="00FB5A78" w:rsidRPr="00FB5A78" w:rsidP="00FB5A78" w14:paraId="5301D6BA"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(E)</w:t>
            </w:r>
          </w:p>
          <w:p w:rsidR="00FB5A78" w:rsidRPr="00FB5A78" w:rsidP="00FB5A78" w14:paraId="08977251"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Annual O&amp;M Costs for One Respondent</w:t>
            </w:r>
          </w:p>
        </w:tc>
        <w:tc>
          <w:tcPr>
            <w:tcW w:w="1260" w:type="dxa"/>
          </w:tcPr>
          <w:p w:rsidR="00FB5A78" w:rsidRPr="00FB5A78" w:rsidP="00FB5A78" w14:paraId="3509519D"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(F)</w:t>
            </w:r>
          </w:p>
          <w:p w:rsidR="00FB5A78" w:rsidRPr="00FB5A78" w:rsidP="00FB5A78" w14:paraId="418CB2C0"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Number of Respondents with O&amp;M</w:t>
            </w:r>
          </w:p>
        </w:tc>
        <w:tc>
          <w:tcPr>
            <w:tcW w:w="1050" w:type="dxa"/>
          </w:tcPr>
          <w:p w:rsidR="00FB5A78" w:rsidRPr="00FB5A78" w:rsidP="00FB5A78" w14:paraId="4DB24ADD"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lang w:val="pt-BR"/>
              </w:rPr>
            </w:pPr>
            <w:r w:rsidRPr="00FB5A78">
              <w:rPr>
                <w:rFonts w:cstheme="minorHAnsi"/>
                <w:color w:val="000000"/>
                <w:lang w:val="pt-BR"/>
              </w:rPr>
              <w:t>(G)</w:t>
            </w:r>
          </w:p>
          <w:p w:rsidR="00FB5A78" w:rsidRPr="00FB5A78" w:rsidP="00FB5A78" w14:paraId="4BEED554"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lang w:val="pt-BR"/>
              </w:rPr>
            </w:pPr>
            <w:r w:rsidRPr="00FB5A78">
              <w:rPr>
                <w:rFonts w:cstheme="minorHAnsi"/>
                <w:color w:val="000000"/>
                <w:lang w:val="pt-BR"/>
              </w:rPr>
              <w:t>Total O&amp;M,</w:t>
            </w:r>
          </w:p>
          <w:p w:rsidR="00FB5A78" w:rsidRPr="00FB5A78" w:rsidP="00FB5A78" w14:paraId="247AD793"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lang w:val="pt-BR"/>
              </w:rPr>
            </w:pPr>
            <w:r w:rsidRPr="00FB5A78">
              <w:rPr>
                <w:rFonts w:cstheme="minorHAnsi"/>
                <w:color w:val="000000"/>
                <w:lang w:val="pt-BR"/>
              </w:rPr>
              <w:t>(E X F)</w:t>
            </w:r>
          </w:p>
        </w:tc>
      </w:tr>
      <w:tr w14:paraId="50D0E191" w14:textId="77777777" w:rsidTr="00C97D0B">
        <w:tblPrEx>
          <w:tblW w:w="9662" w:type="dxa"/>
          <w:tblLayout w:type="fixed"/>
          <w:tblLook w:val="0000"/>
        </w:tblPrEx>
        <w:trPr>
          <w:gridAfter w:val="1"/>
          <w:wAfter w:w="32" w:type="dxa"/>
        </w:trPr>
        <w:tc>
          <w:tcPr>
            <w:tcW w:w="1770" w:type="dxa"/>
          </w:tcPr>
          <w:p w:rsidR="00FB5A78" w:rsidRPr="00FB5A78" w:rsidP="00FB5A78" w14:paraId="618C713F"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 xml:space="preserve">Portable VOC analyzer for non-regenerative carbon absorber </w:t>
            </w:r>
          </w:p>
        </w:tc>
        <w:tc>
          <w:tcPr>
            <w:tcW w:w="1440" w:type="dxa"/>
            <w:vAlign w:val="center"/>
          </w:tcPr>
          <w:p w:rsidR="00FB5A78" w:rsidRPr="00FB5A78" w:rsidP="00FB5A78" w14:paraId="63E16B35"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$2,960</w:t>
            </w:r>
          </w:p>
        </w:tc>
        <w:tc>
          <w:tcPr>
            <w:tcW w:w="1320" w:type="dxa"/>
            <w:vAlign w:val="center"/>
          </w:tcPr>
          <w:p w:rsidR="00FB5A78" w:rsidRPr="00FB5A78" w:rsidP="00FB5A78" w14:paraId="59DAAA9E"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0</w:t>
            </w:r>
          </w:p>
        </w:tc>
        <w:tc>
          <w:tcPr>
            <w:tcW w:w="1440" w:type="dxa"/>
            <w:vAlign w:val="center"/>
          </w:tcPr>
          <w:p w:rsidR="00FB5A78" w:rsidRPr="00FB5A78" w:rsidP="00FB5A78" w14:paraId="34D04B7C"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0</w:t>
            </w:r>
          </w:p>
        </w:tc>
        <w:tc>
          <w:tcPr>
            <w:tcW w:w="1350" w:type="dxa"/>
            <w:vAlign w:val="center"/>
          </w:tcPr>
          <w:p w:rsidR="00FB5A78" w:rsidRPr="00FB5A78" w:rsidP="00FB5A78" w14:paraId="35ECB6F4"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$130</w:t>
            </w:r>
          </w:p>
        </w:tc>
        <w:tc>
          <w:tcPr>
            <w:tcW w:w="1260" w:type="dxa"/>
            <w:vAlign w:val="center"/>
          </w:tcPr>
          <w:p w:rsidR="00FB5A78" w:rsidRPr="00FB5A78" w:rsidP="00FB5A78" w14:paraId="55337F7D"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130</w:t>
            </w:r>
          </w:p>
        </w:tc>
        <w:tc>
          <w:tcPr>
            <w:tcW w:w="1050" w:type="dxa"/>
            <w:vAlign w:val="center"/>
          </w:tcPr>
          <w:p w:rsidR="00FB5A78" w:rsidRPr="00FB5A78" w:rsidP="00FB5A78" w14:paraId="33AEB7E0"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$16,900</w:t>
            </w:r>
          </w:p>
        </w:tc>
      </w:tr>
      <w:tr w14:paraId="17AF9088" w14:textId="77777777" w:rsidTr="00C97D0B">
        <w:tblPrEx>
          <w:tblW w:w="9662" w:type="dxa"/>
          <w:tblLayout w:type="fixed"/>
          <w:tblLook w:val="0000"/>
        </w:tblPrEx>
        <w:trPr>
          <w:gridAfter w:val="1"/>
          <w:wAfter w:w="32" w:type="dxa"/>
        </w:trPr>
        <w:tc>
          <w:tcPr>
            <w:tcW w:w="1770" w:type="dxa"/>
          </w:tcPr>
          <w:p w:rsidR="00FB5A78" w:rsidRPr="00FB5A78" w:rsidP="00FB5A78" w14:paraId="786A65AB"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b/>
                <w:color w:val="000000"/>
              </w:rPr>
              <w:t xml:space="preserve">Total </w:t>
            </w:r>
            <w:r w:rsidRPr="00FB5A78">
              <w:rPr>
                <w:rFonts w:cstheme="minorHAnsi"/>
                <w:b/>
                <w:color w:val="000000"/>
                <w:vertAlign w:val="superscript"/>
              </w:rPr>
              <w:t>a</w:t>
            </w:r>
          </w:p>
        </w:tc>
        <w:tc>
          <w:tcPr>
            <w:tcW w:w="1440" w:type="dxa"/>
            <w:vAlign w:val="center"/>
          </w:tcPr>
          <w:p w:rsidR="00FB5A78" w:rsidRPr="00FB5A78" w:rsidP="00FB5A78" w14:paraId="24CB43D7"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p>
        </w:tc>
        <w:tc>
          <w:tcPr>
            <w:tcW w:w="1320" w:type="dxa"/>
            <w:vAlign w:val="center"/>
          </w:tcPr>
          <w:p w:rsidR="00FB5A78" w:rsidRPr="00FB5A78" w:rsidP="00FB5A78" w14:paraId="24F6462E"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p>
        </w:tc>
        <w:tc>
          <w:tcPr>
            <w:tcW w:w="1440" w:type="dxa"/>
            <w:vAlign w:val="center"/>
          </w:tcPr>
          <w:p w:rsidR="00FB5A78" w:rsidRPr="00FB5A78" w:rsidP="00FB5A78" w14:paraId="16EF1999"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b/>
                <w:bCs/>
                <w:color w:val="000000"/>
              </w:rPr>
            </w:pPr>
            <w:r w:rsidRPr="00FB5A78">
              <w:rPr>
                <w:rFonts w:cstheme="minorHAnsi"/>
                <w:color w:val="000000"/>
              </w:rPr>
              <w:t>$0</w:t>
            </w:r>
          </w:p>
        </w:tc>
        <w:tc>
          <w:tcPr>
            <w:tcW w:w="1350" w:type="dxa"/>
            <w:vAlign w:val="center"/>
          </w:tcPr>
          <w:p w:rsidR="00FB5A78" w:rsidRPr="00FB5A78" w:rsidP="00FB5A78" w14:paraId="6DB5AF9D"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p>
        </w:tc>
        <w:tc>
          <w:tcPr>
            <w:tcW w:w="1260" w:type="dxa"/>
            <w:vAlign w:val="center"/>
          </w:tcPr>
          <w:p w:rsidR="00FB5A78" w:rsidRPr="00FB5A78" w:rsidP="00FB5A78" w14:paraId="6E1EFA3E"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p>
        </w:tc>
        <w:tc>
          <w:tcPr>
            <w:tcW w:w="1050" w:type="dxa"/>
            <w:vAlign w:val="center"/>
          </w:tcPr>
          <w:p w:rsidR="00FB5A78" w:rsidRPr="00FB5A78" w:rsidP="00FB5A78" w14:paraId="3572FF0E" w14:textId="77777777">
            <w:pPr>
              <w:pBdr>
                <w:top w:val="single" w:sz="6" w:space="0" w:color="FFFFFF"/>
                <w:left w:val="single" w:sz="6" w:space="0" w:color="FFFFFF"/>
                <w:bottom w:val="single" w:sz="6" w:space="0" w:color="FFFFFF"/>
                <w:right w:val="single" w:sz="6" w:space="0" w:color="FFFFFF"/>
              </w:pBdr>
              <w:spacing w:after="160" w:line="259" w:lineRule="auto"/>
              <w:ind w:left="0" w:firstLine="0"/>
              <w:contextualSpacing/>
              <w:rPr>
                <w:rFonts w:cstheme="minorHAnsi"/>
                <w:color w:val="000000"/>
              </w:rPr>
            </w:pPr>
            <w:r w:rsidRPr="00FB5A78">
              <w:rPr>
                <w:rFonts w:cstheme="minorHAnsi"/>
                <w:color w:val="000000"/>
              </w:rPr>
              <w:t>$16,900</w:t>
            </w:r>
          </w:p>
        </w:tc>
      </w:tr>
    </w:tbl>
    <w:p w:rsidR="00FB5A78" w:rsidRPr="00FB5A78" w:rsidP="00FB5A78" w14:paraId="45488015" w14:textId="77777777">
      <w:pPr>
        <w:numPr>
          <w:ilvl w:val="0"/>
          <w:numId w:val="31"/>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FB5A78">
        <w:rPr>
          <w:rFonts w:cstheme="minorHAnsi"/>
          <w:color w:val="000000"/>
        </w:rPr>
        <w:t>Totals have been rounded to 3 significant figures. Figures may not add exactly due to rounding.</w:t>
      </w:r>
    </w:p>
    <w:p w:rsidR="00FB5A78" w:rsidRPr="00FB5A78" w:rsidP="00FB5A78" w14:paraId="3A9CC2A1"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FB5A78">
        <w:rPr>
          <w:rFonts w:cstheme="minorHAnsi"/>
          <w:color w:val="000000"/>
        </w:rPr>
        <w:t xml:space="preserve">The total capital/startup costs for this ICR are $0. This is the total of column D in the above table. </w:t>
      </w:r>
    </w:p>
    <w:p w:rsidR="00FB5A78" w:rsidRPr="00FB5A78" w:rsidP="00FB5A78" w14:paraId="7456FC26"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FB5A78">
        <w:rPr>
          <w:rFonts w:cstheme="minorHAnsi"/>
          <w:color w:val="000000"/>
        </w:rPr>
        <w:t xml:space="preserve">The total operation and maintenance (O&amp;M) costs for this ICR are $16,900. This is the total of column G. </w:t>
      </w:r>
    </w:p>
    <w:p w:rsidR="00FB5A78" w:rsidRPr="00FB5A78" w:rsidP="00FB5A78" w14:paraId="49B2FA75"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FB5A78">
        <w:rPr>
          <w:rFonts w:cstheme="minorHAnsi"/>
          <w:color w:val="000000"/>
        </w:rPr>
        <w:t>The average annual cost for capital/startup and operation and maintenance costs to industry over the next three years of the ICR is estimated to be $16,900. These are the recordkeeping costs.</w:t>
      </w:r>
    </w:p>
    <w:p w:rsidR="0037362D" w:rsidRPr="0037362D" w:rsidP="0037362D" w14:paraId="344AF276" w14:textId="2781A365">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sz w:val="20"/>
          <w:szCs w:val="20"/>
        </w:rPr>
      </w:pPr>
      <w:r w:rsidRPr="0037362D">
        <w:rPr>
          <w:rFonts w:cstheme="minorHAnsi"/>
          <w:color w:val="000000"/>
          <w:sz w:val="20"/>
          <w:szCs w:val="20"/>
        </w:rPr>
        <w:t xml:space="preserve">. </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0" w:name="_Toc156593387"/>
      <w:r w:rsidRPr="008B3B3E">
        <w:rPr>
          <w:rFonts w:asciiTheme="minorHAnsi" w:hAnsiTheme="minorHAnsi" w:cstheme="minorHAnsi"/>
          <w:b/>
          <w:bCs/>
          <w:color w:val="000000" w:themeColor="text1"/>
          <w:sz w:val="22"/>
          <w:szCs w:val="22"/>
        </w:rPr>
        <w:t xml:space="preserve">AGENCY </w:t>
      </w:r>
      <w:bookmarkStart w:id="21" w:name="_Toc156593388"/>
      <w:bookmarkEnd w:id="20"/>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576146" w:rsidRPr="00576146" w:rsidP="00D33C42" w14:paraId="37320DAB" w14:textId="77777777">
      <w:pPr>
        <w:keepLines/>
        <w:spacing w:line="259" w:lineRule="auto"/>
        <w:ind w:left="0" w:firstLine="0"/>
        <w:rPr>
          <w:rFonts w:cstheme="minorHAnsi"/>
        </w:rPr>
      </w:pPr>
      <w:r w:rsidRPr="00576146">
        <w:rPr>
          <w:rFonts w:cstheme="minorHAnsi"/>
        </w:rPr>
        <w:t>The EPA conducts the following activities in connection with the acquisition, analysis, storage, and distribution of the required information:</w:t>
      </w:r>
    </w:p>
    <w:p w:rsidR="00576146" w:rsidRPr="00576146" w:rsidP="00D33C42" w14:paraId="1F9FE006" w14:textId="77777777">
      <w:pPr>
        <w:pStyle w:val="ListParagraph"/>
        <w:keepLines/>
        <w:numPr>
          <w:ilvl w:val="0"/>
          <w:numId w:val="32"/>
        </w:numPr>
        <w:spacing w:line="259" w:lineRule="auto"/>
        <w:contextualSpacing w:val="0"/>
        <w:rPr>
          <w:rFonts w:cstheme="minorHAnsi"/>
        </w:rPr>
      </w:pPr>
      <w:r w:rsidRPr="00576146">
        <w:rPr>
          <w:rFonts w:cstheme="minorHAnsi"/>
        </w:rPr>
        <w:t>Review notifications and reports, including performance test reports, and excess emissions reports, required to be submitted by industry.</w:t>
      </w:r>
    </w:p>
    <w:p w:rsidR="00576146" w:rsidRPr="00576146" w:rsidP="00D33C42" w14:paraId="5362124E" w14:textId="77777777">
      <w:pPr>
        <w:pStyle w:val="ListParagraph"/>
        <w:keepLines/>
        <w:numPr>
          <w:ilvl w:val="0"/>
          <w:numId w:val="32"/>
        </w:numPr>
        <w:spacing w:line="259" w:lineRule="auto"/>
        <w:contextualSpacing w:val="0"/>
        <w:rPr>
          <w:rFonts w:cstheme="minorHAnsi"/>
        </w:rPr>
      </w:pPr>
      <w:r w:rsidRPr="00576146">
        <w:rPr>
          <w:rFonts w:cstheme="minorHAnsi"/>
        </w:rPr>
        <w:t>Audit facility records.</w:t>
      </w:r>
    </w:p>
    <w:p w:rsidR="00576146" w:rsidP="00D33C42" w14:paraId="22846E96" w14:textId="74652927">
      <w:pPr>
        <w:pStyle w:val="ListParagraph"/>
        <w:keepLines/>
        <w:numPr>
          <w:ilvl w:val="0"/>
          <w:numId w:val="32"/>
        </w:numPr>
        <w:spacing w:line="259" w:lineRule="auto"/>
        <w:contextualSpacing w:val="0"/>
        <w:rPr>
          <w:rFonts w:cstheme="minorHAnsi"/>
        </w:rPr>
      </w:pPr>
      <w:r w:rsidRPr="00576146">
        <w:rPr>
          <w:rFonts w:cstheme="minorHAnsi"/>
        </w:rPr>
        <w:t>Input, analyze, and maintain data in the Enforcement and Compliance History Online (ECHO) and ICIS.</w:t>
      </w:r>
    </w:p>
    <w:p w:rsidR="00D33C42" w:rsidRPr="00D33C42" w:rsidP="00D33C42" w14:paraId="5C46098D" w14:textId="77777777">
      <w:pPr>
        <w:keepLines/>
        <w:spacing w:line="259" w:lineRule="auto"/>
        <w:ind w:left="0" w:firstLine="0"/>
        <w:rPr>
          <w:rFonts w:cstheme="minorHAnsi"/>
        </w:rPr>
      </w:pPr>
      <w:r w:rsidRPr="00D33C42">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both comply with the emission standards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D33C42" w:rsidRPr="00D33C42" w:rsidP="00D33C42" w14:paraId="6017B9D0" w14:textId="77777777">
      <w:pPr>
        <w:keepLines/>
        <w:spacing w:line="259" w:lineRule="auto"/>
        <w:ind w:left="0" w:firstLine="0"/>
        <w:rPr>
          <w:rFonts w:cstheme="minorHAnsi"/>
        </w:rPr>
      </w:pPr>
      <w:r w:rsidRPr="00D33C42">
        <w:rPr>
          <w:rFonts w:cstheme="minorHAnsi"/>
        </w:rPr>
        <w:t>Information contained in the reports is reported by state and local governments in the ICIS Air database, which is operated and maintained by EPA's Office of Compliance. The EPA uses ICIS for tracking air pollution compliance and enforcement by local and state regulatory agencies, EPA’s regional offices, and EPA headquarters. The EPA and its delegated Authorities can edit, store, retrieve and analyze the data.</w:t>
      </w:r>
    </w:p>
    <w:p w:rsidR="00F90987" w:rsidRPr="00F90987" w:rsidP="00D33C42" w14:paraId="3A0A9CA6" w14:textId="2A93767A">
      <w:pPr>
        <w:keepLines/>
        <w:spacing w:line="259" w:lineRule="auto"/>
        <w:rPr>
          <w:rFonts w:cstheme="minorHAnsi"/>
        </w:rPr>
      </w:pPr>
      <w:r w:rsidRPr="00D33C42">
        <w:rPr>
          <w:rFonts w:cstheme="minorHAnsi"/>
        </w:rPr>
        <w:t>The records required by this regulation must be retained by the owner/operator for two years</w:t>
      </w:r>
      <w:r>
        <w:rPr>
          <w:rFonts w:cstheme="minorHAnsi"/>
        </w:rPr>
        <w:t>.</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5665D8" w:rsidRPr="005665D8" w:rsidP="005665D8" w14:paraId="27DFFAE8"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5665D8">
        <w:rPr>
          <w:rFonts w:cstheme="minorHAnsi"/>
          <w:color w:val="000000"/>
        </w:rPr>
        <w:t xml:space="preserve">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w:t>
      </w:r>
    </w:p>
    <w:p w:rsidR="005665D8" w:rsidRPr="005665D8" w:rsidP="005665D8" w14:paraId="3CAC8D88"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5665D8">
        <w:rPr>
          <w:rFonts w:cstheme="minorHAnsi"/>
          <w:color w:val="000000"/>
        </w:rPr>
        <w:t xml:space="preserve">The average annual Agency cost during the three years of the ICR is estimated to be $158,000. </w:t>
      </w:r>
    </w:p>
    <w:p w:rsidR="005665D8" w:rsidRPr="005665D8" w:rsidP="005665D8" w14:paraId="1C6DA9DE"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5665D8">
        <w:rPr>
          <w:rFonts w:cstheme="minorHAnsi"/>
          <w:color w:val="000000"/>
        </w:rPr>
        <w:t>This cost is based on the average hourly labor rate as follows:</w:t>
      </w:r>
    </w:p>
    <w:p w:rsidR="005665D8" w:rsidRPr="005665D8" w:rsidP="005665D8" w14:paraId="2E42317A"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5665D8">
        <w:rPr>
          <w:rFonts w:cstheme="minorHAnsi"/>
          <w:color w:val="000000"/>
        </w:rPr>
        <w:tab/>
      </w:r>
      <w:r w:rsidRPr="005665D8">
        <w:rPr>
          <w:rFonts w:cstheme="minorHAnsi"/>
          <w:color w:val="000000"/>
        </w:rPr>
        <w:tab/>
        <w:t>Managerial</w:t>
      </w:r>
      <w:r w:rsidRPr="005665D8">
        <w:rPr>
          <w:rFonts w:cstheme="minorHAnsi"/>
          <w:color w:val="000000"/>
        </w:rPr>
        <w:tab/>
        <w:t>$70.56 (GS-13, Step 5, $44.10 + 60%)</w:t>
      </w:r>
    </w:p>
    <w:p w:rsidR="005665D8" w:rsidRPr="005665D8" w:rsidP="005665D8" w14:paraId="3C70E365"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5665D8">
        <w:rPr>
          <w:rFonts w:cstheme="minorHAnsi"/>
          <w:color w:val="000000"/>
        </w:rPr>
        <w:tab/>
      </w:r>
      <w:r w:rsidRPr="005665D8">
        <w:rPr>
          <w:rFonts w:cstheme="minorHAnsi"/>
          <w:color w:val="000000"/>
        </w:rPr>
        <w:tab/>
        <w:t>Technical</w:t>
      </w:r>
      <w:r w:rsidRPr="005665D8">
        <w:rPr>
          <w:rFonts w:cstheme="minorHAnsi"/>
          <w:color w:val="000000"/>
        </w:rPr>
        <w:tab/>
        <w:t>$52.37 (GS-12, Step 1, $32.73 + 60%)</w:t>
      </w:r>
    </w:p>
    <w:p w:rsidR="005665D8" w:rsidRPr="005665D8" w:rsidP="005665D8" w14:paraId="51D07DDF"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5665D8">
        <w:rPr>
          <w:rFonts w:cstheme="minorHAnsi"/>
          <w:color w:val="000000"/>
        </w:rPr>
        <w:tab/>
      </w:r>
      <w:r w:rsidRPr="005665D8">
        <w:rPr>
          <w:rFonts w:cstheme="minorHAnsi"/>
          <w:color w:val="000000"/>
        </w:rPr>
        <w:tab/>
        <w:t>Clerical</w:t>
      </w:r>
      <w:r w:rsidRPr="005665D8">
        <w:rPr>
          <w:rFonts w:cstheme="minorHAnsi"/>
          <w:color w:val="000000"/>
        </w:rPr>
        <w:tab/>
        <w:t>$28.34 (GS-6, Step 3, $17.71 + 60%)</w:t>
      </w:r>
    </w:p>
    <w:p w:rsidR="00BB3410" w:rsidP="005665D8" w14:paraId="5BA12778" w14:textId="1166D592">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5665D8">
        <w:rPr>
          <w:rFonts w:cstheme="minorHAnsi"/>
          <w:color w:val="000000"/>
        </w:rPr>
        <w:t>These rates are from the Office of Personnel Management (OPM), 2022 General Schedule, which excludes locality rates of pay. The rates have been increased by 60 percent to account for the benefit packages available to government employees. Details upon which this estimate is based appear at the end of this document in Table: Average Annual EPA Burden and Cost – NSPS for VOC Emissions from Petroleum Refinery Wastewater Systems (40 CFR Part 60, Subpart QQQ) (Renewal).</w:t>
      </w:r>
    </w:p>
    <w:p w:rsidR="00570963" w:rsidRPr="00570963" w:rsidP="00570963" w14:paraId="7020E09F" w14:textId="16E06F10">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570963">
        <w:rPr>
          <w:rFonts w:cstheme="minorHAnsi"/>
          <w:color w:val="000000"/>
        </w:rPr>
        <w:t xml:space="preserve">The average annual Agency burden and cost over next three years is estimated to be 2,390 labor hours at a cost of $158,000. See Table: Average Annual EPA Burden and Cost – NSPS for VOC Emissions from Petroleum Refinery Wastewater Systems (40 CFR Part 60, Subpart QQQ) (Renewal). </w:t>
      </w:r>
    </w:p>
    <w:p w:rsidR="00570963" w:rsidRPr="00570963" w:rsidP="00570963" w14:paraId="5976F18E"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570963">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P="007C3802" w14:paraId="7FCA1ABF" w14:textId="15CDE344">
      <w:pPr>
        <w:spacing w:line="259" w:lineRule="auto"/>
        <w:ind w:left="0" w:firstLine="0"/>
        <w:rPr>
          <w:rFonts w:cstheme="minorHAnsi"/>
        </w:rPr>
      </w:pPr>
      <w:r w:rsidRPr="002A1125">
        <w:rPr>
          <w:rFonts w:cstheme="minorHAnsi"/>
        </w:rPr>
        <w:t>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1"/>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8B3B3E" w:rsidP="00FD032F" w14:paraId="18F76AB6" w14:textId="5C45812B">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themeColor="text1"/>
        </w:rPr>
      </w:pPr>
      <w:r w:rsidRPr="00FD032F">
        <w:rPr>
          <w:rFonts w:cstheme="minorHAnsi"/>
          <w:color w:val="000000" w:themeColor="text1"/>
        </w:rPr>
        <w:t>The adjustment decrease in burden from the most recently approved ICR is due to a decrease in the number of sources. The previous ICR included 149 respondents, while this ICR only includes 130. Petroleum refinery capacities have been declining since 2020, including the associated wastewater systems. This ICR estimated the number of respondents using data collected by the U.S. Energy Information Administration. The decrease in the number of sources also led to a decrease of the Capital and Operation &amp; Maintenance costs. However, the overall increase in total cost is due to the use of updated labor rates. This ICR uses labor rates from the most recent Bureau of Labor Statistics report (September 2021) to calculate respondent burden costs.</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2" w:name="_Toc156593389"/>
      <w:r w:rsidRPr="008B3B3E">
        <w:rPr>
          <w:rFonts w:asciiTheme="minorHAnsi" w:hAnsiTheme="minorHAnsi" w:cstheme="minorHAnsi"/>
          <w:b/>
          <w:bCs/>
          <w:color w:val="000000" w:themeColor="text1"/>
          <w:sz w:val="22"/>
          <w:szCs w:val="22"/>
        </w:rPr>
        <w:t>PUBLICATION OF DATA</w:t>
      </w:r>
      <w:bookmarkStart w:id="23" w:name="_Toc156593390"/>
      <w:bookmarkEnd w:id="22"/>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92EDC" w:rsidP="007D7037" w14:paraId="7DC618BF" w14:textId="33B05019">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highlight w:val="yellow"/>
        </w:rPr>
      </w:pPr>
      <w:r>
        <w:rPr>
          <w:rFonts w:ascii="Calibri" w:hAnsi="Calibri" w:cs="Calibri"/>
          <w:color w:val="444444"/>
          <w:shd w:val="clear" w:color="auto" w:fill="FFFFFF"/>
        </w:rPr>
        <w:t>The Agency does not intend to publish information gathered through this infromation collection.</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3"/>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C11ACE" w14:paraId="38543EA2" w14:textId="2A5321D1">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2709F2">
        <w:rPr>
          <w:rFonts w:cstheme="minorHAnsi"/>
        </w:rPr>
        <w:t>The Agency plans to display the expiration date for OMB approval of the information collection on all instruments.</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4" w:name="_Toc156593391"/>
      <w:r w:rsidRPr="008B3B3E">
        <w:rPr>
          <w:rFonts w:asciiTheme="minorHAnsi" w:hAnsiTheme="minorHAnsi" w:cstheme="minorHAnsi"/>
          <w:b/>
          <w:bCs/>
          <w:color w:val="000000" w:themeColor="text1"/>
          <w:sz w:val="22"/>
          <w:szCs w:val="22"/>
        </w:rPr>
        <w:t>CERTIFICATION STATEMENT</w:t>
      </w:r>
      <w:bookmarkEnd w:id="24"/>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992EDC" w:rsidP="00EC1F16" w14:paraId="2765D073" w14:textId="34A87B6F">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2709F2">
        <w:rPr>
          <w:rFonts w:cstheme="minorHAnsi"/>
        </w:rPr>
        <w:t>This information collection complies with all provisions of the Certification for Paperwork Reduction Act Submissions.</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E77BDA" w:rsidRPr="00E77BDA" w:rsidP="00E77BDA" w14:paraId="319FCF7E" w14:textId="77777777">
      <w:pPr>
        <w:spacing w:line="259" w:lineRule="auto"/>
        <w:ind w:left="0" w:firstLine="0"/>
        <w:rPr>
          <w:rFonts w:cstheme="minorHAnsi"/>
        </w:rPr>
      </w:pPr>
      <w:r w:rsidRPr="00E77BDA">
        <w:rPr>
          <w:rFonts w:cstheme="minorHAnsi"/>
        </w:rPr>
        <w:t>The annual public reporting and recordkeeping burden for this collection of information is estimated to average 34 hours per response. ‘Burden’ means the total time, effort, or financial resources expended by persons to generate, maintain, retain, or disclose or provide information either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previously-applicable instructions and requirements; train personnel to be able to respond to a collection of information; search data sources; complete and review the collection of information; and transmit or otherwise disclose the information.</w:t>
      </w:r>
    </w:p>
    <w:p w:rsidR="00E77BDA" w:rsidRPr="00E77BDA" w:rsidP="00E77BDA" w14:paraId="0D527EE0" w14:textId="77777777">
      <w:pPr>
        <w:spacing w:line="259" w:lineRule="auto"/>
        <w:ind w:left="0" w:firstLine="0"/>
        <w:rPr>
          <w:rFonts w:cstheme="minorHAnsi"/>
        </w:rPr>
      </w:pPr>
      <w:r w:rsidRPr="00E77BDA">
        <w:rPr>
          <w:rFonts w:cstheme="minorHAnsi"/>
        </w:rPr>
        <w:t>An agency may neither conduct nor sponsor, and a person is not required to respond to, a collection of information unless it displays a valid OMB Control Number. The OMB Control Numbers for EPA regulations are listed at 40 CFR Part 9 and 48 CFR Chapter 15.</w:t>
      </w:r>
    </w:p>
    <w:p w:rsidR="00052C16" w:rsidRPr="00052C16" w:rsidP="00E77BDA" w14:paraId="2EB99920" w14:textId="44C8ED5E">
      <w:pPr>
        <w:spacing w:line="259" w:lineRule="auto"/>
        <w:ind w:left="0" w:firstLine="0"/>
        <w:rPr>
          <w:rFonts w:cstheme="minorHAnsi"/>
        </w:rPr>
      </w:pPr>
      <w:r w:rsidRPr="00E77BDA">
        <w:rPr>
          <w:rFonts w:cstheme="minorHAnsi"/>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EPA-HQ-OAR-2022-0068. 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Due to COVID-19 precautions, entry to the Reading Room is available by appointment only. Please contact personnel in the Reading Room to schedule an appointment. The telephone number for the Reading Room is (202) 566-1744, and the telephone number for the docket center is (202) 566-1752. Also, you can send comments to the Office of Information and Regulatory Affairs, Office of Management and Budget, 725 17th Street, NW, Washington, DC 20503, Attention: Desk Officer for EPA. Please include the EPA Docket ID Number EPA-HQ-OAR-2022-0068 and OMB Control Number 2060-0172 in any correspondence.</w:t>
      </w:r>
    </w:p>
    <w:p w:rsidR="00EB3FEB" w:rsidP="00940939" w14:paraId="7C8FAC2A" w14:textId="463A6219">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C68FA" w:rsidRPr="004C68FA" w:rsidP="004C68FA" w14:paraId="3F67050C" w14:textId="66F5D86A">
      <w:pPr>
        <w:ind w:left="0" w:firstLine="0"/>
      </w:pPr>
      <w:r>
        <w:t xml:space="preserve">See listed Tables on following pages. </w:t>
      </w:r>
    </w:p>
    <w:p w:rsidR="00E33A3C" w:rsidP="00940939" w14:paraId="30530947" w14:textId="77777777">
      <w:pPr>
        <w:pStyle w:val="ListParagraph"/>
        <w:spacing w:line="240" w:lineRule="auto"/>
        <w:ind w:left="0" w:firstLine="0"/>
        <w:jc w:val="both"/>
        <w:rPr>
          <w:rFonts w:cstheme="minorHAnsi"/>
        </w:rPr>
        <w:sectPr w:rsidSect="000A1353">
          <w:footerReference w:type="default" r:id="rId9"/>
          <w:pgSz w:w="12240" w:h="15840"/>
          <w:pgMar w:top="1440" w:right="1440" w:bottom="1440" w:left="1440" w:header="720" w:footer="720" w:gutter="0"/>
          <w:cols w:space="720"/>
          <w:docGrid w:linePitch="360"/>
        </w:sectPr>
      </w:pPr>
    </w:p>
    <w:p w:rsidR="001356D0" w:rsidRPr="001356D0" w:rsidP="001356D0" w14:paraId="7E88F8A9" w14:textId="709FCD0B">
      <w:pPr>
        <w:pStyle w:val="ListParagraph"/>
        <w:jc w:val="both"/>
        <w:rPr>
          <w:rFonts w:cstheme="minorHAnsi"/>
        </w:rPr>
      </w:pPr>
      <w:r w:rsidRPr="001356D0">
        <w:rPr>
          <w:rFonts w:cstheme="minorHAnsi"/>
          <w:b/>
          <w:bCs/>
        </w:rPr>
        <w:t xml:space="preserve">Table: Annual Respondent Burden and Cost – NSPS for VOC Emissions from Petroleum Refinery Wastewater Systems (40 CFR Part 60, Subpart QQQ) (Renewal) </w:t>
      </w:r>
    </w:p>
    <w:tbl>
      <w:tblPr>
        <w:tblW w:w="13264" w:type="dxa"/>
        <w:tblLook w:val="04A0"/>
      </w:tblPr>
      <w:tblGrid>
        <w:gridCol w:w="4315"/>
        <w:gridCol w:w="1133"/>
        <w:gridCol w:w="1213"/>
        <w:gridCol w:w="1175"/>
        <w:gridCol w:w="1296"/>
        <w:gridCol w:w="1005"/>
        <w:gridCol w:w="1332"/>
        <w:gridCol w:w="859"/>
        <w:gridCol w:w="1229"/>
      </w:tblGrid>
      <w:tr w14:paraId="68AC850F" w14:textId="77777777" w:rsidTr="00C97D0B">
        <w:tblPrEx>
          <w:tblW w:w="13264" w:type="dxa"/>
          <w:tblLook w:val="04A0"/>
        </w:tblPrEx>
        <w:trPr>
          <w:trHeight w:val="1530"/>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56D0" w:rsidRPr="001356D0" w:rsidP="001356D0" w14:paraId="12670B0E"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Burden item</w:t>
            </w:r>
          </w:p>
        </w:tc>
        <w:tc>
          <w:tcPr>
            <w:tcW w:w="1094" w:type="dxa"/>
            <w:tcBorders>
              <w:top w:val="single" w:sz="4" w:space="0" w:color="auto"/>
              <w:left w:val="nil"/>
              <w:bottom w:val="single" w:sz="4" w:space="0" w:color="auto"/>
              <w:right w:val="single" w:sz="4" w:space="0" w:color="auto"/>
            </w:tcBorders>
            <w:shd w:val="clear" w:color="auto" w:fill="auto"/>
            <w:hideMark/>
          </w:tcPr>
          <w:p w:rsidR="001356D0" w:rsidRPr="001356D0" w:rsidP="001356D0" w14:paraId="161FDDB2" w14:textId="77777777">
            <w:pPr>
              <w:spacing w:after="0" w:line="240" w:lineRule="auto"/>
              <w:ind w:left="0" w:firstLine="0"/>
              <w:jc w:val="center"/>
              <w:rPr>
                <w:rFonts w:eastAsia="Times New Roman" w:cstheme="minorHAnsi"/>
                <w:b/>
                <w:bCs/>
                <w:sz w:val="20"/>
                <w:szCs w:val="20"/>
              </w:rPr>
            </w:pPr>
            <w:r w:rsidRPr="001356D0">
              <w:rPr>
                <w:rFonts w:eastAsia="Times New Roman" w:cstheme="minorHAnsi"/>
                <w:b/>
                <w:bCs/>
                <w:sz w:val="20"/>
                <w:szCs w:val="20"/>
              </w:rPr>
              <w:t xml:space="preserve">(A) </w:t>
            </w:r>
            <w:r w:rsidRPr="001356D0">
              <w:rPr>
                <w:rFonts w:eastAsia="Times New Roman" w:cstheme="minorHAnsi"/>
                <w:b/>
                <w:bCs/>
                <w:sz w:val="20"/>
                <w:szCs w:val="20"/>
              </w:rPr>
              <w:br/>
              <w:t>Person- hours per occurrence</w:t>
            </w:r>
          </w:p>
        </w:tc>
        <w:tc>
          <w:tcPr>
            <w:tcW w:w="1171" w:type="dxa"/>
            <w:tcBorders>
              <w:top w:val="single" w:sz="4" w:space="0" w:color="auto"/>
              <w:left w:val="nil"/>
              <w:bottom w:val="single" w:sz="4" w:space="0" w:color="auto"/>
              <w:right w:val="single" w:sz="4" w:space="0" w:color="auto"/>
            </w:tcBorders>
            <w:shd w:val="clear" w:color="auto" w:fill="auto"/>
            <w:hideMark/>
          </w:tcPr>
          <w:p w:rsidR="001356D0" w:rsidRPr="001356D0" w:rsidP="001356D0" w14:paraId="5F88C5B0" w14:textId="77777777">
            <w:pPr>
              <w:spacing w:after="0" w:line="240" w:lineRule="auto"/>
              <w:ind w:left="0" w:firstLine="0"/>
              <w:jc w:val="center"/>
              <w:rPr>
                <w:rFonts w:eastAsia="Times New Roman" w:cstheme="minorHAnsi"/>
                <w:b/>
                <w:bCs/>
                <w:sz w:val="20"/>
                <w:szCs w:val="20"/>
              </w:rPr>
            </w:pPr>
            <w:r w:rsidRPr="001356D0">
              <w:rPr>
                <w:rFonts w:eastAsia="Times New Roman" w:cstheme="minorHAnsi"/>
                <w:b/>
                <w:bCs/>
                <w:sz w:val="20"/>
                <w:szCs w:val="20"/>
              </w:rPr>
              <w:t xml:space="preserve">(B) </w:t>
            </w:r>
            <w:r w:rsidRPr="001356D0">
              <w:rPr>
                <w:rFonts w:eastAsia="Times New Roman" w:cstheme="minorHAnsi"/>
                <w:b/>
                <w:bCs/>
                <w:sz w:val="20"/>
                <w:szCs w:val="20"/>
              </w:rPr>
              <w:br/>
              <w:t>No. of occurrences per respondent per year</w:t>
            </w:r>
          </w:p>
        </w:tc>
        <w:tc>
          <w:tcPr>
            <w:tcW w:w="1094" w:type="dxa"/>
            <w:tcBorders>
              <w:top w:val="single" w:sz="4" w:space="0" w:color="auto"/>
              <w:left w:val="nil"/>
              <w:bottom w:val="single" w:sz="4" w:space="0" w:color="auto"/>
              <w:right w:val="single" w:sz="4" w:space="0" w:color="auto"/>
            </w:tcBorders>
            <w:shd w:val="clear" w:color="auto" w:fill="auto"/>
            <w:hideMark/>
          </w:tcPr>
          <w:p w:rsidR="001356D0" w:rsidRPr="001356D0" w:rsidP="001356D0" w14:paraId="1D14CA7B" w14:textId="77777777">
            <w:pPr>
              <w:spacing w:after="0" w:line="240" w:lineRule="auto"/>
              <w:ind w:left="0" w:firstLine="0"/>
              <w:jc w:val="center"/>
              <w:rPr>
                <w:rFonts w:eastAsia="Times New Roman" w:cstheme="minorHAnsi"/>
                <w:b/>
                <w:bCs/>
                <w:sz w:val="20"/>
                <w:szCs w:val="20"/>
              </w:rPr>
            </w:pPr>
            <w:r w:rsidRPr="001356D0">
              <w:rPr>
                <w:rFonts w:eastAsia="Times New Roman" w:cstheme="minorHAnsi"/>
                <w:b/>
                <w:bCs/>
                <w:sz w:val="20"/>
                <w:szCs w:val="20"/>
              </w:rPr>
              <w:t xml:space="preserve">(C) </w:t>
            </w:r>
            <w:r w:rsidRPr="001356D0">
              <w:rPr>
                <w:rFonts w:eastAsia="Times New Roman" w:cstheme="minorHAnsi"/>
                <w:b/>
                <w:bCs/>
                <w:sz w:val="20"/>
                <w:szCs w:val="20"/>
              </w:rPr>
              <w:br/>
              <w:t>Person- hours per respondent per year (C=AxB)</w:t>
            </w:r>
          </w:p>
        </w:tc>
        <w:tc>
          <w:tcPr>
            <w:tcW w:w="1239" w:type="dxa"/>
            <w:tcBorders>
              <w:top w:val="single" w:sz="4" w:space="0" w:color="auto"/>
              <w:left w:val="nil"/>
              <w:bottom w:val="single" w:sz="4" w:space="0" w:color="auto"/>
              <w:right w:val="single" w:sz="4" w:space="0" w:color="auto"/>
            </w:tcBorders>
            <w:shd w:val="clear" w:color="auto" w:fill="auto"/>
            <w:hideMark/>
          </w:tcPr>
          <w:p w:rsidR="001356D0" w:rsidRPr="001356D0" w:rsidP="001356D0" w14:paraId="41A8867B" w14:textId="77777777">
            <w:pPr>
              <w:spacing w:after="0" w:line="240" w:lineRule="auto"/>
              <w:ind w:left="0" w:firstLine="0"/>
              <w:jc w:val="center"/>
              <w:rPr>
                <w:rFonts w:eastAsia="Times New Roman" w:cstheme="minorHAnsi"/>
                <w:b/>
                <w:bCs/>
                <w:sz w:val="20"/>
                <w:szCs w:val="20"/>
              </w:rPr>
            </w:pPr>
            <w:r w:rsidRPr="001356D0">
              <w:rPr>
                <w:rFonts w:eastAsia="Times New Roman" w:cstheme="minorHAnsi"/>
                <w:b/>
                <w:bCs/>
                <w:sz w:val="20"/>
                <w:szCs w:val="20"/>
              </w:rPr>
              <w:t xml:space="preserve">(D) Respondents </w:t>
            </w:r>
            <w:r w:rsidRPr="001356D0">
              <w:rPr>
                <w:rFonts w:eastAsia="Times New Roman" w:cstheme="minorHAnsi"/>
                <w:b/>
                <w:bCs/>
                <w:sz w:val="20"/>
                <w:szCs w:val="20"/>
              </w:rPr>
              <w:br/>
              <w:t xml:space="preserve">per year </w:t>
            </w:r>
            <w:r w:rsidRPr="001356D0">
              <w:rPr>
                <w:rFonts w:eastAsia="Times New Roman" w:cstheme="minorHAnsi"/>
                <w:b/>
                <w:bCs/>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hideMark/>
          </w:tcPr>
          <w:p w:rsidR="001356D0" w:rsidRPr="001356D0" w:rsidP="001356D0" w14:paraId="793C068E" w14:textId="77777777">
            <w:pPr>
              <w:spacing w:after="0" w:line="240" w:lineRule="auto"/>
              <w:ind w:left="0" w:firstLine="0"/>
              <w:jc w:val="center"/>
              <w:rPr>
                <w:rFonts w:eastAsia="Times New Roman" w:cstheme="minorHAnsi"/>
                <w:b/>
                <w:bCs/>
                <w:sz w:val="20"/>
                <w:szCs w:val="20"/>
              </w:rPr>
            </w:pPr>
            <w:r w:rsidRPr="001356D0">
              <w:rPr>
                <w:rFonts w:eastAsia="Times New Roman" w:cstheme="minorHAnsi"/>
                <w:b/>
                <w:bCs/>
                <w:sz w:val="20"/>
                <w:szCs w:val="20"/>
              </w:rPr>
              <w:t>(E) Technical person- hours per year (E=CxD)</w:t>
            </w:r>
          </w:p>
        </w:tc>
        <w:tc>
          <w:tcPr>
            <w:tcW w:w="1261" w:type="dxa"/>
            <w:tcBorders>
              <w:top w:val="single" w:sz="4" w:space="0" w:color="auto"/>
              <w:left w:val="nil"/>
              <w:bottom w:val="single" w:sz="4" w:space="0" w:color="auto"/>
              <w:right w:val="single" w:sz="4" w:space="0" w:color="auto"/>
            </w:tcBorders>
            <w:shd w:val="clear" w:color="auto" w:fill="auto"/>
            <w:hideMark/>
          </w:tcPr>
          <w:p w:rsidR="001356D0" w:rsidRPr="001356D0" w:rsidP="001356D0" w14:paraId="0ED468AE" w14:textId="77777777">
            <w:pPr>
              <w:spacing w:after="0" w:line="240" w:lineRule="auto"/>
              <w:ind w:left="0" w:firstLine="0"/>
              <w:jc w:val="center"/>
              <w:rPr>
                <w:rFonts w:eastAsia="Times New Roman" w:cstheme="minorHAnsi"/>
                <w:b/>
                <w:bCs/>
                <w:sz w:val="20"/>
                <w:szCs w:val="20"/>
              </w:rPr>
            </w:pPr>
            <w:r w:rsidRPr="001356D0">
              <w:rPr>
                <w:rFonts w:eastAsia="Times New Roman" w:cstheme="minorHAnsi"/>
                <w:b/>
                <w:bCs/>
                <w:sz w:val="20"/>
                <w:szCs w:val="20"/>
              </w:rPr>
              <w:t>(F) Management person-hours per year (Ex0.05)</w:t>
            </w:r>
          </w:p>
        </w:tc>
        <w:tc>
          <w:tcPr>
            <w:tcW w:w="859" w:type="dxa"/>
            <w:tcBorders>
              <w:top w:val="single" w:sz="4" w:space="0" w:color="auto"/>
              <w:left w:val="nil"/>
              <w:bottom w:val="single" w:sz="4" w:space="0" w:color="auto"/>
              <w:right w:val="single" w:sz="4" w:space="0" w:color="auto"/>
            </w:tcBorders>
            <w:shd w:val="clear" w:color="auto" w:fill="auto"/>
            <w:hideMark/>
          </w:tcPr>
          <w:p w:rsidR="001356D0" w:rsidRPr="001356D0" w:rsidP="001356D0" w14:paraId="05C08EB1" w14:textId="77777777">
            <w:pPr>
              <w:spacing w:after="0" w:line="240" w:lineRule="auto"/>
              <w:ind w:left="0" w:firstLine="0"/>
              <w:jc w:val="center"/>
              <w:rPr>
                <w:rFonts w:eastAsia="Times New Roman" w:cstheme="minorHAnsi"/>
                <w:b/>
                <w:bCs/>
                <w:sz w:val="20"/>
                <w:szCs w:val="20"/>
              </w:rPr>
            </w:pPr>
            <w:r w:rsidRPr="001356D0">
              <w:rPr>
                <w:rFonts w:eastAsia="Times New Roman" w:cstheme="minorHAnsi"/>
                <w:b/>
                <w:bCs/>
                <w:sz w:val="20"/>
                <w:szCs w:val="20"/>
              </w:rPr>
              <w:t xml:space="preserve">(G) </w:t>
            </w:r>
            <w:r w:rsidRPr="001356D0">
              <w:rPr>
                <w:rFonts w:eastAsia="Times New Roman" w:cstheme="minorHAnsi"/>
                <w:b/>
                <w:bCs/>
                <w:sz w:val="20"/>
                <w:szCs w:val="20"/>
              </w:rPr>
              <w:br/>
              <w:t>Clerical person-hours per year (Ex0.1)</w:t>
            </w:r>
          </w:p>
        </w:tc>
        <w:tc>
          <w:tcPr>
            <w:tcW w:w="1216" w:type="dxa"/>
            <w:tcBorders>
              <w:top w:val="single" w:sz="4" w:space="0" w:color="auto"/>
              <w:left w:val="nil"/>
              <w:bottom w:val="single" w:sz="4" w:space="0" w:color="auto"/>
              <w:right w:val="single" w:sz="4" w:space="0" w:color="auto"/>
            </w:tcBorders>
            <w:shd w:val="clear" w:color="auto" w:fill="auto"/>
            <w:hideMark/>
          </w:tcPr>
          <w:p w:rsidR="001356D0" w:rsidRPr="001356D0" w:rsidP="001356D0" w14:paraId="472EC79C" w14:textId="77777777">
            <w:pPr>
              <w:spacing w:after="0" w:line="240" w:lineRule="auto"/>
              <w:ind w:left="0" w:firstLine="0"/>
              <w:jc w:val="center"/>
              <w:rPr>
                <w:rFonts w:eastAsia="Times New Roman" w:cstheme="minorHAnsi"/>
                <w:b/>
                <w:bCs/>
                <w:sz w:val="20"/>
                <w:szCs w:val="20"/>
              </w:rPr>
            </w:pPr>
            <w:r w:rsidRPr="001356D0">
              <w:rPr>
                <w:rFonts w:eastAsia="Times New Roman" w:cstheme="minorHAnsi"/>
                <w:b/>
                <w:bCs/>
                <w:sz w:val="20"/>
                <w:szCs w:val="20"/>
              </w:rPr>
              <w:t xml:space="preserve">(H) </w:t>
            </w:r>
            <w:r w:rsidRPr="001356D0">
              <w:rPr>
                <w:rFonts w:eastAsia="Times New Roman" w:cstheme="minorHAnsi"/>
                <w:b/>
                <w:bCs/>
                <w:sz w:val="20"/>
                <w:szCs w:val="20"/>
              </w:rPr>
              <w:br/>
              <w:t xml:space="preserve">Cost </w:t>
            </w:r>
            <w:r w:rsidRPr="001356D0">
              <w:rPr>
                <w:rFonts w:eastAsia="Times New Roman" w:cstheme="minorHAnsi"/>
                <w:b/>
                <w:bCs/>
                <w:sz w:val="20"/>
                <w:szCs w:val="20"/>
                <w:vertAlign w:val="superscript"/>
              </w:rPr>
              <w:t>(b)</w:t>
            </w:r>
            <w:r w:rsidRPr="001356D0">
              <w:rPr>
                <w:rFonts w:eastAsia="Times New Roman" w:cstheme="minorHAnsi"/>
                <w:b/>
                <w:bCs/>
                <w:sz w:val="20"/>
                <w:szCs w:val="20"/>
              </w:rPr>
              <w:t xml:space="preserve"> </w:t>
            </w:r>
          </w:p>
        </w:tc>
      </w:tr>
      <w:tr w14:paraId="03DED0D8"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3D79850A"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rPr>
              <w:t>1. Applications</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6D0" w:rsidRPr="001356D0" w:rsidP="001356D0" w14:paraId="79F19C62"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N/A</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1356D0" w:rsidRPr="001356D0" w:rsidP="001356D0" w14:paraId="45094DF1"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rsidR="001356D0" w:rsidRPr="001356D0" w:rsidP="001356D0" w14:paraId="10FFF796"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rsidR="001356D0" w:rsidRPr="001356D0" w:rsidP="001356D0" w14:paraId="46C9F196"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1356D0" w:rsidRPr="001356D0" w:rsidP="001356D0" w14:paraId="4C45D4E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1356D0" w:rsidRPr="001356D0" w:rsidP="001356D0" w14:paraId="2E05210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1356D0" w:rsidRPr="001356D0" w:rsidP="001356D0" w14:paraId="15D08FC4"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1356D0" w:rsidRPr="001356D0" w:rsidP="001356D0" w14:paraId="7D280899"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 </w:t>
            </w:r>
          </w:p>
        </w:tc>
      </w:tr>
      <w:tr w14:paraId="1EED9F5A"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15FE9A4E"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rPr>
              <w:t>2. Survey and Studies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63725FC6"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5D12D0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4B980A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B8913A1"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4C2F196"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5BAE92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E8E3E1B"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1F13E3F"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 </w:t>
            </w:r>
          </w:p>
        </w:tc>
      </w:tr>
      <w:tr w14:paraId="6EDA304A"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1D06F679"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rPr>
              <w:t>3. Reporting requirements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2F2A41F8"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331A1E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21D20D1"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5280BC1B"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FBD41E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A9642EB"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191D87C"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32ADFD8"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 </w:t>
            </w:r>
          </w:p>
        </w:tc>
      </w:tr>
      <w:tr w14:paraId="3663E572" w14:textId="77777777" w:rsidTr="00C97D0B">
        <w:tblPrEx>
          <w:tblW w:w="13264" w:type="dxa"/>
          <w:tblLook w:val="04A0"/>
        </w:tblPrEx>
        <w:trPr>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437B8A62" w14:textId="77777777">
            <w:pPr>
              <w:spacing w:after="0" w:line="240" w:lineRule="auto"/>
              <w:ind w:left="0" w:firstLine="200" w:firstLineChars="100"/>
              <w:rPr>
                <w:rFonts w:eastAsia="Times New Roman" w:cstheme="minorHAnsi"/>
                <w:sz w:val="20"/>
                <w:szCs w:val="20"/>
              </w:rPr>
            </w:pPr>
            <w:r w:rsidRPr="001356D0">
              <w:rPr>
                <w:rFonts w:eastAsia="Times New Roman" w:cstheme="minorHAnsi"/>
                <w:sz w:val="20"/>
                <w:szCs w:val="20"/>
              </w:rPr>
              <w:t xml:space="preserve">A. Familiarize with regulatory requirements </w:t>
            </w:r>
            <w:r w:rsidRPr="001356D0">
              <w:rPr>
                <w:rFonts w:eastAsia="Times New Roman" w:cstheme="minorHAnsi"/>
                <w:sz w:val="20"/>
                <w:szCs w:val="20"/>
                <w:vertAlign w:val="superscript"/>
              </w:rPr>
              <w:t>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7578A30C"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013EE3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7A641F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03E85D8"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130</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9A15768"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260</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DA3038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13</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1CA33B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26</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52EFB1A"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$44,213.99 </w:t>
            </w:r>
          </w:p>
        </w:tc>
      </w:tr>
      <w:tr w14:paraId="20128115"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31661E75" w14:textId="77777777">
            <w:pPr>
              <w:spacing w:after="0" w:line="240" w:lineRule="auto"/>
              <w:ind w:left="0" w:firstLine="200" w:firstLineChars="100"/>
              <w:rPr>
                <w:rFonts w:eastAsia="Times New Roman" w:cstheme="minorHAnsi"/>
                <w:sz w:val="20"/>
                <w:szCs w:val="20"/>
              </w:rPr>
            </w:pPr>
            <w:r w:rsidRPr="001356D0">
              <w:rPr>
                <w:rFonts w:eastAsia="Times New Roman" w:cstheme="minorHAnsi"/>
                <w:sz w:val="20"/>
                <w:szCs w:val="20"/>
              </w:rPr>
              <w:t>B. Required activities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35AB3264"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3B8EF8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8CA200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D3A99E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C2F476D"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CD3FAE2"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B4CAB9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75F5A27"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w:t>
            </w:r>
          </w:p>
        </w:tc>
      </w:tr>
      <w:tr w14:paraId="6561C025" w14:textId="77777777" w:rsidTr="00C97D0B">
        <w:tblPrEx>
          <w:tblW w:w="13264" w:type="dxa"/>
          <w:tblLook w:val="04A0"/>
        </w:tblPrEx>
        <w:trPr>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00EEC04D" w14:textId="77777777">
            <w:pPr>
              <w:spacing w:after="0" w:line="240" w:lineRule="auto"/>
              <w:ind w:left="0" w:firstLine="400" w:firstLineChars="200"/>
              <w:rPr>
                <w:rFonts w:eastAsia="Times New Roman" w:cstheme="minorHAnsi"/>
                <w:sz w:val="20"/>
                <w:szCs w:val="20"/>
              </w:rPr>
            </w:pPr>
            <w:r w:rsidRPr="001356D0">
              <w:rPr>
                <w:rFonts w:eastAsia="Times New Roman" w:cstheme="minorHAnsi"/>
                <w:sz w:val="20"/>
                <w:szCs w:val="20"/>
              </w:rPr>
              <w:t xml:space="preserve">Inspect drain systems </w:t>
            </w:r>
            <w:r w:rsidRPr="001356D0">
              <w:rPr>
                <w:rFonts w:eastAsia="Times New Roman" w:cstheme="minorHAnsi"/>
                <w:sz w:val="20"/>
                <w:szCs w:val="20"/>
                <w:vertAlign w:val="superscript"/>
              </w:rPr>
              <w:t>d</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6253E9E4"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840B834"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12</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5E7892A"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24</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E860E23"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130</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7D9348D"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3,120</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2C1C4EA"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156</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EAC079E"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312</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8AD2498"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$530,567.86 </w:t>
            </w:r>
          </w:p>
        </w:tc>
      </w:tr>
      <w:tr w14:paraId="5F3AECD2" w14:textId="77777777" w:rsidTr="00C97D0B">
        <w:tblPrEx>
          <w:tblW w:w="13264" w:type="dxa"/>
          <w:tblLook w:val="04A0"/>
        </w:tblPrEx>
        <w:trPr>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72153EFA" w14:textId="77777777">
            <w:pPr>
              <w:spacing w:after="0" w:line="240" w:lineRule="auto"/>
              <w:ind w:left="0" w:firstLine="400" w:firstLineChars="200"/>
              <w:rPr>
                <w:rFonts w:eastAsia="Times New Roman" w:cstheme="minorHAnsi"/>
                <w:sz w:val="20"/>
                <w:szCs w:val="20"/>
              </w:rPr>
            </w:pPr>
            <w:r w:rsidRPr="001356D0">
              <w:rPr>
                <w:rFonts w:eastAsia="Times New Roman" w:cstheme="minorHAnsi"/>
                <w:sz w:val="20"/>
                <w:szCs w:val="20"/>
              </w:rPr>
              <w:t xml:space="preserve">Inspect oil-water separators </w:t>
            </w:r>
            <w:r w:rsidRPr="001356D0">
              <w:rPr>
                <w:rFonts w:eastAsia="Times New Roman" w:cstheme="minorHAnsi"/>
                <w:sz w:val="20"/>
                <w:szCs w:val="20"/>
                <w:vertAlign w:val="superscript"/>
              </w:rPr>
              <w:t>e</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341E0078"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8</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E04DAF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B518B6E"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16</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25EAFF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130</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5904DC6"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2,080</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C0478A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104</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29467D8"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208</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52609B84"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$353,711.90 </w:t>
            </w:r>
          </w:p>
        </w:tc>
      </w:tr>
      <w:tr w14:paraId="564751C6" w14:textId="77777777" w:rsidTr="00C97D0B">
        <w:tblPrEx>
          <w:tblW w:w="13264" w:type="dxa"/>
          <w:tblLook w:val="04A0"/>
        </w:tblPrEx>
        <w:trPr>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729C1445" w14:textId="77777777">
            <w:pPr>
              <w:spacing w:after="0" w:line="240" w:lineRule="auto"/>
              <w:ind w:left="0" w:firstLine="400" w:firstLineChars="200"/>
              <w:rPr>
                <w:rFonts w:eastAsia="Times New Roman" w:cstheme="minorHAnsi"/>
                <w:sz w:val="20"/>
                <w:szCs w:val="20"/>
              </w:rPr>
            </w:pPr>
            <w:r w:rsidRPr="001356D0">
              <w:rPr>
                <w:rFonts w:eastAsia="Times New Roman" w:cstheme="minorHAnsi"/>
                <w:sz w:val="20"/>
                <w:szCs w:val="20"/>
              </w:rPr>
              <w:t xml:space="preserve">Performance test </w:t>
            </w:r>
            <w:r w:rsidRPr="001356D0">
              <w:rPr>
                <w:rFonts w:eastAsia="Times New Roman" w:cstheme="minorHAnsi"/>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68C28F0E"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330</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AF6ECD2"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DE7FAD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330</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7901AE7"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E64B3E2"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855C622"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D9EE8C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4561A99"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$0 </w:t>
            </w:r>
          </w:p>
        </w:tc>
      </w:tr>
      <w:tr w14:paraId="6BAB5B21"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0918EBE1" w14:textId="77777777">
            <w:pPr>
              <w:spacing w:after="0" w:line="240" w:lineRule="auto"/>
              <w:ind w:left="0" w:firstLine="200" w:firstLineChars="100"/>
              <w:rPr>
                <w:rFonts w:eastAsia="Times New Roman" w:cstheme="minorHAnsi"/>
                <w:sz w:val="20"/>
                <w:szCs w:val="20"/>
              </w:rPr>
            </w:pPr>
            <w:r w:rsidRPr="001356D0">
              <w:rPr>
                <w:rFonts w:eastAsia="Times New Roman" w:cstheme="minorHAnsi"/>
                <w:sz w:val="20"/>
                <w:szCs w:val="20"/>
              </w:rPr>
              <w:t xml:space="preserve"> C. Create information </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1C1DCD24"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See 3B</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E538C9C"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6460ECC"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8B25E9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DE355FE"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566BF46"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1C4BDA4"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3AC14EB"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w:t>
            </w:r>
          </w:p>
        </w:tc>
      </w:tr>
      <w:tr w14:paraId="0B10DD46"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27D3E013" w14:textId="77777777">
            <w:pPr>
              <w:spacing w:after="0" w:line="240" w:lineRule="auto"/>
              <w:ind w:left="0" w:firstLine="200" w:firstLineChars="100"/>
              <w:rPr>
                <w:rFonts w:eastAsia="Times New Roman" w:cstheme="minorHAnsi"/>
                <w:sz w:val="20"/>
                <w:szCs w:val="20"/>
              </w:rPr>
            </w:pPr>
            <w:r w:rsidRPr="001356D0">
              <w:rPr>
                <w:rFonts w:eastAsia="Times New Roman" w:cstheme="minorHAnsi"/>
                <w:sz w:val="20"/>
                <w:szCs w:val="20"/>
              </w:rPr>
              <w:t xml:space="preserve"> D. Gather existing information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0647FFB7"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See 3E</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329B58C"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22679D3"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591C75C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3E05E17"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18674AB"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5E369591"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F14C685"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w:t>
            </w:r>
          </w:p>
        </w:tc>
      </w:tr>
      <w:tr w14:paraId="0D8B811F"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21056AC6" w14:textId="77777777">
            <w:pPr>
              <w:spacing w:after="0" w:line="240" w:lineRule="auto"/>
              <w:ind w:left="0" w:firstLine="200" w:firstLineChars="100"/>
              <w:rPr>
                <w:rFonts w:eastAsia="Times New Roman" w:cstheme="minorHAnsi"/>
                <w:sz w:val="20"/>
                <w:szCs w:val="20"/>
              </w:rPr>
            </w:pPr>
            <w:r w:rsidRPr="001356D0">
              <w:rPr>
                <w:rFonts w:eastAsia="Times New Roman" w:cstheme="minorHAnsi"/>
                <w:sz w:val="20"/>
                <w:szCs w:val="20"/>
              </w:rPr>
              <w:t xml:space="preserve"> E. Write report </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67DDE513"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6A9FE1E"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286942D"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FEF3C9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7F365B1"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F90E7C7"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518AB24"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E6A42A5"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w:t>
            </w:r>
          </w:p>
        </w:tc>
      </w:tr>
      <w:tr w14:paraId="284F87D5" w14:textId="77777777" w:rsidTr="00C97D0B">
        <w:tblPrEx>
          <w:tblW w:w="13264" w:type="dxa"/>
          <w:tblLook w:val="04A0"/>
        </w:tblPrEx>
        <w:trPr>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3BE5392F" w14:textId="77777777">
            <w:pPr>
              <w:spacing w:after="0" w:line="240" w:lineRule="auto"/>
              <w:ind w:left="0" w:firstLine="400" w:firstLineChars="200"/>
              <w:rPr>
                <w:rFonts w:eastAsia="Times New Roman" w:cstheme="minorHAnsi"/>
                <w:sz w:val="20"/>
                <w:szCs w:val="20"/>
              </w:rPr>
            </w:pPr>
            <w:r w:rsidRPr="001356D0">
              <w:rPr>
                <w:rFonts w:eastAsia="Times New Roman" w:cstheme="minorHAnsi"/>
                <w:sz w:val="20"/>
                <w:szCs w:val="20"/>
              </w:rPr>
              <w:t xml:space="preserve">Notification of construction/reconstruction </w:t>
            </w:r>
            <w:r w:rsidRPr="001356D0">
              <w:rPr>
                <w:rFonts w:eastAsia="Times New Roman" w:cstheme="minorHAnsi"/>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63CF9F62"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F224E3D"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5220599E"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E1AEBF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9DB86AD"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5CA5ECE"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FA3FB6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0EF52FC"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$0 </w:t>
            </w:r>
          </w:p>
        </w:tc>
      </w:tr>
      <w:tr w14:paraId="39F9371A" w14:textId="77777777" w:rsidTr="00C97D0B">
        <w:tblPrEx>
          <w:tblW w:w="13264" w:type="dxa"/>
          <w:tblLook w:val="04A0"/>
        </w:tblPrEx>
        <w:trPr>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0E1ABAA4" w14:textId="77777777">
            <w:pPr>
              <w:spacing w:after="0" w:line="240" w:lineRule="auto"/>
              <w:ind w:left="0" w:firstLine="400" w:firstLineChars="200"/>
              <w:rPr>
                <w:rFonts w:eastAsia="Times New Roman" w:cstheme="minorHAnsi"/>
                <w:sz w:val="20"/>
                <w:szCs w:val="20"/>
              </w:rPr>
            </w:pPr>
            <w:r w:rsidRPr="001356D0">
              <w:rPr>
                <w:rFonts w:eastAsia="Times New Roman" w:cstheme="minorHAnsi"/>
                <w:sz w:val="20"/>
                <w:szCs w:val="20"/>
              </w:rPr>
              <w:t xml:space="preserve">Notification of modification </w:t>
            </w:r>
            <w:r w:rsidRPr="001356D0">
              <w:rPr>
                <w:rFonts w:eastAsia="Times New Roman" w:cstheme="minorHAnsi"/>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3276EB43"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72C4056"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7ACD24D"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5C0C8A2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81C93CB"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B5EB13B"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AC2002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F8C71DF"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$0 </w:t>
            </w:r>
          </w:p>
        </w:tc>
      </w:tr>
      <w:tr w14:paraId="0C816C37" w14:textId="77777777" w:rsidTr="00C97D0B">
        <w:tblPrEx>
          <w:tblW w:w="13264" w:type="dxa"/>
          <w:tblLook w:val="04A0"/>
        </w:tblPrEx>
        <w:trPr>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28C3B80A" w14:textId="77777777">
            <w:pPr>
              <w:spacing w:after="0" w:line="240" w:lineRule="auto"/>
              <w:ind w:left="0" w:firstLine="400" w:firstLineChars="200"/>
              <w:rPr>
                <w:rFonts w:eastAsia="Times New Roman" w:cstheme="minorHAnsi"/>
                <w:sz w:val="20"/>
                <w:szCs w:val="20"/>
              </w:rPr>
            </w:pPr>
            <w:r w:rsidRPr="001356D0">
              <w:rPr>
                <w:rFonts w:eastAsia="Times New Roman" w:cstheme="minorHAnsi"/>
                <w:sz w:val="20"/>
                <w:szCs w:val="20"/>
              </w:rPr>
              <w:t xml:space="preserve">Notification of actual startup </w:t>
            </w:r>
            <w:r w:rsidRPr="001356D0">
              <w:rPr>
                <w:rFonts w:eastAsia="Times New Roman" w:cstheme="minorHAnsi"/>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77781811"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55404C78"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EC2810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6DC661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0459948"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91654F2"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8C59012"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E34D94E"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$0 </w:t>
            </w:r>
          </w:p>
        </w:tc>
      </w:tr>
      <w:tr w14:paraId="5E923088" w14:textId="77777777" w:rsidTr="00C97D0B">
        <w:tblPrEx>
          <w:tblW w:w="13264" w:type="dxa"/>
          <w:tblLook w:val="04A0"/>
        </w:tblPrEx>
        <w:trPr>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5C213C84" w14:textId="77777777">
            <w:pPr>
              <w:spacing w:after="0" w:line="240" w:lineRule="auto"/>
              <w:ind w:left="330" w:firstLine="70" w:firstLineChars="35"/>
              <w:rPr>
                <w:rFonts w:eastAsia="Times New Roman" w:cstheme="minorHAnsi"/>
                <w:sz w:val="20"/>
                <w:szCs w:val="20"/>
              </w:rPr>
            </w:pPr>
            <w:r w:rsidRPr="001356D0">
              <w:rPr>
                <w:rFonts w:eastAsia="Times New Roman" w:cstheme="minorHAnsi"/>
                <w:sz w:val="20"/>
                <w:szCs w:val="20"/>
              </w:rPr>
              <w:t xml:space="preserve">Initial certification of equipment and inspections </w:t>
            </w:r>
            <w:r w:rsidRPr="001356D0">
              <w:rPr>
                <w:rFonts w:eastAsia="Times New Roman" w:cstheme="minorHAnsi"/>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021B792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304C2C2"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8B07FA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61DAE63"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BB7F6C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5B846426"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102F6E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9C5A685"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$0 </w:t>
            </w:r>
          </w:p>
        </w:tc>
      </w:tr>
      <w:tr w14:paraId="5B2FDA4F" w14:textId="77777777" w:rsidTr="00C97D0B">
        <w:tblPrEx>
          <w:tblW w:w="13264" w:type="dxa"/>
          <w:tblLook w:val="04A0"/>
        </w:tblPrEx>
        <w:trPr>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295CAC25" w14:textId="77777777">
            <w:pPr>
              <w:spacing w:after="0" w:line="240" w:lineRule="auto"/>
              <w:ind w:left="330" w:firstLine="70" w:firstLineChars="35"/>
              <w:rPr>
                <w:rFonts w:eastAsia="Times New Roman" w:cstheme="minorHAnsi"/>
                <w:sz w:val="20"/>
                <w:szCs w:val="20"/>
              </w:rPr>
            </w:pPr>
            <w:r w:rsidRPr="001356D0">
              <w:rPr>
                <w:rFonts w:eastAsia="Times New Roman" w:cstheme="minorHAnsi"/>
                <w:sz w:val="20"/>
                <w:szCs w:val="20"/>
              </w:rPr>
              <w:t xml:space="preserve">Initial inspection report detailing emission problems </w:t>
            </w:r>
            <w:r w:rsidRPr="001356D0">
              <w:rPr>
                <w:rFonts w:eastAsia="Times New Roman" w:cstheme="minorHAnsi"/>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6344E001"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4527B06"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B468E43"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CCC8E8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E85E534"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1B6F366"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2A48578"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CA11859"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$0 </w:t>
            </w:r>
          </w:p>
        </w:tc>
      </w:tr>
      <w:tr w14:paraId="36B00240" w14:textId="77777777" w:rsidTr="00C97D0B">
        <w:tblPrEx>
          <w:tblW w:w="13264" w:type="dxa"/>
          <w:tblLook w:val="04A0"/>
        </w:tblPrEx>
        <w:trPr>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55D6E995" w14:textId="77777777">
            <w:pPr>
              <w:spacing w:after="0" w:line="240" w:lineRule="auto"/>
              <w:ind w:left="330" w:firstLine="70" w:firstLineChars="35"/>
              <w:rPr>
                <w:rFonts w:eastAsia="Times New Roman" w:cstheme="minorHAnsi"/>
                <w:sz w:val="20"/>
                <w:szCs w:val="20"/>
              </w:rPr>
            </w:pPr>
            <w:r w:rsidRPr="001356D0">
              <w:rPr>
                <w:rFonts w:eastAsia="Times New Roman" w:cstheme="minorHAnsi"/>
                <w:sz w:val="20"/>
                <w:szCs w:val="20"/>
              </w:rPr>
              <w:t xml:space="preserve">Notification of initial performance test </w:t>
            </w:r>
            <w:r w:rsidRPr="001356D0">
              <w:rPr>
                <w:rFonts w:eastAsia="Times New Roman" w:cstheme="minorHAnsi"/>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30CBCDA6"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59D2EF3"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A1EEB5B"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F37DC0D"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D0197F8"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12FD63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33AD78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36A0E36"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$0 </w:t>
            </w:r>
          </w:p>
        </w:tc>
      </w:tr>
      <w:tr w14:paraId="5A2031CC" w14:textId="77777777" w:rsidTr="00C97D0B">
        <w:tblPrEx>
          <w:tblW w:w="13264" w:type="dxa"/>
          <w:tblLook w:val="04A0"/>
        </w:tblPrEx>
        <w:trPr>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19531E2B" w14:textId="77777777">
            <w:pPr>
              <w:spacing w:after="0" w:line="240" w:lineRule="auto"/>
              <w:ind w:left="330" w:firstLine="70" w:firstLineChars="35"/>
              <w:rPr>
                <w:rFonts w:eastAsia="Times New Roman" w:cstheme="minorHAnsi"/>
                <w:sz w:val="20"/>
                <w:szCs w:val="20"/>
              </w:rPr>
            </w:pPr>
            <w:r w:rsidRPr="001356D0">
              <w:rPr>
                <w:rFonts w:eastAsia="Times New Roman" w:cstheme="minorHAnsi"/>
                <w:sz w:val="20"/>
                <w:szCs w:val="20"/>
              </w:rPr>
              <w:t xml:space="preserve">Various notifications of intent </w:t>
            </w:r>
            <w:r w:rsidRPr="001356D0">
              <w:rPr>
                <w:rFonts w:eastAsia="Times New Roman" w:cstheme="minorHAnsi"/>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24B9096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9A972BA"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4A3350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435C66D"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E0A139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39F944E"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C092A23"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6A2443A"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$0 </w:t>
            </w:r>
          </w:p>
        </w:tc>
      </w:tr>
      <w:tr w14:paraId="5F74A79B" w14:textId="77777777" w:rsidTr="00C97D0B">
        <w:tblPrEx>
          <w:tblW w:w="13264" w:type="dxa"/>
          <w:tblLook w:val="04A0"/>
        </w:tblPrEx>
        <w:trPr>
          <w:trHeight w:val="585"/>
        </w:trPr>
        <w:tc>
          <w:tcPr>
            <w:tcW w:w="4315" w:type="dxa"/>
            <w:tcBorders>
              <w:top w:val="nil"/>
              <w:left w:val="single" w:sz="4" w:space="0" w:color="auto"/>
              <w:bottom w:val="single" w:sz="4" w:space="0" w:color="auto"/>
              <w:right w:val="single" w:sz="4" w:space="0" w:color="auto"/>
            </w:tcBorders>
            <w:shd w:val="clear" w:color="auto" w:fill="auto"/>
            <w:vAlign w:val="bottom"/>
            <w:hideMark/>
          </w:tcPr>
          <w:p w:rsidR="001356D0" w:rsidRPr="001356D0" w:rsidP="001356D0" w14:paraId="202338F3" w14:textId="77777777">
            <w:pPr>
              <w:spacing w:after="0" w:line="240" w:lineRule="auto"/>
              <w:ind w:left="330" w:firstLine="70" w:firstLineChars="35"/>
              <w:rPr>
                <w:rFonts w:eastAsia="Times New Roman" w:cstheme="minorHAnsi"/>
                <w:sz w:val="20"/>
                <w:szCs w:val="20"/>
              </w:rPr>
            </w:pPr>
            <w:r w:rsidRPr="001356D0">
              <w:rPr>
                <w:rFonts w:eastAsia="Times New Roman" w:cstheme="minorHAnsi"/>
                <w:sz w:val="20"/>
                <w:szCs w:val="20"/>
              </w:rPr>
              <w:t xml:space="preserve">Demonstration for alternative operational or process parameter </w:t>
            </w:r>
            <w:r w:rsidRPr="001356D0">
              <w:rPr>
                <w:rFonts w:eastAsia="Times New Roman" w:cstheme="minorHAnsi"/>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024C93F4"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ED4AAAB"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FA4305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8DFA916"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7669A44"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6390468"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46B0497"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89BE389"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$0 </w:t>
            </w:r>
          </w:p>
        </w:tc>
      </w:tr>
      <w:tr w14:paraId="6214A550" w14:textId="77777777" w:rsidTr="00C97D0B">
        <w:tblPrEx>
          <w:tblW w:w="13264" w:type="dxa"/>
          <w:tblLook w:val="04A0"/>
        </w:tblPrEx>
        <w:trPr>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194EBEED" w14:textId="77777777">
            <w:pPr>
              <w:spacing w:after="0" w:line="240" w:lineRule="auto"/>
              <w:ind w:left="330" w:firstLine="70" w:firstLineChars="35"/>
              <w:rPr>
                <w:rFonts w:eastAsia="Times New Roman" w:cstheme="minorHAnsi"/>
                <w:sz w:val="20"/>
                <w:szCs w:val="20"/>
              </w:rPr>
            </w:pPr>
            <w:r w:rsidRPr="001356D0">
              <w:rPr>
                <w:rFonts w:eastAsia="Times New Roman" w:cstheme="minorHAnsi"/>
                <w:sz w:val="20"/>
                <w:szCs w:val="20"/>
              </w:rPr>
              <w:t xml:space="preserve">Notification of delay in compliance </w:t>
            </w:r>
            <w:r w:rsidRPr="001356D0">
              <w:rPr>
                <w:rFonts w:eastAsia="Times New Roman" w:cstheme="minorHAnsi"/>
                <w:sz w:val="20"/>
                <w:szCs w:val="20"/>
                <w:vertAlign w:val="superscript"/>
              </w:rPr>
              <w:t>f</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7CFF46DC"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84E720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479B6E3"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C69E05A"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4D0DE3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BEAF2F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F781D5E"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E0B49A3"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$0 </w:t>
            </w:r>
          </w:p>
        </w:tc>
      </w:tr>
      <w:tr w14:paraId="2A6812E3" w14:textId="77777777" w:rsidTr="00C97D0B">
        <w:tblPrEx>
          <w:tblW w:w="13264" w:type="dxa"/>
          <w:tblLook w:val="04A0"/>
        </w:tblPrEx>
        <w:trPr>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4D16E99E" w14:textId="77777777">
            <w:pPr>
              <w:spacing w:after="0" w:line="240" w:lineRule="auto"/>
              <w:ind w:left="330" w:firstLine="70" w:firstLineChars="35"/>
              <w:rPr>
                <w:rFonts w:eastAsia="Times New Roman" w:cstheme="minorHAnsi"/>
                <w:sz w:val="20"/>
                <w:szCs w:val="20"/>
              </w:rPr>
            </w:pPr>
            <w:r w:rsidRPr="001356D0">
              <w:rPr>
                <w:rFonts w:eastAsia="Times New Roman" w:cstheme="minorHAnsi"/>
                <w:sz w:val="20"/>
                <w:szCs w:val="20"/>
              </w:rPr>
              <w:t xml:space="preserve">Semiannual report </w:t>
            </w:r>
            <w:r w:rsidRPr="001356D0">
              <w:rPr>
                <w:rFonts w:eastAsia="Times New Roman" w:cstheme="minorHAnsi"/>
                <w:sz w:val="20"/>
                <w:szCs w:val="20"/>
                <w:vertAlign w:val="superscript"/>
              </w:rPr>
              <w:t>g</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030D4066"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8</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E6C2F0B"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755965D"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16</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9761E56"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130</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376BE0E"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2,080</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D65FFD2"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104</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D13E1E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208</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ECD05E5"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$353,711.90 </w:t>
            </w:r>
          </w:p>
        </w:tc>
      </w:tr>
      <w:tr w14:paraId="66A54A4D"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75A94921" w14:textId="77777777">
            <w:pPr>
              <w:spacing w:after="0" w:line="240" w:lineRule="auto"/>
              <w:ind w:left="330" w:firstLine="70" w:firstLineChars="35"/>
              <w:rPr>
                <w:rFonts w:eastAsia="Times New Roman" w:cstheme="minorHAnsi"/>
                <w:sz w:val="20"/>
                <w:szCs w:val="20"/>
              </w:rPr>
            </w:pPr>
            <w:r w:rsidRPr="001356D0">
              <w:rPr>
                <w:rFonts w:eastAsia="Times New Roman" w:cstheme="minorHAnsi"/>
                <w:sz w:val="20"/>
                <w:szCs w:val="20"/>
              </w:rPr>
              <w:t>Results of performance test</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7A677FCE"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See 3B</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F9EF5B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046A097"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08B929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583FE4E"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3BFC098"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E4C3AEC"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D7D2FF3"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w:t>
            </w:r>
          </w:p>
        </w:tc>
      </w:tr>
      <w:tr w14:paraId="3A55BC0C"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6E2061AF" w14:textId="77777777">
            <w:pPr>
              <w:spacing w:after="0" w:line="240" w:lineRule="auto"/>
              <w:ind w:left="0" w:firstLine="0"/>
              <w:rPr>
                <w:rFonts w:eastAsia="Times New Roman" w:cstheme="minorHAnsi"/>
                <w:b/>
                <w:bCs/>
                <w:i/>
                <w:iCs/>
                <w:sz w:val="20"/>
                <w:szCs w:val="20"/>
              </w:rPr>
            </w:pPr>
            <w:r w:rsidRPr="001356D0">
              <w:rPr>
                <w:rFonts w:eastAsia="Times New Roman" w:cstheme="minorHAnsi"/>
                <w:b/>
                <w:bCs/>
                <w:i/>
                <w:iCs/>
                <w:sz w:val="20"/>
                <w:szCs w:val="20"/>
              </w:rPr>
              <w:t>Subtotal for Reporting Requirements</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B505E1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537CCAB"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8B363E8"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50CA66E"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312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356D0" w:rsidRPr="001356D0" w:rsidP="001356D0" w14:paraId="71599A0E" w14:textId="77777777">
            <w:pPr>
              <w:spacing w:after="0" w:line="240" w:lineRule="auto"/>
              <w:ind w:left="0" w:firstLine="0"/>
              <w:jc w:val="center"/>
              <w:rPr>
                <w:rFonts w:eastAsia="Times New Roman" w:cstheme="minorHAnsi"/>
                <w:b/>
                <w:bCs/>
                <w:i/>
                <w:iCs/>
                <w:sz w:val="20"/>
                <w:szCs w:val="20"/>
              </w:rPr>
            </w:pPr>
            <w:r w:rsidRPr="001356D0">
              <w:rPr>
                <w:rFonts w:eastAsia="Times New Roman" w:cstheme="minorHAnsi"/>
                <w:b/>
                <w:bCs/>
                <w:i/>
                <w:iCs/>
                <w:sz w:val="20"/>
                <w:szCs w:val="20"/>
              </w:rPr>
              <w:t>8,671</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57811F6" w14:textId="77777777">
            <w:pPr>
              <w:spacing w:after="0" w:line="240" w:lineRule="auto"/>
              <w:ind w:left="0" w:firstLine="0"/>
              <w:jc w:val="right"/>
              <w:rPr>
                <w:rFonts w:eastAsia="Times New Roman" w:cstheme="minorHAnsi"/>
                <w:b/>
                <w:bCs/>
                <w:i/>
                <w:iCs/>
                <w:sz w:val="20"/>
                <w:szCs w:val="20"/>
              </w:rPr>
            </w:pPr>
            <w:r w:rsidRPr="001356D0">
              <w:rPr>
                <w:rFonts w:eastAsia="Times New Roman" w:cstheme="minorHAnsi"/>
                <w:b/>
                <w:bCs/>
                <w:i/>
                <w:iCs/>
                <w:sz w:val="20"/>
                <w:szCs w:val="20"/>
              </w:rPr>
              <w:t>$1,282,206</w:t>
            </w:r>
          </w:p>
        </w:tc>
      </w:tr>
      <w:tr w14:paraId="23BE287D"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061BDC40"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rPr>
              <w:t>4. Recordkeeping requirements</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6D0" w:rsidRPr="001356D0" w:rsidP="001356D0" w14:paraId="75DD2617"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1356D0" w:rsidRPr="001356D0" w:rsidP="001356D0" w14:paraId="400B2BF4"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rsidR="001356D0" w:rsidRPr="001356D0" w:rsidP="001356D0" w14:paraId="07A2033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rsidR="001356D0" w:rsidRPr="001356D0" w:rsidP="001356D0" w14:paraId="6D611037"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1356D0" w:rsidRPr="001356D0" w:rsidP="001356D0" w14:paraId="3FB80EA2"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1356D0" w:rsidRPr="001356D0" w:rsidP="001356D0" w14:paraId="1316320C"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1356D0" w:rsidRPr="001356D0" w:rsidP="001356D0" w14:paraId="558ABDFD"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1356D0" w:rsidRPr="001356D0" w:rsidP="001356D0" w14:paraId="46A785A0"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w:t>
            </w:r>
          </w:p>
        </w:tc>
      </w:tr>
      <w:tr w14:paraId="33E10097"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51240353"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rPr>
              <w:t xml:space="preserve"> A. Familiarize with regulatory requirements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6DA05EAB"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See 3A</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C5CA5F4"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95767C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934BA26"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6D6058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B9E7E41"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A5E73A2"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486D688"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w:t>
            </w:r>
          </w:p>
        </w:tc>
      </w:tr>
      <w:tr w14:paraId="3893453A"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59E06AE2"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rPr>
              <w:t xml:space="preserve"> B. Plan activities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11714BA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26F05B4"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83A964B"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AA4952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56FB1E8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ACF430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C4BA53B"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D0EB719"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 </w:t>
            </w:r>
          </w:p>
        </w:tc>
      </w:tr>
      <w:tr w14:paraId="1AD60D27"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04D38163"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rPr>
              <w:t xml:space="preserve"> C. Implement activities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4117791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C8D8E8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DA1676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5407864C"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FB7E2D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C85DB53"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63BBFB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D37A587"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 </w:t>
            </w:r>
          </w:p>
        </w:tc>
      </w:tr>
      <w:tr w14:paraId="0E50C499"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20C3543B"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rPr>
              <w:t xml:space="preserve"> D. Develop record system </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008324B8"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2244CA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59EA501"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22CC49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A7FD682"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55535C3"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0FC292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4C25557"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 </w:t>
            </w:r>
          </w:p>
        </w:tc>
      </w:tr>
      <w:tr w14:paraId="44AFFA58"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4B92E64A"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rPr>
              <w:t xml:space="preserve"> E. Enter information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5D99946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1.5</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7DE0B8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C6C2B87"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1.5</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6CCEC7C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130</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53D4545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195</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3B5AA3D"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10</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B50A4F3"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20</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FD4E05C"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xml:space="preserve">$33,160.49 </w:t>
            </w:r>
          </w:p>
        </w:tc>
      </w:tr>
      <w:tr w14:paraId="37D6DA96"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2E23E267"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rPr>
              <w:t xml:space="preserve"> F. Train personnel</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31B15A7E"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BE95BC7"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272D07D"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9B5142A"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2D3776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4598BD0D"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F99879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FF4A7D2"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w:t>
            </w:r>
          </w:p>
        </w:tc>
      </w:tr>
      <w:tr w14:paraId="0F81724E"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488C8847"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rPr>
              <w:t xml:space="preserve"> G. Audits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1356D0" w:rsidRPr="001356D0" w:rsidP="001356D0" w14:paraId="5254F930"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20E887C6"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3AD688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E900CA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7438943"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4F5BA8F"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85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202FD7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7C22E93" w14:textId="77777777">
            <w:pPr>
              <w:spacing w:after="0" w:line="240" w:lineRule="auto"/>
              <w:ind w:left="0" w:firstLine="0"/>
              <w:jc w:val="right"/>
              <w:rPr>
                <w:rFonts w:eastAsia="Times New Roman" w:cstheme="minorHAnsi"/>
                <w:sz w:val="20"/>
                <w:szCs w:val="20"/>
              </w:rPr>
            </w:pPr>
            <w:r w:rsidRPr="001356D0">
              <w:rPr>
                <w:rFonts w:eastAsia="Times New Roman" w:cstheme="minorHAnsi"/>
                <w:sz w:val="20"/>
                <w:szCs w:val="20"/>
              </w:rPr>
              <w:t> </w:t>
            </w:r>
          </w:p>
        </w:tc>
      </w:tr>
      <w:tr w14:paraId="20151D85" w14:textId="77777777" w:rsidTr="00C97D0B">
        <w:tblPrEx>
          <w:tblW w:w="13264" w:type="dxa"/>
          <w:tblLook w:val="04A0"/>
        </w:tblPrEx>
        <w:trPr>
          <w:trHeight w:val="3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740AD6F3" w14:textId="77777777">
            <w:pPr>
              <w:spacing w:after="0" w:line="240" w:lineRule="auto"/>
              <w:ind w:left="0" w:firstLine="0"/>
              <w:rPr>
                <w:rFonts w:eastAsia="Times New Roman" w:cstheme="minorHAnsi"/>
                <w:b/>
                <w:bCs/>
                <w:i/>
                <w:iCs/>
                <w:sz w:val="20"/>
                <w:szCs w:val="20"/>
              </w:rPr>
            </w:pPr>
            <w:r w:rsidRPr="001356D0">
              <w:rPr>
                <w:rFonts w:eastAsia="Times New Roman" w:cstheme="minorHAnsi"/>
                <w:b/>
                <w:bCs/>
                <w:i/>
                <w:iCs/>
                <w:sz w:val="20"/>
                <w:szCs w:val="20"/>
              </w:rPr>
              <w:t>Subtotal for Recordkeeping Requirements</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5EE52674" w14:textId="77777777">
            <w:pPr>
              <w:spacing w:after="0" w:line="240" w:lineRule="auto"/>
              <w:ind w:left="0" w:firstLine="0"/>
              <w:jc w:val="center"/>
              <w:rPr>
                <w:rFonts w:eastAsia="Times New Roman" w:cstheme="minorHAnsi"/>
                <w:b/>
                <w:bCs/>
                <w:sz w:val="20"/>
                <w:szCs w:val="20"/>
              </w:rPr>
            </w:pPr>
            <w:r w:rsidRPr="001356D0">
              <w:rPr>
                <w:rFonts w:eastAsia="Times New Roman" w:cstheme="minorHAnsi"/>
                <w:b/>
                <w:bCs/>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8012BDA" w14:textId="77777777">
            <w:pPr>
              <w:spacing w:after="0" w:line="240" w:lineRule="auto"/>
              <w:ind w:left="0" w:firstLine="0"/>
              <w:jc w:val="center"/>
              <w:rPr>
                <w:rFonts w:eastAsia="Times New Roman" w:cstheme="minorHAnsi"/>
                <w:b/>
                <w:bCs/>
                <w:sz w:val="20"/>
                <w:szCs w:val="20"/>
              </w:rPr>
            </w:pPr>
            <w:r w:rsidRPr="001356D0">
              <w:rPr>
                <w:rFonts w:eastAsia="Times New Roman" w:cstheme="minorHAnsi"/>
                <w:b/>
                <w:bCs/>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FFBF966" w14:textId="77777777">
            <w:pPr>
              <w:spacing w:after="0" w:line="240" w:lineRule="auto"/>
              <w:ind w:left="0" w:firstLine="0"/>
              <w:jc w:val="center"/>
              <w:rPr>
                <w:rFonts w:eastAsia="Times New Roman" w:cstheme="minorHAnsi"/>
                <w:b/>
                <w:bCs/>
                <w:sz w:val="20"/>
                <w:szCs w:val="20"/>
              </w:rPr>
            </w:pPr>
            <w:r w:rsidRPr="001356D0">
              <w:rPr>
                <w:rFonts w:eastAsia="Times New Roman" w:cstheme="minorHAnsi"/>
                <w:b/>
                <w:bCs/>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09BA888" w14:textId="77777777">
            <w:pPr>
              <w:spacing w:after="0" w:line="240" w:lineRule="auto"/>
              <w:ind w:left="0" w:firstLine="0"/>
              <w:jc w:val="center"/>
              <w:rPr>
                <w:rFonts w:eastAsia="Times New Roman" w:cstheme="minorHAnsi"/>
                <w:b/>
                <w:bCs/>
                <w:sz w:val="20"/>
                <w:szCs w:val="20"/>
              </w:rPr>
            </w:pPr>
            <w:r w:rsidRPr="001356D0">
              <w:rPr>
                <w:rFonts w:eastAsia="Times New Roman" w:cstheme="minorHAnsi"/>
                <w:b/>
                <w:bCs/>
                <w:sz w:val="20"/>
                <w:szCs w:val="20"/>
              </w:rPr>
              <w:t> </w:t>
            </w:r>
          </w:p>
        </w:tc>
        <w:tc>
          <w:tcPr>
            <w:tcW w:w="312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356D0" w:rsidRPr="001356D0" w:rsidP="001356D0" w14:paraId="6E9D213A" w14:textId="77777777">
            <w:pPr>
              <w:spacing w:after="0" w:line="240" w:lineRule="auto"/>
              <w:ind w:left="0" w:firstLine="0"/>
              <w:jc w:val="center"/>
              <w:rPr>
                <w:rFonts w:eastAsia="Times New Roman" w:cstheme="minorHAnsi"/>
                <w:b/>
                <w:bCs/>
                <w:i/>
                <w:iCs/>
                <w:sz w:val="20"/>
                <w:szCs w:val="20"/>
              </w:rPr>
            </w:pPr>
            <w:r w:rsidRPr="001356D0">
              <w:rPr>
                <w:rFonts w:eastAsia="Times New Roman" w:cstheme="minorHAnsi"/>
                <w:b/>
                <w:bCs/>
                <w:i/>
                <w:iCs/>
                <w:sz w:val="20"/>
                <w:szCs w:val="20"/>
              </w:rPr>
              <w:t>224</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D109447" w14:textId="77777777">
            <w:pPr>
              <w:spacing w:after="0" w:line="240" w:lineRule="auto"/>
              <w:ind w:left="0" w:firstLine="0"/>
              <w:jc w:val="right"/>
              <w:rPr>
                <w:rFonts w:eastAsia="Times New Roman" w:cstheme="minorHAnsi"/>
                <w:b/>
                <w:bCs/>
                <w:i/>
                <w:iCs/>
                <w:sz w:val="20"/>
                <w:szCs w:val="20"/>
              </w:rPr>
            </w:pPr>
            <w:r w:rsidRPr="001356D0">
              <w:rPr>
                <w:rFonts w:eastAsia="Times New Roman" w:cstheme="minorHAnsi"/>
                <w:b/>
                <w:bCs/>
                <w:i/>
                <w:iCs/>
                <w:sz w:val="20"/>
                <w:szCs w:val="20"/>
              </w:rPr>
              <w:t>$33,160</w:t>
            </w:r>
          </w:p>
        </w:tc>
      </w:tr>
      <w:tr w14:paraId="1B3310C2" w14:textId="77777777" w:rsidTr="00C97D0B">
        <w:tblPrEx>
          <w:tblW w:w="13264" w:type="dxa"/>
          <w:tblLook w:val="04A0"/>
        </w:tblPrEx>
        <w:trPr>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651A33DB"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 xml:space="preserve">TOTAL LABOR BURDEN AND COSTS (rounded) </w:t>
            </w:r>
            <w:r w:rsidRPr="001356D0">
              <w:rPr>
                <w:rFonts w:eastAsia="Times New Roman" w:cstheme="minorHAnsi"/>
                <w:b/>
                <w:bCs/>
                <w:sz w:val="20"/>
                <w:szCs w:val="20"/>
                <w:vertAlign w:val="superscript"/>
              </w:rPr>
              <w:t>h</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39444FC5"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0CB51209"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981921A"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1ACEB714" w14:textId="77777777">
            <w:pPr>
              <w:spacing w:after="0" w:line="240" w:lineRule="auto"/>
              <w:ind w:left="0" w:firstLine="0"/>
              <w:jc w:val="center"/>
              <w:rPr>
                <w:rFonts w:eastAsia="Times New Roman" w:cstheme="minorHAnsi"/>
                <w:sz w:val="20"/>
                <w:szCs w:val="20"/>
              </w:rPr>
            </w:pPr>
            <w:r w:rsidRPr="001356D0">
              <w:rPr>
                <w:rFonts w:eastAsia="Times New Roman" w:cstheme="minorHAnsi"/>
                <w:sz w:val="20"/>
                <w:szCs w:val="20"/>
              </w:rPr>
              <w:t> </w:t>
            </w:r>
          </w:p>
        </w:tc>
        <w:tc>
          <w:tcPr>
            <w:tcW w:w="312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356D0" w:rsidRPr="001356D0" w:rsidP="001356D0" w14:paraId="0752469F" w14:textId="77777777">
            <w:pPr>
              <w:spacing w:after="0" w:line="240" w:lineRule="auto"/>
              <w:ind w:left="0" w:firstLine="0"/>
              <w:jc w:val="center"/>
              <w:rPr>
                <w:rFonts w:eastAsia="Times New Roman" w:cstheme="minorHAnsi"/>
                <w:b/>
                <w:bCs/>
                <w:sz w:val="20"/>
                <w:szCs w:val="20"/>
              </w:rPr>
            </w:pPr>
            <w:r w:rsidRPr="001356D0">
              <w:rPr>
                <w:rFonts w:eastAsia="Times New Roman" w:cstheme="minorHAnsi"/>
                <w:b/>
                <w:bCs/>
                <w:sz w:val="20"/>
                <w:szCs w:val="20"/>
              </w:rPr>
              <w:t>8,900</w:t>
            </w:r>
          </w:p>
        </w:tc>
        <w:tc>
          <w:tcPr>
            <w:tcW w:w="1216" w:type="dxa"/>
            <w:tcBorders>
              <w:top w:val="nil"/>
              <w:left w:val="nil"/>
              <w:bottom w:val="single" w:sz="4" w:space="0" w:color="auto"/>
              <w:right w:val="single" w:sz="4" w:space="0" w:color="auto"/>
            </w:tcBorders>
            <w:shd w:val="clear" w:color="auto" w:fill="auto"/>
            <w:noWrap/>
            <w:vAlign w:val="center"/>
            <w:hideMark/>
          </w:tcPr>
          <w:p w:rsidR="001356D0" w:rsidRPr="001356D0" w:rsidP="001356D0" w14:paraId="7A6BF8C1" w14:textId="77777777">
            <w:pPr>
              <w:spacing w:after="0" w:line="240" w:lineRule="auto"/>
              <w:ind w:left="0" w:firstLine="0"/>
              <w:jc w:val="right"/>
              <w:rPr>
                <w:rFonts w:eastAsia="Times New Roman" w:cstheme="minorHAnsi"/>
                <w:b/>
                <w:bCs/>
                <w:sz w:val="20"/>
                <w:szCs w:val="20"/>
              </w:rPr>
            </w:pPr>
            <w:r w:rsidRPr="001356D0">
              <w:rPr>
                <w:rFonts w:eastAsia="Times New Roman" w:cstheme="minorHAnsi"/>
                <w:b/>
                <w:bCs/>
                <w:sz w:val="20"/>
                <w:szCs w:val="20"/>
              </w:rPr>
              <w:t xml:space="preserve">$1,320,000 </w:t>
            </w:r>
          </w:p>
        </w:tc>
      </w:tr>
      <w:tr w14:paraId="01D59E21" w14:textId="77777777" w:rsidTr="00C97D0B">
        <w:tblPrEx>
          <w:tblW w:w="13264" w:type="dxa"/>
          <w:tblLook w:val="04A0"/>
        </w:tblPrEx>
        <w:trPr>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111693B5"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 xml:space="preserve">TOTAL CAPITAL AND O&amp;M COSTS (rounded) </w:t>
            </w:r>
            <w:r w:rsidRPr="001356D0">
              <w:rPr>
                <w:rFonts w:eastAsia="Times New Roman" w:cstheme="minorHAnsi"/>
                <w:b/>
                <w:bCs/>
                <w:sz w:val="20"/>
                <w:szCs w:val="20"/>
                <w:vertAlign w:val="superscript"/>
              </w:rPr>
              <w:t>h</w:t>
            </w:r>
          </w:p>
        </w:tc>
        <w:tc>
          <w:tcPr>
            <w:tcW w:w="1094" w:type="dxa"/>
            <w:tcBorders>
              <w:top w:val="nil"/>
              <w:left w:val="nil"/>
              <w:bottom w:val="single" w:sz="4" w:space="0" w:color="auto"/>
              <w:right w:val="single" w:sz="4" w:space="0" w:color="auto"/>
            </w:tcBorders>
            <w:shd w:val="clear" w:color="auto" w:fill="auto"/>
            <w:noWrap/>
            <w:vAlign w:val="bottom"/>
            <w:hideMark/>
          </w:tcPr>
          <w:p w:rsidR="001356D0" w:rsidRPr="001356D0" w:rsidP="001356D0" w14:paraId="2A2D4732"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 </w:t>
            </w:r>
          </w:p>
        </w:tc>
        <w:tc>
          <w:tcPr>
            <w:tcW w:w="1171" w:type="dxa"/>
            <w:tcBorders>
              <w:top w:val="nil"/>
              <w:left w:val="nil"/>
              <w:bottom w:val="single" w:sz="4" w:space="0" w:color="auto"/>
              <w:right w:val="single" w:sz="4" w:space="0" w:color="auto"/>
            </w:tcBorders>
            <w:shd w:val="clear" w:color="auto" w:fill="auto"/>
            <w:noWrap/>
            <w:vAlign w:val="bottom"/>
            <w:hideMark/>
          </w:tcPr>
          <w:p w:rsidR="001356D0" w:rsidRPr="001356D0" w:rsidP="001356D0" w14:paraId="261104BC"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1356D0" w:rsidRPr="001356D0" w:rsidP="001356D0" w14:paraId="75EF6348"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1356D0" w:rsidRPr="001356D0" w:rsidP="001356D0" w14:paraId="7BC0A9D4"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1356D0" w:rsidRPr="001356D0" w:rsidP="001356D0" w14:paraId="294020C7"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1356D0" w:rsidRPr="001356D0" w:rsidP="001356D0" w14:paraId="1C364863"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 </w:t>
            </w:r>
          </w:p>
        </w:tc>
        <w:tc>
          <w:tcPr>
            <w:tcW w:w="859" w:type="dxa"/>
            <w:tcBorders>
              <w:top w:val="nil"/>
              <w:left w:val="nil"/>
              <w:bottom w:val="single" w:sz="4" w:space="0" w:color="auto"/>
              <w:right w:val="single" w:sz="4" w:space="0" w:color="auto"/>
            </w:tcBorders>
            <w:shd w:val="clear" w:color="auto" w:fill="auto"/>
            <w:noWrap/>
            <w:vAlign w:val="bottom"/>
            <w:hideMark/>
          </w:tcPr>
          <w:p w:rsidR="001356D0" w:rsidRPr="001356D0" w:rsidP="001356D0" w14:paraId="6983CC7D"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1356D0" w:rsidRPr="001356D0" w:rsidP="001356D0" w14:paraId="0048BF0A" w14:textId="77777777">
            <w:pPr>
              <w:spacing w:after="0" w:line="240" w:lineRule="auto"/>
              <w:ind w:left="0" w:firstLine="0"/>
              <w:jc w:val="right"/>
              <w:rPr>
                <w:rFonts w:eastAsia="Times New Roman" w:cstheme="minorHAnsi"/>
                <w:b/>
                <w:bCs/>
                <w:sz w:val="20"/>
                <w:szCs w:val="20"/>
              </w:rPr>
            </w:pPr>
            <w:r w:rsidRPr="001356D0">
              <w:rPr>
                <w:rFonts w:eastAsia="Times New Roman" w:cstheme="minorHAnsi"/>
                <w:b/>
                <w:bCs/>
                <w:sz w:val="20"/>
                <w:szCs w:val="20"/>
              </w:rPr>
              <w:t>$16,900</w:t>
            </w:r>
          </w:p>
        </w:tc>
      </w:tr>
      <w:tr w14:paraId="66276D86" w14:textId="77777777" w:rsidTr="00C97D0B">
        <w:tblPrEx>
          <w:tblW w:w="13264" w:type="dxa"/>
          <w:tblLook w:val="04A0"/>
        </w:tblPrEx>
        <w:trPr>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1356D0" w:rsidRPr="001356D0" w:rsidP="001356D0" w14:paraId="7B201401"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GRAND TOTAL (rounded)</w:t>
            </w:r>
            <w:r w:rsidRPr="001356D0">
              <w:rPr>
                <w:rFonts w:eastAsia="Times New Roman" w:cstheme="minorHAnsi"/>
                <w:b/>
                <w:bCs/>
                <w:sz w:val="20"/>
                <w:szCs w:val="20"/>
                <w:vertAlign w:val="superscript"/>
              </w:rPr>
              <w:t xml:space="preserve"> h</w:t>
            </w:r>
          </w:p>
        </w:tc>
        <w:tc>
          <w:tcPr>
            <w:tcW w:w="1094" w:type="dxa"/>
            <w:tcBorders>
              <w:top w:val="nil"/>
              <w:left w:val="nil"/>
              <w:bottom w:val="single" w:sz="4" w:space="0" w:color="auto"/>
              <w:right w:val="single" w:sz="4" w:space="0" w:color="auto"/>
            </w:tcBorders>
            <w:shd w:val="clear" w:color="auto" w:fill="auto"/>
            <w:noWrap/>
            <w:vAlign w:val="bottom"/>
            <w:hideMark/>
          </w:tcPr>
          <w:p w:rsidR="001356D0" w:rsidRPr="001356D0" w:rsidP="001356D0" w14:paraId="18AC6589"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 </w:t>
            </w:r>
          </w:p>
        </w:tc>
        <w:tc>
          <w:tcPr>
            <w:tcW w:w="1171" w:type="dxa"/>
            <w:tcBorders>
              <w:top w:val="nil"/>
              <w:left w:val="nil"/>
              <w:bottom w:val="single" w:sz="4" w:space="0" w:color="auto"/>
              <w:right w:val="single" w:sz="4" w:space="0" w:color="auto"/>
            </w:tcBorders>
            <w:shd w:val="clear" w:color="auto" w:fill="auto"/>
            <w:noWrap/>
            <w:vAlign w:val="bottom"/>
            <w:hideMark/>
          </w:tcPr>
          <w:p w:rsidR="001356D0" w:rsidRPr="001356D0" w:rsidP="001356D0" w14:paraId="28C00413"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1356D0" w:rsidRPr="001356D0" w:rsidP="001356D0" w14:paraId="6969156E"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1356D0" w:rsidRPr="001356D0" w:rsidP="001356D0" w14:paraId="7F681691"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1356D0" w:rsidRPr="001356D0" w:rsidP="001356D0" w14:paraId="5736B14F"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1356D0" w:rsidRPr="001356D0" w:rsidP="001356D0" w14:paraId="683D0E9F"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 </w:t>
            </w:r>
          </w:p>
        </w:tc>
        <w:tc>
          <w:tcPr>
            <w:tcW w:w="859" w:type="dxa"/>
            <w:tcBorders>
              <w:top w:val="nil"/>
              <w:left w:val="nil"/>
              <w:bottom w:val="single" w:sz="4" w:space="0" w:color="auto"/>
              <w:right w:val="single" w:sz="4" w:space="0" w:color="auto"/>
            </w:tcBorders>
            <w:shd w:val="clear" w:color="auto" w:fill="auto"/>
            <w:noWrap/>
            <w:vAlign w:val="bottom"/>
            <w:hideMark/>
          </w:tcPr>
          <w:p w:rsidR="001356D0" w:rsidRPr="001356D0" w:rsidP="001356D0" w14:paraId="0966CB52"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1356D0" w:rsidRPr="001356D0" w:rsidP="001356D0" w14:paraId="4792CF4C" w14:textId="77777777">
            <w:pPr>
              <w:spacing w:after="0" w:line="240" w:lineRule="auto"/>
              <w:ind w:left="0" w:firstLine="0"/>
              <w:jc w:val="right"/>
              <w:rPr>
                <w:rFonts w:eastAsia="Times New Roman" w:cstheme="minorHAnsi"/>
                <w:b/>
                <w:bCs/>
                <w:sz w:val="20"/>
                <w:szCs w:val="20"/>
              </w:rPr>
            </w:pPr>
            <w:r w:rsidRPr="001356D0">
              <w:rPr>
                <w:rFonts w:eastAsia="Times New Roman" w:cstheme="minorHAnsi"/>
                <w:b/>
                <w:bCs/>
                <w:sz w:val="20"/>
                <w:szCs w:val="20"/>
              </w:rPr>
              <w:t xml:space="preserve">$1,340,000 </w:t>
            </w:r>
          </w:p>
        </w:tc>
      </w:tr>
      <w:tr w14:paraId="79C1E300" w14:textId="77777777" w:rsidTr="00C97D0B">
        <w:tblPrEx>
          <w:tblW w:w="13264" w:type="dxa"/>
          <w:tblLook w:val="04A0"/>
        </w:tblPrEx>
        <w:trPr>
          <w:trHeight w:val="143"/>
        </w:trPr>
        <w:tc>
          <w:tcPr>
            <w:tcW w:w="4315" w:type="dxa"/>
            <w:tcBorders>
              <w:top w:val="nil"/>
              <w:left w:val="nil"/>
              <w:bottom w:val="nil"/>
              <w:right w:val="nil"/>
            </w:tcBorders>
            <w:shd w:val="clear" w:color="auto" w:fill="auto"/>
            <w:noWrap/>
            <w:vAlign w:val="bottom"/>
            <w:hideMark/>
          </w:tcPr>
          <w:p w:rsidR="001356D0" w:rsidRPr="001356D0" w:rsidP="001356D0" w14:paraId="11A1A27F" w14:textId="77777777">
            <w:pPr>
              <w:spacing w:after="0" w:line="240" w:lineRule="auto"/>
              <w:ind w:left="0" w:firstLine="0"/>
              <w:jc w:val="right"/>
              <w:rPr>
                <w:rFonts w:eastAsia="Times New Roman" w:cstheme="minorHAnsi"/>
                <w:b/>
                <w:bCs/>
                <w:sz w:val="20"/>
                <w:szCs w:val="20"/>
              </w:rPr>
            </w:pPr>
          </w:p>
        </w:tc>
        <w:tc>
          <w:tcPr>
            <w:tcW w:w="1094" w:type="dxa"/>
            <w:tcBorders>
              <w:top w:val="nil"/>
              <w:left w:val="nil"/>
              <w:bottom w:val="nil"/>
              <w:right w:val="nil"/>
            </w:tcBorders>
            <w:shd w:val="clear" w:color="auto" w:fill="auto"/>
            <w:noWrap/>
            <w:vAlign w:val="bottom"/>
            <w:hideMark/>
          </w:tcPr>
          <w:p w:rsidR="001356D0" w:rsidRPr="001356D0" w:rsidP="001356D0" w14:paraId="00E39C6F" w14:textId="77777777">
            <w:pPr>
              <w:spacing w:after="0" w:line="240" w:lineRule="auto"/>
              <w:ind w:left="0" w:firstLine="0"/>
              <w:rPr>
                <w:rFonts w:eastAsia="Times New Roman" w:cstheme="minorHAnsi"/>
                <w:sz w:val="20"/>
                <w:szCs w:val="20"/>
              </w:rPr>
            </w:pPr>
          </w:p>
        </w:tc>
        <w:tc>
          <w:tcPr>
            <w:tcW w:w="1171" w:type="dxa"/>
            <w:tcBorders>
              <w:top w:val="nil"/>
              <w:left w:val="nil"/>
              <w:bottom w:val="nil"/>
              <w:right w:val="nil"/>
            </w:tcBorders>
            <w:shd w:val="clear" w:color="auto" w:fill="auto"/>
            <w:noWrap/>
            <w:vAlign w:val="bottom"/>
            <w:hideMark/>
          </w:tcPr>
          <w:p w:rsidR="001356D0" w:rsidRPr="001356D0" w:rsidP="001356D0" w14:paraId="36F50DF0" w14:textId="77777777">
            <w:pPr>
              <w:spacing w:after="0" w:line="240" w:lineRule="auto"/>
              <w:ind w:left="0" w:firstLine="0"/>
              <w:rPr>
                <w:rFonts w:eastAsia="Times New Roman" w:cstheme="minorHAnsi"/>
                <w:sz w:val="20"/>
                <w:szCs w:val="20"/>
              </w:rPr>
            </w:pPr>
          </w:p>
        </w:tc>
        <w:tc>
          <w:tcPr>
            <w:tcW w:w="1094" w:type="dxa"/>
            <w:tcBorders>
              <w:top w:val="nil"/>
              <w:left w:val="nil"/>
              <w:bottom w:val="nil"/>
              <w:right w:val="nil"/>
            </w:tcBorders>
            <w:shd w:val="clear" w:color="auto" w:fill="auto"/>
            <w:noWrap/>
            <w:vAlign w:val="bottom"/>
            <w:hideMark/>
          </w:tcPr>
          <w:p w:rsidR="001356D0" w:rsidRPr="001356D0" w:rsidP="001356D0" w14:paraId="72249231" w14:textId="77777777">
            <w:pPr>
              <w:spacing w:after="0" w:line="240" w:lineRule="auto"/>
              <w:ind w:left="0" w:firstLine="0"/>
              <w:rPr>
                <w:rFonts w:eastAsia="Times New Roman" w:cstheme="minorHAnsi"/>
                <w:sz w:val="20"/>
                <w:szCs w:val="20"/>
              </w:rPr>
            </w:pPr>
          </w:p>
        </w:tc>
        <w:tc>
          <w:tcPr>
            <w:tcW w:w="1239" w:type="dxa"/>
            <w:tcBorders>
              <w:top w:val="nil"/>
              <w:left w:val="nil"/>
              <w:bottom w:val="nil"/>
              <w:right w:val="nil"/>
            </w:tcBorders>
            <w:shd w:val="clear" w:color="auto" w:fill="auto"/>
            <w:noWrap/>
            <w:vAlign w:val="bottom"/>
            <w:hideMark/>
          </w:tcPr>
          <w:p w:rsidR="001356D0" w:rsidRPr="001356D0" w:rsidP="001356D0" w14:paraId="00095D96" w14:textId="77777777">
            <w:pPr>
              <w:spacing w:after="0" w:line="240" w:lineRule="auto"/>
              <w:ind w:left="0" w:firstLine="0"/>
              <w:rPr>
                <w:rFonts w:eastAsia="Times New Roman" w:cstheme="minorHAnsi"/>
                <w:sz w:val="20"/>
                <w:szCs w:val="20"/>
              </w:rPr>
            </w:pPr>
          </w:p>
        </w:tc>
        <w:tc>
          <w:tcPr>
            <w:tcW w:w="1005" w:type="dxa"/>
            <w:tcBorders>
              <w:top w:val="nil"/>
              <w:left w:val="nil"/>
              <w:bottom w:val="nil"/>
              <w:right w:val="nil"/>
            </w:tcBorders>
            <w:shd w:val="clear" w:color="auto" w:fill="auto"/>
            <w:noWrap/>
            <w:vAlign w:val="bottom"/>
            <w:hideMark/>
          </w:tcPr>
          <w:p w:rsidR="001356D0" w:rsidRPr="001356D0" w:rsidP="001356D0" w14:paraId="0257F9AB" w14:textId="77777777">
            <w:pPr>
              <w:spacing w:after="0" w:line="240" w:lineRule="auto"/>
              <w:ind w:left="0" w:firstLine="0"/>
              <w:rPr>
                <w:rFonts w:eastAsia="Times New Roman" w:cstheme="minorHAnsi"/>
                <w:sz w:val="20"/>
                <w:szCs w:val="20"/>
              </w:rPr>
            </w:pPr>
          </w:p>
        </w:tc>
        <w:tc>
          <w:tcPr>
            <w:tcW w:w="1261" w:type="dxa"/>
            <w:tcBorders>
              <w:top w:val="nil"/>
              <w:left w:val="nil"/>
              <w:bottom w:val="nil"/>
              <w:right w:val="nil"/>
            </w:tcBorders>
            <w:shd w:val="clear" w:color="auto" w:fill="auto"/>
            <w:noWrap/>
            <w:vAlign w:val="bottom"/>
            <w:hideMark/>
          </w:tcPr>
          <w:p w:rsidR="001356D0" w:rsidRPr="001356D0" w:rsidP="001356D0" w14:paraId="0411D51D" w14:textId="77777777">
            <w:pPr>
              <w:spacing w:after="0" w:line="240" w:lineRule="auto"/>
              <w:ind w:left="0" w:firstLine="0"/>
              <w:rPr>
                <w:rFonts w:eastAsia="Times New Roman" w:cstheme="minorHAnsi"/>
                <w:sz w:val="20"/>
                <w:szCs w:val="20"/>
              </w:rPr>
            </w:pPr>
          </w:p>
        </w:tc>
        <w:tc>
          <w:tcPr>
            <w:tcW w:w="859" w:type="dxa"/>
            <w:tcBorders>
              <w:top w:val="nil"/>
              <w:left w:val="nil"/>
              <w:bottom w:val="nil"/>
              <w:right w:val="nil"/>
            </w:tcBorders>
            <w:shd w:val="clear" w:color="auto" w:fill="auto"/>
            <w:noWrap/>
            <w:vAlign w:val="bottom"/>
            <w:hideMark/>
          </w:tcPr>
          <w:p w:rsidR="001356D0" w:rsidRPr="001356D0" w:rsidP="001356D0" w14:paraId="3B297F50" w14:textId="77777777">
            <w:pPr>
              <w:spacing w:after="0" w:line="240" w:lineRule="auto"/>
              <w:ind w:left="0" w:firstLine="0"/>
              <w:rPr>
                <w:rFonts w:eastAsia="Times New Roman" w:cstheme="minorHAnsi"/>
                <w:sz w:val="20"/>
                <w:szCs w:val="20"/>
              </w:rPr>
            </w:pPr>
          </w:p>
        </w:tc>
        <w:tc>
          <w:tcPr>
            <w:tcW w:w="1216" w:type="dxa"/>
            <w:tcBorders>
              <w:top w:val="nil"/>
              <w:left w:val="nil"/>
              <w:bottom w:val="nil"/>
              <w:right w:val="nil"/>
            </w:tcBorders>
            <w:shd w:val="clear" w:color="auto" w:fill="auto"/>
            <w:noWrap/>
            <w:vAlign w:val="bottom"/>
            <w:hideMark/>
          </w:tcPr>
          <w:p w:rsidR="001356D0" w:rsidRPr="001356D0" w:rsidP="001356D0" w14:paraId="4205F62D" w14:textId="77777777">
            <w:pPr>
              <w:spacing w:after="0" w:line="240" w:lineRule="auto"/>
              <w:ind w:left="0" w:firstLine="0"/>
              <w:rPr>
                <w:rFonts w:eastAsia="Times New Roman" w:cstheme="minorHAnsi"/>
                <w:sz w:val="20"/>
                <w:szCs w:val="20"/>
              </w:rPr>
            </w:pPr>
          </w:p>
        </w:tc>
      </w:tr>
      <w:tr w14:paraId="59EB2A52" w14:textId="77777777" w:rsidTr="00C97D0B">
        <w:tblPrEx>
          <w:tblW w:w="13264" w:type="dxa"/>
          <w:tblLook w:val="04A0"/>
        </w:tblPrEx>
        <w:trPr>
          <w:trHeight w:val="315"/>
        </w:trPr>
        <w:tc>
          <w:tcPr>
            <w:tcW w:w="4315" w:type="dxa"/>
            <w:tcBorders>
              <w:top w:val="nil"/>
              <w:left w:val="nil"/>
              <w:bottom w:val="nil"/>
              <w:right w:val="nil"/>
            </w:tcBorders>
            <w:shd w:val="clear" w:color="auto" w:fill="auto"/>
            <w:noWrap/>
            <w:vAlign w:val="center"/>
            <w:hideMark/>
          </w:tcPr>
          <w:p w:rsidR="001356D0" w:rsidRPr="001356D0" w:rsidP="001356D0" w14:paraId="1E2E8238" w14:textId="77777777">
            <w:pPr>
              <w:spacing w:after="0" w:line="240" w:lineRule="auto"/>
              <w:ind w:left="0" w:firstLine="0"/>
              <w:rPr>
                <w:rFonts w:eastAsia="Times New Roman" w:cstheme="minorHAnsi"/>
                <w:b/>
                <w:bCs/>
                <w:sz w:val="20"/>
                <w:szCs w:val="20"/>
              </w:rPr>
            </w:pPr>
            <w:r w:rsidRPr="001356D0">
              <w:rPr>
                <w:rFonts w:eastAsia="Times New Roman" w:cstheme="minorHAnsi"/>
                <w:b/>
                <w:bCs/>
                <w:sz w:val="20"/>
                <w:szCs w:val="20"/>
              </w:rPr>
              <w:t>Assumptions:</w:t>
            </w:r>
          </w:p>
        </w:tc>
        <w:tc>
          <w:tcPr>
            <w:tcW w:w="1094" w:type="dxa"/>
            <w:tcBorders>
              <w:top w:val="nil"/>
              <w:left w:val="nil"/>
              <w:bottom w:val="nil"/>
              <w:right w:val="nil"/>
            </w:tcBorders>
            <w:shd w:val="clear" w:color="auto" w:fill="auto"/>
            <w:noWrap/>
            <w:vAlign w:val="bottom"/>
            <w:hideMark/>
          </w:tcPr>
          <w:p w:rsidR="001356D0" w:rsidRPr="001356D0" w:rsidP="001356D0" w14:paraId="794664B3" w14:textId="77777777">
            <w:pPr>
              <w:spacing w:after="0" w:line="240" w:lineRule="auto"/>
              <w:ind w:left="0" w:firstLine="0"/>
              <w:rPr>
                <w:rFonts w:eastAsia="Times New Roman" w:cstheme="minorHAnsi"/>
                <w:b/>
                <w:bCs/>
                <w:sz w:val="20"/>
                <w:szCs w:val="20"/>
              </w:rPr>
            </w:pPr>
          </w:p>
        </w:tc>
        <w:tc>
          <w:tcPr>
            <w:tcW w:w="1171" w:type="dxa"/>
            <w:tcBorders>
              <w:top w:val="nil"/>
              <w:left w:val="nil"/>
              <w:bottom w:val="nil"/>
              <w:right w:val="nil"/>
            </w:tcBorders>
            <w:shd w:val="clear" w:color="auto" w:fill="auto"/>
            <w:noWrap/>
            <w:vAlign w:val="bottom"/>
            <w:hideMark/>
          </w:tcPr>
          <w:p w:rsidR="001356D0" w:rsidRPr="001356D0" w:rsidP="001356D0" w14:paraId="1C921660" w14:textId="77777777">
            <w:pPr>
              <w:spacing w:after="0" w:line="240" w:lineRule="auto"/>
              <w:ind w:left="0" w:firstLine="0"/>
              <w:rPr>
                <w:rFonts w:eastAsia="Times New Roman" w:cstheme="minorHAnsi"/>
                <w:sz w:val="20"/>
                <w:szCs w:val="20"/>
              </w:rPr>
            </w:pPr>
          </w:p>
        </w:tc>
        <w:tc>
          <w:tcPr>
            <w:tcW w:w="1094" w:type="dxa"/>
            <w:tcBorders>
              <w:top w:val="nil"/>
              <w:left w:val="nil"/>
              <w:bottom w:val="nil"/>
              <w:right w:val="nil"/>
            </w:tcBorders>
            <w:shd w:val="clear" w:color="auto" w:fill="auto"/>
            <w:noWrap/>
            <w:vAlign w:val="bottom"/>
            <w:hideMark/>
          </w:tcPr>
          <w:p w:rsidR="001356D0" w:rsidRPr="001356D0" w:rsidP="001356D0" w14:paraId="2B71115B" w14:textId="77777777">
            <w:pPr>
              <w:spacing w:after="0" w:line="240" w:lineRule="auto"/>
              <w:ind w:left="0" w:firstLine="0"/>
              <w:rPr>
                <w:rFonts w:eastAsia="Times New Roman" w:cstheme="minorHAnsi"/>
                <w:sz w:val="20"/>
                <w:szCs w:val="20"/>
              </w:rPr>
            </w:pPr>
          </w:p>
        </w:tc>
        <w:tc>
          <w:tcPr>
            <w:tcW w:w="1239" w:type="dxa"/>
            <w:tcBorders>
              <w:top w:val="nil"/>
              <w:left w:val="nil"/>
              <w:bottom w:val="nil"/>
              <w:right w:val="nil"/>
            </w:tcBorders>
            <w:shd w:val="clear" w:color="auto" w:fill="auto"/>
            <w:noWrap/>
            <w:vAlign w:val="bottom"/>
            <w:hideMark/>
          </w:tcPr>
          <w:p w:rsidR="001356D0" w:rsidRPr="001356D0" w:rsidP="001356D0" w14:paraId="2BB3978B" w14:textId="77777777">
            <w:pPr>
              <w:spacing w:after="0" w:line="240" w:lineRule="auto"/>
              <w:ind w:left="0" w:firstLine="0"/>
              <w:rPr>
                <w:rFonts w:eastAsia="Times New Roman" w:cstheme="minorHAnsi"/>
                <w:sz w:val="20"/>
                <w:szCs w:val="20"/>
              </w:rPr>
            </w:pPr>
          </w:p>
        </w:tc>
        <w:tc>
          <w:tcPr>
            <w:tcW w:w="1005" w:type="dxa"/>
            <w:tcBorders>
              <w:top w:val="nil"/>
              <w:left w:val="nil"/>
              <w:bottom w:val="nil"/>
              <w:right w:val="nil"/>
            </w:tcBorders>
            <w:shd w:val="clear" w:color="auto" w:fill="auto"/>
            <w:noWrap/>
            <w:vAlign w:val="bottom"/>
            <w:hideMark/>
          </w:tcPr>
          <w:p w:rsidR="001356D0" w:rsidRPr="001356D0" w:rsidP="001356D0" w14:paraId="23C96DEA" w14:textId="77777777">
            <w:pPr>
              <w:spacing w:after="0" w:line="240" w:lineRule="auto"/>
              <w:ind w:left="0" w:firstLine="0"/>
              <w:rPr>
                <w:rFonts w:eastAsia="Times New Roman" w:cstheme="minorHAnsi"/>
                <w:sz w:val="20"/>
                <w:szCs w:val="20"/>
              </w:rPr>
            </w:pPr>
          </w:p>
        </w:tc>
        <w:tc>
          <w:tcPr>
            <w:tcW w:w="1261" w:type="dxa"/>
            <w:tcBorders>
              <w:top w:val="nil"/>
              <w:left w:val="nil"/>
              <w:bottom w:val="nil"/>
              <w:right w:val="nil"/>
            </w:tcBorders>
            <w:shd w:val="clear" w:color="auto" w:fill="auto"/>
            <w:noWrap/>
            <w:vAlign w:val="bottom"/>
            <w:hideMark/>
          </w:tcPr>
          <w:p w:rsidR="001356D0" w:rsidRPr="001356D0" w:rsidP="001356D0" w14:paraId="018A6940" w14:textId="77777777">
            <w:pPr>
              <w:spacing w:after="0" w:line="240" w:lineRule="auto"/>
              <w:ind w:left="0" w:firstLine="0"/>
              <w:rPr>
                <w:rFonts w:eastAsia="Times New Roman" w:cstheme="minorHAnsi"/>
                <w:sz w:val="20"/>
                <w:szCs w:val="20"/>
              </w:rPr>
            </w:pPr>
          </w:p>
        </w:tc>
        <w:tc>
          <w:tcPr>
            <w:tcW w:w="859" w:type="dxa"/>
            <w:tcBorders>
              <w:top w:val="nil"/>
              <w:left w:val="nil"/>
              <w:bottom w:val="nil"/>
              <w:right w:val="nil"/>
            </w:tcBorders>
            <w:shd w:val="clear" w:color="auto" w:fill="auto"/>
            <w:noWrap/>
            <w:vAlign w:val="bottom"/>
            <w:hideMark/>
          </w:tcPr>
          <w:p w:rsidR="001356D0" w:rsidRPr="001356D0" w:rsidP="001356D0" w14:paraId="35F47B6A" w14:textId="77777777">
            <w:pPr>
              <w:spacing w:after="0" w:line="240" w:lineRule="auto"/>
              <w:ind w:left="0" w:firstLine="0"/>
              <w:rPr>
                <w:rFonts w:eastAsia="Times New Roman" w:cstheme="minorHAnsi"/>
                <w:sz w:val="20"/>
                <w:szCs w:val="20"/>
              </w:rPr>
            </w:pPr>
          </w:p>
        </w:tc>
        <w:tc>
          <w:tcPr>
            <w:tcW w:w="1216" w:type="dxa"/>
            <w:tcBorders>
              <w:top w:val="nil"/>
              <w:left w:val="nil"/>
              <w:bottom w:val="nil"/>
              <w:right w:val="nil"/>
            </w:tcBorders>
            <w:shd w:val="clear" w:color="auto" w:fill="auto"/>
            <w:noWrap/>
            <w:vAlign w:val="bottom"/>
            <w:hideMark/>
          </w:tcPr>
          <w:p w:rsidR="001356D0" w:rsidRPr="001356D0" w:rsidP="001356D0" w14:paraId="7F2F7011" w14:textId="77777777">
            <w:pPr>
              <w:spacing w:after="0" w:line="240" w:lineRule="auto"/>
              <w:ind w:left="0" w:firstLine="0"/>
              <w:rPr>
                <w:rFonts w:eastAsia="Times New Roman" w:cstheme="minorHAnsi"/>
                <w:sz w:val="20"/>
                <w:szCs w:val="20"/>
              </w:rPr>
            </w:pPr>
          </w:p>
        </w:tc>
      </w:tr>
      <w:tr w14:paraId="3C35A220" w14:textId="77777777" w:rsidTr="00C97D0B">
        <w:tblPrEx>
          <w:tblW w:w="13264" w:type="dxa"/>
          <w:tblLook w:val="04A0"/>
        </w:tblPrEx>
        <w:trPr>
          <w:trHeight w:val="585"/>
        </w:trPr>
        <w:tc>
          <w:tcPr>
            <w:tcW w:w="13264" w:type="dxa"/>
            <w:gridSpan w:val="9"/>
            <w:tcBorders>
              <w:top w:val="nil"/>
              <w:left w:val="nil"/>
              <w:bottom w:val="nil"/>
              <w:right w:val="nil"/>
            </w:tcBorders>
            <w:shd w:val="clear" w:color="auto" w:fill="auto"/>
            <w:hideMark/>
          </w:tcPr>
          <w:p w:rsidR="001356D0" w:rsidRPr="001356D0" w:rsidP="001356D0" w14:paraId="2DC3663B"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vertAlign w:val="superscript"/>
              </w:rPr>
              <w:t>a</w:t>
            </w:r>
            <w:r w:rsidRPr="001356D0">
              <w:rPr>
                <w:rFonts w:eastAsia="Times New Roman" w:cstheme="minorHAnsi"/>
                <w:sz w:val="20"/>
                <w:szCs w:val="20"/>
              </w:rPr>
              <w:t xml:space="preserve"> We have assumed that the average number of respondents that will be subject to the rule will be 130. There will be no additional new sources per year that will become subject to the rule over the three-year period of this ICR.</w:t>
            </w:r>
          </w:p>
        </w:tc>
      </w:tr>
      <w:tr w14:paraId="4C79815E" w14:textId="77777777" w:rsidTr="00C97D0B">
        <w:tblPrEx>
          <w:tblW w:w="13264" w:type="dxa"/>
          <w:tblLook w:val="04A0"/>
        </w:tblPrEx>
        <w:trPr>
          <w:trHeight w:val="990"/>
        </w:trPr>
        <w:tc>
          <w:tcPr>
            <w:tcW w:w="13264" w:type="dxa"/>
            <w:gridSpan w:val="9"/>
            <w:tcBorders>
              <w:top w:val="nil"/>
              <w:left w:val="nil"/>
              <w:bottom w:val="nil"/>
              <w:right w:val="nil"/>
            </w:tcBorders>
            <w:shd w:val="clear" w:color="auto" w:fill="auto"/>
            <w:hideMark/>
          </w:tcPr>
          <w:p w:rsidR="001356D0" w:rsidRPr="001356D0" w:rsidP="001356D0" w14:paraId="70998468"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vertAlign w:val="superscript"/>
              </w:rPr>
              <w:t xml:space="preserve">b </w:t>
            </w:r>
            <w:r w:rsidRPr="001356D0">
              <w:rPr>
                <w:rFonts w:eastAsia="Times New Roman" w:cstheme="minorHAnsi"/>
                <w:sz w:val="20"/>
                <w:szCs w:val="20"/>
              </w:rPr>
              <w:t>This ICR uses the following labor rates: Managerial $157.61 ($75.05 + 110%); Technical $123.94 ($59.02 + 110%); and Clerical $62.52 ($29.77 + 110%).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71835E4E" w14:textId="77777777" w:rsidTr="00C97D0B">
        <w:tblPrEx>
          <w:tblW w:w="13264" w:type="dxa"/>
          <w:tblLook w:val="04A0"/>
        </w:tblPrEx>
        <w:trPr>
          <w:trHeight w:val="315"/>
        </w:trPr>
        <w:tc>
          <w:tcPr>
            <w:tcW w:w="13264" w:type="dxa"/>
            <w:gridSpan w:val="9"/>
            <w:tcBorders>
              <w:top w:val="nil"/>
              <w:left w:val="nil"/>
              <w:bottom w:val="nil"/>
              <w:right w:val="nil"/>
            </w:tcBorders>
            <w:shd w:val="clear" w:color="auto" w:fill="auto"/>
            <w:noWrap/>
            <w:vAlign w:val="center"/>
            <w:hideMark/>
          </w:tcPr>
          <w:p w:rsidR="001356D0" w:rsidRPr="001356D0" w:rsidP="001356D0" w14:paraId="6C64C917"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vertAlign w:val="superscript"/>
              </w:rPr>
              <w:t>c</w:t>
            </w:r>
            <w:r w:rsidRPr="001356D0">
              <w:rPr>
                <w:rFonts w:eastAsia="Times New Roman" w:cstheme="minorHAnsi"/>
                <w:sz w:val="20"/>
                <w:szCs w:val="20"/>
              </w:rPr>
              <w:t xml:space="preserve"> We have assumed that each respondent will read instructions one time per year.</w:t>
            </w:r>
          </w:p>
        </w:tc>
      </w:tr>
      <w:tr w14:paraId="595759D0" w14:textId="77777777" w:rsidTr="00C97D0B">
        <w:tblPrEx>
          <w:tblW w:w="13264" w:type="dxa"/>
          <w:tblLook w:val="04A0"/>
        </w:tblPrEx>
        <w:trPr>
          <w:trHeight w:val="315"/>
        </w:trPr>
        <w:tc>
          <w:tcPr>
            <w:tcW w:w="13264" w:type="dxa"/>
            <w:gridSpan w:val="9"/>
            <w:tcBorders>
              <w:top w:val="nil"/>
              <w:left w:val="nil"/>
              <w:bottom w:val="nil"/>
              <w:right w:val="nil"/>
            </w:tcBorders>
            <w:shd w:val="clear" w:color="auto" w:fill="auto"/>
            <w:noWrap/>
            <w:vAlign w:val="center"/>
            <w:hideMark/>
          </w:tcPr>
          <w:p w:rsidR="001356D0" w:rsidRPr="001356D0" w:rsidP="001356D0" w14:paraId="57C5C65A"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vertAlign w:val="superscript"/>
              </w:rPr>
              <w:t>d</w:t>
            </w:r>
            <w:r w:rsidRPr="001356D0">
              <w:rPr>
                <w:rFonts w:eastAsia="Times New Roman" w:cstheme="minorHAnsi"/>
                <w:sz w:val="20"/>
                <w:szCs w:val="20"/>
              </w:rPr>
              <w:t xml:space="preserve"> We have assumed that each respondent will take two hours to inspect drain systems twelve times per year.</w:t>
            </w:r>
          </w:p>
        </w:tc>
      </w:tr>
      <w:tr w14:paraId="0E46FA64" w14:textId="77777777" w:rsidTr="00C97D0B">
        <w:tblPrEx>
          <w:tblW w:w="13264" w:type="dxa"/>
          <w:tblLook w:val="04A0"/>
        </w:tblPrEx>
        <w:trPr>
          <w:trHeight w:val="315"/>
        </w:trPr>
        <w:tc>
          <w:tcPr>
            <w:tcW w:w="13264" w:type="dxa"/>
            <w:gridSpan w:val="9"/>
            <w:tcBorders>
              <w:top w:val="nil"/>
              <w:left w:val="nil"/>
              <w:bottom w:val="nil"/>
              <w:right w:val="nil"/>
            </w:tcBorders>
            <w:shd w:val="clear" w:color="auto" w:fill="auto"/>
            <w:noWrap/>
            <w:vAlign w:val="center"/>
            <w:hideMark/>
          </w:tcPr>
          <w:p w:rsidR="001356D0" w:rsidRPr="001356D0" w:rsidP="001356D0" w14:paraId="071D68B7"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vertAlign w:val="superscript"/>
              </w:rPr>
              <w:t>e</w:t>
            </w:r>
            <w:r w:rsidRPr="001356D0">
              <w:rPr>
                <w:rFonts w:eastAsia="Times New Roman" w:cstheme="minorHAnsi"/>
                <w:sz w:val="20"/>
                <w:szCs w:val="20"/>
              </w:rPr>
              <w:t xml:space="preserve"> We have assumed that it will take eight hours for each respondent to inspect oil-water separators two times per year.</w:t>
            </w:r>
          </w:p>
        </w:tc>
      </w:tr>
      <w:tr w14:paraId="35354E57" w14:textId="77777777" w:rsidTr="00C97D0B">
        <w:tblPrEx>
          <w:tblW w:w="13264" w:type="dxa"/>
          <w:tblLook w:val="04A0"/>
        </w:tblPrEx>
        <w:trPr>
          <w:trHeight w:val="225"/>
        </w:trPr>
        <w:tc>
          <w:tcPr>
            <w:tcW w:w="13264" w:type="dxa"/>
            <w:gridSpan w:val="9"/>
            <w:tcBorders>
              <w:top w:val="nil"/>
              <w:left w:val="nil"/>
              <w:bottom w:val="nil"/>
              <w:right w:val="nil"/>
            </w:tcBorders>
            <w:shd w:val="clear" w:color="auto" w:fill="auto"/>
            <w:noWrap/>
            <w:hideMark/>
          </w:tcPr>
          <w:p w:rsidR="001356D0" w:rsidRPr="001356D0" w:rsidP="001356D0" w14:paraId="540093DC"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vertAlign w:val="superscript"/>
              </w:rPr>
              <w:t xml:space="preserve">f </w:t>
            </w:r>
            <w:r w:rsidRPr="001356D0">
              <w:rPr>
                <w:rFonts w:eastAsia="Times New Roman" w:cstheme="minorHAnsi"/>
                <w:sz w:val="20"/>
                <w:szCs w:val="20"/>
              </w:rPr>
              <w:t>This activity applies only to new or modified sources.</w:t>
            </w:r>
          </w:p>
        </w:tc>
      </w:tr>
      <w:tr w14:paraId="1F3A357E" w14:textId="77777777" w:rsidTr="00C97D0B">
        <w:tblPrEx>
          <w:tblW w:w="13264" w:type="dxa"/>
          <w:tblLook w:val="04A0"/>
        </w:tblPrEx>
        <w:trPr>
          <w:trHeight w:val="315"/>
        </w:trPr>
        <w:tc>
          <w:tcPr>
            <w:tcW w:w="13264" w:type="dxa"/>
            <w:gridSpan w:val="9"/>
            <w:tcBorders>
              <w:top w:val="nil"/>
              <w:left w:val="nil"/>
              <w:bottom w:val="nil"/>
              <w:right w:val="nil"/>
            </w:tcBorders>
            <w:shd w:val="clear" w:color="auto" w:fill="auto"/>
            <w:noWrap/>
            <w:vAlign w:val="center"/>
            <w:hideMark/>
          </w:tcPr>
          <w:p w:rsidR="001356D0" w:rsidRPr="001356D0" w:rsidP="001356D0" w14:paraId="590B3D44"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vertAlign w:val="superscript"/>
              </w:rPr>
              <w:t>g</w:t>
            </w:r>
            <w:r w:rsidRPr="001356D0">
              <w:rPr>
                <w:rFonts w:eastAsia="Times New Roman" w:cstheme="minorHAnsi"/>
                <w:sz w:val="20"/>
                <w:szCs w:val="20"/>
              </w:rPr>
              <w:t xml:space="preserve"> We have assumed that each respondent will take eight hours to write the semiannual report two times per year.</w:t>
            </w:r>
          </w:p>
        </w:tc>
      </w:tr>
      <w:tr w14:paraId="3FE5FA96" w14:textId="77777777" w:rsidTr="00C97D0B">
        <w:tblPrEx>
          <w:tblW w:w="13264" w:type="dxa"/>
          <w:tblLook w:val="04A0"/>
        </w:tblPrEx>
        <w:trPr>
          <w:trHeight w:val="315"/>
        </w:trPr>
        <w:tc>
          <w:tcPr>
            <w:tcW w:w="13264" w:type="dxa"/>
            <w:gridSpan w:val="9"/>
            <w:tcBorders>
              <w:top w:val="nil"/>
              <w:left w:val="nil"/>
              <w:bottom w:val="nil"/>
              <w:right w:val="nil"/>
            </w:tcBorders>
            <w:shd w:val="clear" w:color="auto" w:fill="auto"/>
            <w:noWrap/>
            <w:vAlign w:val="center"/>
            <w:hideMark/>
          </w:tcPr>
          <w:p w:rsidR="001356D0" w:rsidRPr="001356D0" w:rsidP="001356D0" w14:paraId="1722E9CF" w14:textId="77777777">
            <w:pPr>
              <w:spacing w:after="0" w:line="240" w:lineRule="auto"/>
              <w:ind w:left="0" w:firstLine="0"/>
              <w:rPr>
                <w:rFonts w:eastAsia="Times New Roman" w:cstheme="minorHAnsi"/>
                <w:sz w:val="20"/>
                <w:szCs w:val="20"/>
              </w:rPr>
            </w:pPr>
            <w:r w:rsidRPr="001356D0">
              <w:rPr>
                <w:rFonts w:eastAsia="Times New Roman" w:cstheme="minorHAnsi"/>
                <w:sz w:val="20"/>
                <w:szCs w:val="20"/>
                <w:vertAlign w:val="superscript"/>
              </w:rPr>
              <w:t xml:space="preserve">h </w:t>
            </w:r>
            <w:r w:rsidRPr="001356D0">
              <w:rPr>
                <w:rFonts w:eastAsia="Times New Roman" w:cstheme="minorHAnsi"/>
                <w:sz w:val="20"/>
                <w:szCs w:val="20"/>
              </w:rPr>
              <w:t>Totals have been rounded to 3 significant figures. Figures may not add exactly due to rounding.</w:t>
            </w:r>
          </w:p>
          <w:p w:rsidR="001356D0" w:rsidRPr="001356D0" w:rsidP="001356D0" w14:paraId="3170652B" w14:textId="77777777">
            <w:pPr>
              <w:spacing w:after="0" w:line="240" w:lineRule="auto"/>
              <w:ind w:left="0" w:firstLine="0"/>
              <w:rPr>
                <w:rFonts w:eastAsia="Times New Roman" w:cstheme="minorHAnsi"/>
                <w:sz w:val="20"/>
                <w:szCs w:val="20"/>
              </w:rPr>
            </w:pPr>
          </w:p>
        </w:tc>
      </w:tr>
    </w:tbl>
    <w:p w:rsidR="001356D0" w:rsidRPr="001356D0" w:rsidP="001356D0" w14:paraId="67B8697F" w14:textId="77777777">
      <w:pPr>
        <w:pStyle w:val="ListParagraph"/>
        <w:jc w:val="both"/>
        <w:rPr>
          <w:rFonts w:cstheme="minorHAnsi"/>
        </w:rPr>
      </w:pPr>
    </w:p>
    <w:p w:rsidR="001356D0" w:rsidRPr="001356D0" w:rsidP="001356D0" w14:paraId="74E0C665" w14:textId="66872109">
      <w:pPr>
        <w:pStyle w:val="ListParagraph"/>
        <w:jc w:val="both"/>
        <w:rPr>
          <w:rFonts w:cstheme="minorHAnsi"/>
          <w:b/>
          <w:bCs/>
        </w:rPr>
      </w:pPr>
      <w:r w:rsidRPr="001356D0">
        <w:rPr>
          <w:rFonts w:cstheme="minorHAnsi"/>
          <w:b/>
          <w:bCs/>
        </w:rPr>
        <w:t>Table: Annual Estimated EPA Burden and Cost – NSPS for VOC Emissions from Petroleum Refinery Wastewater Systems (40 CFR Part 60, Subpart QQQ) (Renewal)</w:t>
      </w:r>
    </w:p>
    <w:tbl>
      <w:tblPr>
        <w:tblW w:w="13225" w:type="dxa"/>
        <w:tblLook w:val="04A0"/>
      </w:tblPr>
      <w:tblGrid>
        <w:gridCol w:w="4313"/>
        <w:gridCol w:w="1133"/>
        <w:gridCol w:w="1213"/>
        <w:gridCol w:w="1175"/>
        <w:gridCol w:w="948"/>
        <w:gridCol w:w="1001"/>
        <w:gridCol w:w="1332"/>
        <w:gridCol w:w="968"/>
        <w:gridCol w:w="1396"/>
      </w:tblGrid>
      <w:tr w14:paraId="31A55D30" w14:textId="77777777" w:rsidTr="00C97D0B">
        <w:tblPrEx>
          <w:tblW w:w="13225" w:type="dxa"/>
          <w:tblLook w:val="04A0"/>
        </w:tblPrEx>
        <w:trPr>
          <w:trHeight w:val="1530"/>
        </w:trPr>
        <w:tc>
          <w:tcPr>
            <w:tcW w:w="43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19D6" w:rsidRPr="003619D6" w:rsidP="003619D6" w14:paraId="28C260F3" w14:textId="77777777">
            <w:pPr>
              <w:spacing w:after="0" w:line="240" w:lineRule="auto"/>
              <w:ind w:left="0" w:firstLine="0"/>
              <w:rPr>
                <w:rFonts w:eastAsia="Times New Roman" w:cstheme="minorHAnsi"/>
                <w:b/>
                <w:bCs/>
                <w:color w:val="000000"/>
                <w:sz w:val="20"/>
                <w:szCs w:val="20"/>
              </w:rPr>
            </w:pPr>
            <w:r w:rsidRPr="003619D6">
              <w:rPr>
                <w:rFonts w:eastAsia="Times New Roman" w:cstheme="minorHAnsi"/>
                <w:b/>
                <w:bCs/>
                <w:color w:val="000000"/>
                <w:sz w:val="20"/>
                <w:szCs w:val="20"/>
              </w:rPr>
              <w:t>Activity</w:t>
            </w:r>
          </w:p>
        </w:tc>
        <w:tc>
          <w:tcPr>
            <w:tcW w:w="1089" w:type="dxa"/>
            <w:tcBorders>
              <w:top w:val="single" w:sz="4" w:space="0" w:color="auto"/>
              <w:left w:val="nil"/>
              <w:bottom w:val="single" w:sz="4" w:space="0" w:color="auto"/>
              <w:right w:val="single" w:sz="4" w:space="0" w:color="auto"/>
            </w:tcBorders>
            <w:shd w:val="clear" w:color="auto" w:fill="auto"/>
            <w:hideMark/>
          </w:tcPr>
          <w:p w:rsidR="003619D6" w:rsidRPr="003619D6" w:rsidP="003619D6" w14:paraId="440E16C7" w14:textId="77777777">
            <w:pPr>
              <w:spacing w:after="0" w:line="240" w:lineRule="auto"/>
              <w:ind w:left="0" w:firstLine="0"/>
              <w:jc w:val="center"/>
              <w:rPr>
                <w:rFonts w:eastAsia="Times New Roman" w:cstheme="minorHAnsi"/>
                <w:b/>
                <w:bCs/>
                <w:color w:val="000000"/>
                <w:sz w:val="20"/>
                <w:szCs w:val="20"/>
              </w:rPr>
            </w:pPr>
            <w:r w:rsidRPr="003619D6">
              <w:rPr>
                <w:rFonts w:eastAsia="Times New Roman" w:cstheme="minorHAnsi"/>
                <w:b/>
                <w:bCs/>
                <w:color w:val="000000"/>
                <w:sz w:val="20"/>
                <w:szCs w:val="20"/>
              </w:rPr>
              <w:t xml:space="preserve">(A) </w:t>
            </w:r>
            <w:r w:rsidRPr="003619D6">
              <w:rPr>
                <w:rFonts w:eastAsia="Times New Roman" w:cstheme="minorHAnsi"/>
                <w:b/>
                <w:bCs/>
                <w:color w:val="000000"/>
                <w:sz w:val="20"/>
                <w:szCs w:val="20"/>
              </w:rPr>
              <w:br/>
              <w:t>EPA Person- hours per occurrence</w:t>
            </w:r>
          </w:p>
        </w:tc>
        <w:tc>
          <w:tcPr>
            <w:tcW w:w="1166" w:type="dxa"/>
            <w:tcBorders>
              <w:top w:val="single" w:sz="4" w:space="0" w:color="auto"/>
              <w:left w:val="nil"/>
              <w:bottom w:val="single" w:sz="4" w:space="0" w:color="auto"/>
              <w:right w:val="single" w:sz="4" w:space="0" w:color="auto"/>
            </w:tcBorders>
            <w:shd w:val="clear" w:color="auto" w:fill="auto"/>
            <w:hideMark/>
          </w:tcPr>
          <w:p w:rsidR="003619D6" w:rsidRPr="003619D6" w:rsidP="003619D6" w14:paraId="6B8CBB97" w14:textId="77777777">
            <w:pPr>
              <w:spacing w:after="0" w:line="240" w:lineRule="auto"/>
              <w:ind w:left="0" w:firstLine="0"/>
              <w:jc w:val="center"/>
              <w:rPr>
                <w:rFonts w:eastAsia="Times New Roman" w:cstheme="minorHAnsi"/>
                <w:b/>
                <w:bCs/>
                <w:color w:val="000000"/>
                <w:sz w:val="20"/>
                <w:szCs w:val="20"/>
              </w:rPr>
            </w:pPr>
            <w:r w:rsidRPr="003619D6">
              <w:rPr>
                <w:rFonts w:eastAsia="Times New Roman" w:cstheme="minorHAnsi"/>
                <w:b/>
                <w:bCs/>
                <w:color w:val="000000"/>
                <w:sz w:val="20"/>
                <w:szCs w:val="20"/>
              </w:rPr>
              <w:t xml:space="preserve">(B) </w:t>
            </w:r>
            <w:r w:rsidRPr="003619D6">
              <w:rPr>
                <w:rFonts w:eastAsia="Times New Roman" w:cstheme="minorHAnsi"/>
                <w:b/>
                <w:bCs/>
                <w:color w:val="000000"/>
                <w:sz w:val="20"/>
                <w:szCs w:val="20"/>
              </w:rPr>
              <w:br/>
              <w:t>No. of occurrences per plant per year</w:t>
            </w:r>
          </w:p>
        </w:tc>
        <w:tc>
          <w:tcPr>
            <w:tcW w:w="1089" w:type="dxa"/>
            <w:tcBorders>
              <w:top w:val="single" w:sz="4" w:space="0" w:color="auto"/>
              <w:left w:val="nil"/>
              <w:bottom w:val="single" w:sz="4" w:space="0" w:color="auto"/>
              <w:right w:val="single" w:sz="4" w:space="0" w:color="auto"/>
            </w:tcBorders>
            <w:shd w:val="clear" w:color="auto" w:fill="auto"/>
            <w:hideMark/>
          </w:tcPr>
          <w:p w:rsidR="003619D6" w:rsidRPr="003619D6" w:rsidP="003619D6" w14:paraId="11056DE5" w14:textId="77777777">
            <w:pPr>
              <w:spacing w:after="0" w:line="240" w:lineRule="auto"/>
              <w:ind w:left="0" w:firstLine="0"/>
              <w:jc w:val="center"/>
              <w:rPr>
                <w:rFonts w:eastAsia="Times New Roman" w:cstheme="minorHAnsi"/>
                <w:b/>
                <w:bCs/>
                <w:color w:val="000000"/>
                <w:sz w:val="20"/>
                <w:szCs w:val="20"/>
              </w:rPr>
            </w:pPr>
            <w:r w:rsidRPr="003619D6">
              <w:rPr>
                <w:rFonts w:eastAsia="Times New Roman" w:cstheme="minorHAnsi"/>
                <w:b/>
                <w:bCs/>
                <w:color w:val="000000"/>
                <w:sz w:val="20"/>
                <w:szCs w:val="20"/>
              </w:rPr>
              <w:t xml:space="preserve">(C) </w:t>
            </w:r>
            <w:r w:rsidRPr="003619D6">
              <w:rPr>
                <w:rFonts w:eastAsia="Times New Roman" w:cstheme="minorHAnsi"/>
                <w:b/>
                <w:bCs/>
                <w:color w:val="000000"/>
                <w:sz w:val="20"/>
                <w:szCs w:val="20"/>
              </w:rPr>
              <w:br/>
              <w:t>EPA person- hours per respondent per year (C=AxB)</w:t>
            </w:r>
          </w:p>
        </w:tc>
        <w:tc>
          <w:tcPr>
            <w:tcW w:w="948" w:type="dxa"/>
            <w:tcBorders>
              <w:top w:val="single" w:sz="4" w:space="0" w:color="auto"/>
              <w:left w:val="nil"/>
              <w:bottom w:val="single" w:sz="4" w:space="0" w:color="auto"/>
              <w:right w:val="single" w:sz="4" w:space="0" w:color="auto"/>
            </w:tcBorders>
            <w:shd w:val="clear" w:color="auto" w:fill="auto"/>
            <w:hideMark/>
          </w:tcPr>
          <w:p w:rsidR="003619D6" w:rsidRPr="003619D6" w:rsidP="003619D6" w14:paraId="18559C2C" w14:textId="77777777">
            <w:pPr>
              <w:spacing w:after="0" w:line="240" w:lineRule="auto"/>
              <w:ind w:left="0" w:firstLine="0"/>
              <w:jc w:val="center"/>
              <w:rPr>
                <w:rFonts w:eastAsia="Times New Roman" w:cstheme="minorHAnsi"/>
                <w:b/>
                <w:bCs/>
                <w:color w:val="000000"/>
                <w:sz w:val="20"/>
                <w:szCs w:val="20"/>
              </w:rPr>
            </w:pPr>
            <w:r w:rsidRPr="003619D6">
              <w:rPr>
                <w:rFonts w:eastAsia="Times New Roman" w:cstheme="minorHAnsi"/>
                <w:b/>
                <w:bCs/>
                <w:color w:val="000000"/>
                <w:sz w:val="20"/>
                <w:szCs w:val="20"/>
              </w:rPr>
              <w:t xml:space="preserve">(D) </w:t>
            </w:r>
            <w:r w:rsidRPr="003619D6">
              <w:rPr>
                <w:rFonts w:eastAsia="Times New Roman" w:cstheme="minorHAnsi"/>
                <w:b/>
                <w:bCs/>
                <w:color w:val="000000"/>
                <w:sz w:val="20"/>
                <w:szCs w:val="20"/>
              </w:rPr>
              <w:br/>
              <w:t xml:space="preserve">Plants per year </w:t>
            </w:r>
            <w:r w:rsidRPr="003619D6">
              <w:rPr>
                <w:rFonts w:eastAsia="Times New Roman" w:cstheme="minorHAnsi"/>
                <w:b/>
                <w:bCs/>
                <w:color w:val="000000"/>
                <w:sz w:val="20"/>
                <w:szCs w:val="20"/>
                <w:vertAlign w:val="superscript"/>
              </w:rPr>
              <w:t>(a)</w:t>
            </w:r>
          </w:p>
        </w:tc>
        <w:tc>
          <w:tcPr>
            <w:tcW w:w="1001" w:type="dxa"/>
            <w:tcBorders>
              <w:top w:val="single" w:sz="4" w:space="0" w:color="auto"/>
              <w:left w:val="nil"/>
              <w:bottom w:val="single" w:sz="4" w:space="0" w:color="auto"/>
              <w:right w:val="single" w:sz="4" w:space="0" w:color="auto"/>
            </w:tcBorders>
            <w:shd w:val="clear" w:color="auto" w:fill="auto"/>
            <w:hideMark/>
          </w:tcPr>
          <w:p w:rsidR="003619D6" w:rsidRPr="003619D6" w:rsidP="003619D6" w14:paraId="2754FD62" w14:textId="77777777">
            <w:pPr>
              <w:spacing w:after="0" w:line="240" w:lineRule="auto"/>
              <w:ind w:left="0" w:firstLine="0"/>
              <w:jc w:val="center"/>
              <w:rPr>
                <w:rFonts w:eastAsia="Times New Roman" w:cstheme="minorHAnsi"/>
                <w:b/>
                <w:bCs/>
                <w:color w:val="000000"/>
                <w:sz w:val="20"/>
                <w:szCs w:val="20"/>
              </w:rPr>
            </w:pPr>
            <w:r w:rsidRPr="003619D6">
              <w:rPr>
                <w:rFonts w:eastAsia="Times New Roman" w:cstheme="minorHAnsi"/>
                <w:b/>
                <w:bCs/>
                <w:color w:val="000000"/>
                <w:sz w:val="20"/>
                <w:szCs w:val="20"/>
              </w:rPr>
              <w:t xml:space="preserve">(E) </w:t>
            </w:r>
            <w:r w:rsidRPr="003619D6">
              <w:rPr>
                <w:rFonts w:eastAsia="Times New Roman" w:cstheme="minorHAnsi"/>
                <w:b/>
                <w:bCs/>
                <w:color w:val="000000"/>
                <w:sz w:val="20"/>
                <w:szCs w:val="20"/>
              </w:rPr>
              <w:br/>
              <w:t>Technical person- hours per year (E=CxD)</w:t>
            </w:r>
          </w:p>
        </w:tc>
        <w:tc>
          <w:tcPr>
            <w:tcW w:w="1255" w:type="dxa"/>
            <w:tcBorders>
              <w:top w:val="single" w:sz="4" w:space="0" w:color="auto"/>
              <w:left w:val="nil"/>
              <w:bottom w:val="single" w:sz="4" w:space="0" w:color="auto"/>
              <w:right w:val="single" w:sz="4" w:space="0" w:color="auto"/>
            </w:tcBorders>
            <w:shd w:val="clear" w:color="auto" w:fill="auto"/>
            <w:hideMark/>
          </w:tcPr>
          <w:p w:rsidR="003619D6" w:rsidRPr="003619D6" w:rsidP="003619D6" w14:paraId="02895154" w14:textId="77777777">
            <w:pPr>
              <w:spacing w:after="0" w:line="240" w:lineRule="auto"/>
              <w:ind w:left="0" w:firstLine="0"/>
              <w:jc w:val="center"/>
              <w:rPr>
                <w:rFonts w:eastAsia="Times New Roman" w:cstheme="minorHAnsi"/>
                <w:b/>
                <w:bCs/>
                <w:color w:val="000000"/>
                <w:sz w:val="20"/>
                <w:szCs w:val="20"/>
              </w:rPr>
            </w:pPr>
            <w:r w:rsidRPr="003619D6">
              <w:rPr>
                <w:rFonts w:eastAsia="Times New Roman" w:cstheme="minorHAnsi"/>
                <w:b/>
                <w:bCs/>
                <w:color w:val="000000"/>
                <w:sz w:val="20"/>
                <w:szCs w:val="20"/>
              </w:rPr>
              <w:t xml:space="preserve">(F) </w:t>
            </w:r>
            <w:r w:rsidRPr="003619D6">
              <w:rPr>
                <w:rFonts w:eastAsia="Times New Roman" w:cstheme="minorHAnsi"/>
                <w:b/>
                <w:bCs/>
                <w:color w:val="000000"/>
                <w:sz w:val="20"/>
                <w:szCs w:val="20"/>
              </w:rPr>
              <w:br/>
              <w:t>Management person-hours per year (Ex0.05)</w:t>
            </w:r>
          </w:p>
        </w:tc>
        <w:tc>
          <w:tcPr>
            <w:tcW w:w="968" w:type="dxa"/>
            <w:tcBorders>
              <w:top w:val="single" w:sz="4" w:space="0" w:color="auto"/>
              <w:left w:val="nil"/>
              <w:bottom w:val="single" w:sz="4" w:space="0" w:color="auto"/>
              <w:right w:val="single" w:sz="4" w:space="0" w:color="auto"/>
            </w:tcBorders>
            <w:shd w:val="clear" w:color="auto" w:fill="auto"/>
            <w:hideMark/>
          </w:tcPr>
          <w:p w:rsidR="003619D6" w:rsidRPr="003619D6" w:rsidP="003619D6" w14:paraId="6901A3E2" w14:textId="77777777">
            <w:pPr>
              <w:spacing w:after="0" w:line="240" w:lineRule="auto"/>
              <w:ind w:left="0" w:firstLine="0"/>
              <w:jc w:val="center"/>
              <w:rPr>
                <w:rFonts w:eastAsia="Times New Roman" w:cstheme="minorHAnsi"/>
                <w:b/>
                <w:bCs/>
                <w:color w:val="000000"/>
                <w:sz w:val="20"/>
                <w:szCs w:val="20"/>
              </w:rPr>
            </w:pPr>
            <w:r w:rsidRPr="003619D6">
              <w:rPr>
                <w:rFonts w:eastAsia="Times New Roman" w:cstheme="minorHAnsi"/>
                <w:b/>
                <w:bCs/>
                <w:color w:val="000000"/>
                <w:sz w:val="20"/>
                <w:szCs w:val="20"/>
              </w:rPr>
              <w:t xml:space="preserve">(G) </w:t>
            </w:r>
            <w:r w:rsidRPr="003619D6">
              <w:rPr>
                <w:rFonts w:eastAsia="Times New Roman" w:cstheme="minorHAnsi"/>
                <w:b/>
                <w:bCs/>
                <w:color w:val="000000"/>
                <w:sz w:val="20"/>
                <w:szCs w:val="20"/>
              </w:rPr>
              <w:br/>
              <w:t>Clerical person-hours per year (Ex0.1)</w:t>
            </w:r>
          </w:p>
        </w:tc>
        <w:tc>
          <w:tcPr>
            <w:tcW w:w="1396" w:type="dxa"/>
            <w:tcBorders>
              <w:top w:val="single" w:sz="4" w:space="0" w:color="auto"/>
              <w:left w:val="nil"/>
              <w:bottom w:val="single" w:sz="4" w:space="0" w:color="auto"/>
              <w:right w:val="single" w:sz="4" w:space="0" w:color="auto"/>
            </w:tcBorders>
            <w:shd w:val="clear" w:color="auto" w:fill="auto"/>
            <w:hideMark/>
          </w:tcPr>
          <w:p w:rsidR="003619D6" w:rsidRPr="003619D6" w:rsidP="003619D6" w14:paraId="7EF900EC" w14:textId="77777777">
            <w:pPr>
              <w:spacing w:after="0" w:line="240" w:lineRule="auto"/>
              <w:ind w:left="0" w:firstLine="0"/>
              <w:jc w:val="center"/>
              <w:rPr>
                <w:rFonts w:eastAsia="Times New Roman" w:cstheme="minorHAnsi"/>
                <w:b/>
                <w:bCs/>
                <w:color w:val="000000"/>
                <w:sz w:val="20"/>
                <w:szCs w:val="20"/>
              </w:rPr>
            </w:pPr>
            <w:r w:rsidRPr="003619D6">
              <w:rPr>
                <w:rFonts w:eastAsia="Times New Roman" w:cstheme="minorHAnsi"/>
                <w:b/>
                <w:bCs/>
                <w:color w:val="000000"/>
                <w:sz w:val="20"/>
                <w:szCs w:val="20"/>
              </w:rPr>
              <w:t xml:space="preserve">(H) </w:t>
            </w:r>
            <w:r w:rsidRPr="003619D6">
              <w:rPr>
                <w:rFonts w:eastAsia="Times New Roman" w:cstheme="minorHAnsi"/>
                <w:b/>
                <w:bCs/>
                <w:color w:val="000000"/>
                <w:sz w:val="20"/>
                <w:szCs w:val="20"/>
              </w:rPr>
              <w:br/>
              <w:t xml:space="preserve">Cost </w:t>
            </w:r>
            <w:r w:rsidRPr="003619D6">
              <w:rPr>
                <w:rFonts w:eastAsia="Times New Roman" w:cstheme="minorHAnsi"/>
                <w:b/>
                <w:bCs/>
                <w:color w:val="000000"/>
                <w:sz w:val="20"/>
                <w:szCs w:val="20"/>
                <w:vertAlign w:val="superscript"/>
              </w:rPr>
              <w:t>(b)</w:t>
            </w:r>
            <w:r w:rsidRPr="003619D6">
              <w:rPr>
                <w:rFonts w:eastAsia="Times New Roman" w:cstheme="minorHAnsi"/>
                <w:b/>
                <w:bCs/>
                <w:color w:val="000000"/>
                <w:sz w:val="20"/>
                <w:szCs w:val="20"/>
              </w:rPr>
              <w:t xml:space="preserve"> </w:t>
            </w:r>
          </w:p>
        </w:tc>
      </w:tr>
      <w:tr w14:paraId="34C87A80" w14:textId="77777777" w:rsidTr="00C97D0B">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noWrap/>
            <w:vAlign w:val="bottom"/>
            <w:hideMark/>
          </w:tcPr>
          <w:p w:rsidR="003619D6" w:rsidRPr="003619D6" w:rsidP="003619D6" w14:paraId="2FF4D33B" w14:textId="77777777">
            <w:pPr>
              <w:spacing w:after="0" w:line="240" w:lineRule="auto"/>
              <w:ind w:left="0" w:firstLine="0"/>
              <w:rPr>
                <w:rFonts w:eastAsia="Times New Roman" w:cstheme="minorHAnsi"/>
                <w:color w:val="000000"/>
                <w:sz w:val="20"/>
                <w:szCs w:val="20"/>
              </w:rPr>
            </w:pPr>
            <w:r w:rsidRPr="003619D6">
              <w:rPr>
                <w:rFonts w:eastAsia="Times New Roman" w:cstheme="minorHAnsi"/>
                <w:color w:val="000000"/>
                <w:sz w:val="20"/>
                <w:szCs w:val="20"/>
              </w:rPr>
              <w:t>1. Report Review</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9D6" w:rsidRPr="003619D6" w:rsidP="003619D6" w14:paraId="5E583B46"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3619D6" w:rsidRPr="003619D6" w:rsidP="003619D6" w14:paraId="79E6D926"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 </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rsidR="003619D6" w:rsidRPr="003619D6" w:rsidP="003619D6" w14:paraId="28257626"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 </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3619D6" w:rsidRPr="003619D6" w:rsidP="003619D6" w14:paraId="403266A6"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 </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rsidR="003619D6" w:rsidRPr="003619D6" w:rsidP="003619D6" w14:paraId="6898B5C9"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 </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rsidR="003619D6" w:rsidRPr="003619D6" w:rsidP="003619D6" w14:paraId="4582C4CC"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 </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3619D6" w:rsidRPr="003619D6" w:rsidP="003619D6" w14:paraId="44C4ABB6"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 </w:t>
            </w:r>
          </w:p>
        </w:tc>
        <w:tc>
          <w:tcPr>
            <w:tcW w:w="1396" w:type="dxa"/>
            <w:tcBorders>
              <w:top w:val="single" w:sz="4" w:space="0" w:color="auto"/>
              <w:left w:val="nil"/>
              <w:bottom w:val="single" w:sz="4" w:space="0" w:color="auto"/>
              <w:right w:val="single" w:sz="4" w:space="0" w:color="auto"/>
            </w:tcBorders>
            <w:shd w:val="clear" w:color="auto" w:fill="auto"/>
            <w:noWrap/>
            <w:vAlign w:val="bottom"/>
            <w:hideMark/>
          </w:tcPr>
          <w:p w:rsidR="003619D6" w:rsidRPr="003619D6" w:rsidP="003619D6" w14:paraId="47FC4AA5" w14:textId="77777777">
            <w:pPr>
              <w:spacing w:after="0" w:line="240" w:lineRule="auto"/>
              <w:ind w:left="0" w:firstLine="0"/>
              <w:jc w:val="right"/>
              <w:rPr>
                <w:rFonts w:eastAsia="Times New Roman" w:cstheme="minorHAnsi"/>
                <w:color w:val="000000"/>
                <w:sz w:val="20"/>
                <w:szCs w:val="20"/>
              </w:rPr>
            </w:pPr>
            <w:r w:rsidRPr="003619D6">
              <w:rPr>
                <w:rFonts w:eastAsia="Times New Roman" w:cstheme="minorHAnsi"/>
                <w:color w:val="000000"/>
                <w:sz w:val="20"/>
                <w:szCs w:val="20"/>
              </w:rPr>
              <w:t> </w:t>
            </w:r>
          </w:p>
        </w:tc>
      </w:tr>
      <w:tr w14:paraId="57111912" w14:textId="77777777" w:rsidTr="00C97D0B">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3619D6" w:rsidRPr="003619D6" w:rsidP="003619D6" w14:paraId="0A10632F" w14:textId="77777777">
            <w:pPr>
              <w:spacing w:after="0" w:line="240" w:lineRule="auto"/>
              <w:ind w:left="0" w:firstLine="200" w:firstLineChars="100"/>
              <w:rPr>
                <w:rFonts w:eastAsia="Times New Roman" w:cstheme="minorHAnsi"/>
                <w:color w:val="000000"/>
                <w:sz w:val="20"/>
                <w:szCs w:val="20"/>
              </w:rPr>
            </w:pPr>
            <w:r w:rsidRPr="003619D6">
              <w:rPr>
                <w:rFonts w:eastAsia="Times New Roman" w:cstheme="minorHAnsi"/>
                <w:color w:val="000000"/>
                <w:sz w:val="20"/>
                <w:szCs w:val="20"/>
              </w:rPr>
              <w:t xml:space="preserve">Notification of construction/reconstruction </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3619D6" w:rsidRPr="003619D6" w:rsidP="003619D6" w14:paraId="31B9BE05"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3DBB8548"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5DF4EF39"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188A5645"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0E1C5283"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6F961CF7"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6CE22477"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3619D6" w:rsidRPr="003619D6" w:rsidP="003619D6" w14:paraId="3A9DE96F" w14:textId="77777777">
            <w:pPr>
              <w:spacing w:after="0" w:line="240" w:lineRule="auto"/>
              <w:ind w:left="0" w:firstLine="0"/>
              <w:jc w:val="right"/>
              <w:rPr>
                <w:rFonts w:eastAsia="Times New Roman" w:cstheme="minorHAnsi"/>
                <w:color w:val="000000"/>
                <w:sz w:val="20"/>
                <w:szCs w:val="20"/>
              </w:rPr>
            </w:pPr>
            <w:r w:rsidRPr="003619D6">
              <w:rPr>
                <w:rFonts w:eastAsia="Times New Roman" w:cstheme="minorHAnsi"/>
                <w:color w:val="000000"/>
                <w:sz w:val="20"/>
                <w:szCs w:val="20"/>
              </w:rPr>
              <w:t xml:space="preserve">$0 </w:t>
            </w:r>
          </w:p>
        </w:tc>
      </w:tr>
      <w:tr w14:paraId="0FAFC503" w14:textId="77777777" w:rsidTr="00C97D0B">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3619D6" w:rsidRPr="003619D6" w:rsidP="003619D6" w14:paraId="45FBA7E6" w14:textId="77777777">
            <w:pPr>
              <w:spacing w:after="0" w:line="240" w:lineRule="auto"/>
              <w:ind w:left="0" w:firstLine="200" w:firstLineChars="100"/>
              <w:rPr>
                <w:rFonts w:eastAsia="Times New Roman" w:cstheme="minorHAnsi"/>
                <w:color w:val="000000"/>
                <w:sz w:val="20"/>
                <w:szCs w:val="20"/>
              </w:rPr>
            </w:pPr>
            <w:r w:rsidRPr="003619D6">
              <w:rPr>
                <w:rFonts w:eastAsia="Times New Roman" w:cstheme="minorHAnsi"/>
                <w:color w:val="000000"/>
                <w:sz w:val="20"/>
                <w:szCs w:val="20"/>
              </w:rPr>
              <w:t>Notification of modification</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3619D6" w:rsidRPr="003619D6" w:rsidP="003619D6" w14:paraId="6264ECA8"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54D7DB85"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780D6C22"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35FA46FE"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5D8254D0"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6BFCA7E5"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56C1F174"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3619D6" w:rsidRPr="003619D6" w:rsidP="003619D6" w14:paraId="6958D351" w14:textId="77777777">
            <w:pPr>
              <w:spacing w:after="0" w:line="240" w:lineRule="auto"/>
              <w:ind w:left="0" w:firstLine="0"/>
              <w:jc w:val="right"/>
              <w:rPr>
                <w:rFonts w:eastAsia="Times New Roman" w:cstheme="minorHAnsi"/>
                <w:color w:val="000000"/>
                <w:sz w:val="20"/>
                <w:szCs w:val="20"/>
              </w:rPr>
            </w:pPr>
            <w:r w:rsidRPr="003619D6">
              <w:rPr>
                <w:rFonts w:eastAsia="Times New Roman" w:cstheme="minorHAnsi"/>
                <w:color w:val="000000"/>
                <w:sz w:val="20"/>
                <w:szCs w:val="20"/>
              </w:rPr>
              <w:t xml:space="preserve">$0 </w:t>
            </w:r>
          </w:p>
        </w:tc>
      </w:tr>
      <w:tr w14:paraId="6B42D16C" w14:textId="77777777" w:rsidTr="00C97D0B">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3619D6" w:rsidRPr="003619D6" w:rsidP="003619D6" w14:paraId="6525BDDC" w14:textId="77777777">
            <w:pPr>
              <w:spacing w:after="0" w:line="240" w:lineRule="auto"/>
              <w:ind w:left="0" w:firstLine="200" w:firstLineChars="100"/>
              <w:rPr>
                <w:rFonts w:eastAsia="Times New Roman" w:cstheme="minorHAnsi"/>
                <w:color w:val="000000"/>
                <w:sz w:val="20"/>
                <w:szCs w:val="20"/>
              </w:rPr>
            </w:pPr>
            <w:r w:rsidRPr="003619D6">
              <w:rPr>
                <w:rFonts w:eastAsia="Times New Roman" w:cstheme="minorHAnsi"/>
                <w:color w:val="000000"/>
                <w:sz w:val="20"/>
                <w:szCs w:val="20"/>
              </w:rPr>
              <w:t>Notification of actual startup</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3619D6" w:rsidRPr="003619D6" w:rsidP="003619D6" w14:paraId="73F17C7B"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1241798A"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74E06A89"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60640DF1"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7977C045"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02182296"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72F3905B"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3619D6" w:rsidRPr="003619D6" w:rsidP="003619D6" w14:paraId="04F5F84A" w14:textId="77777777">
            <w:pPr>
              <w:spacing w:after="0" w:line="240" w:lineRule="auto"/>
              <w:ind w:left="0" w:firstLine="0"/>
              <w:jc w:val="right"/>
              <w:rPr>
                <w:rFonts w:eastAsia="Times New Roman" w:cstheme="minorHAnsi"/>
                <w:color w:val="000000"/>
                <w:sz w:val="20"/>
                <w:szCs w:val="20"/>
              </w:rPr>
            </w:pPr>
            <w:r w:rsidRPr="003619D6">
              <w:rPr>
                <w:rFonts w:eastAsia="Times New Roman" w:cstheme="minorHAnsi"/>
                <w:color w:val="000000"/>
                <w:sz w:val="20"/>
                <w:szCs w:val="20"/>
              </w:rPr>
              <w:t xml:space="preserve">$0 </w:t>
            </w:r>
          </w:p>
        </w:tc>
      </w:tr>
      <w:tr w14:paraId="70BE6C7C" w14:textId="77777777" w:rsidTr="00C97D0B">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3619D6" w:rsidRPr="003619D6" w:rsidP="003619D6" w14:paraId="7D691251" w14:textId="77777777">
            <w:pPr>
              <w:spacing w:after="0" w:line="240" w:lineRule="auto"/>
              <w:ind w:left="150" w:firstLine="50" w:firstLineChars="25"/>
              <w:rPr>
                <w:rFonts w:eastAsia="Times New Roman" w:cstheme="minorHAnsi"/>
                <w:color w:val="000000"/>
                <w:sz w:val="20"/>
                <w:szCs w:val="20"/>
              </w:rPr>
            </w:pPr>
            <w:r w:rsidRPr="003619D6">
              <w:rPr>
                <w:rFonts w:eastAsia="Times New Roman" w:cstheme="minorHAnsi"/>
                <w:color w:val="000000"/>
                <w:sz w:val="20"/>
                <w:szCs w:val="20"/>
              </w:rPr>
              <w:t>Initial certification for equipment and inspections</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3619D6" w:rsidRPr="003619D6" w:rsidP="003619D6" w14:paraId="42F0B7D2"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27C8B9A6"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5A86DE49"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030A6D37"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420C9087"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771151B3"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6E783BE2"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3619D6" w:rsidRPr="003619D6" w:rsidP="003619D6" w14:paraId="159E30AF" w14:textId="77777777">
            <w:pPr>
              <w:spacing w:after="0" w:line="240" w:lineRule="auto"/>
              <w:ind w:left="0" w:firstLine="0"/>
              <w:jc w:val="right"/>
              <w:rPr>
                <w:rFonts w:eastAsia="Times New Roman" w:cstheme="minorHAnsi"/>
                <w:color w:val="000000"/>
                <w:sz w:val="20"/>
                <w:szCs w:val="20"/>
              </w:rPr>
            </w:pPr>
            <w:r w:rsidRPr="003619D6">
              <w:rPr>
                <w:rFonts w:eastAsia="Times New Roman" w:cstheme="minorHAnsi"/>
                <w:color w:val="000000"/>
                <w:sz w:val="20"/>
                <w:szCs w:val="20"/>
              </w:rPr>
              <w:t xml:space="preserve">$0 </w:t>
            </w:r>
          </w:p>
        </w:tc>
      </w:tr>
      <w:tr w14:paraId="63146B6F" w14:textId="77777777" w:rsidTr="00C97D0B">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3619D6" w:rsidRPr="003619D6" w:rsidP="003619D6" w14:paraId="5454B2C1" w14:textId="77777777">
            <w:pPr>
              <w:spacing w:after="0" w:line="240" w:lineRule="auto"/>
              <w:ind w:left="150" w:firstLine="50" w:firstLineChars="25"/>
              <w:rPr>
                <w:rFonts w:eastAsia="Times New Roman" w:cstheme="minorHAnsi"/>
                <w:color w:val="000000"/>
                <w:sz w:val="20"/>
                <w:szCs w:val="20"/>
              </w:rPr>
            </w:pPr>
            <w:r w:rsidRPr="003619D6">
              <w:rPr>
                <w:rFonts w:eastAsia="Times New Roman" w:cstheme="minorHAnsi"/>
                <w:color w:val="000000"/>
                <w:sz w:val="20"/>
                <w:szCs w:val="20"/>
              </w:rPr>
              <w:t>Initial inspection detailing emission problems</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3619D6" w:rsidRPr="003619D6" w:rsidP="003619D6" w14:paraId="505A6A8F"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37B6BEA0"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78BBCF52"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580D7CC4"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18784E56"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5A61F8A1"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7B8C2BF3"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3619D6" w:rsidRPr="003619D6" w:rsidP="003619D6" w14:paraId="4B7F05F5" w14:textId="77777777">
            <w:pPr>
              <w:spacing w:after="0" w:line="240" w:lineRule="auto"/>
              <w:ind w:left="0" w:firstLine="0"/>
              <w:jc w:val="right"/>
              <w:rPr>
                <w:rFonts w:eastAsia="Times New Roman" w:cstheme="minorHAnsi"/>
                <w:color w:val="000000"/>
                <w:sz w:val="20"/>
                <w:szCs w:val="20"/>
              </w:rPr>
            </w:pPr>
            <w:r w:rsidRPr="003619D6">
              <w:rPr>
                <w:rFonts w:eastAsia="Times New Roman" w:cstheme="minorHAnsi"/>
                <w:color w:val="000000"/>
                <w:sz w:val="20"/>
                <w:szCs w:val="20"/>
              </w:rPr>
              <w:t xml:space="preserve">$0 </w:t>
            </w:r>
          </w:p>
        </w:tc>
      </w:tr>
      <w:tr w14:paraId="000DA3F5" w14:textId="77777777" w:rsidTr="00C97D0B">
        <w:tblPrEx>
          <w:tblW w:w="13225" w:type="dxa"/>
          <w:tblLook w:val="04A0"/>
        </w:tblPrEx>
        <w:trPr>
          <w:trHeight w:val="33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3619D6" w:rsidRPr="003619D6" w:rsidP="003619D6" w14:paraId="216A5C97" w14:textId="77777777">
            <w:pPr>
              <w:spacing w:after="0" w:line="240" w:lineRule="auto"/>
              <w:ind w:left="150" w:firstLine="50" w:firstLineChars="25"/>
              <w:rPr>
                <w:rFonts w:eastAsia="Times New Roman" w:cstheme="minorHAnsi"/>
                <w:color w:val="000000"/>
                <w:sz w:val="20"/>
                <w:szCs w:val="20"/>
              </w:rPr>
            </w:pPr>
            <w:r w:rsidRPr="003619D6">
              <w:rPr>
                <w:rFonts w:eastAsia="Times New Roman" w:cstheme="minorHAnsi"/>
                <w:color w:val="000000"/>
                <w:sz w:val="20"/>
                <w:szCs w:val="20"/>
              </w:rPr>
              <w:t xml:space="preserve">Notification of various intent </w:t>
            </w:r>
            <w:r w:rsidRPr="003619D6">
              <w:rPr>
                <w:rFonts w:eastAsia="Times New Roman" w:cstheme="minorHAnsi"/>
                <w:color w:val="000000"/>
                <w:sz w:val="20"/>
                <w:szCs w:val="20"/>
                <w:vertAlign w:val="superscript"/>
              </w:rPr>
              <w:t>c</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3619D6" w:rsidRPr="003619D6" w:rsidP="003619D6" w14:paraId="086EC97A"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1D33FEC7"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6EC1C745"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1B069E00"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67E82A42"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50AA1206"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2782472C"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3619D6" w:rsidRPr="003619D6" w:rsidP="003619D6" w14:paraId="4BF13867" w14:textId="77777777">
            <w:pPr>
              <w:spacing w:after="0" w:line="240" w:lineRule="auto"/>
              <w:ind w:left="0" w:firstLine="0"/>
              <w:jc w:val="right"/>
              <w:rPr>
                <w:rFonts w:eastAsia="Times New Roman" w:cstheme="minorHAnsi"/>
                <w:color w:val="000000"/>
                <w:sz w:val="20"/>
                <w:szCs w:val="20"/>
              </w:rPr>
            </w:pPr>
            <w:r w:rsidRPr="003619D6">
              <w:rPr>
                <w:rFonts w:eastAsia="Times New Roman" w:cstheme="minorHAnsi"/>
                <w:color w:val="000000"/>
                <w:sz w:val="20"/>
                <w:szCs w:val="20"/>
              </w:rPr>
              <w:t xml:space="preserve">$0 </w:t>
            </w:r>
          </w:p>
        </w:tc>
      </w:tr>
      <w:tr w14:paraId="68458BDA" w14:textId="77777777" w:rsidTr="00C97D0B">
        <w:tblPrEx>
          <w:tblW w:w="13225" w:type="dxa"/>
          <w:tblLook w:val="04A0"/>
        </w:tblPrEx>
        <w:trPr>
          <w:trHeight w:val="525"/>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3619D6" w:rsidRPr="003619D6" w:rsidP="003619D6" w14:paraId="2657ADFF" w14:textId="77777777">
            <w:pPr>
              <w:spacing w:after="0" w:line="240" w:lineRule="auto"/>
              <w:ind w:left="150" w:firstLine="50" w:firstLineChars="25"/>
              <w:rPr>
                <w:rFonts w:eastAsia="Times New Roman" w:cstheme="minorHAnsi"/>
                <w:color w:val="000000"/>
                <w:sz w:val="20"/>
                <w:szCs w:val="20"/>
              </w:rPr>
            </w:pPr>
            <w:r w:rsidRPr="003619D6">
              <w:rPr>
                <w:rFonts w:eastAsia="Times New Roman" w:cstheme="minorHAnsi"/>
                <w:color w:val="000000"/>
                <w:sz w:val="20"/>
                <w:szCs w:val="20"/>
              </w:rPr>
              <w:t>Demonstration for alternative operational or process parameter</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3619D6" w:rsidRPr="003619D6" w:rsidP="003619D6" w14:paraId="0CBAC7C3"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748E46D3"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113FF555"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5DB367EA"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46A65207"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75A59E19"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6DAF10D4"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3619D6" w:rsidRPr="003619D6" w:rsidP="003619D6" w14:paraId="702576A5" w14:textId="77777777">
            <w:pPr>
              <w:spacing w:after="0" w:line="240" w:lineRule="auto"/>
              <w:ind w:left="0" w:firstLine="0"/>
              <w:jc w:val="right"/>
              <w:rPr>
                <w:rFonts w:eastAsia="Times New Roman" w:cstheme="minorHAnsi"/>
                <w:color w:val="000000"/>
                <w:sz w:val="20"/>
                <w:szCs w:val="20"/>
              </w:rPr>
            </w:pPr>
            <w:r w:rsidRPr="003619D6">
              <w:rPr>
                <w:rFonts w:eastAsia="Times New Roman" w:cstheme="minorHAnsi"/>
                <w:color w:val="000000"/>
                <w:sz w:val="20"/>
                <w:szCs w:val="20"/>
              </w:rPr>
              <w:t xml:space="preserve">$0 </w:t>
            </w:r>
          </w:p>
        </w:tc>
      </w:tr>
      <w:tr w14:paraId="072138E4" w14:textId="77777777" w:rsidTr="00C97D0B">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3619D6" w:rsidRPr="003619D6" w:rsidP="003619D6" w14:paraId="4F132A66" w14:textId="77777777">
            <w:pPr>
              <w:spacing w:after="0" w:line="240" w:lineRule="auto"/>
              <w:ind w:left="0" w:firstLine="200" w:firstLineChars="100"/>
              <w:rPr>
                <w:rFonts w:eastAsia="Times New Roman" w:cstheme="minorHAnsi"/>
                <w:color w:val="000000"/>
                <w:sz w:val="20"/>
                <w:szCs w:val="20"/>
              </w:rPr>
            </w:pPr>
            <w:r w:rsidRPr="003619D6">
              <w:rPr>
                <w:rFonts w:eastAsia="Times New Roman" w:cstheme="minorHAnsi"/>
                <w:color w:val="000000"/>
                <w:sz w:val="20"/>
                <w:szCs w:val="20"/>
              </w:rPr>
              <w:t>Notification of delay in compliance</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3619D6" w:rsidRPr="003619D6" w:rsidP="003619D6" w14:paraId="2D4E5CBA"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324824F6"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14BEBF98"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74C8F5F8"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5C911D6F"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46230C5B"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499DE184"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3619D6" w:rsidRPr="003619D6" w:rsidP="003619D6" w14:paraId="48E1525B" w14:textId="77777777">
            <w:pPr>
              <w:spacing w:after="0" w:line="240" w:lineRule="auto"/>
              <w:ind w:left="0" w:firstLine="0"/>
              <w:jc w:val="right"/>
              <w:rPr>
                <w:rFonts w:eastAsia="Times New Roman" w:cstheme="minorHAnsi"/>
                <w:color w:val="000000"/>
                <w:sz w:val="20"/>
                <w:szCs w:val="20"/>
              </w:rPr>
            </w:pPr>
            <w:r w:rsidRPr="003619D6">
              <w:rPr>
                <w:rFonts w:eastAsia="Times New Roman" w:cstheme="minorHAnsi"/>
                <w:color w:val="000000"/>
                <w:sz w:val="20"/>
                <w:szCs w:val="20"/>
              </w:rPr>
              <w:t xml:space="preserve">$0 </w:t>
            </w:r>
          </w:p>
        </w:tc>
      </w:tr>
      <w:tr w14:paraId="3FA3AD06" w14:textId="77777777" w:rsidTr="00C97D0B">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3619D6" w:rsidRPr="003619D6" w:rsidP="003619D6" w14:paraId="20902F6A" w14:textId="77777777">
            <w:pPr>
              <w:spacing w:after="0" w:line="240" w:lineRule="auto"/>
              <w:ind w:left="0" w:firstLine="200" w:firstLineChars="100"/>
              <w:rPr>
                <w:rFonts w:eastAsia="Times New Roman" w:cstheme="minorHAnsi"/>
                <w:color w:val="000000"/>
                <w:sz w:val="20"/>
                <w:szCs w:val="20"/>
              </w:rPr>
            </w:pPr>
            <w:r w:rsidRPr="003619D6">
              <w:rPr>
                <w:rFonts w:eastAsia="Times New Roman" w:cstheme="minorHAnsi"/>
                <w:color w:val="000000"/>
                <w:sz w:val="20"/>
                <w:szCs w:val="20"/>
              </w:rPr>
              <w:t>Notification of initial performance test</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3619D6" w:rsidRPr="003619D6" w:rsidP="003619D6" w14:paraId="5677ABE8"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480AB82D"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5E486878"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1ADCA06F"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1D0377D3"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2918A7A8"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31E48EE1"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3619D6" w:rsidRPr="003619D6" w:rsidP="003619D6" w14:paraId="284A2615" w14:textId="77777777">
            <w:pPr>
              <w:spacing w:after="0" w:line="240" w:lineRule="auto"/>
              <w:ind w:left="0" w:firstLine="0"/>
              <w:jc w:val="right"/>
              <w:rPr>
                <w:rFonts w:eastAsia="Times New Roman" w:cstheme="minorHAnsi"/>
                <w:color w:val="000000"/>
                <w:sz w:val="20"/>
                <w:szCs w:val="20"/>
              </w:rPr>
            </w:pPr>
            <w:r w:rsidRPr="003619D6">
              <w:rPr>
                <w:rFonts w:eastAsia="Times New Roman" w:cstheme="minorHAnsi"/>
                <w:color w:val="000000"/>
                <w:sz w:val="20"/>
                <w:szCs w:val="20"/>
              </w:rPr>
              <w:t xml:space="preserve">$0 </w:t>
            </w:r>
          </w:p>
        </w:tc>
      </w:tr>
      <w:tr w14:paraId="03B22A74" w14:textId="77777777" w:rsidTr="00C97D0B">
        <w:tblPrEx>
          <w:tblW w:w="13225" w:type="dxa"/>
          <w:tblLook w:val="04A0"/>
        </w:tblPrEx>
        <w:trPr>
          <w:trHeight w:val="30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3619D6" w:rsidRPr="003619D6" w:rsidP="003619D6" w14:paraId="05319E45" w14:textId="77777777">
            <w:pPr>
              <w:spacing w:after="0" w:line="240" w:lineRule="auto"/>
              <w:ind w:left="0" w:firstLine="200" w:firstLineChars="100"/>
              <w:rPr>
                <w:rFonts w:eastAsia="Times New Roman" w:cstheme="minorHAnsi"/>
                <w:color w:val="000000"/>
                <w:sz w:val="20"/>
                <w:szCs w:val="20"/>
              </w:rPr>
            </w:pPr>
            <w:r w:rsidRPr="003619D6">
              <w:rPr>
                <w:rFonts w:eastAsia="Times New Roman" w:cstheme="minorHAnsi"/>
                <w:color w:val="000000"/>
                <w:sz w:val="20"/>
                <w:szCs w:val="20"/>
              </w:rPr>
              <w:t>Initial performance test report for flares</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3619D6" w:rsidRPr="003619D6" w:rsidP="003619D6" w14:paraId="5B915D6F"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1166"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72BA5725"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1</w:t>
            </w:r>
          </w:p>
        </w:tc>
        <w:tc>
          <w:tcPr>
            <w:tcW w:w="1089"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71AE0EE4"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94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3D7E22C3"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001"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2B0855E7"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79D44832"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96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5FE298BA"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0</w:t>
            </w:r>
          </w:p>
        </w:tc>
        <w:tc>
          <w:tcPr>
            <w:tcW w:w="1396" w:type="dxa"/>
            <w:tcBorders>
              <w:top w:val="nil"/>
              <w:left w:val="nil"/>
              <w:bottom w:val="single" w:sz="4" w:space="0" w:color="auto"/>
              <w:right w:val="single" w:sz="4" w:space="0" w:color="auto"/>
            </w:tcBorders>
            <w:shd w:val="clear" w:color="auto" w:fill="auto"/>
            <w:noWrap/>
            <w:vAlign w:val="bottom"/>
            <w:hideMark/>
          </w:tcPr>
          <w:p w:rsidR="003619D6" w:rsidRPr="003619D6" w:rsidP="003619D6" w14:paraId="130A0D70" w14:textId="77777777">
            <w:pPr>
              <w:spacing w:after="0" w:line="240" w:lineRule="auto"/>
              <w:ind w:left="0" w:firstLine="0"/>
              <w:jc w:val="right"/>
              <w:rPr>
                <w:rFonts w:eastAsia="Times New Roman" w:cstheme="minorHAnsi"/>
                <w:color w:val="000000"/>
                <w:sz w:val="20"/>
                <w:szCs w:val="20"/>
              </w:rPr>
            </w:pPr>
            <w:r w:rsidRPr="003619D6">
              <w:rPr>
                <w:rFonts w:eastAsia="Times New Roman" w:cstheme="minorHAnsi"/>
                <w:color w:val="000000"/>
                <w:sz w:val="20"/>
                <w:szCs w:val="20"/>
              </w:rPr>
              <w:t xml:space="preserve">$0 </w:t>
            </w:r>
          </w:p>
        </w:tc>
      </w:tr>
      <w:tr w14:paraId="3A733F2F" w14:textId="77777777" w:rsidTr="00C97D0B">
        <w:tblPrEx>
          <w:tblW w:w="13225" w:type="dxa"/>
          <w:tblLook w:val="04A0"/>
        </w:tblPrEx>
        <w:trPr>
          <w:trHeight w:val="33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3619D6" w:rsidRPr="003619D6" w:rsidP="003619D6" w14:paraId="6513506C" w14:textId="77777777">
            <w:pPr>
              <w:spacing w:after="0" w:line="240" w:lineRule="auto"/>
              <w:ind w:left="0" w:firstLine="200" w:firstLineChars="100"/>
              <w:rPr>
                <w:rFonts w:eastAsia="Times New Roman" w:cstheme="minorHAnsi"/>
                <w:color w:val="000000"/>
                <w:sz w:val="20"/>
                <w:szCs w:val="20"/>
              </w:rPr>
            </w:pPr>
            <w:r w:rsidRPr="003619D6">
              <w:rPr>
                <w:rFonts w:eastAsia="Times New Roman" w:cstheme="minorHAnsi"/>
                <w:color w:val="000000"/>
                <w:sz w:val="20"/>
                <w:szCs w:val="20"/>
              </w:rPr>
              <w:t xml:space="preserve">Review of semiannual reports </w:t>
            </w:r>
            <w:r w:rsidRPr="003619D6">
              <w:rPr>
                <w:rFonts w:eastAsia="Times New Roman" w:cstheme="minorHAnsi"/>
                <w:color w:val="000000"/>
                <w:sz w:val="20"/>
                <w:szCs w:val="20"/>
                <w:vertAlign w:val="superscript"/>
              </w:rPr>
              <w:t>d</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3619D6" w:rsidRPr="003619D6" w:rsidP="003619D6" w14:paraId="3101267D"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8</w:t>
            </w:r>
          </w:p>
        </w:tc>
        <w:tc>
          <w:tcPr>
            <w:tcW w:w="1166"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142E486E"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w:t>
            </w:r>
          </w:p>
        </w:tc>
        <w:tc>
          <w:tcPr>
            <w:tcW w:w="1089"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4E9D4E38"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16</w:t>
            </w:r>
          </w:p>
        </w:tc>
        <w:tc>
          <w:tcPr>
            <w:tcW w:w="94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03CEA545"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130</w:t>
            </w:r>
          </w:p>
        </w:tc>
        <w:tc>
          <w:tcPr>
            <w:tcW w:w="1001"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29A70343"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2,080</w:t>
            </w:r>
          </w:p>
        </w:tc>
        <w:tc>
          <w:tcPr>
            <w:tcW w:w="1255"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0734E7DA"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104</w:t>
            </w:r>
          </w:p>
        </w:tc>
        <w:tc>
          <w:tcPr>
            <w:tcW w:w="96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13AF46C0"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208</w:t>
            </w:r>
          </w:p>
        </w:tc>
        <w:tc>
          <w:tcPr>
            <w:tcW w:w="1396" w:type="dxa"/>
            <w:tcBorders>
              <w:top w:val="nil"/>
              <w:left w:val="nil"/>
              <w:bottom w:val="single" w:sz="4" w:space="0" w:color="auto"/>
              <w:right w:val="single" w:sz="4" w:space="0" w:color="auto"/>
            </w:tcBorders>
            <w:shd w:val="clear" w:color="auto" w:fill="auto"/>
            <w:noWrap/>
            <w:vAlign w:val="bottom"/>
            <w:hideMark/>
          </w:tcPr>
          <w:p w:rsidR="003619D6" w:rsidRPr="003619D6" w:rsidP="003619D6" w14:paraId="463A0233" w14:textId="77777777">
            <w:pPr>
              <w:spacing w:after="0" w:line="240" w:lineRule="auto"/>
              <w:ind w:left="0" w:firstLine="0"/>
              <w:jc w:val="right"/>
              <w:rPr>
                <w:rFonts w:eastAsia="Times New Roman" w:cstheme="minorHAnsi"/>
                <w:color w:val="000000"/>
                <w:sz w:val="20"/>
                <w:szCs w:val="20"/>
              </w:rPr>
            </w:pPr>
            <w:r w:rsidRPr="003619D6">
              <w:rPr>
                <w:rFonts w:eastAsia="Times New Roman" w:cstheme="minorHAnsi"/>
                <w:color w:val="000000"/>
                <w:sz w:val="20"/>
                <w:szCs w:val="20"/>
              </w:rPr>
              <w:t xml:space="preserve">$158,106.00 </w:t>
            </w:r>
          </w:p>
        </w:tc>
      </w:tr>
      <w:tr w14:paraId="0BC442C3" w14:textId="77777777" w:rsidTr="00C97D0B">
        <w:tblPrEx>
          <w:tblW w:w="13225" w:type="dxa"/>
          <w:tblLook w:val="04A0"/>
        </w:tblPrEx>
        <w:trPr>
          <w:trHeight w:val="330"/>
        </w:trPr>
        <w:tc>
          <w:tcPr>
            <w:tcW w:w="4313" w:type="dxa"/>
            <w:tcBorders>
              <w:top w:val="nil"/>
              <w:left w:val="single" w:sz="4" w:space="0" w:color="auto"/>
              <w:bottom w:val="single" w:sz="4" w:space="0" w:color="auto"/>
              <w:right w:val="single" w:sz="4" w:space="0" w:color="auto"/>
            </w:tcBorders>
            <w:shd w:val="clear" w:color="auto" w:fill="auto"/>
            <w:vAlign w:val="bottom"/>
            <w:hideMark/>
          </w:tcPr>
          <w:p w:rsidR="003619D6" w:rsidRPr="003619D6" w:rsidP="003619D6" w14:paraId="724BD40D" w14:textId="77777777">
            <w:pPr>
              <w:spacing w:after="0" w:line="240" w:lineRule="auto"/>
              <w:ind w:left="0" w:firstLine="0"/>
              <w:rPr>
                <w:rFonts w:eastAsia="Times New Roman" w:cstheme="minorHAnsi"/>
                <w:b/>
                <w:bCs/>
                <w:color w:val="000000"/>
                <w:sz w:val="20"/>
                <w:szCs w:val="20"/>
              </w:rPr>
            </w:pPr>
            <w:r w:rsidRPr="003619D6">
              <w:rPr>
                <w:rFonts w:eastAsia="Times New Roman" w:cstheme="minorHAnsi"/>
                <w:b/>
                <w:bCs/>
                <w:color w:val="000000"/>
                <w:sz w:val="20"/>
                <w:szCs w:val="20"/>
              </w:rPr>
              <w:t>TOTAL COSTS (rounded)</w:t>
            </w:r>
            <w:r w:rsidRPr="003619D6">
              <w:rPr>
                <w:rFonts w:eastAsia="Times New Roman" w:cstheme="minorHAnsi"/>
                <w:b/>
                <w:bCs/>
                <w:color w:val="000000"/>
                <w:sz w:val="20"/>
                <w:szCs w:val="20"/>
                <w:vertAlign w:val="superscript"/>
              </w:rPr>
              <w:t>e</w:t>
            </w:r>
          </w:p>
        </w:tc>
        <w:tc>
          <w:tcPr>
            <w:tcW w:w="1089"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6212D8BA"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 </w:t>
            </w:r>
          </w:p>
        </w:tc>
        <w:tc>
          <w:tcPr>
            <w:tcW w:w="1166"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081147E4"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19FFB405"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01A9F485" w14:textId="77777777">
            <w:pPr>
              <w:spacing w:after="0" w:line="240" w:lineRule="auto"/>
              <w:ind w:left="0" w:firstLine="0"/>
              <w:jc w:val="center"/>
              <w:rPr>
                <w:rFonts w:eastAsia="Times New Roman" w:cstheme="minorHAnsi"/>
                <w:color w:val="000000"/>
                <w:sz w:val="20"/>
                <w:szCs w:val="20"/>
              </w:rPr>
            </w:pPr>
            <w:r w:rsidRPr="003619D6">
              <w:rPr>
                <w:rFonts w:eastAsia="Times New Roman" w:cstheme="minorHAnsi"/>
                <w:color w:val="000000"/>
                <w:sz w:val="20"/>
                <w:szCs w:val="20"/>
              </w:rPr>
              <w:t> </w:t>
            </w:r>
          </w:p>
        </w:tc>
        <w:tc>
          <w:tcPr>
            <w:tcW w:w="322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619D6" w:rsidRPr="003619D6" w:rsidP="003619D6" w14:paraId="7016377A" w14:textId="77777777">
            <w:pPr>
              <w:spacing w:after="0" w:line="240" w:lineRule="auto"/>
              <w:ind w:left="0" w:firstLine="0"/>
              <w:jc w:val="center"/>
              <w:rPr>
                <w:rFonts w:eastAsia="Times New Roman" w:cstheme="minorHAnsi"/>
                <w:b/>
                <w:bCs/>
                <w:color w:val="000000"/>
                <w:sz w:val="20"/>
                <w:szCs w:val="20"/>
              </w:rPr>
            </w:pPr>
            <w:r w:rsidRPr="003619D6">
              <w:rPr>
                <w:rFonts w:eastAsia="Times New Roman" w:cstheme="minorHAnsi"/>
                <w:b/>
                <w:bCs/>
                <w:color w:val="000000"/>
                <w:sz w:val="20"/>
                <w:szCs w:val="20"/>
              </w:rPr>
              <w:t>2,390</w:t>
            </w:r>
          </w:p>
        </w:tc>
        <w:tc>
          <w:tcPr>
            <w:tcW w:w="1396" w:type="dxa"/>
            <w:tcBorders>
              <w:top w:val="nil"/>
              <w:left w:val="nil"/>
              <w:bottom w:val="single" w:sz="4" w:space="0" w:color="auto"/>
              <w:right w:val="single" w:sz="4" w:space="0" w:color="auto"/>
            </w:tcBorders>
            <w:shd w:val="clear" w:color="auto" w:fill="auto"/>
            <w:noWrap/>
            <w:vAlign w:val="center"/>
            <w:hideMark/>
          </w:tcPr>
          <w:p w:rsidR="003619D6" w:rsidRPr="003619D6" w:rsidP="003619D6" w14:paraId="1F5B471F" w14:textId="77777777">
            <w:pPr>
              <w:spacing w:after="0" w:line="240" w:lineRule="auto"/>
              <w:ind w:left="0" w:firstLine="0"/>
              <w:jc w:val="center"/>
              <w:rPr>
                <w:rFonts w:eastAsia="Times New Roman" w:cstheme="minorHAnsi"/>
                <w:b/>
                <w:bCs/>
                <w:color w:val="000000"/>
                <w:sz w:val="20"/>
                <w:szCs w:val="20"/>
              </w:rPr>
            </w:pPr>
            <w:r w:rsidRPr="003619D6">
              <w:rPr>
                <w:rFonts w:eastAsia="Times New Roman" w:cstheme="minorHAnsi"/>
                <w:b/>
                <w:bCs/>
                <w:color w:val="000000"/>
                <w:sz w:val="20"/>
                <w:szCs w:val="20"/>
              </w:rPr>
              <w:t xml:space="preserve">$158,000 </w:t>
            </w:r>
          </w:p>
        </w:tc>
      </w:tr>
      <w:tr w14:paraId="36C791B0" w14:textId="77777777" w:rsidTr="00C97D0B">
        <w:tblPrEx>
          <w:tblW w:w="13225" w:type="dxa"/>
          <w:tblLook w:val="04A0"/>
        </w:tblPrEx>
        <w:trPr>
          <w:trHeight w:val="300"/>
        </w:trPr>
        <w:tc>
          <w:tcPr>
            <w:tcW w:w="4313" w:type="dxa"/>
            <w:tcBorders>
              <w:top w:val="nil"/>
              <w:left w:val="nil"/>
              <w:bottom w:val="nil"/>
              <w:right w:val="nil"/>
            </w:tcBorders>
            <w:shd w:val="clear" w:color="auto" w:fill="auto"/>
            <w:noWrap/>
            <w:vAlign w:val="bottom"/>
            <w:hideMark/>
          </w:tcPr>
          <w:p w:rsidR="003619D6" w:rsidRPr="003619D6" w:rsidP="003619D6" w14:paraId="0341E5CC" w14:textId="77777777">
            <w:pPr>
              <w:spacing w:after="0" w:line="240" w:lineRule="auto"/>
              <w:ind w:left="0" w:firstLine="0"/>
              <w:jc w:val="center"/>
              <w:rPr>
                <w:rFonts w:eastAsia="Times New Roman" w:cstheme="minorHAnsi"/>
                <w:b/>
                <w:bCs/>
                <w:color w:val="000000"/>
                <w:sz w:val="20"/>
                <w:szCs w:val="20"/>
              </w:rPr>
            </w:pPr>
          </w:p>
        </w:tc>
        <w:tc>
          <w:tcPr>
            <w:tcW w:w="1089" w:type="dxa"/>
            <w:tcBorders>
              <w:top w:val="nil"/>
              <w:left w:val="nil"/>
              <w:bottom w:val="nil"/>
              <w:right w:val="nil"/>
            </w:tcBorders>
            <w:shd w:val="clear" w:color="auto" w:fill="auto"/>
            <w:noWrap/>
            <w:vAlign w:val="bottom"/>
            <w:hideMark/>
          </w:tcPr>
          <w:p w:rsidR="003619D6" w:rsidRPr="003619D6" w:rsidP="003619D6" w14:paraId="12196402" w14:textId="77777777">
            <w:pPr>
              <w:spacing w:after="0" w:line="240" w:lineRule="auto"/>
              <w:ind w:left="0" w:firstLine="0"/>
              <w:rPr>
                <w:rFonts w:eastAsia="Times New Roman" w:cstheme="minorHAnsi"/>
                <w:sz w:val="20"/>
                <w:szCs w:val="20"/>
              </w:rPr>
            </w:pPr>
          </w:p>
        </w:tc>
        <w:tc>
          <w:tcPr>
            <w:tcW w:w="1166" w:type="dxa"/>
            <w:tcBorders>
              <w:top w:val="nil"/>
              <w:left w:val="nil"/>
              <w:bottom w:val="nil"/>
              <w:right w:val="nil"/>
            </w:tcBorders>
            <w:shd w:val="clear" w:color="auto" w:fill="auto"/>
            <w:noWrap/>
            <w:vAlign w:val="bottom"/>
            <w:hideMark/>
          </w:tcPr>
          <w:p w:rsidR="003619D6" w:rsidRPr="003619D6" w:rsidP="003619D6" w14:paraId="731E4A3D" w14:textId="77777777">
            <w:pPr>
              <w:spacing w:after="0" w:line="240" w:lineRule="auto"/>
              <w:ind w:left="0" w:firstLine="0"/>
              <w:rPr>
                <w:rFonts w:eastAsia="Times New Roman" w:cstheme="minorHAnsi"/>
                <w:sz w:val="20"/>
                <w:szCs w:val="20"/>
              </w:rPr>
            </w:pPr>
          </w:p>
        </w:tc>
        <w:tc>
          <w:tcPr>
            <w:tcW w:w="1089" w:type="dxa"/>
            <w:tcBorders>
              <w:top w:val="nil"/>
              <w:left w:val="nil"/>
              <w:bottom w:val="nil"/>
              <w:right w:val="nil"/>
            </w:tcBorders>
            <w:shd w:val="clear" w:color="auto" w:fill="auto"/>
            <w:noWrap/>
            <w:vAlign w:val="bottom"/>
            <w:hideMark/>
          </w:tcPr>
          <w:p w:rsidR="003619D6" w:rsidRPr="003619D6" w:rsidP="003619D6" w14:paraId="6C12E8C3" w14:textId="77777777">
            <w:pPr>
              <w:spacing w:after="0" w:line="240" w:lineRule="auto"/>
              <w:ind w:left="0" w:firstLine="0"/>
              <w:rPr>
                <w:rFonts w:eastAsia="Times New Roman" w:cstheme="minorHAnsi"/>
                <w:sz w:val="20"/>
                <w:szCs w:val="20"/>
              </w:rPr>
            </w:pPr>
          </w:p>
        </w:tc>
        <w:tc>
          <w:tcPr>
            <w:tcW w:w="948" w:type="dxa"/>
            <w:tcBorders>
              <w:top w:val="nil"/>
              <w:left w:val="nil"/>
              <w:bottom w:val="nil"/>
              <w:right w:val="nil"/>
            </w:tcBorders>
            <w:shd w:val="clear" w:color="auto" w:fill="auto"/>
            <w:noWrap/>
            <w:vAlign w:val="bottom"/>
            <w:hideMark/>
          </w:tcPr>
          <w:p w:rsidR="003619D6" w:rsidRPr="003619D6" w:rsidP="003619D6" w14:paraId="2C78828B" w14:textId="77777777">
            <w:pPr>
              <w:spacing w:after="0" w:line="240" w:lineRule="auto"/>
              <w:ind w:left="0" w:firstLine="0"/>
              <w:rPr>
                <w:rFonts w:eastAsia="Times New Roman" w:cstheme="minorHAnsi"/>
                <w:sz w:val="20"/>
                <w:szCs w:val="20"/>
              </w:rPr>
            </w:pPr>
          </w:p>
        </w:tc>
        <w:tc>
          <w:tcPr>
            <w:tcW w:w="1001" w:type="dxa"/>
            <w:tcBorders>
              <w:top w:val="nil"/>
              <w:left w:val="nil"/>
              <w:bottom w:val="nil"/>
              <w:right w:val="nil"/>
            </w:tcBorders>
            <w:shd w:val="clear" w:color="auto" w:fill="auto"/>
            <w:noWrap/>
            <w:vAlign w:val="bottom"/>
            <w:hideMark/>
          </w:tcPr>
          <w:p w:rsidR="003619D6" w:rsidRPr="003619D6" w:rsidP="003619D6" w14:paraId="2634D229" w14:textId="77777777">
            <w:pPr>
              <w:spacing w:after="0" w:line="240" w:lineRule="auto"/>
              <w:ind w:left="0" w:firstLine="0"/>
              <w:rPr>
                <w:rFonts w:eastAsia="Times New Roman" w:cstheme="minorHAnsi"/>
                <w:sz w:val="20"/>
                <w:szCs w:val="20"/>
              </w:rPr>
            </w:pPr>
          </w:p>
        </w:tc>
        <w:tc>
          <w:tcPr>
            <w:tcW w:w="1255" w:type="dxa"/>
            <w:tcBorders>
              <w:top w:val="nil"/>
              <w:left w:val="nil"/>
              <w:bottom w:val="nil"/>
              <w:right w:val="nil"/>
            </w:tcBorders>
            <w:shd w:val="clear" w:color="auto" w:fill="auto"/>
            <w:noWrap/>
            <w:vAlign w:val="bottom"/>
            <w:hideMark/>
          </w:tcPr>
          <w:p w:rsidR="003619D6" w:rsidRPr="003619D6" w:rsidP="003619D6" w14:paraId="536F2332" w14:textId="77777777">
            <w:pPr>
              <w:spacing w:after="0" w:line="240" w:lineRule="auto"/>
              <w:ind w:left="0" w:firstLine="0"/>
              <w:rPr>
                <w:rFonts w:eastAsia="Times New Roman" w:cstheme="minorHAnsi"/>
                <w:sz w:val="20"/>
                <w:szCs w:val="20"/>
              </w:rPr>
            </w:pPr>
          </w:p>
        </w:tc>
        <w:tc>
          <w:tcPr>
            <w:tcW w:w="968" w:type="dxa"/>
            <w:tcBorders>
              <w:top w:val="nil"/>
              <w:left w:val="nil"/>
              <w:bottom w:val="nil"/>
              <w:right w:val="nil"/>
            </w:tcBorders>
            <w:shd w:val="clear" w:color="auto" w:fill="auto"/>
            <w:noWrap/>
            <w:vAlign w:val="bottom"/>
            <w:hideMark/>
          </w:tcPr>
          <w:p w:rsidR="003619D6" w:rsidRPr="003619D6" w:rsidP="003619D6" w14:paraId="69A606C2" w14:textId="77777777">
            <w:pPr>
              <w:spacing w:after="0" w:line="240" w:lineRule="auto"/>
              <w:ind w:left="0" w:firstLine="0"/>
              <w:rPr>
                <w:rFonts w:eastAsia="Times New Roman" w:cstheme="minorHAnsi"/>
                <w:sz w:val="20"/>
                <w:szCs w:val="20"/>
              </w:rPr>
            </w:pPr>
          </w:p>
        </w:tc>
        <w:tc>
          <w:tcPr>
            <w:tcW w:w="1396" w:type="dxa"/>
            <w:tcBorders>
              <w:top w:val="nil"/>
              <w:left w:val="nil"/>
              <w:bottom w:val="nil"/>
              <w:right w:val="nil"/>
            </w:tcBorders>
            <w:shd w:val="clear" w:color="auto" w:fill="auto"/>
            <w:noWrap/>
            <w:vAlign w:val="bottom"/>
            <w:hideMark/>
          </w:tcPr>
          <w:p w:rsidR="003619D6" w:rsidRPr="003619D6" w:rsidP="003619D6" w14:paraId="215E3943" w14:textId="77777777">
            <w:pPr>
              <w:spacing w:after="0" w:line="240" w:lineRule="auto"/>
              <w:ind w:left="0" w:firstLine="0"/>
              <w:rPr>
                <w:rFonts w:eastAsia="Times New Roman" w:cstheme="minorHAnsi"/>
                <w:sz w:val="20"/>
                <w:szCs w:val="20"/>
              </w:rPr>
            </w:pPr>
          </w:p>
        </w:tc>
      </w:tr>
      <w:tr w14:paraId="188F5E00" w14:textId="77777777" w:rsidTr="00C97D0B">
        <w:tblPrEx>
          <w:tblW w:w="13225" w:type="dxa"/>
          <w:tblLook w:val="04A0"/>
        </w:tblPrEx>
        <w:trPr>
          <w:trHeight w:val="300"/>
        </w:trPr>
        <w:tc>
          <w:tcPr>
            <w:tcW w:w="4313" w:type="dxa"/>
            <w:tcBorders>
              <w:top w:val="nil"/>
              <w:left w:val="nil"/>
              <w:bottom w:val="nil"/>
              <w:right w:val="nil"/>
            </w:tcBorders>
            <w:shd w:val="clear" w:color="auto" w:fill="auto"/>
            <w:noWrap/>
            <w:vAlign w:val="center"/>
            <w:hideMark/>
          </w:tcPr>
          <w:p w:rsidR="003619D6" w:rsidRPr="003619D6" w:rsidP="003619D6" w14:paraId="212CD851" w14:textId="77777777">
            <w:pPr>
              <w:spacing w:after="0" w:line="240" w:lineRule="auto"/>
              <w:ind w:left="0" w:firstLine="0"/>
              <w:jc w:val="both"/>
              <w:rPr>
                <w:rFonts w:eastAsia="Times New Roman" w:cstheme="minorHAnsi"/>
                <w:color w:val="000000"/>
                <w:sz w:val="20"/>
                <w:szCs w:val="20"/>
              </w:rPr>
            </w:pPr>
            <w:r w:rsidRPr="003619D6">
              <w:rPr>
                <w:rFonts w:eastAsia="Times New Roman" w:cstheme="minorHAnsi"/>
                <w:color w:val="000000"/>
                <w:sz w:val="20"/>
                <w:szCs w:val="20"/>
              </w:rPr>
              <w:t>Assumptions:</w:t>
            </w:r>
          </w:p>
        </w:tc>
        <w:tc>
          <w:tcPr>
            <w:tcW w:w="1089" w:type="dxa"/>
            <w:tcBorders>
              <w:top w:val="nil"/>
              <w:left w:val="nil"/>
              <w:bottom w:val="nil"/>
              <w:right w:val="nil"/>
            </w:tcBorders>
            <w:shd w:val="clear" w:color="auto" w:fill="auto"/>
            <w:noWrap/>
            <w:vAlign w:val="bottom"/>
            <w:hideMark/>
          </w:tcPr>
          <w:p w:rsidR="003619D6" w:rsidRPr="003619D6" w:rsidP="003619D6" w14:paraId="50736AED" w14:textId="77777777">
            <w:pPr>
              <w:spacing w:after="0" w:line="240" w:lineRule="auto"/>
              <w:ind w:left="0" w:firstLine="0"/>
              <w:jc w:val="both"/>
              <w:rPr>
                <w:rFonts w:eastAsia="Times New Roman" w:cstheme="minorHAnsi"/>
                <w:color w:val="000000"/>
                <w:sz w:val="20"/>
                <w:szCs w:val="20"/>
              </w:rPr>
            </w:pPr>
          </w:p>
        </w:tc>
        <w:tc>
          <w:tcPr>
            <w:tcW w:w="1166" w:type="dxa"/>
            <w:tcBorders>
              <w:top w:val="nil"/>
              <w:left w:val="nil"/>
              <w:bottom w:val="nil"/>
              <w:right w:val="nil"/>
            </w:tcBorders>
            <w:shd w:val="clear" w:color="auto" w:fill="auto"/>
            <w:noWrap/>
            <w:vAlign w:val="bottom"/>
            <w:hideMark/>
          </w:tcPr>
          <w:p w:rsidR="003619D6" w:rsidRPr="003619D6" w:rsidP="003619D6" w14:paraId="76D9D538" w14:textId="77777777">
            <w:pPr>
              <w:spacing w:after="0" w:line="240" w:lineRule="auto"/>
              <w:ind w:left="0" w:firstLine="0"/>
              <w:rPr>
                <w:rFonts w:eastAsia="Times New Roman" w:cstheme="minorHAnsi"/>
                <w:sz w:val="20"/>
                <w:szCs w:val="20"/>
              </w:rPr>
            </w:pPr>
          </w:p>
        </w:tc>
        <w:tc>
          <w:tcPr>
            <w:tcW w:w="1089" w:type="dxa"/>
            <w:tcBorders>
              <w:top w:val="nil"/>
              <w:left w:val="nil"/>
              <w:bottom w:val="nil"/>
              <w:right w:val="nil"/>
            </w:tcBorders>
            <w:shd w:val="clear" w:color="auto" w:fill="auto"/>
            <w:noWrap/>
            <w:vAlign w:val="bottom"/>
            <w:hideMark/>
          </w:tcPr>
          <w:p w:rsidR="003619D6" w:rsidRPr="003619D6" w:rsidP="003619D6" w14:paraId="1DD5BE5B" w14:textId="77777777">
            <w:pPr>
              <w:spacing w:after="0" w:line="240" w:lineRule="auto"/>
              <w:ind w:left="0" w:firstLine="0"/>
              <w:rPr>
                <w:rFonts w:eastAsia="Times New Roman" w:cstheme="minorHAnsi"/>
                <w:sz w:val="20"/>
                <w:szCs w:val="20"/>
              </w:rPr>
            </w:pPr>
          </w:p>
        </w:tc>
        <w:tc>
          <w:tcPr>
            <w:tcW w:w="948" w:type="dxa"/>
            <w:tcBorders>
              <w:top w:val="nil"/>
              <w:left w:val="nil"/>
              <w:bottom w:val="nil"/>
              <w:right w:val="nil"/>
            </w:tcBorders>
            <w:shd w:val="clear" w:color="auto" w:fill="auto"/>
            <w:noWrap/>
            <w:vAlign w:val="bottom"/>
            <w:hideMark/>
          </w:tcPr>
          <w:p w:rsidR="003619D6" w:rsidRPr="003619D6" w:rsidP="003619D6" w14:paraId="2BF46A06" w14:textId="77777777">
            <w:pPr>
              <w:spacing w:after="0" w:line="240" w:lineRule="auto"/>
              <w:ind w:left="0" w:firstLine="0"/>
              <w:rPr>
                <w:rFonts w:eastAsia="Times New Roman" w:cstheme="minorHAnsi"/>
                <w:sz w:val="20"/>
                <w:szCs w:val="20"/>
              </w:rPr>
            </w:pPr>
          </w:p>
        </w:tc>
        <w:tc>
          <w:tcPr>
            <w:tcW w:w="1001" w:type="dxa"/>
            <w:tcBorders>
              <w:top w:val="nil"/>
              <w:left w:val="nil"/>
              <w:bottom w:val="nil"/>
              <w:right w:val="nil"/>
            </w:tcBorders>
            <w:shd w:val="clear" w:color="auto" w:fill="auto"/>
            <w:noWrap/>
            <w:vAlign w:val="bottom"/>
            <w:hideMark/>
          </w:tcPr>
          <w:p w:rsidR="003619D6" w:rsidRPr="003619D6" w:rsidP="003619D6" w14:paraId="5A942E29" w14:textId="77777777">
            <w:pPr>
              <w:spacing w:after="0" w:line="240" w:lineRule="auto"/>
              <w:ind w:left="0" w:firstLine="0"/>
              <w:rPr>
                <w:rFonts w:eastAsia="Times New Roman" w:cstheme="minorHAnsi"/>
                <w:sz w:val="20"/>
                <w:szCs w:val="20"/>
              </w:rPr>
            </w:pPr>
          </w:p>
        </w:tc>
        <w:tc>
          <w:tcPr>
            <w:tcW w:w="1255" w:type="dxa"/>
            <w:tcBorders>
              <w:top w:val="nil"/>
              <w:left w:val="nil"/>
              <w:bottom w:val="nil"/>
              <w:right w:val="nil"/>
            </w:tcBorders>
            <w:shd w:val="clear" w:color="auto" w:fill="auto"/>
            <w:noWrap/>
            <w:vAlign w:val="bottom"/>
            <w:hideMark/>
          </w:tcPr>
          <w:p w:rsidR="003619D6" w:rsidRPr="003619D6" w:rsidP="003619D6" w14:paraId="01BBCDC4" w14:textId="77777777">
            <w:pPr>
              <w:spacing w:after="0" w:line="240" w:lineRule="auto"/>
              <w:ind w:left="0" w:firstLine="0"/>
              <w:rPr>
                <w:rFonts w:eastAsia="Times New Roman" w:cstheme="minorHAnsi"/>
                <w:sz w:val="20"/>
                <w:szCs w:val="20"/>
              </w:rPr>
            </w:pPr>
          </w:p>
        </w:tc>
        <w:tc>
          <w:tcPr>
            <w:tcW w:w="968" w:type="dxa"/>
            <w:tcBorders>
              <w:top w:val="nil"/>
              <w:left w:val="nil"/>
              <w:bottom w:val="nil"/>
              <w:right w:val="nil"/>
            </w:tcBorders>
            <w:shd w:val="clear" w:color="auto" w:fill="auto"/>
            <w:noWrap/>
            <w:vAlign w:val="bottom"/>
            <w:hideMark/>
          </w:tcPr>
          <w:p w:rsidR="003619D6" w:rsidRPr="003619D6" w:rsidP="003619D6" w14:paraId="1CD176C7" w14:textId="77777777">
            <w:pPr>
              <w:spacing w:after="0" w:line="240" w:lineRule="auto"/>
              <w:ind w:left="0" w:firstLine="0"/>
              <w:rPr>
                <w:rFonts w:eastAsia="Times New Roman" w:cstheme="minorHAnsi"/>
                <w:sz w:val="20"/>
                <w:szCs w:val="20"/>
              </w:rPr>
            </w:pPr>
          </w:p>
        </w:tc>
        <w:tc>
          <w:tcPr>
            <w:tcW w:w="1396" w:type="dxa"/>
            <w:tcBorders>
              <w:top w:val="nil"/>
              <w:left w:val="nil"/>
              <w:bottom w:val="nil"/>
              <w:right w:val="nil"/>
            </w:tcBorders>
            <w:shd w:val="clear" w:color="auto" w:fill="auto"/>
            <w:noWrap/>
            <w:vAlign w:val="bottom"/>
            <w:hideMark/>
          </w:tcPr>
          <w:p w:rsidR="003619D6" w:rsidRPr="003619D6" w:rsidP="003619D6" w14:paraId="2AC667F8" w14:textId="77777777">
            <w:pPr>
              <w:spacing w:after="0" w:line="240" w:lineRule="auto"/>
              <w:ind w:left="0" w:firstLine="0"/>
              <w:rPr>
                <w:rFonts w:eastAsia="Times New Roman" w:cstheme="minorHAnsi"/>
                <w:sz w:val="20"/>
                <w:szCs w:val="20"/>
              </w:rPr>
            </w:pPr>
          </w:p>
        </w:tc>
      </w:tr>
      <w:tr w14:paraId="18809E3D" w14:textId="77777777" w:rsidTr="00C97D0B">
        <w:tblPrEx>
          <w:tblW w:w="13225" w:type="dxa"/>
          <w:tblLook w:val="04A0"/>
        </w:tblPrEx>
        <w:trPr>
          <w:trHeight w:val="675"/>
        </w:trPr>
        <w:tc>
          <w:tcPr>
            <w:tcW w:w="13225" w:type="dxa"/>
            <w:gridSpan w:val="9"/>
            <w:tcBorders>
              <w:top w:val="nil"/>
              <w:left w:val="nil"/>
              <w:bottom w:val="nil"/>
              <w:right w:val="nil"/>
            </w:tcBorders>
            <w:shd w:val="clear" w:color="auto" w:fill="auto"/>
            <w:hideMark/>
          </w:tcPr>
          <w:p w:rsidR="003619D6" w:rsidRPr="003619D6" w:rsidP="003619D6" w14:paraId="4F15F5B9" w14:textId="77777777">
            <w:pPr>
              <w:spacing w:after="0" w:line="240" w:lineRule="auto"/>
              <w:ind w:left="0" w:firstLine="0"/>
              <w:rPr>
                <w:rFonts w:eastAsia="Times New Roman" w:cstheme="minorHAnsi"/>
                <w:color w:val="000000"/>
                <w:sz w:val="20"/>
                <w:szCs w:val="20"/>
              </w:rPr>
            </w:pPr>
            <w:r w:rsidRPr="003619D6">
              <w:rPr>
                <w:rFonts w:eastAsia="Times New Roman" w:cstheme="minorHAnsi"/>
                <w:color w:val="000000"/>
                <w:sz w:val="20"/>
                <w:szCs w:val="20"/>
                <w:vertAlign w:val="superscript"/>
              </w:rPr>
              <w:t>a</w:t>
            </w:r>
            <w:r w:rsidRPr="003619D6">
              <w:rPr>
                <w:rFonts w:eastAsia="Times New Roman" w:cstheme="minorHAnsi"/>
                <w:color w:val="000000"/>
                <w:sz w:val="20"/>
                <w:szCs w:val="20"/>
              </w:rPr>
              <w:t xml:space="preserve"> We have assumed that the average number of respondents that will be subject to the rule will be 130. There will be no additional new sources that will become subject to the rule over the three-year period of this ICR.</w:t>
            </w:r>
          </w:p>
        </w:tc>
      </w:tr>
      <w:tr w14:paraId="4671E76D" w14:textId="77777777" w:rsidTr="00C97D0B">
        <w:tblPrEx>
          <w:tblW w:w="13225" w:type="dxa"/>
          <w:tblLook w:val="04A0"/>
        </w:tblPrEx>
        <w:trPr>
          <w:trHeight w:val="945"/>
        </w:trPr>
        <w:tc>
          <w:tcPr>
            <w:tcW w:w="13225" w:type="dxa"/>
            <w:gridSpan w:val="9"/>
            <w:tcBorders>
              <w:top w:val="nil"/>
              <w:left w:val="nil"/>
              <w:bottom w:val="nil"/>
              <w:right w:val="nil"/>
            </w:tcBorders>
            <w:shd w:val="clear" w:color="auto" w:fill="auto"/>
            <w:hideMark/>
          </w:tcPr>
          <w:p w:rsidR="003619D6" w:rsidRPr="003619D6" w:rsidP="003619D6" w14:paraId="19435072" w14:textId="77777777">
            <w:pPr>
              <w:spacing w:after="0" w:line="240" w:lineRule="auto"/>
              <w:ind w:left="0" w:firstLine="0"/>
              <w:rPr>
                <w:rFonts w:eastAsia="Times New Roman" w:cstheme="minorHAnsi"/>
                <w:color w:val="000000"/>
                <w:sz w:val="20"/>
                <w:szCs w:val="20"/>
              </w:rPr>
            </w:pPr>
            <w:r w:rsidRPr="003619D6">
              <w:rPr>
                <w:rFonts w:eastAsia="Times New Roman" w:cstheme="minorHAnsi"/>
                <w:color w:val="000000"/>
                <w:sz w:val="20"/>
                <w:szCs w:val="20"/>
                <w:vertAlign w:val="superscript"/>
              </w:rPr>
              <w:t>b</w:t>
            </w:r>
            <w:r w:rsidRPr="003619D6">
              <w:rPr>
                <w:rFonts w:eastAsia="Times New Roman" w:cstheme="minorHAnsi"/>
                <w:color w:val="000000"/>
                <w:sz w:val="20"/>
                <w:szCs w:val="20"/>
              </w:rPr>
              <w:t xml:space="preserve"> This cost is based on the average hourly labor rate as follows: Managerial $70.56 (GS-13, Step 5, $44.10 + 60%); Technical $52.37 (GS-12, Step 1, $32.73 + 60%); and Clerical $28.34 (GS-6, Step 3, $17.17 + 60%). This ICR assumes that Managerial hours are 5 percent of Technical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r>
      <w:tr w14:paraId="09D06AAF" w14:textId="77777777" w:rsidTr="00C97D0B">
        <w:tblPrEx>
          <w:tblW w:w="13225" w:type="dxa"/>
          <w:tblLook w:val="04A0"/>
        </w:tblPrEx>
        <w:trPr>
          <w:trHeight w:val="960"/>
        </w:trPr>
        <w:tc>
          <w:tcPr>
            <w:tcW w:w="13225" w:type="dxa"/>
            <w:gridSpan w:val="9"/>
            <w:tcBorders>
              <w:top w:val="nil"/>
              <w:left w:val="nil"/>
              <w:bottom w:val="nil"/>
              <w:right w:val="nil"/>
            </w:tcBorders>
            <w:shd w:val="clear" w:color="auto" w:fill="auto"/>
            <w:hideMark/>
          </w:tcPr>
          <w:p w:rsidR="003619D6" w:rsidRPr="003619D6" w:rsidP="003619D6" w14:paraId="1AC81B6A" w14:textId="77777777">
            <w:pPr>
              <w:spacing w:after="0" w:line="240" w:lineRule="auto"/>
              <w:ind w:left="0" w:firstLine="0"/>
              <w:rPr>
                <w:rFonts w:eastAsia="Times New Roman" w:cstheme="minorHAnsi"/>
                <w:color w:val="000000"/>
                <w:sz w:val="20"/>
                <w:szCs w:val="20"/>
              </w:rPr>
            </w:pPr>
            <w:r w:rsidRPr="003619D6">
              <w:rPr>
                <w:rFonts w:eastAsia="Times New Roman" w:cstheme="minorHAnsi"/>
                <w:color w:val="000000"/>
                <w:sz w:val="20"/>
                <w:szCs w:val="20"/>
                <w:vertAlign w:val="superscript"/>
              </w:rPr>
              <w:t>c</w:t>
            </w:r>
            <w:r w:rsidRPr="003619D6">
              <w:rPr>
                <w:rFonts w:eastAsia="Times New Roman" w:cstheme="minorHAnsi"/>
                <w:color w:val="000000"/>
                <w:sz w:val="20"/>
                <w:szCs w:val="20"/>
              </w:rPr>
              <w:t xml:space="preserve"> The following notification review is included: election to construct and operate a completely closed drain system; election to construct and operate a floating roof; intent to use an alternative means of emission limitation; and intent to use a VOC control device other than a carbon absorber to meet the requirements of 60.692-5(a).</w:t>
            </w:r>
          </w:p>
        </w:tc>
      </w:tr>
      <w:tr w14:paraId="65ED526C" w14:textId="77777777" w:rsidTr="00C97D0B">
        <w:tblPrEx>
          <w:tblW w:w="13225" w:type="dxa"/>
          <w:tblLook w:val="04A0"/>
        </w:tblPrEx>
        <w:trPr>
          <w:trHeight w:val="315"/>
        </w:trPr>
        <w:tc>
          <w:tcPr>
            <w:tcW w:w="13225" w:type="dxa"/>
            <w:gridSpan w:val="9"/>
            <w:tcBorders>
              <w:top w:val="nil"/>
              <w:left w:val="nil"/>
              <w:bottom w:val="nil"/>
              <w:right w:val="nil"/>
            </w:tcBorders>
            <w:shd w:val="clear" w:color="auto" w:fill="auto"/>
            <w:noWrap/>
            <w:hideMark/>
          </w:tcPr>
          <w:p w:rsidR="003619D6" w:rsidRPr="003619D6" w:rsidP="003619D6" w14:paraId="1B995F64" w14:textId="77777777">
            <w:pPr>
              <w:spacing w:after="0" w:line="240" w:lineRule="auto"/>
              <w:ind w:left="0" w:firstLine="0"/>
              <w:rPr>
                <w:rFonts w:eastAsia="Times New Roman" w:cstheme="minorHAnsi"/>
                <w:color w:val="000000"/>
                <w:sz w:val="20"/>
                <w:szCs w:val="20"/>
              </w:rPr>
            </w:pPr>
            <w:r w:rsidRPr="003619D6">
              <w:rPr>
                <w:rFonts w:eastAsia="Times New Roman" w:cstheme="minorHAnsi"/>
                <w:color w:val="000000"/>
                <w:sz w:val="20"/>
                <w:szCs w:val="20"/>
                <w:vertAlign w:val="superscript"/>
              </w:rPr>
              <w:t>d</w:t>
            </w:r>
            <w:r w:rsidRPr="003619D6">
              <w:rPr>
                <w:rFonts w:eastAsia="Times New Roman" w:cstheme="minorHAnsi"/>
                <w:color w:val="000000"/>
                <w:sz w:val="20"/>
                <w:szCs w:val="20"/>
              </w:rPr>
              <w:t xml:space="preserve"> We have assumed that it will take 8 hours two times per year to review each semiannual report.</w:t>
            </w:r>
          </w:p>
        </w:tc>
      </w:tr>
      <w:tr w14:paraId="3158147A" w14:textId="77777777" w:rsidTr="00C97D0B">
        <w:tblPrEx>
          <w:tblW w:w="13225" w:type="dxa"/>
          <w:tblLook w:val="04A0"/>
        </w:tblPrEx>
        <w:trPr>
          <w:trHeight w:val="315"/>
        </w:trPr>
        <w:tc>
          <w:tcPr>
            <w:tcW w:w="13225" w:type="dxa"/>
            <w:gridSpan w:val="9"/>
            <w:tcBorders>
              <w:top w:val="nil"/>
              <w:left w:val="nil"/>
              <w:bottom w:val="nil"/>
              <w:right w:val="nil"/>
            </w:tcBorders>
            <w:shd w:val="clear" w:color="auto" w:fill="auto"/>
            <w:noWrap/>
            <w:vAlign w:val="center"/>
            <w:hideMark/>
          </w:tcPr>
          <w:p w:rsidR="003619D6" w:rsidRPr="003619D6" w:rsidP="003619D6" w14:paraId="5C7FE3EE" w14:textId="77777777">
            <w:pPr>
              <w:spacing w:after="0" w:line="240" w:lineRule="auto"/>
              <w:ind w:left="0" w:firstLine="0"/>
              <w:rPr>
                <w:rFonts w:eastAsia="Times New Roman" w:cstheme="minorHAnsi"/>
                <w:color w:val="000000"/>
                <w:sz w:val="20"/>
                <w:szCs w:val="20"/>
              </w:rPr>
            </w:pPr>
            <w:r w:rsidRPr="003619D6">
              <w:rPr>
                <w:rFonts w:eastAsia="Times New Roman" w:cstheme="minorHAnsi"/>
                <w:color w:val="000000"/>
                <w:sz w:val="20"/>
                <w:szCs w:val="20"/>
                <w:vertAlign w:val="superscript"/>
              </w:rPr>
              <w:t xml:space="preserve">e </w:t>
            </w:r>
            <w:r w:rsidRPr="003619D6">
              <w:rPr>
                <w:rFonts w:eastAsia="Times New Roman" w:cstheme="minorHAnsi"/>
                <w:color w:val="000000"/>
                <w:sz w:val="20"/>
                <w:szCs w:val="20"/>
              </w:rPr>
              <w:t>Totals have been rounded to 3 significant figures. Figures may not add exactly due to rounding.</w:t>
            </w:r>
          </w:p>
        </w:tc>
      </w:tr>
    </w:tbl>
    <w:p w:rsidR="004B3607" w:rsidRPr="008B3B3E" w:rsidP="00940939" w14:paraId="637711AA" w14:textId="5B98F8C6">
      <w:pPr>
        <w:pStyle w:val="ListParagraph"/>
        <w:spacing w:line="240" w:lineRule="auto"/>
        <w:ind w:left="0" w:firstLine="0"/>
        <w:jc w:val="both"/>
        <w:rPr>
          <w:rFonts w:cstheme="minorHAnsi"/>
        </w:rPr>
      </w:pPr>
    </w:p>
    <w:sectPr w:rsidSect="00E33A3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3EA4FFD"/>
    <w:multiLevelType w:val="hybridMultilevel"/>
    <w:tmpl w:val="C1209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3">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D422463"/>
    <w:multiLevelType w:val="hybridMultilevel"/>
    <w:tmpl w:val="CA944AD8"/>
    <w:lvl w:ilvl="0">
      <w:start w:val="1"/>
      <w:numFmt w:val="lowerLetter"/>
      <w:lvlText w:val="%1."/>
      <w:lvlJc w:val="left"/>
      <w:pPr>
        <w:ind w:left="1080" w:hanging="360"/>
      </w:pPr>
      <w:rPr>
        <w:rFonts w:hint="default"/>
        <w:color w:val="000000"/>
        <w:sz w:val="24"/>
        <w:vertAlign w:val="superscrip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F070F29"/>
    <w:multiLevelType w:val="hybridMultilevel"/>
    <w:tmpl w:val="87123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2127513">
    <w:abstractNumId w:val="12"/>
  </w:num>
  <w:num w:numId="2" w16cid:durableId="1032609060">
    <w:abstractNumId w:val="5"/>
  </w:num>
  <w:num w:numId="3" w16cid:durableId="1158494831">
    <w:abstractNumId w:val="3"/>
  </w:num>
  <w:num w:numId="4" w16cid:durableId="493573829">
    <w:abstractNumId w:val="29"/>
  </w:num>
  <w:num w:numId="5" w16cid:durableId="2055687918">
    <w:abstractNumId w:val="18"/>
  </w:num>
  <w:num w:numId="6" w16cid:durableId="1603025219">
    <w:abstractNumId w:val="25"/>
  </w:num>
  <w:num w:numId="7" w16cid:durableId="423957196">
    <w:abstractNumId w:val="15"/>
  </w:num>
  <w:num w:numId="8" w16cid:durableId="2031829208">
    <w:abstractNumId w:val="21"/>
  </w:num>
  <w:num w:numId="9" w16cid:durableId="218439549">
    <w:abstractNumId w:val="8"/>
  </w:num>
  <w:num w:numId="10" w16cid:durableId="1285231924">
    <w:abstractNumId w:val="4"/>
  </w:num>
  <w:num w:numId="11" w16cid:durableId="327370686">
    <w:abstractNumId w:val="7"/>
  </w:num>
  <w:num w:numId="12" w16cid:durableId="1802993385">
    <w:abstractNumId w:val="10"/>
  </w:num>
  <w:num w:numId="13" w16cid:durableId="1792938267">
    <w:abstractNumId w:val="30"/>
  </w:num>
  <w:num w:numId="14" w16cid:durableId="239490726">
    <w:abstractNumId w:val="6"/>
  </w:num>
  <w:num w:numId="15" w16cid:durableId="1395350314">
    <w:abstractNumId w:val="9"/>
  </w:num>
  <w:num w:numId="16" w16cid:durableId="441535906">
    <w:abstractNumId w:val="13"/>
  </w:num>
  <w:num w:numId="17" w16cid:durableId="2008243381">
    <w:abstractNumId w:val="22"/>
  </w:num>
  <w:num w:numId="18" w16cid:durableId="840463183">
    <w:abstractNumId w:val="20"/>
  </w:num>
  <w:num w:numId="19" w16cid:durableId="469980091">
    <w:abstractNumId w:val="24"/>
  </w:num>
  <w:num w:numId="20" w16cid:durableId="2126730031">
    <w:abstractNumId w:val="11"/>
  </w:num>
  <w:num w:numId="21" w16cid:durableId="106124704">
    <w:abstractNumId w:val="2"/>
  </w:num>
  <w:num w:numId="22" w16cid:durableId="1552418013">
    <w:abstractNumId w:val="14"/>
  </w:num>
  <w:num w:numId="23" w16cid:durableId="1598828334">
    <w:abstractNumId w:val="26"/>
  </w:num>
  <w:num w:numId="24" w16cid:durableId="2051031068">
    <w:abstractNumId w:val="0"/>
  </w:num>
  <w:num w:numId="25" w16cid:durableId="258569098">
    <w:abstractNumId w:val="16"/>
  </w:num>
  <w:num w:numId="26" w16cid:durableId="331181582">
    <w:abstractNumId w:val="19"/>
  </w:num>
  <w:num w:numId="27" w16cid:durableId="1015961391">
    <w:abstractNumId w:val="23"/>
  </w:num>
  <w:num w:numId="28" w16cid:durableId="1315645907">
    <w:abstractNumId w:val="17"/>
  </w:num>
  <w:num w:numId="29" w16cid:durableId="1456172683">
    <w:abstractNumId w:val="27"/>
  </w:num>
  <w:num w:numId="30" w16cid:durableId="552423599">
    <w:abstractNumId w:val="1"/>
  </w:num>
  <w:num w:numId="31" w16cid:durableId="233786896">
    <w:abstractNumId w:val="28"/>
  </w:num>
  <w:num w:numId="32" w16cid:durableId="1087846616">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49B"/>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4257"/>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1DA1"/>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364"/>
    <w:rsid w:val="000E5609"/>
    <w:rsid w:val="000E63B5"/>
    <w:rsid w:val="000E7DC1"/>
    <w:rsid w:val="000F0186"/>
    <w:rsid w:val="000F29EE"/>
    <w:rsid w:val="000F2C6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6D0"/>
    <w:rsid w:val="00135EAD"/>
    <w:rsid w:val="00136237"/>
    <w:rsid w:val="00137EB8"/>
    <w:rsid w:val="00140010"/>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1FCA"/>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711D"/>
    <w:rsid w:val="001B7B47"/>
    <w:rsid w:val="001C0151"/>
    <w:rsid w:val="001C260A"/>
    <w:rsid w:val="001C2D48"/>
    <w:rsid w:val="001C3106"/>
    <w:rsid w:val="001C3500"/>
    <w:rsid w:val="001C3D5A"/>
    <w:rsid w:val="001C4634"/>
    <w:rsid w:val="001C6741"/>
    <w:rsid w:val="001C7470"/>
    <w:rsid w:val="001C7D52"/>
    <w:rsid w:val="001D01BB"/>
    <w:rsid w:val="001D26D0"/>
    <w:rsid w:val="001D294E"/>
    <w:rsid w:val="001D47F8"/>
    <w:rsid w:val="001D4CDC"/>
    <w:rsid w:val="001D4D40"/>
    <w:rsid w:val="001D4F2F"/>
    <w:rsid w:val="001D51D8"/>
    <w:rsid w:val="001D5CED"/>
    <w:rsid w:val="001E0924"/>
    <w:rsid w:val="001E211E"/>
    <w:rsid w:val="001E3A31"/>
    <w:rsid w:val="001E3AE9"/>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3B07"/>
    <w:rsid w:val="001F5541"/>
    <w:rsid w:val="001F75D9"/>
    <w:rsid w:val="001F7B1A"/>
    <w:rsid w:val="001F7DF2"/>
    <w:rsid w:val="0020142E"/>
    <w:rsid w:val="00201886"/>
    <w:rsid w:val="0020562F"/>
    <w:rsid w:val="002064A4"/>
    <w:rsid w:val="00210F2E"/>
    <w:rsid w:val="00211627"/>
    <w:rsid w:val="0021345A"/>
    <w:rsid w:val="00213AE6"/>
    <w:rsid w:val="002147A0"/>
    <w:rsid w:val="00215049"/>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65E"/>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09F2"/>
    <w:rsid w:val="00275D9E"/>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CD4"/>
    <w:rsid w:val="0029755D"/>
    <w:rsid w:val="002A1125"/>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2286"/>
    <w:rsid w:val="002C4713"/>
    <w:rsid w:val="002C52D7"/>
    <w:rsid w:val="002C57D1"/>
    <w:rsid w:val="002C7DDE"/>
    <w:rsid w:val="002D3E1A"/>
    <w:rsid w:val="002D7C1B"/>
    <w:rsid w:val="002E0316"/>
    <w:rsid w:val="002E0999"/>
    <w:rsid w:val="002E1857"/>
    <w:rsid w:val="002E2569"/>
    <w:rsid w:val="002E44A5"/>
    <w:rsid w:val="002E5BAD"/>
    <w:rsid w:val="002E6047"/>
    <w:rsid w:val="002E6D1D"/>
    <w:rsid w:val="002F0614"/>
    <w:rsid w:val="002F077A"/>
    <w:rsid w:val="002F10BE"/>
    <w:rsid w:val="002F13DA"/>
    <w:rsid w:val="002F15EB"/>
    <w:rsid w:val="002F3CE0"/>
    <w:rsid w:val="002F6A76"/>
    <w:rsid w:val="00300014"/>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4979"/>
    <w:rsid w:val="003565B6"/>
    <w:rsid w:val="00356A66"/>
    <w:rsid w:val="00357418"/>
    <w:rsid w:val="00360B75"/>
    <w:rsid w:val="00361737"/>
    <w:rsid w:val="003619D6"/>
    <w:rsid w:val="00363F41"/>
    <w:rsid w:val="00366D56"/>
    <w:rsid w:val="00367871"/>
    <w:rsid w:val="00367DAD"/>
    <w:rsid w:val="0037342A"/>
    <w:rsid w:val="0037362D"/>
    <w:rsid w:val="00373CC8"/>
    <w:rsid w:val="00374E24"/>
    <w:rsid w:val="00374F25"/>
    <w:rsid w:val="00375E2A"/>
    <w:rsid w:val="00376609"/>
    <w:rsid w:val="0038330C"/>
    <w:rsid w:val="00384F48"/>
    <w:rsid w:val="003856DC"/>
    <w:rsid w:val="00386276"/>
    <w:rsid w:val="003868BE"/>
    <w:rsid w:val="003901B8"/>
    <w:rsid w:val="00395931"/>
    <w:rsid w:val="003A067B"/>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5885"/>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3774"/>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8FA"/>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A42"/>
    <w:rsid w:val="004F3C8A"/>
    <w:rsid w:val="004F3EED"/>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5D8"/>
    <w:rsid w:val="00566F71"/>
    <w:rsid w:val="00570963"/>
    <w:rsid w:val="00571C92"/>
    <w:rsid w:val="00571D24"/>
    <w:rsid w:val="005723B9"/>
    <w:rsid w:val="005726BA"/>
    <w:rsid w:val="0057299B"/>
    <w:rsid w:val="00574C83"/>
    <w:rsid w:val="00576146"/>
    <w:rsid w:val="005810DF"/>
    <w:rsid w:val="00583101"/>
    <w:rsid w:val="005836B3"/>
    <w:rsid w:val="00584D72"/>
    <w:rsid w:val="0058662D"/>
    <w:rsid w:val="005900C3"/>
    <w:rsid w:val="00590A21"/>
    <w:rsid w:val="00590CC2"/>
    <w:rsid w:val="005932EC"/>
    <w:rsid w:val="00594D4D"/>
    <w:rsid w:val="005966D8"/>
    <w:rsid w:val="0059769C"/>
    <w:rsid w:val="005A0F75"/>
    <w:rsid w:val="005A129A"/>
    <w:rsid w:val="005A35B4"/>
    <w:rsid w:val="005A422E"/>
    <w:rsid w:val="005A5E85"/>
    <w:rsid w:val="005A7235"/>
    <w:rsid w:val="005A7988"/>
    <w:rsid w:val="005A7BA6"/>
    <w:rsid w:val="005B499E"/>
    <w:rsid w:val="005B6A8D"/>
    <w:rsid w:val="005C0A18"/>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147F"/>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1118"/>
    <w:rsid w:val="0068304A"/>
    <w:rsid w:val="00683207"/>
    <w:rsid w:val="00686D59"/>
    <w:rsid w:val="00687254"/>
    <w:rsid w:val="00687583"/>
    <w:rsid w:val="00691828"/>
    <w:rsid w:val="00691A07"/>
    <w:rsid w:val="00692B88"/>
    <w:rsid w:val="00693D40"/>
    <w:rsid w:val="006971C6"/>
    <w:rsid w:val="00697598"/>
    <w:rsid w:val="006A01ED"/>
    <w:rsid w:val="006A130E"/>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6279"/>
    <w:rsid w:val="006D7A1A"/>
    <w:rsid w:val="006E009D"/>
    <w:rsid w:val="006E0122"/>
    <w:rsid w:val="006E0960"/>
    <w:rsid w:val="006E116F"/>
    <w:rsid w:val="006E13FF"/>
    <w:rsid w:val="006E197A"/>
    <w:rsid w:val="006E1DC0"/>
    <w:rsid w:val="006E4817"/>
    <w:rsid w:val="006E6819"/>
    <w:rsid w:val="006E6A2C"/>
    <w:rsid w:val="006E6C7E"/>
    <w:rsid w:val="006E7D37"/>
    <w:rsid w:val="006F063F"/>
    <w:rsid w:val="006F1F1D"/>
    <w:rsid w:val="006F4946"/>
    <w:rsid w:val="006F5961"/>
    <w:rsid w:val="00700983"/>
    <w:rsid w:val="007020F8"/>
    <w:rsid w:val="007029CB"/>
    <w:rsid w:val="00702E91"/>
    <w:rsid w:val="00702F36"/>
    <w:rsid w:val="00703FEF"/>
    <w:rsid w:val="00704459"/>
    <w:rsid w:val="007045C4"/>
    <w:rsid w:val="00704CBA"/>
    <w:rsid w:val="00706B15"/>
    <w:rsid w:val="00706C4E"/>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47C8F"/>
    <w:rsid w:val="00750796"/>
    <w:rsid w:val="00750C9C"/>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0D81"/>
    <w:rsid w:val="007837C6"/>
    <w:rsid w:val="007838DA"/>
    <w:rsid w:val="0078463B"/>
    <w:rsid w:val="007853D4"/>
    <w:rsid w:val="007860F8"/>
    <w:rsid w:val="00786880"/>
    <w:rsid w:val="00791813"/>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802"/>
    <w:rsid w:val="007C3A41"/>
    <w:rsid w:val="007C6F90"/>
    <w:rsid w:val="007C7191"/>
    <w:rsid w:val="007C7392"/>
    <w:rsid w:val="007D1451"/>
    <w:rsid w:val="007D1B8B"/>
    <w:rsid w:val="007D2824"/>
    <w:rsid w:val="007D3C4B"/>
    <w:rsid w:val="007D4381"/>
    <w:rsid w:val="007D47D8"/>
    <w:rsid w:val="007D58A8"/>
    <w:rsid w:val="007D7037"/>
    <w:rsid w:val="007E0597"/>
    <w:rsid w:val="007E0985"/>
    <w:rsid w:val="007E1BD7"/>
    <w:rsid w:val="007E1DEB"/>
    <w:rsid w:val="007E2E4D"/>
    <w:rsid w:val="007E3C57"/>
    <w:rsid w:val="007E403E"/>
    <w:rsid w:val="007E4B86"/>
    <w:rsid w:val="007E6E0D"/>
    <w:rsid w:val="007F1FD4"/>
    <w:rsid w:val="007F246C"/>
    <w:rsid w:val="007F2A90"/>
    <w:rsid w:val="007F5265"/>
    <w:rsid w:val="007F60B7"/>
    <w:rsid w:val="007F7757"/>
    <w:rsid w:val="00800D32"/>
    <w:rsid w:val="0080187D"/>
    <w:rsid w:val="00802495"/>
    <w:rsid w:val="0080293D"/>
    <w:rsid w:val="00803457"/>
    <w:rsid w:val="00803795"/>
    <w:rsid w:val="008042DB"/>
    <w:rsid w:val="00806D50"/>
    <w:rsid w:val="00807B4F"/>
    <w:rsid w:val="00811D22"/>
    <w:rsid w:val="00811FC2"/>
    <w:rsid w:val="008144DD"/>
    <w:rsid w:val="0081485B"/>
    <w:rsid w:val="00815A4C"/>
    <w:rsid w:val="00815D6F"/>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474F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76CAD"/>
    <w:rsid w:val="008803DA"/>
    <w:rsid w:val="00881794"/>
    <w:rsid w:val="00881CAD"/>
    <w:rsid w:val="00881DED"/>
    <w:rsid w:val="00883A58"/>
    <w:rsid w:val="0088513F"/>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5E45"/>
    <w:rsid w:val="009478B5"/>
    <w:rsid w:val="00947ADE"/>
    <w:rsid w:val="0095227C"/>
    <w:rsid w:val="009523A7"/>
    <w:rsid w:val="009523F2"/>
    <w:rsid w:val="00953FB7"/>
    <w:rsid w:val="009551C5"/>
    <w:rsid w:val="00956636"/>
    <w:rsid w:val="00961C25"/>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2EDC"/>
    <w:rsid w:val="00994217"/>
    <w:rsid w:val="00994618"/>
    <w:rsid w:val="00996CD5"/>
    <w:rsid w:val="00997E71"/>
    <w:rsid w:val="009A02EA"/>
    <w:rsid w:val="009A09EC"/>
    <w:rsid w:val="009A0E02"/>
    <w:rsid w:val="009A151F"/>
    <w:rsid w:val="009A1FEC"/>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306"/>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0C10"/>
    <w:rsid w:val="00A02D1A"/>
    <w:rsid w:val="00A03078"/>
    <w:rsid w:val="00A03D94"/>
    <w:rsid w:val="00A0627A"/>
    <w:rsid w:val="00A10781"/>
    <w:rsid w:val="00A10C30"/>
    <w:rsid w:val="00A12BD8"/>
    <w:rsid w:val="00A15F64"/>
    <w:rsid w:val="00A2127E"/>
    <w:rsid w:val="00A233E0"/>
    <w:rsid w:val="00A24F5B"/>
    <w:rsid w:val="00A26353"/>
    <w:rsid w:val="00A26633"/>
    <w:rsid w:val="00A26E89"/>
    <w:rsid w:val="00A274B4"/>
    <w:rsid w:val="00A27E5C"/>
    <w:rsid w:val="00A306EB"/>
    <w:rsid w:val="00A31484"/>
    <w:rsid w:val="00A352DB"/>
    <w:rsid w:val="00A358CC"/>
    <w:rsid w:val="00A35BC3"/>
    <w:rsid w:val="00A35BF1"/>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4D21"/>
    <w:rsid w:val="00A67FC6"/>
    <w:rsid w:val="00A68791"/>
    <w:rsid w:val="00A71397"/>
    <w:rsid w:val="00A71F84"/>
    <w:rsid w:val="00A72623"/>
    <w:rsid w:val="00A72E9C"/>
    <w:rsid w:val="00A768D2"/>
    <w:rsid w:val="00A800E6"/>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3610"/>
    <w:rsid w:val="00AC4A70"/>
    <w:rsid w:val="00AC4D8E"/>
    <w:rsid w:val="00AC5472"/>
    <w:rsid w:val="00AC5D28"/>
    <w:rsid w:val="00AD025A"/>
    <w:rsid w:val="00AD15AC"/>
    <w:rsid w:val="00AD1B66"/>
    <w:rsid w:val="00AD1CFF"/>
    <w:rsid w:val="00AD2447"/>
    <w:rsid w:val="00AD3F78"/>
    <w:rsid w:val="00AD46F7"/>
    <w:rsid w:val="00AE026A"/>
    <w:rsid w:val="00AE118E"/>
    <w:rsid w:val="00AE11EC"/>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6FF"/>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ACE"/>
    <w:rsid w:val="00C11ED5"/>
    <w:rsid w:val="00C13B84"/>
    <w:rsid w:val="00C14B7B"/>
    <w:rsid w:val="00C14D9D"/>
    <w:rsid w:val="00C1628D"/>
    <w:rsid w:val="00C20372"/>
    <w:rsid w:val="00C2356F"/>
    <w:rsid w:val="00C23CBE"/>
    <w:rsid w:val="00C24C6C"/>
    <w:rsid w:val="00C25A7A"/>
    <w:rsid w:val="00C27150"/>
    <w:rsid w:val="00C30469"/>
    <w:rsid w:val="00C3183C"/>
    <w:rsid w:val="00C32359"/>
    <w:rsid w:val="00C32D5B"/>
    <w:rsid w:val="00C33E98"/>
    <w:rsid w:val="00C347F1"/>
    <w:rsid w:val="00C34842"/>
    <w:rsid w:val="00C36AEE"/>
    <w:rsid w:val="00C36E61"/>
    <w:rsid w:val="00C375CA"/>
    <w:rsid w:val="00C41034"/>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7EB"/>
    <w:rsid w:val="00CA7D74"/>
    <w:rsid w:val="00CA7F4C"/>
    <w:rsid w:val="00CB02A1"/>
    <w:rsid w:val="00CB038B"/>
    <w:rsid w:val="00CB1797"/>
    <w:rsid w:val="00CB4B04"/>
    <w:rsid w:val="00CB6AD7"/>
    <w:rsid w:val="00CC03C4"/>
    <w:rsid w:val="00CC2643"/>
    <w:rsid w:val="00CC30D4"/>
    <w:rsid w:val="00CC338D"/>
    <w:rsid w:val="00CC3C26"/>
    <w:rsid w:val="00CC43C3"/>
    <w:rsid w:val="00CC43C5"/>
    <w:rsid w:val="00CC43CD"/>
    <w:rsid w:val="00CC4618"/>
    <w:rsid w:val="00CD1614"/>
    <w:rsid w:val="00CD1836"/>
    <w:rsid w:val="00CD268F"/>
    <w:rsid w:val="00CD275E"/>
    <w:rsid w:val="00CD2EF7"/>
    <w:rsid w:val="00CD38AB"/>
    <w:rsid w:val="00CD4100"/>
    <w:rsid w:val="00CD4338"/>
    <w:rsid w:val="00CD4809"/>
    <w:rsid w:val="00CD51CA"/>
    <w:rsid w:val="00CD5818"/>
    <w:rsid w:val="00CD5A92"/>
    <w:rsid w:val="00CD679D"/>
    <w:rsid w:val="00CE0942"/>
    <w:rsid w:val="00CE1EF9"/>
    <w:rsid w:val="00CE2CB1"/>
    <w:rsid w:val="00CE3ACF"/>
    <w:rsid w:val="00CE4292"/>
    <w:rsid w:val="00CE4DEB"/>
    <w:rsid w:val="00CE4F47"/>
    <w:rsid w:val="00CE5752"/>
    <w:rsid w:val="00CE6F2D"/>
    <w:rsid w:val="00CF0E1B"/>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3167"/>
    <w:rsid w:val="00D14A68"/>
    <w:rsid w:val="00D163B0"/>
    <w:rsid w:val="00D17BB9"/>
    <w:rsid w:val="00D210DB"/>
    <w:rsid w:val="00D225E2"/>
    <w:rsid w:val="00D234AD"/>
    <w:rsid w:val="00D24AC0"/>
    <w:rsid w:val="00D26124"/>
    <w:rsid w:val="00D31DCE"/>
    <w:rsid w:val="00D33817"/>
    <w:rsid w:val="00D33C42"/>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67C55"/>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134"/>
    <w:rsid w:val="00DC1889"/>
    <w:rsid w:val="00DC1EEC"/>
    <w:rsid w:val="00DC2D99"/>
    <w:rsid w:val="00DC57CD"/>
    <w:rsid w:val="00DC6593"/>
    <w:rsid w:val="00DD2682"/>
    <w:rsid w:val="00DD35B0"/>
    <w:rsid w:val="00DD4E7A"/>
    <w:rsid w:val="00DD6533"/>
    <w:rsid w:val="00DD6555"/>
    <w:rsid w:val="00DD718B"/>
    <w:rsid w:val="00DE15D8"/>
    <w:rsid w:val="00DE26D9"/>
    <w:rsid w:val="00DE3DF8"/>
    <w:rsid w:val="00DE4E0C"/>
    <w:rsid w:val="00DE50FF"/>
    <w:rsid w:val="00DE60DC"/>
    <w:rsid w:val="00DE68CB"/>
    <w:rsid w:val="00DF0955"/>
    <w:rsid w:val="00DF1202"/>
    <w:rsid w:val="00DF22C4"/>
    <w:rsid w:val="00DF28A7"/>
    <w:rsid w:val="00DF3AA1"/>
    <w:rsid w:val="00DF4973"/>
    <w:rsid w:val="00DF6030"/>
    <w:rsid w:val="00DF7E5D"/>
    <w:rsid w:val="00E00589"/>
    <w:rsid w:val="00E0220E"/>
    <w:rsid w:val="00E034D9"/>
    <w:rsid w:val="00E03FC8"/>
    <w:rsid w:val="00E04947"/>
    <w:rsid w:val="00E076DF"/>
    <w:rsid w:val="00E10927"/>
    <w:rsid w:val="00E11D55"/>
    <w:rsid w:val="00E128B1"/>
    <w:rsid w:val="00E1371F"/>
    <w:rsid w:val="00E14467"/>
    <w:rsid w:val="00E14BF3"/>
    <w:rsid w:val="00E16410"/>
    <w:rsid w:val="00E205A3"/>
    <w:rsid w:val="00E22101"/>
    <w:rsid w:val="00E2389F"/>
    <w:rsid w:val="00E25157"/>
    <w:rsid w:val="00E27F78"/>
    <w:rsid w:val="00E30F8E"/>
    <w:rsid w:val="00E3122D"/>
    <w:rsid w:val="00E33A3C"/>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BDA"/>
    <w:rsid w:val="00E77E40"/>
    <w:rsid w:val="00E815E1"/>
    <w:rsid w:val="00E82733"/>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1F16"/>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0EE8"/>
    <w:rsid w:val="00F43533"/>
    <w:rsid w:val="00F440BC"/>
    <w:rsid w:val="00F462DB"/>
    <w:rsid w:val="00F47EAC"/>
    <w:rsid w:val="00F5019F"/>
    <w:rsid w:val="00F50C29"/>
    <w:rsid w:val="00F51F05"/>
    <w:rsid w:val="00F56114"/>
    <w:rsid w:val="00F573CC"/>
    <w:rsid w:val="00F57EAD"/>
    <w:rsid w:val="00F601B4"/>
    <w:rsid w:val="00F62C65"/>
    <w:rsid w:val="00F63290"/>
    <w:rsid w:val="00F64AAD"/>
    <w:rsid w:val="00F652A6"/>
    <w:rsid w:val="00F65717"/>
    <w:rsid w:val="00F66728"/>
    <w:rsid w:val="00F67649"/>
    <w:rsid w:val="00F67C9A"/>
    <w:rsid w:val="00F7072E"/>
    <w:rsid w:val="00F71C27"/>
    <w:rsid w:val="00F7283C"/>
    <w:rsid w:val="00F741CB"/>
    <w:rsid w:val="00F74A8C"/>
    <w:rsid w:val="00F74FF8"/>
    <w:rsid w:val="00F7776D"/>
    <w:rsid w:val="00F81E92"/>
    <w:rsid w:val="00F823FF"/>
    <w:rsid w:val="00F84AF9"/>
    <w:rsid w:val="00F85BB1"/>
    <w:rsid w:val="00F8697C"/>
    <w:rsid w:val="00F904F9"/>
    <w:rsid w:val="00F90987"/>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5A78"/>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32F"/>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2024-09-05T13:22:24+00:00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EAF6ADDE-E4C7-49B2-853C-A167D2EC0374}">
  <ds:schemaRefs>
    <ds:schemaRef ds:uri="Microsoft.SharePoint.Taxonomy.ContentTypeSync"/>
  </ds:schemaRefs>
</ds:datastoreItem>
</file>

<file path=customXml/itemProps2.xml><?xml version="1.0" encoding="utf-8"?>
<ds:datastoreItem xmlns:ds="http://schemas.openxmlformats.org/officeDocument/2006/customXml" ds:itemID="{A57BB7E2-5DFE-485C-8537-ED28C3DB7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96fc5250-dc30-4f01-945b-7e46a880eeb3"/>
    <ds:schemaRef ds:uri="http://schemas.microsoft.com/office/2006/documentManagement/types"/>
    <ds:schemaRef ds:uri="http://purl.org/dc/terms/"/>
    <ds:schemaRef ds:uri="http://purl.org/dc/elements/1.1/"/>
    <ds:schemaRef ds:uri="http://schemas.microsoft.com/office/infopath/2007/PartnerControls"/>
    <ds:schemaRef ds:uri="http://schemas.microsoft.com/sharepoint/v3"/>
    <ds:schemaRef ds:uri="http://purl.org/dc/dcmitype/"/>
    <ds:schemaRef ds:uri="4ffa91fb-a0ff-4ac5-b2db-65c790d184a4"/>
    <ds:schemaRef ds:uri="http://schemas.openxmlformats.org/package/2006/metadata/core-properties"/>
    <ds:schemaRef ds:uri="02fe02c4-dc41-46ff-9d52-90c0a1b1f611"/>
    <ds:schemaRef ds:uri="http://schemas.microsoft.com/sharepoint/v3/fields"/>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7583</Words>
  <Characters>41874</Characters>
  <Application>Microsoft Office Word</Application>
  <DocSecurity>0</DocSecurity>
  <Lines>1473</Lines>
  <Paragraphs>773</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cp:revision>
  <dcterms:created xsi:type="dcterms:W3CDTF">2024-09-16T17:16:00Z</dcterms:created>
  <dcterms:modified xsi:type="dcterms:W3CDTF">2024-09-16T17:16:00Z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