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5DE6" w:rsidRPr="00FC7036" w:rsidP="004672D4" w14:paraId="3B743EFE" w14:textId="6A272C71">
      <w:pPr>
        <w:jc w:val="center"/>
        <w:rPr>
          <w:b/>
          <w:bCs/>
          <w:sz w:val="24"/>
          <w:szCs w:val="24"/>
        </w:rPr>
      </w:pPr>
      <w:r w:rsidRPr="00FC7036">
        <w:rPr>
          <w:b/>
          <w:bCs/>
          <w:sz w:val="24"/>
          <w:szCs w:val="24"/>
        </w:rPr>
        <w:t xml:space="preserve">Addendum to </w:t>
      </w:r>
      <w:r w:rsidRPr="00FC7036" w:rsidR="003F0BF1">
        <w:rPr>
          <w:b/>
          <w:bCs/>
          <w:sz w:val="24"/>
          <w:szCs w:val="24"/>
        </w:rPr>
        <w:t>Supporting Statement for</w:t>
      </w:r>
      <w:r w:rsidRPr="00FC7036" w:rsidR="006E1D3E">
        <w:rPr>
          <w:b/>
          <w:bCs/>
          <w:sz w:val="24"/>
          <w:szCs w:val="24"/>
        </w:rPr>
        <w:t xml:space="preserve"> </w:t>
      </w:r>
      <w:r w:rsidRPr="00FC7036" w:rsidR="003F0BF1">
        <w:rPr>
          <w:b/>
          <w:bCs/>
          <w:sz w:val="24"/>
          <w:szCs w:val="24"/>
        </w:rPr>
        <w:t>Integrated Registration Services (IRES) System</w:t>
      </w:r>
    </w:p>
    <w:p w:rsidR="00B50A9A" w:rsidRPr="00FC7036" w:rsidP="002E33EF" w14:paraId="75A168FE" w14:textId="77777777">
      <w:pPr>
        <w:jc w:val="center"/>
        <w:rPr>
          <w:b/>
          <w:bCs/>
          <w:sz w:val="24"/>
          <w:szCs w:val="24"/>
        </w:rPr>
      </w:pPr>
      <w:r w:rsidRPr="00FC7036">
        <w:rPr>
          <w:b/>
          <w:bCs/>
          <w:sz w:val="24"/>
          <w:szCs w:val="24"/>
        </w:rPr>
        <w:t>20 CFR 401.45</w:t>
      </w:r>
    </w:p>
    <w:p w:rsidR="006E1D3E" w:rsidRPr="00FC7036" w:rsidP="002E33EF" w14:paraId="4C45C67E" w14:textId="77777777">
      <w:pPr>
        <w:jc w:val="center"/>
        <w:rPr>
          <w:b/>
          <w:bCs/>
          <w:sz w:val="24"/>
          <w:szCs w:val="24"/>
        </w:rPr>
      </w:pPr>
      <w:r w:rsidRPr="00FC7036">
        <w:rPr>
          <w:b/>
          <w:bCs/>
          <w:sz w:val="24"/>
          <w:szCs w:val="24"/>
        </w:rPr>
        <w:t>OMB No. 0960-0626</w:t>
      </w:r>
    </w:p>
    <w:p w:rsidR="000C3D03" w:rsidRPr="00FC7036" w:rsidP="002E33EF" w14:paraId="5AA70898" w14:textId="77777777">
      <w:pPr>
        <w:jc w:val="center"/>
        <w:rPr>
          <w:b/>
          <w:bCs/>
          <w:sz w:val="24"/>
          <w:szCs w:val="24"/>
        </w:rPr>
      </w:pPr>
    </w:p>
    <w:p w:rsidR="00EA50FD" w:rsidRPr="00EA50FD" w:rsidP="00EA50FD" w14:paraId="184A09DF" w14:textId="77777777">
      <w:pPr>
        <w:spacing w:after="240"/>
        <w:contextualSpacing/>
        <w:rPr>
          <w:rFonts w:eastAsia="Times New Roman"/>
          <w:b/>
          <w:bCs/>
          <w:sz w:val="24"/>
          <w:szCs w:val="24"/>
          <w:u w:val="single"/>
          <w:lang w:eastAsia="en-US"/>
        </w:rPr>
      </w:pPr>
      <w:r w:rsidRPr="00EA50FD">
        <w:rPr>
          <w:rFonts w:eastAsia="Times New Roman"/>
          <w:b/>
          <w:bCs/>
          <w:sz w:val="24"/>
          <w:szCs w:val="24"/>
          <w:u w:val="single"/>
          <w:lang w:eastAsia="en-US"/>
        </w:rPr>
        <w:t>Background</w:t>
      </w:r>
    </w:p>
    <w:p w:rsidR="00EA50FD" w:rsidRPr="00EA50FD" w:rsidP="00EA50FD" w14:paraId="6B697086" w14:textId="77777777">
      <w:pPr>
        <w:spacing w:before="100" w:beforeAutospacing="1" w:after="100" w:afterAutospacing="1"/>
        <w:rPr>
          <w:rFonts w:eastAsia="Times New Roman"/>
          <w:bCs/>
          <w:color w:val="000000"/>
          <w:sz w:val="24"/>
          <w:szCs w:val="24"/>
          <w:lang w:eastAsia="en-US"/>
        </w:rPr>
      </w:pPr>
      <w:r w:rsidRPr="00EA50FD">
        <w:rPr>
          <w:rFonts w:eastAsia="Times New Roman"/>
          <w:bCs/>
          <w:color w:val="000000"/>
          <w:sz w:val="24"/>
          <w:szCs w:val="24"/>
          <w:lang w:eastAsia="en-US"/>
        </w:rPr>
        <w:t>The Integrated Registration Services (IRES) system is an electronic authentication process which the Social Security Administration (SSA) registers and authenticates users of our online business services.  SSA only collects the personal information one time when an individual registers to use our online business services.  Respondents are employers; employees; third party submitters of data; business entities providing taxpayer identification information; appointed representatives; and data exchange partners conducting business in support of SSA programs.</w:t>
      </w:r>
    </w:p>
    <w:p w:rsidR="00EA50FD" w:rsidRPr="00EA50FD" w:rsidP="00EA50FD" w14:paraId="470EAD94" w14:textId="77777777">
      <w:pPr>
        <w:spacing w:before="100" w:beforeAutospacing="1" w:after="100" w:afterAutospacing="1"/>
        <w:rPr>
          <w:rFonts w:eastAsia="Times New Roman"/>
          <w:bCs/>
          <w:color w:val="000000"/>
          <w:sz w:val="24"/>
          <w:szCs w:val="24"/>
          <w:lang w:eastAsia="en-US"/>
        </w:rPr>
      </w:pPr>
      <w:r w:rsidRPr="00EA50FD">
        <w:rPr>
          <w:rFonts w:eastAsia="Times New Roman"/>
          <w:bCs/>
          <w:color w:val="000000"/>
          <w:sz w:val="24"/>
          <w:szCs w:val="24"/>
          <w:lang w:eastAsia="en-US"/>
        </w:rPr>
        <w:t>We are removing the ability for an user to register for an account through IRES.  This release will  discontinue the IRES Internet Registration.  We are removing the create account link and instructions from the IRES sign in page and the registration pathing pages.  The system will provide the user with instructions and a link to the BSO Welcome page if they need to create an account.</w:t>
      </w:r>
    </w:p>
    <w:p w:rsidR="00EA50FD" w:rsidRPr="00EA50FD" w:rsidP="00EA50FD" w14:paraId="1925EBFF" w14:textId="77777777">
      <w:pPr>
        <w:spacing w:before="100" w:beforeAutospacing="1" w:after="100" w:afterAutospacing="1"/>
        <w:rPr>
          <w:rFonts w:eastAsia="Times New Roman"/>
          <w:bCs/>
          <w:color w:val="000000"/>
          <w:sz w:val="24"/>
          <w:szCs w:val="24"/>
          <w:lang w:eastAsia="en-US"/>
        </w:rPr>
      </w:pPr>
      <w:r w:rsidRPr="00EA50FD">
        <w:rPr>
          <w:rFonts w:eastAsia="Times New Roman"/>
          <w:bCs/>
          <w:color w:val="000000"/>
          <w:sz w:val="24"/>
          <w:szCs w:val="24"/>
          <w:lang w:eastAsia="en-US"/>
        </w:rPr>
        <w:t xml:space="preserve">In addition, we are making an update to IRES to enhance the digital identity authentication process needed to access business services. </w:t>
      </w:r>
      <w:bookmarkStart w:id="0" w:name="_Hlk128043916"/>
      <w:r w:rsidRPr="00EA50FD">
        <w:rPr>
          <w:rFonts w:eastAsia="Times New Roman"/>
          <w:bCs/>
          <w:color w:val="000000"/>
          <w:sz w:val="24"/>
          <w:szCs w:val="24"/>
          <w:lang w:eastAsia="en-US"/>
        </w:rPr>
        <w:t xml:space="preserve"> SSA will now require users who need access to the Electronic Records Express (ERE) application to authenticate through our Public Credentialing and Authentication Process (OMB Clearance No. 0960-0789), known as eAccess</w:t>
      </w:r>
      <w:bookmarkEnd w:id="0"/>
      <w:r w:rsidRPr="00EA50FD">
        <w:rPr>
          <w:rFonts w:eastAsia="Times New Roman"/>
          <w:bCs/>
          <w:color w:val="000000"/>
          <w:sz w:val="24"/>
          <w:szCs w:val="24"/>
          <w:lang w:eastAsia="en-US"/>
        </w:rPr>
        <w:t>.  The other applications behind IRES will continue to follow the current authentication process, until a later release when we migrate more applications to eAccess.</w:t>
      </w:r>
    </w:p>
    <w:p w:rsidR="00EA50FD" w:rsidRPr="00EA50FD" w:rsidP="00EA50FD" w14:paraId="5EDB5852" w14:textId="77777777">
      <w:pPr>
        <w:spacing w:before="100" w:beforeAutospacing="1" w:after="100" w:afterAutospacing="1"/>
        <w:rPr>
          <w:rFonts w:eastAsia="Times New Roman"/>
          <w:sz w:val="24"/>
          <w:szCs w:val="24"/>
          <w:lang w:eastAsia="en-US"/>
        </w:rPr>
      </w:pPr>
      <w:r w:rsidRPr="00EA50FD">
        <w:rPr>
          <w:rFonts w:eastAsia="Times New Roman"/>
          <w:sz w:val="24"/>
          <w:szCs w:val="24"/>
          <w:lang w:eastAsia="en-US"/>
        </w:rPr>
        <w:t>SSA plans to implement these changes on July 26, 2025, and August 23, 2025.  In July, we will remove the registration link and pages, and in August we will move ERE behind eAccess.  Therefore, we are asking for OMB’s approval of these revisions as soon as possible, to ensure we can implement on time.</w:t>
      </w:r>
    </w:p>
    <w:p w:rsidR="00EA50FD" w:rsidRPr="00EA50FD" w:rsidP="00EA50FD" w14:paraId="1FD834F5" w14:textId="77777777">
      <w:pPr>
        <w:rPr>
          <w:rFonts w:eastAsia="Times New Roman"/>
          <w:b/>
          <w:bCs/>
          <w:sz w:val="24"/>
          <w:szCs w:val="24"/>
          <w:u w:val="single"/>
          <w:lang w:eastAsia="en-US"/>
        </w:rPr>
      </w:pPr>
      <w:r w:rsidRPr="00EA50FD">
        <w:rPr>
          <w:rFonts w:eastAsia="Times New Roman"/>
          <w:b/>
          <w:bCs/>
          <w:sz w:val="24"/>
          <w:szCs w:val="24"/>
          <w:u w:val="single"/>
          <w:lang w:eastAsia="en-US"/>
        </w:rPr>
        <w:t>Revisions to the Collection Instrument</w:t>
      </w:r>
    </w:p>
    <w:p w:rsidR="00EA50FD" w:rsidRPr="00EA50FD" w:rsidP="00EA50FD" w14:paraId="44745573" w14:textId="77777777">
      <w:pPr>
        <w:rPr>
          <w:rFonts w:eastAsia="Times New Roman"/>
          <w:bCs/>
          <w:sz w:val="24"/>
          <w:szCs w:val="24"/>
          <w:lang w:eastAsia="en-US"/>
        </w:rPr>
      </w:pPr>
    </w:p>
    <w:p w:rsidR="00EA50FD" w:rsidRPr="00EA50FD" w:rsidP="00EA50FD" w14:paraId="3DFEEA54" w14:textId="77777777">
      <w:pPr>
        <w:numPr>
          <w:ilvl w:val="0"/>
          <w:numId w:val="42"/>
        </w:numPr>
        <w:spacing w:after="240"/>
        <w:rPr>
          <w:rFonts w:eastAsia="Calibri"/>
          <w:sz w:val="24"/>
          <w:szCs w:val="24"/>
          <w:lang w:eastAsia="en-US"/>
        </w:rPr>
      </w:pPr>
      <w:r w:rsidRPr="00EA50FD">
        <w:rPr>
          <w:rFonts w:eastAsia="Times New Roman"/>
          <w:b/>
          <w:sz w:val="24"/>
          <w:szCs w:val="24"/>
          <w:u w:val="single"/>
          <w:lang w:eastAsia="en-US"/>
        </w:rPr>
        <w:t>Change #1:</w:t>
      </w:r>
      <w:r w:rsidRPr="00EA50FD">
        <w:rPr>
          <w:rFonts w:eastAsia="Calibri" w:cs="Calibri"/>
          <w:b/>
          <w:bCs/>
          <w:sz w:val="22"/>
          <w:szCs w:val="24"/>
          <w:lang w:eastAsia="en-US"/>
        </w:rPr>
        <w:t xml:space="preserve">  </w:t>
      </w:r>
      <w:r w:rsidRPr="00EA50FD">
        <w:rPr>
          <w:rFonts w:eastAsia="Times New Roman"/>
          <w:sz w:val="24"/>
          <w:szCs w:val="24"/>
          <w:lang w:eastAsia="en-US"/>
        </w:rPr>
        <w:t>We are removing the create account link and instructions from the IRES sign in page.</w:t>
      </w:r>
    </w:p>
    <w:p w:rsidR="00EA50FD" w:rsidRPr="00EA50FD" w:rsidP="00EA50FD" w14:paraId="77707247" w14:textId="77777777">
      <w:pPr>
        <w:ind w:left="360"/>
        <w:rPr>
          <w:rFonts w:eastAsia="Calibri" w:cs="Calibri"/>
          <w:sz w:val="24"/>
          <w:szCs w:val="24"/>
          <w:lang w:eastAsia="en-US"/>
        </w:rPr>
      </w:pPr>
    </w:p>
    <w:p w:rsidR="00EA50FD" w:rsidRPr="00EA50FD" w:rsidP="00EA50FD" w14:paraId="2FDCFEDC" w14:textId="77777777">
      <w:pPr>
        <w:ind w:left="360"/>
        <w:rPr>
          <w:rFonts w:eastAsia="Times New Roman"/>
          <w:bCs/>
          <w:color w:val="000000"/>
          <w:sz w:val="24"/>
          <w:szCs w:val="24"/>
          <w:lang w:eastAsia="en-US"/>
        </w:rPr>
      </w:pPr>
      <w:r w:rsidRPr="00EA50FD">
        <w:rPr>
          <w:rFonts w:eastAsia="Times New Roman"/>
          <w:b/>
          <w:sz w:val="24"/>
          <w:szCs w:val="24"/>
          <w:u w:val="single"/>
          <w:lang w:eastAsia="en-US"/>
        </w:rPr>
        <w:t>Justification #1:</w:t>
      </w:r>
      <w:r w:rsidRPr="00EA50FD">
        <w:rPr>
          <w:rFonts w:eastAsia="Times New Roman"/>
          <w:sz w:val="24"/>
          <w:szCs w:val="24"/>
          <w:lang w:eastAsia="en-US"/>
        </w:rPr>
        <w:t xml:space="preserve">  We are removing the create account link and instructions from IRES, because u</w:t>
      </w:r>
      <w:r w:rsidRPr="00EA50FD">
        <w:rPr>
          <w:rFonts w:eastAsia="Times New Roman"/>
          <w:bCs/>
          <w:color w:val="000000"/>
          <w:sz w:val="24"/>
          <w:szCs w:val="24"/>
          <w:lang w:eastAsia="en-US"/>
        </w:rPr>
        <w:t>sers will no longer be able to create an account directly through IRES.  SSA now requires uses to register for a NIST-compliant credential through either Login.gov or ID.me.</w:t>
      </w:r>
    </w:p>
    <w:p w:rsidR="00EA50FD" w:rsidRPr="00EA50FD" w:rsidP="00EA50FD" w14:paraId="4C2A1B82" w14:textId="77777777">
      <w:pPr>
        <w:ind w:left="360"/>
        <w:rPr>
          <w:rFonts w:eastAsia="Times New Roman"/>
          <w:bCs/>
          <w:color w:val="000000"/>
          <w:sz w:val="24"/>
          <w:szCs w:val="24"/>
          <w:lang w:eastAsia="en-US"/>
        </w:rPr>
      </w:pPr>
    </w:p>
    <w:p w:rsidR="00EA50FD" w:rsidRPr="00EA50FD" w:rsidP="00EA50FD" w14:paraId="066E1F0D" w14:textId="77777777">
      <w:pPr>
        <w:numPr>
          <w:ilvl w:val="0"/>
          <w:numId w:val="42"/>
        </w:numPr>
        <w:spacing w:after="240"/>
        <w:rPr>
          <w:rFonts w:eastAsia="Times New Roman"/>
          <w:sz w:val="24"/>
          <w:szCs w:val="24"/>
          <w:lang w:eastAsia="en-US"/>
        </w:rPr>
      </w:pPr>
      <w:r w:rsidRPr="00EA50FD">
        <w:rPr>
          <w:rFonts w:eastAsia="Times New Roman"/>
          <w:b/>
          <w:sz w:val="24"/>
          <w:szCs w:val="24"/>
          <w:u w:val="single"/>
          <w:lang w:eastAsia="en-US"/>
        </w:rPr>
        <w:t>Change #2:</w:t>
      </w:r>
      <w:r w:rsidRPr="00EA50FD">
        <w:rPr>
          <w:rFonts w:eastAsia="Times New Roman" w:cs="Calibri"/>
          <w:b/>
          <w:bCs/>
          <w:sz w:val="22"/>
          <w:szCs w:val="24"/>
          <w:lang w:eastAsia="en-US"/>
        </w:rPr>
        <w:t xml:space="preserve"> </w:t>
      </w:r>
      <w:r w:rsidRPr="00EA50FD">
        <w:rPr>
          <w:rFonts w:ascii="Calibri" w:eastAsia="Calibri" w:hAnsi="Calibri" w:cs="Calibri"/>
          <w:sz w:val="22"/>
          <w:szCs w:val="22"/>
          <w:lang w:eastAsia="en-US"/>
        </w:rPr>
        <w:t xml:space="preserve"> </w:t>
      </w:r>
      <w:r w:rsidRPr="00EA50FD">
        <w:rPr>
          <w:rFonts w:eastAsia="Calibri"/>
          <w:sz w:val="22"/>
          <w:szCs w:val="22"/>
          <w:lang w:eastAsia="en-US"/>
        </w:rPr>
        <w:t>SSA is not requiring u</w:t>
      </w:r>
      <w:r w:rsidRPr="00EA50FD">
        <w:rPr>
          <w:rFonts w:eastAsia="Times New Roman"/>
          <w:sz w:val="24"/>
          <w:szCs w:val="24"/>
          <w:lang w:eastAsia="en-US"/>
        </w:rPr>
        <w:t>sers accessing the ERE application to create and sign in with an account through either Login.gov or ID.me.</w:t>
      </w:r>
    </w:p>
    <w:p w:rsidR="00EA50FD" w:rsidRPr="00EA50FD" w:rsidP="00EA50FD" w14:paraId="49A9DA83" w14:textId="77777777">
      <w:pPr>
        <w:ind w:left="360"/>
        <w:rPr>
          <w:rFonts w:eastAsia="Times New Roman"/>
          <w:sz w:val="24"/>
          <w:szCs w:val="24"/>
          <w:lang w:eastAsia="en-US"/>
        </w:rPr>
      </w:pPr>
    </w:p>
    <w:p w:rsidR="00EA50FD" w:rsidRPr="00EA50FD" w:rsidP="00EA50FD" w14:paraId="1430B48D" w14:textId="77777777">
      <w:pPr>
        <w:ind w:left="360"/>
        <w:rPr>
          <w:rFonts w:eastAsia="Calibri" w:cs="Calibri"/>
          <w:sz w:val="22"/>
          <w:szCs w:val="24"/>
          <w:lang w:eastAsia="en-US"/>
        </w:rPr>
      </w:pPr>
      <w:r w:rsidRPr="00EA50FD">
        <w:rPr>
          <w:rFonts w:eastAsia="Calibri" w:cs="Calibri"/>
          <w:b/>
          <w:sz w:val="24"/>
          <w:szCs w:val="24"/>
          <w:u w:val="single"/>
          <w:lang w:eastAsia="en-US"/>
        </w:rPr>
        <w:t>Justification #2:</w:t>
      </w:r>
      <w:r w:rsidRPr="00EA50FD">
        <w:rPr>
          <w:rFonts w:eastAsia="Calibri" w:cs="Calibri"/>
          <w:b/>
          <w:sz w:val="22"/>
          <w:szCs w:val="24"/>
          <w:lang w:eastAsia="en-US"/>
        </w:rPr>
        <w:t xml:space="preserve">   We are making these changes because SSA requires users t</w:t>
      </w:r>
      <w:r w:rsidRPr="00EA50FD">
        <w:rPr>
          <w:rFonts w:eastAsia="Times New Roman"/>
          <w:sz w:val="24"/>
          <w:szCs w:val="24"/>
          <w:lang w:eastAsia="en-US"/>
        </w:rPr>
        <w:t xml:space="preserve">o register and sign in with a NIST-compliant credential through either Login.gov or ID.me in order to </w:t>
      </w:r>
      <w:r w:rsidRPr="00EA50FD">
        <w:rPr>
          <w:rFonts w:eastAsia="Times New Roman"/>
          <w:sz w:val="24"/>
          <w:szCs w:val="24"/>
          <w:lang w:eastAsia="en-US"/>
        </w:rPr>
        <w:t xml:space="preserve">access ERE business services.  </w:t>
      </w:r>
      <w:r w:rsidRPr="00EA50FD">
        <w:rPr>
          <w:rFonts w:eastAsia="Times New Roman" w:cs="Calibri"/>
          <w:sz w:val="22"/>
          <w:szCs w:val="24"/>
          <w:lang w:eastAsia="en-US"/>
        </w:rPr>
        <w:br/>
      </w:r>
      <w:r w:rsidRPr="00EA50FD">
        <w:rPr>
          <w:rFonts w:eastAsia="Calibri" w:cs="Calibri"/>
          <w:sz w:val="22"/>
          <w:szCs w:val="24"/>
          <w:lang w:eastAsia="en-US"/>
        </w:rPr>
        <w:t xml:space="preserve"> </w:t>
      </w:r>
    </w:p>
    <w:p w:rsidR="00EA50FD" w:rsidRPr="00EA50FD" w:rsidP="00EA50FD" w14:paraId="2B8B3A59" w14:textId="77777777">
      <w:pPr>
        <w:ind w:left="-90"/>
        <w:rPr>
          <w:rFonts w:eastAsia="Times New Roman"/>
          <w:b/>
          <w:sz w:val="24"/>
          <w:szCs w:val="24"/>
          <w:u w:val="single"/>
          <w:lang w:eastAsia="en-US"/>
        </w:rPr>
      </w:pPr>
      <w:r w:rsidRPr="00EA50FD">
        <w:rPr>
          <w:rFonts w:eastAsia="Times New Roman"/>
          <w:b/>
          <w:sz w:val="24"/>
          <w:szCs w:val="24"/>
          <w:u w:val="single"/>
          <w:lang w:eastAsia="en-US"/>
        </w:rPr>
        <w:t>Estimates of Public Reporting Burden</w:t>
      </w:r>
    </w:p>
    <w:p w:rsidR="00EA50FD" w:rsidRPr="00EA50FD" w:rsidP="00EA50FD" w14:paraId="174A39DB" w14:textId="77777777">
      <w:pPr>
        <w:rPr>
          <w:rFonts w:eastAsia="Times New Roman"/>
          <w:b/>
          <w:sz w:val="24"/>
          <w:szCs w:val="24"/>
          <w:u w:val="single"/>
          <w:lang w:eastAsia="en-US"/>
        </w:rPr>
      </w:pPr>
    </w:p>
    <w:p w:rsidR="00EA50FD" w:rsidRPr="00EA50FD" w:rsidP="00EA50FD" w14:paraId="159A5204" w14:textId="77777777">
      <w:pPr>
        <w:ind w:left="-90"/>
        <w:rPr>
          <w:rFonts w:eastAsia="Times New Roman"/>
          <w:sz w:val="24"/>
          <w:szCs w:val="24"/>
          <w:lang w:eastAsia="en-US"/>
        </w:rPr>
      </w:pPr>
      <w:r w:rsidRPr="00EA50FD">
        <w:rPr>
          <w:rFonts w:eastAsia="Times New Roman"/>
          <w:sz w:val="24"/>
          <w:szCs w:val="24"/>
          <w:lang w:eastAsia="en-US"/>
        </w:rPr>
        <w:t xml:space="preserve">We are adjusting the reporting burden to this information collection, because SSA no longer allows user register directly through the IRES registration link once its removed. </w:t>
      </w:r>
    </w:p>
    <w:p w:rsidR="00EA50FD" w:rsidRPr="00EA50FD" w:rsidP="00EA50FD" w14:paraId="5C49138E" w14:textId="77777777">
      <w:pPr>
        <w:ind w:left="-90"/>
        <w:rPr>
          <w:rFonts w:eastAsia="Times New Roman"/>
          <w:sz w:val="24"/>
          <w:szCs w:val="24"/>
          <w:lang w:eastAsia="en-US"/>
        </w:rPr>
      </w:pPr>
    </w:p>
    <w:tbl>
      <w:tblPr>
        <w:tblStyle w:val="TableGrid1"/>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9"/>
        <w:gridCol w:w="1522"/>
        <w:gridCol w:w="1310"/>
        <w:gridCol w:w="1190"/>
        <w:gridCol w:w="1256"/>
        <w:gridCol w:w="1389"/>
        <w:gridCol w:w="2284"/>
      </w:tblGrid>
      <w:tr w14:paraId="0282F0F6" w14:textId="77777777" w:rsidTr="004D1BD1">
        <w:tblPrEx>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83" w:type="dxa"/>
          </w:tcPr>
          <w:p w:rsidR="00EA50FD" w:rsidRPr="00EA50FD" w:rsidP="00EA50FD" w14:paraId="7A801FF3" w14:textId="77777777">
            <w:pPr>
              <w:spacing w:after="240"/>
              <w:rPr>
                <w:sz w:val="24"/>
                <w:szCs w:val="24"/>
                <w:lang w:eastAsia="en-US"/>
              </w:rPr>
            </w:pPr>
            <w:r w:rsidRPr="00EA50FD">
              <w:rPr>
                <w:b/>
                <w:sz w:val="24"/>
                <w:szCs w:val="24"/>
                <w:lang w:eastAsia="en-US"/>
              </w:rPr>
              <w:t>Modality of Completion</w:t>
            </w:r>
          </w:p>
        </w:tc>
        <w:tc>
          <w:tcPr>
            <w:tcW w:w="1523" w:type="dxa"/>
          </w:tcPr>
          <w:p w:rsidR="00EA50FD" w:rsidRPr="00EA50FD" w:rsidP="00EA50FD" w14:paraId="2056A6AA" w14:textId="77777777">
            <w:pPr>
              <w:spacing w:after="240"/>
              <w:rPr>
                <w:sz w:val="24"/>
                <w:szCs w:val="24"/>
                <w:lang w:eastAsia="en-US"/>
              </w:rPr>
            </w:pPr>
            <w:r w:rsidRPr="00EA50FD">
              <w:rPr>
                <w:b/>
                <w:sz w:val="24"/>
                <w:szCs w:val="24"/>
                <w:lang w:eastAsia="en-US"/>
              </w:rPr>
              <w:t>Number of Respondents</w:t>
            </w:r>
          </w:p>
        </w:tc>
        <w:tc>
          <w:tcPr>
            <w:tcW w:w="1310" w:type="dxa"/>
          </w:tcPr>
          <w:p w:rsidR="00EA50FD" w:rsidRPr="00EA50FD" w:rsidP="00EA50FD" w14:paraId="37448520" w14:textId="77777777">
            <w:pPr>
              <w:spacing w:after="240"/>
              <w:rPr>
                <w:sz w:val="24"/>
                <w:szCs w:val="24"/>
                <w:lang w:eastAsia="en-US"/>
              </w:rPr>
            </w:pPr>
            <w:r w:rsidRPr="00EA50FD">
              <w:rPr>
                <w:b/>
                <w:sz w:val="24"/>
                <w:szCs w:val="24"/>
                <w:lang w:eastAsia="en-US"/>
              </w:rPr>
              <w:t>Frequency of Response</w:t>
            </w:r>
          </w:p>
        </w:tc>
        <w:tc>
          <w:tcPr>
            <w:tcW w:w="1190" w:type="dxa"/>
          </w:tcPr>
          <w:p w:rsidR="00EA50FD" w:rsidRPr="00EA50FD" w:rsidP="00EA50FD" w14:paraId="5AB3ED65" w14:textId="77777777">
            <w:pPr>
              <w:spacing w:after="240"/>
              <w:rPr>
                <w:sz w:val="24"/>
                <w:szCs w:val="24"/>
                <w:lang w:eastAsia="en-US"/>
              </w:rPr>
            </w:pPr>
            <w:r w:rsidRPr="00EA50FD">
              <w:rPr>
                <w:b/>
                <w:sz w:val="24"/>
                <w:szCs w:val="24"/>
                <w:lang w:eastAsia="en-US"/>
              </w:rPr>
              <w:t>Average Burden Per Response (minutes)</w:t>
            </w:r>
          </w:p>
        </w:tc>
        <w:tc>
          <w:tcPr>
            <w:tcW w:w="1256" w:type="dxa"/>
          </w:tcPr>
          <w:p w:rsidR="00EA50FD" w:rsidRPr="00EA50FD" w:rsidP="00EA50FD" w14:paraId="43A7348D" w14:textId="77777777">
            <w:pPr>
              <w:spacing w:after="240"/>
              <w:rPr>
                <w:sz w:val="24"/>
                <w:szCs w:val="24"/>
                <w:lang w:eastAsia="en-US"/>
              </w:rPr>
            </w:pPr>
            <w:r w:rsidRPr="00EA50FD">
              <w:rPr>
                <w:b/>
                <w:sz w:val="24"/>
                <w:szCs w:val="24"/>
                <w:lang w:eastAsia="en-US"/>
              </w:rPr>
              <w:t>Estimated Total Annual Burden (hours)</w:t>
            </w:r>
          </w:p>
        </w:tc>
        <w:tc>
          <w:tcPr>
            <w:tcW w:w="1389" w:type="dxa"/>
          </w:tcPr>
          <w:p w:rsidR="00EA50FD" w:rsidRPr="00EA50FD" w:rsidP="00EA50FD" w14:paraId="0097DE8B" w14:textId="77777777">
            <w:pPr>
              <w:spacing w:after="240"/>
              <w:rPr>
                <w:sz w:val="24"/>
                <w:szCs w:val="24"/>
                <w:lang w:eastAsia="en-US"/>
              </w:rPr>
            </w:pPr>
            <w:r w:rsidRPr="00EA50FD">
              <w:rPr>
                <w:b/>
                <w:sz w:val="24"/>
                <w:szCs w:val="24"/>
                <w:lang w:eastAsia="ar-SA"/>
              </w:rPr>
              <w:t>Average Theoretical Hourly Cost Amount (dollars)*</w:t>
            </w:r>
          </w:p>
        </w:tc>
        <w:tc>
          <w:tcPr>
            <w:tcW w:w="2289" w:type="dxa"/>
          </w:tcPr>
          <w:p w:rsidR="00EA50FD" w:rsidRPr="00EA50FD" w:rsidP="00EA50FD" w14:paraId="5D411B63" w14:textId="77777777">
            <w:pPr>
              <w:suppressAutoHyphens/>
              <w:autoSpaceDE w:val="0"/>
              <w:autoSpaceDN w:val="0"/>
              <w:adjustRightInd w:val="0"/>
              <w:spacing w:after="240"/>
              <w:rPr>
                <w:b/>
                <w:sz w:val="24"/>
                <w:szCs w:val="24"/>
                <w:lang w:eastAsia="ar-SA"/>
              </w:rPr>
            </w:pPr>
            <w:r w:rsidRPr="00EA50FD">
              <w:rPr>
                <w:b/>
                <w:sz w:val="24"/>
                <w:szCs w:val="24"/>
                <w:lang w:eastAsia="ar-SA"/>
              </w:rPr>
              <w:t>Total Annual Opportunity Cost</w:t>
            </w:r>
          </w:p>
          <w:p w:rsidR="00EA50FD" w:rsidRPr="00EA50FD" w:rsidP="00EA50FD" w14:paraId="25C49B34" w14:textId="77777777">
            <w:pPr>
              <w:spacing w:after="240"/>
              <w:rPr>
                <w:sz w:val="24"/>
                <w:szCs w:val="24"/>
                <w:lang w:eastAsia="en-US"/>
              </w:rPr>
            </w:pPr>
            <w:r w:rsidRPr="00EA50FD">
              <w:rPr>
                <w:b/>
                <w:sz w:val="24"/>
                <w:szCs w:val="24"/>
                <w:lang w:eastAsia="ar-SA"/>
              </w:rPr>
              <w:t>(dollars) **</w:t>
            </w:r>
          </w:p>
        </w:tc>
      </w:tr>
      <w:tr w14:paraId="76AA1DB1" w14:textId="77777777" w:rsidTr="004D1BD1">
        <w:tblPrEx>
          <w:tblW w:w="10440" w:type="dxa"/>
          <w:tblInd w:w="-365" w:type="dxa"/>
          <w:tblLook w:val="04A0"/>
        </w:tblPrEx>
        <w:tc>
          <w:tcPr>
            <w:tcW w:w="1483" w:type="dxa"/>
            <w:vAlign w:val="bottom"/>
          </w:tcPr>
          <w:p w:rsidR="00EA50FD" w:rsidRPr="00EA50FD" w:rsidP="00EA50FD" w14:paraId="7462C363" w14:textId="77777777">
            <w:pPr>
              <w:spacing w:after="240"/>
              <w:rPr>
                <w:sz w:val="24"/>
                <w:szCs w:val="24"/>
                <w:lang w:eastAsia="en-US"/>
              </w:rPr>
            </w:pPr>
            <w:r w:rsidRPr="00EA50FD">
              <w:rPr>
                <w:sz w:val="24"/>
                <w:szCs w:val="24"/>
                <w:lang w:eastAsia="en-US"/>
              </w:rPr>
              <w:t>IRES Internet Requestors</w:t>
            </w:r>
          </w:p>
        </w:tc>
        <w:tc>
          <w:tcPr>
            <w:tcW w:w="1523" w:type="dxa"/>
          </w:tcPr>
          <w:p w:rsidR="00EA50FD" w:rsidRPr="00EA50FD" w:rsidP="00EA50FD" w14:paraId="0BEEABC0" w14:textId="77777777">
            <w:pPr>
              <w:spacing w:after="240"/>
              <w:jc w:val="right"/>
              <w:rPr>
                <w:sz w:val="24"/>
                <w:szCs w:val="24"/>
                <w:lang w:eastAsia="en-US"/>
              </w:rPr>
            </w:pPr>
            <w:r w:rsidRPr="00EA50FD">
              <w:rPr>
                <w:sz w:val="24"/>
                <w:szCs w:val="24"/>
                <w:lang w:eastAsia="en-US"/>
              </w:rPr>
              <w:t>12,117,831</w:t>
            </w:r>
          </w:p>
        </w:tc>
        <w:tc>
          <w:tcPr>
            <w:tcW w:w="1310" w:type="dxa"/>
          </w:tcPr>
          <w:p w:rsidR="00EA50FD" w:rsidRPr="00EA50FD" w:rsidP="00EA50FD" w14:paraId="5E3F95D4" w14:textId="77777777">
            <w:pPr>
              <w:spacing w:after="240"/>
              <w:jc w:val="right"/>
              <w:rPr>
                <w:sz w:val="24"/>
                <w:szCs w:val="24"/>
                <w:lang w:eastAsia="en-US"/>
              </w:rPr>
            </w:pPr>
            <w:r w:rsidRPr="00EA50FD">
              <w:rPr>
                <w:sz w:val="24"/>
                <w:szCs w:val="24"/>
                <w:lang w:eastAsia="en-US"/>
              </w:rPr>
              <w:t>1</w:t>
            </w:r>
          </w:p>
        </w:tc>
        <w:tc>
          <w:tcPr>
            <w:tcW w:w="1190" w:type="dxa"/>
          </w:tcPr>
          <w:p w:rsidR="00EA50FD" w:rsidRPr="00EA50FD" w:rsidP="00EA50FD" w14:paraId="4863BEE1" w14:textId="77777777">
            <w:pPr>
              <w:spacing w:after="240"/>
              <w:jc w:val="right"/>
              <w:rPr>
                <w:sz w:val="24"/>
                <w:szCs w:val="24"/>
                <w:lang w:eastAsia="en-US"/>
              </w:rPr>
            </w:pPr>
            <w:r w:rsidRPr="00EA50FD">
              <w:rPr>
                <w:sz w:val="24"/>
                <w:szCs w:val="24"/>
                <w:lang w:eastAsia="en-US"/>
              </w:rPr>
              <w:t>2</w:t>
            </w:r>
          </w:p>
        </w:tc>
        <w:tc>
          <w:tcPr>
            <w:tcW w:w="1256" w:type="dxa"/>
          </w:tcPr>
          <w:p w:rsidR="00EA50FD" w:rsidRPr="00EA50FD" w:rsidP="00EA50FD" w14:paraId="359EA7EA" w14:textId="77777777">
            <w:pPr>
              <w:spacing w:after="240"/>
              <w:jc w:val="right"/>
              <w:rPr>
                <w:sz w:val="24"/>
                <w:szCs w:val="24"/>
                <w:lang w:eastAsia="en-US"/>
              </w:rPr>
            </w:pPr>
            <w:r w:rsidRPr="00EA50FD">
              <w:rPr>
                <w:sz w:val="24"/>
                <w:szCs w:val="24"/>
                <w:lang w:eastAsia="en-US"/>
              </w:rPr>
              <w:t>403,928</w:t>
            </w:r>
          </w:p>
        </w:tc>
        <w:tc>
          <w:tcPr>
            <w:tcW w:w="1389" w:type="dxa"/>
          </w:tcPr>
          <w:p w:rsidR="00EA50FD" w:rsidRPr="00EA50FD" w:rsidP="00EA50FD" w14:paraId="229C7E3F" w14:textId="77777777">
            <w:pPr>
              <w:spacing w:after="240"/>
              <w:jc w:val="right"/>
              <w:rPr>
                <w:sz w:val="24"/>
                <w:szCs w:val="24"/>
                <w:lang w:eastAsia="en-US"/>
              </w:rPr>
            </w:pPr>
            <w:r w:rsidRPr="00EA50FD">
              <w:rPr>
                <w:sz w:val="24"/>
                <w:szCs w:val="24"/>
                <w:lang w:eastAsia="en-US"/>
              </w:rPr>
              <w:t>$43.49*</w:t>
            </w:r>
          </w:p>
        </w:tc>
        <w:tc>
          <w:tcPr>
            <w:tcW w:w="2289" w:type="dxa"/>
          </w:tcPr>
          <w:p w:rsidR="00EA50FD" w:rsidRPr="00EA50FD" w:rsidP="00EA50FD" w14:paraId="68A4003D" w14:textId="77777777">
            <w:pPr>
              <w:spacing w:after="240"/>
              <w:jc w:val="right"/>
              <w:rPr>
                <w:sz w:val="24"/>
                <w:szCs w:val="24"/>
                <w:lang w:eastAsia="en-US"/>
              </w:rPr>
            </w:pPr>
            <w:r w:rsidRPr="00EA50FD">
              <w:rPr>
                <w:sz w:val="24"/>
                <w:szCs w:val="24"/>
                <w:lang w:eastAsia="en-US"/>
              </w:rPr>
              <w:t>$17,566,859 **</w:t>
            </w:r>
          </w:p>
        </w:tc>
      </w:tr>
      <w:tr w14:paraId="503E39F7" w14:textId="77777777" w:rsidTr="004D1BD1">
        <w:tblPrEx>
          <w:tblW w:w="10440" w:type="dxa"/>
          <w:tblInd w:w="-365" w:type="dxa"/>
          <w:tblLook w:val="04A0"/>
        </w:tblPrEx>
        <w:trPr>
          <w:trHeight w:val="944"/>
        </w:trPr>
        <w:tc>
          <w:tcPr>
            <w:tcW w:w="1483" w:type="dxa"/>
            <w:vAlign w:val="bottom"/>
          </w:tcPr>
          <w:p w:rsidR="00EA50FD" w:rsidRPr="00EA50FD" w:rsidP="00EA50FD" w14:paraId="774200F7" w14:textId="77777777">
            <w:pPr>
              <w:rPr>
                <w:sz w:val="24"/>
                <w:szCs w:val="24"/>
                <w:lang w:eastAsia="en-US"/>
              </w:rPr>
            </w:pPr>
            <w:r w:rsidRPr="00EA50FD">
              <w:rPr>
                <w:sz w:val="24"/>
                <w:szCs w:val="24"/>
                <w:lang w:eastAsia="en-US"/>
              </w:rPr>
              <w:t>IRES CS (CSA) Registrations</w:t>
            </w:r>
          </w:p>
        </w:tc>
        <w:tc>
          <w:tcPr>
            <w:tcW w:w="1523" w:type="dxa"/>
          </w:tcPr>
          <w:p w:rsidR="00EA50FD" w:rsidRPr="00EA50FD" w:rsidP="00EA50FD" w14:paraId="3A2BF2B3" w14:textId="77777777">
            <w:pPr>
              <w:jc w:val="right"/>
              <w:rPr>
                <w:sz w:val="24"/>
                <w:szCs w:val="24"/>
                <w:lang w:eastAsia="en-US"/>
              </w:rPr>
            </w:pPr>
            <w:r w:rsidRPr="00EA50FD">
              <w:rPr>
                <w:sz w:val="24"/>
                <w:szCs w:val="24"/>
                <w:lang w:eastAsia="en-US"/>
              </w:rPr>
              <w:t>2,216</w:t>
            </w:r>
          </w:p>
        </w:tc>
        <w:tc>
          <w:tcPr>
            <w:tcW w:w="1310" w:type="dxa"/>
          </w:tcPr>
          <w:p w:rsidR="00EA50FD" w:rsidRPr="00EA50FD" w:rsidP="00EA50FD" w14:paraId="430A9751" w14:textId="77777777">
            <w:pPr>
              <w:jc w:val="right"/>
              <w:rPr>
                <w:sz w:val="24"/>
                <w:szCs w:val="24"/>
                <w:lang w:eastAsia="en-US"/>
              </w:rPr>
            </w:pPr>
            <w:r w:rsidRPr="00EA50FD">
              <w:rPr>
                <w:sz w:val="24"/>
                <w:szCs w:val="24"/>
                <w:lang w:eastAsia="en-US"/>
              </w:rPr>
              <w:t>1</w:t>
            </w:r>
          </w:p>
        </w:tc>
        <w:tc>
          <w:tcPr>
            <w:tcW w:w="1190" w:type="dxa"/>
          </w:tcPr>
          <w:p w:rsidR="00EA50FD" w:rsidRPr="00EA50FD" w:rsidP="00EA50FD" w14:paraId="085BD38C" w14:textId="77777777">
            <w:pPr>
              <w:jc w:val="right"/>
              <w:rPr>
                <w:sz w:val="24"/>
                <w:szCs w:val="24"/>
                <w:lang w:eastAsia="en-US"/>
              </w:rPr>
            </w:pPr>
            <w:r w:rsidRPr="00EA50FD">
              <w:rPr>
                <w:sz w:val="24"/>
                <w:szCs w:val="24"/>
                <w:lang w:eastAsia="en-US"/>
              </w:rPr>
              <w:t>11</w:t>
            </w:r>
          </w:p>
        </w:tc>
        <w:tc>
          <w:tcPr>
            <w:tcW w:w="1256" w:type="dxa"/>
          </w:tcPr>
          <w:p w:rsidR="00EA50FD" w:rsidRPr="00EA50FD" w:rsidP="00EA50FD" w14:paraId="45CF6286" w14:textId="77777777">
            <w:pPr>
              <w:jc w:val="right"/>
              <w:rPr>
                <w:sz w:val="24"/>
                <w:szCs w:val="24"/>
                <w:lang w:eastAsia="en-US"/>
              </w:rPr>
            </w:pPr>
            <w:r w:rsidRPr="00EA50FD">
              <w:rPr>
                <w:sz w:val="24"/>
                <w:szCs w:val="24"/>
                <w:lang w:eastAsia="en-US"/>
              </w:rPr>
              <w:t>406</w:t>
            </w:r>
          </w:p>
        </w:tc>
        <w:tc>
          <w:tcPr>
            <w:tcW w:w="1389" w:type="dxa"/>
          </w:tcPr>
          <w:p w:rsidR="00EA50FD" w:rsidRPr="00EA50FD" w:rsidP="00EA50FD" w14:paraId="40037F27" w14:textId="77777777">
            <w:pPr>
              <w:jc w:val="right"/>
              <w:rPr>
                <w:sz w:val="24"/>
                <w:szCs w:val="24"/>
                <w:lang w:eastAsia="en-US"/>
              </w:rPr>
            </w:pPr>
            <w:r w:rsidRPr="00EA50FD">
              <w:rPr>
                <w:sz w:val="24"/>
                <w:szCs w:val="24"/>
                <w:lang w:eastAsia="en-US"/>
              </w:rPr>
              <w:t>$43.49*</w:t>
            </w:r>
          </w:p>
        </w:tc>
        <w:tc>
          <w:tcPr>
            <w:tcW w:w="2289" w:type="dxa"/>
          </w:tcPr>
          <w:p w:rsidR="00EA50FD" w:rsidRPr="00EA50FD" w:rsidP="00EA50FD" w14:paraId="6131D827" w14:textId="77777777">
            <w:pPr>
              <w:jc w:val="right"/>
              <w:rPr>
                <w:sz w:val="24"/>
                <w:szCs w:val="24"/>
                <w:lang w:eastAsia="en-US"/>
              </w:rPr>
            </w:pPr>
            <w:r w:rsidRPr="00EA50FD">
              <w:rPr>
                <w:sz w:val="24"/>
                <w:szCs w:val="24"/>
                <w:lang w:eastAsia="en-US"/>
              </w:rPr>
              <w:t>$17,657**</w:t>
            </w:r>
          </w:p>
        </w:tc>
      </w:tr>
      <w:tr w14:paraId="0DFCF895" w14:textId="77777777" w:rsidTr="004D1BD1">
        <w:tblPrEx>
          <w:tblW w:w="10440" w:type="dxa"/>
          <w:tblInd w:w="-365" w:type="dxa"/>
          <w:tblLook w:val="04A0"/>
        </w:tblPrEx>
        <w:trPr>
          <w:trHeight w:val="233"/>
        </w:trPr>
        <w:tc>
          <w:tcPr>
            <w:tcW w:w="1483" w:type="dxa"/>
          </w:tcPr>
          <w:p w:rsidR="00EA50FD" w:rsidRPr="00EA50FD" w:rsidP="00EA50FD" w14:paraId="7E42A4D9" w14:textId="77777777">
            <w:pPr>
              <w:rPr>
                <w:sz w:val="24"/>
                <w:szCs w:val="24"/>
                <w:lang w:eastAsia="en-US"/>
              </w:rPr>
            </w:pPr>
            <w:r w:rsidRPr="00EA50FD">
              <w:rPr>
                <w:b/>
                <w:sz w:val="24"/>
                <w:szCs w:val="24"/>
                <w:lang w:eastAsia="en-US"/>
              </w:rPr>
              <w:t>Total</w:t>
            </w:r>
          </w:p>
        </w:tc>
        <w:tc>
          <w:tcPr>
            <w:tcW w:w="1523" w:type="dxa"/>
          </w:tcPr>
          <w:p w:rsidR="00EA50FD" w:rsidRPr="00EA50FD" w:rsidP="00EA50FD" w14:paraId="5DBB1D27" w14:textId="77777777">
            <w:pPr>
              <w:jc w:val="right"/>
              <w:rPr>
                <w:sz w:val="24"/>
                <w:szCs w:val="24"/>
                <w:lang w:eastAsia="en-US"/>
              </w:rPr>
            </w:pPr>
            <w:r w:rsidRPr="00EA50FD">
              <w:rPr>
                <w:b/>
                <w:bCs/>
                <w:sz w:val="24"/>
                <w:szCs w:val="24"/>
                <w:lang w:eastAsia="en-US"/>
              </w:rPr>
              <w:t>12,120,047</w:t>
            </w:r>
          </w:p>
        </w:tc>
        <w:tc>
          <w:tcPr>
            <w:tcW w:w="1310" w:type="dxa"/>
          </w:tcPr>
          <w:p w:rsidR="00EA50FD" w:rsidRPr="00EA50FD" w:rsidP="00EA50FD" w14:paraId="6E5A58FA" w14:textId="77777777">
            <w:pPr>
              <w:jc w:val="right"/>
              <w:rPr>
                <w:sz w:val="24"/>
                <w:szCs w:val="24"/>
                <w:lang w:eastAsia="en-US"/>
              </w:rPr>
            </w:pPr>
          </w:p>
        </w:tc>
        <w:tc>
          <w:tcPr>
            <w:tcW w:w="1190" w:type="dxa"/>
          </w:tcPr>
          <w:p w:rsidR="00EA50FD" w:rsidRPr="00EA50FD" w:rsidP="00EA50FD" w14:paraId="1B1459AC" w14:textId="77777777">
            <w:pPr>
              <w:jc w:val="right"/>
              <w:rPr>
                <w:sz w:val="24"/>
                <w:szCs w:val="24"/>
                <w:lang w:eastAsia="en-US"/>
              </w:rPr>
            </w:pPr>
          </w:p>
        </w:tc>
        <w:tc>
          <w:tcPr>
            <w:tcW w:w="1256" w:type="dxa"/>
          </w:tcPr>
          <w:p w:rsidR="00EA50FD" w:rsidRPr="00EA50FD" w:rsidP="00EA50FD" w14:paraId="76C0CFDB" w14:textId="77777777">
            <w:pPr>
              <w:jc w:val="right"/>
              <w:rPr>
                <w:sz w:val="24"/>
                <w:szCs w:val="24"/>
                <w:lang w:eastAsia="en-US"/>
              </w:rPr>
            </w:pPr>
            <w:r w:rsidRPr="00EA50FD">
              <w:rPr>
                <w:b/>
                <w:bCs/>
                <w:sz w:val="24"/>
                <w:szCs w:val="24"/>
                <w:lang w:eastAsia="en-US"/>
              </w:rPr>
              <w:t>404,334</w:t>
            </w:r>
          </w:p>
        </w:tc>
        <w:tc>
          <w:tcPr>
            <w:tcW w:w="1389" w:type="dxa"/>
          </w:tcPr>
          <w:p w:rsidR="00EA50FD" w:rsidRPr="00EA50FD" w:rsidP="00EA50FD" w14:paraId="5DF3037C" w14:textId="77777777">
            <w:pPr>
              <w:jc w:val="right"/>
              <w:rPr>
                <w:sz w:val="24"/>
                <w:szCs w:val="24"/>
                <w:lang w:eastAsia="en-US"/>
              </w:rPr>
            </w:pPr>
          </w:p>
        </w:tc>
        <w:tc>
          <w:tcPr>
            <w:tcW w:w="2289" w:type="dxa"/>
          </w:tcPr>
          <w:p w:rsidR="00EA50FD" w:rsidRPr="00EA50FD" w:rsidP="00EA50FD" w14:paraId="4ED9A0DC" w14:textId="77777777">
            <w:pPr>
              <w:jc w:val="right"/>
              <w:rPr>
                <w:sz w:val="24"/>
                <w:szCs w:val="24"/>
                <w:lang w:eastAsia="en-US"/>
              </w:rPr>
            </w:pPr>
            <w:r w:rsidRPr="00EA50FD">
              <w:rPr>
                <w:b/>
                <w:bCs/>
                <w:sz w:val="24"/>
                <w:szCs w:val="24"/>
                <w:lang w:eastAsia="en-US"/>
              </w:rPr>
              <w:t>$17,584,516**</w:t>
            </w:r>
          </w:p>
        </w:tc>
      </w:tr>
    </w:tbl>
    <w:p w:rsidR="00EA50FD" w:rsidRPr="00EA50FD" w:rsidP="00EA50FD" w14:paraId="3CD92BBE" w14:textId="77777777">
      <w:pPr>
        <w:ind w:left="-90"/>
        <w:rPr>
          <w:rFonts w:eastAsia="Times New Roman"/>
          <w:snapToGrid w:val="0"/>
          <w:sz w:val="24"/>
          <w:szCs w:val="24"/>
          <w:lang w:eastAsia="ar-SA"/>
        </w:rPr>
      </w:pPr>
      <w:r w:rsidRPr="00EA50FD">
        <w:rPr>
          <w:rFonts w:eastAsia="Times New Roman"/>
          <w:sz w:val="24"/>
          <w:szCs w:val="24"/>
          <w:lang w:eastAsia="en-US"/>
        </w:rPr>
        <w:t>*We based this figure on average U.S. citizen’s hourly salary;</w:t>
      </w:r>
      <w:r w:rsidRPr="00EA50FD">
        <w:rPr>
          <w:rFonts w:eastAsia="Times New Roman"/>
          <w:sz w:val="24"/>
          <w:szCs w:val="24"/>
          <w:lang w:eastAsia="ar-SA"/>
        </w:rPr>
        <w:t xml:space="preserve"> the </w:t>
      </w:r>
      <w:r w:rsidRPr="00EA50FD">
        <w:rPr>
          <w:rFonts w:eastAsia="Times New Roman"/>
          <w:sz w:val="24"/>
          <w:szCs w:val="24"/>
          <w:lang w:eastAsia="en-US"/>
        </w:rPr>
        <w:t xml:space="preserve">hourly wages for Information and Record Keeping Clerks hourly salary; the average hourly wages for paralegals/legal assistants; and lawyers as reported  by the U.S. Bureau of Labor Statistics </w:t>
      </w:r>
      <w:r w:rsidRPr="00EA50FD">
        <w:rPr>
          <w:rFonts w:eastAsia="Times New Roman"/>
          <w:snapToGrid w:val="0"/>
          <w:sz w:val="24"/>
          <w:szCs w:val="24"/>
          <w:lang w:eastAsia="ar-SA"/>
        </w:rPr>
        <w:t>(</w:t>
      </w:r>
      <w:hyperlink r:id="rId5" w:anchor="/industry/000000" w:history="1">
        <w:r w:rsidRPr="00EA50FD">
          <w:rPr>
            <w:rFonts w:eastAsia="Times New Roman"/>
            <w:color w:val="0000FF"/>
            <w:sz w:val="24"/>
            <w:szCs w:val="20"/>
            <w:u w:val="single"/>
            <w:lang w:eastAsia="en-US"/>
          </w:rPr>
          <w:t>Occupational Employment and Wage Statistics</w:t>
        </w:r>
      </w:hyperlink>
      <w:r w:rsidRPr="00EA50FD">
        <w:rPr>
          <w:rFonts w:eastAsia="Times New Roman"/>
          <w:snapToGrid w:val="0"/>
          <w:sz w:val="24"/>
          <w:szCs w:val="24"/>
          <w:lang w:eastAsia="ar-SA"/>
        </w:rPr>
        <w:t>).</w:t>
      </w:r>
    </w:p>
    <w:p w:rsidR="00EA50FD" w:rsidRPr="00EA50FD" w:rsidP="00EA50FD" w14:paraId="726FFA07" w14:textId="77777777">
      <w:pPr>
        <w:ind w:left="-90"/>
        <w:rPr>
          <w:rFonts w:ascii="Calibri" w:eastAsia="Times New Roman" w:hAnsi="Calibri"/>
          <w:snapToGrid w:val="0"/>
          <w:sz w:val="24"/>
          <w:szCs w:val="24"/>
          <w:lang w:eastAsia="ar-SA"/>
        </w:rPr>
      </w:pPr>
    </w:p>
    <w:p w:rsidR="00EA50FD" w:rsidRPr="00EA50FD" w:rsidP="00EA50FD" w14:paraId="4CD7CEDC" w14:textId="77777777">
      <w:pPr>
        <w:ind w:left="-90"/>
        <w:rPr>
          <w:rFonts w:eastAsia="Times New Roman"/>
          <w:sz w:val="24"/>
          <w:szCs w:val="24"/>
          <w:lang w:eastAsia="en-US"/>
        </w:rPr>
      </w:pPr>
      <w:r w:rsidRPr="00EA50FD">
        <w:rPr>
          <w:rFonts w:ascii="Calibri" w:eastAsia="Times New Roman" w:hAnsi="Calibri"/>
          <w:sz w:val="24"/>
          <w:szCs w:val="24"/>
          <w:lang w:eastAsia="ar-SA"/>
        </w:rPr>
        <w:t>**</w:t>
      </w:r>
      <w:r w:rsidRPr="00EA50FD">
        <w:rPr>
          <w:rFonts w:eastAsia="Times New Roman"/>
          <w:sz w:val="24"/>
          <w:szCs w:val="24"/>
          <w:lang w:eastAsia="en-US"/>
        </w:rPr>
        <w:t>This figure does not represent actual costs that SSA is imposing on recipients of Social Security payments to complete this application; rather, these are theoretical opportunity costs for the additional time respondents will spend to complete the application.  There is no actual charge to respondents to complete the application.</w:t>
      </w:r>
    </w:p>
    <w:p w:rsidR="00EA50FD" w:rsidRPr="00EA50FD" w:rsidP="00EA50FD" w14:paraId="0E27B28E" w14:textId="77777777">
      <w:pPr>
        <w:ind w:left="-90"/>
        <w:rPr>
          <w:rFonts w:eastAsia="Times New Roman"/>
          <w:sz w:val="24"/>
          <w:szCs w:val="24"/>
          <w:lang w:eastAsia="en-US"/>
        </w:rPr>
      </w:pPr>
    </w:p>
    <w:p w:rsidR="00EA50FD" w:rsidRPr="00EA50FD" w:rsidP="00EA50FD" w14:paraId="23F9A2E4" w14:textId="77777777">
      <w:pPr>
        <w:ind w:left="-90"/>
        <w:rPr>
          <w:rFonts w:eastAsia="Times New Roman"/>
          <w:sz w:val="24"/>
          <w:szCs w:val="24"/>
          <w:lang w:eastAsia="en-US"/>
        </w:rPr>
      </w:pPr>
      <w:r w:rsidRPr="00EA50FD">
        <w:rPr>
          <w:rFonts w:eastAsia="Times New Roman"/>
          <w:sz w:val="24"/>
          <w:szCs w:val="24"/>
          <w:lang w:eastAsia="en-US"/>
        </w:rPr>
        <w:t xml:space="preserve">We based our burden estimates on current management information data, which includes data from actual interviews, as well as from years of conducting this information collection.  Per our management information data, we believe that the 2, and 11 minutes shown accurately shows the average burden per response for reading the instructions, gathering the facts, and answering the questions.  Based on our current management information data, the current burden information we provided is accurate.  The total burden for this ICR is </w:t>
      </w:r>
      <w:r w:rsidRPr="00EA50FD">
        <w:rPr>
          <w:rFonts w:eastAsia="Times New Roman"/>
          <w:b/>
          <w:bCs/>
          <w:sz w:val="24"/>
          <w:szCs w:val="24"/>
          <w:lang w:eastAsia="en-US"/>
        </w:rPr>
        <w:t>404,334</w:t>
      </w:r>
      <w:r w:rsidRPr="00EA50FD">
        <w:rPr>
          <w:rFonts w:eastAsia="Times New Roman"/>
          <w:sz w:val="24"/>
          <w:szCs w:val="24"/>
          <w:lang w:eastAsia="en-US"/>
        </w:rPr>
        <w:t xml:space="preserve"> burden hours (reflecting SSA management information data), which results in an associated theoretical (not actual) opportunity cost financial burden of </w:t>
      </w:r>
      <w:r w:rsidRPr="00EA50FD">
        <w:rPr>
          <w:rFonts w:eastAsia="Times New Roman"/>
          <w:b/>
          <w:bCs/>
          <w:sz w:val="24"/>
          <w:szCs w:val="24"/>
          <w:lang w:eastAsia="en-US"/>
        </w:rPr>
        <w:t>$17,584,516</w:t>
      </w:r>
      <w:r w:rsidRPr="00EA50FD">
        <w:rPr>
          <w:rFonts w:eastAsia="Times New Roman"/>
          <w:sz w:val="24"/>
          <w:szCs w:val="24"/>
          <w:lang w:eastAsia="en-US"/>
        </w:rPr>
        <w:t>.  SSA does not charge respondents to complete our applications.</w:t>
      </w:r>
    </w:p>
    <w:p w:rsidR="00EA50FD" w:rsidRPr="00EA50FD" w:rsidP="00EA50FD" w14:paraId="3AEACC3C" w14:textId="77777777">
      <w:pPr>
        <w:ind w:left="1080"/>
        <w:rPr>
          <w:rFonts w:ascii="Calibri" w:eastAsia="Calibri" w:hAnsi="Calibri" w:cs="Calibri"/>
          <w:b/>
          <w:sz w:val="22"/>
          <w:szCs w:val="22"/>
          <w:u w:val="single"/>
          <w:lang w:eastAsia="en-US"/>
        </w:rPr>
      </w:pPr>
    </w:p>
    <w:p w:rsidR="00EA50FD" w:rsidRPr="00EA50FD" w:rsidP="00EA50FD" w14:paraId="5CA9F79B" w14:textId="77777777">
      <w:pPr>
        <w:widowControl w:val="0"/>
        <w:ind w:left="-180"/>
        <w:rPr>
          <w:rFonts w:eastAsia="Times New Roman"/>
          <w:b/>
          <w:sz w:val="24"/>
          <w:szCs w:val="24"/>
          <w:u w:val="single"/>
          <w:lang w:eastAsia="en-US"/>
        </w:rPr>
      </w:pPr>
      <w:r w:rsidRPr="00EA50FD">
        <w:rPr>
          <w:rFonts w:eastAsia="Times New Roman"/>
          <w:b/>
          <w:sz w:val="24"/>
          <w:szCs w:val="24"/>
          <w:u w:val="single"/>
          <w:lang w:eastAsia="en-US"/>
        </w:rPr>
        <w:t>Future Plans</w:t>
      </w:r>
    </w:p>
    <w:p w:rsidR="00EA50FD" w:rsidRPr="00EA50FD" w:rsidP="00EA50FD" w14:paraId="7F8CDF07" w14:textId="77777777">
      <w:pPr>
        <w:widowControl w:val="0"/>
        <w:rPr>
          <w:rFonts w:eastAsia="Times New Roman"/>
          <w:b/>
          <w:sz w:val="24"/>
          <w:szCs w:val="24"/>
          <w:u w:val="single"/>
          <w:lang w:eastAsia="en-US"/>
        </w:rPr>
      </w:pPr>
    </w:p>
    <w:p w:rsidR="00EA50FD" w:rsidRPr="00EA50FD" w:rsidP="00EA50FD" w14:paraId="5A551B0F" w14:textId="77777777">
      <w:pPr>
        <w:widowControl w:val="0"/>
        <w:ind w:left="-180"/>
        <w:rPr>
          <w:rFonts w:eastAsia="Times New Roman"/>
          <w:sz w:val="24"/>
          <w:szCs w:val="24"/>
          <w:lang w:eastAsia="en-US"/>
        </w:rPr>
      </w:pPr>
      <w:r w:rsidRPr="00EA50FD">
        <w:rPr>
          <w:rFonts w:eastAsia="Times New Roman"/>
          <w:bCs/>
          <w:color w:val="000000"/>
          <w:sz w:val="24"/>
          <w:szCs w:val="20"/>
          <w:lang w:eastAsia="en-US"/>
        </w:rPr>
        <w:t xml:space="preserve">Due to the agile nature of our projects, we expect to eventually move more applications from IRES to the eAccess platform.  At this time, we are still finalizing our IT modernization plans for these changes.  We expect to submit another change request within six to nine months to request approval for additional updates to the system, and potentially, update the burden to include the </w:t>
      </w:r>
      <w:r w:rsidRPr="00EA50FD">
        <w:rPr>
          <w:rFonts w:eastAsia="Times New Roman"/>
          <w:bCs/>
          <w:color w:val="000000"/>
          <w:sz w:val="24"/>
          <w:szCs w:val="20"/>
          <w:lang w:eastAsia="en-US"/>
        </w:rPr>
        <w:t>removal of more users if we are able to move applications to a new platform.</w:t>
      </w:r>
    </w:p>
    <w:p w:rsidR="00EA50FD" w:rsidP="000C3D03" w14:paraId="037FB178" w14:textId="77777777">
      <w:pPr>
        <w:pStyle w:val="Heading1"/>
        <w:rPr>
          <w:rFonts w:ascii="Times New Roman" w:hAnsi="Times New Roman"/>
          <w:sz w:val="24"/>
          <w:szCs w:val="24"/>
          <w:u w:val="single"/>
        </w:rPr>
      </w:pPr>
    </w:p>
    <w:p w:rsidR="000C3D03" w:rsidRPr="00FC7036" w:rsidP="000C3D03" w14:paraId="2CD5078C" w14:textId="44015DFE">
      <w:pPr>
        <w:pStyle w:val="Heading1"/>
        <w:rPr>
          <w:rFonts w:ascii="Times New Roman" w:hAnsi="Times New Roman"/>
          <w:sz w:val="24"/>
          <w:szCs w:val="24"/>
          <w:u w:val="single"/>
        </w:rPr>
      </w:pPr>
      <w:r w:rsidRPr="00FC7036">
        <w:rPr>
          <w:rFonts w:ascii="Times New Roman" w:hAnsi="Times New Roman"/>
          <w:sz w:val="24"/>
          <w:szCs w:val="24"/>
          <w:u w:val="single"/>
        </w:rPr>
        <w:t>Public Comments on the Information Collection</w:t>
      </w:r>
    </w:p>
    <w:p w:rsidR="000C3D03" w:rsidRPr="00FC7036" w:rsidP="000C3D03" w14:paraId="038F59A2" w14:textId="77777777">
      <w:pPr>
        <w:pStyle w:val="Heading2"/>
        <w:rPr>
          <w:rFonts w:ascii="Times New Roman" w:hAnsi="Times New Roman"/>
          <w:b w:val="0"/>
          <w:bCs w:val="0"/>
          <w:i w:val="0"/>
          <w:iCs w:val="0"/>
          <w:sz w:val="24"/>
          <w:szCs w:val="24"/>
        </w:rPr>
      </w:pPr>
      <w:bookmarkStart w:id="1" w:name="_60-Day_Comment_Period"/>
      <w:bookmarkEnd w:id="1"/>
      <w:r w:rsidRPr="00FC7036">
        <w:rPr>
          <w:rFonts w:ascii="Times New Roman" w:hAnsi="Times New Roman"/>
          <w:i w:val="0"/>
          <w:iCs w:val="0"/>
          <w:sz w:val="24"/>
          <w:szCs w:val="24"/>
        </w:rPr>
        <w:t>60-Day Comment Period Federal Register Notice (FRN):</w:t>
      </w:r>
    </w:p>
    <w:p w:rsidR="00FC7036" w:rsidRPr="00FC7036" w:rsidP="000C3D03" w14:paraId="143E824E" w14:textId="77777777">
      <w:pPr>
        <w:rPr>
          <w:sz w:val="24"/>
          <w:szCs w:val="24"/>
        </w:rPr>
      </w:pPr>
      <w:r w:rsidRPr="00FC7036">
        <w:rPr>
          <w:sz w:val="24"/>
          <w:szCs w:val="24"/>
        </w:rPr>
        <w:t xml:space="preserve">The 60-day Comment Period began on </w:t>
      </w:r>
      <w:r w:rsidRPr="00FC7036">
        <w:rPr>
          <w:sz w:val="24"/>
          <w:szCs w:val="24"/>
        </w:rPr>
        <w:t>November 6, 2024</w:t>
      </w:r>
      <w:r w:rsidRPr="00FC7036">
        <w:rPr>
          <w:sz w:val="24"/>
          <w:szCs w:val="24"/>
        </w:rPr>
        <w:t xml:space="preserve">, and ended on </w:t>
      </w:r>
      <w:r w:rsidRPr="00FC7036">
        <w:rPr>
          <w:sz w:val="24"/>
          <w:szCs w:val="24"/>
        </w:rPr>
        <w:t>January 6, 2025</w:t>
      </w:r>
      <w:r w:rsidRPr="00FC7036">
        <w:rPr>
          <w:sz w:val="24"/>
          <w:szCs w:val="24"/>
        </w:rPr>
        <w:t xml:space="preserve">, at 11:59pm.  We received a total of </w:t>
      </w:r>
      <w:r w:rsidRPr="00FC7036">
        <w:rPr>
          <w:b/>
          <w:bCs/>
          <w:sz w:val="24"/>
          <w:szCs w:val="24"/>
        </w:rPr>
        <w:t>1</w:t>
      </w:r>
      <w:r w:rsidRPr="00FC7036">
        <w:rPr>
          <w:sz w:val="24"/>
          <w:szCs w:val="24"/>
        </w:rPr>
        <w:t xml:space="preserve"> public comment</w:t>
      </w:r>
      <w:r w:rsidRPr="00FC7036">
        <w:rPr>
          <w:sz w:val="24"/>
          <w:szCs w:val="24"/>
        </w:rPr>
        <w:t xml:space="preserve"> from the National Organization of Social Security Claimants’ Representatives (NOSSCR)</w:t>
      </w:r>
      <w:r w:rsidRPr="00FC7036">
        <w:rPr>
          <w:sz w:val="24"/>
          <w:szCs w:val="24"/>
        </w:rPr>
        <w:t xml:space="preserve"> on the 60</w:t>
      </w:r>
      <w:r w:rsidRPr="00FC7036">
        <w:rPr>
          <w:sz w:val="24"/>
          <w:szCs w:val="24"/>
        </w:rPr>
        <w:noBreakHyphen/>
      </w:r>
      <w:r w:rsidRPr="00FC7036">
        <w:rPr>
          <w:sz w:val="24"/>
          <w:szCs w:val="24"/>
        </w:rPr>
        <w:t xml:space="preserve">day comment period FRN.  </w:t>
      </w:r>
      <w:r w:rsidRPr="00FC7036">
        <w:rPr>
          <w:sz w:val="24"/>
          <w:szCs w:val="24"/>
        </w:rPr>
        <w:t>We published the 30-day Comment Period Notice on January 8, 2025, and received the same public comment from NOSSCR on the published Notice</w:t>
      </w:r>
      <w:r w:rsidRPr="00FC7036">
        <w:rPr>
          <w:sz w:val="24"/>
          <w:szCs w:val="24"/>
        </w:rPr>
        <w:t xml:space="preserve">.  </w:t>
      </w:r>
    </w:p>
    <w:p w:rsidR="00FC7036" w:rsidRPr="00FC7036" w:rsidP="000C3D03" w14:paraId="19DF30B6" w14:textId="77777777">
      <w:pPr>
        <w:rPr>
          <w:sz w:val="24"/>
          <w:szCs w:val="24"/>
        </w:rPr>
      </w:pPr>
    </w:p>
    <w:p w:rsidR="000C3D03" w:rsidRPr="00FC7036" w:rsidP="000C3D03" w14:paraId="2D6E522D" w14:textId="3D1997BE">
      <w:pPr>
        <w:rPr>
          <w:sz w:val="24"/>
          <w:szCs w:val="24"/>
        </w:rPr>
      </w:pPr>
      <w:r w:rsidRPr="00FC7036">
        <w:rPr>
          <w:sz w:val="24"/>
          <w:szCs w:val="24"/>
        </w:rPr>
        <w:t xml:space="preserve">The following contains a summary of </w:t>
      </w:r>
      <w:r w:rsidRPr="00FC7036" w:rsidR="00FC7036">
        <w:rPr>
          <w:sz w:val="24"/>
          <w:szCs w:val="24"/>
        </w:rPr>
        <w:t>NOSSCR’s comments</w:t>
      </w:r>
      <w:r w:rsidRPr="00FC7036">
        <w:rPr>
          <w:sz w:val="24"/>
          <w:szCs w:val="24"/>
        </w:rPr>
        <w:t xml:space="preserve"> and SSA’s responses:</w:t>
      </w:r>
    </w:p>
    <w:p w:rsidR="00FC7036" w:rsidRPr="00FC7036" w:rsidP="000C3D03" w14:paraId="5242703D" w14:textId="77777777">
      <w:pPr>
        <w:rPr>
          <w:sz w:val="24"/>
          <w:szCs w:val="24"/>
        </w:rPr>
      </w:pPr>
    </w:p>
    <w:p w:rsidR="00FC7036" w:rsidRPr="00FC7036" w:rsidP="00FC7036" w14:paraId="70D08A17" w14:textId="77777777">
      <w:pPr>
        <w:pStyle w:val="ListParagraph"/>
        <w:numPr>
          <w:ilvl w:val="0"/>
          <w:numId w:val="41"/>
        </w:numPr>
      </w:pPr>
      <w:r w:rsidRPr="00FC7036">
        <w:rPr>
          <w:b/>
          <w:bCs/>
        </w:rPr>
        <w:t>Public Comment #1:</w:t>
      </w:r>
      <w:r>
        <w:t xml:space="preserve">  </w:t>
      </w:r>
    </w:p>
    <w:p w:rsidR="00FC7036" w:rsidP="00FC7036" w14:paraId="103B457E" w14:textId="3810C046">
      <w:pPr>
        <w:pStyle w:val="ListParagraph"/>
        <w:ind w:left="360"/>
        <w:rPr>
          <w:sz w:val="23"/>
          <w:szCs w:val="23"/>
        </w:rPr>
      </w:pPr>
      <w:r>
        <w:rPr>
          <w:sz w:val="23"/>
          <w:szCs w:val="23"/>
        </w:rPr>
        <w:t xml:space="preserve">NOSSCR </w:t>
      </w:r>
      <w:r w:rsidRPr="00FC7036">
        <w:rPr>
          <w:sz w:val="23"/>
          <w:szCs w:val="23"/>
        </w:rPr>
        <w:t>encourage</w:t>
      </w:r>
      <w:r>
        <w:rPr>
          <w:sz w:val="23"/>
          <w:szCs w:val="23"/>
        </w:rPr>
        <w:t>s</w:t>
      </w:r>
      <w:r w:rsidRPr="00FC7036">
        <w:rPr>
          <w:sz w:val="23"/>
          <w:szCs w:val="23"/>
        </w:rPr>
        <w:t xml:space="preserve"> </w:t>
      </w:r>
      <w:r>
        <w:rPr>
          <w:sz w:val="23"/>
          <w:szCs w:val="23"/>
        </w:rPr>
        <w:t>SSA</w:t>
      </w:r>
      <w:r w:rsidRPr="00FC7036">
        <w:rPr>
          <w:sz w:val="23"/>
          <w:szCs w:val="23"/>
        </w:rPr>
        <w:t xml:space="preserve"> to strongly consider ways to enhance the security of the BSO and related Electronic Records Express (ERE) logins, both of which are operated on IRES. </w:t>
      </w:r>
      <w:r>
        <w:rPr>
          <w:sz w:val="23"/>
          <w:szCs w:val="23"/>
        </w:rPr>
        <w:t xml:space="preserve"> </w:t>
      </w:r>
      <w:r w:rsidRPr="00FC7036">
        <w:rPr>
          <w:sz w:val="23"/>
          <w:szCs w:val="23"/>
        </w:rPr>
        <w:t xml:space="preserve">The current ERE login system lacks the needed security to properly protect claimant data. </w:t>
      </w:r>
      <w:r>
        <w:rPr>
          <w:sz w:val="23"/>
          <w:szCs w:val="23"/>
        </w:rPr>
        <w:t xml:space="preserve"> </w:t>
      </w:r>
      <w:r w:rsidRPr="00FC7036">
        <w:rPr>
          <w:sz w:val="23"/>
          <w:szCs w:val="23"/>
        </w:rPr>
        <w:t>Protecting claimant data is of the utmost importance, and as representatives we stand ready to work with the agency to integrate the most secure login procedures into our practices.</w:t>
      </w:r>
    </w:p>
    <w:p w:rsidR="00FC7036" w:rsidRPr="00FC7036" w:rsidP="00FC7036" w14:paraId="1F1111CD" w14:textId="77777777">
      <w:pPr>
        <w:pStyle w:val="ListParagraph"/>
        <w:ind w:left="360"/>
      </w:pPr>
    </w:p>
    <w:p w:rsidR="00FC7036" w:rsidRPr="009907AC" w:rsidP="00FC7036" w14:paraId="5D21F909" w14:textId="77777777">
      <w:pPr>
        <w:pStyle w:val="ListParagraph"/>
        <w:ind w:left="360"/>
        <w:rPr>
          <w:b/>
          <w:bCs/>
          <w:color w:val="0000FF"/>
          <w:sz w:val="23"/>
          <w:szCs w:val="23"/>
        </w:rPr>
      </w:pPr>
      <w:r w:rsidRPr="009907AC">
        <w:rPr>
          <w:b/>
          <w:bCs/>
          <w:color w:val="0000FF"/>
          <w:sz w:val="23"/>
          <w:szCs w:val="23"/>
        </w:rPr>
        <w:t>SSA Response #1:</w:t>
      </w:r>
    </w:p>
    <w:p w:rsidR="00FC7036" w:rsidRPr="00FC7036" w:rsidP="00FC7036" w14:paraId="62BA0CAC" w14:textId="5AC84827">
      <w:pPr>
        <w:pStyle w:val="ListParagraph"/>
        <w:ind w:left="360"/>
      </w:pPr>
      <w:r w:rsidRPr="009907AC">
        <w:rPr>
          <w:color w:val="0000FF"/>
        </w:rPr>
        <w:t>SSA’s long-term plan is to replace IRES with a phishing resistant multifactor authentication (MFA) federated credential from ID.me and/or Login.gov for appointed representatives</w:t>
      </w:r>
      <w:r>
        <w:rPr>
          <w:color w:val="0000FF"/>
        </w:rPr>
        <w:t>.  We are working on making this update.</w:t>
      </w:r>
    </w:p>
    <w:p w:rsidR="00FC7036" w:rsidRPr="00FC7036" w:rsidP="00FC7036" w14:paraId="7B2CE2FD" w14:textId="77777777">
      <w:pPr>
        <w:pStyle w:val="ListParagraph"/>
        <w:ind w:left="1080"/>
      </w:pPr>
    </w:p>
    <w:p w:rsidR="00FC7036" w:rsidRPr="00FC7036" w:rsidP="00FC7036" w14:paraId="7727521A" w14:textId="77777777">
      <w:pPr>
        <w:pStyle w:val="ListParagraph"/>
        <w:numPr>
          <w:ilvl w:val="0"/>
          <w:numId w:val="41"/>
        </w:numPr>
      </w:pPr>
      <w:r w:rsidRPr="00FC7036">
        <w:rPr>
          <w:b/>
          <w:bCs/>
          <w:sz w:val="23"/>
          <w:szCs w:val="23"/>
        </w:rPr>
        <w:t>Public Comment #2:</w:t>
      </w:r>
      <w:r>
        <w:rPr>
          <w:sz w:val="23"/>
          <w:szCs w:val="23"/>
        </w:rPr>
        <w:t xml:space="preserve">  </w:t>
      </w:r>
    </w:p>
    <w:p w:rsidR="00FC7036" w:rsidP="00FC7036" w14:paraId="06BE653F" w14:textId="649CDD2D">
      <w:pPr>
        <w:pStyle w:val="ListParagraph"/>
        <w:ind w:left="360"/>
        <w:rPr>
          <w:sz w:val="23"/>
          <w:szCs w:val="23"/>
        </w:rPr>
      </w:pPr>
      <w:r>
        <w:rPr>
          <w:sz w:val="23"/>
          <w:szCs w:val="23"/>
        </w:rPr>
        <w:t>NOSSCR notes that u</w:t>
      </w:r>
      <w:r w:rsidRPr="00FC7036">
        <w:rPr>
          <w:sz w:val="23"/>
          <w:szCs w:val="23"/>
        </w:rPr>
        <w:t xml:space="preserve">nder the current BSO login setup, the individual representative is the only person who technically has login access to the represented claimant’s file. </w:t>
      </w:r>
      <w:r>
        <w:rPr>
          <w:sz w:val="23"/>
          <w:szCs w:val="23"/>
        </w:rPr>
        <w:t xml:space="preserve"> </w:t>
      </w:r>
      <w:r w:rsidRPr="00FC7036">
        <w:rPr>
          <w:sz w:val="23"/>
          <w:szCs w:val="23"/>
        </w:rPr>
        <w:t>T</w:t>
      </w:r>
      <w:r>
        <w:rPr>
          <w:sz w:val="23"/>
          <w:szCs w:val="23"/>
        </w:rPr>
        <w:t>hey note that this</w:t>
      </w:r>
      <w:r w:rsidRPr="00FC7036">
        <w:rPr>
          <w:sz w:val="23"/>
          <w:szCs w:val="23"/>
        </w:rPr>
        <w:t xml:space="preserve"> is impractical. </w:t>
      </w:r>
      <w:r>
        <w:rPr>
          <w:sz w:val="23"/>
          <w:szCs w:val="23"/>
        </w:rPr>
        <w:t xml:space="preserve"> </w:t>
      </w:r>
      <w:r w:rsidRPr="00FC7036">
        <w:rPr>
          <w:sz w:val="23"/>
          <w:szCs w:val="23"/>
        </w:rPr>
        <w:t xml:space="preserve">To limit file access solely to the individual representative necessarily prevents timely file workup. </w:t>
      </w:r>
      <w:r>
        <w:rPr>
          <w:sz w:val="23"/>
          <w:szCs w:val="23"/>
        </w:rPr>
        <w:t xml:space="preserve"> NOSSCR</w:t>
      </w:r>
      <w:r w:rsidRPr="00FC7036">
        <w:rPr>
          <w:sz w:val="23"/>
          <w:szCs w:val="23"/>
        </w:rPr>
        <w:t xml:space="preserve"> strongly encourage</w:t>
      </w:r>
      <w:r>
        <w:rPr>
          <w:sz w:val="23"/>
          <w:szCs w:val="23"/>
        </w:rPr>
        <w:t>s</w:t>
      </w:r>
      <w:r w:rsidRPr="00FC7036">
        <w:rPr>
          <w:sz w:val="23"/>
          <w:szCs w:val="23"/>
        </w:rPr>
        <w:t xml:space="preserve"> the agency to enhance the electronic login system to allow a representative’s verified staff member to access claimant files utilizing their own secured logins.</w:t>
      </w:r>
    </w:p>
    <w:p w:rsidR="00FC7036" w:rsidRPr="00FC7036" w:rsidP="00FC7036" w14:paraId="3E5476E1" w14:textId="77777777">
      <w:pPr>
        <w:pStyle w:val="ListParagraph"/>
        <w:ind w:left="360"/>
        <w:rPr>
          <w:sz w:val="23"/>
          <w:szCs w:val="23"/>
        </w:rPr>
      </w:pPr>
    </w:p>
    <w:p w:rsidR="00FC7036" w:rsidRPr="009907AC" w:rsidP="00FC7036" w14:paraId="342956A4" w14:textId="5F4291DF">
      <w:pPr>
        <w:pStyle w:val="ListParagraph"/>
        <w:ind w:left="360"/>
        <w:rPr>
          <w:b/>
          <w:bCs/>
          <w:color w:val="0000FF"/>
          <w:sz w:val="23"/>
          <w:szCs w:val="23"/>
        </w:rPr>
      </w:pPr>
      <w:r w:rsidRPr="009907AC">
        <w:rPr>
          <w:b/>
          <w:bCs/>
          <w:color w:val="0000FF"/>
          <w:sz w:val="23"/>
          <w:szCs w:val="23"/>
        </w:rPr>
        <w:t>SSA Response #2:</w:t>
      </w:r>
    </w:p>
    <w:p w:rsidR="009907AC" w:rsidP="009907AC" w14:paraId="7BC931FE" w14:textId="0BC93969">
      <w:pPr>
        <w:pStyle w:val="ListParagraph"/>
        <w:ind w:left="360"/>
        <w:rPr>
          <w:color w:val="0000FF"/>
        </w:rPr>
      </w:pPr>
      <w:r w:rsidRPr="009907AC">
        <w:rPr>
          <w:color w:val="0000FF"/>
        </w:rPr>
        <w:t>SSA is considering access to some portals by the appointed representatives’ staff.</w:t>
      </w:r>
    </w:p>
    <w:p w:rsidR="00EA50FD" w:rsidP="009907AC" w14:paraId="5813C5C2" w14:textId="77777777">
      <w:pPr>
        <w:pStyle w:val="ListParagraph"/>
        <w:ind w:left="360"/>
        <w:rPr>
          <w:color w:val="0000FF"/>
        </w:rPr>
      </w:pPr>
    </w:p>
    <w:p w:rsidR="00EA50FD" w:rsidRPr="009907AC" w:rsidP="009907AC" w14:paraId="6E2FB423" w14:textId="77777777">
      <w:pPr>
        <w:pStyle w:val="ListParagraph"/>
        <w:ind w:left="360"/>
        <w:rPr>
          <w:color w:val="0000FF"/>
        </w:rPr>
      </w:pPr>
    </w:p>
    <w:p w:rsidR="006E1D3E" w:rsidRPr="006E1D3E" w:rsidP="002E33EF" w14:paraId="2BDCB11B" w14:textId="41AC3A5A">
      <w:pPr>
        <w:jc w:val="center"/>
        <w:rPr>
          <w:b/>
          <w:bCs/>
          <w:sz w:val="24"/>
          <w:szCs w:val="24"/>
        </w:rPr>
      </w:pPr>
    </w:p>
    <w:sectPr w:rsidSect="008E0E06">
      <w:headerReference w:type="default" r:id="rId6"/>
      <w:footerReference w:type="default" r:id="rId7"/>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E6E" w14:paraId="12AEE31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B15B97" w:rsidRPr="006E1D3E" w:rsidP="006E1D3E" w14:paraId="6428E59E" w14:textId="51ADC6C2">
    <w:pPr>
      <w:pStyle w:val="Footer"/>
      <w:jc w:val="cen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053" w14:paraId="0AA1004A" w14:textId="6CDE5B8D">
    <w:pPr>
      <w:pStyle w:val="Header"/>
      <w:jc w:val="center"/>
    </w:pPr>
  </w:p>
  <w:p w:rsidR="00A20053" w14:paraId="5D94BF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3"/>
    <w:lvl w:ilvl="0">
      <w:start w:val="11"/>
      <w:numFmt w:val="decimal"/>
      <w:lvlText w:val="%1."/>
      <w:lvlJc w:val="left"/>
      <w:pPr>
        <w:tabs>
          <w:tab w:val="num" w:pos="720"/>
        </w:tabs>
        <w:ind w:left="720" w:hanging="720"/>
      </w:pPr>
      <w:rPr>
        <w:b/>
      </w:rPr>
    </w:lvl>
  </w:abstractNum>
  <w:abstractNum w:abstractNumId="1">
    <w:nsid w:val="00000004"/>
    <w:multiLevelType w:val="singleLevel"/>
    <w:tmpl w:val="00000004"/>
    <w:name w:val="WW8Num7"/>
    <w:lvl w:ilvl="0">
      <w:start w:val="8"/>
      <w:numFmt w:val="bullet"/>
      <w:lvlText w:val=""/>
      <w:lvlJc w:val="left"/>
      <w:pPr>
        <w:tabs>
          <w:tab w:val="num" w:pos="1080"/>
        </w:tabs>
        <w:ind w:left="1080" w:hanging="360"/>
      </w:pPr>
      <w:rPr>
        <w:rFonts w:ascii="Symbol" w:hAnsi="Symbol"/>
      </w:rPr>
    </w:lvl>
  </w:abstractNum>
  <w:abstractNum w:abstractNumId="2">
    <w:nsid w:val="00000007"/>
    <w:multiLevelType w:val="singleLevel"/>
    <w:tmpl w:val="00000007"/>
    <w:name w:val="WW8Num12"/>
    <w:lvl w:ilvl="0">
      <w:start w:val="8"/>
      <w:numFmt w:val="bullet"/>
      <w:lvlText w:val=""/>
      <w:lvlJc w:val="left"/>
      <w:pPr>
        <w:tabs>
          <w:tab w:val="num" w:pos="1080"/>
        </w:tabs>
        <w:ind w:left="1080" w:hanging="360"/>
      </w:pPr>
      <w:rPr>
        <w:rFonts w:ascii="Symbol" w:hAnsi="Symbol"/>
      </w:rPr>
    </w:lvl>
  </w:abstractNum>
  <w:abstractNum w:abstractNumId="3">
    <w:nsid w:val="0000000A"/>
    <w:multiLevelType w:val="singleLevel"/>
    <w:tmpl w:val="0000000A"/>
    <w:lvl w:ilvl="0">
      <w:start w:val="8"/>
      <w:numFmt w:val="bullet"/>
      <w:lvlText w:val=""/>
      <w:lvlJc w:val="left"/>
      <w:pPr>
        <w:tabs>
          <w:tab w:val="num" w:pos="1080"/>
        </w:tabs>
        <w:ind w:left="1080" w:hanging="360"/>
      </w:pPr>
      <w:rPr>
        <w:rFonts w:ascii="Symbol" w:hAnsi="Symbol"/>
      </w:rPr>
    </w:lvl>
  </w:abstractNum>
  <w:abstractNum w:abstractNumId="4">
    <w:nsid w:val="03783219"/>
    <w:multiLevelType w:val="hybridMultilevel"/>
    <w:tmpl w:val="2F46ED4E"/>
    <w:lvl w:ilvl="0">
      <w:start w:val="1"/>
      <w:numFmt w:val="lowerLetter"/>
      <w:lvlText w:val="%1."/>
      <w:lvlJc w:val="left"/>
      <w:pPr>
        <w:ind w:left="3240" w:hanging="360"/>
      </w:pPr>
      <w:rPr>
        <w:rFonts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
    <w:nsid w:val="05FF35D9"/>
    <w:multiLevelType w:val="hybridMultilevel"/>
    <w:tmpl w:val="53F0975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AB21154"/>
    <w:multiLevelType w:val="hybridMultilevel"/>
    <w:tmpl w:val="3880E43A"/>
    <w:lvl w:ilvl="0">
      <w:start w:val="1"/>
      <w:numFmt w:val="bullet"/>
      <w:lvlText w:val=""/>
      <w:lvlJc w:val="left"/>
      <w:pPr>
        <w:ind w:left="2340" w:hanging="360"/>
      </w:pPr>
      <w:rPr>
        <w:rFonts w:ascii="Symbol" w:hAnsi="Symbol" w:hint="default"/>
        <w:color w:val="auto"/>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0960081"/>
    <w:multiLevelType w:val="hybridMultilevel"/>
    <w:tmpl w:val="E158A0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1B5D09"/>
    <w:multiLevelType w:val="hybridMultilevel"/>
    <w:tmpl w:val="C9B6E8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16A300E"/>
    <w:multiLevelType w:val="hybridMultilevel"/>
    <w:tmpl w:val="EE26ED5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81525F0"/>
    <w:multiLevelType w:val="hybridMultilevel"/>
    <w:tmpl w:val="69626FD2"/>
    <w:lvl w:ilvl="0">
      <w:start w:val="1"/>
      <w:numFmt w:val="decimal"/>
      <w:lvlText w:val="%1."/>
      <w:lvlJc w:val="left"/>
      <w:pPr>
        <w:tabs>
          <w:tab w:val="num" w:pos="1440"/>
        </w:tabs>
        <w:ind w:left="1440" w:hanging="360"/>
      </w:pPr>
      <w:rPr>
        <w:b w:val="0"/>
        <w:bCs/>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18B352C0"/>
    <w:multiLevelType w:val="hybridMultilevel"/>
    <w:tmpl w:val="AB62440C"/>
    <w:lvl w:ilvl="0">
      <w:start w:val="1"/>
      <w:numFmt w:val="bullet"/>
      <w:lvlText w:val=""/>
      <w:lvlJc w:val="left"/>
      <w:pPr>
        <w:ind w:left="5040" w:hanging="360"/>
      </w:pPr>
      <w:rPr>
        <w:rFonts w:ascii="Wingdings" w:hAnsi="Wingdings" w:hint="default"/>
      </w:rPr>
    </w:lvl>
    <w:lvl w:ilvl="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12">
    <w:nsid w:val="1954531F"/>
    <w:multiLevelType w:val="hybridMultilevel"/>
    <w:tmpl w:val="117AE5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1BF25821"/>
    <w:multiLevelType w:val="hybridMultilevel"/>
    <w:tmpl w:val="67E29E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EB24590"/>
    <w:multiLevelType w:val="hybridMultilevel"/>
    <w:tmpl w:val="BFCA343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FF94494"/>
    <w:multiLevelType w:val="hybridMultilevel"/>
    <w:tmpl w:val="39D8A3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255F3A"/>
    <w:multiLevelType w:val="hybridMultilevel"/>
    <w:tmpl w:val="470857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2B3D748C"/>
    <w:multiLevelType w:val="hybridMultilevel"/>
    <w:tmpl w:val="F7729916"/>
    <w:lvl w:ilvl="0">
      <w:start w:val="8"/>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C340DED"/>
    <w:multiLevelType w:val="hybridMultilevel"/>
    <w:tmpl w:val="EC0AD6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2E617992"/>
    <w:multiLevelType w:val="hybridMultilevel"/>
    <w:tmpl w:val="3B2EA66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36D309CB"/>
    <w:multiLevelType w:val="hybridMultilevel"/>
    <w:tmpl w:val="46C0B35E"/>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1">
    <w:nsid w:val="38FD058C"/>
    <w:multiLevelType w:val="hybridMultilevel"/>
    <w:tmpl w:val="A19081A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3A6731D3"/>
    <w:multiLevelType w:val="hybridMultilevel"/>
    <w:tmpl w:val="124C42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C165C8C"/>
    <w:multiLevelType w:val="hybridMultilevel"/>
    <w:tmpl w:val="753E4D4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3F84767B"/>
    <w:multiLevelType w:val="hybridMultilevel"/>
    <w:tmpl w:val="FC38819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437D5687"/>
    <w:multiLevelType w:val="hybridMultilevel"/>
    <w:tmpl w:val="37A4F87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3E32F89"/>
    <w:multiLevelType w:val="hybridMultilevel"/>
    <w:tmpl w:val="5E76353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5022C10"/>
    <w:multiLevelType w:val="hybridMultilevel"/>
    <w:tmpl w:val="733A14FE"/>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4C25700F"/>
    <w:multiLevelType w:val="hybridMultilevel"/>
    <w:tmpl w:val="8A4C1ABE"/>
    <w:lvl w:ilvl="0">
      <w:start w:val="5"/>
      <w:numFmt w:val="decimal"/>
      <w:lvlText w:val="%1."/>
      <w:lvlJc w:val="left"/>
      <w:pPr>
        <w:tabs>
          <w:tab w:val="num" w:pos="360"/>
        </w:tabs>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E61E71"/>
    <w:multiLevelType w:val="hybridMultilevel"/>
    <w:tmpl w:val="16CE2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3F41CB"/>
    <w:multiLevelType w:val="hybridMultilevel"/>
    <w:tmpl w:val="3498356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9B5E8F"/>
    <w:multiLevelType w:val="hybridMultilevel"/>
    <w:tmpl w:val="BEE606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A640209"/>
    <w:multiLevelType w:val="hybridMultilevel"/>
    <w:tmpl w:val="A554286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5AB632C8"/>
    <w:multiLevelType w:val="hybridMultilevel"/>
    <w:tmpl w:val="DB12E93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4">
    <w:nsid w:val="5BB15242"/>
    <w:multiLevelType w:val="hybridMultilevel"/>
    <w:tmpl w:val="93F0F6A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5CB41D08"/>
    <w:multiLevelType w:val="hybridMultilevel"/>
    <w:tmpl w:val="DAE65F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C703CC"/>
    <w:multiLevelType w:val="hybridMultilevel"/>
    <w:tmpl w:val="3DE62F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67C7798"/>
    <w:multiLevelType w:val="hybridMultilevel"/>
    <w:tmpl w:val="D44E3B7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8">
    <w:nsid w:val="694A7BD3"/>
    <w:multiLevelType w:val="hybridMultilevel"/>
    <w:tmpl w:val="449099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2F450E0"/>
    <w:multiLevelType w:val="hybridMultilevel"/>
    <w:tmpl w:val="3690AB96"/>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41">
    <w:nsid w:val="7CF46FC5"/>
    <w:multiLevelType w:val="hybridMultilevel"/>
    <w:tmpl w:val="72BCF95E"/>
    <w:lvl w:ilvl="0">
      <w:start w:val="8"/>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93762803">
    <w:abstractNumId w:val="10"/>
  </w:num>
  <w:num w:numId="2" w16cid:durableId="1872495153">
    <w:abstractNumId w:val="16"/>
  </w:num>
  <w:num w:numId="3" w16cid:durableId="329606933">
    <w:abstractNumId w:val="27"/>
  </w:num>
  <w:num w:numId="4" w16cid:durableId="498274187">
    <w:abstractNumId w:val="8"/>
  </w:num>
  <w:num w:numId="5" w16cid:durableId="156842698">
    <w:abstractNumId w:val="23"/>
  </w:num>
  <w:num w:numId="6" w16cid:durableId="978849410">
    <w:abstractNumId w:val="7"/>
  </w:num>
  <w:num w:numId="7" w16cid:durableId="1437409047">
    <w:abstractNumId w:val="4"/>
  </w:num>
  <w:num w:numId="8" w16cid:durableId="1597131266">
    <w:abstractNumId w:val="18"/>
  </w:num>
  <w:num w:numId="9" w16cid:durableId="1522040560">
    <w:abstractNumId w:val="32"/>
  </w:num>
  <w:num w:numId="10" w16cid:durableId="638337900">
    <w:abstractNumId w:val="31"/>
  </w:num>
  <w:num w:numId="11" w16cid:durableId="609243423">
    <w:abstractNumId w:val="14"/>
  </w:num>
  <w:num w:numId="12" w16cid:durableId="1867254823">
    <w:abstractNumId w:val="12"/>
  </w:num>
  <w:num w:numId="13" w16cid:durableId="355694864">
    <w:abstractNumId w:val="11"/>
  </w:num>
  <w:num w:numId="14" w16cid:durableId="1543714369">
    <w:abstractNumId w:val="20"/>
  </w:num>
  <w:num w:numId="15" w16cid:durableId="1437795217">
    <w:abstractNumId w:val="1"/>
  </w:num>
  <w:num w:numId="16" w16cid:durableId="1292588818">
    <w:abstractNumId w:val="41"/>
  </w:num>
  <w:num w:numId="17" w16cid:durableId="886068198">
    <w:abstractNumId w:val="25"/>
  </w:num>
  <w:num w:numId="18" w16cid:durableId="635985400">
    <w:abstractNumId w:val="2"/>
  </w:num>
  <w:num w:numId="19" w16cid:durableId="297684996">
    <w:abstractNumId w:val="3"/>
  </w:num>
  <w:num w:numId="20" w16cid:durableId="702748576">
    <w:abstractNumId w:val="35"/>
  </w:num>
  <w:num w:numId="21" w16cid:durableId="1841003715">
    <w:abstractNumId w:val="6"/>
  </w:num>
  <w:num w:numId="22" w16cid:durableId="1320424588">
    <w:abstractNumId w:val="0"/>
  </w:num>
  <w:num w:numId="23" w16cid:durableId="882911030">
    <w:abstractNumId w:val="17"/>
  </w:num>
  <w:num w:numId="24" w16cid:durableId="1284187081">
    <w:abstractNumId w:val="40"/>
  </w:num>
  <w:num w:numId="25" w16cid:durableId="2009940866">
    <w:abstractNumId w:val="15"/>
  </w:num>
  <w:num w:numId="26" w16cid:durableId="845754297">
    <w:abstractNumId w:val="21"/>
  </w:num>
  <w:num w:numId="27" w16cid:durableId="743919970">
    <w:abstractNumId w:val="39"/>
  </w:num>
  <w:num w:numId="28" w16cid:durableId="1944412505">
    <w:abstractNumId w:val="33"/>
  </w:num>
  <w:num w:numId="29" w16cid:durableId="869802577">
    <w:abstractNumId w:val="19"/>
  </w:num>
  <w:num w:numId="30" w16cid:durableId="1520779176">
    <w:abstractNumId w:val="37"/>
  </w:num>
  <w:num w:numId="31" w16cid:durableId="1109159890">
    <w:abstractNumId w:val="5"/>
  </w:num>
  <w:num w:numId="32" w16cid:durableId="1687516352">
    <w:abstractNumId w:val="9"/>
  </w:num>
  <w:num w:numId="33" w16cid:durableId="1213033513">
    <w:abstractNumId w:val="30"/>
  </w:num>
  <w:num w:numId="34" w16cid:durableId="1045179498">
    <w:abstractNumId w:val="36"/>
  </w:num>
  <w:num w:numId="35" w16cid:durableId="1391660452">
    <w:abstractNumId w:val="13"/>
  </w:num>
  <w:num w:numId="36" w16cid:durableId="23986706">
    <w:abstractNumId w:val="26"/>
  </w:num>
  <w:num w:numId="37" w16cid:durableId="840243111">
    <w:abstractNumId w:val="24"/>
  </w:num>
  <w:num w:numId="38" w16cid:durableId="1588804113">
    <w:abstractNumId w:val="34"/>
  </w:num>
  <w:num w:numId="39" w16cid:durableId="1258054264">
    <w:abstractNumId w:val="28"/>
  </w:num>
  <w:num w:numId="40" w16cid:durableId="395782990">
    <w:abstractNumId w:val="29"/>
  </w:num>
  <w:num w:numId="41" w16cid:durableId="842932465">
    <w:abstractNumId w:val="38"/>
  </w:num>
  <w:num w:numId="42" w16cid:durableId="15045906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8B"/>
    <w:rsid w:val="000107B3"/>
    <w:rsid w:val="000119F0"/>
    <w:rsid w:val="00011FA7"/>
    <w:rsid w:val="00015214"/>
    <w:rsid w:val="00015FEA"/>
    <w:rsid w:val="00030972"/>
    <w:rsid w:val="00034244"/>
    <w:rsid w:val="0005048A"/>
    <w:rsid w:val="00061961"/>
    <w:rsid w:val="000660E5"/>
    <w:rsid w:val="000722BD"/>
    <w:rsid w:val="0008200F"/>
    <w:rsid w:val="00084E2D"/>
    <w:rsid w:val="00091444"/>
    <w:rsid w:val="00095796"/>
    <w:rsid w:val="000A6EF7"/>
    <w:rsid w:val="000C3D03"/>
    <w:rsid w:val="001104C9"/>
    <w:rsid w:val="0011415F"/>
    <w:rsid w:val="00117EF2"/>
    <w:rsid w:val="00121202"/>
    <w:rsid w:val="00125B52"/>
    <w:rsid w:val="00126B4D"/>
    <w:rsid w:val="0016636E"/>
    <w:rsid w:val="0017569E"/>
    <w:rsid w:val="00177CEB"/>
    <w:rsid w:val="0018440E"/>
    <w:rsid w:val="0018624E"/>
    <w:rsid w:val="00186B40"/>
    <w:rsid w:val="001913CB"/>
    <w:rsid w:val="001918F2"/>
    <w:rsid w:val="00192D5B"/>
    <w:rsid w:val="001C2077"/>
    <w:rsid w:val="001D3F35"/>
    <w:rsid w:val="001E48F2"/>
    <w:rsid w:val="001F26ED"/>
    <w:rsid w:val="001F3A52"/>
    <w:rsid w:val="001F401C"/>
    <w:rsid w:val="002005BE"/>
    <w:rsid w:val="0020345B"/>
    <w:rsid w:val="00203B3E"/>
    <w:rsid w:val="00221CB2"/>
    <w:rsid w:val="0022685D"/>
    <w:rsid w:val="002309EC"/>
    <w:rsid w:val="00237D07"/>
    <w:rsid w:val="00241586"/>
    <w:rsid w:val="0025449E"/>
    <w:rsid w:val="00260EE9"/>
    <w:rsid w:val="00262F4D"/>
    <w:rsid w:val="002637F5"/>
    <w:rsid w:val="002705B6"/>
    <w:rsid w:val="0029206E"/>
    <w:rsid w:val="00296262"/>
    <w:rsid w:val="002A0401"/>
    <w:rsid w:val="002B05C3"/>
    <w:rsid w:val="002B06FD"/>
    <w:rsid w:val="002B3D8B"/>
    <w:rsid w:val="002C1C40"/>
    <w:rsid w:val="002D0587"/>
    <w:rsid w:val="002E33EF"/>
    <w:rsid w:val="002E3B84"/>
    <w:rsid w:val="002F106E"/>
    <w:rsid w:val="002F38A1"/>
    <w:rsid w:val="00304CF2"/>
    <w:rsid w:val="00310A5D"/>
    <w:rsid w:val="00313E98"/>
    <w:rsid w:val="00325BFF"/>
    <w:rsid w:val="00343834"/>
    <w:rsid w:val="003453CD"/>
    <w:rsid w:val="00346962"/>
    <w:rsid w:val="003548BD"/>
    <w:rsid w:val="00363D94"/>
    <w:rsid w:val="00370D8B"/>
    <w:rsid w:val="00370DC8"/>
    <w:rsid w:val="00376907"/>
    <w:rsid w:val="00381BD4"/>
    <w:rsid w:val="00393B62"/>
    <w:rsid w:val="003947C9"/>
    <w:rsid w:val="003A06E3"/>
    <w:rsid w:val="003A15F6"/>
    <w:rsid w:val="003A23DF"/>
    <w:rsid w:val="003B092F"/>
    <w:rsid w:val="003B17BB"/>
    <w:rsid w:val="003B2334"/>
    <w:rsid w:val="003C0847"/>
    <w:rsid w:val="003C3FBE"/>
    <w:rsid w:val="003C60E8"/>
    <w:rsid w:val="003D4B81"/>
    <w:rsid w:val="003D7059"/>
    <w:rsid w:val="003E13DF"/>
    <w:rsid w:val="003E3E7A"/>
    <w:rsid w:val="003E58D3"/>
    <w:rsid w:val="003E5B43"/>
    <w:rsid w:val="003F0BF1"/>
    <w:rsid w:val="0040132E"/>
    <w:rsid w:val="00413615"/>
    <w:rsid w:val="00427537"/>
    <w:rsid w:val="0044183A"/>
    <w:rsid w:val="00443E6E"/>
    <w:rsid w:val="0045797E"/>
    <w:rsid w:val="004672D4"/>
    <w:rsid w:val="00476D4A"/>
    <w:rsid w:val="0048149F"/>
    <w:rsid w:val="00486106"/>
    <w:rsid w:val="00487FB4"/>
    <w:rsid w:val="00492D2A"/>
    <w:rsid w:val="00495E20"/>
    <w:rsid w:val="004A1441"/>
    <w:rsid w:val="004A22E4"/>
    <w:rsid w:val="004B529A"/>
    <w:rsid w:val="004B71E5"/>
    <w:rsid w:val="004C1A75"/>
    <w:rsid w:val="004C7E84"/>
    <w:rsid w:val="004D41F5"/>
    <w:rsid w:val="004E1769"/>
    <w:rsid w:val="004F0BD3"/>
    <w:rsid w:val="004F4727"/>
    <w:rsid w:val="004F570D"/>
    <w:rsid w:val="004F66BE"/>
    <w:rsid w:val="00502FE8"/>
    <w:rsid w:val="00512ABE"/>
    <w:rsid w:val="00515DE6"/>
    <w:rsid w:val="00522B55"/>
    <w:rsid w:val="0053103C"/>
    <w:rsid w:val="00533144"/>
    <w:rsid w:val="005350D2"/>
    <w:rsid w:val="00535C0A"/>
    <w:rsid w:val="0053741A"/>
    <w:rsid w:val="005470DD"/>
    <w:rsid w:val="00555C3C"/>
    <w:rsid w:val="005567F4"/>
    <w:rsid w:val="00556D08"/>
    <w:rsid w:val="00557D0E"/>
    <w:rsid w:val="00565370"/>
    <w:rsid w:val="005660AE"/>
    <w:rsid w:val="00566349"/>
    <w:rsid w:val="00571857"/>
    <w:rsid w:val="0058291F"/>
    <w:rsid w:val="0058425E"/>
    <w:rsid w:val="005845DB"/>
    <w:rsid w:val="00584F0A"/>
    <w:rsid w:val="0059572E"/>
    <w:rsid w:val="005E41C0"/>
    <w:rsid w:val="005F32E6"/>
    <w:rsid w:val="00601E84"/>
    <w:rsid w:val="00603F52"/>
    <w:rsid w:val="00630D4D"/>
    <w:rsid w:val="00630FF7"/>
    <w:rsid w:val="006462AA"/>
    <w:rsid w:val="0065685B"/>
    <w:rsid w:val="00663CDB"/>
    <w:rsid w:val="006670F3"/>
    <w:rsid w:val="00675DFD"/>
    <w:rsid w:val="00682BE3"/>
    <w:rsid w:val="0068418B"/>
    <w:rsid w:val="006930E4"/>
    <w:rsid w:val="006B7B62"/>
    <w:rsid w:val="006C5137"/>
    <w:rsid w:val="006C541C"/>
    <w:rsid w:val="006D1E46"/>
    <w:rsid w:val="006D49FA"/>
    <w:rsid w:val="006D678B"/>
    <w:rsid w:val="006E1D3E"/>
    <w:rsid w:val="00711566"/>
    <w:rsid w:val="00711625"/>
    <w:rsid w:val="0071654B"/>
    <w:rsid w:val="00725834"/>
    <w:rsid w:val="00725ACE"/>
    <w:rsid w:val="007267D0"/>
    <w:rsid w:val="00734C4B"/>
    <w:rsid w:val="00734C84"/>
    <w:rsid w:val="00735CAA"/>
    <w:rsid w:val="00745590"/>
    <w:rsid w:val="00755236"/>
    <w:rsid w:val="00762DC8"/>
    <w:rsid w:val="00776769"/>
    <w:rsid w:val="00787CCC"/>
    <w:rsid w:val="00795C06"/>
    <w:rsid w:val="00796A97"/>
    <w:rsid w:val="007B0D1C"/>
    <w:rsid w:val="007B1CF8"/>
    <w:rsid w:val="007B317C"/>
    <w:rsid w:val="007B6EB0"/>
    <w:rsid w:val="007D559E"/>
    <w:rsid w:val="007D7BAC"/>
    <w:rsid w:val="007E4D9F"/>
    <w:rsid w:val="007F3E16"/>
    <w:rsid w:val="007F5CE6"/>
    <w:rsid w:val="008069AB"/>
    <w:rsid w:val="00820960"/>
    <w:rsid w:val="00822C70"/>
    <w:rsid w:val="00825658"/>
    <w:rsid w:val="00841B81"/>
    <w:rsid w:val="008461AB"/>
    <w:rsid w:val="008462FA"/>
    <w:rsid w:val="00867508"/>
    <w:rsid w:val="00873957"/>
    <w:rsid w:val="008817ED"/>
    <w:rsid w:val="00882AFA"/>
    <w:rsid w:val="00885EB3"/>
    <w:rsid w:val="00891233"/>
    <w:rsid w:val="00895722"/>
    <w:rsid w:val="008966D8"/>
    <w:rsid w:val="008A7FB3"/>
    <w:rsid w:val="008B3222"/>
    <w:rsid w:val="008C0073"/>
    <w:rsid w:val="008C7BB9"/>
    <w:rsid w:val="008D6A9D"/>
    <w:rsid w:val="008E0E06"/>
    <w:rsid w:val="008F3B50"/>
    <w:rsid w:val="008F4001"/>
    <w:rsid w:val="008F6FD9"/>
    <w:rsid w:val="00900DFB"/>
    <w:rsid w:val="00901E91"/>
    <w:rsid w:val="009101C8"/>
    <w:rsid w:val="009116AA"/>
    <w:rsid w:val="00911E45"/>
    <w:rsid w:val="00912715"/>
    <w:rsid w:val="00923906"/>
    <w:rsid w:val="0092589E"/>
    <w:rsid w:val="009300D3"/>
    <w:rsid w:val="00935D11"/>
    <w:rsid w:val="00937755"/>
    <w:rsid w:val="00965851"/>
    <w:rsid w:val="00971EEF"/>
    <w:rsid w:val="009907AC"/>
    <w:rsid w:val="009A454E"/>
    <w:rsid w:val="009B4140"/>
    <w:rsid w:val="009B6927"/>
    <w:rsid w:val="009C6519"/>
    <w:rsid w:val="009C6BB3"/>
    <w:rsid w:val="009D1222"/>
    <w:rsid w:val="009D630F"/>
    <w:rsid w:val="00A04C1D"/>
    <w:rsid w:val="00A059F6"/>
    <w:rsid w:val="00A133B9"/>
    <w:rsid w:val="00A20053"/>
    <w:rsid w:val="00A22578"/>
    <w:rsid w:val="00A31CF6"/>
    <w:rsid w:val="00A32E7E"/>
    <w:rsid w:val="00A60B65"/>
    <w:rsid w:val="00A71E3F"/>
    <w:rsid w:val="00A8071B"/>
    <w:rsid w:val="00A91BAF"/>
    <w:rsid w:val="00A96588"/>
    <w:rsid w:val="00A97AF3"/>
    <w:rsid w:val="00AA56E6"/>
    <w:rsid w:val="00AB7844"/>
    <w:rsid w:val="00AD0BF3"/>
    <w:rsid w:val="00AD7546"/>
    <w:rsid w:val="00AD7C90"/>
    <w:rsid w:val="00AE0863"/>
    <w:rsid w:val="00AE5323"/>
    <w:rsid w:val="00AE7035"/>
    <w:rsid w:val="00AF0F27"/>
    <w:rsid w:val="00B06A5F"/>
    <w:rsid w:val="00B145B1"/>
    <w:rsid w:val="00B15B97"/>
    <w:rsid w:val="00B174D9"/>
    <w:rsid w:val="00B23B6D"/>
    <w:rsid w:val="00B40FD3"/>
    <w:rsid w:val="00B41D77"/>
    <w:rsid w:val="00B431B7"/>
    <w:rsid w:val="00B50A9A"/>
    <w:rsid w:val="00B50C09"/>
    <w:rsid w:val="00B63A22"/>
    <w:rsid w:val="00B64748"/>
    <w:rsid w:val="00B664D1"/>
    <w:rsid w:val="00B85CAA"/>
    <w:rsid w:val="00BB2DE0"/>
    <w:rsid w:val="00BC3F88"/>
    <w:rsid w:val="00BC50CC"/>
    <w:rsid w:val="00BD4C4D"/>
    <w:rsid w:val="00BE5EDD"/>
    <w:rsid w:val="00C11661"/>
    <w:rsid w:val="00C127FE"/>
    <w:rsid w:val="00C241E9"/>
    <w:rsid w:val="00C32E94"/>
    <w:rsid w:val="00C33C51"/>
    <w:rsid w:val="00C45976"/>
    <w:rsid w:val="00C54080"/>
    <w:rsid w:val="00C622B5"/>
    <w:rsid w:val="00C72CA2"/>
    <w:rsid w:val="00C73643"/>
    <w:rsid w:val="00C7471C"/>
    <w:rsid w:val="00C80570"/>
    <w:rsid w:val="00C8188B"/>
    <w:rsid w:val="00C82EC0"/>
    <w:rsid w:val="00C842BF"/>
    <w:rsid w:val="00C85EF1"/>
    <w:rsid w:val="00C93C5B"/>
    <w:rsid w:val="00C97D8D"/>
    <w:rsid w:val="00CA7D82"/>
    <w:rsid w:val="00CB67BF"/>
    <w:rsid w:val="00CF6DC4"/>
    <w:rsid w:val="00D0326B"/>
    <w:rsid w:val="00D101CD"/>
    <w:rsid w:val="00D27638"/>
    <w:rsid w:val="00D32DAC"/>
    <w:rsid w:val="00D36974"/>
    <w:rsid w:val="00D56A02"/>
    <w:rsid w:val="00D60D64"/>
    <w:rsid w:val="00D622F6"/>
    <w:rsid w:val="00D64394"/>
    <w:rsid w:val="00D73E83"/>
    <w:rsid w:val="00D756C9"/>
    <w:rsid w:val="00DA60B2"/>
    <w:rsid w:val="00DA65C6"/>
    <w:rsid w:val="00DB04F4"/>
    <w:rsid w:val="00DC673F"/>
    <w:rsid w:val="00DC685A"/>
    <w:rsid w:val="00DD188C"/>
    <w:rsid w:val="00DD3E30"/>
    <w:rsid w:val="00DD4EBC"/>
    <w:rsid w:val="00DD5B7B"/>
    <w:rsid w:val="00DD5D92"/>
    <w:rsid w:val="00DE15D5"/>
    <w:rsid w:val="00DE5C8F"/>
    <w:rsid w:val="00DF29F5"/>
    <w:rsid w:val="00DF3D62"/>
    <w:rsid w:val="00E01B11"/>
    <w:rsid w:val="00E03033"/>
    <w:rsid w:val="00E04351"/>
    <w:rsid w:val="00E243CC"/>
    <w:rsid w:val="00E26977"/>
    <w:rsid w:val="00E32B29"/>
    <w:rsid w:val="00E570C6"/>
    <w:rsid w:val="00E619B5"/>
    <w:rsid w:val="00E7602D"/>
    <w:rsid w:val="00E81C9F"/>
    <w:rsid w:val="00E90ADD"/>
    <w:rsid w:val="00E97A60"/>
    <w:rsid w:val="00EA50FD"/>
    <w:rsid w:val="00EB243E"/>
    <w:rsid w:val="00EC0C71"/>
    <w:rsid w:val="00EE00EF"/>
    <w:rsid w:val="00EE7CE6"/>
    <w:rsid w:val="00EF2BA5"/>
    <w:rsid w:val="00F05EB6"/>
    <w:rsid w:val="00F0660A"/>
    <w:rsid w:val="00F07BA2"/>
    <w:rsid w:val="00F12FF1"/>
    <w:rsid w:val="00F14D03"/>
    <w:rsid w:val="00F2386E"/>
    <w:rsid w:val="00F25368"/>
    <w:rsid w:val="00F25AE0"/>
    <w:rsid w:val="00F31228"/>
    <w:rsid w:val="00F356BF"/>
    <w:rsid w:val="00F36B0C"/>
    <w:rsid w:val="00F40015"/>
    <w:rsid w:val="00F405AC"/>
    <w:rsid w:val="00F50412"/>
    <w:rsid w:val="00F53AA2"/>
    <w:rsid w:val="00F57548"/>
    <w:rsid w:val="00F65F89"/>
    <w:rsid w:val="00F6756A"/>
    <w:rsid w:val="00F77542"/>
    <w:rsid w:val="00F80A27"/>
    <w:rsid w:val="00F8499C"/>
    <w:rsid w:val="00F85870"/>
    <w:rsid w:val="00FA2726"/>
    <w:rsid w:val="00FA4ED8"/>
    <w:rsid w:val="00FC10AA"/>
    <w:rsid w:val="00FC568E"/>
    <w:rsid w:val="00FC7036"/>
    <w:rsid w:val="00FD5757"/>
    <w:rsid w:val="00FD66C7"/>
    <w:rsid w:val="00FD7428"/>
    <w:rsid w:val="00FE0A32"/>
    <w:rsid w:val="00FE6F2D"/>
    <w:rsid w:val="00FF01C9"/>
    <w:rsid w:val="00FF1227"/>
    <w:rsid w:val="00FF1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5433E9"/>
  <w15:chartTrackingRefBased/>
  <w15:docId w15:val="{E58643D4-0DF4-4620-8423-AE745BF3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lang w:eastAsia="zh-CN"/>
    </w:rPr>
  </w:style>
  <w:style w:type="paragraph" w:styleId="Heading1">
    <w:name w:val="heading 1"/>
    <w:basedOn w:val="Normal"/>
    <w:next w:val="Normal"/>
    <w:qFormat/>
    <w:rsid w:val="008957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5722"/>
    <w:pPr>
      <w:keepNext/>
      <w:spacing w:before="240" w:after="60"/>
      <w:outlineLvl w:val="1"/>
    </w:pPr>
    <w:rPr>
      <w:rFonts w:ascii="Arial" w:hAnsi="Arial" w:cs="Arial"/>
      <w:b/>
      <w:bCs/>
      <w:i/>
      <w:iCs/>
    </w:rPr>
  </w:style>
  <w:style w:type="paragraph" w:styleId="Heading3">
    <w:name w:val="heading 3"/>
    <w:basedOn w:val="Normal"/>
    <w:next w:val="Normal"/>
    <w:qFormat/>
    <w:rsid w:val="008957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033"/>
    <w:rPr>
      <w:rFonts w:ascii="Tahoma" w:hAnsi="Tahoma" w:cs="Tahoma"/>
      <w:sz w:val="16"/>
      <w:szCs w:val="16"/>
    </w:rPr>
  </w:style>
  <w:style w:type="paragraph" w:styleId="Header">
    <w:name w:val="header"/>
    <w:basedOn w:val="Normal"/>
    <w:link w:val="HeaderChar"/>
    <w:uiPriority w:val="99"/>
    <w:rsid w:val="006E1D3E"/>
    <w:pPr>
      <w:tabs>
        <w:tab w:val="center" w:pos="4320"/>
        <w:tab w:val="right" w:pos="8640"/>
      </w:tabs>
    </w:pPr>
  </w:style>
  <w:style w:type="paragraph" w:styleId="Footer">
    <w:name w:val="footer"/>
    <w:basedOn w:val="Normal"/>
    <w:link w:val="FooterChar"/>
    <w:uiPriority w:val="99"/>
    <w:rsid w:val="006E1D3E"/>
    <w:pPr>
      <w:tabs>
        <w:tab w:val="center" w:pos="4320"/>
        <w:tab w:val="right" w:pos="8640"/>
      </w:tabs>
    </w:pPr>
  </w:style>
  <w:style w:type="character" w:styleId="PageNumber">
    <w:name w:val="page number"/>
    <w:basedOn w:val="DefaultParagraphFont"/>
    <w:rsid w:val="006E1D3E"/>
  </w:style>
  <w:style w:type="paragraph" w:styleId="BodyTextIndent2">
    <w:name w:val="Body Text Indent 2"/>
    <w:basedOn w:val="Normal"/>
    <w:link w:val="BodyTextIndent2Char"/>
    <w:rsid w:val="0022685D"/>
    <w:pPr>
      <w:widowControl w:val="0"/>
      <w:tabs>
        <w:tab w:val="left" w:pos="-1080"/>
        <w:tab w:val="left" w:pos="-720"/>
        <w:tab w:val="left" w:pos="0"/>
        <w:tab w:val="left" w:pos="720"/>
        <w:tab w:val="left" w:pos="1080"/>
        <w:tab w:val="left" w:pos="1440"/>
        <w:tab w:val="left" w:pos="1800"/>
      </w:tabs>
      <w:suppressAutoHyphens/>
      <w:ind w:left="720" w:hanging="720"/>
      <w:jc w:val="both"/>
    </w:pPr>
    <w:rPr>
      <w:rFonts w:ascii="Courier New" w:eastAsia="Times New Roman" w:hAnsi="Courier New" w:cs="Courier New"/>
      <w:sz w:val="24"/>
      <w:szCs w:val="24"/>
      <w:lang w:eastAsia="ar-SA"/>
    </w:rPr>
  </w:style>
  <w:style w:type="character" w:customStyle="1" w:styleId="BodyTextIndent2Char">
    <w:name w:val="Body Text Indent 2 Char"/>
    <w:link w:val="BodyTextIndent2"/>
    <w:rsid w:val="0022685D"/>
    <w:rPr>
      <w:rFonts w:ascii="Courier New" w:eastAsia="Times New Roman" w:hAnsi="Courier New" w:cs="Courier New"/>
      <w:sz w:val="24"/>
      <w:szCs w:val="24"/>
      <w:lang w:eastAsia="ar-SA"/>
    </w:rPr>
  </w:style>
  <w:style w:type="paragraph" w:styleId="ListParagraph">
    <w:name w:val="List Paragraph"/>
    <w:basedOn w:val="Normal"/>
    <w:uiPriority w:val="34"/>
    <w:qFormat/>
    <w:rsid w:val="0022685D"/>
    <w:pPr>
      <w:widowControl w:val="0"/>
      <w:suppressAutoHyphens/>
      <w:ind w:left="720"/>
      <w:contextualSpacing/>
    </w:pPr>
    <w:rPr>
      <w:rFonts w:eastAsia="Times New Roman"/>
      <w:sz w:val="24"/>
      <w:szCs w:val="24"/>
      <w:lang w:eastAsia="ar-SA"/>
    </w:rPr>
  </w:style>
  <w:style w:type="table" w:styleId="TableGrid">
    <w:name w:val="Table Grid"/>
    <w:basedOn w:val="TableNormal"/>
    <w:uiPriority w:val="39"/>
    <w:rsid w:val="008966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559E"/>
    <w:rPr>
      <w:rFonts w:cs="Times New Roman"/>
      <w:color w:val="0000FF"/>
      <w:u w:val="single"/>
    </w:rPr>
  </w:style>
  <w:style w:type="character" w:styleId="FollowedHyperlink">
    <w:name w:val="FollowedHyperlink"/>
    <w:rsid w:val="00873957"/>
    <w:rPr>
      <w:color w:val="954F72"/>
      <w:u w:val="single"/>
    </w:rPr>
  </w:style>
  <w:style w:type="character" w:styleId="CommentReference">
    <w:name w:val="annotation reference"/>
    <w:rsid w:val="007B6EB0"/>
    <w:rPr>
      <w:sz w:val="16"/>
      <w:szCs w:val="16"/>
    </w:rPr>
  </w:style>
  <w:style w:type="paragraph" w:styleId="CommentText">
    <w:name w:val="annotation text"/>
    <w:basedOn w:val="Normal"/>
    <w:link w:val="CommentTextChar"/>
    <w:rsid w:val="007B6EB0"/>
    <w:rPr>
      <w:sz w:val="20"/>
      <w:szCs w:val="20"/>
    </w:rPr>
  </w:style>
  <w:style w:type="character" w:customStyle="1" w:styleId="CommentTextChar">
    <w:name w:val="Comment Text Char"/>
    <w:link w:val="CommentText"/>
    <w:rsid w:val="007B6EB0"/>
    <w:rPr>
      <w:lang w:eastAsia="zh-CN"/>
    </w:rPr>
  </w:style>
  <w:style w:type="character" w:customStyle="1" w:styleId="HeaderChar">
    <w:name w:val="Header Char"/>
    <w:link w:val="Header"/>
    <w:uiPriority w:val="99"/>
    <w:rsid w:val="00A20053"/>
    <w:rPr>
      <w:sz w:val="28"/>
      <w:szCs w:val="28"/>
      <w:lang w:eastAsia="zh-CN"/>
    </w:rPr>
  </w:style>
  <w:style w:type="character" w:customStyle="1" w:styleId="FooterChar">
    <w:name w:val="Footer Char"/>
    <w:link w:val="Footer"/>
    <w:uiPriority w:val="99"/>
    <w:rsid w:val="00443E6E"/>
    <w:rPr>
      <w:sz w:val="28"/>
      <w:szCs w:val="28"/>
      <w:lang w:eastAsia="zh-CN"/>
    </w:rPr>
  </w:style>
  <w:style w:type="paragraph" w:styleId="CommentSubject">
    <w:name w:val="annotation subject"/>
    <w:basedOn w:val="CommentText"/>
    <w:next w:val="CommentText"/>
    <w:link w:val="CommentSubjectChar"/>
    <w:rsid w:val="00735CAA"/>
    <w:rPr>
      <w:b/>
      <w:bCs/>
    </w:rPr>
  </w:style>
  <w:style w:type="character" w:customStyle="1" w:styleId="CommentSubjectChar">
    <w:name w:val="Comment Subject Char"/>
    <w:basedOn w:val="CommentTextChar"/>
    <w:link w:val="CommentSubject"/>
    <w:rsid w:val="00735CAA"/>
    <w:rPr>
      <w:b/>
      <w:bCs/>
      <w:lang w:eastAsia="zh-CN"/>
    </w:rPr>
  </w:style>
  <w:style w:type="paragraph" w:customStyle="1" w:styleId="Default">
    <w:name w:val="Default"/>
    <w:rsid w:val="00FC7036"/>
    <w:pPr>
      <w:autoSpaceDE w:val="0"/>
      <w:autoSpaceDN w:val="0"/>
      <w:adjustRightInd w:val="0"/>
    </w:pPr>
    <w:rPr>
      <w:rFonts w:ascii="Century Schoolbook" w:hAnsi="Century Schoolbook" w:cs="Century Schoolbook"/>
      <w:color w:val="000000"/>
      <w:sz w:val="24"/>
      <w:szCs w:val="24"/>
    </w:rPr>
  </w:style>
  <w:style w:type="table" w:customStyle="1" w:styleId="TableGrid1">
    <w:name w:val="Table Grid1"/>
    <w:basedOn w:val="TableNormal"/>
    <w:next w:val="TableGrid"/>
    <w:uiPriority w:val="39"/>
    <w:rsid w:val="00EA50FD"/>
    <w:rPr>
      <w:rFonts w:ascii="Calibri" w:eastAsia="Times New Roman" w:hAnsi="Calibri"/>
      <w:sz w:val="24"/>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4BE4-8BF9-485E-A55C-50028F32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Form SSA-1021</vt:lpstr>
    </vt:vector>
  </TitlesOfParts>
  <Company>Social Security Administration</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SSA-1021</dc:title>
  <dc:creator>Diane Swift</dc:creator>
  <cp:lastModifiedBy>SSA Response</cp:lastModifiedBy>
  <cp:revision>2</cp:revision>
  <cp:lastPrinted>2015-02-11T14:31:00Z</cp:lastPrinted>
  <dcterms:created xsi:type="dcterms:W3CDTF">2026-03-19T18:25:00Z</dcterms:created>
  <dcterms:modified xsi:type="dcterms:W3CDTF">2026-03-19T18:25:00Z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180977413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0960-0626 (IRES Authentication) - Necessary IT Mod Revisions</vt:lpwstr>
  </property>
  <property fmtid="{D5CDD505-2E9C-101B-9397-08002B2CF9AE}" pid="6" name="_NewReviewCycle">
    <vt:lpwstr/>
  </property>
  <property fmtid="{D5CDD505-2E9C-101B-9397-08002B2CF9AE}" pid="7" name="_PreviousAdHocReviewCycleID">
    <vt:i4>1762114234</vt:i4>
  </property>
  <property fmtid="{D5CDD505-2E9C-101B-9397-08002B2CF9AE}" pid="8" name="_ReviewingToolsShownOnce">
    <vt:lpwstr/>
  </property>
</Properties>
</file>