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spacing w:before="136" w:line="288" w:lineRule="auto"/>
        <w:ind w:left="861" w:right="833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Modelo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Aviso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para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afiliados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en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un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Plan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Salud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Grupal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Gubernamental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3"/>
          <w:sz w:val="24"/>
          <w:u w:val="none"/>
        </w:rPr>
        <w:t xml:space="preserve"> </w:t>
      </w:r>
      <w:r>
        <w:rPr>
          <w:b/>
          <w:sz w:val="24"/>
          <w:u w:val="thick"/>
        </w:rPr>
        <w:t>No Federal Autofinanciado para los Años del Plan que Comienzan</w:t>
      </w:r>
      <w:r>
        <w:rPr>
          <w:b/>
          <w:spacing w:val="80"/>
          <w:sz w:val="24"/>
          <w:u w:val="thick"/>
        </w:rPr>
        <w:t xml:space="preserve"> </w:t>
      </w:r>
    </w:p>
    <w:p>
      <w:pPr>
        <w:spacing w:before="2"/>
        <w:ind w:left="861" w:right="894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en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o antes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del 23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 septiembre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2010</w:t>
      </w:r>
    </w:p>
    <w:p>
      <w:pPr>
        <w:spacing w:before="274"/>
        <w:ind w:left="200" w:right="82" w:firstLine="0"/>
        <w:jc w:val="left"/>
        <w:rPr>
          <w:b/>
          <w:sz w:val="24"/>
        </w:rPr>
      </w:pPr>
      <w:r>
        <w:rPr>
          <w:b/>
          <w:sz w:val="24"/>
        </w:rPr>
        <w:t>[Este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aviso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apropiado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negociado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colectivamente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ratificado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antes del 23 de marzo de 2010.]</w:t>
      </w:r>
    </w:p>
    <w:p>
      <w:pPr>
        <w:spacing w:before="273"/>
        <w:ind w:left="200" w:right="184" w:firstLine="0"/>
        <w:jc w:val="left"/>
        <w:rPr>
          <w:sz w:val="24"/>
        </w:rPr>
      </w:pPr>
      <w:r>
        <w:rPr>
          <w:sz w:val="24"/>
        </w:rPr>
        <w:t>Los planes de salud grupales patrocinados por empleadores gubernamentales estatales y locales deben</w:t>
      </w:r>
      <w:r>
        <w:rPr>
          <w:spacing w:val="-2"/>
          <w:sz w:val="24"/>
        </w:rPr>
        <w:t xml:space="preserve"> </w:t>
      </w:r>
      <w:r>
        <w:rPr>
          <w:sz w:val="24"/>
        </w:rPr>
        <w:t>cumplir,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general,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requisitos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ley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título</w:t>
      </w:r>
      <w:r>
        <w:rPr>
          <w:spacing w:val="-2"/>
          <w:sz w:val="24"/>
        </w:rPr>
        <w:t xml:space="preserve"> </w:t>
      </w:r>
      <w:r>
        <w:rPr>
          <w:sz w:val="24"/>
        </w:rPr>
        <w:t>XXVII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Ley</w:t>
      </w:r>
      <w:r>
        <w:rPr>
          <w:spacing w:val="-2"/>
          <w:sz w:val="24"/>
        </w:rPr>
        <w:t xml:space="preserve"> </w:t>
      </w:r>
      <w:r>
        <w:rPr>
          <w:sz w:val="24"/>
        </w:rPr>
        <w:t>de Servicios de Salud Pública. Sin embargo, estos empleadores pueden optar por eximir a un plan de los requisitos que se indican a continuación para cualquier parte del plan que sea "autofinanciada" por el empleador, en lugar de proporcionarse a través de una póliza de seguro de salud. (Nombre del patrocinador del plan) ha optado por eximir a (nombre del plan) de (todos) (o especificar cuáles) los siguientes requisitos:</w:t>
      </w:r>
    </w:p>
    <w:p>
      <w:pPr>
        <w:pStyle w:val="ListParagraph"/>
        <w:numPr>
          <w:ilvl w:val="0"/>
          <w:numId w:val="1"/>
        </w:numPr>
        <w:tabs>
          <w:tab w:val="left" w:pos="500"/>
        </w:tabs>
        <w:spacing w:before="275" w:after="0" w:line="240" w:lineRule="auto"/>
        <w:ind w:left="200" w:right="241" w:firstLine="0"/>
        <w:jc w:val="left"/>
        <w:rPr>
          <w:sz w:val="24"/>
        </w:rPr>
      </w:pPr>
      <w:r>
        <w:rPr>
          <w:sz w:val="24"/>
        </w:rPr>
        <w:t>Protección</w:t>
      </w:r>
      <w:r>
        <w:rPr>
          <w:spacing w:val="-3"/>
          <w:sz w:val="24"/>
        </w:rPr>
        <w:t xml:space="preserve"> </w:t>
      </w:r>
      <w:r>
        <w:rPr>
          <w:sz w:val="24"/>
        </w:rPr>
        <w:t>contra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limitación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estancias</w:t>
      </w:r>
      <w:r>
        <w:rPr>
          <w:spacing w:val="-3"/>
          <w:sz w:val="24"/>
        </w:rPr>
        <w:t xml:space="preserve"> </w:t>
      </w:r>
      <w:r>
        <w:rPr>
          <w:sz w:val="24"/>
        </w:rPr>
        <w:t>hospitalarias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relación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nacimiento</w:t>
      </w:r>
      <w:r>
        <w:rPr>
          <w:spacing w:val="-3"/>
          <w:sz w:val="24"/>
        </w:rPr>
        <w:t xml:space="preserve"> </w:t>
      </w:r>
      <w:r>
        <w:rPr>
          <w:sz w:val="24"/>
        </w:rPr>
        <w:t>de un niño a menos de 48 horas para un parto vaginal y de 96 horas para un parto por cesárea.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val="left" w:pos="500"/>
        </w:tabs>
        <w:spacing w:before="0" w:after="0" w:line="240" w:lineRule="auto"/>
        <w:ind w:left="200" w:right="488" w:firstLine="0"/>
        <w:jc w:val="left"/>
        <w:rPr>
          <w:sz w:val="24"/>
        </w:rPr>
      </w:pPr>
      <w:r>
        <w:rPr>
          <w:sz w:val="24"/>
        </w:rPr>
        <w:t>Ciertos</w:t>
      </w:r>
      <w:r>
        <w:rPr>
          <w:spacing w:val="-5"/>
          <w:sz w:val="24"/>
        </w:rPr>
        <w:t xml:space="preserve"> </w:t>
      </w:r>
      <w:r>
        <w:rPr>
          <w:sz w:val="24"/>
        </w:rPr>
        <w:t>requisitos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proporcionar</w:t>
      </w:r>
      <w:r>
        <w:rPr>
          <w:spacing w:val="-5"/>
          <w:sz w:val="24"/>
        </w:rPr>
        <w:t xml:space="preserve"> </w:t>
      </w:r>
      <w:r>
        <w:rPr>
          <w:sz w:val="24"/>
        </w:rPr>
        <w:t>beneficios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reconstrucción</w:t>
      </w:r>
      <w:r>
        <w:rPr>
          <w:spacing w:val="-5"/>
          <w:sz w:val="24"/>
        </w:rPr>
        <w:t xml:space="preserve"> </w:t>
      </w:r>
      <w:r>
        <w:rPr>
          <w:sz w:val="24"/>
        </w:rPr>
        <w:t>mamaria</w:t>
      </w:r>
      <w:r>
        <w:rPr>
          <w:spacing w:val="-2"/>
          <w:sz w:val="24"/>
        </w:rPr>
        <w:t xml:space="preserve"> </w:t>
      </w:r>
      <w:r>
        <w:rPr>
          <w:sz w:val="24"/>
        </w:rPr>
        <w:t>después</w:t>
      </w:r>
      <w:r>
        <w:rPr>
          <w:spacing w:val="-5"/>
          <w:sz w:val="24"/>
        </w:rPr>
        <w:t xml:space="preserve"> </w:t>
      </w:r>
      <w:r>
        <w:rPr>
          <w:sz w:val="24"/>
        </w:rPr>
        <w:t>de una mastectomía.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val="left" w:pos="440"/>
        </w:tabs>
        <w:spacing w:before="0" w:after="0" w:line="240" w:lineRule="auto"/>
        <w:ind w:left="200" w:right="987" w:firstLine="0"/>
        <w:jc w:val="left"/>
        <w:rPr>
          <w:sz w:val="24"/>
        </w:rPr>
      </w:pPr>
      <w:r>
        <w:rPr>
          <w:sz w:val="24"/>
        </w:rPr>
        <w:t>Cobertura continua de hasta un año para un hijo dependiente que está cubierto como dependiente</w:t>
      </w:r>
      <w:r>
        <w:rPr>
          <w:spacing w:val="-3"/>
          <w:sz w:val="24"/>
        </w:rPr>
        <w:t xml:space="preserve"> </w:t>
      </w:r>
      <w:r>
        <w:rPr>
          <w:sz w:val="24"/>
        </w:rPr>
        <w:t>bajo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únicamente</w:t>
      </w:r>
      <w:r>
        <w:rPr>
          <w:spacing w:val="-3"/>
          <w:sz w:val="24"/>
        </w:rPr>
        <w:t xml:space="preserve"> </w:t>
      </w:r>
      <w:r>
        <w:rPr>
          <w:sz w:val="24"/>
        </w:rPr>
        <w:t>basado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condición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estudiante,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toma</w:t>
      </w:r>
      <w:r>
        <w:rPr>
          <w:spacing w:val="-3"/>
          <w:sz w:val="24"/>
        </w:rPr>
        <w:t xml:space="preserve"> </w:t>
      </w:r>
      <w:r>
        <w:rPr>
          <w:sz w:val="24"/>
        </w:rPr>
        <w:t>una licencia médicamente necesaria de una institución educativa postsecundaria.</w:t>
      </w:r>
    </w:p>
    <w:p>
      <w:pPr>
        <w:pStyle w:val="BodyText"/>
        <w:rPr>
          <w:sz w:val="24"/>
        </w:rPr>
      </w:pPr>
    </w:p>
    <w:p>
      <w:pPr>
        <w:spacing w:before="0"/>
        <w:ind w:left="200" w:right="82" w:firstLine="0"/>
        <w:jc w:val="left"/>
        <w:rPr>
          <w:sz w:val="24"/>
        </w:rPr>
      </w:pPr>
      <w:r>
        <w:rPr>
          <w:sz w:val="24"/>
        </w:rPr>
        <w:t>La exención de estos requisitos federales estará vigente durante el (año del plan) (período de cobertura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plan)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comienza</w:t>
      </w:r>
      <w:r>
        <w:rPr>
          <w:spacing w:val="-4"/>
          <w:sz w:val="24"/>
        </w:rPr>
        <w:t xml:space="preserve"> </w:t>
      </w:r>
      <w:r>
        <w:rPr>
          <w:sz w:val="24"/>
        </w:rPr>
        <w:t>(especificar</w:t>
      </w:r>
      <w:r>
        <w:rPr>
          <w:spacing w:val="-4"/>
          <w:sz w:val="24"/>
        </w:rPr>
        <w:t xml:space="preserve"> </w:t>
      </w:r>
      <w:r>
        <w:rPr>
          <w:sz w:val="24"/>
        </w:rPr>
        <w:t>fecha)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finaliza</w:t>
      </w:r>
      <w:r>
        <w:rPr>
          <w:spacing w:val="-4"/>
          <w:sz w:val="24"/>
        </w:rPr>
        <w:t xml:space="preserve"> </w:t>
      </w:r>
      <w:r>
        <w:rPr>
          <w:sz w:val="24"/>
        </w:rPr>
        <w:t>(especificar</w:t>
      </w:r>
      <w:r>
        <w:rPr>
          <w:spacing w:val="-4"/>
          <w:sz w:val="24"/>
        </w:rPr>
        <w:t xml:space="preserve"> </w:t>
      </w:r>
      <w:r>
        <w:rPr>
          <w:sz w:val="24"/>
        </w:rPr>
        <w:t>fecha).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elección puede renovarse para los años siguientes del plan.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200" w:right="82" w:firstLine="0"/>
        <w:jc w:val="left"/>
        <w:rPr>
          <w:b/>
          <w:sz w:val="24"/>
        </w:rPr>
      </w:pPr>
      <w:r>
        <w:rPr>
          <w:b/>
          <w:sz w:val="24"/>
        </w:rPr>
        <w:t>[Si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ofrece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protecciones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similares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cualquiera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requisitos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exentos,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sea voluntariamente o de conformidad con la ley estatal, se pueden identificar esas </w:t>
      </w:r>
      <w:r>
        <w:rPr>
          <w:b/>
          <w:spacing w:val="-2"/>
          <w:sz w:val="24"/>
        </w:rPr>
        <w:t>protecciones.]</w:t>
      </w:r>
    </w:p>
    <w:p>
      <w:pPr>
        <w:spacing w:after="0"/>
        <w:jc w:val="left"/>
        <w:rPr>
          <w:sz w:val="24"/>
        </w:rPr>
        <w:sectPr>
          <w:headerReference w:type="default" r:id="rId4"/>
          <w:type w:val="continuous"/>
          <w:pgSz w:w="12240" w:h="15840"/>
          <w:pgMar w:top="1620" w:right="1320" w:bottom="280" w:left="1240" w:header="729" w:footer="0"/>
          <w:pgNumType w:start="1"/>
          <w:cols w:space="720"/>
        </w:sectPr>
      </w:pPr>
    </w:p>
    <w:p>
      <w:pPr>
        <w:spacing w:before="80"/>
        <w:ind w:left="10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Declaración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de divulgación de </w:t>
      </w:r>
      <w:r>
        <w:rPr>
          <w:b/>
          <w:spacing w:val="-5"/>
          <w:sz w:val="24"/>
          <w:u w:val="single"/>
        </w:rPr>
        <w:t>PRA</w:t>
      </w:r>
    </w:p>
    <w:p>
      <w:pPr>
        <w:pStyle w:val="BodyText"/>
        <w:spacing w:before="22"/>
        <w:rPr>
          <w:b/>
        </w:rPr>
      </w:pPr>
    </w:p>
    <w:p>
      <w:pPr>
        <w:pStyle w:val="BodyText"/>
        <w:ind w:left="100" w:right="82"/>
      </w:pP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Reducción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Trámites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1995,</w:t>
      </w:r>
      <w:r>
        <w:rPr>
          <w:spacing w:val="-3"/>
        </w:rPr>
        <w:t xml:space="preserve"> </w:t>
      </w:r>
      <w:r>
        <w:t>ninguna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obligada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responder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una recopilación de información a menos que muestre un número de control válido de la OMB. El número de control válido de la OMB para esta recopilación de información es </w:t>
      </w:r>
      <w:r>
        <w:rPr>
          <w:b/>
        </w:rPr>
        <w:t>0938-0702</w:t>
      </w:r>
      <w:r>
        <w:t xml:space="preserve">. Esta recopilación de información está relacionada con el requisito para que los empleadores gubernamentales no federales autofinanciados que eximen a sus planes de salud autofinanciados de un requisito en el título XXVII de la Ley de Servicios de Salud Pública (PHS, por sus siglas en inglés) notifiquen a los inscritos en el plan (anualmente y en el momento de la inscripción) sobre el hecho y las consecuencias de dicha exención. Se estima que el tiempo necesario para completar esta recopilación de información es de un promedio de </w:t>
      </w:r>
      <w:r>
        <w:rPr>
          <w:b/>
        </w:rPr>
        <w:t xml:space="preserve">15 minutos </w:t>
      </w:r>
      <w:r>
        <w:t xml:space="preserve">por respuesta, incluido el tiempo para revisar las instrucciones, buscar en los recursos de datos existentes, recopilar los datos necesarios y completar y revisar la recopilación de información. Esta recopilación de información es necesaria para obtener o retener beneficios (45 CFR 146.180). Se trata de una notificación a terceros, y la cuestión de la confidencialidad entre terceros está fuera del alcance de la recopilación. Si tiene comentarios sobre la exactitud de la(s) estimación(es) de tiempo o sugerencias para mejorar este modelo de aviso, escriba a: CMS, 7500 Security Boulevard, Attn: Information Collections Clearance Officer, Mail Stop C4-26-05, Baltimore, Maryland 21244-1850 o </w:t>
      </w:r>
      <w:hyperlink r:id="rId5">
        <w:r>
          <w:t>jose.gomez1@cms.hhs.gov</w:t>
        </w:r>
      </w:hyperlink>
    </w:p>
    <w:sectPr>
      <w:pgSz w:w="12240" w:h="15840"/>
      <w:pgMar w:top="1620" w:right="1320" w:bottom="280" w:left="1240" w:header="729" w:foo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5037582</wp:posOffset>
              </wp:positionH>
              <wp:positionV relativeFrom="page">
                <wp:posOffset>449974</wp:posOffset>
              </wp:positionV>
              <wp:extent cx="1898014" cy="31242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98014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8" w:firstLine="464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control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OMB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0938-</w:t>
                          </w:r>
                          <w:r>
                            <w:rPr>
                              <w:sz w:val="20"/>
                            </w:rPr>
                            <w:t>0702 Fecha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caducidad: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highlight w:val="cyan"/>
                            </w:rPr>
                            <w:t>XX/XX/XXXX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49.45pt;height:24.6pt;margin-top:35.43pt;margin-left:396.66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12"/>
                      <w:ind w:left="20" w:right="18" w:firstLine="464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control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OMB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0938-</w:t>
                    </w:r>
                    <w:r>
                      <w:rPr>
                        <w:sz w:val="20"/>
                      </w:rPr>
                      <w:t>0702 Fecha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caducidad: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highlight w:val="cyan"/>
                      </w:rPr>
                      <w:t>XX/XX/XXXX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A0A347"/>
    <w:multiLevelType w:val="hybridMultilevel"/>
    <w:tmpl w:val="00000000"/>
    <w:lvl w:ilvl="0">
      <w:start w:val="1"/>
      <w:numFmt w:val="decimal"/>
      <w:lvlText w:val="%1."/>
      <w:lvlJc w:val="left"/>
      <w:pPr>
        <w:ind w:left="20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48" w:hanging="30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6" w:hanging="30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44" w:hanging="30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92" w:hanging="30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40" w:hanging="30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8" w:hanging="30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6" w:hanging="30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4" w:hanging="30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>
      <w:ind w:left="200" w:right="241"/>
    </w:pPr>
    <w:rPr>
      <w:rFonts w:ascii="Times New Roman" w:eastAsia="Times New Roman" w:hAnsi="Times New Roman" w:cs="Times New Roman"/>
      <w:lang w:val="es-E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s-E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yperlink" Target="mailto:jose.gomez1@cms.hhs.gov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Aviso para afiliados en un Plan de Salud Grupal Gubernamental No Federal Autofinanciado</dc:title>
  <dc:creator>Jackie Holder</dc:creator>
  <cp:revision>0</cp:revision>
  <dcterms:created xsi:type="dcterms:W3CDTF">2024-10-31T21:20:05Z</dcterms:created>
  <dcterms:modified xsi:type="dcterms:W3CDTF">2024-10-31T21:20:05Z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2024-10-31T00:00:00Z</vt:filetime>
  </property>
  <property fmtid="{D5CDD505-2E9C-101B-9397-08002B2CF9AE}" pid="5" name="Producer">
    <vt:lpwstr>Microsoft® Word LTSC</vt:lpwstr>
  </property>
</Properties>
</file>