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A1C09" w:rsidP="00EA1C09" w14:paraId="11451AD1" w14:textId="6817425B">
      <w:pPr>
        <w:jc w:val="center"/>
      </w:pPr>
      <w:r>
        <w:t>Annual Evaluation and Performance Measurement Report (</w:t>
      </w:r>
      <w:r w:rsidR="001C3480">
        <w:t>I.19- COMMUNICATION AND COORDINATION OF</w:t>
      </w:r>
      <w:r w:rsidR="0D49EAE9">
        <w:t xml:space="preserve"> </w:t>
      </w:r>
      <w:r w:rsidR="001C3480">
        <w:t>ACTIONABLE LAB DATA IN JURISDICTION</w:t>
      </w:r>
      <w:r>
        <w:t>)</w:t>
      </w:r>
    </w:p>
    <w:p w:rsidR="00EA1C09" w:rsidP="00EA1C09" w14:paraId="232271B6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627D7DA4" w14:textId="77777777" w:rsidTr="64750042">
        <w:tblPrEx>
          <w:tblW w:w="0" w:type="auto"/>
          <w:tblLook w:val="04A0"/>
        </w:tblPrEx>
        <w:tc>
          <w:tcPr>
            <w:tcW w:w="9350" w:type="dxa"/>
          </w:tcPr>
          <w:p w:rsidR="00AA1811" w:rsidRPr="00A85CDC" w:rsidP="64750042" w14:paraId="01E86359" w14:textId="412990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64750042">
              <w:rPr>
                <w:b/>
                <w:bCs/>
                <w:sz w:val="16"/>
                <w:szCs w:val="16"/>
              </w:rPr>
              <w:t>Median number and range from receipt of CRE</w:t>
            </w:r>
            <w:r w:rsidRPr="64750042" w:rsidR="211BFF82">
              <w:rPr>
                <w:b/>
                <w:bCs/>
                <w:sz w:val="16"/>
                <w:szCs w:val="16"/>
              </w:rPr>
              <w:t>,</w:t>
            </w:r>
            <w:r w:rsidRPr="64750042" w:rsidR="396DA653">
              <w:rPr>
                <w:b/>
                <w:bCs/>
                <w:sz w:val="16"/>
                <w:szCs w:val="16"/>
              </w:rPr>
              <w:t xml:space="preserve"> </w:t>
            </w:r>
            <w:r w:rsidRPr="64750042">
              <w:rPr>
                <w:b/>
                <w:bCs/>
                <w:sz w:val="16"/>
                <w:szCs w:val="16"/>
              </w:rPr>
              <w:t>CRPA</w:t>
            </w:r>
            <w:r w:rsidRPr="64750042" w:rsidR="01AF636A">
              <w:rPr>
                <w:b/>
                <w:bCs/>
                <w:sz w:val="16"/>
                <w:szCs w:val="16"/>
              </w:rPr>
              <w:t>, CRAB</w:t>
            </w:r>
            <w:r w:rsidRPr="64750042">
              <w:rPr>
                <w:b/>
                <w:bCs/>
                <w:sz w:val="16"/>
                <w:szCs w:val="16"/>
              </w:rPr>
              <w:t xml:space="preserve"> and Candida isolates to communication of final testing results to submitting laboratory:</w:t>
            </w:r>
          </w:p>
          <w:p w:rsidR="00AA1811" w:rsidRPr="00A85CDC" w:rsidP="00AA1811" w14:paraId="4B37EE86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Median (in days)</w:t>
            </w:r>
          </w:p>
          <w:p w:rsidR="00AA1811" w:rsidRPr="00A85CDC" w:rsidP="00AA1811" w14:paraId="3BC6766E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Range (in days)</w:t>
            </w:r>
          </w:p>
          <w:p w:rsidR="002C2A38" w14:paraId="79343260" w14:textId="77777777"/>
        </w:tc>
      </w:tr>
      <w:tr w14:paraId="44D5BFF9" w14:textId="77777777" w:rsidTr="64750042">
        <w:tblPrEx>
          <w:tblW w:w="0" w:type="auto"/>
          <w:tblLook w:val="04A0"/>
        </w:tblPrEx>
        <w:tc>
          <w:tcPr>
            <w:tcW w:w="9350" w:type="dxa"/>
          </w:tcPr>
          <w:p w:rsidR="00A95645" w:rsidRPr="00A85CDC" w:rsidP="00A95645" w14:paraId="6BAFD7DF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Describe any challenges you've faced with reporting results back to the submitting laboratories within 2 days of testing.</w:t>
            </w:r>
          </w:p>
          <w:p w:rsidR="002C2A38" w14:paraId="0349E4A8" w14:textId="77777777"/>
        </w:tc>
      </w:tr>
      <w:tr w14:paraId="46F6A138" w14:textId="77777777" w:rsidTr="64750042">
        <w:tblPrEx>
          <w:tblW w:w="0" w:type="auto"/>
          <w:tblLook w:val="04A0"/>
        </w:tblPrEx>
        <w:tc>
          <w:tcPr>
            <w:tcW w:w="9350" w:type="dxa"/>
          </w:tcPr>
          <w:p w:rsidR="00B83DE6" w:rsidRPr="00A85CDC" w:rsidP="00B83DE6" w14:paraId="2EC1AF10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  <w:u w:val="single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Median number and range from date of specimen receipt at public health laboratory to date of communication of final test results with alert values to:</w:t>
            </w:r>
          </w:p>
          <w:p w:rsidR="00B83DE6" w:rsidRPr="00A85CDC" w:rsidP="00B83DE6" w14:paraId="5765C9CF" w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A85CDC">
              <w:rPr>
                <w:rFonts w:cstheme="minorHAnsi"/>
                <w:sz w:val="16"/>
                <w:szCs w:val="16"/>
                <w:u w:val="single"/>
              </w:rPr>
              <w:t>CDC:</w:t>
            </w:r>
          </w:p>
          <w:p w:rsidR="00B83DE6" w:rsidRPr="00A85CDC" w:rsidP="00B83DE6" w14:paraId="76FBF199" w14:textId="77777777">
            <w:p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a. Median (in days)</w:t>
            </w:r>
          </w:p>
          <w:p w:rsidR="00B83DE6" w:rsidRPr="00A85CDC" w:rsidP="00B83DE6" w14:paraId="3A706DE6" w14:textId="77777777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A85CDC">
              <w:rPr>
                <w:rFonts w:cstheme="minorHAnsi"/>
                <w:sz w:val="16"/>
                <w:szCs w:val="16"/>
              </w:rPr>
              <w:t xml:space="preserve">b. Range (in days) </w:t>
            </w:r>
          </w:p>
          <w:p w:rsidR="00B83DE6" w:rsidRPr="00A85CDC" w:rsidP="64750042" w14:paraId="0634D904" w14:textId="63438D04">
            <w:pPr>
              <w:jc w:val="center"/>
              <w:rPr>
                <w:sz w:val="16"/>
                <w:szCs w:val="16"/>
                <w:u w:val="single"/>
              </w:rPr>
            </w:pPr>
            <w:r w:rsidRPr="64750042">
              <w:rPr>
                <w:sz w:val="16"/>
                <w:szCs w:val="16"/>
                <w:u w:val="single"/>
              </w:rPr>
              <w:t>HAI/AR Program:</w:t>
            </w:r>
          </w:p>
          <w:p w:rsidR="00B83DE6" w:rsidRPr="00A85CDC" w:rsidP="00B83DE6" w14:paraId="3476145E" w14:textId="77777777">
            <w:p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a. Median (in days)</w:t>
            </w:r>
          </w:p>
          <w:p w:rsidR="00B83DE6" w:rsidRPr="00A85CDC" w:rsidP="00B83DE6" w14:paraId="30F8308B" w14:textId="77777777">
            <w:p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b. Range (in days)</w:t>
            </w:r>
          </w:p>
          <w:p w:rsidR="002C2A38" w14:paraId="57327D1D" w14:textId="77777777"/>
        </w:tc>
      </w:tr>
      <w:tr w14:paraId="4FB8899F" w14:textId="77777777" w:rsidTr="64750042">
        <w:tblPrEx>
          <w:tblW w:w="0" w:type="auto"/>
          <w:tblLook w:val="04A0"/>
        </w:tblPrEx>
        <w:tc>
          <w:tcPr>
            <w:tcW w:w="9350" w:type="dxa"/>
          </w:tcPr>
          <w:p w:rsidR="00B83DE6" w:rsidRPr="006D5A74" w:rsidP="006D5A74" w14:paraId="746487BE" w14:textId="7C025E5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 xml:space="preserve">Number of isolates transported upon request to CDC  </w:t>
            </w:r>
          </w:p>
        </w:tc>
      </w:tr>
      <w:tr w14:paraId="0C6AE31F" w14:textId="77777777" w:rsidTr="64750042">
        <w:tblPrEx>
          <w:tblW w:w="0" w:type="auto"/>
          <w:tblLook w:val="04A0"/>
        </w:tblPrEx>
        <w:tc>
          <w:tcPr>
            <w:tcW w:w="9350" w:type="dxa"/>
          </w:tcPr>
          <w:p w:rsidR="006D5A74" w:rsidRPr="001F4E45" w:rsidP="001F4E45" w14:paraId="259CD382" w14:textId="3695DAD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Describe any challenges you've faced with reporting test results with alert values to CDC or the originating jurisdiction's HAI/AR program within 1 day of testing.</w:t>
            </w:r>
          </w:p>
        </w:tc>
      </w:tr>
      <w:tr w14:paraId="04826F89" w14:textId="77777777" w:rsidTr="64750042">
        <w:tblPrEx>
          <w:tblW w:w="0" w:type="auto"/>
          <w:tblLook w:val="04A0"/>
        </w:tblPrEx>
        <w:tc>
          <w:tcPr>
            <w:tcW w:w="9350" w:type="dxa"/>
          </w:tcPr>
          <w:p w:rsidR="009C7BD2" w:rsidRPr="00A85CDC" w:rsidP="009C7BD2" w14:paraId="3DEE97D4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Considering coordination and information sharing among clinical labs:</w:t>
            </w:r>
          </w:p>
          <w:p w:rsidR="009C7BD2" w:rsidRPr="00A85CDC" w:rsidP="009C7BD2" w14:paraId="0543724A" w14:textId="77777777">
            <w:p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a. How often do you meet with clinical lab partners?</w:t>
            </w:r>
          </w:p>
          <w:p w:rsidR="009C7BD2" w:rsidRPr="00A85CDC" w:rsidP="009C7BD2" w14:paraId="0784454C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Daily</w:t>
            </w:r>
          </w:p>
          <w:p w:rsidR="009C7BD2" w:rsidRPr="00A85CDC" w:rsidP="009C7BD2" w14:paraId="786321DD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Weekly</w:t>
            </w:r>
          </w:p>
          <w:p w:rsidR="009C7BD2" w:rsidRPr="00A85CDC" w:rsidP="009C7BD2" w14:paraId="0E171067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Bi-Weekly</w:t>
            </w:r>
          </w:p>
          <w:p w:rsidR="009C7BD2" w:rsidRPr="00A85CDC" w:rsidP="009C7BD2" w14:paraId="25DCEF4D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Monthly</w:t>
            </w:r>
          </w:p>
          <w:p w:rsidR="009C7BD2" w:rsidRPr="00A85CDC" w:rsidP="009C7BD2" w14:paraId="27D51313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Quarterly</w:t>
            </w:r>
          </w:p>
          <w:p w:rsidR="009C7BD2" w:rsidRPr="00A85CDC" w:rsidP="009C7BD2" w14:paraId="344978EC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Annually</w:t>
            </w:r>
          </w:p>
          <w:p w:rsidR="009C7BD2" w:rsidRPr="00A85CDC" w:rsidP="009C7BD2" w14:paraId="01B0D858" w14:textId="77777777">
            <w:p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b. What strategies work well to maintain coordination and information sharing?</w:t>
            </w:r>
          </w:p>
          <w:p w:rsidR="001F4E45" w:rsidRPr="009C7BD2" w:rsidP="009C7BD2" w14:paraId="440B6730" w14:textId="78685CF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C7BD2">
              <w:rPr>
                <w:rFonts w:cstheme="minorHAnsi"/>
                <w:sz w:val="16"/>
                <w:szCs w:val="16"/>
              </w:rPr>
              <w:t>c. What challenges do you encounter with advancing coordination and collaboration?</w:t>
            </w:r>
          </w:p>
        </w:tc>
      </w:tr>
    </w:tbl>
    <w:p w:rsidR="003C6000" w14:paraId="2C9BE0E8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3764" w:rsidRPr="00192588" w:rsidP="00473764" w14:paraId="45E2F596" w14:textId="750A9C56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9175ED">
      <w:t>10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12245C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473764" w14:paraId="7CC685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5445" w:rsidP="00B75445" w14:paraId="063DB128" w14:textId="77777777">
    <w:pPr>
      <w:spacing w:line="240" w:lineRule="auto"/>
      <w:ind w:left="720"/>
      <w:contextualSpacing/>
      <w:jc w:val="right"/>
    </w:pPr>
    <w:r>
      <w:t>Form Approved</w:t>
    </w:r>
  </w:p>
  <w:p w:rsidR="00B75445" w:rsidP="00B75445" w14:paraId="07C207DA" w14:textId="1B061C7E">
    <w:pPr>
      <w:spacing w:line="240" w:lineRule="auto"/>
      <w:ind w:left="720"/>
      <w:contextualSpacing/>
      <w:jc w:val="right"/>
    </w:pPr>
    <w:r>
      <w:t>OMB Control No.: 0920-</w:t>
    </w:r>
    <w:r w:rsidR="0012245C">
      <w:t>1310</w:t>
    </w:r>
    <w:r>
      <w:t xml:space="preserve"> </w:t>
    </w:r>
  </w:p>
  <w:p w:rsidR="00B75445" w:rsidP="00B75445" w14:paraId="39B3F223" w14:textId="77777777">
    <w:pPr>
      <w:spacing w:line="240" w:lineRule="auto"/>
      <w:ind w:left="720"/>
      <w:contextualSpacing/>
      <w:jc w:val="right"/>
    </w:pPr>
    <w:r>
      <w:t>Expiration date: XX/XX/XXXX</w:t>
    </w:r>
  </w:p>
  <w:p w:rsidR="00473764" w14:paraId="6A3255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D1AA6A"/>
    <w:multiLevelType w:val="hybrid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461D8"/>
    <w:multiLevelType w:val="hybridMultilevel"/>
    <w:tmpl w:val="23E8CC5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1E2FD1"/>
    <w:multiLevelType w:val="hybridMultilevel"/>
    <w:tmpl w:val="549A1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F96D6A"/>
    <w:multiLevelType w:val="hybridMultilevel"/>
    <w:tmpl w:val="2442744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326009">
    <w:abstractNumId w:val="2"/>
  </w:num>
  <w:num w:numId="2" w16cid:durableId="1742942090">
    <w:abstractNumId w:val="1"/>
  </w:num>
  <w:num w:numId="3" w16cid:durableId="2029941846">
    <w:abstractNumId w:val="3"/>
  </w:num>
  <w:num w:numId="4" w16cid:durableId="121165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09"/>
    <w:rsid w:val="0012245C"/>
    <w:rsid w:val="00192588"/>
    <w:rsid w:val="001C3480"/>
    <w:rsid w:val="001F4E45"/>
    <w:rsid w:val="002C2A38"/>
    <w:rsid w:val="00310AFC"/>
    <w:rsid w:val="003C6000"/>
    <w:rsid w:val="00473764"/>
    <w:rsid w:val="006D5A74"/>
    <w:rsid w:val="008F3339"/>
    <w:rsid w:val="009175ED"/>
    <w:rsid w:val="0093122F"/>
    <w:rsid w:val="009C7BD2"/>
    <w:rsid w:val="00A85CDC"/>
    <w:rsid w:val="00A95645"/>
    <w:rsid w:val="00AA1811"/>
    <w:rsid w:val="00B75445"/>
    <w:rsid w:val="00B83DE6"/>
    <w:rsid w:val="00EA1C09"/>
    <w:rsid w:val="01AF636A"/>
    <w:rsid w:val="07C67ED2"/>
    <w:rsid w:val="0A6AF6E2"/>
    <w:rsid w:val="0D49EAE9"/>
    <w:rsid w:val="211BFF82"/>
    <w:rsid w:val="28F9DCA5"/>
    <w:rsid w:val="297D5BF0"/>
    <w:rsid w:val="396DA653"/>
    <w:rsid w:val="5558D6B9"/>
    <w:rsid w:val="64750042"/>
    <w:rsid w:val="678435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F95868"/>
  <w15:chartTrackingRefBased/>
  <w15:docId w15:val="{32E7B20E-F099-48C8-8605-5587E337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811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7BD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C7BD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3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0342C-46A2-4248-A92C-9B19ECC232D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d5afd6ed-dffc-47fb-9498-53333e2fa0bd"/>
    <ds:schemaRef ds:uri="010c16f9-7756-49b4-a9d4-d26aa40a7ef6"/>
  </ds:schemaRefs>
</ds:datastoreItem>
</file>

<file path=customXml/itemProps2.xml><?xml version="1.0" encoding="utf-8"?>
<ds:datastoreItem xmlns:ds="http://schemas.openxmlformats.org/officeDocument/2006/customXml" ds:itemID="{4996E597-EAA1-4C90-AF8F-210603F78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673FE-1F1E-4A4B-865A-096EB1873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>Centers for Disease Control and Prevention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13</cp:revision>
  <dcterms:created xsi:type="dcterms:W3CDTF">2024-02-05T23:05:00Z</dcterms:created>
  <dcterms:modified xsi:type="dcterms:W3CDTF">2024-10-01T12:59:00Z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95eee3f7-7be1-47c8-8893-897485a8a62f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2024-02-06T02:50:32Z</vt:lpwstr>
  </property>
  <property fmtid="{D5CDD505-2E9C-101B-9397-08002B2CF9AE}" pid="9" name="MSIP_Label_8af03ff0-41c5-4c41-b55e-fabb8fae94be_SiteId">
    <vt:lpwstr>9ce70869-60db-44fd-abe8-d2767077fc8f</vt:lpwstr>
  </property>
</Properties>
</file>