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360" w:type="dxa"/>
        <w:jc w:val="center"/>
        <w:shd w:val="clear" w:color="auto" w:fill="FFFFFF"/>
        <w:tblCellMar>
          <w:left w:w="0" w:type="dxa"/>
          <w:right w:w="0" w:type="dxa"/>
        </w:tblCellMar>
        <w:tblLook w:val="04A0"/>
      </w:tblPr>
      <w:tblGrid>
        <w:gridCol w:w="9360"/>
      </w:tblGrid>
      <w:tr w14:paraId="60CA4E77" w14:textId="77777777" w:rsidTr="005430F6">
        <w:tblPrEx>
          <w:tblW w:w="9360" w:type="dxa"/>
          <w:jc w:val="center"/>
          <w:shd w:val="clear" w:color="auto" w:fill="FFFFFF"/>
          <w:tblCellMar>
            <w:left w:w="0" w:type="dxa"/>
            <w:right w:w="0" w:type="dxa"/>
          </w:tblCellMar>
          <w:tblLook w:val="04A0"/>
        </w:tblPrEx>
        <w:trPr>
          <w:jc w:val="center"/>
        </w:trPr>
        <w:tc>
          <w:tcPr>
            <w:tcW w:w="0" w:type="auto"/>
            <w:shd w:val="clear" w:color="auto" w:fill="FFFFFF" w:themeFill="background1"/>
            <w:vAlign w:val="center"/>
            <w:hideMark/>
          </w:tcPr>
          <w:tbl>
            <w:tblPr>
              <w:tblpPr w:leftFromText="45" w:rightFromText="45" w:vertAnchor="text"/>
              <w:tblW w:w="8505" w:type="dxa"/>
              <w:tblCellMar>
                <w:left w:w="0" w:type="dxa"/>
                <w:right w:w="0" w:type="dxa"/>
              </w:tblCellMar>
              <w:tblLook w:val="04A0"/>
            </w:tblPr>
            <w:tblGrid>
              <w:gridCol w:w="5098"/>
              <w:gridCol w:w="608"/>
              <w:gridCol w:w="2799"/>
            </w:tblGrid>
            <w:tr w14:paraId="0CE665F4" w14:textId="77777777" w:rsidTr="005430F6">
              <w:tblPrEx>
                <w:tblW w:w="8505" w:type="dxa"/>
                <w:tblCellMar>
                  <w:left w:w="0" w:type="dxa"/>
                  <w:right w:w="0" w:type="dxa"/>
                </w:tblCellMar>
                <w:tblLook w:val="04A0"/>
              </w:tblPrEx>
              <w:trPr>
                <w:trHeight w:val="1570"/>
              </w:trPr>
              <w:tc>
                <w:tcPr>
                  <w:tcW w:w="5098" w:type="dxa"/>
                  <w:shd w:val="clear" w:color="auto" w:fill="572975"/>
                  <w:tcMar>
                    <w:top w:w="0" w:type="dxa"/>
                    <w:left w:w="300" w:type="dxa"/>
                    <w:bottom w:w="0" w:type="dxa"/>
                    <w:right w:w="300" w:type="dxa"/>
                  </w:tcMar>
                  <w:vAlign w:val="center"/>
                  <w:hideMark/>
                </w:tcPr>
                <w:p w:rsidR="0073310D" w:rsidRPr="00924D61" w:rsidP="005430F6" w14:paraId="795557D2" w14:textId="77777777">
                  <w:pPr>
                    <w:spacing w:line="360" w:lineRule="atLeast"/>
                    <w:rPr>
                      <w:rFonts w:ascii="Arial" w:hAnsi="Arial" w:cs="Arial"/>
                      <w:b/>
                      <w:bCs/>
                      <w:color w:val="FFFFFF"/>
                      <w:sz w:val="36"/>
                      <w:szCs w:val="36"/>
                    </w:rPr>
                  </w:pPr>
                  <w:r w:rsidRPr="00924D61">
                    <w:rPr>
                      <w:rFonts w:ascii="Arial" w:hAnsi="Arial" w:cs="Arial"/>
                      <w:b/>
                      <w:bCs/>
                      <w:color w:val="FFFFFF"/>
                      <w:sz w:val="36"/>
                      <w:szCs w:val="36"/>
                    </w:rPr>
                    <w:t xml:space="preserve">Invitation to </w:t>
                  </w:r>
                  <w:r>
                    <w:rPr>
                      <w:rFonts w:ascii="Arial" w:hAnsi="Arial" w:cs="Arial"/>
                      <w:b/>
                      <w:bCs/>
                      <w:color w:val="FFFFFF"/>
                      <w:sz w:val="36"/>
                      <w:szCs w:val="36"/>
                    </w:rPr>
                    <w:t>Participate in Focus Groups</w:t>
                  </w:r>
                </w:p>
              </w:tc>
              <w:tc>
                <w:tcPr>
                  <w:tcW w:w="608" w:type="dxa"/>
                  <w:shd w:val="clear" w:color="auto" w:fill="BCD6FB"/>
                  <w:vAlign w:val="center"/>
                  <w:hideMark/>
                </w:tcPr>
                <w:p w:rsidR="0073310D" w:rsidP="005430F6" w14:paraId="5A1707A7" w14:textId="77777777">
                  <w:pPr>
                    <w:jc w:val="right"/>
                    <w:rPr>
                      <w:rFonts w:ascii="Calibri" w:hAnsi="Calibri" w:cs="Calibri"/>
                    </w:rPr>
                  </w:pPr>
                  <w:r>
                    <w:rPr>
                      <w:noProof/>
                    </w:rPr>
                    <w:drawing>
                      <wp:inline distT="0" distB="0" distL="0" distR="0">
                        <wp:extent cx="381000" cy="859155"/>
                        <wp:effectExtent l="0" t="0" r="0" b="0"/>
                        <wp:docPr id="1" name="Picture 1" descr="A purpl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A purple and white background&#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859155"/>
                                </a:xfrm>
                                <a:prstGeom prst="rect">
                                  <a:avLst/>
                                </a:prstGeom>
                                <a:noFill/>
                                <a:ln>
                                  <a:noFill/>
                                </a:ln>
                              </pic:spPr>
                            </pic:pic>
                          </a:graphicData>
                        </a:graphic>
                      </wp:inline>
                    </w:drawing>
                  </w:r>
                </w:p>
              </w:tc>
              <w:tc>
                <w:tcPr>
                  <w:tcW w:w="2799" w:type="dxa"/>
                  <w:shd w:val="clear" w:color="auto" w:fill="BCD6FB"/>
                  <w:tcMar>
                    <w:top w:w="0" w:type="dxa"/>
                    <w:left w:w="150" w:type="dxa"/>
                    <w:bottom w:w="0" w:type="dxa"/>
                    <w:right w:w="300" w:type="dxa"/>
                  </w:tcMar>
                  <w:vAlign w:val="center"/>
                  <w:hideMark/>
                </w:tcPr>
                <w:p w:rsidR="0073310D" w:rsidP="005430F6" w14:paraId="408D6EF4" w14:textId="77777777">
                  <w:pPr>
                    <w:jc w:val="center"/>
                    <w:rPr>
                      <w:rFonts w:cs="Times New Roman"/>
                      <w:sz w:val="24"/>
                      <w:szCs w:val="24"/>
                    </w:rPr>
                  </w:pPr>
                  <w:r>
                    <w:rPr>
                      <w:rFonts w:cs="Times New Roman"/>
                      <w:noProof/>
                      <w:sz w:val="24"/>
                      <w:szCs w:val="24"/>
                    </w:rPr>
                    <w:drawing>
                      <wp:inline distT="0" distB="0" distL="0" distR="0">
                        <wp:extent cx="1466850" cy="327293"/>
                        <wp:effectExtent l="0" t="0" r="0" b="0"/>
                        <wp:docPr id="2" name="Picture 2" descr="A logo with purp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A logo with purple and black text&#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08704" cy="336632"/>
                                </a:xfrm>
                                <a:prstGeom prst="rect">
                                  <a:avLst/>
                                </a:prstGeom>
                              </pic:spPr>
                            </pic:pic>
                          </a:graphicData>
                        </a:graphic>
                      </wp:inline>
                    </w:drawing>
                  </w:r>
                </w:p>
              </w:tc>
            </w:tr>
          </w:tbl>
          <w:p w:rsidR="0073310D" w:rsidP="005430F6" w14:paraId="7DE1F6E9" w14:textId="77777777">
            <w:pPr>
              <w:rPr>
                <w:rFonts w:cs="Calibri"/>
                <w:sz w:val="20"/>
                <w:szCs w:val="20"/>
              </w:rPr>
            </w:pPr>
          </w:p>
        </w:tc>
      </w:tr>
      <w:tr w14:paraId="260C2F40" w14:textId="77777777" w:rsidTr="005430F6">
        <w:tblPrEx>
          <w:tblW w:w="9360" w:type="dxa"/>
          <w:jc w:val="center"/>
          <w:shd w:val="clear" w:color="auto" w:fill="FFFFFF"/>
          <w:tblCellMar>
            <w:left w:w="0" w:type="dxa"/>
            <w:right w:w="0" w:type="dxa"/>
          </w:tblCellMar>
          <w:tblLook w:val="04A0"/>
        </w:tblPrEx>
        <w:trPr>
          <w:jc w:val="center"/>
        </w:trPr>
        <w:tc>
          <w:tcPr>
            <w:tcW w:w="0" w:type="auto"/>
            <w:shd w:val="clear" w:color="auto" w:fill="FFFFFF" w:themeFill="background1"/>
            <w:tcMar>
              <w:top w:w="375" w:type="dxa"/>
              <w:left w:w="300" w:type="dxa"/>
              <w:bottom w:w="0" w:type="dxa"/>
              <w:right w:w="300" w:type="dxa"/>
            </w:tcMar>
            <w:vAlign w:val="center"/>
            <w:hideMark/>
          </w:tcPr>
          <w:p w:rsidR="0054766D" w:rsidRPr="00024F70" w:rsidP="0054766D" w14:paraId="5C4CB95B" w14:textId="77777777">
            <w:pPr>
              <w:spacing w:after="0"/>
              <w:ind w:left="1440"/>
              <w:jc w:val="right"/>
              <w:rPr>
                <w:rFonts w:eastAsia="Times New Roman"/>
                <w:sz w:val="18"/>
                <w:szCs w:val="18"/>
              </w:rPr>
            </w:pPr>
            <w:r w:rsidRPr="2EB15FC3">
              <w:rPr>
                <w:rFonts w:eastAsia="Times New Roman"/>
                <w:sz w:val="18"/>
                <w:szCs w:val="18"/>
              </w:rPr>
              <w:t>Form Approved</w:t>
            </w:r>
          </w:p>
          <w:p w:rsidR="0054766D" w:rsidRPr="00024F70" w:rsidP="0054766D" w14:paraId="066FCE00" w14:textId="77777777">
            <w:pPr>
              <w:spacing w:after="0"/>
              <w:jc w:val="right"/>
              <w:rPr>
                <w:rFonts w:eastAsia="Times New Roman"/>
                <w:sz w:val="18"/>
                <w:szCs w:val="18"/>
              </w:rPr>
            </w:pPr>
            <w:r w:rsidRPr="00024F70">
              <w:rPr>
                <w:rFonts w:eastAsia="Times New Roman"/>
                <w:sz w:val="18"/>
                <w:szCs w:val="18"/>
              </w:rPr>
              <w:t>OMB No. 0920-</w:t>
            </w:r>
            <w:r>
              <w:rPr>
                <w:rFonts w:eastAsia="Times New Roman"/>
                <w:sz w:val="18"/>
                <w:szCs w:val="18"/>
              </w:rPr>
              <w:t>1355</w:t>
            </w:r>
          </w:p>
          <w:p w:rsidR="0054766D" w:rsidRPr="00024F70" w:rsidP="0054766D" w14:paraId="0A3E85BC" w14:textId="77777777">
            <w:pPr>
              <w:spacing w:after="0"/>
              <w:jc w:val="right"/>
              <w:rPr>
                <w:rFonts w:eastAsia="Times New Roman"/>
                <w:sz w:val="18"/>
                <w:szCs w:val="18"/>
              </w:rPr>
            </w:pPr>
            <w:r w:rsidRPr="00024F70">
              <w:rPr>
                <w:rFonts w:eastAsia="Times New Roman"/>
                <w:sz w:val="18"/>
                <w:szCs w:val="18"/>
              </w:rPr>
              <w:t xml:space="preserve">Exp. Date: </w:t>
            </w:r>
            <w:r>
              <w:rPr>
                <w:rFonts w:eastAsia="Times New Roman"/>
                <w:sz w:val="18"/>
                <w:szCs w:val="18"/>
              </w:rPr>
              <w:t>11/30/2024</w:t>
            </w:r>
          </w:p>
          <w:p w:rsidR="0054766D" w:rsidP="005430F6" w14:paraId="50656125" w14:textId="77777777">
            <w:pPr>
              <w:rPr>
                <w:b/>
                <w:bCs/>
              </w:rPr>
            </w:pPr>
          </w:p>
          <w:p w:rsidR="0073310D" w:rsidRPr="00E03683" w:rsidP="005430F6" w14:paraId="4C3114F4" w14:textId="776748EB">
            <w:r w:rsidRPr="001B2710">
              <w:rPr>
                <w:b/>
                <w:bCs/>
              </w:rPr>
              <w:t>Subject:</w:t>
            </w:r>
            <w:r w:rsidRPr="001B2710">
              <w:t xml:space="preserve"> </w:t>
            </w:r>
            <w:r w:rsidRPr="007B2E56">
              <w:t xml:space="preserve">Invitation to Participate in </w:t>
            </w:r>
            <w:r>
              <w:t xml:space="preserve">the DOP TAC </w:t>
            </w:r>
            <w:r w:rsidRPr="007B2E56">
              <w:t>Community of Practice Focus Group</w:t>
            </w:r>
          </w:p>
          <w:p w:rsidR="0073310D" w:rsidRPr="00A00C1A" w:rsidP="005430F6" w14:paraId="11FDB9CC" w14:textId="77777777">
            <w:r>
              <w:t>Greetings!</w:t>
            </w:r>
          </w:p>
          <w:p w:rsidR="0073310D" w:rsidRPr="00A00C1A" w:rsidP="005430F6" w14:paraId="4DCD82D4" w14:textId="77777777">
            <w:r w:rsidRPr="00A00C1A">
              <w:t xml:space="preserve">As part of our ongoing efforts to enhance the effectiveness and reach of </w:t>
            </w:r>
            <w:r>
              <w:t>the DOP</w:t>
            </w:r>
            <w:r w:rsidRPr="00A00C1A">
              <w:t xml:space="preserve"> </w:t>
            </w:r>
            <w:r>
              <w:t>T</w:t>
            </w:r>
            <w:r w:rsidRPr="00A00C1A">
              <w:t xml:space="preserve">echnical </w:t>
            </w:r>
            <w:r>
              <w:t>A</w:t>
            </w:r>
            <w:r w:rsidRPr="00A00C1A">
              <w:t xml:space="preserve">ssistance </w:t>
            </w:r>
            <w:r>
              <w:t>C</w:t>
            </w:r>
            <w:r w:rsidRPr="00A00C1A">
              <w:t>enter, we are conducting a series of focus group discussions. These sessions are designed to gather insights into how participation in our Community of Practice (CoP) has influenced your professional development, specifically in terms of knowledge enhancement and skill application within your role.</w:t>
            </w:r>
          </w:p>
          <w:p w:rsidR="0073310D" w:rsidP="005430F6" w14:paraId="6020CFF0" w14:textId="77777777">
            <w:r>
              <w:t>Your contributions to the CoP have been invaluable, and we believe that your experiences and perspectives will greatly inform our understanding of the CoP’s impact. This is also an excellent opportunity for you to share your thoughts on potential areas for improvement.</w:t>
            </w:r>
          </w:p>
          <w:p w:rsidR="0073310D" w:rsidP="005430F6" w14:paraId="65D60A9E" w14:textId="77777777">
            <w:r>
              <w:t xml:space="preserve">Please consider this as a formal invitation to join one of our focus group discussions. Your feedback will be instrumental in shaping the future direction of the DOP TAC CoPs, ensuring it continues to meet and exceed the needs of its members.  </w:t>
            </w:r>
          </w:p>
          <w:p w:rsidR="0073310D" w:rsidRPr="00A00C1A" w:rsidP="005430F6" w14:paraId="5F6246D5" w14:textId="77777777">
            <w:r w:rsidRPr="00A00C1A">
              <w:t>Here’s what you need to know about the focus group sessions:</w:t>
            </w:r>
          </w:p>
          <w:p w:rsidR="0073310D" w:rsidRPr="00A00C1A" w:rsidP="005430F6" w14:paraId="584447BF" w14:textId="77777777">
            <w:pPr>
              <w:numPr>
                <w:ilvl w:val="0"/>
                <w:numId w:val="1"/>
              </w:numPr>
            </w:pPr>
            <w:r w:rsidRPr="00A00C1A">
              <w:t>Duration: Each session will last no longer than 60 minutes.</w:t>
            </w:r>
          </w:p>
          <w:p w:rsidR="0073310D" w:rsidRPr="00A00C1A" w:rsidP="005430F6" w14:paraId="4E815994" w14:textId="77777777">
            <w:pPr>
              <w:numPr>
                <w:ilvl w:val="0"/>
                <w:numId w:val="1"/>
              </w:numPr>
            </w:pPr>
            <w:r w:rsidRPr="00A00C1A">
              <w:t>Group Size: We aim to have a small group of 5-10 participants for each session to ensure that everyone has the opportunity to share their insights.</w:t>
            </w:r>
          </w:p>
          <w:p w:rsidR="0073310D" w:rsidRPr="00A00C1A" w:rsidP="005430F6" w14:paraId="535671E2" w14:textId="77777777">
            <w:pPr>
              <w:numPr>
                <w:ilvl w:val="0"/>
                <w:numId w:val="1"/>
              </w:numPr>
            </w:pPr>
            <w:r w:rsidRPr="00A00C1A">
              <w:t>Focus: We are particularly interested in hearing about how the CoP has helped you enhance your professional knowledge and skills, examples of how you’ve applied these in your job, and any suggestions you might have for making our CoP even more beneficial.</w:t>
            </w:r>
          </w:p>
          <w:p w:rsidR="0054766D" w:rsidP="005430F6" w14:paraId="4360DFAE" w14:textId="77777777"/>
          <w:p w:rsidR="0054766D" w:rsidP="005430F6" w14:paraId="0CB3ED28" w14:textId="77777777"/>
          <w:p w:rsidR="0073310D" w:rsidRPr="00A00C1A" w:rsidP="005430F6" w14:paraId="365BD341" w14:textId="7671F43E">
            <w:r>
              <w:t xml:space="preserve">If you are interested in participating, please reply to </w:t>
            </w:r>
            <w:r w:rsidRPr="744464C9">
              <w:rPr>
                <w:highlight w:val="yellow"/>
              </w:rPr>
              <w:t>this email</w:t>
            </w:r>
            <w:r>
              <w:t xml:space="preserve"> by [</w:t>
            </w:r>
            <w:r w:rsidRPr="744464C9">
              <w:rPr>
                <w:highlight w:val="yellow"/>
              </w:rPr>
              <w:t>insert reply deadline</w:t>
            </w:r>
            <w:r>
              <w:t>] with your availability, and we will follow up with the specific details of the session, including the date and time. Should you have any questions or need further information, feel free to contact us directly.</w:t>
            </w:r>
          </w:p>
          <w:p w:rsidR="0073310D" w:rsidRPr="00A00C1A" w:rsidP="005430F6" w14:paraId="7BC42A85" w14:textId="77777777">
            <w:r w:rsidRPr="00A00C1A">
              <w:t>Thank you for considering this invitation. We are looking forward to your participation and to hearing your valuable insights.</w:t>
            </w:r>
          </w:p>
          <w:p w:rsidR="0073310D" w:rsidRPr="00E03683" w:rsidP="005430F6" w14:paraId="2FA01C37" w14:textId="77777777">
            <w:r>
              <w:t>Sincerely</w:t>
            </w:r>
            <w:r w:rsidRPr="00E03683">
              <w:t>,   </w:t>
            </w:r>
          </w:p>
          <w:p w:rsidR="0073310D" w:rsidP="005430F6" w14:paraId="2C673309" w14:textId="77777777">
            <w:r w:rsidRPr="00E03683">
              <w:t>[</w:t>
            </w:r>
            <w:r w:rsidRPr="00E03683">
              <w:rPr>
                <w:b/>
                <w:bCs/>
              </w:rPr>
              <w:t>Sender’s name</w:t>
            </w:r>
            <w:r w:rsidRPr="00E03683">
              <w:t>], DOP TAC Team   </w:t>
            </w:r>
          </w:p>
          <w:p w:rsidR="0054766D" w:rsidP="005430F6" w14:paraId="595F5EF3" w14:textId="77777777"/>
          <w:p w:rsidR="0054766D" w:rsidP="005430F6" w14:paraId="03F3BFF4" w14:textId="77777777"/>
          <w:p w:rsidR="0054766D" w:rsidRPr="00024F70" w:rsidP="0054766D" w14:paraId="6D802853" w14:textId="0594B5AB">
            <w:pPr>
              <w:rPr>
                <w:rFonts w:eastAsia="Times New Roman"/>
                <w:sz w:val="18"/>
                <w:szCs w:val="18"/>
              </w:rPr>
            </w:pPr>
            <w:r>
              <w:rPr>
                <w:rFonts w:eastAsia="Times New Roman"/>
                <w:sz w:val="18"/>
                <w:szCs w:val="18"/>
              </w:rPr>
              <w:t>_______________________</w:t>
            </w:r>
          </w:p>
          <w:p w:rsidR="0054766D" w:rsidRPr="00024F70" w:rsidP="0054766D" w14:paraId="6897DD4E" w14:textId="01BF838B">
            <w:pPr>
              <w:rPr>
                <w:rFonts w:cs="Times New Roman"/>
                <w:bCs/>
                <w:iCs/>
                <w:sz w:val="18"/>
                <w:szCs w:val="18"/>
              </w:rPr>
            </w:pPr>
            <w:r w:rsidRPr="00024F70">
              <w:rPr>
                <w:rFonts w:cs="Times New Roman"/>
                <w:bCs/>
                <w:iCs/>
                <w:sz w:val="18"/>
                <w:szCs w:val="18"/>
              </w:rPr>
              <w:t xml:space="preserve">Public reporting burden of this collection of information is estimated to average </w:t>
            </w:r>
            <w:r>
              <w:rPr>
                <w:rFonts w:cs="Times New Roman"/>
                <w:bCs/>
                <w:iCs/>
                <w:sz w:val="18"/>
                <w:szCs w:val="18"/>
              </w:rPr>
              <w:t>2 minutes</w:t>
            </w:r>
            <w:r w:rsidRPr="00024F70">
              <w:rPr>
                <w:rFonts w:cs="Times New Roman"/>
                <w:bCs/>
                <w:iCs/>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cs="Times New Roman"/>
                <w:bCs/>
                <w:iCs/>
                <w:sz w:val="18"/>
                <w:szCs w:val="18"/>
              </w:rPr>
              <w:t>1355)</w:t>
            </w:r>
          </w:p>
          <w:p w:rsidR="0054766D" w:rsidRPr="00E03683" w:rsidP="005430F6" w14:paraId="58AFDB62" w14:textId="77777777"/>
          <w:p w:rsidR="0073310D" w:rsidP="005430F6" w14:paraId="0E1DBDEF" w14:textId="77777777">
            <w:pPr>
              <w:rPr>
                <w:rFonts w:cs="Calibri"/>
                <w:sz w:val="20"/>
                <w:szCs w:val="20"/>
              </w:rPr>
            </w:pPr>
          </w:p>
        </w:tc>
      </w:tr>
      <w:tr w14:paraId="336FB87D" w14:textId="77777777" w:rsidTr="005430F6">
        <w:tblPrEx>
          <w:tblW w:w="9360" w:type="dxa"/>
          <w:jc w:val="center"/>
          <w:shd w:val="clear" w:color="auto" w:fill="FFFFFF"/>
          <w:tblCellMar>
            <w:left w:w="0" w:type="dxa"/>
            <w:right w:w="0" w:type="dxa"/>
          </w:tblCellMar>
          <w:tblLook w:val="04A0"/>
        </w:tblPrEx>
        <w:trPr>
          <w:jc w:val="center"/>
        </w:trPr>
        <w:tc>
          <w:tcPr>
            <w:tcW w:w="0" w:type="auto"/>
            <w:shd w:val="clear" w:color="auto" w:fill="FFFFFF" w:themeFill="background1"/>
            <w:tcMar>
              <w:top w:w="0" w:type="dxa"/>
              <w:left w:w="300" w:type="dxa"/>
              <w:bottom w:w="0" w:type="dxa"/>
              <w:right w:w="300" w:type="dxa"/>
            </w:tcMar>
            <w:vAlign w:val="center"/>
            <w:hideMark/>
          </w:tcPr>
          <w:p w:rsidR="0073310D" w:rsidP="005430F6" w14:paraId="3C7D7148" w14:textId="77777777">
            <w:pPr>
              <w:rPr>
                <w:rFonts w:cs="Calibri"/>
                <w:sz w:val="20"/>
                <w:szCs w:val="20"/>
              </w:rPr>
            </w:pPr>
          </w:p>
        </w:tc>
      </w:tr>
      <w:tr w14:paraId="4AF52528" w14:textId="77777777" w:rsidTr="005430F6">
        <w:tblPrEx>
          <w:tblW w:w="9360" w:type="dxa"/>
          <w:jc w:val="center"/>
          <w:shd w:val="clear" w:color="auto" w:fill="FFFFFF"/>
          <w:tblCellMar>
            <w:left w:w="0" w:type="dxa"/>
            <w:right w:w="0" w:type="dxa"/>
          </w:tblCellMar>
          <w:tblLook w:val="04A0"/>
        </w:tblPrEx>
        <w:trPr>
          <w:jc w:val="center"/>
        </w:trPr>
        <w:tc>
          <w:tcPr>
            <w:tcW w:w="0" w:type="auto"/>
            <w:shd w:val="clear" w:color="auto" w:fill="FFFFFF" w:themeFill="background1"/>
            <w:vAlign w:val="center"/>
            <w:hideMark/>
          </w:tcPr>
          <w:p w:rsidR="0073310D" w:rsidP="005430F6" w14:paraId="60056B60" w14:textId="77777777">
            <w:pPr>
              <w:jc w:val="center"/>
              <w:rPr>
                <w:rFonts w:ascii="Calibri" w:hAnsi="Calibri" w:cs="Calibri"/>
                <w:sz w:val="20"/>
                <w:szCs w:val="20"/>
              </w:rPr>
            </w:pPr>
          </w:p>
        </w:tc>
      </w:tr>
      <w:tr w14:paraId="72910093" w14:textId="77777777" w:rsidTr="0054766D">
        <w:tblPrEx>
          <w:tblW w:w="9360" w:type="dxa"/>
          <w:jc w:val="center"/>
          <w:shd w:val="clear" w:color="auto" w:fill="FFFFFF"/>
          <w:tblCellMar>
            <w:left w:w="0" w:type="dxa"/>
            <w:right w:w="0" w:type="dxa"/>
          </w:tblCellMar>
          <w:tblLook w:val="04A0"/>
        </w:tblPrEx>
        <w:trPr>
          <w:trHeight w:val="963"/>
          <w:jc w:val="center"/>
        </w:trPr>
        <w:tc>
          <w:tcPr>
            <w:tcW w:w="0" w:type="auto"/>
            <w:shd w:val="clear" w:color="auto" w:fill="FFFFFF" w:themeFill="background1"/>
            <w:vAlign w:val="center"/>
          </w:tcPr>
          <w:p w:rsidR="0073310D" w:rsidP="005430F6" w14:paraId="3257EFA3" w14:textId="77777777">
            <w:pPr>
              <w:rPr>
                <w:rFonts w:cs="Calibri"/>
                <w:sz w:val="20"/>
                <w:szCs w:val="20"/>
              </w:rPr>
            </w:pPr>
          </w:p>
        </w:tc>
      </w:tr>
      <w:tr w14:paraId="70ACF7EB" w14:textId="77777777" w:rsidTr="0054766D">
        <w:tblPrEx>
          <w:tblW w:w="9360" w:type="dxa"/>
          <w:jc w:val="center"/>
          <w:shd w:val="clear" w:color="auto" w:fill="FFFFFF"/>
          <w:tblCellMar>
            <w:left w:w="0" w:type="dxa"/>
            <w:right w:w="0" w:type="dxa"/>
          </w:tblCellMar>
          <w:tblLook w:val="04A0"/>
        </w:tblPrEx>
        <w:trPr>
          <w:jc w:val="center"/>
        </w:trPr>
        <w:tc>
          <w:tcPr>
            <w:tcW w:w="0" w:type="auto"/>
            <w:shd w:val="clear" w:color="auto" w:fill="FFFFFF" w:themeFill="background1"/>
            <w:tcMar>
              <w:top w:w="225" w:type="dxa"/>
              <w:left w:w="300" w:type="dxa"/>
              <w:bottom w:w="225" w:type="dxa"/>
              <w:right w:w="300" w:type="dxa"/>
            </w:tcMar>
            <w:vAlign w:val="center"/>
          </w:tcPr>
          <w:p w:rsidR="0073310D" w:rsidP="005430F6" w14:paraId="1FA3F9A5" w14:textId="77777777">
            <w:pPr>
              <w:rPr>
                <w:rFonts w:ascii="Calibri" w:hAnsi="Calibri" w:cs="Calibri"/>
                <w:sz w:val="20"/>
                <w:szCs w:val="20"/>
              </w:rPr>
            </w:pPr>
          </w:p>
        </w:tc>
      </w:tr>
    </w:tbl>
    <w:p w:rsidR="0073310D" w:rsidRPr="009F69B7" w:rsidP="0073310D" w14:paraId="36AFEF6D" w14:textId="77777777"/>
    <w:p w:rsidR="0073310D" w14:paraId="0816816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D4524"/>
    <w:multiLevelType w:val="multilevel"/>
    <w:tmpl w:val="9820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5FD3743"/>
    <w:multiLevelType w:val="multilevel"/>
    <w:tmpl w:val="8926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6710000">
    <w:abstractNumId w:val="0"/>
  </w:num>
  <w:num w:numId="2" w16cid:durableId="387219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0D"/>
    <w:rsid w:val="00024F70"/>
    <w:rsid w:val="001B2710"/>
    <w:rsid w:val="005430F6"/>
    <w:rsid w:val="0054766D"/>
    <w:rsid w:val="0073310D"/>
    <w:rsid w:val="007B2E56"/>
    <w:rsid w:val="00924D61"/>
    <w:rsid w:val="009F69B7"/>
    <w:rsid w:val="00A00C1A"/>
    <w:rsid w:val="00E03683"/>
    <w:rsid w:val="2EB15FC3"/>
    <w:rsid w:val="744464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DC961"/>
  <w15:chartTrackingRefBased/>
  <w15:docId w15:val="{9BCE7DF5-2427-42AE-9DE0-16C38993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10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Jennings</dc:creator>
  <cp:lastModifiedBy>Angel, Karen C. (CDC/NCIPC/OD)</cp:lastModifiedBy>
  <cp:revision>2</cp:revision>
  <dcterms:created xsi:type="dcterms:W3CDTF">2024-03-07T19:26:00Z</dcterms:created>
  <dcterms:modified xsi:type="dcterms:W3CDTF">2024-03-13T16:38:00Z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da43aeac-9cb6-4022-8a84-ed1db3a165e7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2024-03-07T19:27:56Z</vt:lpwstr>
  </property>
  <property fmtid="{D5CDD505-2E9C-101B-9397-08002B2CF9AE}" pid="8" name="MSIP_Label_7b94a7b8-f06c-4dfe-bdcc-9b548fd58c31_SiteId">
    <vt:lpwstr>9ce70869-60db-44fd-abe8-d2767077fc8f</vt:lpwstr>
  </property>
</Properties>
</file>