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14:paraId="22EEA245" w14:textId="77777777" w:rsidTr="005430F6">
        <w:tblPrEx>
          <w:tblW w:w="9360" w:type="dxa"/>
          <w:tblCellMar>
            <w:left w:w="0" w:type="dxa"/>
            <w:right w:w="0" w:type="dxa"/>
          </w:tblCellMar>
          <w:tblLook w:val="04A0"/>
        </w:tblPrEx>
        <w:trPr>
          <w:trHeight w:val="1961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tbl>
            <w:tblPr>
              <w:tblW w:w="9168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168"/>
            </w:tblGrid>
            <w:tr w14:paraId="3BF4D34E" w14:textId="77777777" w:rsidTr="005430F6">
              <w:tblPrEx>
                <w:tblW w:w="9168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85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98"/>
                    <w:gridCol w:w="608"/>
                    <w:gridCol w:w="2799"/>
                  </w:tblGrid>
                  <w:tr w14:paraId="7D3EC179" w14:textId="77777777" w:rsidTr="005430F6">
                    <w:tblPrEx>
                      <w:tblW w:w="8505" w:type="dxa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1570"/>
                    </w:trPr>
                    <w:tc>
                      <w:tcPr>
                        <w:tcW w:w="5098" w:type="dxa"/>
                        <w:shd w:val="clear" w:color="auto" w:fill="572975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31305B" w:rsidRPr="00924D61" w:rsidP="005430F6" w14:paraId="482C4AA5" w14:textId="77777777">
                        <w:pPr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36"/>
                            <w:szCs w:val="36"/>
                          </w:rPr>
                        </w:pPr>
                        <w:r w:rsidRPr="744464C9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Invitation to Complete the Annual Technical Assistance Survey</w:t>
                        </w:r>
                      </w:p>
                    </w:tc>
                    <w:tc>
                      <w:tcPr>
                        <w:tcW w:w="608" w:type="dxa"/>
                        <w:shd w:val="clear" w:color="auto" w:fill="BCD6FB"/>
                        <w:vAlign w:val="center"/>
                        <w:hideMark/>
                      </w:tcPr>
                      <w:p w:rsidR="0031305B" w:rsidP="005430F6" w14:paraId="66388477" w14:textId="77777777">
                        <w:pPr>
                          <w:jc w:val="right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81000" cy="859155"/>
                              <wp:effectExtent l="0" t="0" r="0" b="0"/>
                              <wp:docPr id="19" name="Picture 19" descr="A purple and white background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Picture 15" descr="A purple and white background&#10;&#10;Description automatically generat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4" cstate="print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859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99" w:type="dxa"/>
                        <w:shd w:val="clear" w:color="auto" w:fill="BCD6FB"/>
                        <w:tcMar>
                          <w:top w:w="0" w:type="dxa"/>
                          <w:left w:w="15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p w:rsidR="0031305B" w:rsidP="005430F6" w14:paraId="213EB1FC" w14:textId="77777777">
                        <w:pPr>
                          <w:jc w:val="center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466850" cy="327293"/>
                              <wp:effectExtent l="0" t="0" r="0" b="0"/>
                              <wp:docPr id="20" name="Picture 20" descr="A logo with purple and black text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Picture 9" descr="A logo with purple and black text&#10;&#10;Description automatically generated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5" cstate="print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08704" cy="3366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31305B" w:rsidP="005430F6" w14:paraId="6B91303F" w14:textId="77777777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14:paraId="48F4D33A" w14:textId="77777777" w:rsidTr="005430F6">
              <w:tblPrEx>
                <w:tblW w:w="9168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375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7C3A04" w:rsidRPr="00024F70" w:rsidP="007C3A04" w14:paraId="4BC5BA56" w14:textId="77777777">
                  <w:pPr>
                    <w:spacing w:after="0"/>
                    <w:ind w:left="1440"/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2EB15FC3">
                    <w:rPr>
                      <w:rFonts w:eastAsia="Times New Roman"/>
                      <w:sz w:val="18"/>
                      <w:szCs w:val="18"/>
                    </w:rPr>
                    <w:t>Form Approved</w:t>
                  </w:r>
                </w:p>
                <w:p w:rsidR="007C3A04" w:rsidRPr="00024F70" w:rsidP="007C3A04" w14:paraId="7B8A6076" w14:textId="77777777">
                  <w:pPr>
                    <w:spacing w:after="0"/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024F70">
                    <w:rPr>
                      <w:rFonts w:eastAsia="Times New Roman"/>
                      <w:sz w:val="18"/>
                      <w:szCs w:val="18"/>
                    </w:rPr>
                    <w:t>OMB No. 0920-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1355</w:t>
                  </w:r>
                </w:p>
                <w:p w:rsidR="007C3A04" w:rsidRPr="00024F70" w:rsidP="007C3A04" w14:paraId="06A38C4D" w14:textId="77777777">
                  <w:pPr>
                    <w:spacing w:after="0"/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 w:rsidRPr="00024F70">
                    <w:rPr>
                      <w:rFonts w:eastAsia="Times New Roman"/>
                      <w:sz w:val="18"/>
                      <w:szCs w:val="18"/>
                    </w:rPr>
                    <w:t xml:space="preserve">Exp. Date: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11/30/2024</w:t>
                  </w:r>
                </w:p>
                <w:p w:rsidR="007C3A04" w:rsidRPr="00024F70" w:rsidP="007C3A04" w14:paraId="4B4A1C25" w14:textId="77777777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</w:p>
                <w:p w:rsidR="007C3A04" w:rsidP="005430F6" w14:paraId="6B0F79EF" w14:textId="77777777">
                  <w:pPr>
                    <w:rPr>
                      <w:b/>
                      <w:bCs/>
                    </w:rPr>
                  </w:pPr>
                </w:p>
                <w:p w:rsidR="0031305B" w:rsidRPr="00E03683" w:rsidP="005430F6" w14:paraId="3A5B18E6" w14:textId="32FE910D">
                  <w:r w:rsidRPr="001B2710">
                    <w:rPr>
                      <w:b/>
                      <w:bCs/>
                    </w:rPr>
                    <w:t>Subject:</w:t>
                  </w:r>
                  <w:r w:rsidRPr="001B2710">
                    <w:t xml:space="preserve"> </w:t>
                  </w:r>
                  <w:r>
                    <w:t>DOP TAC Annual Survey</w:t>
                  </w:r>
                  <w:r w:rsidRPr="00E03683">
                    <w:t>  </w:t>
                  </w:r>
                </w:p>
                <w:p w:rsidR="0031305B" w:rsidRPr="008F7BE0" w:rsidP="005430F6" w14:paraId="53D706EC" w14:textId="77777777">
                  <w:r w:rsidRPr="008F7BE0">
                    <w:t>Dear [DOP TAC Recipient]  </w:t>
                  </w:r>
                </w:p>
                <w:p w:rsidR="0031305B" w:rsidRPr="008F7BE0" w:rsidP="005430F6" w14:paraId="7B315DA1" w14:textId="77777777">
                  <w:r w:rsidRPr="008F7BE0">
                    <w:t xml:space="preserve">Team Tanaq, under contract with the Centers for Disease Control and Prevention (CDC), manages and evaluates the Division of Overdose Prevention’s (DOP) </w:t>
                  </w:r>
                  <w:r>
                    <w:t>T</w:t>
                  </w:r>
                  <w:r w:rsidRPr="008F7BE0">
                    <w:t xml:space="preserve">echnical </w:t>
                  </w:r>
                  <w:r>
                    <w:t>A</w:t>
                  </w:r>
                  <w:r w:rsidRPr="008F7BE0">
                    <w:t>ssistance Center (TAC) efforts. We are inviting you to participate in a survey intended to gather your feedback regarding the perceived quality and effectiveness of different types of TA offered through the DOP TAC program.    </w:t>
                  </w:r>
                </w:p>
                <w:p w:rsidR="0031305B" w:rsidRPr="008F7BE0" w:rsidP="005430F6" w14:paraId="2FE1D7C9" w14:textId="77777777">
                  <w:r w:rsidRPr="008F7BE0">
                    <w:t xml:space="preserve">Our goal is to understand which types of </w:t>
                  </w:r>
                  <w:r>
                    <w:t>assistance</w:t>
                  </w:r>
                  <w:r w:rsidRPr="008F7BE0">
                    <w:t xml:space="preserve"> best </w:t>
                  </w:r>
                  <w:r>
                    <w:t>support</w:t>
                  </w:r>
                  <w:r w:rsidRPr="008F7BE0">
                    <w:t xml:space="preserve"> your work. The data collected by this survey will inform CDC decisions </w:t>
                  </w:r>
                  <w:r>
                    <w:t>about</w:t>
                  </w:r>
                  <w:r w:rsidRPr="008F7BE0">
                    <w:t xml:space="preserve"> the types of support DOP TAC recipients receive. The survey should reflect the organization’s experience with TA – for example, if you did not attend a TA activity but a colleague at your organization did, they are encouraged to submit a response (i.e., multiple respondents from the same organization may contribute to the survey).   </w:t>
                  </w:r>
                </w:p>
                <w:p w:rsidR="0031305B" w:rsidRPr="008F7BE0" w:rsidP="005430F6" w14:paraId="061FFBE3" w14:textId="77777777">
                  <w:r w:rsidRPr="008F7BE0">
                    <w:t xml:space="preserve">This survey is designed to take about 15 minutes to complete.  Please click the following link to participate in the survey: </w:t>
                  </w:r>
                  <w:r w:rsidRPr="008F7BE0">
                    <w:rPr>
                      <w:u w:val="single"/>
                    </w:rPr>
                    <w:t>Click here</w:t>
                  </w:r>
                  <w:r w:rsidRPr="008F7BE0">
                    <w:t>.   </w:t>
                  </w:r>
                </w:p>
                <w:p w:rsidR="0031305B" w:rsidRPr="00E03683" w:rsidP="005430F6" w14:paraId="140ED9FB" w14:textId="77777777">
                  <w:r>
                    <w:t>Sincerely</w:t>
                  </w:r>
                  <w:r w:rsidRPr="00E03683">
                    <w:t>,   </w:t>
                  </w:r>
                </w:p>
                <w:p w:rsidR="0031305B" w:rsidP="005430F6" w14:paraId="18CD3399" w14:textId="77777777">
                  <w:r w:rsidRPr="00E03683">
                    <w:t>[</w:t>
                  </w:r>
                  <w:r w:rsidRPr="00E03683">
                    <w:rPr>
                      <w:b/>
                      <w:bCs/>
                    </w:rPr>
                    <w:t>Sender’s name</w:t>
                  </w:r>
                  <w:r w:rsidRPr="00E03683">
                    <w:t>], DOP TAC Team   </w:t>
                  </w:r>
                </w:p>
                <w:p w:rsidR="0031305B" w:rsidP="005430F6" w14:paraId="2118EA4B" w14:textId="77777777"/>
                <w:p w:rsidR="0031305B" w:rsidP="005430F6" w14:paraId="79B7FEC3" w14:textId="77777777"/>
                <w:p w:rsidR="0031305B" w:rsidP="005430F6" w14:paraId="25A713E3" w14:textId="77777777"/>
                <w:p w:rsidR="0031305B" w:rsidP="007C3A04" w14:paraId="13413E04" w14:textId="6AF82F30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00024F70">
                    <w:rPr>
                      <w:rFonts w:cs="Times New Roman"/>
                      <w:bCs/>
                      <w:iCs/>
                      <w:sz w:val="18"/>
                      <w:szCs w:val="18"/>
                    </w:rPr>
                    <w:t xml:space="preserve">Public reporting burden of this collection of information is estimated to average </w:t>
                  </w:r>
                  <w:r>
                    <w:rPr>
                      <w:rFonts w:cs="Times New Roman"/>
                      <w:bCs/>
                      <w:iCs/>
                      <w:sz w:val="18"/>
                      <w:szCs w:val="18"/>
                    </w:rPr>
                    <w:t>2</w:t>
                  </w:r>
                  <w:r w:rsidRPr="00024F70">
                    <w:rPr>
                      <w:rFonts w:cs="Times New Roman"/>
                      <w:bCs/>
                      <w:iCs/>
                      <w:sz w:val="18"/>
                      <w:szCs w:val="18"/>
                    </w:rPr>
                    <w:t xml:space="preserve"> minutes per response, including the time for reviewing instructions, searching existing data sources, </w:t>
                  </w:r>
                  <w:r w:rsidRPr="00024F70">
                    <w:rPr>
                      <w:rFonts w:cs="Times New Roman"/>
                      <w:bCs/>
                      <w:iCs/>
                      <w:sz w:val="18"/>
                      <w:szCs w:val="18"/>
                    </w:rPr>
                    <w:t>gathering</w:t>
                  </w:r>
                  <w:r w:rsidRPr="00024F70">
                    <w:rPr>
                      <w:rFonts w:cs="Times New Roman"/>
                      <w:bCs/>
                      <w:iCs/>
                      <w:sz w:val="18"/>
                      <w:szCs w:val="18"/>
                    </w:rPr>
            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            </w:r>
                  <w:r>
                    <w:rPr>
                      <w:rFonts w:cs="Times New Roman"/>
                      <w:bCs/>
                      <w:iCs/>
                      <w:sz w:val="18"/>
                      <w:szCs w:val="18"/>
                    </w:rPr>
                    <w:t>1355)</w:t>
                  </w:r>
                </w:p>
              </w:tc>
            </w:tr>
            <w:tr w14:paraId="1C73874E" w14:textId="77777777" w:rsidTr="005430F6">
              <w:tblPrEx>
                <w:tblW w:w="9168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1305B" w:rsidP="005430F6" w14:paraId="7358459D" w14:textId="77777777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14:paraId="70588259" w14:textId="77777777" w:rsidTr="005430F6">
              <w:tblPrEx>
                <w:tblW w:w="9168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31305B" w:rsidP="005430F6" w14:paraId="171A8B23" w14:textId="7777777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7B13A0C4" w14:textId="77777777" w:rsidTr="007C3A04">
              <w:tblPrEx>
                <w:tblW w:w="9168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963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:rsidR="0031305B" w:rsidP="005430F6" w14:paraId="7970E524" w14:textId="77777777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14:paraId="33072749" w14:textId="77777777" w:rsidTr="007C3A04">
              <w:tblPrEx>
                <w:tblW w:w="9168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shd w:val="clear" w:color="auto" w:fill="FFFFFF" w:themeFill="background1"/>
                  <w:tcMar>
                    <w:top w:w="225" w:type="dxa"/>
                    <w:left w:w="300" w:type="dxa"/>
                    <w:bottom w:w="225" w:type="dxa"/>
                    <w:right w:w="300" w:type="dxa"/>
                  </w:tcMar>
                  <w:vAlign w:val="center"/>
                </w:tcPr>
                <w:p w:rsidR="0031305B" w:rsidP="005430F6" w14:paraId="351CF59C" w14:textId="7777777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14:paraId="685DC78C" w14:textId="77777777" w:rsidTr="005430F6">
              <w:tblPrEx>
                <w:tblW w:w="9168" w:type="dxa"/>
                <w:jc w:val="center"/>
                <w:shd w:val="clear" w:color="auto" w:fill="FFFFFF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31305B" w:rsidP="005430F6" w14:paraId="347ADC2F" w14:textId="77777777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31305B" w:rsidP="005430F6" w14:paraId="70BD22D8" w14:textId="77777777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:rsidR="0031305B" w:rsidP="007C3A04" w14:paraId="504AB7D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5B"/>
    <w:rsid w:val="00024F70"/>
    <w:rsid w:val="001B2710"/>
    <w:rsid w:val="0031305B"/>
    <w:rsid w:val="005430F6"/>
    <w:rsid w:val="007C3A04"/>
    <w:rsid w:val="008F7BE0"/>
    <w:rsid w:val="00924D61"/>
    <w:rsid w:val="00E03683"/>
    <w:rsid w:val="2EB15FC3"/>
    <w:rsid w:val="744464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CFF0D5"/>
  <w15:chartTrackingRefBased/>
  <w15:docId w15:val="{FDB46557-B931-4FC9-A52B-AC614AE4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05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Jennings</dc:creator>
  <cp:lastModifiedBy>Angel, Karen C. (CDC/NCIPC/OD)</cp:lastModifiedBy>
  <cp:revision>2</cp:revision>
  <dcterms:created xsi:type="dcterms:W3CDTF">2024-03-07T19:23:00Z</dcterms:created>
  <dcterms:modified xsi:type="dcterms:W3CDTF">2024-03-13T16:36:00Z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119575ae-b38a-486c-8d4a-c0e39fa9468b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2024-03-07T19:25:46Z</vt:lpwstr>
  </property>
  <property fmtid="{D5CDD505-2E9C-101B-9397-08002B2CF9AE}" pid="8" name="MSIP_Label_7b94a7b8-f06c-4dfe-bdcc-9b548fd58c31_SiteId">
    <vt:lpwstr>9ce70869-60db-44fd-abe8-d2767077fc8f</vt:lpwstr>
  </property>
</Properties>
</file>