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072B" w:rsidRPr="00461295" w:rsidP="0078072B" w14:paraId="327A9602" w14:textId="77777777"/>
    <w:p w:rsidR="0078072B" w:rsidRPr="00461295" w:rsidP="0078072B" w14:paraId="23D99BA7" w14:textId="77777777"/>
    <w:p w:rsidR="0078072B" w:rsidRPr="00461295" w:rsidP="0078072B" w14:paraId="6E350FBC" w14:textId="77777777"/>
    <w:p w:rsidR="0078072B" w:rsidRPr="00E10389" w:rsidP="0078072B" w14:paraId="04A996BD" w14:textId="77777777">
      <w:pPr>
        <w:jc w:val="center"/>
        <w:rPr>
          <w:highlight w:val="yellow"/>
          <w:lang w:val="en-CA"/>
        </w:rPr>
      </w:pPr>
      <w:r w:rsidRPr="00E10389">
        <w:rPr>
          <w:noProof/>
          <w:highlight w:val="yellow"/>
        </w:rPr>
        <mc:AlternateContent>
          <mc:Choice Requires="wps">
            <w:drawing>
              <wp:anchor distT="0" distB="0" distL="114300" distR="114300" simplePos="0" relativeHeight="251658240" behindDoc="0" locked="0" layoutInCell="1" allowOverlap="1">
                <wp:simplePos x="0" y="0"/>
                <wp:positionH relativeFrom="margin">
                  <wp:posOffset>38100</wp:posOffset>
                </wp:positionH>
                <wp:positionV relativeFrom="paragraph">
                  <wp:posOffset>111760</wp:posOffset>
                </wp:positionV>
                <wp:extent cx="5943600" cy="0"/>
                <wp:effectExtent l="38100" t="33020" r="38100" b="33655"/>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60960" cmpd="dbl">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59264" from="3pt,8.8pt" to="471pt,8.8pt" strokecolor="#020000" strokeweight="4.8pt">
                <v:stroke linestyle="thinThin"/>
                <w10:wrap anchorx="margin"/>
              </v:line>
            </w:pict>
          </mc:Fallback>
        </mc:AlternateContent>
      </w:r>
    </w:p>
    <w:p w:rsidR="0078072B" w:rsidRPr="00207A07" w:rsidP="0078072B" w14:paraId="79087273" w14:textId="64BA4E18">
      <w:pPr>
        <w:jc w:val="center"/>
        <w:rPr>
          <w:b/>
          <w:sz w:val="36"/>
          <w:szCs w:val="36"/>
        </w:rPr>
      </w:pPr>
      <w:r w:rsidRPr="00207A07">
        <w:rPr>
          <w:b/>
          <w:sz w:val="36"/>
          <w:szCs w:val="36"/>
        </w:rPr>
        <w:t xml:space="preserve">Regulatory Analysis for the </w:t>
      </w:r>
      <w:r w:rsidR="00A7094E">
        <w:rPr>
          <w:b/>
          <w:sz w:val="36"/>
          <w:szCs w:val="36"/>
        </w:rPr>
        <w:t>Final</w:t>
      </w:r>
      <w:r w:rsidRPr="00207A07" w:rsidR="00A7094E">
        <w:rPr>
          <w:b/>
          <w:sz w:val="36"/>
          <w:szCs w:val="36"/>
        </w:rPr>
        <w:t xml:space="preserve"> </w:t>
      </w:r>
      <w:r w:rsidRPr="00207A07">
        <w:rPr>
          <w:b/>
          <w:sz w:val="36"/>
          <w:szCs w:val="36"/>
        </w:rPr>
        <w:t>Rule:</w:t>
      </w:r>
    </w:p>
    <w:p w:rsidR="0078072B" w:rsidRPr="00207A07" w:rsidP="0078072B" w14:paraId="541BA2E8" w14:textId="77777777">
      <w:pPr>
        <w:jc w:val="center"/>
        <w:rPr>
          <w:b/>
          <w:sz w:val="36"/>
          <w:szCs w:val="36"/>
        </w:rPr>
      </w:pPr>
      <w:r w:rsidRPr="00207A07">
        <w:rPr>
          <w:b/>
          <w:sz w:val="36"/>
          <w:szCs w:val="36"/>
        </w:rPr>
        <w:t>10 CFR Part 51, Renewing Nuclear Power Plant Operating Licenses</w:t>
      </w:r>
      <w:r>
        <w:rPr>
          <w:b/>
          <w:sz w:val="36"/>
          <w:szCs w:val="36"/>
        </w:rPr>
        <w:t>—</w:t>
      </w:r>
      <w:r w:rsidRPr="00207A07">
        <w:rPr>
          <w:b/>
          <w:sz w:val="36"/>
          <w:szCs w:val="36"/>
        </w:rPr>
        <w:t>Environmental Review</w:t>
      </w:r>
    </w:p>
    <w:p w:rsidR="0078072B" w:rsidRPr="00207A07" w:rsidP="0078072B" w14:paraId="4345854F" w14:textId="77777777">
      <w:pPr>
        <w:jc w:val="center"/>
        <w:rPr>
          <w:bCs/>
          <w:sz w:val="28"/>
          <w:szCs w:val="28"/>
        </w:rPr>
      </w:pPr>
    </w:p>
    <w:p w:rsidR="0078072B" w:rsidRPr="00207A07" w:rsidP="0078072B" w14:paraId="5D17F82C" w14:textId="77777777">
      <w:pPr>
        <w:jc w:val="center"/>
        <w:rPr>
          <w:bCs/>
          <w:sz w:val="24"/>
          <w:szCs w:val="24"/>
        </w:rPr>
      </w:pPr>
      <w:r w:rsidRPr="00207A07">
        <w:rPr>
          <w:bCs/>
          <w:sz w:val="24"/>
          <w:szCs w:val="24"/>
        </w:rPr>
        <w:t>NRC-20</w:t>
      </w:r>
      <w:r>
        <w:rPr>
          <w:bCs/>
          <w:sz w:val="24"/>
          <w:szCs w:val="24"/>
        </w:rPr>
        <w:t>18-0296</w:t>
      </w:r>
      <w:r w:rsidRPr="00A4024B">
        <w:rPr>
          <w:bCs/>
          <w:sz w:val="24"/>
          <w:szCs w:val="24"/>
        </w:rPr>
        <w:t>; RIN 3150-AK32</w:t>
      </w:r>
    </w:p>
    <w:p w:rsidR="0078072B" w:rsidRPr="00E10389" w:rsidP="0078072B" w14:paraId="7B988CF8" w14:textId="77777777">
      <w:pPr>
        <w:jc w:val="center"/>
        <w:rPr>
          <w:highlight w:val="yellow"/>
          <w:lang w:val="en-CA"/>
        </w:rPr>
      </w:pPr>
      <w:r w:rsidRPr="00E10389">
        <w:rPr>
          <w:noProof/>
          <w:highlight w:val="yellow"/>
        </w:rPr>
        <mc:AlternateContent>
          <mc:Choice Requires="wps">
            <w:drawing>
              <wp:anchor distT="0" distB="0" distL="114300" distR="114300" simplePos="0" relativeHeight="251660288" behindDoc="0" locked="0" layoutInCell="1" allowOverlap="1">
                <wp:simplePos x="0" y="0"/>
                <wp:positionH relativeFrom="margin">
                  <wp:posOffset>38100</wp:posOffset>
                </wp:positionH>
                <wp:positionV relativeFrom="paragraph">
                  <wp:posOffset>111760</wp:posOffset>
                </wp:positionV>
                <wp:extent cx="5943600" cy="0"/>
                <wp:effectExtent l="38100" t="33020" r="38100" b="33655"/>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60960" cmpd="dbl">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mso-height-percent:0;mso-height-relative:page;mso-position-horizontal-relative:margin;mso-width-percent:0;mso-width-relative:page;mso-wrap-distance-bottom:0;mso-wrap-distance-left:9pt;mso-wrap-distance-right:9pt;mso-wrap-distance-top:0;mso-wrap-style:square;position:absolute;visibility:visible;z-index:251661312" from="3pt,8.8pt" to="471pt,8.8pt" strokecolor="#020000" strokeweight="4.8pt">
                <v:stroke linestyle="thinThin"/>
                <w10:wrap anchorx="margin"/>
              </v:line>
            </w:pict>
          </mc:Fallback>
        </mc:AlternateContent>
      </w:r>
    </w:p>
    <w:p w:rsidR="0078072B" w:rsidRPr="00E10389" w:rsidP="0078072B" w14:paraId="2664EFE5" w14:textId="77777777">
      <w:pPr>
        <w:rPr>
          <w:highlight w:val="yellow"/>
        </w:rPr>
      </w:pPr>
    </w:p>
    <w:p w:rsidR="0078072B" w:rsidRPr="00E10389" w:rsidP="0078072B" w14:paraId="0953E9F4" w14:textId="77777777">
      <w:pPr>
        <w:rPr>
          <w:highlight w:val="yellow"/>
        </w:rPr>
      </w:pPr>
    </w:p>
    <w:p w:rsidR="0078072B" w:rsidRPr="00E10389" w:rsidP="0078072B" w14:paraId="7342ED3C" w14:textId="77777777">
      <w:pPr>
        <w:rPr>
          <w:highlight w:val="yellow"/>
        </w:rPr>
      </w:pPr>
    </w:p>
    <w:p w:rsidR="0078072B" w:rsidRPr="00E10389" w:rsidP="0078072B" w14:paraId="69940E75" w14:textId="77777777">
      <w:pPr>
        <w:autoSpaceDE/>
        <w:autoSpaceDN/>
        <w:adjustRightInd/>
        <w:rPr>
          <w:rFonts w:eastAsia="Calibri"/>
          <w:b/>
          <w:color w:val="auto"/>
          <w:sz w:val="32"/>
          <w:szCs w:val="32"/>
          <w:highlight w:val="yellow"/>
        </w:rPr>
      </w:pPr>
      <w:r w:rsidRPr="009F1C3D">
        <w:rPr>
          <w:rFonts w:eastAsia="Calibri"/>
          <w:b/>
          <w:color w:val="auto"/>
          <w:sz w:val="32"/>
          <w:szCs w:val="32"/>
        </w:rPr>
        <w:t>U.S. Nuclear Regulatory Commission</w:t>
      </w:r>
    </w:p>
    <w:p w:rsidR="0078072B" w:rsidRPr="009B5F34" w:rsidP="0078072B" w14:paraId="6FFB7B7D" w14:textId="77777777">
      <w:pPr>
        <w:rPr>
          <w:color w:val="auto"/>
          <w:sz w:val="28"/>
          <w:szCs w:val="20"/>
        </w:rPr>
      </w:pPr>
      <w:r w:rsidRPr="009B5F34">
        <w:rPr>
          <w:sz w:val="28"/>
          <w:szCs w:val="20"/>
        </w:rPr>
        <w:t>Office of Nuclear Material Safety and Safeguards</w:t>
      </w:r>
    </w:p>
    <w:p w:rsidR="0078072B" w:rsidP="0078072B" w14:paraId="1DBD5436" w14:textId="77777777">
      <w:pPr>
        <w:rPr>
          <w:sz w:val="28"/>
          <w:szCs w:val="28"/>
        </w:rPr>
      </w:pPr>
    </w:p>
    <w:p w:rsidR="0078072B" w:rsidRPr="00E10389" w:rsidP="0078072B" w14:paraId="03546161" w14:textId="77777777">
      <w:pPr>
        <w:rPr>
          <w:sz w:val="20"/>
          <w:szCs w:val="20"/>
          <w:highlight w:val="yellow"/>
        </w:rPr>
      </w:pPr>
    </w:p>
    <w:p w:rsidR="0078072B" w:rsidRPr="00E10389" w:rsidP="0078072B" w14:paraId="57287DD6" w14:textId="77777777">
      <w:pPr>
        <w:rPr>
          <w:sz w:val="20"/>
          <w:szCs w:val="20"/>
          <w:highlight w:val="yellow"/>
        </w:rPr>
      </w:pPr>
    </w:p>
    <w:p w:rsidR="0078072B" w:rsidRPr="00FF4ED0" w:rsidP="0078072B" w14:paraId="47704C0B" w14:textId="71942026">
      <w:pPr>
        <w:rPr>
          <w:sz w:val="24"/>
          <w:szCs w:val="24"/>
        </w:rPr>
      </w:pPr>
      <w:r w:rsidRPr="00877FF1">
        <w:rPr>
          <w:b/>
          <w:sz w:val="24"/>
          <w:szCs w:val="24"/>
          <w:highlight w:val="yellow"/>
        </w:rPr>
        <w:t>Month Year</w:t>
      </w:r>
    </w:p>
    <w:p w:rsidR="0078072B" w:rsidRPr="00E10389" w:rsidP="0078072B" w14:paraId="3A220F8C" w14:textId="77777777">
      <w:pPr>
        <w:rPr>
          <w:sz w:val="20"/>
          <w:szCs w:val="20"/>
          <w:highlight w:val="yellow"/>
        </w:rPr>
      </w:pPr>
    </w:p>
    <w:p w:rsidR="0078072B" w:rsidRPr="00E10389" w:rsidP="0078072B" w14:paraId="47BB47A0" w14:textId="77777777">
      <w:pPr>
        <w:rPr>
          <w:sz w:val="20"/>
          <w:szCs w:val="20"/>
          <w:highlight w:val="yellow"/>
        </w:rPr>
      </w:pPr>
    </w:p>
    <w:p w:rsidR="0078072B" w:rsidRPr="00E10389" w:rsidP="0078072B" w14:paraId="76B78FD3" w14:textId="77777777">
      <w:pPr>
        <w:rPr>
          <w:sz w:val="20"/>
          <w:szCs w:val="20"/>
          <w:highlight w:val="yellow"/>
        </w:rPr>
      </w:pPr>
    </w:p>
    <w:p w:rsidR="0078072B" w:rsidRPr="00E10389" w:rsidP="0078072B" w14:paraId="7B159586" w14:textId="77777777">
      <w:pPr>
        <w:rPr>
          <w:sz w:val="20"/>
          <w:szCs w:val="20"/>
          <w:highlight w:val="yellow"/>
        </w:rPr>
      </w:pPr>
    </w:p>
    <w:p w:rsidR="0078072B" w:rsidRPr="00E10389" w:rsidP="0078072B" w14:paraId="061629E6" w14:textId="77777777">
      <w:pPr>
        <w:rPr>
          <w:sz w:val="20"/>
          <w:szCs w:val="20"/>
          <w:highlight w:val="yellow"/>
        </w:rPr>
      </w:pPr>
    </w:p>
    <w:p w:rsidR="0078072B" w:rsidRPr="00E10389" w:rsidP="0078072B" w14:paraId="1B52058B" w14:textId="77777777">
      <w:pPr>
        <w:rPr>
          <w:sz w:val="20"/>
          <w:szCs w:val="20"/>
          <w:highlight w:val="yellow"/>
        </w:rPr>
      </w:pPr>
    </w:p>
    <w:p w:rsidR="0078072B" w:rsidRPr="00E10389" w:rsidP="0078072B" w14:paraId="34AB66AF" w14:textId="77777777">
      <w:pPr>
        <w:rPr>
          <w:sz w:val="20"/>
          <w:szCs w:val="20"/>
          <w:highlight w:val="yellow"/>
        </w:rPr>
      </w:pPr>
    </w:p>
    <w:p w:rsidR="0078072B" w:rsidRPr="00E10389" w:rsidP="0078072B" w14:paraId="2E8F2277" w14:textId="77777777">
      <w:pPr>
        <w:rPr>
          <w:sz w:val="20"/>
          <w:szCs w:val="20"/>
          <w:highlight w:val="yellow"/>
        </w:rPr>
      </w:pPr>
    </w:p>
    <w:p w:rsidR="0078072B" w:rsidRPr="00E10389" w:rsidP="0078072B" w14:paraId="4429EF5F" w14:textId="77777777">
      <w:pPr>
        <w:rPr>
          <w:sz w:val="20"/>
          <w:szCs w:val="20"/>
          <w:highlight w:val="yellow"/>
        </w:rPr>
      </w:pPr>
    </w:p>
    <w:p w:rsidR="0078072B" w:rsidRPr="00E10389" w:rsidP="0078072B" w14:paraId="17D0D593" w14:textId="77777777">
      <w:pPr>
        <w:rPr>
          <w:sz w:val="20"/>
          <w:szCs w:val="20"/>
          <w:highlight w:val="yellow"/>
        </w:rPr>
      </w:pPr>
    </w:p>
    <w:p w:rsidR="0078072B" w:rsidRPr="00E10389" w:rsidP="0078072B" w14:paraId="419E1582" w14:textId="77777777">
      <w:pPr>
        <w:rPr>
          <w:sz w:val="20"/>
          <w:szCs w:val="20"/>
          <w:highlight w:val="yellow"/>
        </w:rPr>
      </w:pPr>
      <w:r w:rsidRPr="00E10389">
        <w:rPr>
          <w:noProof/>
          <w:highlight w:val="yellow"/>
        </w:rPr>
        <w:drawing>
          <wp:inline distT="0" distB="0" distL="0" distR="0">
            <wp:extent cx="1341120" cy="1341120"/>
            <wp:effectExtent l="0" t="0" r="0" b="0"/>
            <wp:docPr id="9" name="Picture 9" descr="NRC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341120" cy="1341120"/>
                    </a:xfrm>
                    <a:prstGeom prst="rect">
                      <a:avLst/>
                    </a:prstGeom>
                  </pic:spPr>
                </pic:pic>
              </a:graphicData>
            </a:graphic>
          </wp:inline>
        </w:drawing>
      </w:r>
    </w:p>
    <w:p w:rsidR="0078072B" w:rsidRPr="00E10389" w:rsidP="0078072B" w14:paraId="68AC0367" w14:textId="77777777">
      <w:pPr>
        <w:rPr>
          <w:sz w:val="20"/>
          <w:szCs w:val="20"/>
          <w:highlight w:val="yellow"/>
        </w:rPr>
      </w:pPr>
    </w:p>
    <w:p w:rsidR="0078072B" w:rsidP="0078072B" w14:paraId="2A0B64D4" w14:textId="77777777">
      <w:pPr>
        <w:rPr>
          <w:highlight w:val="yellow"/>
        </w:rPr>
      </w:pPr>
    </w:p>
    <w:p w:rsidR="0078072B" w:rsidRPr="007E5B63" w:rsidP="00FF08B0" w14:paraId="1227EDC3" w14:textId="3C7EF3F7">
      <w:pPr>
        <w:jc w:val="right"/>
      </w:pPr>
      <w:r w:rsidRPr="007E5B63">
        <w:t>ML23205A029</w:t>
      </w:r>
    </w:p>
    <w:p w:rsidR="0078072B" w:rsidRPr="00E10389" w:rsidP="0078072B" w14:paraId="20D91607" w14:textId="77777777">
      <w:pPr>
        <w:rPr>
          <w:highlight w:val="yellow"/>
        </w:rPr>
      </w:pPr>
    </w:p>
    <w:p w:rsidR="0078072B" w:rsidP="0078072B" w14:paraId="432EC942" w14:textId="77777777">
      <w:pPr>
        <w:pStyle w:val="headinglineafter"/>
        <w:spacing w:line="276" w:lineRule="auto"/>
        <w:jc w:val="center"/>
        <w:rPr>
          <w:b/>
          <w:bCs/>
          <w:sz w:val="28"/>
          <w:szCs w:val="28"/>
        </w:rPr>
        <w:sectPr w:rsidSect="00AA7975">
          <w:footerReference w:type="even" r:id="rId7"/>
          <w:footerReference w:type="default" r:id="rId8"/>
          <w:type w:val="evenPage"/>
          <w:pgSz w:w="12240" w:h="15840"/>
          <w:pgMar w:top="1440" w:right="1440" w:bottom="1440" w:left="1440" w:header="720" w:footer="720" w:gutter="0"/>
          <w:pgNumType w:fmt="lowerRoman" w:start="6"/>
          <w:cols w:space="720"/>
          <w:docGrid w:linePitch="360"/>
        </w:sectPr>
      </w:pPr>
    </w:p>
    <w:p w:rsidR="0078072B" w:rsidRPr="00241CEA" w:rsidP="0078072B" w14:paraId="74EBC416" w14:textId="77777777">
      <w:pPr>
        <w:pStyle w:val="Heading1"/>
        <w:jc w:val="center"/>
        <w:rPr>
          <w:sz w:val="28"/>
        </w:rPr>
      </w:pPr>
      <w:bookmarkStart w:id="0" w:name="_Toc147922957"/>
      <w:r w:rsidRPr="00241CEA">
        <w:rPr>
          <w:sz w:val="28"/>
        </w:rPr>
        <w:t>ABSTRACT</w:t>
      </w:r>
      <w:bookmarkEnd w:id="0"/>
    </w:p>
    <w:p w:rsidR="0078072B" w:rsidP="0078072B" w14:paraId="13CE7B67" w14:textId="77777777"/>
    <w:p w:rsidR="0078072B" w:rsidP="0078072B" w14:paraId="7360D82F" w14:textId="03138CF2">
      <w:pPr>
        <w:pStyle w:val="BodyText"/>
      </w:pPr>
      <w:r>
        <w:rPr>
          <w:rStyle w:val="normaltextrun"/>
          <w:rFonts w:eastAsiaTheme="majorEastAsia"/>
        </w:rPr>
        <w:t xml:space="preserve">The </w:t>
      </w:r>
      <w:r w:rsidR="00A708F2">
        <w:rPr>
          <w:rStyle w:val="normaltextrun"/>
          <w:rFonts w:eastAsiaTheme="majorEastAsia"/>
        </w:rPr>
        <w:t>U.S. Nuclear Regulatory Commission (</w:t>
      </w:r>
      <w:r w:rsidR="0073745C">
        <w:rPr>
          <w:rStyle w:val="normaltextrun"/>
          <w:rFonts w:eastAsiaTheme="majorEastAsia"/>
        </w:rPr>
        <w:t>NRC</w:t>
      </w:r>
      <w:r w:rsidR="00A708F2">
        <w:rPr>
          <w:rStyle w:val="normaltextrun"/>
          <w:rFonts w:eastAsiaTheme="majorEastAsia"/>
        </w:rPr>
        <w:t>)</w:t>
      </w:r>
      <w:r w:rsidR="0073745C">
        <w:rPr>
          <w:rStyle w:val="normaltextrun"/>
          <w:rFonts w:eastAsiaTheme="majorEastAsia"/>
        </w:rPr>
        <w:t xml:space="preserve"> </w:t>
      </w:r>
      <w:r>
        <w:rPr>
          <w:rStyle w:val="normaltextrun"/>
          <w:rFonts w:eastAsiaTheme="majorEastAsia"/>
        </w:rPr>
        <w:t>is</w:t>
      </w:r>
      <w:r w:rsidRPr="00F667F7">
        <w:t xml:space="preserve"> amend</w:t>
      </w:r>
      <w:r w:rsidR="000B397B">
        <w:t>ing</w:t>
      </w:r>
      <w:r w:rsidRPr="00D47D87">
        <w:t xml:space="preserve"> Part</w:t>
      </w:r>
      <w:r w:rsidR="007E6FA4">
        <w:t> </w:t>
      </w:r>
      <w:r w:rsidRPr="00D47D87">
        <w:t>51 of Title</w:t>
      </w:r>
      <w:r>
        <w:t> </w:t>
      </w:r>
      <w:r w:rsidRPr="00D47D87">
        <w:t xml:space="preserve">10 of the </w:t>
      </w:r>
      <w:r w:rsidRPr="00D47D87">
        <w:rPr>
          <w:i/>
          <w:iCs/>
        </w:rPr>
        <w:t>Code of Federal Regulations</w:t>
      </w:r>
      <w:r w:rsidRPr="00D47D87">
        <w:t xml:space="preserve"> (10</w:t>
      </w:r>
      <w:r>
        <w:t> </w:t>
      </w:r>
      <w:r w:rsidRPr="00D47D87">
        <w:t>CFR</w:t>
      </w:r>
      <w:r w:rsidR="00E247C9">
        <w:t>)</w:t>
      </w:r>
      <w:r w:rsidR="008C2EA3">
        <w:t> </w:t>
      </w:r>
      <w:r w:rsidRPr="00D47D87">
        <w:t xml:space="preserve">“Environmental Protection Regulations for Domestic Licensing and Related Regulatory Functions.” </w:t>
      </w:r>
      <w:r w:rsidR="0096153E">
        <w:t xml:space="preserve">This regulatory analysis evaluates the costs and benefits of the rule and implementing guidance relative to the baseline case, the “no action” alternative. </w:t>
      </w:r>
      <w:r w:rsidRPr="00D47D87">
        <w:t xml:space="preserve">The amendments include updates to </w:t>
      </w:r>
      <w:r w:rsidRPr="00F667F7">
        <w:t>Table B</w:t>
      </w:r>
      <w:r>
        <w:noBreakHyphen/>
      </w:r>
      <w:r w:rsidRPr="00F667F7">
        <w:t>1, “Summary of Findings on NEPA [National Environmental Policy Act] Issues for License Renewal of Nuclear Power Plants,” in Appendix B</w:t>
      </w:r>
      <w:r>
        <w:t>,</w:t>
      </w:r>
      <w:r w:rsidRPr="00F667F7">
        <w:t xml:space="preserve"> “Environmental Effect of Renewing the Operating License of a Nuclear Power Plant,” to </w:t>
      </w:r>
      <w:r w:rsidR="00DB592B">
        <w:t xml:space="preserve">Part 51 </w:t>
      </w:r>
      <w:r w:rsidR="00EE30AF">
        <w:t>of</w:t>
      </w:r>
      <w:r w:rsidR="2AFFA17E">
        <w:t xml:space="preserve"> </w:t>
      </w:r>
      <w:r>
        <w:t>Subpart A, “National Environmental Policy Act—Regulations Implementing Section 102(2)</w:t>
      </w:r>
      <w:r w:rsidR="007E6FA4">
        <w:t>,</w:t>
      </w:r>
      <w:r>
        <w:t xml:space="preserve">” </w:t>
      </w:r>
      <w:r w:rsidRPr="007010B1">
        <w:t xml:space="preserve">to align with </w:t>
      </w:r>
      <w:r w:rsidR="007E136A">
        <w:t xml:space="preserve">recent </w:t>
      </w:r>
      <w:r w:rsidRPr="007010B1">
        <w:t xml:space="preserve">Commission </w:t>
      </w:r>
      <w:r>
        <w:t xml:space="preserve">decisions </w:t>
      </w:r>
      <w:r w:rsidRPr="00591F55">
        <w:t>regarding the NEPA analysis of subsequent license renewal (SLR) applications. NUREG</w:t>
      </w:r>
      <w:r w:rsidRPr="00591F55">
        <w:noBreakHyphen/>
        <w:t>1437, Revision</w:t>
      </w:r>
      <w:r>
        <w:t> </w:t>
      </w:r>
      <w:r w:rsidRPr="00591F55">
        <w:t xml:space="preserve">1, “Generic Environmental Impact Statement for License Renewal of Nuclear Plants” </w:t>
      </w:r>
      <w:r>
        <w:t>(</w:t>
      </w:r>
      <w:r w:rsidRPr="00591F55">
        <w:t>2013</w:t>
      </w:r>
      <w:r w:rsidR="007E6FA4">
        <w:t> </w:t>
      </w:r>
      <w:r w:rsidRPr="00591F55">
        <w:t>LR GEIS</w:t>
      </w:r>
      <w:r>
        <w:t>)</w:t>
      </w:r>
      <w:r w:rsidRPr="00611636" w:rsidR="00611636">
        <w:t xml:space="preserve"> </w:t>
      </w:r>
      <w:r w:rsidRPr="00591F55" w:rsidR="00611636">
        <w:t>(NRC, 2013a</w:t>
      </w:r>
      <w:r w:rsidR="00DE5182">
        <w:t>)</w:t>
      </w:r>
      <w:r w:rsidRPr="00591F55">
        <w:t>, provides the technical and regulatory bases for Table B</w:t>
      </w:r>
      <w:r w:rsidRPr="00591F55">
        <w:noBreakHyphen/>
        <w:t xml:space="preserve">1. </w:t>
      </w:r>
      <w:r w:rsidRPr="00591F55">
        <w:rPr>
          <w:color w:val="auto"/>
        </w:rPr>
        <w:t xml:space="preserve">The </w:t>
      </w:r>
      <w:r w:rsidR="00877FF1">
        <w:rPr>
          <w:color w:val="auto"/>
        </w:rPr>
        <w:t xml:space="preserve">final </w:t>
      </w:r>
      <w:r w:rsidRPr="00591F55">
        <w:rPr>
          <w:color w:val="auto"/>
        </w:rPr>
        <w:t>rule update</w:t>
      </w:r>
      <w:r w:rsidR="0085780B">
        <w:rPr>
          <w:color w:val="auto"/>
        </w:rPr>
        <w:t>s</w:t>
      </w:r>
      <w:r w:rsidRPr="00591F55">
        <w:rPr>
          <w:color w:val="auto"/>
        </w:rPr>
        <w:t xml:space="preserve"> the 2013 LR GEIS, Table B</w:t>
      </w:r>
      <w:r w:rsidRPr="00591F55">
        <w:rPr>
          <w:color w:val="auto"/>
        </w:rPr>
        <w:noBreakHyphen/>
        <w:t>1, and associated guidance to clearly address the environmental impacts of nuclear power plant SLR; r</w:t>
      </w:r>
      <w:r w:rsidRPr="00591F55">
        <w:t>emove the word “initial” from 10 CFR 51.53(c)(3); and make conforming changes to 10 CFR 51.53(c)(3)(ii) and 10 CFR 51.95(c).</w:t>
      </w:r>
    </w:p>
    <w:p w:rsidR="00F73D2B" w:rsidP="0078072B" w14:paraId="7F6304F9" w14:textId="77777777">
      <w:pPr>
        <w:pStyle w:val="BodyText"/>
        <w:sectPr w:rsidSect="00AA7975">
          <w:footerReference w:type="even" r:id="rId9"/>
          <w:footerReference w:type="default" r:id="rId10"/>
          <w:type w:val="oddPage"/>
          <w:pgSz w:w="12240" w:h="15840"/>
          <w:pgMar w:top="1440" w:right="1440" w:bottom="1440" w:left="1440" w:header="720" w:footer="720" w:gutter="0"/>
          <w:pgNumType w:fmt="lowerRoman" w:start="1"/>
          <w:cols w:space="720"/>
          <w:docGrid w:linePitch="360"/>
        </w:sectPr>
      </w:pPr>
    </w:p>
    <w:p w:rsidR="0078072B" w:rsidRPr="00241CEA" w:rsidP="0078072B" w14:paraId="77464C6E" w14:textId="77777777">
      <w:pPr>
        <w:pStyle w:val="Heading1"/>
        <w:jc w:val="center"/>
        <w:rPr>
          <w:sz w:val="28"/>
        </w:rPr>
      </w:pPr>
      <w:bookmarkStart w:id="1" w:name="_Toc147922958"/>
      <w:r w:rsidRPr="00241CEA">
        <w:rPr>
          <w:sz w:val="28"/>
        </w:rPr>
        <w:t>EXECUTIVE SUMMARY</w:t>
      </w:r>
      <w:bookmarkEnd w:id="1"/>
    </w:p>
    <w:p w:rsidR="0078072B" w:rsidRPr="00E10389" w:rsidP="0078072B" w14:paraId="5EEF068E" w14:textId="77777777">
      <w:pPr>
        <w:rPr>
          <w:highlight w:val="yellow"/>
        </w:rPr>
      </w:pPr>
    </w:p>
    <w:p w:rsidR="0078072B" w:rsidRPr="00B53441" w:rsidP="0078072B" w14:paraId="12DB5353" w14:textId="7DD0C672">
      <w:pPr>
        <w:rPr>
          <w:color w:val="auto"/>
        </w:rPr>
      </w:pPr>
      <w:r w:rsidRPr="00B53441">
        <w:t xml:space="preserve">The </w:t>
      </w:r>
      <w:r>
        <w:t>U.S. </w:t>
      </w:r>
      <w:r w:rsidRPr="00B53441">
        <w:t>Nuclear Regulatory Commission (NRC) is amend</w:t>
      </w:r>
      <w:r w:rsidR="00C7469E">
        <w:t>ing</w:t>
      </w:r>
      <w:r w:rsidRPr="00B53441">
        <w:t xml:space="preserve"> </w:t>
      </w:r>
      <w:r>
        <w:t xml:space="preserve">Part 51 of </w:t>
      </w:r>
      <w:r w:rsidRPr="00B53441">
        <w:t xml:space="preserve">Title 10 of the </w:t>
      </w:r>
      <w:r w:rsidRPr="00B53441">
        <w:rPr>
          <w:i/>
          <w:iCs/>
        </w:rPr>
        <w:t>Code of Federal Regulations</w:t>
      </w:r>
      <w:r w:rsidRPr="00B53441">
        <w:t xml:space="preserve"> (10 CFR</w:t>
      </w:r>
      <w:r w:rsidR="009F00D4">
        <w:t>)</w:t>
      </w:r>
      <w:r w:rsidRPr="00B53441">
        <w:t xml:space="preserve"> “Environmental Protection Regulations for Domestic Licensing and Related Regulatory Functions.” Under the NRC’s regulations in 10 CFR Part 51, the renewal of a nuclear power plant operating license requires the preparation of an environmental impact statement (EIS). NUREG</w:t>
      </w:r>
      <w:r w:rsidRPr="00B53441">
        <w:noBreakHyphen/>
        <w:t>1437, Revision 1, “Generic Environmental Impact Statement for License Renewal of Nuclear Plants</w:t>
      </w:r>
      <w:r w:rsidRPr="00A573DA">
        <w:t>”</w:t>
      </w:r>
      <w:r w:rsidRPr="00B53441">
        <w:t xml:space="preserve"> </w:t>
      </w:r>
      <w:r>
        <w:t>(</w:t>
      </w:r>
      <w:r w:rsidRPr="00B53441">
        <w:t>2013 LR GEIS</w:t>
      </w:r>
      <w:r>
        <w:t>)</w:t>
      </w:r>
      <w:r w:rsidR="000A2DAA">
        <w:t xml:space="preserve"> </w:t>
      </w:r>
      <w:r w:rsidRPr="00B53441" w:rsidR="000A2DAA">
        <w:t>(NRC, 2013a)</w:t>
      </w:r>
      <w:r w:rsidRPr="00B53441">
        <w:t>, provides the technical and regulatory bases for the summary of findings on environmental issues in Table B</w:t>
      </w:r>
      <w:r w:rsidRPr="00B53441">
        <w:noBreakHyphen/>
        <w:t xml:space="preserve">1, “Summary of Findings on NEPA [National Environmental Policy Act] Issues for License Renewal of Nuclear Power Plants,” in Appendix B, “Environmental Effect of Renewing the Operating License of a Nuclear Power Plant,” to </w:t>
      </w:r>
      <w:r w:rsidR="00B101B0">
        <w:t xml:space="preserve">Part 51 </w:t>
      </w:r>
      <w:r w:rsidR="00B46B93">
        <w:t xml:space="preserve">of </w:t>
      </w:r>
      <w:r w:rsidRPr="00B53441">
        <w:t>Subpart A, “National Environmental Policy Act—Regulations Implementing Section 102(2</w:t>
      </w:r>
      <w:r w:rsidRPr="00E535E3">
        <w:t>)</w:t>
      </w:r>
      <w:r>
        <w:t>.”</w:t>
      </w:r>
    </w:p>
    <w:p w:rsidR="0078072B" w:rsidRPr="00B53441" w:rsidP="0078072B" w14:paraId="0318538C" w14:textId="77777777">
      <w:pPr>
        <w:rPr>
          <w:color w:val="auto"/>
        </w:rPr>
      </w:pPr>
    </w:p>
    <w:p w:rsidR="0078072B" w:rsidP="0078072B" w14:paraId="5749E4C5" w14:textId="23027C5B">
      <w:pPr>
        <w:rPr>
          <w:color w:val="auto"/>
        </w:rPr>
      </w:pPr>
      <w:r w:rsidRPr="00B53441">
        <w:rPr>
          <w:color w:val="auto"/>
        </w:rPr>
        <w:t>In Commission Order CLI</w:t>
      </w:r>
      <w:r w:rsidRPr="00B53441">
        <w:rPr>
          <w:color w:val="auto"/>
        </w:rPr>
        <w:noBreakHyphen/>
        <w:t>22</w:t>
      </w:r>
      <w:r w:rsidRPr="00B53441">
        <w:rPr>
          <w:color w:val="auto"/>
        </w:rPr>
        <w:noBreakHyphen/>
        <w:t xml:space="preserve">03 (NRC, 2022a) and recent decisions </w:t>
      </w:r>
      <w:r w:rsidR="00B101B0">
        <w:rPr>
          <w:color w:val="auto"/>
        </w:rPr>
        <w:t>related to</w:t>
      </w:r>
      <w:r w:rsidRPr="00B53441">
        <w:rPr>
          <w:color w:val="auto"/>
        </w:rPr>
        <w:t xml:space="preserve"> </w:t>
      </w:r>
      <w:r w:rsidR="00CE0D17">
        <w:rPr>
          <w:color w:val="auto"/>
        </w:rPr>
        <w:t>Turkey Point</w:t>
      </w:r>
      <w:r w:rsidRPr="001408E9" w:rsidR="001408E9">
        <w:rPr>
          <w:color w:val="auto"/>
        </w:rPr>
        <w:t xml:space="preserve"> </w:t>
      </w:r>
      <w:r w:rsidR="001408E9">
        <w:rPr>
          <w:color w:val="auto"/>
        </w:rPr>
        <w:t>Nuclear Generating in</w:t>
      </w:r>
      <w:r w:rsidR="00CE0D17">
        <w:rPr>
          <w:color w:val="auto"/>
        </w:rPr>
        <w:t xml:space="preserve"> </w:t>
      </w:r>
      <w:r w:rsidRPr="00B53441">
        <w:rPr>
          <w:color w:val="auto"/>
        </w:rPr>
        <w:t>CLI</w:t>
      </w:r>
      <w:r w:rsidRPr="00B53441">
        <w:rPr>
          <w:color w:val="auto"/>
        </w:rPr>
        <w:noBreakHyphen/>
        <w:t xml:space="preserve">22-02 (NRC, 2022b) and </w:t>
      </w:r>
      <w:r w:rsidR="00CE0D17">
        <w:rPr>
          <w:color w:val="auto"/>
        </w:rPr>
        <w:t>Peach Bottom</w:t>
      </w:r>
      <w:r w:rsidR="00211297">
        <w:rPr>
          <w:color w:val="auto"/>
        </w:rPr>
        <w:t xml:space="preserve"> Atomic Power Station in</w:t>
      </w:r>
      <w:r w:rsidRPr="00B53441">
        <w:rPr>
          <w:color w:val="auto"/>
        </w:rPr>
        <w:t xml:space="preserve"> CLI-22-04 (NRC, 2022c), the Commission determined that the 2013 LR GEIS and Table B</w:t>
      </w:r>
      <w:r w:rsidRPr="00B53441">
        <w:rPr>
          <w:color w:val="auto"/>
        </w:rPr>
        <w:noBreakHyphen/>
        <w:t xml:space="preserve">1 did not address subsequent license renewal (SLR). The Commission also found that 10 CFR 51.53(c)(3) only applies to applicants for initial </w:t>
      </w:r>
      <w:r w:rsidRPr="00B53441">
        <w:rPr>
          <w:rStyle w:val="normaltextrun"/>
          <w:rFonts w:eastAsiaTheme="majorEastAsia"/>
          <w:color w:val="000000"/>
          <w:shd w:val="clear" w:color="auto" w:fill="FFFFFF"/>
        </w:rPr>
        <w:t>license renewal (initial LR)</w:t>
      </w:r>
      <w:r w:rsidRPr="00B53441">
        <w:rPr>
          <w:color w:val="auto"/>
        </w:rPr>
        <w:t xml:space="preserve">. The </w:t>
      </w:r>
      <w:r w:rsidR="007848AF">
        <w:rPr>
          <w:color w:val="auto"/>
        </w:rPr>
        <w:t>final</w:t>
      </w:r>
      <w:r w:rsidRPr="00B53441">
        <w:rPr>
          <w:color w:val="auto"/>
        </w:rPr>
        <w:t xml:space="preserve"> rule update</w:t>
      </w:r>
      <w:r w:rsidR="000A7471">
        <w:rPr>
          <w:color w:val="auto"/>
        </w:rPr>
        <w:t>s</w:t>
      </w:r>
      <w:r w:rsidRPr="00B53441">
        <w:rPr>
          <w:color w:val="auto"/>
        </w:rPr>
        <w:t xml:space="preserve"> the 2013 LR GEIS, Table B</w:t>
      </w:r>
      <w:r w:rsidRPr="00B53441">
        <w:rPr>
          <w:color w:val="auto"/>
        </w:rPr>
        <w:noBreakHyphen/>
        <w:t>1, and associated guidance to clearly address the environmental impacts of SLR; r</w:t>
      </w:r>
      <w:r w:rsidRPr="00B53441">
        <w:t>emove the word “initial” from 10 CFR 51.53(c)(3); and make conforming changes to 10 CFR 51.53(c)(3)(ii) and 10 CFR 51.95(c).</w:t>
      </w:r>
    </w:p>
    <w:p w:rsidR="0078072B" w:rsidP="0078072B" w14:paraId="48DA3B46" w14:textId="77777777"/>
    <w:p w:rsidR="0078072B" w:rsidRPr="00DA571C" w:rsidP="0078072B" w14:paraId="7720D7E0" w14:textId="316984B4">
      <w:r w:rsidRPr="00DA571C">
        <w:t xml:space="preserve">This regulatory analysis </w:t>
      </w:r>
      <w:r>
        <w:t>evaluates</w:t>
      </w:r>
      <w:r w:rsidRPr="00DA571C">
        <w:t xml:space="preserve"> the costs and benefits of the </w:t>
      </w:r>
      <w:r w:rsidR="00877FF1">
        <w:t>final</w:t>
      </w:r>
      <w:r w:rsidRPr="00DA571C">
        <w:t xml:space="preserve"> rule</w:t>
      </w:r>
      <w:r>
        <w:t>, including implementing guidance</w:t>
      </w:r>
      <w:r w:rsidRPr="00DA571C">
        <w:t xml:space="preserve"> </w:t>
      </w:r>
      <w:r>
        <w:t>(Alternative 2),</w:t>
      </w:r>
      <w:r w:rsidRPr="00DA571C">
        <w:t xml:space="preserve"> relative to the baseline case, the “no action” alternative.</w:t>
      </w:r>
    </w:p>
    <w:p w:rsidR="0078072B" w:rsidRPr="00DA571C" w:rsidP="0078072B" w14:paraId="42069859" w14:textId="77777777"/>
    <w:p w:rsidR="0078072B" w:rsidRPr="00AA1308" w:rsidP="0078072B" w14:paraId="120F5E6F" w14:textId="77777777">
      <w:r w:rsidRPr="00DA571C">
        <w:t>The NRC staff has made the following key findings:</w:t>
      </w:r>
    </w:p>
    <w:p w:rsidR="0078072B" w:rsidRPr="00AA1308" w:rsidP="0078072B" w14:paraId="72A68277" w14:textId="77777777"/>
    <w:p w:rsidR="0078072B" w:rsidRPr="00320266" w:rsidP="00E4074A" w14:paraId="78E80DA2" w14:textId="63CA84D3">
      <w:pPr>
        <w:pStyle w:val="ListParagraph"/>
        <w:numPr>
          <w:ilvl w:val="0"/>
          <w:numId w:val="4"/>
        </w:numPr>
        <w:ind w:hanging="720"/>
      </w:pPr>
      <w:r w:rsidRPr="00A616EA">
        <w:rPr>
          <w:u w:val="single"/>
        </w:rPr>
        <w:t>Rule Analysis</w:t>
      </w:r>
      <w:r>
        <w:t>:</w:t>
      </w:r>
      <w:r w:rsidRPr="00A616EA">
        <w:t xml:space="preserve"> </w:t>
      </w:r>
      <w:r w:rsidRPr="00641E39">
        <w:t xml:space="preserve">The </w:t>
      </w:r>
      <w:r w:rsidR="005351F6">
        <w:t>final</w:t>
      </w:r>
      <w:r>
        <w:t xml:space="preserve"> </w:t>
      </w:r>
      <w:r w:rsidRPr="00641E39">
        <w:t xml:space="preserve">rule </w:t>
      </w:r>
      <w:r w:rsidRPr="00BB6570">
        <w:t>would</w:t>
      </w:r>
      <w:r w:rsidRPr="00641E39">
        <w:t xml:space="preserve"> result in </w:t>
      </w:r>
      <w:r w:rsidR="00487102">
        <w:t>an annual average benefit of $12.</w:t>
      </w:r>
      <w:r w:rsidR="00ED176D">
        <w:t>5</w:t>
      </w:r>
      <w:r w:rsidR="00487102">
        <w:t xml:space="preserve"> million. </w:t>
      </w:r>
      <w:r w:rsidRPr="00BB6570">
        <w:fldChar w:fldCharType="begin"/>
      </w:r>
      <w:r w:rsidRPr="00BB6570">
        <w:instrText xml:space="preserve"> REF _Ref108429313 \h </w:instrText>
      </w:r>
      <w:r w:rsidRPr="00E4074A" w:rsidR="00023B33">
        <w:instrText xml:space="preserve"> \* MERGEFORMAT </w:instrText>
      </w:r>
      <w:r w:rsidRPr="00BB6570">
        <w:fldChar w:fldCharType="separate"/>
      </w:r>
      <w:r w:rsidRPr="00BB6570">
        <w:t>Tables ES</w:t>
      </w:r>
      <w:r w:rsidRPr="00BB6570">
        <w:noBreakHyphen/>
        <w:t>1</w:t>
      </w:r>
      <w:r w:rsidRPr="00BB6570">
        <w:fldChar w:fldCharType="end"/>
      </w:r>
      <w:r>
        <w:t xml:space="preserve"> and </w:t>
      </w:r>
      <w:r w:rsidRPr="00BB6570">
        <w:fldChar w:fldCharType="begin"/>
      </w:r>
      <w:r w:rsidRPr="00BB6570">
        <w:instrText xml:space="preserve"> REF _Ref109051894 \h </w:instrText>
      </w:r>
      <w:r w:rsidRPr="00E4074A" w:rsidR="00023B33">
        <w:instrText xml:space="preserve"> \* MERGEFORMAT </w:instrText>
      </w:r>
      <w:r w:rsidRPr="00BB6570">
        <w:fldChar w:fldCharType="separate"/>
      </w:r>
      <w:r w:rsidRPr="00BB6570">
        <w:t>ES</w:t>
      </w:r>
      <w:r w:rsidRPr="00BB6570">
        <w:noBreakHyphen/>
      </w:r>
      <w:r w:rsidRPr="00BB6570">
        <w:rPr>
          <w:noProof/>
        </w:rPr>
        <w:t>2</w:t>
      </w:r>
      <w:r w:rsidRPr="00BB6570">
        <w:fldChar w:fldCharType="end"/>
      </w:r>
      <w:r w:rsidR="003E493A">
        <w:t xml:space="preserve"> show the net costs and benefits incurred over 10 years</w:t>
      </w:r>
      <w:r>
        <w:t xml:space="preserve">. </w:t>
      </w:r>
      <w:r w:rsidRPr="00BB6570">
        <w:fldChar w:fldCharType="begin"/>
      </w:r>
      <w:r w:rsidRPr="00BB6570">
        <w:instrText xml:space="preserve"> REF _Ref108429313 \h </w:instrText>
      </w:r>
      <w:r w:rsidRPr="00E4074A" w:rsidR="00023B33">
        <w:instrText xml:space="preserve"> \* MERGEFORMAT </w:instrText>
      </w:r>
      <w:r w:rsidRPr="00BB6570">
        <w:fldChar w:fldCharType="separate"/>
      </w:r>
      <w:r w:rsidRPr="00BB6570">
        <w:t>Table ES</w:t>
      </w:r>
      <w:r w:rsidRPr="00BB6570">
        <w:noBreakHyphen/>
        <w:t>1</w:t>
      </w:r>
      <w:r w:rsidRPr="00BB6570">
        <w:fldChar w:fldCharType="end"/>
      </w:r>
      <w:r>
        <w:t xml:space="preserve"> shows the total costs and benefits of the </w:t>
      </w:r>
      <w:r w:rsidR="005351F6">
        <w:t>final</w:t>
      </w:r>
      <w:r>
        <w:t xml:space="preserve"> rule for each entity affected by the rule. </w:t>
      </w:r>
      <w:r w:rsidRPr="00BB6570">
        <w:fldChar w:fldCharType="begin"/>
      </w:r>
      <w:r w:rsidRPr="00BB6570">
        <w:instrText xml:space="preserve"> REF _Ref109051894 \h </w:instrText>
      </w:r>
      <w:r w:rsidRPr="00E4074A" w:rsidR="00023B33">
        <w:instrText xml:space="preserve"> \* MERGEFORMAT </w:instrText>
      </w:r>
      <w:r w:rsidRPr="00BB6570">
        <w:fldChar w:fldCharType="separate"/>
      </w:r>
      <w:r w:rsidRPr="00BB6570">
        <w:t>Table ES</w:t>
      </w:r>
      <w:r w:rsidRPr="00BB6570">
        <w:noBreakHyphen/>
      </w:r>
      <w:r w:rsidRPr="00BB6570">
        <w:rPr>
          <w:noProof/>
        </w:rPr>
        <w:t>2</w:t>
      </w:r>
      <w:r w:rsidRPr="00BB6570">
        <w:fldChar w:fldCharType="end"/>
      </w:r>
      <w:r>
        <w:t xml:space="preserve"> shows the total costs and benefits of the </w:t>
      </w:r>
      <w:r w:rsidR="007848AF">
        <w:t>final</w:t>
      </w:r>
      <w:r>
        <w:t xml:space="preserve"> rule to industry and the NRC for each type of licensee group affected by the rule.</w:t>
      </w:r>
      <w:r w:rsidRPr="00BB6570">
        <w:fldChar w:fldCharType="begin"/>
      </w:r>
      <w:r w:rsidRPr="00BB6570">
        <w:instrText xml:space="preserve"> REF _Ref108429313 \h </w:instrText>
      </w:r>
      <w:r w:rsidRPr="00E4074A" w:rsidR="00023B33">
        <w:instrText xml:space="preserve"> \* MERGEFORMAT </w:instrText>
      </w:r>
      <w:r w:rsidR="00AD132D">
        <w:fldChar w:fldCharType="separate"/>
      </w:r>
      <w:r w:rsidRPr="00BB6570">
        <w:fldChar w:fldCharType="end"/>
      </w:r>
    </w:p>
    <w:p w:rsidR="0078072B" w:rsidRPr="00E4074A" w:rsidP="0078072B" w14:paraId="795FEA2C" w14:textId="77777777"/>
    <w:p w:rsidR="0078072B" w:rsidRPr="0080218C" w:rsidP="0078072B" w14:paraId="6FA79098" w14:textId="4875793D">
      <w:pPr>
        <w:pStyle w:val="Caption"/>
        <w:jc w:val="center"/>
        <w:rPr>
          <w:b/>
        </w:rPr>
      </w:pPr>
      <w:bookmarkStart w:id="2" w:name="_Toc112274722"/>
      <w:bookmarkStart w:id="3" w:name="_Toc147923414"/>
      <w:r w:rsidRPr="0080218C">
        <w:rPr>
          <w:b/>
        </w:rPr>
        <w:t>Table ES</w:t>
      </w:r>
      <w:r w:rsidRPr="0080218C">
        <w:rPr>
          <w:b/>
        </w:rPr>
        <w:noBreakHyphen/>
      </w:r>
      <w:r w:rsidR="00306C21">
        <w:rPr>
          <w:b/>
        </w:rPr>
        <w:fldChar w:fldCharType="begin"/>
      </w:r>
      <w:r w:rsidR="00306C21">
        <w:rPr>
          <w:b/>
        </w:rPr>
        <w:instrText xml:space="preserve"> SEQ Table \* ARABIC </w:instrText>
      </w:r>
      <w:r w:rsidR="00306C21">
        <w:rPr>
          <w:b/>
        </w:rPr>
        <w:fldChar w:fldCharType="separate"/>
      </w:r>
      <w:r w:rsidR="00BE3FBC">
        <w:rPr>
          <w:b/>
          <w:noProof/>
        </w:rPr>
        <w:t>1</w:t>
      </w:r>
      <w:r w:rsidR="00306C21">
        <w:rPr>
          <w:b/>
        </w:rPr>
        <w:fldChar w:fldCharType="end"/>
      </w:r>
      <w:r w:rsidRPr="00C558F8">
        <w:rPr>
          <w:b/>
          <w:bCs w:val="0"/>
        </w:rPr>
        <w:t xml:space="preserve">  </w:t>
      </w:r>
      <w:r w:rsidRPr="0080218C">
        <w:rPr>
          <w:b/>
        </w:rPr>
        <w:t>Total Costs and Benefits for Alternative 2</w:t>
      </w:r>
      <w:bookmarkEnd w:id="2"/>
      <w:bookmarkEnd w:id="3"/>
    </w:p>
    <w:tbl>
      <w:tblPr>
        <w:tblW w:w="9361" w:type="dxa"/>
        <w:tblLook w:val="04A0"/>
      </w:tblPr>
      <w:tblGrid>
        <w:gridCol w:w="2245"/>
        <w:gridCol w:w="3687"/>
        <w:gridCol w:w="1635"/>
        <w:gridCol w:w="1794"/>
      </w:tblGrid>
      <w:tr w14:paraId="1299EE59" w14:textId="77777777" w:rsidTr="0066072E">
        <w:tblPrEx>
          <w:tblW w:w="9361" w:type="dxa"/>
          <w:tblLook w:val="04A0"/>
        </w:tblPrEx>
        <w:trPr>
          <w:trHeight w:val="280"/>
        </w:trPr>
        <w:tc>
          <w:tcPr>
            <w:tcW w:w="2245" w:type="dxa"/>
            <w:vMerge w:val="restart"/>
            <w:tcBorders>
              <w:top w:val="single" w:sz="4" w:space="0" w:color="auto"/>
              <w:left w:val="single" w:sz="4" w:space="0" w:color="auto"/>
              <w:right w:val="single" w:sz="4" w:space="0" w:color="auto"/>
            </w:tcBorders>
            <w:shd w:val="clear" w:color="auto" w:fill="auto"/>
            <w:noWrap/>
            <w:vAlign w:val="center"/>
            <w:hideMark/>
          </w:tcPr>
          <w:p w:rsidR="0078072B" w:rsidRPr="00E22824" w:rsidP="0066072E" w14:paraId="0A6305BE" w14:textId="77777777">
            <w:pPr>
              <w:autoSpaceDE/>
              <w:autoSpaceDN/>
              <w:adjustRightInd/>
              <w:spacing w:line="240" w:lineRule="auto"/>
              <w:jc w:val="center"/>
              <w:rPr>
                <w:rFonts w:eastAsia="Times New Roman"/>
                <w:b/>
                <w:bCs/>
                <w:color w:val="000000"/>
              </w:rPr>
            </w:pPr>
            <w:r w:rsidRPr="00E22824">
              <w:rPr>
                <w:rFonts w:eastAsia="Times New Roman"/>
                <w:b/>
                <w:bCs/>
                <w:color w:val="000000"/>
              </w:rPr>
              <w:t>Entity</w:t>
            </w:r>
          </w:p>
        </w:tc>
        <w:tc>
          <w:tcPr>
            <w:tcW w:w="711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8072B" w:rsidRPr="00E22824" w:rsidP="0066072E" w14:paraId="13DFFA81" w14:textId="6B567C60">
            <w:pPr>
              <w:autoSpaceDE/>
              <w:autoSpaceDN/>
              <w:adjustRightInd/>
              <w:spacing w:line="240" w:lineRule="auto"/>
              <w:jc w:val="center"/>
              <w:rPr>
                <w:rFonts w:eastAsia="Times New Roman"/>
                <w:b/>
                <w:bCs/>
                <w:color w:val="000000"/>
              </w:rPr>
            </w:pPr>
            <w:r w:rsidRPr="00E22824">
              <w:rPr>
                <w:rFonts w:eastAsia="Times New Roman"/>
                <w:b/>
                <w:bCs/>
                <w:color w:val="000000"/>
              </w:rPr>
              <w:t>Total (</w:t>
            </w:r>
            <w:r w:rsidRPr="00BB6570">
              <w:rPr>
                <w:rFonts w:eastAsia="Times New Roman"/>
                <w:b/>
                <w:bCs/>
                <w:color w:val="000000"/>
              </w:rPr>
              <w:t>202</w:t>
            </w:r>
            <w:r w:rsidRPr="00E4074A" w:rsidR="004865FA">
              <w:rPr>
                <w:rFonts w:eastAsia="Times New Roman"/>
                <w:b/>
                <w:bCs/>
                <w:color w:val="000000"/>
              </w:rPr>
              <w:t>3</w:t>
            </w:r>
            <w:r w:rsidRPr="00E22824">
              <w:rPr>
                <w:rFonts w:eastAsia="Times New Roman"/>
                <w:b/>
                <w:bCs/>
                <w:color w:val="000000"/>
              </w:rPr>
              <w:t xml:space="preserve"> dollars)</w:t>
            </w:r>
            <w:r w:rsidRPr="00255BAE">
              <w:rPr>
                <w:rFonts w:eastAsia="Times New Roman"/>
                <w:b/>
                <w:bCs/>
                <w:color w:val="000000"/>
                <w:vertAlign w:val="superscript"/>
              </w:rPr>
              <w:t>a</w:t>
            </w:r>
          </w:p>
        </w:tc>
      </w:tr>
      <w:tr w14:paraId="12ECC392" w14:textId="77777777" w:rsidTr="0066072E">
        <w:tblPrEx>
          <w:tblW w:w="9361" w:type="dxa"/>
          <w:tblLook w:val="04A0"/>
        </w:tblPrEx>
        <w:trPr>
          <w:trHeight w:val="280"/>
        </w:trPr>
        <w:tc>
          <w:tcPr>
            <w:tcW w:w="2245" w:type="dxa"/>
            <w:vMerge/>
            <w:tcBorders>
              <w:left w:val="single" w:sz="4" w:space="0" w:color="auto"/>
              <w:bottom w:val="single" w:sz="4" w:space="0" w:color="auto"/>
              <w:right w:val="single" w:sz="4" w:space="0" w:color="auto"/>
            </w:tcBorders>
            <w:shd w:val="clear" w:color="auto" w:fill="auto"/>
            <w:noWrap/>
            <w:vAlign w:val="center"/>
            <w:hideMark/>
          </w:tcPr>
          <w:p w:rsidR="0078072B" w:rsidRPr="00E22824" w:rsidP="0066072E" w14:paraId="36598AC0" w14:textId="77777777">
            <w:pPr>
              <w:autoSpaceDE/>
              <w:autoSpaceDN/>
              <w:adjustRightInd/>
              <w:spacing w:line="240" w:lineRule="auto"/>
              <w:rPr>
                <w:rFonts w:eastAsia="Times New Roman"/>
                <w:b/>
                <w:bCs/>
                <w:color w:val="000000"/>
              </w:rPr>
            </w:pPr>
          </w:p>
        </w:tc>
        <w:tc>
          <w:tcPr>
            <w:tcW w:w="3687" w:type="dxa"/>
            <w:tcBorders>
              <w:top w:val="nil"/>
              <w:left w:val="nil"/>
              <w:bottom w:val="single" w:sz="4" w:space="0" w:color="auto"/>
              <w:right w:val="single" w:sz="4" w:space="0" w:color="auto"/>
            </w:tcBorders>
            <w:shd w:val="clear" w:color="auto" w:fill="auto"/>
            <w:noWrap/>
            <w:vAlign w:val="center"/>
            <w:hideMark/>
          </w:tcPr>
          <w:p w:rsidR="0078072B" w:rsidRPr="00E22824" w:rsidP="0066072E" w14:paraId="242CA6FE" w14:textId="77777777">
            <w:pPr>
              <w:autoSpaceDE/>
              <w:autoSpaceDN/>
              <w:adjustRightInd/>
              <w:spacing w:line="240" w:lineRule="auto"/>
              <w:jc w:val="center"/>
              <w:rPr>
                <w:rFonts w:eastAsia="Times New Roman"/>
                <w:b/>
                <w:bCs/>
                <w:color w:val="000000"/>
              </w:rPr>
            </w:pPr>
            <w:r w:rsidRPr="00E22824">
              <w:rPr>
                <w:rFonts w:eastAsia="Times New Roman"/>
                <w:b/>
                <w:bCs/>
                <w:color w:val="000000"/>
              </w:rPr>
              <w:t>Undiscounted</w:t>
            </w:r>
          </w:p>
        </w:tc>
        <w:tc>
          <w:tcPr>
            <w:tcW w:w="1635" w:type="dxa"/>
            <w:tcBorders>
              <w:top w:val="nil"/>
              <w:left w:val="nil"/>
              <w:bottom w:val="single" w:sz="4" w:space="0" w:color="auto"/>
              <w:right w:val="single" w:sz="4" w:space="0" w:color="auto"/>
            </w:tcBorders>
            <w:shd w:val="clear" w:color="auto" w:fill="auto"/>
            <w:noWrap/>
            <w:vAlign w:val="center"/>
            <w:hideMark/>
          </w:tcPr>
          <w:p w:rsidR="0078072B" w:rsidRPr="00E22824" w:rsidP="0066072E" w14:paraId="600F1D70" w14:textId="35C5C0A1">
            <w:pPr>
              <w:autoSpaceDE/>
              <w:autoSpaceDN/>
              <w:adjustRightInd/>
              <w:spacing w:line="240" w:lineRule="auto"/>
              <w:jc w:val="center"/>
              <w:rPr>
                <w:rFonts w:eastAsia="Times New Roman"/>
                <w:b/>
                <w:bCs/>
                <w:color w:val="000000"/>
              </w:rPr>
            </w:pPr>
            <w:r w:rsidRPr="00E22824">
              <w:rPr>
                <w:rFonts w:eastAsia="Times New Roman"/>
                <w:b/>
                <w:bCs/>
                <w:color w:val="000000"/>
              </w:rPr>
              <w:t>7% NPV</w:t>
            </w:r>
            <w:r w:rsidRPr="00ED3648" w:rsidR="00ED3648">
              <w:rPr>
                <w:rFonts w:eastAsia="Times New Roman"/>
                <w:color w:val="000000"/>
                <w:vertAlign w:val="superscript"/>
              </w:rPr>
              <w:t>b</w:t>
            </w:r>
          </w:p>
        </w:tc>
        <w:tc>
          <w:tcPr>
            <w:tcW w:w="1794" w:type="dxa"/>
            <w:tcBorders>
              <w:top w:val="nil"/>
              <w:left w:val="nil"/>
              <w:bottom w:val="single" w:sz="4" w:space="0" w:color="auto"/>
              <w:right w:val="single" w:sz="4" w:space="0" w:color="auto"/>
            </w:tcBorders>
            <w:shd w:val="clear" w:color="auto" w:fill="auto"/>
            <w:noWrap/>
            <w:vAlign w:val="center"/>
            <w:hideMark/>
          </w:tcPr>
          <w:p w:rsidR="0078072B" w:rsidRPr="00E22824" w:rsidP="0066072E" w14:paraId="3EE9303F" w14:textId="77777777">
            <w:pPr>
              <w:autoSpaceDE/>
              <w:autoSpaceDN/>
              <w:adjustRightInd/>
              <w:spacing w:line="240" w:lineRule="auto"/>
              <w:jc w:val="center"/>
              <w:rPr>
                <w:rFonts w:eastAsia="Times New Roman"/>
                <w:b/>
                <w:bCs/>
                <w:color w:val="000000"/>
              </w:rPr>
            </w:pPr>
            <w:r w:rsidRPr="00E22824">
              <w:rPr>
                <w:rFonts w:eastAsia="Times New Roman"/>
                <w:b/>
                <w:bCs/>
                <w:color w:val="000000"/>
              </w:rPr>
              <w:t>3% NPV</w:t>
            </w:r>
          </w:p>
        </w:tc>
      </w:tr>
      <w:tr w14:paraId="3F344229" w14:textId="77777777" w:rsidTr="0066072E">
        <w:tblPrEx>
          <w:tblW w:w="9361" w:type="dxa"/>
          <w:tblLook w:val="04A0"/>
        </w:tblPrEx>
        <w:trPr>
          <w:trHeight w:val="28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rsidR="0078072B" w:rsidRPr="00E22824" w:rsidP="0066072E" w14:paraId="201773FC" w14:textId="77777777">
            <w:pPr>
              <w:autoSpaceDE/>
              <w:autoSpaceDN/>
              <w:adjustRightInd/>
              <w:spacing w:line="240" w:lineRule="auto"/>
              <w:jc w:val="center"/>
              <w:rPr>
                <w:rFonts w:eastAsia="Times New Roman"/>
                <w:color w:val="000000"/>
              </w:rPr>
            </w:pPr>
            <w:r w:rsidRPr="00E22824">
              <w:rPr>
                <w:rFonts w:eastAsia="Times New Roman"/>
                <w:color w:val="000000"/>
              </w:rPr>
              <w:t>In</w:t>
            </w:r>
            <w:r w:rsidRPr="00255BAE">
              <w:rPr>
                <w:rFonts w:eastAsia="Times New Roman"/>
                <w:color w:val="000000"/>
              </w:rPr>
              <w:t>d</w:t>
            </w:r>
            <w:r w:rsidRPr="00E22824">
              <w:rPr>
                <w:rFonts w:eastAsia="Times New Roman"/>
                <w:color w:val="000000"/>
              </w:rPr>
              <w:t>ustry</w:t>
            </w:r>
          </w:p>
        </w:tc>
        <w:tc>
          <w:tcPr>
            <w:tcW w:w="3687" w:type="dxa"/>
            <w:tcBorders>
              <w:top w:val="nil"/>
              <w:left w:val="nil"/>
              <w:bottom w:val="single" w:sz="4" w:space="0" w:color="auto"/>
              <w:right w:val="single" w:sz="4" w:space="0" w:color="auto"/>
            </w:tcBorders>
            <w:shd w:val="clear" w:color="auto" w:fill="auto"/>
            <w:noWrap/>
            <w:vAlign w:val="center"/>
            <w:hideMark/>
          </w:tcPr>
          <w:p w:rsidR="0078072B" w:rsidRPr="00E22824" w:rsidP="0066072E" w14:paraId="3EC94A03" w14:textId="02B1F4DE">
            <w:pPr>
              <w:autoSpaceDE/>
              <w:autoSpaceDN/>
              <w:adjustRightInd/>
              <w:spacing w:line="240" w:lineRule="auto"/>
              <w:jc w:val="center"/>
              <w:rPr>
                <w:rFonts w:eastAsia="Times New Roman"/>
                <w:color w:val="000000"/>
              </w:rPr>
            </w:pPr>
            <w:r w:rsidRPr="00BB6570">
              <w:rPr>
                <w:color w:val="000000"/>
              </w:rPr>
              <w:t xml:space="preserve">$89,491,000 </w:t>
            </w:r>
          </w:p>
        </w:tc>
        <w:tc>
          <w:tcPr>
            <w:tcW w:w="1635" w:type="dxa"/>
            <w:tcBorders>
              <w:top w:val="nil"/>
              <w:left w:val="nil"/>
              <w:bottom w:val="single" w:sz="4" w:space="0" w:color="auto"/>
              <w:right w:val="single" w:sz="4" w:space="0" w:color="auto"/>
            </w:tcBorders>
            <w:shd w:val="clear" w:color="auto" w:fill="auto"/>
            <w:noWrap/>
            <w:vAlign w:val="center"/>
            <w:hideMark/>
          </w:tcPr>
          <w:p w:rsidR="0078072B" w:rsidRPr="00E22824" w:rsidP="0066072E" w14:paraId="4B292929" w14:textId="229D373C">
            <w:pPr>
              <w:autoSpaceDE/>
              <w:autoSpaceDN/>
              <w:adjustRightInd/>
              <w:spacing w:line="240" w:lineRule="auto"/>
              <w:jc w:val="center"/>
              <w:rPr>
                <w:rFonts w:eastAsia="Times New Roman"/>
                <w:color w:val="000000"/>
              </w:rPr>
            </w:pPr>
            <w:r w:rsidRPr="00BB6570">
              <w:rPr>
                <w:color w:val="000000"/>
              </w:rPr>
              <w:t xml:space="preserve">$60,971,000 </w:t>
            </w:r>
          </w:p>
        </w:tc>
        <w:tc>
          <w:tcPr>
            <w:tcW w:w="1794" w:type="dxa"/>
            <w:tcBorders>
              <w:top w:val="nil"/>
              <w:left w:val="nil"/>
              <w:bottom w:val="single" w:sz="4" w:space="0" w:color="auto"/>
              <w:right w:val="single" w:sz="4" w:space="0" w:color="auto"/>
            </w:tcBorders>
            <w:shd w:val="clear" w:color="auto" w:fill="auto"/>
            <w:noWrap/>
            <w:vAlign w:val="center"/>
            <w:hideMark/>
          </w:tcPr>
          <w:p w:rsidR="0078072B" w:rsidRPr="00E22824" w:rsidP="0066072E" w14:paraId="051CDC18" w14:textId="4E6677ED">
            <w:pPr>
              <w:autoSpaceDE/>
              <w:autoSpaceDN/>
              <w:adjustRightInd/>
              <w:spacing w:line="240" w:lineRule="auto"/>
              <w:jc w:val="center"/>
              <w:rPr>
                <w:rFonts w:eastAsia="Times New Roman"/>
                <w:color w:val="000000"/>
              </w:rPr>
            </w:pPr>
            <w:r w:rsidRPr="00BB6570">
              <w:rPr>
                <w:color w:val="000000"/>
              </w:rPr>
              <w:t xml:space="preserve">$74,996,000 </w:t>
            </w:r>
          </w:p>
        </w:tc>
      </w:tr>
      <w:tr w14:paraId="3B1575DA" w14:textId="77777777" w:rsidTr="0066072E">
        <w:tblPrEx>
          <w:tblW w:w="9361" w:type="dxa"/>
          <w:tblLook w:val="04A0"/>
        </w:tblPrEx>
        <w:trPr>
          <w:trHeight w:val="28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rsidR="0078072B" w:rsidRPr="00E22824" w:rsidP="0066072E" w14:paraId="52DAF6A2" w14:textId="77777777">
            <w:pPr>
              <w:autoSpaceDE/>
              <w:autoSpaceDN/>
              <w:adjustRightInd/>
              <w:spacing w:line="240" w:lineRule="auto"/>
              <w:jc w:val="center"/>
              <w:rPr>
                <w:rFonts w:eastAsia="Times New Roman"/>
                <w:color w:val="000000"/>
              </w:rPr>
            </w:pPr>
            <w:r w:rsidRPr="00E22824">
              <w:rPr>
                <w:rFonts w:eastAsia="Times New Roman"/>
                <w:color w:val="000000"/>
              </w:rPr>
              <w:t>NRC</w:t>
            </w:r>
          </w:p>
        </w:tc>
        <w:tc>
          <w:tcPr>
            <w:tcW w:w="3687" w:type="dxa"/>
            <w:tcBorders>
              <w:top w:val="nil"/>
              <w:left w:val="nil"/>
              <w:bottom w:val="single" w:sz="4" w:space="0" w:color="auto"/>
              <w:right w:val="single" w:sz="4" w:space="0" w:color="auto"/>
            </w:tcBorders>
            <w:shd w:val="clear" w:color="auto" w:fill="auto"/>
            <w:noWrap/>
            <w:vAlign w:val="center"/>
            <w:hideMark/>
          </w:tcPr>
          <w:p w:rsidR="0078072B" w:rsidRPr="00E22824" w:rsidP="0066072E" w14:paraId="35349997" w14:textId="69991270">
            <w:pPr>
              <w:autoSpaceDE/>
              <w:autoSpaceDN/>
              <w:adjustRightInd/>
              <w:spacing w:line="240" w:lineRule="auto"/>
              <w:jc w:val="center"/>
              <w:rPr>
                <w:rFonts w:eastAsia="Times New Roman"/>
                <w:color w:val="000000"/>
              </w:rPr>
            </w:pPr>
            <w:r w:rsidRPr="00BB6570">
              <w:rPr>
                <w:color w:val="000000"/>
              </w:rPr>
              <w:t xml:space="preserve">$35,996,000 </w:t>
            </w:r>
          </w:p>
        </w:tc>
        <w:tc>
          <w:tcPr>
            <w:tcW w:w="1635" w:type="dxa"/>
            <w:tcBorders>
              <w:top w:val="nil"/>
              <w:left w:val="nil"/>
              <w:bottom w:val="single" w:sz="4" w:space="0" w:color="auto"/>
              <w:right w:val="single" w:sz="4" w:space="0" w:color="auto"/>
            </w:tcBorders>
            <w:shd w:val="clear" w:color="auto" w:fill="auto"/>
            <w:noWrap/>
            <w:vAlign w:val="center"/>
            <w:hideMark/>
          </w:tcPr>
          <w:p w:rsidR="0078072B" w:rsidRPr="00E22824" w:rsidP="0066072E" w14:paraId="3DF50F8C" w14:textId="09445679">
            <w:pPr>
              <w:autoSpaceDE/>
              <w:autoSpaceDN/>
              <w:adjustRightInd/>
              <w:spacing w:line="240" w:lineRule="auto"/>
              <w:jc w:val="center"/>
              <w:rPr>
                <w:rFonts w:eastAsia="Times New Roman"/>
                <w:color w:val="000000"/>
              </w:rPr>
            </w:pPr>
            <w:r w:rsidRPr="00BB6570">
              <w:rPr>
                <w:color w:val="000000"/>
              </w:rPr>
              <w:t xml:space="preserve">$24,604,000 </w:t>
            </w:r>
          </w:p>
        </w:tc>
        <w:tc>
          <w:tcPr>
            <w:tcW w:w="1794" w:type="dxa"/>
            <w:tcBorders>
              <w:top w:val="nil"/>
              <w:left w:val="nil"/>
              <w:bottom w:val="single" w:sz="4" w:space="0" w:color="auto"/>
              <w:right w:val="single" w:sz="4" w:space="0" w:color="auto"/>
            </w:tcBorders>
            <w:shd w:val="clear" w:color="auto" w:fill="auto"/>
            <w:noWrap/>
            <w:vAlign w:val="center"/>
            <w:hideMark/>
          </w:tcPr>
          <w:p w:rsidR="0078072B" w:rsidRPr="00E22824" w:rsidP="0066072E" w14:paraId="7D623197" w14:textId="7C3287DD">
            <w:pPr>
              <w:autoSpaceDE/>
              <w:autoSpaceDN/>
              <w:adjustRightInd/>
              <w:spacing w:line="240" w:lineRule="auto"/>
              <w:jc w:val="center"/>
              <w:rPr>
                <w:rFonts w:eastAsia="Times New Roman"/>
                <w:color w:val="000000"/>
              </w:rPr>
            </w:pPr>
            <w:r w:rsidRPr="00BB6570">
              <w:rPr>
                <w:color w:val="000000"/>
              </w:rPr>
              <w:t xml:space="preserve">$30,209,000 </w:t>
            </w:r>
          </w:p>
        </w:tc>
      </w:tr>
      <w:tr w14:paraId="5A63E287" w14:textId="77777777" w:rsidTr="0066072E">
        <w:tblPrEx>
          <w:tblW w:w="9361" w:type="dxa"/>
          <w:tblLook w:val="04A0"/>
        </w:tblPrEx>
        <w:trPr>
          <w:trHeight w:val="28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rsidR="0078072B" w:rsidRPr="00E22824" w:rsidP="0066072E" w14:paraId="4156F9BF" w14:textId="77777777">
            <w:pPr>
              <w:autoSpaceDE/>
              <w:autoSpaceDN/>
              <w:adjustRightInd/>
              <w:spacing w:line="240" w:lineRule="auto"/>
              <w:jc w:val="center"/>
              <w:rPr>
                <w:rFonts w:eastAsia="Times New Roman"/>
                <w:b/>
                <w:bCs/>
                <w:color w:val="000000"/>
              </w:rPr>
            </w:pPr>
            <w:r w:rsidRPr="00E22824">
              <w:rPr>
                <w:rFonts w:eastAsia="Times New Roman"/>
                <w:b/>
                <w:bCs/>
                <w:color w:val="000000"/>
              </w:rPr>
              <w:t>Net Benefit (Cost)</w:t>
            </w:r>
          </w:p>
        </w:tc>
        <w:tc>
          <w:tcPr>
            <w:tcW w:w="3687" w:type="dxa"/>
            <w:tcBorders>
              <w:top w:val="nil"/>
              <w:left w:val="nil"/>
              <w:bottom w:val="single" w:sz="4" w:space="0" w:color="auto"/>
              <w:right w:val="single" w:sz="4" w:space="0" w:color="auto"/>
            </w:tcBorders>
            <w:shd w:val="clear" w:color="auto" w:fill="auto"/>
            <w:noWrap/>
            <w:vAlign w:val="center"/>
            <w:hideMark/>
          </w:tcPr>
          <w:p w:rsidR="0078072B" w:rsidRPr="00E22824" w:rsidP="0066072E" w14:paraId="40B7EE27" w14:textId="73F93AF2">
            <w:pPr>
              <w:autoSpaceDE/>
              <w:autoSpaceDN/>
              <w:adjustRightInd/>
              <w:spacing w:line="240" w:lineRule="auto"/>
              <w:jc w:val="center"/>
              <w:rPr>
                <w:rFonts w:eastAsia="Times New Roman"/>
                <w:b/>
                <w:bCs/>
                <w:color w:val="000000"/>
              </w:rPr>
            </w:pPr>
            <w:r w:rsidRPr="00BB6570">
              <w:rPr>
                <w:b/>
                <w:bCs/>
                <w:color w:val="000000"/>
              </w:rPr>
              <w:t xml:space="preserve">$125,487,000 </w:t>
            </w:r>
          </w:p>
        </w:tc>
        <w:tc>
          <w:tcPr>
            <w:tcW w:w="1635" w:type="dxa"/>
            <w:tcBorders>
              <w:top w:val="nil"/>
              <w:left w:val="nil"/>
              <w:bottom w:val="single" w:sz="4" w:space="0" w:color="auto"/>
              <w:right w:val="single" w:sz="4" w:space="0" w:color="auto"/>
            </w:tcBorders>
            <w:shd w:val="clear" w:color="auto" w:fill="auto"/>
            <w:noWrap/>
            <w:vAlign w:val="center"/>
            <w:hideMark/>
          </w:tcPr>
          <w:p w:rsidR="0078072B" w:rsidRPr="00E22824" w:rsidP="0066072E" w14:paraId="6B3818DF" w14:textId="1EC96315">
            <w:pPr>
              <w:autoSpaceDE/>
              <w:autoSpaceDN/>
              <w:adjustRightInd/>
              <w:spacing w:line="240" w:lineRule="auto"/>
              <w:jc w:val="center"/>
              <w:rPr>
                <w:rFonts w:eastAsia="Times New Roman"/>
                <w:b/>
                <w:bCs/>
                <w:color w:val="000000"/>
              </w:rPr>
            </w:pPr>
            <w:r w:rsidRPr="00BB6570">
              <w:rPr>
                <w:b/>
                <w:bCs/>
                <w:color w:val="000000"/>
              </w:rPr>
              <w:t xml:space="preserve">$85,575,000 </w:t>
            </w:r>
          </w:p>
        </w:tc>
        <w:tc>
          <w:tcPr>
            <w:tcW w:w="1794" w:type="dxa"/>
            <w:tcBorders>
              <w:top w:val="nil"/>
              <w:left w:val="nil"/>
              <w:bottom w:val="single" w:sz="4" w:space="0" w:color="auto"/>
              <w:right w:val="single" w:sz="4" w:space="0" w:color="auto"/>
            </w:tcBorders>
            <w:shd w:val="clear" w:color="auto" w:fill="auto"/>
            <w:noWrap/>
            <w:vAlign w:val="center"/>
            <w:hideMark/>
          </w:tcPr>
          <w:p w:rsidR="0078072B" w:rsidRPr="00E22824" w:rsidP="0066072E" w14:paraId="621F0085" w14:textId="450F1317">
            <w:pPr>
              <w:autoSpaceDE/>
              <w:autoSpaceDN/>
              <w:adjustRightInd/>
              <w:spacing w:line="240" w:lineRule="auto"/>
              <w:jc w:val="center"/>
              <w:rPr>
                <w:rFonts w:eastAsia="Times New Roman"/>
                <w:b/>
                <w:bCs/>
                <w:color w:val="000000"/>
              </w:rPr>
            </w:pPr>
            <w:r w:rsidRPr="00BB6570">
              <w:rPr>
                <w:b/>
                <w:bCs/>
                <w:color w:val="000000"/>
              </w:rPr>
              <w:t xml:space="preserve">$105,205,000 </w:t>
            </w:r>
          </w:p>
        </w:tc>
      </w:tr>
    </w:tbl>
    <w:p w:rsidR="0078072B" w:rsidRPr="00255BAE" w:rsidP="0078072B" w14:paraId="44F64AAE" w14:textId="77777777">
      <w:pPr>
        <w:rPr>
          <w:sz w:val="18"/>
          <w:szCs w:val="18"/>
        </w:rPr>
      </w:pPr>
      <w:r w:rsidRPr="79F4BEEA">
        <w:rPr>
          <w:sz w:val="18"/>
          <w:szCs w:val="18"/>
          <w:vertAlign w:val="superscript"/>
        </w:rPr>
        <w:t>a</w:t>
      </w:r>
      <w:r w:rsidRPr="79F4BEEA">
        <w:rPr>
          <w:sz w:val="18"/>
          <w:szCs w:val="18"/>
        </w:rPr>
        <w:t xml:space="preserve"> Values rounded to the nearest thousand dollars.</w:t>
      </w:r>
    </w:p>
    <w:p w:rsidR="79F4BEEA" w:rsidP="79F4BEEA" w14:paraId="1DAF82F6" w14:textId="4571C2E0">
      <w:pPr>
        <w:rPr>
          <w:sz w:val="18"/>
          <w:szCs w:val="18"/>
        </w:rPr>
      </w:pPr>
      <w:r>
        <w:rPr>
          <w:sz w:val="18"/>
          <w:szCs w:val="18"/>
          <w:vertAlign w:val="superscript"/>
        </w:rPr>
        <w:t>b</w:t>
      </w:r>
      <w:r w:rsidR="00996D2E">
        <w:rPr>
          <w:sz w:val="18"/>
          <w:szCs w:val="18"/>
        </w:rPr>
        <w:t xml:space="preserve"> Net p</w:t>
      </w:r>
      <w:r>
        <w:rPr>
          <w:sz w:val="18"/>
          <w:szCs w:val="18"/>
        </w:rPr>
        <w:t>res</w:t>
      </w:r>
      <w:r w:rsidR="00996D2E">
        <w:rPr>
          <w:sz w:val="18"/>
          <w:szCs w:val="18"/>
        </w:rPr>
        <w:t>ent value</w:t>
      </w:r>
      <w:r w:rsidR="00192749">
        <w:rPr>
          <w:sz w:val="18"/>
          <w:szCs w:val="18"/>
        </w:rPr>
        <w:t xml:space="preserve"> (NPV)</w:t>
      </w:r>
    </w:p>
    <w:p w:rsidR="0078072B" w:rsidRPr="0080218C" w:rsidP="0078072B" w14:paraId="379BD5CB" w14:textId="0437090D">
      <w:pPr>
        <w:pStyle w:val="Caption"/>
        <w:jc w:val="center"/>
        <w:rPr>
          <w:b/>
        </w:rPr>
      </w:pPr>
      <w:bookmarkStart w:id="4" w:name="_Toc112274723"/>
      <w:bookmarkStart w:id="5" w:name="_Toc147923415"/>
      <w:r w:rsidRPr="0080218C">
        <w:rPr>
          <w:b/>
        </w:rPr>
        <w:t>Table ES</w:t>
      </w:r>
      <w:r w:rsidRPr="00C558F8">
        <w:rPr>
          <w:b/>
          <w:bCs w:val="0"/>
        </w:rPr>
        <w:noBreakHyphen/>
      </w:r>
      <w:r w:rsidRPr="0080218C">
        <w:rPr>
          <w:b/>
        </w:rPr>
        <w:fldChar w:fldCharType="begin"/>
      </w:r>
      <w:r>
        <w:instrText>SEQ Table \* ARABIC</w:instrText>
      </w:r>
      <w:r w:rsidRPr="0080218C">
        <w:rPr>
          <w:b/>
        </w:rPr>
        <w:fldChar w:fldCharType="separate"/>
      </w:r>
      <w:r w:rsidRPr="0080218C">
        <w:rPr>
          <w:b/>
          <w:noProof/>
        </w:rPr>
        <w:t>2</w:t>
      </w:r>
      <w:r w:rsidRPr="0080218C">
        <w:rPr>
          <w:b/>
        </w:rPr>
        <w:fldChar w:fldCharType="end"/>
      </w:r>
      <w:r w:rsidRPr="00C558F8">
        <w:rPr>
          <w:b/>
          <w:bCs w:val="0"/>
        </w:rPr>
        <w:t xml:space="preserve">  </w:t>
      </w:r>
      <w:r w:rsidRPr="0080218C">
        <w:rPr>
          <w:b/>
        </w:rPr>
        <w:t>Total Costs and Benefits by Licensee Group for Alternative 2</w:t>
      </w:r>
      <w:bookmarkEnd w:id="4"/>
      <w:bookmarkEnd w:id="5"/>
    </w:p>
    <w:tbl>
      <w:tblPr>
        <w:tblW w:w="9350" w:type="dxa"/>
        <w:tblLook w:val="04A0"/>
      </w:tblPr>
      <w:tblGrid>
        <w:gridCol w:w="2947"/>
        <w:gridCol w:w="2182"/>
        <w:gridCol w:w="2039"/>
        <w:gridCol w:w="2182"/>
      </w:tblGrid>
      <w:tr w14:paraId="1285A12E" w14:textId="77777777" w:rsidTr="0066072E">
        <w:tblPrEx>
          <w:tblW w:w="9350" w:type="dxa"/>
          <w:tblLook w:val="04A0"/>
        </w:tblPrEx>
        <w:trPr>
          <w:trHeight w:val="280"/>
        </w:trPr>
        <w:tc>
          <w:tcPr>
            <w:tcW w:w="2947" w:type="dxa"/>
            <w:vMerge w:val="restart"/>
            <w:tcBorders>
              <w:top w:val="single" w:sz="4" w:space="0" w:color="auto"/>
              <w:left w:val="single" w:sz="4" w:space="0" w:color="auto"/>
              <w:right w:val="single" w:sz="4" w:space="0" w:color="auto"/>
            </w:tcBorders>
            <w:shd w:val="clear" w:color="auto" w:fill="auto"/>
            <w:noWrap/>
            <w:vAlign w:val="center"/>
            <w:hideMark/>
          </w:tcPr>
          <w:p w:rsidR="0078072B" w:rsidRPr="0012327A" w:rsidP="0066072E" w14:paraId="7065ABC1" w14:textId="77777777">
            <w:pPr>
              <w:keepNext/>
              <w:keepLines/>
              <w:autoSpaceDE/>
              <w:autoSpaceDN/>
              <w:adjustRightInd/>
              <w:spacing w:line="240" w:lineRule="auto"/>
              <w:jc w:val="center"/>
              <w:rPr>
                <w:rFonts w:eastAsia="Times New Roman"/>
                <w:b/>
                <w:bCs/>
                <w:color w:val="000000"/>
              </w:rPr>
            </w:pPr>
            <w:r w:rsidRPr="0012327A">
              <w:rPr>
                <w:rFonts w:eastAsia="Times New Roman"/>
                <w:b/>
                <w:bCs/>
                <w:color w:val="000000"/>
              </w:rPr>
              <w:t>Licensee Group</w:t>
            </w:r>
          </w:p>
        </w:tc>
        <w:tc>
          <w:tcPr>
            <w:tcW w:w="640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8072B" w:rsidRPr="0012327A" w:rsidP="0066072E" w14:paraId="077AF13F" w14:textId="6E5C42EE">
            <w:pPr>
              <w:keepNext/>
              <w:keepLines/>
              <w:autoSpaceDE/>
              <w:autoSpaceDN/>
              <w:adjustRightInd/>
              <w:spacing w:line="240" w:lineRule="auto"/>
              <w:jc w:val="center"/>
              <w:rPr>
                <w:rFonts w:eastAsia="Times New Roman"/>
                <w:b/>
                <w:bCs/>
                <w:color w:val="000000"/>
              </w:rPr>
            </w:pPr>
            <w:r w:rsidRPr="0012327A">
              <w:rPr>
                <w:rFonts w:eastAsia="Times New Roman"/>
                <w:b/>
                <w:bCs/>
                <w:color w:val="000000"/>
              </w:rPr>
              <w:t>Total (</w:t>
            </w:r>
            <w:r w:rsidRPr="00C26D8A">
              <w:rPr>
                <w:rFonts w:eastAsia="Times New Roman"/>
                <w:b/>
                <w:bCs/>
                <w:color w:val="000000"/>
              </w:rPr>
              <w:t>202</w:t>
            </w:r>
            <w:r w:rsidRPr="00161B94" w:rsidR="00BB6570">
              <w:rPr>
                <w:rFonts w:eastAsia="Times New Roman"/>
                <w:b/>
                <w:bCs/>
                <w:color w:val="000000"/>
              </w:rPr>
              <w:t>3</w:t>
            </w:r>
            <w:r w:rsidRPr="0012327A">
              <w:rPr>
                <w:rFonts w:eastAsia="Times New Roman"/>
                <w:b/>
                <w:bCs/>
                <w:color w:val="000000"/>
              </w:rPr>
              <w:t xml:space="preserve"> dollars)</w:t>
            </w:r>
            <w:r w:rsidRPr="00255BAE">
              <w:rPr>
                <w:rFonts w:eastAsia="Times New Roman"/>
                <w:b/>
                <w:bCs/>
                <w:color w:val="000000"/>
                <w:vertAlign w:val="superscript"/>
              </w:rPr>
              <w:t>a</w:t>
            </w:r>
            <w:r>
              <w:rPr>
                <w:rFonts w:eastAsia="Times New Roman"/>
                <w:b/>
                <w:bCs/>
                <w:color w:val="000000"/>
                <w:vertAlign w:val="superscript"/>
              </w:rPr>
              <w:t>, b</w:t>
            </w:r>
          </w:p>
        </w:tc>
      </w:tr>
      <w:tr w14:paraId="454F0050" w14:textId="77777777" w:rsidTr="0066072E">
        <w:tblPrEx>
          <w:tblW w:w="9350" w:type="dxa"/>
          <w:tblLook w:val="04A0"/>
        </w:tblPrEx>
        <w:trPr>
          <w:trHeight w:val="280"/>
        </w:trPr>
        <w:tc>
          <w:tcPr>
            <w:tcW w:w="2947" w:type="dxa"/>
            <w:vMerge/>
            <w:tcBorders>
              <w:left w:val="single" w:sz="4" w:space="0" w:color="auto"/>
              <w:bottom w:val="single" w:sz="4" w:space="0" w:color="auto"/>
              <w:right w:val="single" w:sz="4" w:space="0" w:color="auto"/>
            </w:tcBorders>
            <w:shd w:val="clear" w:color="auto" w:fill="auto"/>
            <w:noWrap/>
            <w:vAlign w:val="center"/>
            <w:hideMark/>
          </w:tcPr>
          <w:p w:rsidR="0078072B" w:rsidRPr="0012327A" w:rsidP="0066072E" w14:paraId="2B852A65" w14:textId="77777777">
            <w:pPr>
              <w:keepNext/>
              <w:keepLines/>
              <w:autoSpaceDE/>
              <w:autoSpaceDN/>
              <w:adjustRightInd/>
              <w:spacing w:line="240" w:lineRule="auto"/>
              <w:jc w:val="center"/>
              <w:rPr>
                <w:rFonts w:eastAsia="Times New Roman"/>
                <w:b/>
                <w:bCs/>
                <w:color w:val="000000"/>
              </w:rPr>
            </w:pPr>
          </w:p>
        </w:tc>
        <w:tc>
          <w:tcPr>
            <w:tcW w:w="2182" w:type="dxa"/>
            <w:tcBorders>
              <w:top w:val="nil"/>
              <w:left w:val="nil"/>
              <w:bottom w:val="single" w:sz="4" w:space="0" w:color="auto"/>
              <w:right w:val="single" w:sz="4" w:space="0" w:color="auto"/>
            </w:tcBorders>
            <w:shd w:val="clear" w:color="auto" w:fill="auto"/>
            <w:noWrap/>
            <w:vAlign w:val="center"/>
            <w:hideMark/>
          </w:tcPr>
          <w:p w:rsidR="0078072B" w:rsidRPr="0012327A" w:rsidP="0066072E" w14:paraId="2EB81F83" w14:textId="77777777">
            <w:pPr>
              <w:keepNext/>
              <w:keepLines/>
              <w:autoSpaceDE/>
              <w:autoSpaceDN/>
              <w:adjustRightInd/>
              <w:spacing w:line="240" w:lineRule="auto"/>
              <w:jc w:val="center"/>
              <w:rPr>
                <w:rFonts w:eastAsia="Times New Roman"/>
                <w:b/>
                <w:bCs/>
                <w:color w:val="000000"/>
              </w:rPr>
            </w:pPr>
            <w:r w:rsidRPr="0012327A">
              <w:rPr>
                <w:rFonts w:eastAsia="Times New Roman"/>
                <w:b/>
                <w:bCs/>
                <w:color w:val="000000"/>
              </w:rPr>
              <w:t>Undiscounted</w:t>
            </w:r>
          </w:p>
        </w:tc>
        <w:tc>
          <w:tcPr>
            <w:tcW w:w="2039" w:type="dxa"/>
            <w:tcBorders>
              <w:top w:val="nil"/>
              <w:left w:val="nil"/>
              <w:bottom w:val="single" w:sz="4" w:space="0" w:color="auto"/>
              <w:right w:val="single" w:sz="4" w:space="0" w:color="auto"/>
            </w:tcBorders>
            <w:shd w:val="clear" w:color="auto" w:fill="auto"/>
            <w:noWrap/>
            <w:vAlign w:val="center"/>
            <w:hideMark/>
          </w:tcPr>
          <w:p w:rsidR="0078072B" w:rsidRPr="0012327A" w:rsidP="0066072E" w14:paraId="689DAE9E" w14:textId="77777777">
            <w:pPr>
              <w:keepNext/>
              <w:keepLines/>
              <w:autoSpaceDE/>
              <w:autoSpaceDN/>
              <w:adjustRightInd/>
              <w:spacing w:line="240" w:lineRule="auto"/>
              <w:jc w:val="center"/>
              <w:rPr>
                <w:rFonts w:eastAsia="Times New Roman"/>
                <w:b/>
                <w:bCs/>
                <w:color w:val="000000"/>
              </w:rPr>
            </w:pPr>
            <w:r w:rsidRPr="0012327A">
              <w:rPr>
                <w:rFonts w:eastAsia="Times New Roman"/>
                <w:b/>
                <w:bCs/>
                <w:color w:val="000000"/>
              </w:rPr>
              <w:t>7% NPV</w:t>
            </w:r>
          </w:p>
        </w:tc>
        <w:tc>
          <w:tcPr>
            <w:tcW w:w="2182" w:type="dxa"/>
            <w:tcBorders>
              <w:top w:val="nil"/>
              <w:left w:val="nil"/>
              <w:bottom w:val="single" w:sz="4" w:space="0" w:color="auto"/>
              <w:right w:val="single" w:sz="4" w:space="0" w:color="auto"/>
            </w:tcBorders>
            <w:shd w:val="clear" w:color="auto" w:fill="auto"/>
            <w:noWrap/>
            <w:vAlign w:val="center"/>
            <w:hideMark/>
          </w:tcPr>
          <w:p w:rsidR="0078072B" w:rsidRPr="0012327A" w:rsidP="0066072E" w14:paraId="0440CEED" w14:textId="77777777">
            <w:pPr>
              <w:keepNext/>
              <w:keepLines/>
              <w:autoSpaceDE/>
              <w:autoSpaceDN/>
              <w:adjustRightInd/>
              <w:spacing w:line="240" w:lineRule="auto"/>
              <w:jc w:val="center"/>
              <w:rPr>
                <w:rFonts w:eastAsia="Times New Roman"/>
                <w:b/>
                <w:bCs/>
                <w:color w:val="000000"/>
              </w:rPr>
            </w:pPr>
            <w:r w:rsidRPr="0012327A">
              <w:rPr>
                <w:rFonts w:eastAsia="Times New Roman"/>
                <w:b/>
                <w:bCs/>
                <w:color w:val="000000"/>
              </w:rPr>
              <w:t>3% NPV</w:t>
            </w:r>
          </w:p>
        </w:tc>
      </w:tr>
      <w:tr w14:paraId="172BAFF4" w14:textId="77777777" w:rsidTr="0066072E">
        <w:tblPrEx>
          <w:tblW w:w="9350" w:type="dxa"/>
          <w:tblLook w:val="04A0"/>
        </w:tblPrEx>
        <w:trPr>
          <w:trHeight w:val="280"/>
        </w:trPr>
        <w:tc>
          <w:tcPr>
            <w:tcW w:w="2947" w:type="dxa"/>
            <w:tcBorders>
              <w:top w:val="nil"/>
              <w:left w:val="single" w:sz="4" w:space="0" w:color="auto"/>
              <w:bottom w:val="single" w:sz="4" w:space="0" w:color="auto"/>
              <w:right w:val="single" w:sz="4" w:space="0" w:color="auto"/>
            </w:tcBorders>
            <w:shd w:val="clear" w:color="auto" w:fill="auto"/>
            <w:noWrap/>
            <w:vAlign w:val="center"/>
            <w:hideMark/>
          </w:tcPr>
          <w:p w:rsidR="0078072B" w:rsidRPr="0012327A" w:rsidP="0066072E" w14:paraId="02CBC8F8" w14:textId="77777777">
            <w:pPr>
              <w:keepNext/>
              <w:keepLines/>
              <w:autoSpaceDE/>
              <w:autoSpaceDN/>
              <w:adjustRightInd/>
              <w:spacing w:line="240" w:lineRule="auto"/>
              <w:rPr>
                <w:rFonts w:eastAsia="Times New Roman"/>
                <w:color w:val="000000"/>
              </w:rPr>
            </w:pPr>
            <w:r w:rsidRPr="0012327A">
              <w:rPr>
                <w:rFonts w:eastAsia="Times New Roman"/>
                <w:color w:val="000000"/>
              </w:rPr>
              <w:t xml:space="preserve">Initial </w:t>
            </w:r>
            <w:r>
              <w:rPr>
                <w:rFonts w:eastAsia="Times New Roman"/>
                <w:color w:val="000000"/>
              </w:rPr>
              <w:t>LR</w:t>
            </w:r>
          </w:p>
        </w:tc>
        <w:tc>
          <w:tcPr>
            <w:tcW w:w="2182" w:type="dxa"/>
            <w:tcBorders>
              <w:top w:val="nil"/>
              <w:left w:val="nil"/>
              <w:bottom w:val="single" w:sz="4" w:space="0" w:color="auto"/>
              <w:right w:val="single" w:sz="4" w:space="0" w:color="auto"/>
            </w:tcBorders>
            <w:shd w:val="clear" w:color="auto" w:fill="auto"/>
            <w:noWrap/>
            <w:vAlign w:val="center"/>
            <w:hideMark/>
          </w:tcPr>
          <w:p w:rsidR="0078072B" w:rsidRPr="0012327A" w:rsidP="0066072E" w14:paraId="5EE985A5" w14:textId="033CF277">
            <w:pPr>
              <w:keepNext/>
              <w:keepLines/>
              <w:autoSpaceDE/>
              <w:autoSpaceDN/>
              <w:adjustRightInd/>
              <w:spacing w:line="240" w:lineRule="auto"/>
              <w:jc w:val="center"/>
              <w:rPr>
                <w:rFonts w:eastAsia="Times New Roman"/>
                <w:color w:val="000000"/>
              </w:rPr>
            </w:pPr>
            <w:r w:rsidRPr="00C26D8A">
              <w:rPr>
                <w:color w:val="000000"/>
              </w:rPr>
              <w:t>($201,000)</w:t>
            </w:r>
          </w:p>
        </w:tc>
        <w:tc>
          <w:tcPr>
            <w:tcW w:w="2039" w:type="dxa"/>
            <w:tcBorders>
              <w:top w:val="nil"/>
              <w:left w:val="nil"/>
              <w:bottom w:val="single" w:sz="4" w:space="0" w:color="auto"/>
              <w:right w:val="single" w:sz="4" w:space="0" w:color="auto"/>
            </w:tcBorders>
            <w:shd w:val="clear" w:color="auto" w:fill="auto"/>
            <w:noWrap/>
            <w:vAlign w:val="center"/>
            <w:hideMark/>
          </w:tcPr>
          <w:p w:rsidR="0078072B" w:rsidRPr="0012327A" w:rsidP="0066072E" w14:paraId="3FB8E396" w14:textId="1DAF7337">
            <w:pPr>
              <w:keepNext/>
              <w:keepLines/>
              <w:autoSpaceDE/>
              <w:autoSpaceDN/>
              <w:adjustRightInd/>
              <w:spacing w:line="240" w:lineRule="auto"/>
              <w:jc w:val="center"/>
              <w:rPr>
                <w:rFonts w:eastAsia="Times New Roman"/>
                <w:color w:val="000000"/>
              </w:rPr>
            </w:pPr>
            <w:r w:rsidRPr="00C26D8A">
              <w:rPr>
                <w:color w:val="000000"/>
              </w:rPr>
              <w:t>($99,000)</w:t>
            </w:r>
          </w:p>
        </w:tc>
        <w:tc>
          <w:tcPr>
            <w:tcW w:w="2182" w:type="dxa"/>
            <w:tcBorders>
              <w:top w:val="nil"/>
              <w:left w:val="nil"/>
              <w:bottom w:val="single" w:sz="4" w:space="0" w:color="auto"/>
              <w:right w:val="single" w:sz="4" w:space="0" w:color="auto"/>
            </w:tcBorders>
            <w:shd w:val="clear" w:color="auto" w:fill="auto"/>
            <w:noWrap/>
            <w:vAlign w:val="center"/>
            <w:hideMark/>
          </w:tcPr>
          <w:p w:rsidR="0078072B" w:rsidRPr="0012327A" w:rsidP="0066072E" w14:paraId="32FFB767" w14:textId="6B782F08">
            <w:pPr>
              <w:keepNext/>
              <w:keepLines/>
              <w:autoSpaceDE/>
              <w:autoSpaceDN/>
              <w:adjustRightInd/>
              <w:spacing w:line="240" w:lineRule="auto"/>
              <w:jc w:val="center"/>
              <w:rPr>
                <w:rFonts w:eastAsia="Times New Roman"/>
                <w:color w:val="000000"/>
              </w:rPr>
            </w:pPr>
            <w:r w:rsidRPr="00C26D8A">
              <w:rPr>
                <w:color w:val="000000"/>
              </w:rPr>
              <w:t>($147,000)</w:t>
            </w:r>
          </w:p>
        </w:tc>
      </w:tr>
      <w:tr w14:paraId="7B0EC2C1" w14:textId="77777777" w:rsidTr="0066072E">
        <w:tblPrEx>
          <w:tblW w:w="9350" w:type="dxa"/>
          <w:tblLook w:val="04A0"/>
        </w:tblPrEx>
        <w:trPr>
          <w:trHeight w:val="280"/>
        </w:trPr>
        <w:tc>
          <w:tcPr>
            <w:tcW w:w="2947" w:type="dxa"/>
            <w:tcBorders>
              <w:top w:val="nil"/>
              <w:left w:val="single" w:sz="4" w:space="0" w:color="auto"/>
              <w:bottom w:val="single" w:sz="4" w:space="0" w:color="auto"/>
              <w:right w:val="single" w:sz="4" w:space="0" w:color="auto"/>
            </w:tcBorders>
            <w:shd w:val="clear" w:color="auto" w:fill="auto"/>
            <w:noWrap/>
            <w:vAlign w:val="center"/>
            <w:hideMark/>
          </w:tcPr>
          <w:p w:rsidR="0078072B" w:rsidRPr="0012327A" w:rsidP="0066072E" w14:paraId="0209ECB3" w14:textId="77777777">
            <w:pPr>
              <w:keepNext/>
              <w:keepLines/>
              <w:autoSpaceDE/>
              <w:autoSpaceDN/>
              <w:adjustRightInd/>
              <w:spacing w:line="240" w:lineRule="auto"/>
              <w:rPr>
                <w:rFonts w:eastAsia="Times New Roman"/>
                <w:color w:val="000000"/>
              </w:rPr>
            </w:pPr>
            <w:r w:rsidRPr="0012327A">
              <w:rPr>
                <w:rFonts w:eastAsia="Times New Roman"/>
                <w:color w:val="000000"/>
              </w:rPr>
              <w:t>Future SLR</w:t>
            </w:r>
          </w:p>
        </w:tc>
        <w:tc>
          <w:tcPr>
            <w:tcW w:w="2182" w:type="dxa"/>
            <w:tcBorders>
              <w:top w:val="nil"/>
              <w:left w:val="nil"/>
              <w:bottom w:val="single" w:sz="4" w:space="0" w:color="auto"/>
              <w:right w:val="single" w:sz="4" w:space="0" w:color="auto"/>
            </w:tcBorders>
            <w:shd w:val="clear" w:color="auto" w:fill="auto"/>
            <w:noWrap/>
            <w:vAlign w:val="center"/>
            <w:hideMark/>
          </w:tcPr>
          <w:p w:rsidR="0078072B" w:rsidRPr="0012327A" w:rsidP="0066072E" w14:paraId="51CA4653" w14:textId="7397EA04">
            <w:pPr>
              <w:keepNext/>
              <w:keepLines/>
              <w:autoSpaceDE/>
              <w:autoSpaceDN/>
              <w:adjustRightInd/>
              <w:spacing w:line="240" w:lineRule="auto"/>
              <w:jc w:val="center"/>
              <w:rPr>
                <w:rFonts w:eastAsia="Times New Roman"/>
                <w:color w:val="000000"/>
              </w:rPr>
            </w:pPr>
            <w:r w:rsidRPr="00C26D8A">
              <w:rPr>
                <w:color w:val="000000"/>
              </w:rPr>
              <w:t xml:space="preserve">$128,816,000 </w:t>
            </w:r>
          </w:p>
        </w:tc>
        <w:tc>
          <w:tcPr>
            <w:tcW w:w="2039" w:type="dxa"/>
            <w:tcBorders>
              <w:top w:val="nil"/>
              <w:left w:val="nil"/>
              <w:bottom w:val="single" w:sz="4" w:space="0" w:color="auto"/>
              <w:right w:val="single" w:sz="4" w:space="0" w:color="auto"/>
            </w:tcBorders>
            <w:shd w:val="clear" w:color="auto" w:fill="auto"/>
            <w:noWrap/>
            <w:vAlign w:val="center"/>
            <w:hideMark/>
          </w:tcPr>
          <w:p w:rsidR="0078072B" w:rsidRPr="0012327A" w:rsidP="0066072E" w14:paraId="57F8B9F1" w14:textId="5B9B011E">
            <w:pPr>
              <w:keepNext/>
              <w:keepLines/>
              <w:autoSpaceDE/>
              <w:autoSpaceDN/>
              <w:adjustRightInd/>
              <w:spacing w:line="240" w:lineRule="auto"/>
              <w:jc w:val="center"/>
              <w:rPr>
                <w:rFonts w:eastAsia="Times New Roman"/>
                <w:color w:val="000000"/>
              </w:rPr>
            </w:pPr>
            <w:r w:rsidRPr="00C26D8A">
              <w:rPr>
                <w:color w:val="000000"/>
              </w:rPr>
              <w:t xml:space="preserve">$88,412,000 </w:t>
            </w:r>
          </w:p>
        </w:tc>
        <w:tc>
          <w:tcPr>
            <w:tcW w:w="2182" w:type="dxa"/>
            <w:tcBorders>
              <w:top w:val="nil"/>
              <w:left w:val="nil"/>
              <w:bottom w:val="single" w:sz="4" w:space="0" w:color="auto"/>
              <w:right w:val="single" w:sz="4" w:space="0" w:color="auto"/>
            </w:tcBorders>
            <w:shd w:val="clear" w:color="auto" w:fill="auto"/>
            <w:noWrap/>
            <w:vAlign w:val="center"/>
            <w:hideMark/>
          </w:tcPr>
          <w:p w:rsidR="0078072B" w:rsidRPr="0012327A" w:rsidP="0066072E" w14:paraId="7C023095" w14:textId="12EBF53C">
            <w:pPr>
              <w:keepNext/>
              <w:keepLines/>
              <w:autoSpaceDE/>
              <w:autoSpaceDN/>
              <w:adjustRightInd/>
              <w:spacing w:line="240" w:lineRule="auto"/>
              <w:jc w:val="center"/>
              <w:rPr>
                <w:rFonts w:eastAsia="Times New Roman"/>
                <w:color w:val="000000"/>
              </w:rPr>
            </w:pPr>
            <w:r w:rsidRPr="00C26D8A">
              <w:rPr>
                <w:color w:val="000000"/>
              </w:rPr>
              <w:t xml:space="preserve">$108,302,000 </w:t>
            </w:r>
          </w:p>
        </w:tc>
      </w:tr>
      <w:tr w14:paraId="4B4E8CC5" w14:textId="77777777" w:rsidTr="0066072E">
        <w:tblPrEx>
          <w:tblW w:w="9350" w:type="dxa"/>
          <w:tblLook w:val="04A0"/>
        </w:tblPrEx>
        <w:trPr>
          <w:trHeight w:val="280"/>
        </w:trPr>
        <w:tc>
          <w:tcPr>
            <w:tcW w:w="2947" w:type="dxa"/>
            <w:tcBorders>
              <w:top w:val="nil"/>
              <w:left w:val="single" w:sz="4" w:space="0" w:color="auto"/>
              <w:bottom w:val="single" w:sz="4" w:space="0" w:color="auto"/>
              <w:right w:val="single" w:sz="4" w:space="0" w:color="auto"/>
            </w:tcBorders>
            <w:shd w:val="clear" w:color="auto" w:fill="auto"/>
            <w:noWrap/>
            <w:vAlign w:val="center"/>
            <w:hideMark/>
          </w:tcPr>
          <w:p w:rsidR="0078072B" w:rsidRPr="0012327A" w:rsidP="0066072E" w14:paraId="0052656C" w14:textId="685010E3">
            <w:pPr>
              <w:keepNext/>
              <w:keepLines/>
              <w:autoSpaceDE/>
              <w:autoSpaceDN/>
              <w:adjustRightInd/>
              <w:spacing w:line="240" w:lineRule="auto"/>
              <w:rPr>
                <w:rFonts w:eastAsia="Times New Roman"/>
                <w:color w:val="000000"/>
              </w:rPr>
            </w:pPr>
            <w:r w:rsidRPr="0012327A">
              <w:rPr>
                <w:rFonts w:eastAsia="Times New Roman"/>
                <w:color w:val="000000"/>
              </w:rPr>
              <w:t>Near-ter</w:t>
            </w:r>
            <w:r>
              <w:rPr>
                <w:rFonts w:eastAsia="Times New Roman"/>
                <w:color w:val="000000"/>
              </w:rPr>
              <w:t>m</w:t>
            </w:r>
            <w:r w:rsidR="00211BE5">
              <w:rPr>
                <w:rFonts w:eastAsia="Times New Roman"/>
                <w:color w:val="000000"/>
              </w:rPr>
              <w:t xml:space="preserve"> and</w:t>
            </w:r>
            <w:r w:rsidRPr="0012327A">
              <w:rPr>
                <w:rFonts w:eastAsia="Times New Roman"/>
                <w:color w:val="000000"/>
              </w:rPr>
              <w:t xml:space="preserve"> Submitted</w:t>
            </w:r>
            <w:r w:rsidR="00211BE5">
              <w:rPr>
                <w:rFonts w:eastAsia="Times New Roman"/>
                <w:color w:val="000000"/>
              </w:rPr>
              <w:t xml:space="preserve"> Applications</w:t>
            </w:r>
            <w:r w:rsidRPr="0012327A">
              <w:rPr>
                <w:rFonts w:eastAsia="Times New Roman"/>
                <w:color w:val="000000"/>
              </w:rPr>
              <w:t xml:space="preserve">, </w:t>
            </w:r>
            <w:r w:rsidR="000D10AC">
              <w:rPr>
                <w:rFonts w:eastAsia="Times New Roman"/>
                <w:color w:val="000000"/>
              </w:rPr>
              <w:t xml:space="preserve">and Issued </w:t>
            </w:r>
            <w:r>
              <w:rPr>
                <w:rFonts w:eastAsia="Times New Roman"/>
                <w:color w:val="000000"/>
              </w:rPr>
              <w:t>Subsequently Renewed Licenses</w:t>
            </w:r>
          </w:p>
        </w:tc>
        <w:tc>
          <w:tcPr>
            <w:tcW w:w="2182" w:type="dxa"/>
            <w:tcBorders>
              <w:top w:val="nil"/>
              <w:left w:val="nil"/>
              <w:bottom w:val="single" w:sz="4" w:space="0" w:color="auto"/>
              <w:right w:val="single" w:sz="4" w:space="0" w:color="auto"/>
            </w:tcBorders>
            <w:shd w:val="clear" w:color="auto" w:fill="auto"/>
            <w:noWrap/>
            <w:vAlign w:val="center"/>
            <w:hideMark/>
          </w:tcPr>
          <w:p w:rsidR="0078072B" w:rsidRPr="0012327A" w:rsidP="0066072E" w14:paraId="740984B9" w14:textId="6F648C37">
            <w:pPr>
              <w:keepNext/>
              <w:keepLines/>
              <w:autoSpaceDE/>
              <w:autoSpaceDN/>
              <w:adjustRightInd/>
              <w:spacing w:line="240" w:lineRule="auto"/>
              <w:jc w:val="center"/>
              <w:rPr>
                <w:rFonts w:eastAsia="Times New Roman"/>
                <w:color w:val="000000"/>
              </w:rPr>
            </w:pPr>
            <w:r w:rsidRPr="00C26D8A">
              <w:rPr>
                <w:color w:val="000000"/>
              </w:rPr>
              <w:t>($3,128,000)</w:t>
            </w:r>
          </w:p>
        </w:tc>
        <w:tc>
          <w:tcPr>
            <w:tcW w:w="2039" w:type="dxa"/>
            <w:tcBorders>
              <w:top w:val="nil"/>
              <w:left w:val="nil"/>
              <w:bottom w:val="single" w:sz="4" w:space="0" w:color="auto"/>
              <w:right w:val="single" w:sz="4" w:space="0" w:color="auto"/>
            </w:tcBorders>
            <w:shd w:val="clear" w:color="auto" w:fill="auto"/>
            <w:noWrap/>
            <w:vAlign w:val="center"/>
            <w:hideMark/>
          </w:tcPr>
          <w:p w:rsidR="0078072B" w:rsidRPr="0012327A" w:rsidP="0066072E" w14:paraId="2C3598A8" w14:textId="30D1C9D4">
            <w:pPr>
              <w:keepNext/>
              <w:keepLines/>
              <w:autoSpaceDE/>
              <w:autoSpaceDN/>
              <w:adjustRightInd/>
              <w:spacing w:line="240" w:lineRule="auto"/>
              <w:jc w:val="center"/>
              <w:rPr>
                <w:rFonts w:eastAsia="Times New Roman"/>
                <w:color w:val="000000"/>
              </w:rPr>
            </w:pPr>
            <w:r w:rsidRPr="00C26D8A">
              <w:rPr>
                <w:color w:val="000000"/>
              </w:rPr>
              <w:t>($2,738,000)</w:t>
            </w:r>
          </w:p>
        </w:tc>
        <w:tc>
          <w:tcPr>
            <w:tcW w:w="2182" w:type="dxa"/>
            <w:tcBorders>
              <w:top w:val="nil"/>
              <w:left w:val="nil"/>
              <w:bottom w:val="single" w:sz="4" w:space="0" w:color="auto"/>
              <w:right w:val="single" w:sz="4" w:space="0" w:color="auto"/>
            </w:tcBorders>
            <w:shd w:val="clear" w:color="auto" w:fill="auto"/>
            <w:noWrap/>
            <w:vAlign w:val="center"/>
            <w:hideMark/>
          </w:tcPr>
          <w:p w:rsidR="0078072B" w:rsidRPr="0012327A" w:rsidP="0066072E" w14:paraId="1F2E3907" w14:textId="7B96B0E0">
            <w:pPr>
              <w:keepNext/>
              <w:keepLines/>
              <w:autoSpaceDE/>
              <w:autoSpaceDN/>
              <w:adjustRightInd/>
              <w:spacing w:line="240" w:lineRule="auto"/>
              <w:jc w:val="center"/>
              <w:rPr>
                <w:rFonts w:eastAsia="Times New Roman"/>
                <w:color w:val="000000"/>
              </w:rPr>
            </w:pPr>
            <w:r w:rsidRPr="00C26D8A">
              <w:rPr>
                <w:color w:val="000000"/>
              </w:rPr>
              <w:t>($2,951,000)</w:t>
            </w:r>
          </w:p>
        </w:tc>
      </w:tr>
      <w:tr w14:paraId="27F4CFFA" w14:textId="77777777" w:rsidTr="0066072E">
        <w:tblPrEx>
          <w:tblW w:w="9350" w:type="dxa"/>
          <w:tblLook w:val="04A0"/>
        </w:tblPrEx>
        <w:trPr>
          <w:trHeight w:val="280"/>
        </w:trPr>
        <w:tc>
          <w:tcPr>
            <w:tcW w:w="2947" w:type="dxa"/>
            <w:tcBorders>
              <w:top w:val="nil"/>
              <w:left w:val="single" w:sz="4" w:space="0" w:color="auto"/>
              <w:bottom w:val="single" w:sz="4" w:space="0" w:color="auto"/>
              <w:right w:val="single" w:sz="4" w:space="0" w:color="auto"/>
            </w:tcBorders>
            <w:shd w:val="clear" w:color="auto" w:fill="auto"/>
            <w:noWrap/>
            <w:vAlign w:val="center"/>
            <w:hideMark/>
          </w:tcPr>
          <w:p w:rsidR="0078072B" w:rsidRPr="0012327A" w:rsidP="0066072E" w14:paraId="1F7B497F" w14:textId="77777777">
            <w:pPr>
              <w:keepNext/>
              <w:keepLines/>
              <w:autoSpaceDE/>
              <w:autoSpaceDN/>
              <w:adjustRightInd/>
              <w:spacing w:line="240" w:lineRule="auto"/>
              <w:rPr>
                <w:rFonts w:eastAsia="Times New Roman"/>
                <w:b/>
                <w:bCs/>
                <w:color w:val="000000"/>
              </w:rPr>
            </w:pPr>
            <w:r w:rsidRPr="0012327A">
              <w:rPr>
                <w:rFonts w:eastAsia="Times New Roman"/>
                <w:b/>
                <w:bCs/>
                <w:color w:val="000000"/>
              </w:rPr>
              <w:t>Net Benefit (Cost)</w:t>
            </w:r>
          </w:p>
        </w:tc>
        <w:tc>
          <w:tcPr>
            <w:tcW w:w="2182" w:type="dxa"/>
            <w:tcBorders>
              <w:top w:val="nil"/>
              <w:left w:val="nil"/>
              <w:bottom w:val="single" w:sz="4" w:space="0" w:color="auto"/>
              <w:right w:val="single" w:sz="4" w:space="0" w:color="auto"/>
            </w:tcBorders>
            <w:shd w:val="clear" w:color="auto" w:fill="auto"/>
            <w:noWrap/>
            <w:vAlign w:val="center"/>
            <w:hideMark/>
          </w:tcPr>
          <w:p w:rsidR="0078072B" w:rsidRPr="0012327A" w:rsidP="0066072E" w14:paraId="57BF3E24" w14:textId="611DB6C8">
            <w:pPr>
              <w:keepNext/>
              <w:keepLines/>
              <w:autoSpaceDE/>
              <w:autoSpaceDN/>
              <w:adjustRightInd/>
              <w:spacing w:line="240" w:lineRule="auto"/>
              <w:jc w:val="center"/>
              <w:rPr>
                <w:rFonts w:eastAsia="Times New Roman"/>
                <w:b/>
                <w:bCs/>
                <w:color w:val="000000"/>
              </w:rPr>
            </w:pPr>
            <w:r w:rsidRPr="00C26D8A">
              <w:rPr>
                <w:b/>
                <w:bCs/>
                <w:color w:val="000000"/>
              </w:rPr>
              <w:t xml:space="preserve">$125,487,000 </w:t>
            </w:r>
          </w:p>
        </w:tc>
        <w:tc>
          <w:tcPr>
            <w:tcW w:w="2039" w:type="dxa"/>
            <w:tcBorders>
              <w:top w:val="nil"/>
              <w:left w:val="nil"/>
              <w:bottom w:val="single" w:sz="4" w:space="0" w:color="auto"/>
              <w:right w:val="single" w:sz="4" w:space="0" w:color="auto"/>
            </w:tcBorders>
            <w:shd w:val="clear" w:color="auto" w:fill="auto"/>
            <w:noWrap/>
            <w:vAlign w:val="center"/>
            <w:hideMark/>
          </w:tcPr>
          <w:p w:rsidR="0078072B" w:rsidRPr="0012327A" w:rsidP="0066072E" w14:paraId="5EBFBCF9" w14:textId="1831A5DA">
            <w:pPr>
              <w:keepNext/>
              <w:keepLines/>
              <w:autoSpaceDE/>
              <w:autoSpaceDN/>
              <w:adjustRightInd/>
              <w:spacing w:line="240" w:lineRule="auto"/>
              <w:jc w:val="center"/>
              <w:rPr>
                <w:rFonts w:eastAsia="Times New Roman"/>
                <w:b/>
                <w:bCs/>
                <w:color w:val="000000"/>
              </w:rPr>
            </w:pPr>
            <w:r w:rsidRPr="00C26D8A">
              <w:rPr>
                <w:b/>
                <w:bCs/>
                <w:color w:val="000000"/>
              </w:rPr>
              <w:t xml:space="preserve">$85,575,000 </w:t>
            </w:r>
          </w:p>
        </w:tc>
        <w:tc>
          <w:tcPr>
            <w:tcW w:w="2182" w:type="dxa"/>
            <w:tcBorders>
              <w:top w:val="nil"/>
              <w:left w:val="nil"/>
              <w:bottom w:val="single" w:sz="4" w:space="0" w:color="auto"/>
              <w:right w:val="single" w:sz="4" w:space="0" w:color="auto"/>
            </w:tcBorders>
            <w:shd w:val="clear" w:color="auto" w:fill="auto"/>
            <w:noWrap/>
            <w:vAlign w:val="center"/>
            <w:hideMark/>
          </w:tcPr>
          <w:p w:rsidR="0078072B" w:rsidRPr="0012327A" w:rsidP="0066072E" w14:paraId="7CC18AC0" w14:textId="6255F521">
            <w:pPr>
              <w:keepNext/>
              <w:keepLines/>
              <w:autoSpaceDE/>
              <w:autoSpaceDN/>
              <w:adjustRightInd/>
              <w:spacing w:line="240" w:lineRule="auto"/>
              <w:jc w:val="center"/>
              <w:rPr>
                <w:rFonts w:eastAsia="Times New Roman"/>
                <w:b/>
                <w:bCs/>
                <w:color w:val="000000"/>
              </w:rPr>
            </w:pPr>
            <w:r w:rsidRPr="00C26D8A">
              <w:rPr>
                <w:b/>
                <w:bCs/>
                <w:color w:val="000000"/>
              </w:rPr>
              <w:t xml:space="preserve">$105,204,000 </w:t>
            </w:r>
          </w:p>
        </w:tc>
      </w:tr>
    </w:tbl>
    <w:p w:rsidR="0078072B" w:rsidRPr="00255BAE" w:rsidP="0078072B" w14:paraId="75DB76C5" w14:textId="77777777">
      <w:pPr>
        <w:rPr>
          <w:sz w:val="18"/>
          <w:szCs w:val="18"/>
        </w:rPr>
      </w:pPr>
      <w:r w:rsidRPr="00255BAE">
        <w:rPr>
          <w:sz w:val="18"/>
          <w:szCs w:val="18"/>
          <w:vertAlign w:val="superscript"/>
        </w:rPr>
        <w:t>a</w:t>
      </w:r>
      <w:r w:rsidRPr="00255BAE">
        <w:rPr>
          <w:sz w:val="18"/>
          <w:szCs w:val="18"/>
        </w:rPr>
        <w:t xml:space="preserve"> Values rounded to the nearest thousand dollars.</w:t>
      </w:r>
    </w:p>
    <w:p w:rsidR="0078072B" w:rsidRPr="00255BAE" w:rsidP="0078072B" w14:paraId="7F68524F" w14:textId="77777777">
      <w:pPr>
        <w:ind w:left="90" w:hanging="90"/>
        <w:rPr>
          <w:sz w:val="18"/>
          <w:szCs w:val="18"/>
        </w:rPr>
      </w:pPr>
      <w:r w:rsidRPr="00B36AF8">
        <w:rPr>
          <w:sz w:val="18"/>
          <w:szCs w:val="18"/>
          <w:vertAlign w:val="superscript"/>
        </w:rPr>
        <w:t>b</w:t>
      </w:r>
      <w:r>
        <w:rPr>
          <w:sz w:val="18"/>
          <w:szCs w:val="18"/>
        </w:rPr>
        <w:t xml:space="preserve"> Implementation costs were allotted based on the projected number of affected license renewal applications submitted by that group.</w:t>
      </w:r>
    </w:p>
    <w:p w:rsidR="0078072B" w:rsidRPr="00255BAE" w:rsidP="0078072B" w14:paraId="602A8C85" w14:textId="77777777"/>
    <w:p w:rsidR="00750A1E" w:rsidRPr="00255BAE" w:rsidP="00750A1E" w14:paraId="03B3EFAC" w14:textId="2AF5B9BD">
      <w:pPr>
        <w:pStyle w:val="ListParagraph"/>
        <w:numPr>
          <w:ilvl w:val="0"/>
          <w:numId w:val="3"/>
        </w:numPr>
        <w:ind w:hanging="720"/>
      </w:pPr>
      <w:r w:rsidRPr="00EE0094">
        <w:rPr>
          <w:u w:val="single"/>
        </w:rPr>
        <w:t>Nonquantified Benefits</w:t>
      </w:r>
      <w:r>
        <w:t>:</w:t>
      </w:r>
      <w:r w:rsidRPr="00EE0094">
        <w:t xml:space="preserve"> </w:t>
      </w:r>
      <w:r w:rsidRPr="00992B76" w:rsidR="00CC4858">
        <w:t>Based upon the assessment of total costs and benefits</w:t>
      </w:r>
      <w:r w:rsidRPr="00414A3D" w:rsidR="00CC4858">
        <w:t xml:space="preserve">, the NRC concludes that the rule, if issued, </w:t>
      </w:r>
      <w:r w:rsidRPr="00255BAE" w:rsidR="00CC4858">
        <w:t xml:space="preserve">would </w:t>
      </w:r>
      <w:r w:rsidR="00D02357">
        <w:t xml:space="preserve">continue to </w:t>
      </w:r>
      <w:r w:rsidR="00B956FA">
        <w:t>ensure a</w:t>
      </w:r>
      <w:r w:rsidR="00473B97">
        <w:t>dequate consideration</w:t>
      </w:r>
      <w:r w:rsidR="00B956FA">
        <w:t xml:space="preserve"> of</w:t>
      </w:r>
      <w:r w:rsidR="00D458A0">
        <w:t xml:space="preserve"> the environment</w:t>
      </w:r>
      <w:r w:rsidR="00B956FA">
        <w:t xml:space="preserve">al impacts </w:t>
      </w:r>
      <w:r w:rsidR="00473B97">
        <w:t>associated with</w:t>
      </w:r>
      <w:r w:rsidR="00B956FA">
        <w:t xml:space="preserve"> license renewal</w:t>
      </w:r>
      <w:r w:rsidR="00D458A0">
        <w:t xml:space="preserve"> </w:t>
      </w:r>
      <w:r w:rsidR="0080050A">
        <w:t>while increasing</w:t>
      </w:r>
      <w:r w:rsidRPr="00255BAE" w:rsidR="00CC4858">
        <w:t xml:space="preserve"> regulatory clarity </w:t>
      </w:r>
      <w:r w:rsidR="00CB5FF8">
        <w:t>in the license renewal process</w:t>
      </w:r>
      <w:r w:rsidR="00CC4858">
        <w:t>.</w:t>
      </w:r>
      <w:r w:rsidRPr="00255BAE" w:rsidR="00CC4858">
        <w:t xml:space="preserve"> The revised rule would result in a more consistent implementation of the NRC’s regulatory program and Federal environmental statutes and regulations. Additionally, the rule would ensure that the NRC’s license renewal program fully accounts for SLR.</w:t>
      </w:r>
    </w:p>
    <w:p w:rsidR="0078072B" w:rsidRPr="00154E21" w:rsidP="0078072B" w14:paraId="34A2CADB" w14:textId="77777777"/>
    <w:p w:rsidR="0078072B" w:rsidRPr="00A00BC3" w:rsidP="0078072B" w14:paraId="644D0AD9" w14:textId="3D2CFD81">
      <w:pPr>
        <w:pStyle w:val="ListParagraph"/>
        <w:numPr>
          <w:ilvl w:val="0"/>
          <w:numId w:val="3"/>
        </w:numPr>
        <w:ind w:hanging="720"/>
      </w:pPr>
      <w:r w:rsidRPr="00A00BC3">
        <w:rPr>
          <w:u w:val="single"/>
        </w:rPr>
        <w:t>Uncertainty Analysis</w:t>
      </w:r>
      <w:r w:rsidRPr="00A00BC3">
        <w:t xml:space="preserve">: The regulatory analysis contains a Monte Carlo simulation analysis that shows the mean net benefit for this </w:t>
      </w:r>
      <w:r w:rsidR="007848AF">
        <w:t>final</w:t>
      </w:r>
      <w:r w:rsidRPr="00A00BC3">
        <w:t xml:space="preserve"> rule is $</w:t>
      </w:r>
      <w:r w:rsidR="00D458A0">
        <w:t>86</w:t>
      </w:r>
      <w:r w:rsidRPr="00A00BC3">
        <w:t xml:space="preserve"> million, with 90 percent confidence that the net benefit is between $6</w:t>
      </w:r>
      <w:r w:rsidR="00D458A0">
        <w:t>9</w:t>
      </w:r>
      <w:r w:rsidRPr="00A00BC3">
        <w:t xml:space="preserve"> million and $</w:t>
      </w:r>
      <w:r w:rsidR="00D458A0">
        <w:t>102</w:t>
      </w:r>
      <w:r w:rsidRPr="00A00BC3">
        <w:t xml:space="preserve"> million using a 7 percent discount rate. The amount of time for licensees to perform an environmental analysis for new Category 2 issues is the factor responsible for the largest variation in averted costs, followed by the amount of time for the NRC to review the environmental analyses for new Category 2 issues.</w:t>
      </w:r>
    </w:p>
    <w:p w:rsidR="0078072B" w:rsidRPr="00EE0094" w:rsidP="0078072B" w14:paraId="7AA6181F" w14:textId="77777777">
      <w:pPr>
        <w:ind w:left="720" w:hanging="720"/>
        <w:contextualSpacing/>
      </w:pPr>
    </w:p>
    <w:p w:rsidR="0078072B" w:rsidRPr="00F40FBB" w:rsidP="0078072B" w14:paraId="50F84FAD" w14:textId="023B772A">
      <w:pPr>
        <w:pStyle w:val="ListParagraph"/>
        <w:numPr>
          <w:ilvl w:val="0"/>
          <w:numId w:val="6"/>
        </w:numPr>
        <w:autoSpaceDE/>
        <w:autoSpaceDN/>
        <w:adjustRightInd/>
        <w:spacing w:after="80"/>
        <w:ind w:hanging="720"/>
      </w:pPr>
      <w:r w:rsidRPr="0006077E">
        <w:rPr>
          <w:u w:val="single"/>
        </w:rPr>
        <w:t>Decision Rationale</w:t>
      </w:r>
      <w:r w:rsidRPr="0006077E">
        <w:t xml:space="preserve">: </w:t>
      </w:r>
      <w:r w:rsidRPr="00320266">
        <w:t xml:space="preserve">Relative to </w:t>
      </w:r>
      <w:r>
        <w:t xml:space="preserve">Alternative 1, </w:t>
      </w:r>
      <w:r w:rsidRPr="00320266">
        <w:t>the no action baseline, the NRC concludes that the rule is justified fro</w:t>
      </w:r>
      <w:r w:rsidRPr="00154E21">
        <w:t xml:space="preserve">m a quantitative standpoint because its provisions will result in net averted </w:t>
      </w:r>
      <w:r w:rsidRPr="00F40FBB">
        <w:t xml:space="preserve">costs (i.e., net benefits) to industry and the NRC. In addition, the NRC concludes that the rule is also justified when considering nonquantified costs and benefits because the significance of the nonquantified benefits </w:t>
      </w:r>
      <w:r w:rsidR="008A6ACE">
        <w:t>(i.e.,</w:t>
      </w:r>
      <w:r w:rsidRPr="008D00E2" w:rsidR="008A6ACE">
        <w:t xml:space="preserve"> </w:t>
      </w:r>
      <w:r w:rsidR="008A6ACE">
        <w:t>improvements in</w:t>
      </w:r>
      <w:r w:rsidRPr="008D00E2" w:rsidR="008A6ACE">
        <w:t xml:space="preserve"> the quality of the information provided to the NRC, regulatory clarity, and NRC compliance with Federal environmental statutes and regulations)</w:t>
      </w:r>
      <w:r w:rsidRPr="008D00E2" w:rsidR="008D00E2">
        <w:t xml:space="preserve"> </w:t>
      </w:r>
      <w:r w:rsidRPr="00F40FBB">
        <w:t xml:space="preserve">outweighs the </w:t>
      </w:r>
      <w:r>
        <w:t>nonquantified</w:t>
      </w:r>
      <w:r w:rsidRPr="00F40FBB">
        <w:t xml:space="preserve"> costs.</w:t>
      </w:r>
    </w:p>
    <w:p w:rsidR="0078072B" w:rsidRPr="00F40FBB" w:rsidP="0078072B" w14:paraId="611587C6" w14:textId="77777777">
      <w:pPr>
        <w:pStyle w:val="ListParagraph"/>
        <w:autoSpaceDE/>
        <w:autoSpaceDN/>
        <w:adjustRightInd/>
        <w:spacing w:after="80"/>
      </w:pPr>
    </w:p>
    <w:p w:rsidR="0078072B" w:rsidRPr="00F40FBB" w:rsidP="0078072B" w14:paraId="12068E4D" w14:textId="1692D4F9">
      <w:pPr>
        <w:pStyle w:val="ListParagraph"/>
        <w:numPr>
          <w:ilvl w:val="0"/>
          <w:numId w:val="6"/>
        </w:numPr>
        <w:autoSpaceDE/>
        <w:autoSpaceDN/>
        <w:adjustRightInd/>
        <w:spacing w:after="80"/>
        <w:ind w:hanging="720"/>
      </w:pPr>
      <w:r w:rsidRPr="37A6B070">
        <w:rPr>
          <w:u w:val="single"/>
        </w:rPr>
        <w:t>Implementation</w:t>
      </w:r>
      <w:r>
        <w:t xml:space="preserve">. The NRC expects that the final rule would be effective in 2024. </w:t>
      </w:r>
      <w:r w:rsidR="002D5E26">
        <w:t>However, c</w:t>
      </w:r>
      <w:r w:rsidRPr="00E732E3" w:rsidR="002D5E26">
        <w:t>ompliance with th</w:t>
      </w:r>
      <w:r w:rsidR="00564598">
        <w:t>e</w:t>
      </w:r>
      <w:r w:rsidRPr="00E732E3" w:rsidR="002D5E26">
        <w:t xml:space="preserve"> final rule </w:t>
      </w:r>
      <w:r w:rsidR="002D5E26">
        <w:t>will be</w:t>
      </w:r>
      <w:r w:rsidRPr="00E732E3" w:rsidR="002D5E26">
        <w:t xml:space="preserve"> required </w:t>
      </w:r>
      <w:r w:rsidR="002D5E26">
        <w:t>within a year aft</w:t>
      </w:r>
      <w:r w:rsidR="002058FE">
        <w:t>er publication in the</w:t>
      </w:r>
      <w:r w:rsidRPr="00E4074A" w:rsidR="002D5E26">
        <w:rPr>
          <w:i/>
          <w:iCs/>
        </w:rPr>
        <w:t xml:space="preserve"> </w:t>
      </w:r>
      <w:r w:rsidRPr="00E4074A" w:rsidR="0007578E">
        <w:rPr>
          <w:i/>
          <w:iCs/>
        </w:rPr>
        <w:t>Federal Register</w:t>
      </w:r>
      <w:r w:rsidR="0007578E">
        <w:t xml:space="preserve">. </w:t>
      </w:r>
      <w:r>
        <w:t xml:space="preserve">In addition to the </w:t>
      </w:r>
      <w:r w:rsidR="00C54967">
        <w:t xml:space="preserve">2013 </w:t>
      </w:r>
      <w:r>
        <w:t xml:space="preserve">LR GEIS, the </w:t>
      </w:r>
      <w:r w:rsidR="00214048">
        <w:t xml:space="preserve">NRC would correspondingly update the </w:t>
      </w:r>
      <w:r>
        <w:t>applicable guidance documents</w:t>
      </w:r>
      <w:r w:rsidR="00214048">
        <w:t xml:space="preserve">: </w:t>
      </w:r>
      <w:r>
        <w:t>Regulatory Guide 4.2, Supplement 1, Revision 1, “Preparation of Environmental Reports for Nuclear Power Plant License Renewal Applications” (NRC, 2013b), and NUREG</w:t>
      </w:r>
      <w:r w:rsidR="008D6BDF">
        <w:t>-</w:t>
      </w:r>
      <w:r>
        <w:t xml:space="preserve">1555, Supplement 1, Revision 1, </w:t>
      </w:r>
      <w:r>
        <w:t>“Standard Review Plans for Environmental Reviews for Nuclear Power Plants: Operating License Renewal” (NRC, 2013c). The NRC plans to issue the revised</w:t>
      </w:r>
      <w:r w:rsidR="00AC6D3A">
        <w:t xml:space="preserve"> guidance </w:t>
      </w:r>
      <w:r>
        <w:t>with the final rule.</w:t>
      </w:r>
    </w:p>
    <w:p w:rsidR="0078072B" w:rsidP="0078072B" w14:paraId="457F94C9" w14:textId="77777777">
      <w:pPr>
        <w:tabs>
          <w:tab w:val="right" w:pos="9000"/>
        </w:tabs>
        <w:rPr>
          <w:highlight w:val="yellow"/>
        </w:rPr>
        <w:sectPr w:rsidSect="00AA7975">
          <w:pgSz w:w="12240" w:h="15840"/>
          <w:pgMar w:top="1440" w:right="1440" w:bottom="1440" w:left="1440" w:header="720" w:footer="720" w:gutter="0"/>
          <w:pgNumType w:fmt="lowerRoman" w:start="2"/>
          <w:cols w:space="720"/>
          <w:docGrid w:linePitch="360"/>
        </w:sectPr>
      </w:pPr>
    </w:p>
    <w:sdt>
      <w:sdtPr>
        <w:rPr>
          <w:rFonts w:ascii="Arial" w:hAnsi="Arial" w:eastAsiaTheme="minorHAnsi" w:cs="Arial"/>
          <w:color w:val="000000" w:themeColor="text1"/>
          <w:sz w:val="22"/>
          <w:szCs w:val="22"/>
        </w:rPr>
        <w:id w:val="1219638587"/>
        <w:docPartObj>
          <w:docPartGallery w:val="Table of Contents"/>
          <w:docPartUnique/>
        </w:docPartObj>
      </w:sdtPr>
      <w:sdtEndPr>
        <w:rPr>
          <w:b/>
          <w:bCs/>
          <w:noProof/>
        </w:rPr>
      </w:sdtEndPr>
      <w:sdtContent>
        <w:p w:rsidR="0078072B" w:rsidRPr="00547FAC" w:rsidP="0078072B" w14:paraId="72F0A0C1" w14:textId="77777777">
          <w:pPr>
            <w:pStyle w:val="TOCHeading"/>
            <w:jc w:val="center"/>
            <w:rPr>
              <w:rFonts w:ascii="Arial Bold" w:hAnsi="Arial Bold" w:cs="Arial" w:hint="eastAsia"/>
              <w:b/>
              <w:bCs/>
              <w:caps/>
              <w:color w:val="000000" w:themeColor="text1"/>
              <w:sz w:val="28"/>
              <w:szCs w:val="28"/>
            </w:rPr>
          </w:pPr>
          <w:r w:rsidRPr="00547FAC">
            <w:rPr>
              <w:rFonts w:ascii="Arial Bold" w:hAnsi="Arial Bold" w:cs="Arial"/>
              <w:b/>
              <w:bCs/>
              <w:caps/>
              <w:color w:val="000000" w:themeColor="text1"/>
              <w:sz w:val="28"/>
              <w:szCs w:val="28"/>
            </w:rPr>
            <w:t>Table of Contents</w:t>
          </w:r>
        </w:p>
        <w:p w:rsidR="007947CC" w14:paraId="0FC405F0" w14:textId="5FDA2ADB">
          <w:pPr>
            <w:pStyle w:val="TOC1"/>
            <w:rPr>
              <w:rFonts w:asciiTheme="minorHAnsi" w:eastAsiaTheme="minorEastAsia" w:hAnsiTheme="minorHAnsi" w:cstheme="minorBidi"/>
              <w:b w:val="0"/>
              <w:bCs w:val="0"/>
              <w:color w:val="auto"/>
              <w:kern w:val="2"/>
              <w14:ligatures w14:val="standardContextual"/>
            </w:rPr>
          </w:pPr>
          <w:r w:rsidRPr="00544F9A">
            <w:rPr>
              <w:rFonts w:eastAsiaTheme="minorHAnsi" w:cs="Arial"/>
            </w:rPr>
            <w:fldChar w:fldCharType="begin"/>
          </w:r>
          <w:r w:rsidRPr="00544F9A">
            <w:instrText xml:space="preserve"> TOC \o "1-3" \h \z \u </w:instrText>
          </w:r>
          <w:r w:rsidRPr="00544F9A">
            <w:rPr>
              <w:rFonts w:eastAsiaTheme="minorHAnsi" w:cs="Arial"/>
            </w:rPr>
            <w:fldChar w:fldCharType="separate"/>
          </w:r>
          <w:hyperlink w:anchor="_Toc147922957" w:history="1">
            <w:r w:rsidRPr="0022512C">
              <w:rPr>
                <w:rStyle w:val="Hyperlink"/>
              </w:rPr>
              <w:t>ABSTRACT</w:t>
            </w:r>
            <w:r>
              <w:rPr>
                <w:webHidden/>
              </w:rPr>
              <w:tab/>
            </w:r>
            <w:r w:rsidR="00591B9B">
              <w:rPr>
                <w:webHidden/>
              </w:rPr>
              <w:tab/>
            </w:r>
            <w:r>
              <w:rPr>
                <w:webHidden/>
              </w:rPr>
              <w:fldChar w:fldCharType="begin"/>
            </w:r>
            <w:r>
              <w:rPr>
                <w:webHidden/>
              </w:rPr>
              <w:instrText xml:space="preserve"> PAGEREF _Toc147922957 \h </w:instrText>
            </w:r>
            <w:r>
              <w:rPr>
                <w:webHidden/>
              </w:rPr>
              <w:fldChar w:fldCharType="separate"/>
            </w:r>
            <w:r w:rsidR="00591B9B">
              <w:rPr>
                <w:webHidden/>
              </w:rPr>
              <w:t>i</w:t>
            </w:r>
            <w:r>
              <w:rPr>
                <w:webHidden/>
              </w:rPr>
              <w:fldChar w:fldCharType="end"/>
            </w:r>
          </w:hyperlink>
        </w:p>
        <w:p w:rsidR="007947CC" w14:paraId="6E249357" w14:textId="6D537D5A">
          <w:pPr>
            <w:pStyle w:val="TOC1"/>
            <w:rPr>
              <w:rFonts w:asciiTheme="minorHAnsi" w:eastAsiaTheme="minorEastAsia" w:hAnsiTheme="minorHAnsi" w:cstheme="minorBidi"/>
              <w:b w:val="0"/>
              <w:bCs w:val="0"/>
              <w:color w:val="auto"/>
              <w:kern w:val="2"/>
              <w14:ligatures w14:val="standardContextual"/>
            </w:rPr>
          </w:pPr>
          <w:hyperlink w:anchor="_Toc147922958" w:history="1">
            <w:r w:rsidRPr="0022512C">
              <w:rPr>
                <w:rStyle w:val="Hyperlink"/>
              </w:rPr>
              <w:t>EXECUTIVE SUMMARY</w:t>
            </w:r>
            <w:r>
              <w:rPr>
                <w:webHidden/>
              </w:rPr>
              <w:tab/>
            </w:r>
            <w:r>
              <w:rPr>
                <w:webHidden/>
              </w:rPr>
              <w:fldChar w:fldCharType="begin"/>
            </w:r>
            <w:r>
              <w:rPr>
                <w:webHidden/>
              </w:rPr>
              <w:instrText xml:space="preserve"> PAGEREF _Toc147922958 \h </w:instrText>
            </w:r>
            <w:r>
              <w:rPr>
                <w:webHidden/>
              </w:rPr>
              <w:fldChar w:fldCharType="separate"/>
            </w:r>
            <w:r w:rsidR="00591B9B">
              <w:rPr>
                <w:webHidden/>
              </w:rPr>
              <w:t>ii</w:t>
            </w:r>
            <w:r>
              <w:rPr>
                <w:webHidden/>
              </w:rPr>
              <w:fldChar w:fldCharType="end"/>
            </w:r>
          </w:hyperlink>
        </w:p>
        <w:p w:rsidR="007947CC" w14:paraId="0C355191" w14:textId="1B9FC1D3">
          <w:pPr>
            <w:pStyle w:val="TOC1"/>
            <w:rPr>
              <w:rFonts w:asciiTheme="minorHAnsi" w:eastAsiaTheme="minorEastAsia" w:hAnsiTheme="minorHAnsi" w:cstheme="minorBidi"/>
              <w:b w:val="0"/>
              <w:bCs w:val="0"/>
              <w:color w:val="auto"/>
              <w:kern w:val="2"/>
              <w14:ligatures w14:val="standardContextual"/>
            </w:rPr>
          </w:pPr>
          <w:hyperlink w:anchor="_Toc147922959" w:history="1">
            <w:r w:rsidRPr="0022512C">
              <w:rPr>
                <w:rStyle w:val="Hyperlink"/>
              </w:rPr>
              <w:t>LIST OF FIGURES</w:t>
            </w:r>
            <w:r>
              <w:rPr>
                <w:webHidden/>
              </w:rPr>
              <w:tab/>
            </w:r>
            <w:r>
              <w:rPr>
                <w:webHidden/>
              </w:rPr>
              <w:fldChar w:fldCharType="begin"/>
            </w:r>
            <w:r>
              <w:rPr>
                <w:webHidden/>
              </w:rPr>
              <w:instrText xml:space="preserve"> PAGEREF _Toc147922959 \h </w:instrText>
            </w:r>
            <w:r>
              <w:rPr>
                <w:webHidden/>
              </w:rPr>
              <w:fldChar w:fldCharType="separate"/>
            </w:r>
            <w:r w:rsidR="00591B9B">
              <w:rPr>
                <w:webHidden/>
              </w:rPr>
              <w:t>vii</w:t>
            </w:r>
            <w:r>
              <w:rPr>
                <w:webHidden/>
              </w:rPr>
              <w:fldChar w:fldCharType="end"/>
            </w:r>
          </w:hyperlink>
        </w:p>
        <w:p w:rsidR="007947CC" w14:paraId="7486DCF2" w14:textId="2FECAF08">
          <w:pPr>
            <w:pStyle w:val="TOC1"/>
            <w:rPr>
              <w:rFonts w:asciiTheme="minorHAnsi" w:eastAsiaTheme="minorEastAsia" w:hAnsiTheme="minorHAnsi" w:cstheme="minorBidi"/>
              <w:b w:val="0"/>
              <w:bCs w:val="0"/>
              <w:color w:val="auto"/>
              <w:kern w:val="2"/>
              <w14:ligatures w14:val="standardContextual"/>
            </w:rPr>
          </w:pPr>
          <w:hyperlink w:anchor="_Toc147922960" w:history="1">
            <w:r w:rsidRPr="0022512C">
              <w:rPr>
                <w:rStyle w:val="Hyperlink"/>
              </w:rPr>
              <w:t>LIST OF TABLES</w:t>
            </w:r>
            <w:r>
              <w:rPr>
                <w:webHidden/>
              </w:rPr>
              <w:tab/>
            </w:r>
            <w:r>
              <w:rPr>
                <w:webHidden/>
              </w:rPr>
              <w:fldChar w:fldCharType="begin"/>
            </w:r>
            <w:r>
              <w:rPr>
                <w:webHidden/>
              </w:rPr>
              <w:instrText xml:space="preserve"> PAGEREF _Toc147922960 \h </w:instrText>
            </w:r>
            <w:r>
              <w:rPr>
                <w:webHidden/>
              </w:rPr>
              <w:fldChar w:fldCharType="separate"/>
            </w:r>
            <w:r w:rsidR="00591B9B">
              <w:rPr>
                <w:webHidden/>
              </w:rPr>
              <w:t>ix</w:t>
            </w:r>
            <w:r>
              <w:rPr>
                <w:webHidden/>
              </w:rPr>
              <w:fldChar w:fldCharType="end"/>
            </w:r>
          </w:hyperlink>
        </w:p>
        <w:p w:rsidR="007947CC" w14:paraId="74D735BC" w14:textId="7211AB35">
          <w:pPr>
            <w:pStyle w:val="TOC1"/>
            <w:rPr>
              <w:rFonts w:asciiTheme="minorHAnsi" w:eastAsiaTheme="minorEastAsia" w:hAnsiTheme="minorHAnsi" w:cstheme="minorBidi"/>
              <w:b w:val="0"/>
              <w:bCs w:val="0"/>
              <w:color w:val="auto"/>
              <w:kern w:val="2"/>
              <w14:ligatures w14:val="standardContextual"/>
            </w:rPr>
          </w:pPr>
          <w:hyperlink w:anchor="_Toc147922961" w:history="1">
            <w:r w:rsidRPr="0022512C">
              <w:rPr>
                <w:rStyle w:val="Hyperlink"/>
              </w:rPr>
              <w:t>ABBREVIATIONS AND ACRONYMS</w:t>
            </w:r>
            <w:r>
              <w:rPr>
                <w:webHidden/>
              </w:rPr>
              <w:tab/>
            </w:r>
            <w:r>
              <w:rPr>
                <w:webHidden/>
              </w:rPr>
              <w:fldChar w:fldCharType="begin"/>
            </w:r>
            <w:r>
              <w:rPr>
                <w:webHidden/>
              </w:rPr>
              <w:instrText xml:space="preserve"> PAGEREF _Toc147922961 \h </w:instrText>
            </w:r>
            <w:r>
              <w:rPr>
                <w:webHidden/>
              </w:rPr>
              <w:fldChar w:fldCharType="separate"/>
            </w:r>
            <w:r w:rsidR="00591B9B">
              <w:rPr>
                <w:webHidden/>
              </w:rPr>
              <w:t>x</w:t>
            </w:r>
            <w:r>
              <w:rPr>
                <w:webHidden/>
              </w:rPr>
              <w:fldChar w:fldCharType="end"/>
            </w:r>
          </w:hyperlink>
        </w:p>
        <w:p w:rsidR="007947CC" w14:paraId="7F355704" w14:textId="391D7E30">
          <w:pPr>
            <w:pStyle w:val="TOC1"/>
            <w:rPr>
              <w:rFonts w:asciiTheme="minorHAnsi" w:eastAsiaTheme="minorEastAsia" w:hAnsiTheme="minorHAnsi" w:cstheme="minorBidi"/>
              <w:b w:val="0"/>
              <w:bCs w:val="0"/>
              <w:color w:val="auto"/>
              <w:kern w:val="2"/>
              <w14:ligatures w14:val="standardContextual"/>
            </w:rPr>
          </w:pPr>
          <w:hyperlink w:anchor="_Toc147922962" w:history="1">
            <w:r w:rsidRPr="0022512C">
              <w:rPr>
                <w:rStyle w:val="Hyperlink"/>
              </w:rPr>
              <w:t>1</w:t>
            </w:r>
            <w:r>
              <w:rPr>
                <w:rFonts w:asciiTheme="minorHAnsi" w:eastAsiaTheme="minorEastAsia" w:hAnsiTheme="minorHAnsi" w:cstheme="minorBidi"/>
                <w:b w:val="0"/>
                <w:bCs w:val="0"/>
                <w:color w:val="auto"/>
                <w:kern w:val="2"/>
                <w14:ligatures w14:val="standardContextual"/>
              </w:rPr>
              <w:tab/>
            </w:r>
            <w:r w:rsidRPr="0022512C">
              <w:rPr>
                <w:rStyle w:val="Hyperlink"/>
              </w:rPr>
              <w:t>STATEMENT OF PROBLEM AND OBJECTIVE</w:t>
            </w:r>
            <w:r>
              <w:rPr>
                <w:webHidden/>
              </w:rPr>
              <w:tab/>
            </w:r>
            <w:r>
              <w:rPr>
                <w:webHidden/>
              </w:rPr>
              <w:fldChar w:fldCharType="begin"/>
            </w:r>
            <w:r>
              <w:rPr>
                <w:webHidden/>
              </w:rPr>
              <w:instrText xml:space="preserve"> PAGEREF _Toc147922962 \h </w:instrText>
            </w:r>
            <w:r>
              <w:rPr>
                <w:webHidden/>
              </w:rPr>
              <w:fldChar w:fldCharType="separate"/>
            </w:r>
            <w:r w:rsidR="00591B9B">
              <w:rPr>
                <w:webHidden/>
              </w:rPr>
              <w:t>1</w:t>
            </w:r>
            <w:r>
              <w:rPr>
                <w:webHidden/>
              </w:rPr>
              <w:fldChar w:fldCharType="end"/>
            </w:r>
          </w:hyperlink>
        </w:p>
        <w:p w:rsidR="007947CC" w:rsidRPr="000F1399" w:rsidP="00362591" w14:paraId="3C58400C" w14:textId="07E5285C">
          <w:pPr>
            <w:pStyle w:val="TOC2"/>
            <w:rPr>
              <w:rFonts w:asciiTheme="minorHAnsi" w:eastAsiaTheme="minorEastAsia" w:hAnsiTheme="minorHAnsi" w:cstheme="minorBidi"/>
              <w:noProof/>
              <w:color w:val="auto"/>
              <w:kern w:val="2"/>
              <w14:ligatures w14:val="standardContextual"/>
            </w:rPr>
          </w:pPr>
          <w:hyperlink w:anchor="_Toc147922963" w:history="1">
            <w:r w:rsidRPr="00C835D4">
              <w:rPr>
                <w:rStyle w:val="Hyperlink"/>
                <w:noProof/>
                <w:sz w:val="22"/>
                <w:szCs w:val="22"/>
              </w:rPr>
              <w:t>1.1</w:t>
            </w:r>
            <w:r w:rsidRPr="000F1399">
              <w:rPr>
                <w:rFonts w:asciiTheme="minorHAnsi" w:eastAsiaTheme="minorEastAsia" w:hAnsiTheme="minorHAnsi" w:cstheme="minorBidi"/>
                <w:noProof/>
                <w:color w:val="auto"/>
                <w:kern w:val="2"/>
                <w14:ligatures w14:val="standardContextual"/>
              </w:rPr>
              <w:tab/>
            </w:r>
            <w:r w:rsidRPr="00C835D4">
              <w:rPr>
                <w:rStyle w:val="Hyperlink"/>
                <w:noProof/>
                <w:sz w:val="22"/>
                <w:szCs w:val="22"/>
              </w:rPr>
              <w:t>Description of the Proposed Action</w:t>
            </w:r>
            <w:r w:rsidRPr="00362591">
              <w:rPr>
                <w:noProof/>
                <w:webHidden/>
              </w:rPr>
              <w:tab/>
            </w:r>
            <w:r w:rsidRPr="00362591">
              <w:rPr>
                <w:noProof/>
                <w:webHidden/>
              </w:rPr>
              <w:fldChar w:fldCharType="begin"/>
            </w:r>
            <w:r w:rsidRPr="00362591">
              <w:rPr>
                <w:noProof/>
                <w:webHidden/>
              </w:rPr>
              <w:instrText xml:space="preserve"> PAGEREF _Toc147922963 \h </w:instrText>
            </w:r>
            <w:r w:rsidRPr="00362591">
              <w:rPr>
                <w:noProof/>
                <w:webHidden/>
              </w:rPr>
              <w:fldChar w:fldCharType="separate"/>
            </w:r>
            <w:r w:rsidRPr="00362591" w:rsidR="00591B9B">
              <w:rPr>
                <w:noProof/>
                <w:webHidden/>
              </w:rPr>
              <w:t>2</w:t>
            </w:r>
            <w:r w:rsidRPr="00362591">
              <w:rPr>
                <w:noProof/>
                <w:webHidden/>
              </w:rPr>
              <w:fldChar w:fldCharType="end"/>
            </w:r>
          </w:hyperlink>
        </w:p>
        <w:p w:rsidR="007947CC" w:rsidRPr="000F1399" w:rsidP="00362591" w14:paraId="209DCF1F" w14:textId="1E53FE94">
          <w:pPr>
            <w:pStyle w:val="TOC2"/>
            <w:rPr>
              <w:rFonts w:asciiTheme="minorHAnsi" w:eastAsiaTheme="minorEastAsia" w:hAnsiTheme="minorHAnsi" w:cstheme="minorBidi"/>
              <w:noProof/>
              <w:color w:val="auto"/>
              <w:kern w:val="2"/>
              <w14:ligatures w14:val="standardContextual"/>
            </w:rPr>
          </w:pPr>
          <w:hyperlink w:anchor="_Toc147922964" w:history="1">
            <w:r w:rsidRPr="00C835D4">
              <w:rPr>
                <w:rStyle w:val="Hyperlink"/>
                <w:noProof/>
                <w:sz w:val="22"/>
                <w:szCs w:val="22"/>
              </w:rPr>
              <w:t>1.2</w:t>
            </w:r>
            <w:r w:rsidRPr="000F1399">
              <w:rPr>
                <w:rFonts w:asciiTheme="minorHAnsi" w:eastAsiaTheme="minorEastAsia" w:hAnsiTheme="minorHAnsi" w:cstheme="minorBidi"/>
                <w:noProof/>
                <w:color w:val="auto"/>
                <w:kern w:val="2"/>
                <w14:ligatures w14:val="standardContextual"/>
              </w:rPr>
              <w:tab/>
            </w:r>
            <w:r w:rsidRPr="00C835D4">
              <w:rPr>
                <w:rStyle w:val="Hyperlink"/>
                <w:noProof/>
                <w:sz w:val="22"/>
                <w:szCs w:val="22"/>
              </w:rPr>
              <w:t>Need for the Proposed Action</w:t>
            </w:r>
            <w:r w:rsidRPr="00362591">
              <w:rPr>
                <w:noProof/>
                <w:webHidden/>
              </w:rPr>
              <w:tab/>
            </w:r>
            <w:r w:rsidRPr="00362591">
              <w:rPr>
                <w:noProof/>
                <w:webHidden/>
              </w:rPr>
              <w:fldChar w:fldCharType="begin"/>
            </w:r>
            <w:r w:rsidRPr="00362591">
              <w:rPr>
                <w:noProof/>
                <w:webHidden/>
              </w:rPr>
              <w:instrText xml:space="preserve"> PAGEREF _Toc147922964 \h </w:instrText>
            </w:r>
            <w:r w:rsidRPr="00362591">
              <w:rPr>
                <w:noProof/>
                <w:webHidden/>
              </w:rPr>
              <w:fldChar w:fldCharType="separate"/>
            </w:r>
            <w:r w:rsidRPr="00362591" w:rsidR="00591B9B">
              <w:rPr>
                <w:noProof/>
                <w:webHidden/>
              </w:rPr>
              <w:t>3</w:t>
            </w:r>
            <w:r w:rsidRPr="00362591">
              <w:rPr>
                <w:noProof/>
                <w:webHidden/>
              </w:rPr>
              <w:fldChar w:fldCharType="end"/>
            </w:r>
          </w:hyperlink>
        </w:p>
        <w:p w:rsidR="007947CC" w:rsidRPr="000F1399" w:rsidP="00362591" w14:paraId="611FAC08" w14:textId="7BAE2404">
          <w:pPr>
            <w:pStyle w:val="TOC2"/>
            <w:rPr>
              <w:rFonts w:asciiTheme="minorHAnsi" w:eastAsiaTheme="minorEastAsia" w:hAnsiTheme="minorHAnsi" w:cstheme="minorBidi"/>
              <w:noProof/>
              <w:color w:val="auto"/>
              <w:kern w:val="2"/>
              <w14:ligatures w14:val="standardContextual"/>
            </w:rPr>
          </w:pPr>
          <w:hyperlink w:anchor="_Toc147922965" w:history="1">
            <w:r w:rsidRPr="00C835D4">
              <w:rPr>
                <w:rStyle w:val="Hyperlink"/>
                <w:noProof/>
                <w:sz w:val="22"/>
                <w:szCs w:val="22"/>
              </w:rPr>
              <w:t>1.3</w:t>
            </w:r>
            <w:r w:rsidRPr="000F1399">
              <w:rPr>
                <w:rFonts w:asciiTheme="minorHAnsi" w:eastAsiaTheme="minorEastAsia" w:hAnsiTheme="minorHAnsi" w:cstheme="minorBidi"/>
                <w:noProof/>
                <w:color w:val="auto"/>
                <w:kern w:val="2"/>
                <w14:ligatures w14:val="standardContextual"/>
              </w:rPr>
              <w:tab/>
            </w:r>
            <w:r w:rsidRPr="00C835D4">
              <w:rPr>
                <w:rStyle w:val="Hyperlink"/>
                <w:noProof/>
                <w:sz w:val="22"/>
                <w:szCs w:val="22"/>
              </w:rPr>
              <w:t>Existing Regulatory Framework</w:t>
            </w:r>
            <w:r w:rsidRPr="00362591">
              <w:rPr>
                <w:noProof/>
                <w:webHidden/>
              </w:rPr>
              <w:tab/>
            </w:r>
            <w:r w:rsidRPr="00362591">
              <w:rPr>
                <w:noProof/>
                <w:webHidden/>
              </w:rPr>
              <w:fldChar w:fldCharType="begin"/>
            </w:r>
            <w:r w:rsidRPr="00362591">
              <w:rPr>
                <w:noProof/>
                <w:webHidden/>
              </w:rPr>
              <w:instrText xml:space="preserve"> PAGEREF _Toc147922965 \h </w:instrText>
            </w:r>
            <w:r w:rsidRPr="00362591">
              <w:rPr>
                <w:noProof/>
                <w:webHidden/>
              </w:rPr>
              <w:fldChar w:fldCharType="separate"/>
            </w:r>
            <w:r w:rsidRPr="00362591" w:rsidR="00591B9B">
              <w:rPr>
                <w:noProof/>
                <w:webHidden/>
              </w:rPr>
              <w:t>4</w:t>
            </w:r>
            <w:r w:rsidRPr="00362591">
              <w:rPr>
                <w:noProof/>
                <w:webHidden/>
              </w:rPr>
              <w:fldChar w:fldCharType="end"/>
            </w:r>
          </w:hyperlink>
        </w:p>
        <w:p w:rsidR="007947CC" w14:paraId="17178B98" w14:textId="10382F45">
          <w:pPr>
            <w:pStyle w:val="TOC1"/>
            <w:rPr>
              <w:rFonts w:asciiTheme="minorHAnsi" w:eastAsiaTheme="minorEastAsia" w:hAnsiTheme="minorHAnsi" w:cstheme="minorBidi"/>
              <w:b w:val="0"/>
              <w:bCs w:val="0"/>
              <w:color w:val="auto"/>
              <w:kern w:val="2"/>
              <w14:ligatures w14:val="standardContextual"/>
            </w:rPr>
          </w:pPr>
          <w:hyperlink w:anchor="_Toc147922966" w:history="1">
            <w:r w:rsidRPr="0022512C">
              <w:rPr>
                <w:rStyle w:val="Hyperlink"/>
              </w:rPr>
              <w:t>2</w:t>
            </w:r>
            <w:r>
              <w:rPr>
                <w:rFonts w:asciiTheme="minorHAnsi" w:eastAsiaTheme="minorEastAsia" w:hAnsiTheme="minorHAnsi" w:cstheme="minorBidi"/>
                <w:b w:val="0"/>
                <w:bCs w:val="0"/>
                <w:color w:val="auto"/>
                <w:kern w:val="2"/>
                <w14:ligatures w14:val="standardContextual"/>
              </w:rPr>
              <w:tab/>
            </w:r>
            <w:r w:rsidRPr="0022512C">
              <w:rPr>
                <w:rStyle w:val="Hyperlink"/>
                <w:rFonts w:ascii="Arial Bold" w:hAnsi="Arial Bold"/>
                <w:caps/>
              </w:rPr>
              <w:t>Identification and Preliminary Analysis of Alternative Approaches</w:t>
            </w:r>
            <w:r>
              <w:rPr>
                <w:webHidden/>
              </w:rPr>
              <w:tab/>
            </w:r>
            <w:r w:rsidR="000F1399">
              <w:rPr>
                <w:webHidden/>
              </w:rPr>
              <w:tab/>
            </w:r>
            <w:r w:rsidR="000F1399">
              <w:rPr>
                <w:webHidden/>
              </w:rPr>
              <w:tab/>
            </w:r>
            <w:r>
              <w:rPr>
                <w:webHidden/>
              </w:rPr>
              <w:fldChar w:fldCharType="begin"/>
            </w:r>
            <w:r>
              <w:rPr>
                <w:webHidden/>
              </w:rPr>
              <w:instrText xml:space="preserve"> PAGEREF _Toc147922966 \h </w:instrText>
            </w:r>
            <w:r>
              <w:rPr>
                <w:webHidden/>
              </w:rPr>
              <w:fldChar w:fldCharType="separate"/>
            </w:r>
            <w:r w:rsidR="00591B9B">
              <w:rPr>
                <w:webHidden/>
              </w:rPr>
              <w:t>7</w:t>
            </w:r>
            <w:r>
              <w:rPr>
                <w:webHidden/>
              </w:rPr>
              <w:fldChar w:fldCharType="end"/>
            </w:r>
          </w:hyperlink>
        </w:p>
        <w:p w:rsidR="007947CC" w:rsidRPr="000F1399" w:rsidP="00362591" w14:paraId="7D531424" w14:textId="75B551D8">
          <w:pPr>
            <w:pStyle w:val="TOC2"/>
            <w:rPr>
              <w:rFonts w:asciiTheme="minorHAnsi" w:eastAsiaTheme="minorEastAsia" w:hAnsiTheme="minorHAnsi" w:cstheme="minorBidi"/>
              <w:noProof/>
              <w:color w:val="auto"/>
              <w:kern w:val="2"/>
              <w14:ligatures w14:val="standardContextual"/>
            </w:rPr>
          </w:pPr>
          <w:hyperlink w:anchor="_Toc147922967" w:history="1">
            <w:r w:rsidRPr="00C835D4">
              <w:rPr>
                <w:rStyle w:val="Hyperlink"/>
                <w:noProof/>
                <w:sz w:val="22"/>
                <w:szCs w:val="22"/>
              </w:rPr>
              <w:t>2.1</w:t>
            </w:r>
            <w:r w:rsidRPr="000F1399">
              <w:rPr>
                <w:rFonts w:asciiTheme="minorHAnsi" w:eastAsiaTheme="minorEastAsia" w:hAnsiTheme="minorHAnsi" w:cstheme="minorBidi"/>
                <w:noProof/>
                <w:color w:val="auto"/>
                <w:kern w:val="2"/>
                <w14:ligatures w14:val="standardContextual"/>
              </w:rPr>
              <w:tab/>
            </w:r>
            <w:r w:rsidRPr="00C835D4">
              <w:rPr>
                <w:rStyle w:val="Hyperlink"/>
                <w:noProof/>
                <w:sz w:val="22"/>
                <w:szCs w:val="22"/>
              </w:rPr>
              <w:t>Alternative 1: No Action Alternative</w:t>
            </w:r>
            <w:r w:rsidRPr="00362591">
              <w:rPr>
                <w:noProof/>
                <w:webHidden/>
              </w:rPr>
              <w:tab/>
            </w:r>
            <w:r w:rsidRPr="00362591">
              <w:rPr>
                <w:noProof/>
                <w:webHidden/>
              </w:rPr>
              <w:fldChar w:fldCharType="begin"/>
            </w:r>
            <w:r w:rsidRPr="00362591">
              <w:rPr>
                <w:noProof/>
                <w:webHidden/>
              </w:rPr>
              <w:instrText xml:space="preserve"> PAGEREF _Toc147922967 \h </w:instrText>
            </w:r>
            <w:r w:rsidRPr="00362591">
              <w:rPr>
                <w:noProof/>
                <w:webHidden/>
              </w:rPr>
              <w:fldChar w:fldCharType="separate"/>
            </w:r>
            <w:r w:rsidRPr="00362591" w:rsidR="00591B9B">
              <w:rPr>
                <w:noProof/>
                <w:webHidden/>
              </w:rPr>
              <w:t>7</w:t>
            </w:r>
            <w:r w:rsidRPr="00362591">
              <w:rPr>
                <w:noProof/>
                <w:webHidden/>
              </w:rPr>
              <w:fldChar w:fldCharType="end"/>
            </w:r>
          </w:hyperlink>
        </w:p>
        <w:p w:rsidR="007947CC" w:rsidRPr="000F1399" w:rsidP="00362591" w14:paraId="7738A5AE" w14:textId="6ABA1A18">
          <w:pPr>
            <w:pStyle w:val="TOC2"/>
            <w:rPr>
              <w:rFonts w:asciiTheme="minorHAnsi" w:eastAsiaTheme="minorEastAsia" w:hAnsiTheme="minorHAnsi" w:cstheme="minorBidi"/>
              <w:noProof/>
              <w:color w:val="auto"/>
              <w:kern w:val="2"/>
              <w14:ligatures w14:val="standardContextual"/>
            </w:rPr>
          </w:pPr>
          <w:hyperlink w:anchor="_Toc147922968" w:history="1">
            <w:r w:rsidRPr="00C835D4">
              <w:rPr>
                <w:rStyle w:val="Hyperlink"/>
                <w:noProof/>
                <w:sz w:val="22"/>
                <w:szCs w:val="22"/>
              </w:rPr>
              <w:t>2.2</w:t>
            </w:r>
            <w:r w:rsidRPr="000F1399">
              <w:rPr>
                <w:rFonts w:asciiTheme="minorHAnsi" w:eastAsiaTheme="minorEastAsia" w:hAnsiTheme="minorHAnsi" w:cstheme="minorBidi"/>
                <w:noProof/>
                <w:color w:val="auto"/>
                <w:kern w:val="2"/>
                <w14:ligatures w14:val="standardContextual"/>
              </w:rPr>
              <w:tab/>
            </w:r>
            <w:r w:rsidRPr="00C835D4">
              <w:rPr>
                <w:rStyle w:val="Hyperlink"/>
                <w:noProof/>
                <w:sz w:val="22"/>
                <w:szCs w:val="22"/>
              </w:rPr>
              <w:t>Alternative 2: Rulemaking to Amend 10 CFR Part 51</w:t>
            </w:r>
            <w:r w:rsidRPr="00362591">
              <w:rPr>
                <w:noProof/>
                <w:webHidden/>
              </w:rPr>
              <w:tab/>
            </w:r>
            <w:r w:rsidRPr="00362591">
              <w:rPr>
                <w:noProof/>
                <w:webHidden/>
              </w:rPr>
              <w:fldChar w:fldCharType="begin"/>
            </w:r>
            <w:r w:rsidRPr="00362591">
              <w:rPr>
                <w:noProof/>
                <w:webHidden/>
              </w:rPr>
              <w:instrText xml:space="preserve"> PAGEREF _Toc147922968 \h </w:instrText>
            </w:r>
            <w:r w:rsidRPr="00362591">
              <w:rPr>
                <w:noProof/>
                <w:webHidden/>
              </w:rPr>
              <w:fldChar w:fldCharType="separate"/>
            </w:r>
            <w:r w:rsidRPr="00362591" w:rsidR="00591B9B">
              <w:rPr>
                <w:noProof/>
                <w:webHidden/>
              </w:rPr>
              <w:t>8</w:t>
            </w:r>
            <w:r w:rsidRPr="00362591">
              <w:rPr>
                <w:noProof/>
                <w:webHidden/>
              </w:rPr>
              <w:fldChar w:fldCharType="end"/>
            </w:r>
          </w:hyperlink>
        </w:p>
        <w:p w:rsidR="007947CC" w14:paraId="5339071C" w14:textId="79C52332">
          <w:pPr>
            <w:pStyle w:val="TOC1"/>
            <w:rPr>
              <w:rFonts w:asciiTheme="minorHAnsi" w:eastAsiaTheme="minorEastAsia" w:hAnsiTheme="minorHAnsi" w:cstheme="minorBidi"/>
              <w:b w:val="0"/>
              <w:bCs w:val="0"/>
              <w:color w:val="auto"/>
              <w:kern w:val="2"/>
              <w14:ligatures w14:val="standardContextual"/>
            </w:rPr>
          </w:pPr>
          <w:hyperlink w:anchor="_Toc147922969" w:history="1">
            <w:r w:rsidRPr="0022512C">
              <w:rPr>
                <w:rStyle w:val="Hyperlink"/>
              </w:rPr>
              <w:t>3</w:t>
            </w:r>
            <w:r>
              <w:rPr>
                <w:rFonts w:asciiTheme="minorHAnsi" w:eastAsiaTheme="minorEastAsia" w:hAnsiTheme="minorHAnsi" w:cstheme="minorBidi"/>
                <w:b w:val="0"/>
                <w:bCs w:val="0"/>
                <w:color w:val="auto"/>
                <w:kern w:val="2"/>
                <w14:ligatures w14:val="standardContextual"/>
              </w:rPr>
              <w:tab/>
            </w:r>
            <w:r w:rsidRPr="0022512C">
              <w:rPr>
                <w:rStyle w:val="Hyperlink"/>
                <w:rFonts w:ascii="Arial Bold" w:hAnsi="Arial Bold"/>
                <w:caps/>
              </w:rPr>
              <w:t>Estimation and Evaluation of Costs and Benefits</w:t>
            </w:r>
            <w:r>
              <w:rPr>
                <w:webHidden/>
              </w:rPr>
              <w:tab/>
            </w:r>
            <w:r>
              <w:rPr>
                <w:webHidden/>
              </w:rPr>
              <w:fldChar w:fldCharType="begin"/>
            </w:r>
            <w:r>
              <w:rPr>
                <w:webHidden/>
              </w:rPr>
              <w:instrText xml:space="preserve"> PAGEREF _Toc147922969 \h </w:instrText>
            </w:r>
            <w:r>
              <w:rPr>
                <w:webHidden/>
              </w:rPr>
              <w:fldChar w:fldCharType="separate"/>
            </w:r>
            <w:r w:rsidR="00591B9B">
              <w:rPr>
                <w:webHidden/>
              </w:rPr>
              <w:t>9</w:t>
            </w:r>
            <w:r>
              <w:rPr>
                <w:webHidden/>
              </w:rPr>
              <w:fldChar w:fldCharType="end"/>
            </w:r>
          </w:hyperlink>
        </w:p>
        <w:p w:rsidR="007947CC" w:rsidRPr="000F1399" w:rsidP="00362591" w14:paraId="4DD2A399" w14:textId="3C1D3FAF">
          <w:pPr>
            <w:pStyle w:val="TOC2"/>
            <w:rPr>
              <w:rFonts w:asciiTheme="minorHAnsi" w:eastAsiaTheme="minorEastAsia" w:hAnsiTheme="minorHAnsi" w:cstheme="minorBidi"/>
              <w:noProof/>
              <w:color w:val="auto"/>
              <w:kern w:val="2"/>
              <w14:ligatures w14:val="standardContextual"/>
            </w:rPr>
          </w:pPr>
          <w:hyperlink w:anchor="_Toc147922970" w:history="1">
            <w:r w:rsidRPr="00C835D4">
              <w:rPr>
                <w:rStyle w:val="Hyperlink"/>
                <w:noProof/>
                <w:sz w:val="22"/>
                <w:szCs w:val="22"/>
              </w:rPr>
              <w:t>3.1</w:t>
            </w:r>
            <w:r w:rsidRPr="000F1399">
              <w:rPr>
                <w:rFonts w:asciiTheme="minorHAnsi" w:eastAsiaTheme="minorEastAsia" w:hAnsiTheme="minorHAnsi" w:cstheme="minorBidi"/>
                <w:noProof/>
                <w:color w:val="auto"/>
                <w:kern w:val="2"/>
                <w14:ligatures w14:val="standardContextual"/>
              </w:rPr>
              <w:tab/>
            </w:r>
            <w:r w:rsidRPr="00C835D4">
              <w:rPr>
                <w:rStyle w:val="Hyperlink"/>
                <w:noProof/>
                <w:sz w:val="22"/>
                <w:szCs w:val="22"/>
              </w:rPr>
              <w:t>Identification of Affected Attributes</w:t>
            </w:r>
            <w:r w:rsidRPr="00362591">
              <w:rPr>
                <w:noProof/>
                <w:webHidden/>
              </w:rPr>
              <w:tab/>
            </w:r>
            <w:r w:rsidRPr="00362591">
              <w:rPr>
                <w:noProof/>
                <w:webHidden/>
              </w:rPr>
              <w:fldChar w:fldCharType="begin"/>
            </w:r>
            <w:r w:rsidRPr="00362591">
              <w:rPr>
                <w:noProof/>
                <w:webHidden/>
              </w:rPr>
              <w:instrText xml:space="preserve"> PAGEREF _Toc147922970 \h </w:instrText>
            </w:r>
            <w:r w:rsidRPr="00362591">
              <w:rPr>
                <w:noProof/>
                <w:webHidden/>
              </w:rPr>
              <w:fldChar w:fldCharType="separate"/>
            </w:r>
            <w:r w:rsidRPr="00362591" w:rsidR="00591B9B">
              <w:rPr>
                <w:noProof/>
                <w:webHidden/>
              </w:rPr>
              <w:t>9</w:t>
            </w:r>
            <w:r w:rsidRPr="00362591">
              <w:rPr>
                <w:noProof/>
                <w:webHidden/>
              </w:rPr>
              <w:fldChar w:fldCharType="end"/>
            </w:r>
          </w:hyperlink>
        </w:p>
        <w:p w:rsidR="007947CC" w:rsidRPr="000F1399" w14:paraId="24DB0A09" w14:textId="104C75AD">
          <w:pPr>
            <w:pStyle w:val="TOC3"/>
            <w:rPr>
              <w:rFonts w:asciiTheme="minorHAnsi" w:eastAsiaTheme="minorEastAsia" w:hAnsiTheme="minorHAnsi" w:cstheme="minorBidi"/>
              <w:noProof/>
              <w:color w:val="auto"/>
              <w:kern w:val="2"/>
              <w:sz w:val="22"/>
              <w:szCs w:val="22"/>
              <w14:ligatures w14:val="standardContextual"/>
            </w:rPr>
          </w:pPr>
          <w:hyperlink w:anchor="_Toc147922971" w:history="1">
            <w:r w:rsidRPr="00C835D4">
              <w:rPr>
                <w:rStyle w:val="Hyperlink"/>
                <w:iCs/>
                <w:noProof/>
                <w:sz w:val="22"/>
                <w:szCs w:val="22"/>
              </w:rPr>
              <w:t>3.1.1</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Industry Implementation</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_Toc147922971 \h </w:instrText>
            </w:r>
            <w:r w:rsidRPr="00C835D4">
              <w:rPr>
                <w:noProof/>
                <w:webHidden/>
                <w:sz w:val="22"/>
                <w:szCs w:val="22"/>
              </w:rPr>
              <w:fldChar w:fldCharType="separate"/>
            </w:r>
            <w:r w:rsidRPr="00C835D4" w:rsidR="00591B9B">
              <w:rPr>
                <w:noProof/>
                <w:webHidden/>
                <w:sz w:val="22"/>
                <w:szCs w:val="22"/>
              </w:rPr>
              <w:t>9</w:t>
            </w:r>
            <w:r w:rsidRPr="00C835D4">
              <w:rPr>
                <w:noProof/>
                <w:webHidden/>
                <w:sz w:val="22"/>
                <w:szCs w:val="22"/>
              </w:rPr>
              <w:fldChar w:fldCharType="end"/>
            </w:r>
          </w:hyperlink>
        </w:p>
        <w:p w:rsidR="007947CC" w:rsidRPr="000F1399" w14:paraId="021CD2DD" w14:textId="3CA66632">
          <w:pPr>
            <w:pStyle w:val="TOC3"/>
            <w:rPr>
              <w:rFonts w:asciiTheme="minorHAnsi" w:eastAsiaTheme="minorEastAsia" w:hAnsiTheme="minorHAnsi" w:cstheme="minorBidi"/>
              <w:noProof/>
              <w:color w:val="auto"/>
              <w:kern w:val="2"/>
              <w:sz w:val="22"/>
              <w:szCs w:val="22"/>
              <w14:ligatures w14:val="standardContextual"/>
            </w:rPr>
          </w:pPr>
          <w:hyperlink w:anchor="_Toc147922972" w:history="1">
            <w:r w:rsidRPr="00C835D4">
              <w:rPr>
                <w:rStyle w:val="Hyperlink"/>
                <w:iCs/>
                <w:noProof/>
                <w:sz w:val="22"/>
                <w:szCs w:val="22"/>
              </w:rPr>
              <w:t>3.1.2</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Industry Operation</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_Toc147922972 \h </w:instrText>
            </w:r>
            <w:r w:rsidRPr="00C835D4">
              <w:rPr>
                <w:noProof/>
                <w:webHidden/>
                <w:sz w:val="22"/>
                <w:szCs w:val="22"/>
              </w:rPr>
              <w:fldChar w:fldCharType="separate"/>
            </w:r>
            <w:r w:rsidRPr="00C835D4" w:rsidR="00591B9B">
              <w:rPr>
                <w:noProof/>
                <w:webHidden/>
                <w:sz w:val="22"/>
                <w:szCs w:val="22"/>
              </w:rPr>
              <w:t>9</w:t>
            </w:r>
            <w:r w:rsidRPr="00C835D4">
              <w:rPr>
                <w:noProof/>
                <w:webHidden/>
                <w:sz w:val="22"/>
                <w:szCs w:val="22"/>
              </w:rPr>
              <w:fldChar w:fldCharType="end"/>
            </w:r>
          </w:hyperlink>
        </w:p>
        <w:p w:rsidR="007947CC" w:rsidRPr="000F1399" w14:paraId="26D228BA" w14:textId="0918DEAB">
          <w:pPr>
            <w:pStyle w:val="TOC3"/>
            <w:rPr>
              <w:rFonts w:asciiTheme="minorHAnsi" w:eastAsiaTheme="minorEastAsia" w:hAnsiTheme="minorHAnsi" w:cstheme="minorBidi"/>
              <w:noProof/>
              <w:color w:val="auto"/>
              <w:kern w:val="2"/>
              <w:sz w:val="22"/>
              <w:szCs w:val="22"/>
              <w14:ligatures w14:val="standardContextual"/>
            </w:rPr>
          </w:pPr>
          <w:hyperlink w:anchor="_Toc147922973" w:history="1">
            <w:r w:rsidRPr="00C835D4">
              <w:rPr>
                <w:rStyle w:val="Hyperlink"/>
                <w:iCs/>
                <w:noProof/>
                <w:sz w:val="22"/>
                <w:szCs w:val="22"/>
              </w:rPr>
              <w:t>3.1.3</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NRC Operation</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_Toc147922973 \h </w:instrText>
            </w:r>
            <w:r w:rsidRPr="00C835D4">
              <w:rPr>
                <w:noProof/>
                <w:webHidden/>
                <w:sz w:val="22"/>
                <w:szCs w:val="22"/>
              </w:rPr>
              <w:fldChar w:fldCharType="separate"/>
            </w:r>
            <w:r w:rsidRPr="00C835D4" w:rsidR="00591B9B">
              <w:rPr>
                <w:noProof/>
                <w:webHidden/>
                <w:sz w:val="22"/>
                <w:szCs w:val="22"/>
              </w:rPr>
              <w:t>9</w:t>
            </w:r>
            <w:r w:rsidRPr="00C835D4">
              <w:rPr>
                <w:noProof/>
                <w:webHidden/>
                <w:sz w:val="22"/>
                <w:szCs w:val="22"/>
              </w:rPr>
              <w:fldChar w:fldCharType="end"/>
            </w:r>
          </w:hyperlink>
        </w:p>
        <w:p w:rsidR="007947CC" w:rsidRPr="000F1399" w14:paraId="67712323" w14:textId="4A07DD2D">
          <w:pPr>
            <w:pStyle w:val="TOC3"/>
            <w:rPr>
              <w:rFonts w:asciiTheme="minorHAnsi" w:eastAsiaTheme="minorEastAsia" w:hAnsiTheme="minorHAnsi" w:cstheme="minorBidi"/>
              <w:noProof/>
              <w:color w:val="auto"/>
              <w:kern w:val="2"/>
              <w:sz w:val="22"/>
              <w:szCs w:val="22"/>
              <w14:ligatures w14:val="standardContextual"/>
            </w:rPr>
          </w:pPr>
          <w:hyperlink w:anchor="_Toc147922974" w:history="1">
            <w:r w:rsidRPr="00C835D4">
              <w:rPr>
                <w:rStyle w:val="Hyperlink"/>
                <w:iCs/>
                <w:noProof/>
                <w:sz w:val="22"/>
                <w:szCs w:val="22"/>
              </w:rPr>
              <w:t>3.1.4</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Improvements in Knowledge</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_Toc147922974 \h </w:instrText>
            </w:r>
            <w:r w:rsidRPr="00C835D4">
              <w:rPr>
                <w:noProof/>
                <w:webHidden/>
                <w:sz w:val="22"/>
                <w:szCs w:val="22"/>
              </w:rPr>
              <w:fldChar w:fldCharType="separate"/>
            </w:r>
            <w:r w:rsidRPr="00C835D4" w:rsidR="00591B9B">
              <w:rPr>
                <w:noProof/>
                <w:webHidden/>
                <w:sz w:val="22"/>
                <w:szCs w:val="22"/>
              </w:rPr>
              <w:t>9</w:t>
            </w:r>
            <w:r w:rsidRPr="00C835D4">
              <w:rPr>
                <w:noProof/>
                <w:webHidden/>
                <w:sz w:val="22"/>
                <w:szCs w:val="22"/>
              </w:rPr>
              <w:fldChar w:fldCharType="end"/>
            </w:r>
          </w:hyperlink>
        </w:p>
        <w:p w:rsidR="007947CC" w:rsidRPr="000F1399" w14:paraId="7A5DF610" w14:textId="2D650599">
          <w:pPr>
            <w:pStyle w:val="TOC3"/>
            <w:rPr>
              <w:rFonts w:asciiTheme="minorHAnsi" w:eastAsiaTheme="minorEastAsia" w:hAnsiTheme="minorHAnsi" w:cstheme="minorBidi"/>
              <w:noProof/>
              <w:color w:val="auto"/>
              <w:kern w:val="2"/>
              <w:sz w:val="22"/>
              <w:szCs w:val="22"/>
              <w14:ligatures w14:val="standardContextual"/>
            </w:rPr>
          </w:pPr>
          <w:hyperlink w:anchor="_Toc147922975" w:history="1">
            <w:r w:rsidRPr="00C835D4">
              <w:rPr>
                <w:rStyle w:val="Hyperlink"/>
                <w:iCs/>
                <w:noProof/>
                <w:sz w:val="22"/>
                <w:szCs w:val="22"/>
              </w:rPr>
              <w:t>3.1.5</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Regulatory Clarity</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_Toc147922975 \h </w:instrText>
            </w:r>
            <w:r w:rsidRPr="00C835D4">
              <w:rPr>
                <w:noProof/>
                <w:webHidden/>
                <w:sz w:val="22"/>
                <w:szCs w:val="22"/>
              </w:rPr>
              <w:fldChar w:fldCharType="separate"/>
            </w:r>
            <w:r w:rsidRPr="00C835D4" w:rsidR="00591B9B">
              <w:rPr>
                <w:noProof/>
                <w:webHidden/>
                <w:sz w:val="22"/>
                <w:szCs w:val="22"/>
              </w:rPr>
              <w:t>10</w:t>
            </w:r>
            <w:r w:rsidRPr="00C835D4">
              <w:rPr>
                <w:noProof/>
                <w:webHidden/>
                <w:sz w:val="22"/>
                <w:szCs w:val="22"/>
              </w:rPr>
              <w:fldChar w:fldCharType="end"/>
            </w:r>
          </w:hyperlink>
        </w:p>
        <w:p w:rsidR="007947CC" w:rsidRPr="000F1399" w14:paraId="01B5C9CA" w14:textId="3A775B1B">
          <w:pPr>
            <w:pStyle w:val="TOC3"/>
            <w:rPr>
              <w:rFonts w:asciiTheme="minorHAnsi" w:eastAsiaTheme="minorEastAsia" w:hAnsiTheme="minorHAnsi" w:cstheme="minorBidi"/>
              <w:noProof/>
              <w:color w:val="auto"/>
              <w:kern w:val="2"/>
              <w:sz w:val="22"/>
              <w:szCs w:val="22"/>
              <w14:ligatures w14:val="standardContextual"/>
            </w:rPr>
          </w:pPr>
          <w:hyperlink w:anchor="_Toc147922976" w:history="1">
            <w:r w:rsidRPr="00C835D4">
              <w:rPr>
                <w:rStyle w:val="Hyperlink"/>
                <w:iCs/>
                <w:noProof/>
                <w:sz w:val="22"/>
                <w:szCs w:val="22"/>
              </w:rPr>
              <w:t>3.1.6</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Environmental Considerations</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_Toc147922976 \h </w:instrText>
            </w:r>
            <w:r w:rsidRPr="00C835D4">
              <w:rPr>
                <w:noProof/>
                <w:webHidden/>
                <w:sz w:val="22"/>
                <w:szCs w:val="22"/>
              </w:rPr>
              <w:fldChar w:fldCharType="separate"/>
            </w:r>
            <w:r w:rsidRPr="00C835D4" w:rsidR="00591B9B">
              <w:rPr>
                <w:noProof/>
                <w:webHidden/>
                <w:sz w:val="22"/>
                <w:szCs w:val="22"/>
              </w:rPr>
              <w:t>10</w:t>
            </w:r>
            <w:r w:rsidRPr="00C835D4">
              <w:rPr>
                <w:noProof/>
                <w:webHidden/>
                <w:sz w:val="22"/>
                <w:szCs w:val="22"/>
              </w:rPr>
              <w:fldChar w:fldCharType="end"/>
            </w:r>
          </w:hyperlink>
        </w:p>
        <w:p w:rsidR="007947CC" w:rsidRPr="000F1399" w14:paraId="360AF52B" w14:textId="5C1B4243">
          <w:pPr>
            <w:pStyle w:val="TOC3"/>
            <w:rPr>
              <w:rFonts w:asciiTheme="minorHAnsi" w:eastAsiaTheme="minorEastAsia" w:hAnsiTheme="minorHAnsi" w:cstheme="minorBidi"/>
              <w:noProof/>
              <w:color w:val="auto"/>
              <w:kern w:val="2"/>
              <w:sz w:val="22"/>
              <w:szCs w:val="22"/>
              <w14:ligatures w14:val="standardContextual"/>
            </w:rPr>
          </w:pPr>
          <w:hyperlink w:anchor="_Toc147922977" w:history="1">
            <w:r w:rsidRPr="00C835D4">
              <w:rPr>
                <w:rStyle w:val="Hyperlink"/>
                <w:iCs/>
                <w:noProof/>
                <w:sz w:val="22"/>
                <w:szCs w:val="22"/>
              </w:rPr>
              <w:t>3.1.7</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Attributes with No Effects</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_Toc147922977 \h </w:instrText>
            </w:r>
            <w:r w:rsidRPr="00C835D4">
              <w:rPr>
                <w:noProof/>
                <w:webHidden/>
                <w:sz w:val="22"/>
                <w:szCs w:val="22"/>
              </w:rPr>
              <w:fldChar w:fldCharType="separate"/>
            </w:r>
            <w:r w:rsidRPr="00C835D4" w:rsidR="00591B9B">
              <w:rPr>
                <w:noProof/>
                <w:webHidden/>
                <w:sz w:val="22"/>
                <w:szCs w:val="22"/>
              </w:rPr>
              <w:t>10</w:t>
            </w:r>
            <w:r w:rsidRPr="00C835D4">
              <w:rPr>
                <w:noProof/>
                <w:webHidden/>
                <w:sz w:val="22"/>
                <w:szCs w:val="22"/>
              </w:rPr>
              <w:fldChar w:fldCharType="end"/>
            </w:r>
          </w:hyperlink>
        </w:p>
        <w:p w:rsidR="007947CC" w:rsidRPr="000F1399" w:rsidP="00362591" w14:paraId="5D6C4199" w14:textId="0879EF95">
          <w:pPr>
            <w:pStyle w:val="TOC2"/>
            <w:rPr>
              <w:rFonts w:asciiTheme="minorHAnsi" w:eastAsiaTheme="minorEastAsia" w:hAnsiTheme="minorHAnsi" w:cstheme="minorBidi"/>
              <w:noProof/>
              <w:color w:val="auto"/>
              <w:kern w:val="2"/>
              <w14:ligatures w14:val="standardContextual"/>
            </w:rPr>
          </w:pPr>
          <w:hyperlink w:anchor="_Toc147922978" w:history="1">
            <w:r w:rsidRPr="00C835D4">
              <w:rPr>
                <w:rStyle w:val="Hyperlink"/>
                <w:noProof/>
                <w:sz w:val="22"/>
                <w:szCs w:val="22"/>
              </w:rPr>
              <w:t>3.2</w:t>
            </w:r>
            <w:r w:rsidRPr="000F1399">
              <w:rPr>
                <w:rFonts w:asciiTheme="minorHAnsi" w:eastAsiaTheme="minorEastAsia" w:hAnsiTheme="minorHAnsi" w:cstheme="minorBidi"/>
                <w:noProof/>
                <w:color w:val="auto"/>
                <w:kern w:val="2"/>
                <w14:ligatures w14:val="standardContextual"/>
              </w:rPr>
              <w:tab/>
            </w:r>
            <w:r w:rsidRPr="00C835D4">
              <w:rPr>
                <w:rStyle w:val="Hyperlink"/>
                <w:noProof/>
                <w:sz w:val="22"/>
                <w:szCs w:val="22"/>
              </w:rPr>
              <w:t>Analytical Methodology</w:t>
            </w:r>
            <w:r w:rsidRPr="00362591">
              <w:rPr>
                <w:noProof/>
                <w:webHidden/>
              </w:rPr>
              <w:tab/>
            </w:r>
            <w:r w:rsidRPr="00362591">
              <w:rPr>
                <w:noProof/>
                <w:webHidden/>
              </w:rPr>
              <w:fldChar w:fldCharType="begin"/>
            </w:r>
            <w:r w:rsidRPr="00362591">
              <w:rPr>
                <w:noProof/>
                <w:webHidden/>
              </w:rPr>
              <w:instrText xml:space="preserve"> PAGEREF _Toc147922978 \h </w:instrText>
            </w:r>
            <w:r w:rsidRPr="00362591">
              <w:rPr>
                <w:noProof/>
                <w:webHidden/>
              </w:rPr>
              <w:fldChar w:fldCharType="separate"/>
            </w:r>
            <w:r w:rsidRPr="00362591" w:rsidR="00591B9B">
              <w:rPr>
                <w:noProof/>
                <w:webHidden/>
              </w:rPr>
              <w:t>10</w:t>
            </w:r>
            <w:r w:rsidRPr="00362591">
              <w:rPr>
                <w:noProof/>
                <w:webHidden/>
              </w:rPr>
              <w:fldChar w:fldCharType="end"/>
            </w:r>
          </w:hyperlink>
        </w:p>
        <w:p w:rsidR="007947CC" w:rsidRPr="000F1399" w14:paraId="1D1D664C" w14:textId="2A1F8693">
          <w:pPr>
            <w:pStyle w:val="TOC3"/>
            <w:rPr>
              <w:rFonts w:asciiTheme="minorHAnsi" w:eastAsiaTheme="minorEastAsia" w:hAnsiTheme="minorHAnsi" w:cstheme="minorBidi"/>
              <w:noProof/>
              <w:color w:val="auto"/>
              <w:kern w:val="2"/>
              <w:sz w:val="22"/>
              <w:szCs w:val="22"/>
              <w14:ligatures w14:val="standardContextual"/>
            </w:rPr>
          </w:pPr>
          <w:hyperlink w:anchor="_Toc147922979" w:history="1">
            <w:r w:rsidRPr="00C835D4">
              <w:rPr>
                <w:rStyle w:val="Hyperlink"/>
                <w:iCs/>
                <w:noProof/>
                <w:sz w:val="22"/>
                <w:szCs w:val="22"/>
              </w:rPr>
              <w:t>3.2.1</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Regulatory Baseline</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_Toc147922979 \h </w:instrText>
            </w:r>
            <w:r w:rsidRPr="00C835D4">
              <w:rPr>
                <w:noProof/>
                <w:webHidden/>
                <w:sz w:val="22"/>
                <w:szCs w:val="22"/>
              </w:rPr>
              <w:fldChar w:fldCharType="separate"/>
            </w:r>
            <w:r w:rsidRPr="00C835D4" w:rsidR="00591B9B">
              <w:rPr>
                <w:noProof/>
                <w:webHidden/>
                <w:sz w:val="22"/>
                <w:szCs w:val="22"/>
              </w:rPr>
              <w:t>11</w:t>
            </w:r>
            <w:r w:rsidRPr="00C835D4">
              <w:rPr>
                <w:noProof/>
                <w:webHidden/>
                <w:sz w:val="22"/>
                <w:szCs w:val="22"/>
              </w:rPr>
              <w:fldChar w:fldCharType="end"/>
            </w:r>
          </w:hyperlink>
        </w:p>
        <w:p w:rsidR="007947CC" w:rsidRPr="000F1399" w14:paraId="0BEA31AD" w14:textId="74384D53">
          <w:pPr>
            <w:pStyle w:val="TOC3"/>
            <w:rPr>
              <w:rFonts w:asciiTheme="minorHAnsi" w:eastAsiaTheme="minorEastAsia" w:hAnsiTheme="minorHAnsi" w:cstheme="minorBidi"/>
              <w:noProof/>
              <w:color w:val="auto"/>
              <w:kern w:val="2"/>
              <w:sz w:val="22"/>
              <w:szCs w:val="22"/>
              <w14:ligatures w14:val="standardContextual"/>
            </w:rPr>
          </w:pPr>
          <w:hyperlink w:anchor="_Toc147922980" w:history="1">
            <w:r w:rsidRPr="00C835D4">
              <w:rPr>
                <w:rStyle w:val="Hyperlink"/>
                <w:iCs/>
                <w:noProof/>
                <w:sz w:val="22"/>
                <w:szCs w:val="22"/>
              </w:rPr>
              <w:t>3.2.2</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Affected Entities</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_Toc147922980 \h </w:instrText>
            </w:r>
            <w:r w:rsidRPr="00C835D4">
              <w:rPr>
                <w:noProof/>
                <w:webHidden/>
                <w:sz w:val="22"/>
                <w:szCs w:val="22"/>
              </w:rPr>
              <w:fldChar w:fldCharType="separate"/>
            </w:r>
            <w:r w:rsidRPr="00C835D4" w:rsidR="00591B9B">
              <w:rPr>
                <w:noProof/>
                <w:webHidden/>
                <w:sz w:val="22"/>
                <w:szCs w:val="22"/>
              </w:rPr>
              <w:t>11</w:t>
            </w:r>
            <w:r w:rsidRPr="00C835D4">
              <w:rPr>
                <w:noProof/>
                <w:webHidden/>
                <w:sz w:val="22"/>
                <w:szCs w:val="22"/>
              </w:rPr>
              <w:fldChar w:fldCharType="end"/>
            </w:r>
          </w:hyperlink>
        </w:p>
        <w:p w:rsidR="007947CC" w:rsidRPr="000F1399" w14:paraId="328078F0" w14:textId="7E1F7890">
          <w:pPr>
            <w:pStyle w:val="TOC3"/>
            <w:rPr>
              <w:rFonts w:asciiTheme="minorHAnsi" w:eastAsiaTheme="minorEastAsia" w:hAnsiTheme="minorHAnsi" w:cstheme="minorBidi"/>
              <w:noProof/>
              <w:color w:val="auto"/>
              <w:kern w:val="2"/>
              <w:sz w:val="22"/>
              <w:szCs w:val="22"/>
              <w14:ligatures w14:val="standardContextual"/>
            </w:rPr>
          </w:pPr>
          <w:hyperlink w:anchor="_Toc147922981" w:history="1">
            <w:r w:rsidRPr="00C835D4">
              <w:rPr>
                <w:rStyle w:val="Hyperlink"/>
                <w:iCs/>
                <w:noProof/>
                <w:sz w:val="22"/>
                <w:szCs w:val="22"/>
              </w:rPr>
              <w:t>3.2.3</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Base Year</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_Toc147922981 \h </w:instrText>
            </w:r>
            <w:r w:rsidRPr="00C835D4">
              <w:rPr>
                <w:noProof/>
                <w:webHidden/>
                <w:sz w:val="22"/>
                <w:szCs w:val="22"/>
              </w:rPr>
              <w:fldChar w:fldCharType="separate"/>
            </w:r>
            <w:r w:rsidRPr="00C835D4" w:rsidR="00591B9B">
              <w:rPr>
                <w:noProof/>
                <w:webHidden/>
                <w:sz w:val="22"/>
                <w:szCs w:val="22"/>
              </w:rPr>
              <w:t>12</w:t>
            </w:r>
            <w:r w:rsidRPr="00C835D4">
              <w:rPr>
                <w:noProof/>
                <w:webHidden/>
                <w:sz w:val="22"/>
                <w:szCs w:val="22"/>
              </w:rPr>
              <w:fldChar w:fldCharType="end"/>
            </w:r>
          </w:hyperlink>
        </w:p>
        <w:p w:rsidR="007947CC" w:rsidRPr="000F1399" w14:paraId="05AC66C8" w14:textId="6315345A">
          <w:pPr>
            <w:pStyle w:val="TOC3"/>
            <w:rPr>
              <w:rFonts w:asciiTheme="minorHAnsi" w:eastAsiaTheme="minorEastAsia" w:hAnsiTheme="minorHAnsi" w:cstheme="minorBidi"/>
              <w:noProof/>
              <w:color w:val="auto"/>
              <w:kern w:val="2"/>
              <w:sz w:val="22"/>
              <w:szCs w:val="22"/>
              <w14:ligatures w14:val="standardContextual"/>
            </w:rPr>
          </w:pPr>
          <w:hyperlink w:anchor="_Toc147922982" w:history="1">
            <w:r w:rsidRPr="00C835D4">
              <w:rPr>
                <w:rStyle w:val="Hyperlink"/>
                <w:iCs/>
                <w:noProof/>
                <w:sz w:val="22"/>
                <w:szCs w:val="22"/>
              </w:rPr>
              <w:t>3.2.4</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Discount Rates</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_Toc147922982 \h </w:instrText>
            </w:r>
            <w:r w:rsidRPr="00C835D4">
              <w:rPr>
                <w:noProof/>
                <w:webHidden/>
                <w:sz w:val="22"/>
                <w:szCs w:val="22"/>
              </w:rPr>
              <w:fldChar w:fldCharType="separate"/>
            </w:r>
            <w:r w:rsidRPr="00C835D4" w:rsidR="00591B9B">
              <w:rPr>
                <w:noProof/>
                <w:webHidden/>
                <w:sz w:val="22"/>
                <w:szCs w:val="22"/>
              </w:rPr>
              <w:t>13</w:t>
            </w:r>
            <w:r w:rsidRPr="00C835D4">
              <w:rPr>
                <w:noProof/>
                <w:webHidden/>
                <w:sz w:val="22"/>
                <w:szCs w:val="22"/>
              </w:rPr>
              <w:fldChar w:fldCharType="end"/>
            </w:r>
          </w:hyperlink>
        </w:p>
        <w:p w:rsidR="007947CC" w:rsidRPr="000F1399" w14:paraId="41EFC718" w14:textId="1C7A8031">
          <w:pPr>
            <w:pStyle w:val="TOC3"/>
            <w:rPr>
              <w:rFonts w:asciiTheme="minorHAnsi" w:eastAsiaTheme="minorEastAsia" w:hAnsiTheme="minorHAnsi" w:cstheme="minorBidi"/>
              <w:noProof/>
              <w:color w:val="auto"/>
              <w:kern w:val="2"/>
              <w:sz w:val="22"/>
              <w:szCs w:val="22"/>
              <w14:ligatures w14:val="standardContextual"/>
            </w:rPr>
          </w:pPr>
          <w:hyperlink w:anchor="_Toc147922983" w:history="1">
            <w:r w:rsidRPr="00C835D4">
              <w:rPr>
                <w:rStyle w:val="Hyperlink"/>
                <w:iCs/>
                <w:noProof/>
                <w:sz w:val="22"/>
                <w:szCs w:val="22"/>
              </w:rPr>
              <w:t>3.2.5</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Cost/Benefit Inflators</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_Toc147922983 \h </w:instrText>
            </w:r>
            <w:r w:rsidRPr="00C835D4">
              <w:rPr>
                <w:noProof/>
                <w:webHidden/>
                <w:sz w:val="22"/>
                <w:szCs w:val="22"/>
              </w:rPr>
              <w:fldChar w:fldCharType="separate"/>
            </w:r>
            <w:r w:rsidRPr="00C835D4" w:rsidR="00591B9B">
              <w:rPr>
                <w:noProof/>
                <w:webHidden/>
                <w:sz w:val="22"/>
                <w:szCs w:val="22"/>
              </w:rPr>
              <w:t>13</w:t>
            </w:r>
            <w:r w:rsidRPr="00C835D4">
              <w:rPr>
                <w:noProof/>
                <w:webHidden/>
                <w:sz w:val="22"/>
                <w:szCs w:val="22"/>
              </w:rPr>
              <w:fldChar w:fldCharType="end"/>
            </w:r>
          </w:hyperlink>
        </w:p>
        <w:p w:rsidR="007947CC" w:rsidRPr="000F1399" w14:paraId="26B5C5A7" w14:textId="3B61A9EB">
          <w:pPr>
            <w:pStyle w:val="TOC3"/>
            <w:rPr>
              <w:rFonts w:asciiTheme="minorHAnsi" w:eastAsiaTheme="minorEastAsia" w:hAnsiTheme="minorHAnsi" w:cstheme="minorBidi"/>
              <w:noProof/>
              <w:color w:val="auto"/>
              <w:kern w:val="2"/>
              <w:sz w:val="22"/>
              <w:szCs w:val="22"/>
              <w14:ligatures w14:val="standardContextual"/>
            </w:rPr>
          </w:pPr>
          <w:hyperlink w:anchor="_Toc147922984" w:history="1">
            <w:r w:rsidRPr="00C835D4">
              <w:rPr>
                <w:rStyle w:val="Hyperlink"/>
                <w:iCs/>
                <w:noProof/>
                <w:sz w:val="22"/>
                <w:szCs w:val="22"/>
              </w:rPr>
              <w:t>3.2.6</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Labor Rates</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_Toc147922984 \h </w:instrText>
            </w:r>
            <w:r w:rsidRPr="00C835D4">
              <w:rPr>
                <w:noProof/>
                <w:webHidden/>
                <w:sz w:val="22"/>
                <w:szCs w:val="22"/>
              </w:rPr>
              <w:fldChar w:fldCharType="separate"/>
            </w:r>
            <w:r w:rsidRPr="00C835D4" w:rsidR="00591B9B">
              <w:rPr>
                <w:noProof/>
                <w:webHidden/>
                <w:sz w:val="22"/>
                <w:szCs w:val="22"/>
              </w:rPr>
              <w:t>14</w:t>
            </w:r>
            <w:r w:rsidRPr="00C835D4">
              <w:rPr>
                <w:noProof/>
                <w:webHidden/>
                <w:sz w:val="22"/>
                <w:szCs w:val="22"/>
              </w:rPr>
              <w:fldChar w:fldCharType="end"/>
            </w:r>
          </w:hyperlink>
        </w:p>
        <w:p w:rsidR="007947CC" w:rsidRPr="000F1399" w14:paraId="266C5AA8" w14:textId="6C7B7EB2">
          <w:pPr>
            <w:pStyle w:val="TOC3"/>
            <w:rPr>
              <w:rFonts w:asciiTheme="minorHAnsi" w:eastAsiaTheme="minorEastAsia" w:hAnsiTheme="minorHAnsi" w:cstheme="minorBidi"/>
              <w:noProof/>
              <w:color w:val="auto"/>
              <w:kern w:val="2"/>
              <w:sz w:val="22"/>
              <w:szCs w:val="22"/>
              <w14:ligatures w14:val="standardContextual"/>
            </w:rPr>
          </w:pPr>
          <w:hyperlink w:anchor="_Toc147922985" w:history="1">
            <w:r w:rsidRPr="00C835D4">
              <w:rPr>
                <w:rStyle w:val="Hyperlink"/>
                <w:iCs/>
                <w:noProof/>
                <w:sz w:val="22"/>
                <w:szCs w:val="22"/>
              </w:rPr>
              <w:t>3.2.7</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Sign Conventions</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_Toc147922985 \h </w:instrText>
            </w:r>
            <w:r w:rsidRPr="00C835D4">
              <w:rPr>
                <w:noProof/>
                <w:webHidden/>
                <w:sz w:val="22"/>
                <w:szCs w:val="22"/>
              </w:rPr>
              <w:fldChar w:fldCharType="separate"/>
            </w:r>
            <w:r w:rsidRPr="00C835D4" w:rsidR="00591B9B">
              <w:rPr>
                <w:noProof/>
                <w:webHidden/>
                <w:sz w:val="22"/>
                <w:szCs w:val="22"/>
              </w:rPr>
              <w:t>15</w:t>
            </w:r>
            <w:r w:rsidRPr="00C835D4">
              <w:rPr>
                <w:noProof/>
                <w:webHidden/>
                <w:sz w:val="22"/>
                <w:szCs w:val="22"/>
              </w:rPr>
              <w:fldChar w:fldCharType="end"/>
            </w:r>
          </w:hyperlink>
        </w:p>
        <w:p w:rsidR="007947CC" w:rsidRPr="000F1399" w14:paraId="68E07D4A" w14:textId="33D705F5">
          <w:pPr>
            <w:pStyle w:val="TOC3"/>
            <w:rPr>
              <w:rFonts w:asciiTheme="minorHAnsi" w:eastAsiaTheme="minorEastAsia" w:hAnsiTheme="minorHAnsi" w:cstheme="minorBidi"/>
              <w:noProof/>
              <w:color w:val="auto"/>
              <w:kern w:val="2"/>
              <w:sz w:val="22"/>
              <w:szCs w:val="22"/>
              <w14:ligatures w14:val="standardContextual"/>
            </w:rPr>
          </w:pPr>
          <w:hyperlink w:anchor="_Toc147922986" w:history="1">
            <w:r w:rsidRPr="00C835D4">
              <w:rPr>
                <w:rStyle w:val="Hyperlink"/>
                <w:iCs/>
                <w:noProof/>
                <w:sz w:val="22"/>
                <w:szCs w:val="22"/>
              </w:rPr>
              <w:t>3.2.8</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Analysis Horizon</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_Toc147922986 \h </w:instrText>
            </w:r>
            <w:r w:rsidRPr="00C835D4">
              <w:rPr>
                <w:noProof/>
                <w:webHidden/>
                <w:sz w:val="22"/>
                <w:szCs w:val="22"/>
              </w:rPr>
              <w:fldChar w:fldCharType="separate"/>
            </w:r>
            <w:r w:rsidRPr="00C835D4" w:rsidR="00591B9B">
              <w:rPr>
                <w:noProof/>
                <w:webHidden/>
                <w:sz w:val="22"/>
                <w:szCs w:val="22"/>
              </w:rPr>
              <w:t>15</w:t>
            </w:r>
            <w:r w:rsidRPr="00C835D4">
              <w:rPr>
                <w:noProof/>
                <w:webHidden/>
                <w:sz w:val="22"/>
                <w:szCs w:val="22"/>
              </w:rPr>
              <w:fldChar w:fldCharType="end"/>
            </w:r>
          </w:hyperlink>
        </w:p>
        <w:p w:rsidR="007947CC" w:rsidRPr="000F1399" w:rsidP="00362591" w14:paraId="0733754D" w14:textId="00BFBEEF">
          <w:pPr>
            <w:pStyle w:val="TOC2"/>
            <w:rPr>
              <w:rFonts w:asciiTheme="minorHAnsi" w:eastAsiaTheme="minorEastAsia" w:hAnsiTheme="minorHAnsi" w:cstheme="minorBidi"/>
              <w:noProof/>
              <w:color w:val="auto"/>
              <w:kern w:val="2"/>
              <w14:ligatures w14:val="standardContextual"/>
            </w:rPr>
          </w:pPr>
          <w:hyperlink w:anchor="_Toc147922987" w:history="1">
            <w:r w:rsidRPr="00C835D4">
              <w:rPr>
                <w:rStyle w:val="Hyperlink"/>
                <w:noProof/>
                <w:sz w:val="22"/>
                <w:szCs w:val="22"/>
              </w:rPr>
              <w:t>3.3</w:t>
            </w:r>
            <w:r w:rsidRPr="000F1399">
              <w:rPr>
                <w:rFonts w:asciiTheme="minorHAnsi" w:eastAsiaTheme="minorEastAsia" w:hAnsiTheme="minorHAnsi" w:cstheme="minorBidi"/>
                <w:noProof/>
                <w:color w:val="auto"/>
                <w:kern w:val="2"/>
                <w14:ligatures w14:val="standardContextual"/>
              </w:rPr>
              <w:tab/>
            </w:r>
            <w:r w:rsidRPr="00C835D4">
              <w:rPr>
                <w:rStyle w:val="Hyperlink"/>
                <w:noProof/>
                <w:sz w:val="22"/>
                <w:szCs w:val="22"/>
              </w:rPr>
              <w:t>Industry Implementation</w:t>
            </w:r>
            <w:r w:rsidRPr="00362591">
              <w:rPr>
                <w:noProof/>
                <w:webHidden/>
              </w:rPr>
              <w:tab/>
            </w:r>
            <w:r w:rsidRPr="00362591">
              <w:rPr>
                <w:noProof/>
                <w:webHidden/>
              </w:rPr>
              <w:fldChar w:fldCharType="begin"/>
            </w:r>
            <w:r w:rsidRPr="00362591">
              <w:rPr>
                <w:noProof/>
                <w:webHidden/>
              </w:rPr>
              <w:instrText xml:space="preserve"> PAGEREF _Toc147922987 \h </w:instrText>
            </w:r>
            <w:r w:rsidRPr="00362591">
              <w:rPr>
                <w:noProof/>
                <w:webHidden/>
              </w:rPr>
              <w:fldChar w:fldCharType="separate"/>
            </w:r>
            <w:r w:rsidRPr="00362591" w:rsidR="00591B9B">
              <w:rPr>
                <w:noProof/>
                <w:webHidden/>
              </w:rPr>
              <w:t>15</w:t>
            </w:r>
            <w:r w:rsidRPr="00362591">
              <w:rPr>
                <w:noProof/>
                <w:webHidden/>
              </w:rPr>
              <w:fldChar w:fldCharType="end"/>
            </w:r>
          </w:hyperlink>
        </w:p>
        <w:p w:rsidR="007947CC" w:rsidRPr="000F1399" w:rsidP="00362591" w14:paraId="5C27B049" w14:textId="191F46C2">
          <w:pPr>
            <w:pStyle w:val="TOC2"/>
            <w:rPr>
              <w:rFonts w:asciiTheme="minorHAnsi" w:eastAsiaTheme="minorEastAsia" w:hAnsiTheme="minorHAnsi" w:cstheme="minorBidi"/>
              <w:noProof/>
              <w:color w:val="auto"/>
              <w:kern w:val="2"/>
              <w14:ligatures w14:val="standardContextual"/>
            </w:rPr>
          </w:pPr>
          <w:hyperlink w:anchor="_Toc147922988" w:history="1">
            <w:r w:rsidRPr="00C835D4">
              <w:rPr>
                <w:rStyle w:val="Hyperlink"/>
                <w:noProof/>
                <w:sz w:val="22"/>
                <w:szCs w:val="22"/>
              </w:rPr>
              <w:t>3.4</w:t>
            </w:r>
            <w:r w:rsidRPr="000F1399">
              <w:rPr>
                <w:rFonts w:asciiTheme="minorHAnsi" w:eastAsiaTheme="minorEastAsia" w:hAnsiTheme="minorHAnsi" w:cstheme="minorBidi"/>
                <w:noProof/>
                <w:color w:val="auto"/>
                <w:kern w:val="2"/>
                <w14:ligatures w14:val="standardContextual"/>
              </w:rPr>
              <w:tab/>
            </w:r>
            <w:r w:rsidRPr="00C835D4">
              <w:rPr>
                <w:rStyle w:val="Hyperlink"/>
                <w:noProof/>
                <w:sz w:val="22"/>
                <w:szCs w:val="22"/>
              </w:rPr>
              <w:t>Industry Operation</w:t>
            </w:r>
            <w:r w:rsidRPr="00362591">
              <w:rPr>
                <w:noProof/>
                <w:webHidden/>
              </w:rPr>
              <w:tab/>
            </w:r>
            <w:r w:rsidRPr="00362591">
              <w:rPr>
                <w:noProof/>
                <w:webHidden/>
              </w:rPr>
              <w:fldChar w:fldCharType="begin"/>
            </w:r>
            <w:r w:rsidRPr="00362591">
              <w:rPr>
                <w:noProof/>
                <w:webHidden/>
              </w:rPr>
              <w:instrText xml:space="preserve"> PAGEREF _Toc147922988 \h </w:instrText>
            </w:r>
            <w:r w:rsidRPr="00362591">
              <w:rPr>
                <w:noProof/>
                <w:webHidden/>
              </w:rPr>
              <w:fldChar w:fldCharType="separate"/>
            </w:r>
            <w:r w:rsidRPr="00362591" w:rsidR="00591B9B">
              <w:rPr>
                <w:noProof/>
                <w:webHidden/>
              </w:rPr>
              <w:t>16</w:t>
            </w:r>
            <w:r w:rsidRPr="00362591">
              <w:rPr>
                <w:noProof/>
                <w:webHidden/>
              </w:rPr>
              <w:fldChar w:fldCharType="end"/>
            </w:r>
          </w:hyperlink>
        </w:p>
        <w:p w:rsidR="007947CC" w:rsidRPr="000F1399" w:rsidP="00362591" w14:paraId="79A2CBE3" w14:textId="386A5735">
          <w:pPr>
            <w:pStyle w:val="TOC2"/>
            <w:rPr>
              <w:rFonts w:asciiTheme="minorHAnsi" w:eastAsiaTheme="minorEastAsia" w:hAnsiTheme="minorHAnsi" w:cstheme="minorBidi"/>
              <w:noProof/>
              <w:color w:val="auto"/>
              <w:kern w:val="2"/>
              <w14:ligatures w14:val="standardContextual"/>
            </w:rPr>
          </w:pPr>
          <w:hyperlink w:anchor="_Toc147922989" w:history="1">
            <w:r w:rsidRPr="00C835D4">
              <w:rPr>
                <w:rStyle w:val="Hyperlink"/>
                <w:noProof/>
                <w:sz w:val="22"/>
                <w:szCs w:val="22"/>
              </w:rPr>
              <w:t>3.5</w:t>
            </w:r>
            <w:r w:rsidRPr="000F1399">
              <w:rPr>
                <w:rFonts w:asciiTheme="minorHAnsi" w:eastAsiaTheme="minorEastAsia" w:hAnsiTheme="minorHAnsi" w:cstheme="minorBidi"/>
                <w:noProof/>
                <w:color w:val="auto"/>
                <w:kern w:val="2"/>
                <w14:ligatures w14:val="standardContextual"/>
              </w:rPr>
              <w:tab/>
            </w:r>
            <w:r w:rsidRPr="00C835D4">
              <w:rPr>
                <w:rStyle w:val="Hyperlink"/>
                <w:noProof/>
                <w:sz w:val="22"/>
                <w:szCs w:val="22"/>
              </w:rPr>
              <w:t>NRC Operation</w:t>
            </w:r>
            <w:r w:rsidRPr="00362591">
              <w:rPr>
                <w:noProof/>
                <w:webHidden/>
              </w:rPr>
              <w:tab/>
            </w:r>
            <w:r w:rsidRPr="00362591">
              <w:rPr>
                <w:noProof/>
                <w:webHidden/>
              </w:rPr>
              <w:fldChar w:fldCharType="begin"/>
            </w:r>
            <w:r w:rsidRPr="00362591">
              <w:rPr>
                <w:noProof/>
                <w:webHidden/>
              </w:rPr>
              <w:instrText xml:space="preserve"> PAGEREF _Toc147922989 \h </w:instrText>
            </w:r>
            <w:r w:rsidRPr="00362591">
              <w:rPr>
                <w:noProof/>
                <w:webHidden/>
              </w:rPr>
              <w:fldChar w:fldCharType="separate"/>
            </w:r>
            <w:r w:rsidRPr="00362591" w:rsidR="00591B9B">
              <w:rPr>
                <w:noProof/>
                <w:webHidden/>
              </w:rPr>
              <w:t>18</w:t>
            </w:r>
            <w:r w:rsidRPr="00362591">
              <w:rPr>
                <w:noProof/>
                <w:webHidden/>
              </w:rPr>
              <w:fldChar w:fldCharType="end"/>
            </w:r>
          </w:hyperlink>
        </w:p>
        <w:p w:rsidR="007947CC" w:rsidRPr="000F1399" w:rsidP="00362591" w14:paraId="7574CED4" w14:textId="3E2EBBC1">
          <w:pPr>
            <w:pStyle w:val="TOC2"/>
            <w:rPr>
              <w:rFonts w:asciiTheme="minorHAnsi" w:eastAsiaTheme="minorEastAsia" w:hAnsiTheme="minorHAnsi" w:cstheme="minorBidi"/>
              <w:noProof/>
              <w:color w:val="auto"/>
              <w:kern w:val="2"/>
              <w14:ligatures w14:val="standardContextual"/>
            </w:rPr>
          </w:pPr>
          <w:hyperlink w:anchor="_Toc147922990" w:history="1">
            <w:r w:rsidRPr="00C835D4">
              <w:rPr>
                <w:rStyle w:val="Hyperlink"/>
                <w:noProof/>
                <w:sz w:val="22"/>
                <w:szCs w:val="22"/>
              </w:rPr>
              <w:t>3.6</w:t>
            </w:r>
            <w:r w:rsidRPr="000F1399">
              <w:rPr>
                <w:rFonts w:asciiTheme="minorHAnsi" w:eastAsiaTheme="minorEastAsia" w:hAnsiTheme="minorHAnsi" w:cstheme="minorBidi"/>
                <w:noProof/>
                <w:color w:val="auto"/>
                <w:kern w:val="2"/>
                <w14:ligatures w14:val="standardContextual"/>
              </w:rPr>
              <w:tab/>
            </w:r>
            <w:r w:rsidRPr="00C835D4">
              <w:rPr>
                <w:rStyle w:val="Hyperlink"/>
                <w:noProof/>
                <w:sz w:val="22"/>
                <w:szCs w:val="22"/>
              </w:rPr>
              <w:t>Improvements in Knowledge</w:t>
            </w:r>
            <w:r w:rsidRPr="00362591">
              <w:rPr>
                <w:noProof/>
                <w:webHidden/>
              </w:rPr>
              <w:tab/>
            </w:r>
            <w:r w:rsidRPr="00362591">
              <w:rPr>
                <w:noProof/>
                <w:webHidden/>
              </w:rPr>
              <w:fldChar w:fldCharType="begin"/>
            </w:r>
            <w:r w:rsidRPr="00362591">
              <w:rPr>
                <w:noProof/>
                <w:webHidden/>
              </w:rPr>
              <w:instrText xml:space="preserve"> PAGEREF _Toc147922990 \h </w:instrText>
            </w:r>
            <w:r w:rsidRPr="00362591">
              <w:rPr>
                <w:noProof/>
                <w:webHidden/>
              </w:rPr>
              <w:fldChar w:fldCharType="separate"/>
            </w:r>
            <w:r w:rsidRPr="00362591" w:rsidR="00591B9B">
              <w:rPr>
                <w:noProof/>
                <w:webHidden/>
              </w:rPr>
              <w:t>20</w:t>
            </w:r>
            <w:r w:rsidRPr="00362591">
              <w:rPr>
                <w:noProof/>
                <w:webHidden/>
              </w:rPr>
              <w:fldChar w:fldCharType="end"/>
            </w:r>
          </w:hyperlink>
        </w:p>
        <w:p w:rsidR="007947CC" w:rsidRPr="000F1399" w:rsidP="00362591" w14:paraId="1D2F9587" w14:textId="0319D4CD">
          <w:pPr>
            <w:pStyle w:val="TOC2"/>
            <w:rPr>
              <w:rFonts w:asciiTheme="minorHAnsi" w:eastAsiaTheme="minorEastAsia" w:hAnsiTheme="minorHAnsi" w:cstheme="minorBidi"/>
              <w:noProof/>
              <w:color w:val="auto"/>
              <w:kern w:val="2"/>
              <w14:ligatures w14:val="standardContextual"/>
            </w:rPr>
          </w:pPr>
          <w:hyperlink w:anchor="_Toc147922991" w:history="1">
            <w:r w:rsidRPr="00C835D4">
              <w:rPr>
                <w:rStyle w:val="Hyperlink"/>
                <w:noProof/>
                <w:sz w:val="22"/>
                <w:szCs w:val="22"/>
              </w:rPr>
              <w:t>3.7</w:t>
            </w:r>
            <w:r w:rsidRPr="000F1399">
              <w:rPr>
                <w:rFonts w:asciiTheme="minorHAnsi" w:eastAsiaTheme="minorEastAsia" w:hAnsiTheme="minorHAnsi" w:cstheme="minorBidi"/>
                <w:noProof/>
                <w:color w:val="auto"/>
                <w:kern w:val="2"/>
                <w14:ligatures w14:val="standardContextual"/>
              </w:rPr>
              <w:tab/>
            </w:r>
            <w:r w:rsidRPr="00C835D4">
              <w:rPr>
                <w:rStyle w:val="Hyperlink"/>
                <w:noProof/>
                <w:sz w:val="22"/>
                <w:szCs w:val="22"/>
              </w:rPr>
              <w:t>Regulatory Clarity</w:t>
            </w:r>
            <w:r w:rsidRPr="00362591">
              <w:rPr>
                <w:noProof/>
                <w:webHidden/>
              </w:rPr>
              <w:tab/>
            </w:r>
            <w:r w:rsidRPr="00362591">
              <w:rPr>
                <w:noProof/>
                <w:webHidden/>
              </w:rPr>
              <w:fldChar w:fldCharType="begin"/>
            </w:r>
            <w:r w:rsidRPr="00362591">
              <w:rPr>
                <w:noProof/>
                <w:webHidden/>
              </w:rPr>
              <w:instrText xml:space="preserve"> PAGEREF _Toc147922991 \h </w:instrText>
            </w:r>
            <w:r w:rsidRPr="00362591">
              <w:rPr>
                <w:noProof/>
                <w:webHidden/>
              </w:rPr>
              <w:fldChar w:fldCharType="separate"/>
            </w:r>
            <w:r w:rsidRPr="00362591" w:rsidR="00591B9B">
              <w:rPr>
                <w:noProof/>
                <w:webHidden/>
              </w:rPr>
              <w:t>20</w:t>
            </w:r>
            <w:r w:rsidRPr="00362591">
              <w:rPr>
                <w:noProof/>
                <w:webHidden/>
              </w:rPr>
              <w:fldChar w:fldCharType="end"/>
            </w:r>
          </w:hyperlink>
        </w:p>
        <w:p w:rsidR="007947CC" w:rsidP="00362591" w14:paraId="45880EEB" w14:textId="18C14DA9">
          <w:pPr>
            <w:pStyle w:val="TOC2"/>
            <w:rPr>
              <w:rFonts w:asciiTheme="minorHAnsi" w:eastAsiaTheme="minorEastAsia" w:hAnsiTheme="minorHAnsi" w:cstheme="minorBidi"/>
              <w:noProof/>
              <w:color w:val="auto"/>
              <w:kern w:val="2"/>
              <w14:ligatures w14:val="standardContextual"/>
            </w:rPr>
          </w:pPr>
          <w:hyperlink w:anchor="_Toc147922992" w:history="1">
            <w:r w:rsidRPr="00C835D4">
              <w:rPr>
                <w:rStyle w:val="Hyperlink"/>
                <w:noProof/>
                <w:sz w:val="22"/>
                <w:szCs w:val="22"/>
              </w:rPr>
              <w:t>3.8</w:t>
            </w:r>
            <w:r w:rsidRPr="000F1399">
              <w:rPr>
                <w:rFonts w:asciiTheme="minorHAnsi" w:eastAsiaTheme="minorEastAsia" w:hAnsiTheme="minorHAnsi" w:cstheme="minorBidi"/>
                <w:noProof/>
                <w:color w:val="auto"/>
                <w:kern w:val="2"/>
                <w14:ligatures w14:val="standardContextual"/>
              </w:rPr>
              <w:tab/>
            </w:r>
            <w:r w:rsidRPr="00C835D4">
              <w:rPr>
                <w:rStyle w:val="Hyperlink"/>
                <w:noProof/>
                <w:sz w:val="22"/>
                <w:szCs w:val="22"/>
              </w:rPr>
              <w:t>Environmental Considerations</w:t>
            </w:r>
            <w:r w:rsidRPr="00362591">
              <w:rPr>
                <w:noProof/>
                <w:webHidden/>
              </w:rPr>
              <w:tab/>
            </w:r>
            <w:r w:rsidRPr="00362591">
              <w:rPr>
                <w:noProof/>
                <w:webHidden/>
              </w:rPr>
              <w:fldChar w:fldCharType="begin"/>
            </w:r>
            <w:r w:rsidRPr="00362591">
              <w:rPr>
                <w:noProof/>
                <w:webHidden/>
              </w:rPr>
              <w:instrText xml:space="preserve"> PAGEREF _Toc147922992 \h </w:instrText>
            </w:r>
            <w:r w:rsidRPr="00362591">
              <w:rPr>
                <w:noProof/>
                <w:webHidden/>
              </w:rPr>
              <w:fldChar w:fldCharType="separate"/>
            </w:r>
            <w:r w:rsidRPr="00362591" w:rsidR="00591B9B">
              <w:rPr>
                <w:noProof/>
                <w:webHidden/>
              </w:rPr>
              <w:t>20</w:t>
            </w:r>
            <w:r w:rsidRPr="00362591">
              <w:rPr>
                <w:noProof/>
                <w:webHidden/>
              </w:rPr>
              <w:fldChar w:fldCharType="end"/>
            </w:r>
          </w:hyperlink>
        </w:p>
        <w:p w:rsidR="007947CC" w14:paraId="0FB13407" w14:textId="3874DDAC">
          <w:pPr>
            <w:pStyle w:val="TOC1"/>
            <w:rPr>
              <w:rFonts w:asciiTheme="minorHAnsi" w:eastAsiaTheme="minorEastAsia" w:hAnsiTheme="minorHAnsi" w:cstheme="minorBidi"/>
              <w:b w:val="0"/>
              <w:bCs w:val="0"/>
              <w:color w:val="auto"/>
              <w:kern w:val="2"/>
              <w14:ligatures w14:val="standardContextual"/>
            </w:rPr>
          </w:pPr>
          <w:hyperlink w:anchor="_Toc147922993" w:history="1">
            <w:r w:rsidRPr="0022512C">
              <w:rPr>
                <w:rStyle w:val="Hyperlink"/>
              </w:rPr>
              <w:t>4</w:t>
            </w:r>
            <w:r>
              <w:rPr>
                <w:rFonts w:asciiTheme="minorHAnsi" w:eastAsiaTheme="minorEastAsia" w:hAnsiTheme="minorHAnsi" w:cstheme="minorBidi"/>
                <w:b w:val="0"/>
                <w:bCs w:val="0"/>
                <w:color w:val="auto"/>
                <w:kern w:val="2"/>
                <w14:ligatures w14:val="standardContextual"/>
              </w:rPr>
              <w:tab/>
            </w:r>
            <w:r w:rsidRPr="0022512C">
              <w:rPr>
                <w:rStyle w:val="Hyperlink"/>
              </w:rPr>
              <w:t>SUMMARY OF THE RESULTS</w:t>
            </w:r>
            <w:r>
              <w:rPr>
                <w:webHidden/>
              </w:rPr>
              <w:tab/>
            </w:r>
            <w:r>
              <w:rPr>
                <w:webHidden/>
              </w:rPr>
              <w:fldChar w:fldCharType="begin"/>
            </w:r>
            <w:r>
              <w:rPr>
                <w:webHidden/>
              </w:rPr>
              <w:instrText xml:space="preserve"> PAGEREF _Toc147922993 \h </w:instrText>
            </w:r>
            <w:r>
              <w:rPr>
                <w:webHidden/>
              </w:rPr>
              <w:fldChar w:fldCharType="separate"/>
            </w:r>
            <w:r w:rsidR="00591B9B">
              <w:rPr>
                <w:webHidden/>
              </w:rPr>
              <w:t>21</w:t>
            </w:r>
            <w:r>
              <w:rPr>
                <w:webHidden/>
              </w:rPr>
              <w:fldChar w:fldCharType="end"/>
            </w:r>
          </w:hyperlink>
        </w:p>
        <w:p w:rsidR="007947CC" w:rsidRPr="000F1399" w:rsidP="00362591" w14:paraId="1C259E2D" w14:textId="3047D849">
          <w:pPr>
            <w:pStyle w:val="TOC2"/>
            <w:rPr>
              <w:rFonts w:asciiTheme="minorHAnsi" w:eastAsiaTheme="minorEastAsia" w:hAnsiTheme="minorHAnsi" w:cstheme="minorBidi"/>
              <w:noProof/>
              <w:color w:val="auto"/>
              <w:kern w:val="2"/>
              <w14:ligatures w14:val="standardContextual"/>
            </w:rPr>
          </w:pPr>
          <w:hyperlink w:anchor="_Toc147922994" w:history="1">
            <w:r w:rsidRPr="00C835D4">
              <w:rPr>
                <w:rStyle w:val="Hyperlink"/>
                <w:noProof/>
                <w:sz w:val="22"/>
                <w:szCs w:val="22"/>
              </w:rPr>
              <w:t>4.1</w:t>
            </w:r>
            <w:r w:rsidRPr="000F1399">
              <w:rPr>
                <w:rFonts w:asciiTheme="minorHAnsi" w:eastAsiaTheme="minorEastAsia" w:hAnsiTheme="minorHAnsi" w:cstheme="minorBidi"/>
                <w:noProof/>
                <w:color w:val="auto"/>
                <w:kern w:val="2"/>
                <w14:ligatures w14:val="standardContextual"/>
              </w:rPr>
              <w:tab/>
            </w:r>
            <w:r w:rsidRPr="00C835D4">
              <w:rPr>
                <w:rStyle w:val="Hyperlink"/>
                <w:noProof/>
                <w:sz w:val="22"/>
                <w:szCs w:val="22"/>
              </w:rPr>
              <w:t>Summary</w:t>
            </w:r>
            <w:r w:rsidRPr="00362591">
              <w:rPr>
                <w:noProof/>
                <w:webHidden/>
              </w:rPr>
              <w:tab/>
            </w:r>
            <w:r w:rsidRPr="00362591">
              <w:rPr>
                <w:noProof/>
                <w:webHidden/>
              </w:rPr>
              <w:fldChar w:fldCharType="begin"/>
            </w:r>
            <w:r w:rsidRPr="00362591">
              <w:rPr>
                <w:noProof/>
                <w:webHidden/>
              </w:rPr>
              <w:instrText xml:space="preserve"> PAGEREF _Toc147922994 \h </w:instrText>
            </w:r>
            <w:r w:rsidRPr="00362591">
              <w:rPr>
                <w:noProof/>
                <w:webHidden/>
              </w:rPr>
              <w:fldChar w:fldCharType="separate"/>
            </w:r>
            <w:r w:rsidRPr="00362591" w:rsidR="00591B9B">
              <w:rPr>
                <w:noProof/>
                <w:webHidden/>
              </w:rPr>
              <w:t>21</w:t>
            </w:r>
            <w:r w:rsidRPr="00362591">
              <w:rPr>
                <w:noProof/>
                <w:webHidden/>
              </w:rPr>
              <w:fldChar w:fldCharType="end"/>
            </w:r>
          </w:hyperlink>
        </w:p>
        <w:p w:rsidR="007947CC" w:rsidRPr="000F1399" w14:paraId="6A31EF93" w14:textId="12B036B9">
          <w:pPr>
            <w:pStyle w:val="TOC3"/>
            <w:rPr>
              <w:rFonts w:asciiTheme="minorHAnsi" w:eastAsiaTheme="minorEastAsia" w:hAnsiTheme="minorHAnsi" w:cstheme="minorBidi"/>
              <w:noProof/>
              <w:color w:val="auto"/>
              <w:kern w:val="2"/>
              <w:sz w:val="22"/>
              <w:szCs w:val="22"/>
              <w14:ligatures w14:val="standardContextual"/>
            </w:rPr>
          </w:pPr>
          <w:hyperlink w:anchor="_Toc147922995" w:history="1">
            <w:r w:rsidRPr="00C835D4">
              <w:rPr>
                <w:rStyle w:val="Hyperlink"/>
                <w:iCs/>
                <w:noProof/>
                <w:sz w:val="22"/>
                <w:szCs w:val="22"/>
              </w:rPr>
              <w:t>4.1.1</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Quantified Net Benefits</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_Toc147922995 \h </w:instrText>
            </w:r>
            <w:r w:rsidRPr="00C835D4">
              <w:rPr>
                <w:noProof/>
                <w:webHidden/>
                <w:sz w:val="22"/>
                <w:szCs w:val="22"/>
              </w:rPr>
              <w:fldChar w:fldCharType="separate"/>
            </w:r>
            <w:r w:rsidRPr="00C835D4" w:rsidR="00591B9B">
              <w:rPr>
                <w:noProof/>
                <w:webHidden/>
                <w:sz w:val="22"/>
                <w:szCs w:val="22"/>
              </w:rPr>
              <w:t>21</w:t>
            </w:r>
            <w:r w:rsidRPr="00C835D4">
              <w:rPr>
                <w:noProof/>
                <w:webHidden/>
                <w:sz w:val="22"/>
                <w:szCs w:val="22"/>
              </w:rPr>
              <w:fldChar w:fldCharType="end"/>
            </w:r>
          </w:hyperlink>
        </w:p>
        <w:p w:rsidR="007947CC" w:rsidRPr="000F1399" w14:paraId="18C0C255" w14:textId="069DF2AE">
          <w:pPr>
            <w:pStyle w:val="TOC3"/>
            <w:rPr>
              <w:rFonts w:asciiTheme="minorHAnsi" w:eastAsiaTheme="minorEastAsia" w:hAnsiTheme="minorHAnsi" w:cstheme="minorBidi"/>
              <w:noProof/>
              <w:color w:val="auto"/>
              <w:kern w:val="2"/>
              <w:sz w:val="22"/>
              <w:szCs w:val="22"/>
              <w14:ligatures w14:val="standardContextual"/>
            </w:rPr>
          </w:pPr>
          <w:hyperlink w:anchor="_Toc147922996" w:history="1">
            <w:r w:rsidRPr="00C835D4">
              <w:rPr>
                <w:rStyle w:val="Hyperlink"/>
                <w:iCs/>
                <w:noProof/>
                <w:sz w:val="22"/>
                <w:szCs w:val="22"/>
              </w:rPr>
              <w:t>4.1.2</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Nonquantified Benefits</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_Toc147922996 \h </w:instrText>
            </w:r>
            <w:r w:rsidRPr="00C835D4">
              <w:rPr>
                <w:noProof/>
                <w:webHidden/>
                <w:sz w:val="22"/>
                <w:szCs w:val="22"/>
              </w:rPr>
              <w:fldChar w:fldCharType="separate"/>
            </w:r>
            <w:r w:rsidRPr="00C835D4" w:rsidR="00591B9B">
              <w:rPr>
                <w:noProof/>
                <w:webHidden/>
                <w:sz w:val="22"/>
                <w:szCs w:val="22"/>
              </w:rPr>
              <w:t>21</w:t>
            </w:r>
            <w:r w:rsidRPr="00C835D4">
              <w:rPr>
                <w:noProof/>
                <w:webHidden/>
                <w:sz w:val="22"/>
                <w:szCs w:val="22"/>
              </w:rPr>
              <w:fldChar w:fldCharType="end"/>
            </w:r>
          </w:hyperlink>
        </w:p>
        <w:p w:rsidR="007947CC" w:rsidRPr="000F1399" w:rsidP="00362591" w14:paraId="35EBE7E2" w14:textId="182E0081">
          <w:pPr>
            <w:pStyle w:val="TOC2"/>
            <w:rPr>
              <w:rFonts w:asciiTheme="minorHAnsi" w:eastAsiaTheme="minorEastAsia" w:hAnsiTheme="minorHAnsi" w:cstheme="minorBidi"/>
              <w:noProof/>
              <w:color w:val="auto"/>
              <w:kern w:val="2"/>
              <w14:ligatures w14:val="standardContextual"/>
            </w:rPr>
          </w:pPr>
          <w:hyperlink w:anchor="_Toc147922997" w:history="1">
            <w:r w:rsidRPr="00C835D4">
              <w:rPr>
                <w:rStyle w:val="Hyperlink"/>
                <w:noProof/>
                <w:sz w:val="22"/>
                <w:szCs w:val="22"/>
              </w:rPr>
              <w:t>4.2</w:t>
            </w:r>
            <w:r w:rsidRPr="000F1399">
              <w:rPr>
                <w:rFonts w:asciiTheme="minorHAnsi" w:eastAsiaTheme="minorEastAsia" w:hAnsiTheme="minorHAnsi" w:cstheme="minorBidi"/>
                <w:noProof/>
                <w:color w:val="auto"/>
                <w:kern w:val="2"/>
                <w14:ligatures w14:val="standardContextual"/>
              </w:rPr>
              <w:tab/>
            </w:r>
            <w:r w:rsidRPr="00C835D4">
              <w:rPr>
                <w:rStyle w:val="Hyperlink"/>
                <w:noProof/>
                <w:sz w:val="22"/>
                <w:szCs w:val="22"/>
              </w:rPr>
              <w:t>Uncertainty Analysis</w:t>
            </w:r>
            <w:r w:rsidRPr="00362591">
              <w:rPr>
                <w:noProof/>
                <w:webHidden/>
              </w:rPr>
              <w:tab/>
            </w:r>
            <w:r w:rsidRPr="00362591">
              <w:rPr>
                <w:noProof/>
                <w:webHidden/>
              </w:rPr>
              <w:fldChar w:fldCharType="begin"/>
            </w:r>
            <w:r w:rsidRPr="00362591">
              <w:rPr>
                <w:noProof/>
                <w:webHidden/>
              </w:rPr>
              <w:instrText xml:space="preserve"> PAGEREF _Toc147922997 \h </w:instrText>
            </w:r>
            <w:r w:rsidRPr="00362591">
              <w:rPr>
                <w:noProof/>
                <w:webHidden/>
              </w:rPr>
              <w:fldChar w:fldCharType="separate"/>
            </w:r>
            <w:r w:rsidRPr="00362591" w:rsidR="00591B9B">
              <w:rPr>
                <w:noProof/>
                <w:webHidden/>
              </w:rPr>
              <w:t>22</w:t>
            </w:r>
            <w:r w:rsidRPr="00362591">
              <w:rPr>
                <w:noProof/>
                <w:webHidden/>
              </w:rPr>
              <w:fldChar w:fldCharType="end"/>
            </w:r>
          </w:hyperlink>
        </w:p>
        <w:p w:rsidR="007947CC" w:rsidRPr="000F1399" w14:paraId="362B9B00" w14:textId="2BDF22B0">
          <w:pPr>
            <w:pStyle w:val="TOC3"/>
            <w:rPr>
              <w:rFonts w:asciiTheme="minorHAnsi" w:eastAsiaTheme="minorEastAsia" w:hAnsiTheme="minorHAnsi" w:cstheme="minorBidi"/>
              <w:noProof/>
              <w:color w:val="auto"/>
              <w:kern w:val="2"/>
              <w:sz w:val="22"/>
              <w:szCs w:val="22"/>
              <w14:ligatures w14:val="standardContextual"/>
            </w:rPr>
          </w:pPr>
          <w:hyperlink w:anchor="_Toc147922998" w:history="1">
            <w:r w:rsidRPr="00C835D4">
              <w:rPr>
                <w:rStyle w:val="Hyperlink"/>
                <w:iCs/>
                <w:noProof/>
                <w:sz w:val="22"/>
                <w:szCs w:val="22"/>
              </w:rPr>
              <w:t>4.2.1</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Uncertainty Analysis Assumptions</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_Toc147922998 \h </w:instrText>
            </w:r>
            <w:r w:rsidRPr="00C835D4">
              <w:rPr>
                <w:noProof/>
                <w:webHidden/>
                <w:sz w:val="22"/>
                <w:szCs w:val="22"/>
              </w:rPr>
              <w:fldChar w:fldCharType="separate"/>
            </w:r>
            <w:r w:rsidRPr="00C835D4" w:rsidR="00591B9B">
              <w:rPr>
                <w:noProof/>
                <w:webHidden/>
                <w:sz w:val="22"/>
                <w:szCs w:val="22"/>
              </w:rPr>
              <w:t>22</w:t>
            </w:r>
            <w:r w:rsidRPr="00C835D4">
              <w:rPr>
                <w:noProof/>
                <w:webHidden/>
                <w:sz w:val="22"/>
                <w:szCs w:val="22"/>
              </w:rPr>
              <w:fldChar w:fldCharType="end"/>
            </w:r>
          </w:hyperlink>
        </w:p>
        <w:p w:rsidR="007947CC" w:rsidRPr="000F1399" w14:paraId="41E616EE" w14:textId="56B35065">
          <w:pPr>
            <w:pStyle w:val="TOC3"/>
            <w:rPr>
              <w:rFonts w:asciiTheme="minorHAnsi" w:eastAsiaTheme="minorEastAsia" w:hAnsiTheme="minorHAnsi" w:cstheme="minorBidi"/>
              <w:noProof/>
              <w:color w:val="auto"/>
              <w:kern w:val="2"/>
              <w:sz w:val="22"/>
              <w:szCs w:val="22"/>
              <w14:ligatures w14:val="standardContextual"/>
            </w:rPr>
          </w:pPr>
          <w:hyperlink w:anchor="_Toc147922999" w:history="1">
            <w:r w:rsidRPr="00C835D4">
              <w:rPr>
                <w:rStyle w:val="Hyperlink"/>
                <w:iCs/>
                <w:noProof/>
                <w:sz w:val="22"/>
                <w:szCs w:val="22"/>
              </w:rPr>
              <w:t>4.2.2</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Uncertainty Analysis Results</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_Toc147922999 \h </w:instrText>
            </w:r>
            <w:r w:rsidRPr="00C835D4">
              <w:rPr>
                <w:noProof/>
                <w:webHidden/>
                <w:sz w:val="22"/>
                <w:szCs w:val="22"/>
              </w:rPr>
              <w:fldChar w:fldCharType="separate"/>
            </w:r>
            <w:r w:rsidRPr="00C835D4" w:rsidR="00591B9B">
              <w:rPr>
                <w:noProof/>
                <w:webHidden/>
                <w:sz w:val="22"/>
                <w:szCs w:val="22"/>
              </w:rPr>
              <w:t>23</w:t>
            </w:r>
            <w:r w:rsidRPr="00C835D4">
              <w:rPr>
                <w:noProof/>
                <w:webHidden/>
                <w:sz w:val="22"/>
                <w:szCs w:val="22"/>
              </w:rPr>
              <w:fldChar w:fldCharType="end"/>
            </w:r>
          </w:hyperlink>
        </w:p>
        <w:p w:rsidR="007947CC" w:rsidRPr="000F1399" w14:paraId="330A90B0" w14:textId="436D6DF9">
          <w:pPr>
            <w:pStyle w:val="TOC3"/>
            <w:rPr>
              <w:rFonts w:asciiTheme="minorHAnsi" w:eastAsiaTheme="minorEastAsia" w:hAnsiTheme="minorHAnsi" w:cstheme="minorBidi"/>
              <w:noProof/>
              <w:color w:val="auto"/>
              <w:kern w:val="2"/>
              <w:sz w:val="22"/>
              <w:szCs w:val="22"/>
              <w14:ligatures w14:val="standardContextual"/>
            </w:rPr>
          </w:pPr>
          <w:hyperlink w:anchor="_Toc147923000" w:history="1">
            <w:r w:rsidRPr="00C835D4">
              <w:rPr>
                <w:rStyle w:val="Hyperlink"/>
                <w:noProof/>
                <w:sz w:val="22"/>
                <w:szCs w:val="22"/>
              </w:rPr>
              <w:t>4.2.3</w:t>
            </w:r>
            <w:r w:rsidRPr="000F1399">
              <w:rPr>
                <w:rFonts w:asciiTheme="minorHAnsi" w:eastAsiaTheme="minorEastAsia" w:hAnsiTheme="minorHAnsi" w:cstheme="minorBidi"/>
                <w:noProof/>
                <w:color w:val="auto"/>
                <w:kern w:val="2"/>
                <w:sz w:val="22"/>
                <w:szCs w:val="22"/>
                <w14:ligatures w14:val="standardContextual"/>
              </w:rPr>
              <w:tab/>
            </w:r>
            <w:r w:rsidRPr="00C835D4">
              <w:rPr>
                <w:rStyle w:val="Hyperlink"/>
                <w:noProof/>
                <w:sz w:val="22"/>
                <w:szCs w:val="22"/>
              </w:rPr>
              <w:t>Summary of Uncertainty Analysis</w:t>
            </w:r>
            <w:r w:rsidRPr="00C835D4">
              <w:rPr>
                <w:noProof/>
                <w:webHidden/>
                <w:sz w:val="22"/>
                <w:szCs w:val="22"/>
              </w:rPr>
              <w:tab/>
            </w:r>
            <w:r w:rsidRPr="00C835D4">
              <w:rPr>
                <w:noProof/>
                <w:webHidden/>
                <w:sz w:val="22"/>
                <w:szCs w:val="22"/>
              </w:rPr>
              <w:fldChar w:fldCharType="begin"/>
            </w:r>
            <w:r w:rsidRPr="00C835D4">
              <w:rPr>
                <w:noProof/>
                <w:webHidden/>
                <w:sz w:val="22"/>
                <w:szCs w:val="22"/>
              </w:rPr>
              <w:instrText xml:space="preserve"> PAGEREF _Toc147923000 \h </w:instrText>
            </w:r>
            <w:r w:rsidRPr="00C835D4">
              <w:rPr>
                <w:noProof/>
                <w:webHidden/>
                <w:sz w:val="22"/>
                <w:szCs w:val="22"/>
              </w:rPr>
              <w:fldChar w:fldCharType="separate"/>
            </w:r>
            <w:r w:rsidRPr="00C835D4" w:rsidR="00591B9B">
              <w:rPr>
                <w:noProof/>
                <w:webHidden/>
                <w:sz w:val="22"/>
                <w:szCs w:val="22"/>
              </w:rPr>
              <w:t>26</w:t>
            </w:r>
            <w:r w:rsidRPr="00C835D4">
              <w:rPr>
                <w:noProof/>
                <w:webHidden/>
                <w:sz w:val="22"/>
                <w:szCs w:val="22"/>
              </w:rPr>
              <w:fldChar w:fldCharType="end"/>
            </w:r>
          </w:hyperlink>
        </w:p>
        <w:p w:rsidR="007947CC" w:rsidRPr="000F1399" w:rsidP="00362591" w14:paraId="375D7CD1" w14:textId="78FFEE29">
          <w:pPr>
            <w:pStyle w:val="TOC2"/>
            <w:rPr>
              <w:rFonts w:asciiTheme="minorHAnsi" w:eastAsiaTheme="minorEastAsia" w:hAnsiTheme="minorHAnsi" w:cstheme="minorBidi"/>
              <w:noProof/>
              <w:color w:val="auto"/>
              <w:kern w:val="2"/>
              <w14:ligatures w14:val="standardContextual"/>
            </w:rPr>
          </w:pPr>
          <w:hyperlink w:anchor="_Toc147923001" w:history="1">
            <w:r w:rsidRPr="00C835D4">
              <w:rPr>
                <w:rStyle w:val="Hyperlink"/>
                <w:noProof/>
                <w:sz w:val="22"/>
                <w:szCs w:val="22"/>
              </w:rPr>
              <w:t>4.3</w:t>
            </w:r>
            <w:r w:rsidRPr="000F1399">
              <w:rPr>
                <w:rFonts w:asciiTheme="minorHAnsi" w:eastAsiaTheme="minorEastAsia" w:hAnsiTheme="minorHAnsi" w:cstheme="minorBidi"/>
                <w:noProof/>
                <w:color w:val="auto"/>
                <w:kern w:val="2"/>
                <w14:ligatures w14:val="standardContextual"/>
              </w:rPr>
              <w:tab/>
            </w:r>
            <w:r w:rsidRPr="00C835D4">
              <w:rPr>
                <w:rStyle w:val="Hyperlink"/>
                <w:noProof/>
                <w:sz w:val="22"/>
                <w:szCs w:val="22"/>
              </w:rPr>
              <w:t>Disaggregation</w:t>
            </w:r>
            <w:r w:rsidRPr="00362591">
              <w:rPr>
                <w:noProof/>
                <w:webHidden/>
              </w:rPr>
              <w:tab/>
            </w:r>
            <w:r w:rsidRPr="00362591">
              <w:rPr>
                <w:noProof/>
                <w:webHidden/>
              </w:rPr>
              <w:fldChar w:fldCharType="begin"/>
            </w:r>
            <w:r w:rsidRPr="00362591">
              <w:rPr>
                <w:noProof/>
                <w:webHidden/>
              </w:rPr>
              <w:instrText xml:space="preserve"> PAGEREF _Toc147923001 \h </w:instrText>
            </w:r>
            <w:r w:rsidRPr="00362591">
              <w:rPr>
                <w:noProof/>
                <w:webHidden/>
              </w:rPr>
              <w:fldChar w:fldCharType="separate"/>
            </w:r>
            <w:r w:rsidRPr="00362591" w:rsidR="00591B9B">
              <w:rPr>
                <w:noProof/>
                <w:webHidden/>
              </w:rPr>
              <w:t>26</w:t>
            </w:r>
            <w:r w:rsidRPr="00362591">
              <w:rPr>
                <w:noProof/>
                <w:webHidden/>
              </w:rPr>
              <w:fldChar w:fldCharType="end"/>
            </w:r>
          </w:hyperlink>
        </w:p>
        <w:p w:rsidR="007947CC" w14:paraId="188A1F57" w14:textId="4EEE5709">
          <w:pPr>
            <w:pStyle w:val="TOC1"/>
            <w:rPr>
              <w:rFonts w:asciiTheme="minorHAnsi" w:eastAsiaTheme="minorEastAsia" w:hAnsiTheme="minorHAnsi" w:cstheme="minorBidi"/>
              <w:b w:val="0"/>
              <w:bCs w:val="0"/>
              <w:color w:val="auto"/>
              <w:kern w:val="2"/>
              <w14:ligatures w14:val="standardContextual"/>
            </w:rPr>
          </w:pPr>
          <w:hyperlink w:anchor="_Toc147923002" w:history="1">
            <w:r w:rsidRPr="0022512C">
              <w:rPr>
                <w:rStyle w:val="Hyperlink"/>
                <w:rFonts w:ascii="Arial Bold" w:hAnsi="Arial Bold"/>
                <w:caps/>
              </w:rPr>
              <w:t>5</w:t>
            </w:r>
            <w:r>
              <w:rPr>
                <w:rFonts w:asciiTheme="minorHAnsi" w:eastAsiaTheme="minorEastAsia" w:hAnsiTheme="minorHAnsi" w:cstheme="minorBidi"/>
                <w:b w:val="0"/>
                <w:bCs w:val="0"/>
                <w:color w:val="auto"/>
                <w:kern w:val="2"/>
                <w14:ligatures w14:val="standardContextual"/>
              </w:rPr>
              <w:tab/>
            </w:r>
            <w:r w:rsidRPr="0022512C">
              <w:rPr>
                <w:rStyle w:val="Hyperlink"/>
                <w:rFonts w:ascii="Arial Bold" w:hAnsi="Arial Bold"/>
                <w:caps/>
              </w:rPr>
              <w:t>Decision Rationale and Implementation</w:t>
            </w:r>
            <w:r>
              <w:rPr>
                <w:webHidden/>
              </w:rPr>
              <w:tab/>
            </w:r>
            <w:r>
              <w:rPr>
                <w:webHidden/>
              </w:rPr>
              <w:fldChar w:fldCharType="begin"/>
            </w:r>
            <w:r>
              <w:rPr>
                <w:webHidden/>
              </w:rPr>
              <w:instrText xml:space="preserve"> PAGEREF _Toc147923002 \h </w:instrText>
            </w:r>
            <w:r>
              <w:rPr>
                <w:webHidden/>
              </w:rPr>
              <w:fldChar w:fldCharType="separate"/>
            </w:r>
            <w:r w:rsidR="00591B9B">
              <w:rPr>
                <w:webHidden/>
              </w:rPr>
              <w:t>27</w:t>
            </w:r>
            <w:r>
              <w:rPr>
                <w:webHidden/>
              </w:rPr>
              <w:fldChar w:fldCharType="end"/>
            </w:r>
          </w:hyperlink>
        </w:p>
        <w:p w:rsidR="007947CC" w14:paraId="05E1160A" w14:textId="626282C4">
          <w:pPr>
            <w:pStyle w:val="TOC1"/>
            <w:rPr>
              <w:rFonts w:asciiTheme="minorHAnsi" w:eastAsiaTheme="minorEastAsia" w:hAnsiTheme="minorHAnsi" w:cstheme="minorBidi"/>
              <w:b w:val="0"/>
              <w:bCs w:val="0"/>
              <w:color w:val="auto"/>
              <w:kern w:val="2"/>
              <w14:ligatures w14:val="standardContextual"/>
            </w:rPr>
          </w:pPr>
          <w:hyperlink w:anchor="_Toc147923003" w:history="1">
            <w:r w:rsidRPr="0022512C">
              <w:rPr>
                <w:rStyle w:val="Hyperlink"/>
                <w:rFonts w:ascii="Arial Bold" w:hAnsi="Arial Bold"/>
                <w:caps/>
              </w:rPr>
              <w:t>6</w:t>
            </w:r>
            <w:r>
              <w:rPr>
                <w:rFonts w:asciiTheme="minorHAnsi" w:eastAsiaTheme="minorEastAsia" w:hAnsiTheme="minorHAnsi" w:cstheme="minorBidi"/>
                <w:b w:val="0"/>
                <w:bCs w:val="0"/>
                <w:color w:val="auto"/>
                <w:kern w:val="2"/>
                <w14:ligatures w14:val="standardContextual"/>
              </w:rPr>
              <w:tab/>
            </w:r>
            <w:r w:rsidRPr="0022512C">
              <w:rPr>
                <w:rStyle w:val="Hyperlink"/>
                <w:rFonts w:ascii="Arial Bold" w:hAnsi="Arial Bold"/>
                <w:caps/>
              </w:rPr>
              <w:t>References</w:t>
            </w:r>
            <w:r>
              <w:rPr>
                <w:webHidden/>
              </w:rPr>
              <w:tab/>
            </w:r>
            <w:r>
              <w:rPr>
                <w:webHidden/>
              </w:rPr>
              <w:fldChar w:fldCharType="begin"/>
            </w:r>
            <w:r>
              <w:rPr>
                <w:webHidden/>
              </w:rPr>
              <w:instrText xml:space="preserve"> PAGEREF _Toc147923003 \h </w:instrText>
            </w:r>
            <w:r>
              <w:rPr>
                <w:webHidden/>
              </w:rPr>
              <w:fldChar w:fldCharType="separate"/>
            </w:r>
            <w:r w:rsidR="00591B9B">
              <w:rPr>
                <w:webHidden/>
              </w:rPr>
              <w:t>28</w:t>
            </w:r>
            <w:r>
              <w:rPr>
                <w:webHidden/>
              </w:rPr>
              <w:fldChar w:fldCharType="end"/>
            </w:r>
          </w:hyperlink>
        </w:p>
        <w:p w:rsidR="007947CC" w14:paraId="27173169" w14:textId="515C7F78">
          <w:pPr>
            <w:pStyle w:val="TOC1"/>
            <w:rPr>
              <w:rFonts w:asciiTheme="minorHAnsi" w:eastAsiaTheme="minorEastAsia" w:hAnsiTheme="minorHAnsi" w:cstheme="minorBidi"/>
              <w:b w:val="0"/>
              <w:bCs w:val="0"/>
              <w:color w:val="auto"/>
              <w:kern w:val="2"/>
              <w14:ligatures w14:val="standardContextual"/>
            </w:rPr>
          </w:pPr>
          <w:hyperlink w:anchor="_Toc147923004" w:history="1">
            <w:r w:rsidRPr="0022512C">
              <w:rPr>
                <w:rStyle w:val="Hyperlink"/>
              </w:rPr>
              <w:t>APPENDIX A  SUPPORTING INFORMATION</w:t>
            </w:r>
            <w:r>
              <w:rPr>
                <w:webHidden/>
              </w:rPr>
              <w:tab/>
            </w:r>
            <w:r w:rsidR="000F1399">
              <w:rPr>
                <w:webHidden/>
              </w:rPr>
              <w:t>A-</w:t>
            </w:r>
            <w:r>
              <w:rPr>
                <w:webHidden/>
              </w:rPr>
              <w:fldChar w:fldCharType="begin"/>
            </w:r>
            <w:r>
              <w:rPr>
                <w:webHidden/>
              </w:rPr>
              <w:instrText xml:space="preserve"> PAGEREF _Toc147923004 \h </w:instrText>
            </w:r>
            <w:r>
              <w:rPr>
                <w:webHidden/>
              </w:rPr>
              <w:fldChar w:fldCharType="separate"/>
            </w:r>
            <w:r w:rsidR="00591B9B">
              <w:rPr>
                <w:webHidden/>
              </w:rPr>
              <w:t>1</w:t>
            </w:r>
            <w:r>
              <w:rPr>
                <w:webHidden/>
              </w:rPr>
              <w:fldChar w:fldCharType="end"/>
            </w:r>
          </w:hyperlink>
        </w:p>
        <w:p w:rsidR="0078072B" w:rsidP="0078072B" w14:paraId="36E1D1FE" w14:textId="77777777">
          <w:r w:rsidRPr="00544F9A">
            <w:rPr>
              <w:b/>
              <w:bCs/>
              <w:noProof/>
            </w:rPr>
            <w:fldChar w:fldCharType="end"/>
          </w:r>
        </w:p>
      </w:sdtContent>
    </w:sdt>
    <w:p w:rsidR="0078072B" w:rsidP="0078072B" w14:paraId="65538B96" w14:textId="77777777">
      <w:pPr>
        <w:tabs>
          <w:tab w:val="left" w:pos="720"/>
          <w:tab w:val="left" w:pos="1440"/>
          <w:tab w:val="right" w:leader="dot" w:pos="9360"/>
        </w:tabs>
        <w:rPr>
          <w:highlight w:val="yellow"/>
        </w:rPr>
        <w:sectPr w:rsidSect="00AA7975">
          <w:type w:val="oddPage"/>
          <w:pgSz w:w="12240" w:h="15840"/>
          <w:pgMar w:top="1440" w:right="1440" w:bottom="1440" w:left="1440" w:header="720" w:footer="720" w:gutter="0"/>
          <w:pgNumType w:fmt="lowerRoman"/>
          <w:cols w:space="720"/>
          <w:docGrid w:linePitch="360"/>
        </w:sectPr>
      </w:pPr>
    </w:p>
    <w:p w:rsidR="0078072B" w:rsidRPr="00195ACD" w:rsidP="0078072B" w14:paraId="722DB664" w14:textId="77777777">
      <w:pPr>
        <w:pStyle w:val="Heading1"/>
        <w:jc w:val="center"/>
        <w:rPr>
          <w:sz w:val="28"/>
        </w:rPr>
      </w:pPr>
      <w:bookmarkStart w:id="6" w:name="_Toc147922959"/>
      <w:r w:rsidRPr="00195ACD">
        <w:rPr>
          <w:sz w:val="28"/>
        </w:rPr>
        <w:t>LIST OF FIGURES</w:t>
      </w:r>
      <w:bookmarkEnd w:id="6"/>
    </w:p>
    <w:p w:rsidR="0078072B" w:rsidP="0078072B" w14:paraId="5EBB20E6" w14:textId="77777777">
      <w:pPr>
        <w:tabs>
          <w:tab w:val="left" w:pos="1440"/>
        </w:tabs>
        <w:rPr>
          <w:highlight w:val="yellow"/>
        </w:rPr>
      </w:pPr>
    </w:p>
    <w:p w:rsidR="0078072B" w:rsidRPr="00544F9A" w:rsidP="0078072B" w14:paraId="4BE9FA16" w14:textId="3CF45B04">
      <w:pPr>
        <w:pStyle w:val="TableofFigures"/>
        <w:tabs>
          <w:tab w:val="right" w:leader="dot" w:pos="9350"/>
        </w:tabs>
        <w:rPr>
          <w:rFonts w:asciiTheme="minorHAnsi" w:eastAsiaTheme="minorEastAsia" w:hAnsiTheme="minorHAnsi" w:cstheme="minorBidi"/>
          <w:b w:val="0"/>
          <w:noProof/>
          <w:color w:val="auto"/>
        </w:rPr>
      </w:pPr>
      <w:r w:rsidRPr="00544F9A">
        <w:rPr>
          <w:b w:val="0"/>
          <w:highlight w:val="yellow"/>
        </w:rPr>
        <w:fldChar w:fldCharType="begin"/>
      </w:r>
      <w:r w:rsidRPr="00544F9A">
        <w:rPr>
          <w:b w:val="0"/>
          <w:highlight w:val="yellow"/>
        </w:rPr>
        <w:instrText xml:space="preserve"> TOC \h \z \c "Figure" </w:instrText>
      </w:r>
      <w:r w:rsidRPr="00544F9A">
        <w:rPr>
          <w:b w:val="0"/>
          <w:highlight w:val="yellow"/>
        </w:rPr>
        <w:fldChar w:fldCharType="separate"/>
      </w:r>
      <w:hyperlink w:anchor="_Toc112274714" w:history="1">
        <w:r w:rsidRPr="00544F9A" w:rsidR="009B1ECC">
          <w:rPr>
            <w:rStyle w:val="Hyperlink"/>
            <w:b w:val="0"/>
            <w:noProof/>
          </w:rPr>
          <w:t>Figure 1  Total Industry Net Benefits (Costs) (7 Percent NPV)—Alternative 2</w:t>
        </w:r>
        <w:r w:rsidRPr="00544F9A" w:rsidR="009B1ECC">
          <w:rPr>
            <w:b w:val="0"/>
            <w:noProof/>
            <w:webHidden/>
          </w:rPr>
          <w:tab/>
        </w:r>
        <w:r w:rsidRPr="00544F9A" w:rsidR="009B1ECC">
          <w:rPr>
            <w:b w:val="0"/>
            <w:noProof/>
            <w:webHidden/>
          </w:rPr>
          <w:fldChar w:fldCharType="begin"/>
        </w:r>
        <w:r w:rsidRPr="00544F9A" w:rsidR="009B1ECC">
          <w:rPr>
            <w:b w:val="0"/>
            <w:noProof/>
            <w:webHidden/>
          </w:rPr>
          <w:instrText xml:space="preserve"> PAGEREF _Toc112274714 \h </w:instrText>
        </w:r>
        <w:r w:rsidRPr="00544F9A" w:rsidR="009B1ECC">
          <w:rPr>
            <w:b w:val="0"/>
            <w:noProof/>
            <w:webHidden/>
          </w:rPr>
          <w:fldChar w:fldCharType="separate"/>
        </w:r>
        <w:r w:rsidRPr="00544F9A" w:rsidR="009B1ECC">
          <w:rPr>
            <w:b w:val="0"/>
            <w:noProof/>
            <w:webHidden/>
          </w:rPr>
          <w:t>2</w:t>
        </w:r>
        <w:r w:rsidR="009B1ECC">
          <w:rPr>
            <w:b w:val="0"/>
            <w:noProof/>
            <w:webHidden/>
          </w:rPr>
          <w:t>3</w:t>
        </w:r>
        <w:r w:rsidRPr="00544F9A" w:rsidR="009B1ECC">
          <w:rPr>
            <w:b w:val="0"/>
            <w:noProof/>
            <w:webHidden/>
          </w:rPr>
          <w:fldChar w:fldCharType="end"/>
        </w:r>
      </w:hyperlink>
    </w:p>
    <w:p w:rsidR="0078072B" w:rsidRPr="00544F9A" w:rsidP="0078072B" w14:paraId="6A2BF25C" w14:textId="472DF4FB">
      <w:pPr>
        <w:pStyle w:val="TableofFigures"/>
        <w:tabs>
          <w:tab w:val="right" w:leader="dot" w:pos="9350"/>
        </w:tabs>
        <w:rPr>
          <w:rFonts w:asciiTheme="minorHAnsi" w:eastAsiaTheme="minorEastAsia" w:hAnsiTheme="minorHAnsi" w:cstheme="minorBidi"/>
          <w:b w:val="0"/>
          <w:noProof/>
          <w:color w:val="auto"/>
        </w:rPr>
      </w:pPr>
      <w:hyperlink w:anchor="_Toc112274715" w:history="1">
        <w:r w:rsidRPr="00544F9A" w:rsidR="009B1ECC">
          <w:rPr>
            <w:rStyle w:val="Hyperlink"/>
            <w:b w:val="0"/>
            <w:noProof/>
          </w:rPr>
          <w:t>Figure 2  Total NRC Net Benefits (Costs) (7 Percent NPV)—Alternative 2</w:t>
        </w:r>
        <w:r w:rsidRPr="00544F9A" w:rsidR="009B1ECC">
          <w:rPr>
            <w:b w:val="0"/>
            <w:noProof/>
            <w:webHidden/>
          </w:rPr>
          <w:tab/>
        </w:r>
        <w:r w:rsidRPr="00544F9A" w:rsidR="009B1ECC">
          <w:rPr>
            <w:b w:val="0"/>
            <w:noProof/>
            <w:webHidden/>
          </w:rPr>
          <w:fldChar w:fldCharType="begin"/>
        </w:r>
        <w:r w:rsidRPr="00544F9A" w:rsidR="009B1ECC">
          <w:rPr>
            <w:b w:val="0"/>
            <w:noProof/>
            <w:webHidden/>
          </w:rPr>
          <w:instrText xml:space="preserve"> PAGEREF _Toc112274715 \h </w:instrText>
        </w:r>
        <w:r w:rsidRPr="00544F9A" w:rsidR="009B1ECC">
          <w:rPr>
            <w:b w:val="0"/>
            <w:noProof/>
            <w:webHidden/>
          </w:rPr>
          <w:fldChar w:fldCharType="separate"/>
        </w:r>
        <w:r w:rsidRPr="00544F9A" w:rsidR="009B1ECC">
          <w:rPr>
            <w:b w:val="0"/>
            <w:noProof/>
            <w:webHidden/>
          </w:rPr>
          <w:t>2</w:t>
        </w:r>
        <w:r w:rsidR="009B1ECC">
          <w:rPr>
            <w:b w:val="0"/>
            <w:noProof/>
            <w:webHidden/>
          </w:rPr>
          <w:t>4</w:t>
        </w:r>
        <w:r w:rsidRPr="00544F9A" w:rsidR="009B1ECC">
          <w:rPr>
            <w:b w:val="0"/>
            <w:noProof/>
            <w:webHidden/>
          </w:rPr>
          <w:fldChar w:fldCharType="end"/>
        </w:r>
      </w:hyperlink>
    </w:p>
    <w:p w:rsidR="0078072B" w:rsidRPr="00544F9A" w:rsidP="0078072B" w14:paraId="32FDA17E" w14:textId="491C2CEE">
      <w:pPr>
        <w:pStyle w:val="TableofFigures"/>
        <w:tabs>
          <w:tab w:val="right" w:leader="dot" w:pos="9350"/>
        </w:tabs>
        <w:rPr>
          <w:rFonts w:asciiTheme="minorHAnsi" w:eastAsiaTheme="minorEastAsia" w:hAnsiTheme="minorHAnsi" w:cstheme="minorBidi"/>
          <w:b w:val="0"/>
          <w:noProof/>
          <w:color w:val="auto"/>
        </w:rPr>
      </w:pPr>
      <w:hyperlink w:anchor="_Toc112274716" w:history="1">
        <w:r w:rsidRPr="00544F9A" w:rsidR="009B1ECC">
          <w:rPr>
            <w:rStyle w:val="Hyperlink"/>
            <w:b w:val="0"/>
            <w:noProof/>
          </w:rPr>
          <w:t>Figure 3  Total Net Benefits (Cost) (7 Percent NPV)—Alternative 2</w:t>
        </w:r>
        <w:r w:rsidRPr="00544F9A" w:rsidR="009B1ECC">
          <w:rPr>
            <w:b w:val="0"/>
            <w:noProof/>
            <w:webHidden/>
          </w:rPr>
          <w:tab/>
        </w:r>
        <w:r w:rsidRPr="00544F9A" w:rsidR="009B1ECC">
          <w:rPr>
            <w:b w:val="0"/>
            <w:noProof/>
            <w:webHidden/>
          </w:rPr>
          <w:fldChar w:fldCharType="begin"/>
        </w:r>
        <w:r w:rsidRPr="00544F9A" w:rsidR="009B1ECC">
          <w:rPr>
            <w:b w:val="0"/>
            <w:noProof/>
            <w:webHidden/>
          </w:rPr>
          <w:instrText xml:space="preserve"> PAGEREF _Toc112274716 \h </w:instrText>
        </w:r>
        <w:r w:rsidRPr="00544F9A" w:rsidR="009B1ECC">
          <w:rPr>
            <w:b w:val="0"/>
            <w:noProof/>
            <w:webHidden/>
          </w:rPr>
          <w:fldChar w:fldCharType="separate"/>
        </w:r>
        <w:r w:rsidRPr="00544F9A" w:rsidR="009B1ECC">
          <w:rPr>
            <w:b w:val="0"/>
            <w:noProof/>
            <w:webHidden/>
          </w:rPr>
          <w:t>2</w:t>
        </w:r>
        <w:r w:rsidR="009B1ECC">
          <w:rPr>
            <w:b w:val="0"/>
            <w:noProof/>
            <w:webHidden/>
          </w:rPr>
          <w:t>4</w:t>
        </w:r>
        <w:r w:rsidRPr="00544F9A" w:rsidR="009B1ECC">
          <w:rPr>
            <w:b w:val="0"/>
            <w:noProof/>
            <w:webHidden/>
          </w:rPr>
          <w:fldChar w:fldCharType="end"/>
        </w:r>
      </w:hyperlink>
    </w:p>
    <w:p w:rsidR="0078072B" w:rsidRPr="00544F9A" w:rsidP="0078072B" w14:paraId="47293218" w14:textId="5B07532D">
      <w:pPr>
        <w:pStyle w:val="TableofFigures"/>
        <w:tabs>
          <w:tab w:val="right" w:leader="dot" w:pos="9350"/>
        </w:tabs>
        <w:rPr>
          <w:rFonts w:asciiTheme="minorHAnsi" w:eastAsiaTheme="minorEastAsia" w:hAnsiTheme="minorHAnsi" w:cstheme="minorBidi"/>
          <w:b w:val="0"/>
          <w:noProof/>
          <w:color w:val="auto"/>
        </w:rPr>
      </w:pPr>
      <w:hyperlink w:anchor="_Toc112274717" w:history="1">
        <w:r w:rsidRPr="00544F9A" w:rsidR="009B1ECC">
          <w:rPr>
            <w:rStyle w:val="Hyperlink"/>
            <w:b w:val="0"/>
            <w:noProof/>
          </w:rPr>
          <w:t>Figure 4  Tornado Diagram—Total Averted Costs—7 Percent NPV</w:t>
        </w:r>
        <w:r w:rsidRPr="00544F9A" w:rsidR="009B1ECC">
          <w:rPr>
            <w:b w:val="0"/>
            <w:noProof/>
            <w:webHidden/>
          </w:rPr>
          <w:tab/>
        </w:r>
        <w:r w:rsidRPr="00544F9A" w:rsidR="009B1ECC">
          <w:rPr>
            <w:b w:val="0"/>
            <w:noProof/>
            <w:webHidden/>
          </w:rPr>
          <w:fldChar w:fldCharType="begin"/>
        </w:r>
        <w:r w:rsidRPr="00544F9A" w:rsidR="009B1ECC">
          <w:rPr>
            <w:b w:val="0"/>
            <w:noProof/>
            <w:webHidden/>
          </w:rPr>
          <w:instrText xml:space="preserve"> PAGEREF _Toc112274717 \h </w:instrText>
        </w:r>
        <w:r w:rsidRPr="00544F9A" w:rsidR="009B1ECC">
          <w:rPr>
            <w:b w:val="0"/>
            <w:noProof/>
            <w:webHidden/>
          </w:rPr>
          <w:fldChar w:fldCharType="separate"/>
        </w:r>
        <w:r w:rsidRPr="00544F9A" w:rsidR="009B1ECC">
          <w:rPr>
            <w:b w:val="0"/>
            <w:noProof/>
            <w:webHidden/>
          </w:rPr>
          <w:t>2</w:t>
        </w:r>
        <w:r w:rsidR="009B1ECC">
          <w:rPr>
            <w:b w:val="0"/>
            <w:noProof/>
            <w:webHidden/>
          </w:rPr>
          <w:t>5</w:t>
        </w:r>
        <w:r w:rsidRPr="00544F9A" w:rsidR="009B1ECC">
          <w:rPr>
            <w:b w:val="0"/>
            <w:noProof/>
            <w:webHidden/>
          </w:rPr>
          <w:fldChar w:fldCharType="end"/>
        </w:r>
      </w:hyperlink>
    </w:p>
    <w:p w:rsidR="00F73D2B" w:rsidP="0078072B" w14:paraId="6829E27D" w14:textId="77777777">
      <w:pPr>
        <w:tabs>
          <w:tab w:val="left" w:pos="1080"/>
          <w:tab w:val="left" w:pos="1440"/>
        </w:tabs>
        <w:rPr>
          <w:highlight w:val="yellow"/>
        </w:rPr>
        <w:sectPr w:rsidSect="00AA7975">
          <w:type w:val="oddPage"/>
          <w:pgSz w:w="12240" w:h="15840"/>
          <w:pgMar w:top="1440" w:right="1440" w:bottom="1440" w:left="1440" w:header="720" w:footer="720" w:gutter="0"/>
          <w:pgNumType w:fmt="lowerRoman"/>
          <w:cols w:space="720"/>
          <w:docGrid w:linePitch="360"/>
        </w:sectPr>
      </w:pPr>
      <w:r w:rsidRPr="00544F9A">
        <w:rPr>
          <w:highlight w:val="yellow"/>
        </w:rPr>
        <w:fldChar w:fldCharType="end"/>
      </w:r>
    </w:p>
    <w:p w:rsidR="0078072B" w:rsidRPr="009C792B" w:rsidP="0078072B" w14:paraId="283980D9" w14:textId="19190B3E">
      <w:pPr>
        <w:pStyle w:val="Heading1"/>
        <w:jc w:val="center"/>
        <w:rPr>
          <w:sz w:val="28"/>
        </w:rPr>
      </w:pPr>
      <w:bookmarkStart w:id="7" w:name="_Toc147922960"/>
      <w:r w:rsidRPr="009C792B">
        <w:rPr>
          <w:sz w:val="28"/>
        </w:rPr>
        <w:t>LIST OF TABLES</w:t>
      </w:r>
      <w:bookmarkEnd w:id="7"/>
    </w:p>
    <w:p w:rsidR="0078072B" w:rsidRPr="00E10389" w:rsidP="0078072B" w14:paraId="4110CD5D" w14:textId="77777777">
      <w:pPr>
        <w:rPr>
          <w:highlight w:val="yellow"/>
        </w:rPr>
      </w:pPr>
    </w:p>
    <w:p w:rsidR="00FE44B9" w:rsidRPr="00FE44B9" w14:paraId="7BC02BEB" w14:textId="01C918DF">
      <w:pPr>
        <w:pStyle w:val="TableofFigures"/>
        <w:tabs>
          <w:tab w:val="right" w:leader="dot" w:pos="9350"/>
        </w:tabs>
        <w:rPr>
          <w:rFonts w:asciiTheme="minorHAnsi" w:eastAsiaTheme="minorEastAsia" w:hAnsiTheme="minorHAnsi" w:cstheme="minorBidi"/>
          <w:b w:val="0"/>
          <w:bCs/>
          <w:noProof/>
          <w:color w:val="auto"/>
          <w:kern w:val="2"/>
          <w14:ligatures w14:val="standardContextual"/>
        </w:rPr>
      </w:pPr>
      <w:r w:rsidRPr="00544F9A">
        <w:rPr>
          <w:b w:val="0"/>
          <w:highlight w:val="yellow"/>
        </w:rPr>
        <w:fldChar w:fldCharType="begin"/>
      </w:r>
      <w:r w:rsidRPr="00544F9A">
        <w:rPr>
          <w:b w:val="0"/>
          <w:highlight w:val="yellow"/>
        </w:rPr>
        <w:instrText xml:space="preserve"> TOC \h \z \c "Table" </w:instrText>
      </w:r>
      <w:r w:rsidRPr="00544F9A">
        <w:rPr>
          <w:b w:val="0"/>
          <w:highlight w:val="yellow"/>
        </w:rPr>
        <w:fldChar w:fldCharType="separate"/>
      </w:r>
      <w:hyperlink w:anchor="_Toc147923414" w:history="1">
        <w:r w:rsidRPr="00362591">
          <w:rPr>
            <w:rStyle w:val="Hyperlink"/>
            <w:b w:val="0"/>
            <w:bCs/>
            <w:noProof/>
          </w:rPr>
          <w:t>Table ES</w:t>
        </w:r>
        <w:r w:rsidRPr="00362591">
          <w:rPr>
            <w:rStyle w:val="Hyperlink"/>
            <w:b w:val="0"/>
            <w:bCs/>
            <w:noProof/>
          </w:rPr>
          <w:noBreakHyphen/>
          <w:t>1  Total Costs and Benefits for Alternative 2</w:t>
        </w:r>
        <w:r w:rsidRPr="00362591">
          <w:rPr>
            <w:b w:val="0"/>
            <w:bCs/>
            <w:noProof/>
            <w:webHidden/>
          </w:rPr>
          <w:tab/>
        </w:r>
        <w:r w:rsidRPr="00362591">
          <w:rPr>
            <w:b w:val="0"/>
            <w:bCs/>
            <w:noProof/>
            <w:webHidden/>
          </w:rPr>
          <w:fldChar w:fldCharType="begin"/>
        </w:r>
        <w:r w:rsidRPr="00362591">
          <w:rPr>
            <w:b w:val="0"/>
            <w:bCs/>
            <w:noProof/>
            <w:webHidden/>
          </w:rPr>
          <w:instrText xml:space="preserve"> PAGEREF _Toc147923414 \h </w:instrText>
        </w:r>
        <w:r w:rsidRPr="00362591">
          <w:rPr>
            <w:b w:val="0"/>
            <w:bCs/>
            <w:noProof/>
            <w:webHidden/>
          </w:rPr>
          <w:fldChar w:fldCharType="separate"/>
        </w:r>
        <w:r w:rsidRPr="00362591">
          <w:rPr>
            <w:b w:val="0"/>
            <w:bCs/>
            <w:noProof/>
            <w:webHidden/>
          </w:rPr>
          <w:t>ii</w:t>
        </w:r>
        <w:r w:rsidRPr="00362591">
          <w:rPr>
            <w:b w:val="0"/>
            <w:bCs/>
            <w:noProof/>
            <w:webHidden/>
          </w:rPr>
          <w:fldChar w:fldCharType="end"/>
        </w:r>
      </w:hyperlink>
    </w:p>
    <w:p w:rsidR="00FE44B9" w:rsidRPr="00FE44B9" w14:paraId="1661D561" w14:textId="5D18E546">
      <w:pPr>
        <w:pStyle w:val="TableofFigures"/>
        <w:tabs>
          <w:tab w:val="right" w:leader="dot" w:pos="9350"/>
        </w:tabs>
        <w:rPr>
          <w:rFonts w:asciiTheme="minorHAnsi" w:eastAsiaTheme="minorEastAsia" w:hAnsiTheme="minorHAnsi" w:cstheme="minorBidi"/>
          <w:b w:val="0"/>
          <w:bCs/>
          <w:noProof/>
          <w:color w:val="auto"/>
          <w:kern w:val="2"/>
          <w14:ligatures w14:val="standardContextual"/>
        </w:rPr>
      </w:pPr>
      <w:hyperlink w:anchor="_Toc147923415" w:history="1">
        <w:r w:rsidRPr="00362591">
          <w:rPr>
            <w:rStyle w:val="Hyperlink"/>
            <w:b w:val="0"/>
            <w:bCs/>
            <w:noProof/>
          </w:rPr>
          <w:t>Table ES</w:t>
        </w:r>
        <w:r w:rsidRPr="00362591">
          <w:rPr>
            <w:rStyle w:val="Hyperlink"/>
            <w:b w:val="0"/>
            <w:bCs/>
            <w:noProof/>
          </w:rPr>
          <w:noBreakHyphen/>
          <w:t>2  Total Costs and Benefits by Licensee Group for Alternative 2</w:t>
        </w:r>
        <w:r w:rsidRPr="00362591">
          <w:rPr>
            <w:b w:val="0"/>
            <w:bCs/>
            <w:noProof/>
            <w:webHidden/>
          </w:rPr>
          <w:tab/>
        </w:r>
        <w:r w:rsidRPr="00362591">
          <w:rPr>
            <w:b w:val="0"/>
            <w:bCs/>
            <w:noProof/>
            <w:webHidden/>
          </w:rPr>
          <w:fldChar w:fldCharType="begin"/>
        </w:r>
        <w:r w:rsidRPr="00362591">
          <w:rPr>
            <w:b w:val="0"/>
            <w:bCs/>
            <w:noProof/>
            <w:webHidden/>
          </w:rPr>
          <w:instrText xml:space="preserve"> PAGEREF _Toc147923415 \h </w:instrText>
        </w:r>
        <w:r w:rsidRPr="00362591">
          <w:rPr>
            <w:b w:val="0"/>
            <w:bCs/>
            <w:noProof/>
            <w:webHidden/>
          </w:rPr>
          <w:fldChar w:fldCharType="separate"/>
        </w:r>
        <w:r w:rsidRPr="00362591">
          <w:rPr>
            <w:b w:val="0"/>
            <w:bCs/>
            <w:noProof/>
            <w:webHidden/>
          </w:rPr>
          <w:t>iii</w:t>
        </w:r>
        <w:r w:rsidRPr="00362591">
          <w:rPr>
            <w:b w:val="0"/>
            <w:bCs/>
            <w:noProof/>
            <w:webHidden/>
          </w:rPr>
          <w:fldChar w:fldCharType="end"/>
        </w:r>
      </w:hyperlink>
    </w:p>
    <w:p w:rsidR="00FE44B9" w:rsidRPr="00FE44B9" w14:paraId="42439938" w14:textId="11952382">
      <w:pPr>
        <w:pStyle w:val="TableofFigures"/>
        <w:tabs>
          <w:tab w:val="right" w:leader="dot" w:pos="9350"/>
        </w:tabs>
        <w:rPr>
          <w:rFonts w:asciiTheme="minorHAnsi" w:eastAsiaTheme="minorEastAsia" w:hAnsiTheme="minorHAnsi" w:cstheme="minorBidi"/>
          <w:b w:val="0"/>
          <w:bCs/>
          <w:noProof/>
          <w:color w:val="auto"/>
          <w:kern w:val="2"/>
          <w14:ligatures w14:val="standardContextual"/>
        </w:rPr>
      </w:pPr>
      <w:hyperlink w:anchor="_Toc147923416" w:history="1">
        <w:r w:rsidRPr="00362591">
          <w:rPr>
            <w:rStyle w:val="Hyperlink"/>
            <w:b w:val="0"/>
            <w:bCs/>
            <w:noProof/>
          </w:rPr>
          <w:t>Table 1  Affected License Renewal Applicants</w:t>
        </w:r>
        <w:r w:rsidRPr="00362591">
          <w:rPr>
            <w:b w:val="0"/>
            <w:bCs/>
            <w:noProof/>
            <w:webHidden/>
          </w:rPr>
          <w:tab/>
        </w:r>
        <w:r w:rsidRPr="00362591">
          <w:rPr>
            <w:b w:val="0"/>
            <w:bCs/>
            <w:noProof/>
            <w:webHidden/>
          </w:rPr>
          <w:fldChar w:fldCharType="begin"/>
        </w:r>
        <w:r w:rsidRPr="00362591">
          <w:rPr>
            <w:b w:val="0"/>
            <w:bCs/>
            <w:noProof/>
            <w:webHidden/>
          </w:rPr>
          <w:instrText xml:space="preserve"> PAGEREF _Toc147923416 \h </w:instrText>
        </w:r>
        <w:r w:rsidRPr="00362591">
          <w:rPr>
            <w:b w:val="0"/>
            <w:bCs/>
            <w:noProof/>
            <w:webHidden/>
          </w:rPr>
          <w:fldChar w:fldCharType="separate"/>
        </w:r>
        <w:r w:rsidRPr="00362591">
          <w:rPr>
            <w:b w:val="0"/>
            <w:bCs/>
            <w:noProof/>
            <w:webHidden/>
          </w:rPr>
          <w:t>12</w:t>
        </w:r>
        <w:r w:rsidRPr="00362591">
          <w:rPr>
            <w:b w:val="0"/>
            <w:bCs/>
            <w:noProof/>
            <w:webHidden/>
          </w:rPr>
          <w:fldChar w:fldCharType="end"/>
        </w:r>
      </w:hyperlink>
    </w:p>
    <w:p w:rsidR="00FE44B9" w:rsidRPr="00FE44B9" w14:paraId="3659CEEA" w14:textId="47CED358">
      <w:pPr>
        <w:pStyle w:val="TableofFigures"/>
        <w:tabs>
          <w:tab w:val="right" w:leader="dot" w:pos="9350"/>
        </w:tabs>
        <w:rPr>
          <w:rFonts w:asciiTheme="minorHAnsi" w:eastAsiaTheme="minorEastAsia" w:hAnsiTheme="minorHAnsi" w:cstheme="minorBidi"/>
          <w:b w:val="0"/>
          <w:bCs/>
          <w:noProof/>
          <w:color w:val="auto"/>
          <w:kern w:val="2"/>
          <w14:ligatures w14:val="standardContextual"/>
        </w:rPr>
      </w:pPr>
      <w:hyperlink w:anchor="_Toc147923417" w:history="1">
        <w:r w:rsidRPr="00362591">
          <w:rPr>
            <w:rStyle w:val="Hyperlink"/>
            <w:b w:val="0"/>
            <w:bCs/>
            <w:noProof/>
          </w:rPr>
          <w:t>Table 2  CPI-U Inflator</w:t>
        </w:r>
        <w:r w:rsidRPr="00362591">
          <w:rPr>
            <w:b w:val="0"/>
            <w:bCs/>
            <w:noProof/>
            <w:webHidden/>
          </w:rPr>
          <w:tab/>
        </w:r>
        <w:r w:rsidRPr="00362591">
          <w:rPr>
            <w:b w:val="0"/>
            <w:bCs/>
            <w:noProof/>
            <w:webHidden/>
          </w:rPr>
          <w:fldChar w:fldCharType="begin"/>
        </w:r>
        <w:r w:rsidRPr="00362591">
          <w:rPr>
            <w:b w:val="0"/>
            <w:bCs/>
            <w:noProof/>
            <w:webHidden/>
          </w:rPr>
          <w:instrText xml:space="preserve"> PAGEREF _Toc147923417 \h </w:instrText>
        </w:r>
        <w:r w:rsidRPr="00362591">
          <w:rPr>
            <w:b w:val="0"/>
            <w:bCs/>
            <w:noProof/>
            <w:webHidden/>
          </w:rPr>
          <w:fldChar w:fldCharType="separate"/>
        </w:r>
        <w:r w:rsidRPr="00362591">
          <w:rPr>
            <w:b w:val="0"/>
            <w:bCs/>
            <w:noProof/>
            <w:webHidden/>
          </w:rPr>
          <w:t>14</w:t>
        </w:r>
        <w:r w:rsidRPr="00362591">
          <w:rPr>
            <w:b w:val="0"/>
            <w:bCs/>
            <w:noProof/>
            <w:webHidden/>
          </w:rPr>
          <w:fldChar w:fldCharType="end"/>
        </w:r>
      </w:hyperlink>
    </w:p>
    <w:p w:rsidR="00FE44B9" w:rsidRPr="00FE44B9" w14:paraId="2E63AB1E" w14:textId="70963E0D">
      <w:pPr>
        <w:pStyle w:val="TableofFigures"/>
        <w:tabs>
          <w:tab w:val="right" w:leader="dot" w:pos="9350"/>
        </w:tabs>
        <w:rPr>
          <w:rFonts w:asciiTheme="minorHAnsi" w:eastAsiaTheme="minorEastAsia" w:hAnsiTheme="minorHAnsi" w:cstheme="minorBidi"/>
          <w:b w:val="0"/>
          <w:bCs/>
          <w:noProof/>
          <w:color w:val="auto"/>
          <w:kern w:val="2"/>
          <w14:ligatures w14:val="standardContextual"/>
        </w:rPr>
      </w:pPr>
      <w:hyperlink w:anchor="_Toc147923418" w:history="1">
        <w:r w:rsidRPr="00362591">
          <w:rPr>
            <w:rStyle w:val="Hyperlink"/>
            <w:b w:val="0"/>
            <w:bCs/>
            <w:noProof/>
          </w:rPr>
          <w:t>Table 3  Position Titles and Occupations</w:t>
        </w:r>
        <w:r w:rsidRPr="00362591">
          <w:rPr>
            <w:b w:val="0"/>
            <w:bCs/>
            <w:noProof/>
            <w:webHidden/>
          </w:rPr>
          <w:tab/>
        </w:r>
        <w:r w:rsidRPr="00362591">
          <w:rPr>
            <w:b w:val="0"/>
            <w:bCs/>
            <w:noProof/>
            <w:webHidden/>
          </w:rPr>
          <w:fldChar w:fldCharType="begin"/>
        </w:r>
        <w:r w:rsidRPr="00362591">
          <w:rPr>
            <w:b w:val="0"/>
            <w:bCs/>
            <w:noProof/>
            <w:webHidden/>
          </w:rPr>
          <w:instrText xml:space="preserve"> PAGEREF _Toc147923418 \h </w:instrText>
        </w:r>
        <w:r w:rsidRPr="00362591">
          <w:rPr>
            <w:b w:val="0"/>
            <w:bCs/>
            <w:noProof/>
            <w:webHidden/>
          </w:rPr>
          <w:fldChar w:fldCharType="separate"/>
        </w:r>
        <w:r w:rsidRPr="00362591">
          <w:rPr>
            <w:b w:val="0"/>
            <w:bCs/>
            <w:noProof/>
            <w:webHidden/>
          </w:rPr>
          <w:t>15</w:t>
        </w:r>
        <w:r w:rsidRPr="00362591">
          <w:rPr>
            <w:b w:val="0"/>
            <w:bCs/>
            <w:noProof/>
            <w:webHidden/>
          </w:rPr>
          <w:fldChar w:fldCharType="end"/>
        </w:r>
      </w:hyperlink>
    </w:p>
    <w:p w:rsidR="00FE44B9" w:rsidRPr="00FE44B9" w14:paraId="40A87C02" w14:textId="2F0F1CEF">
      <w:pPr>
        <w:pStyle w:val="TableofFigures"/>
        <w:tabs>
          <w:tab w:val="right" w:leader="dot" w:pos="9350"/>
        </w:tabs>
        <w:rPr>
          <w:rFonts w:asciiTheme="minorHAnsi" w:eastAsiaTheme="minorEastAsia" w:hAnsiTheme="minorHAnsi" w:cstheme="minorBidi"/>
          <w:b w:val="0"/>
          <w:bCs/>
          <w:noProof/>
          <w:color w:val="auto"/>
          <w:kern w:val="2"/>
          <w14:ligatures w14:val="standardContextual"/>
        </w:rPr>
      </w:pPr>
      <w:hyperlink w:anchor="_Toc147923419" w:history="1">
        <w:r w:rsidRPr="00362591">
          <w:rPr>
            <w:rStyle w:val="Hyperlink"/>
            <w:b w:val="0"/>
            <w:bCs/>
            <w:noProof/>
          </w:rPr>
          <w:t>Table 4  Industry Implementation</w:t>
        </w:r>
        <w:r w:rsidRPr="00362591">
          <w:rPr>
            <w:b w:val="0"/>
            <w:bCs/>
            <w:noProof/>
            <w:webHidden/>
          </w:rPr>
          <w:tab/>
        </w:r>
        <w:r w:rsidRPr="00362591">
          <w:rPr>
            <w:b w:val="0"/>
            <w:bCs/>
            <w:noProof/>
            <w:webHidden/>
          </w:rPr>
          <w:fldChar w:fldCharType="begin"/>
        </w:r>
        <w:r w:rsidRPr="00362591">
          <w:rPr>
            <w:b w:val="0"/>
            <w:bCs/>
            <w:noProof/>
            <w:webHidden/>
          </w:rPr>
          <w:instrText xml:space="preserve"> PAGEREF _Toc147923419 \h </w:instrText>
        </w:r>
        <w:r w:rsidRPr="00362591">
          <w:rPr>
            <w:b w:val="0"/>
            <w:bCs/>
            <w:noProof/>
            <w:webHidden/>
          </w:rPr>
          <w:fldChar w:fldCharType="separate"/>
        </w:r>
        <w:r w:rsidRPr="00362591">
          <w:rPr>
            <w:b w:val="0"/>
            <w:bCs/>
            <w:noProof/>
            <w:webHidden/>
          </w:rPr>
          <w:t>16</w:t>
        </w:r>
        <w:r w:rsidRPr="00362591">
          <w:rPr>
            <w:b w:val="0"/>
            <w:bCs/>
            <w:noProof/>
            <w:webHidden/>
          </w:rPr>
          <w:fldChar w:fldCharType="end"/>
        </w:r>
      </w:hyperlink>
    </w:p>
    <w:p w:rsidR="00FE44B9" w:rsidRPr="00FE44B9" w14:paraId="1AAA37F7" w14:textId="7DC8777F">
      <w:pPr>
        <w:pStyle w:val="TableofFigures"/>
        <w:tabs>
          <w:tab w:val="right" w:leader="dot" w:pos="9350"/>
        </w:tabs>
        <w:rPr>
          <w:rFonts w:asciiTheme="minorHAnsi" w:eastAsiaTheme="minorEastAsia" w:hAnsiTheme="minorHAnsi" w:cstheme="minorBidi"/>
          <w:b w:val="0"/>
          <w:bCs/>
          <w:noProof/>
          <w:color w:val="auto"/>
          <w:kern w:val="2"/>
          <w14:ligatures w14:val="standardContextual"/>
        </w:rPr>
      </w:pPr>
      <w:hyperlink w:anchor="_Toc147923420" w:history="1">
        <w:r w:rsidRPr="00362591">
          <w:rPr>
            <w:rStyle w:val="Hyperlink"/>
            <w:b w:val="0"/>
            <w:bCs/>
            <w:noProof/>
          </w:rPr>
          <w:t>Table 5  Industry Operation Costs</w:t>
        </w:r>
        <w:r w:rsidRPr="00362591">
          <w:rPr>
            <w:b w:val="0"/>
            <w:bCs/>
            <w:noProof/>
            <w:webHidden/>
          </w:rPr>
          <w:tab/>
        </w:r>
        <w:r w:rsidRPr="00362591">
          <w:rPr>
            <w:b w:val="0"/>
            <w:bCs/>
            <w:noProof/>
            <w:webHidden/>
          </w:rPr>
          <w:fldChar w:fldCharType="begin"/>
        </w:r>
        <w:r w:rsidRPr="00362591">
          <w:rPr>
            <w:b w:val="0"/>
            <w:bCs/>
            <w:noProof/>
            <w:webHidden/>
          </w:rPr>
          <w:instrText xml:space="preserve"> PAGEREF _Toc147923420 \h </w:instrText>
        </w:r>
        <w:r w:rsidRPr="00362591">
          <w:rPr>
            <w:b w:val="0"/>
            <w:bCs/>
            <w:noProof/>
            <w:webHidden/>
          </w:rPr>
          <w:fldChar w:fldCharType="separate"/>
        </w:r>
        <w:r w:rsidRPr="00362591">
          <w:rPr>
            <w:b w:val="0"/>
            <w:bCs/>
            <w:noProof/>
            <w:webHidden/>
          </w:rPr>
          <w:t>18</w:t>
        </w:r>
        <w:r w:rsidRPr="00362591">
          <w:rPr>
            <w:b w:val="0"/>
            <w:bCs/>
            <w:noProof/>
            <w:webHidden/>
          </w:rPr>
          <w:fldChar w:fldCharType="end"/>
        </w:r>
      </w:hyperlink>
    </w:p>
    <w:p w:rsidR="00FE44B9" w:rsidRPr="00FE44B9" w14:paraId="0F31AD0A" w14:textId="4FAA2BA6">
      <w:pPr>
        <w:pStyle w:val="TableofFigures"/>
        <w:tabs>
          <w:tab w:val="right" w:leader="dot" w:pos="9350"/>
        </w:tabs>
        <w:rPr>
          <w:rFonts w:asciiTheme="minorHAnsi" w:eastAsiaTheme="minorEastAsia" w:hAnsiTheme="minorHAnsi" w:cstheme="minorBidi"/>
          <w:b w:val="0"/>
          <w:bCs/>
          <w:noProof/>
          <w:color w:val="auto"/>
          <w:kern w:val="2"/>
          <w14:ligatures w14:val="standardContextual"/>
        </w:rPr>
      </w:pPr>
      <w:hyperlink w:anchor="_Toc147923421" w:history="1">
        <w:r w:rsidRPr="00362591">
          <w:rPr>
            <w:rStyle w:val="Hyperlink"/>
            <w:b w:val="0"/>
            <w:bCs/>
            <w:noProof/>
          </w:rPr>
          <w:t>Table 6  NRC Operation Costs</w:t>
        </w:r>
        <w:r w:rsidRPr="00362591">
          <w:rPr>
            <w:b w:val="0"/>
            <w:bCs/>
            <w:noProof/>
            <w:webHidden/>
          </w:rPr>
          <w:tab/>
        </w:r>
        <w:r w:rsidRPr="00362591">
          <w:rPr>
            <w:b w:val="0"/>
            <w:bCs/>
            <w:noProof/>
            <w:webHidden/>
          </w:rPr>
          <w:fldChar w:fldCharType="begin"/>
        </w:r>
        <w:r w:rsidRPr="00362591">
          <w:rPr>
            <w:b w:val="0"/>
            <w:bCs/>
            <w:noProof/>
            <w:webHidden/>
          </w:rPr>
          <w:instrText xml:space="preserve"> PAGEREF _Toc147923421 \h </w:instrText>
        </w:r>
        <w:r w:rsidRPr="00362591">
          <w:rPr>
            <w:b w:val="0"/>
            <w:bCs/>
            <w:noProof/>
            <w:webHidden/>
          </w:rPr>
          <w:fldChar w:fldCharType="separate"/>
        </w:r>
        <w:r w:rsidRPr="00362591">
          <w:rPr>
            <w:b w:val="0"/>
            <w:bCs/>
            <w:noProof/>
            <w:webHidden/>
          </w:rPr>
          <w:t>19</w:t>
        </w:r>
        <w:r w:rsidRPr="00362591">
          <w:rPr>
            <w:b w:val="0"/>
            <w:bCs/>
            <w:noProof/>
            <w:webHidden/>
          </w:rPr>
          <w:fldChar w:fldCharType="end"/>
        </w:r>
      </w:hyperlink>
    </w:p>
    <w:p w:rsidR="00FE44B9" w:rsidRPr="00FE44B9" w14:paraId="7FC815D8" w14:textId="538B6E93">
      <w:pPr>
        <w:pStyle w:val="TableofFigures"/>
        <w:tabs>
          <w:tab w:val="right" w:leader="dot" w:pos="9350"/>
        </w:tabs>
        <w:rPr>
          <w:rFonts w:asciiTheme="minorHAnsi" w:eastAsiaTheme="minorEastAsia" w:hAnsiTheme="minorHAnsi" w:cstheme="minorBidi"/>
          <w:b w:val="0"/>
          <w:bCs/>
          <w:noProof/>
          <w:color w:val="auto"/>
          <w:kern w:val="2"/>
          <w14:ligatures w14:val="standardContextual"/>
        </w:rPr>
      </w:pPr>
      <w:hyperlink w:anchor="_Toc147923422" w:history="1">
        <w:r w:rsidRPr="00362591">
          <w:rPr>
            <w:rStyle w:val="Hyperlink"/>
            <w:b w:val="0"/>
            <w:bCs/>
            <w:noProof/>
          </w:rPr>
          <w:t>Table 7  Summary of Totals by Licensee Group</w:t>
        </w:r>
        <w:r w:rsidRPr="00362591">
          <w:rPr>
            <w:b w:val="0"/>
            <w:bCs/>
            <w:noProof/>
            <w:webHidden/>
          </w:rPr>
          <w:tab/>
        </w:r>
        <w:r w:rsidRPr="00362591">
          <w:rPr>
            <w:b w:val="0"/>
            <w:bCs/>
            <w:noProof/>
            <w:webHidden/>
          </w:rPr>
          <w:fldChar w:fldCharType="begin"/>
        </w:r>
        <w:r w:rsidRPr="00362591">
          <w:rPr>
            <w:b w:val="0"/>
            <w:bCs/>
            <w:noProof/>
            <w:webHidden/>
          </w:rPr>
          <w:instrText xml:space="preserve"> PAGEREF _Toc147923422 \h </w:instrText>
        </w:r>
        <w:r w:rsidRPr="00362591">
          <w:rPr>
            <w:b w:val="0"/>
            <w:bCs/>
            <w:noProof/>
            <w:webHidden/>
          </w:rPr>
          <w:fldChar w:fldCharType="separate"/>
        </w:r>
        <w:r w:rsidRPr="00362591">
          <w:rPr>
            <w:b w:val="0"/>
            <w:bCs/>
            <w:noProof/>
            <w:webHidden/>
          </w:rPr>
          <w:t>21</w:t>
        </w:r>
        <w:r w:rsidRPr="00362591">
          <w:rPr>
            <w:b w:val="0"/>
            <w:bCs/>
            <w:noProof/>
            <w:webHidden/>
          </w:rPr>
          <w:fldChar w:fldCharType="end"/>
        </w:r>
      </w:hyperlink>
    </w:p>
    <w:p w:rsidR="00FE44B9" w:rsidRPr="00FE44B9" w14:paraId="39FB0F08" w14:textId="1A29A2CC">
      <w:pPr>
        <w:pStyle w:val="TableofFigures"/>
        <w:tabs>
          <w:tab w:val="right" w:leader="dot" w:pos="9350"/>
        </w:tabs>
        <w:rPr>
          <w:rFonts w:asciiTheme="minorHAnsi" w:eastAsiaTheme="minorEastAsia" w:hAnsiTheme="minorHAnsi" w:cstheme="minorBidi"/>
          <w:b w:val="0"/>
          <w:bCs/>
          <w:noProof/>
          <w:color w:val="auto"/>
          <w:kern w:val="2"/>
          <w14:ligatures w14:val="standardContextual"/>
        </w:rPr>
      </w:pPr>
      <w:hyperlink w:anchor="_Toc147923423" w:history="1">
        <w:r w:rsidRPr="00362591">
          <w:rPr>
            <w:rStyle w:val="Hyperlink"/>
            <w:b w:val="0"/>
            <w:bCs/>
            <w:noProof/>
          </w:rPr>
          <w:t>Table 8  Summary of Totals</w:t>
        </w:r>
        <w:r w:rsidRPr="00362591">
          <w:rPr>
            <w:b w:val="0"/>
            <w:bCs/>
            <w:noProof/>
            <w:webHidden/>
          </w:rPr>
          <w:tab/>
        </w:r>
        <w:r w:rsidRPr="00362591">
          <w:rPr>
            <w:b w:val="0"/>
            <w:bCs/>
            <w:noProof/>
            <w:webHidden/>
          </w:rPr>
          <w:fldChar w:fldCharType="begin"/>
        </w:r>
        <w:r w:rsidRPr="00362591">
          <w:rPr>
            <w:b w:val="0"/>
            <w:bCs/>
            <w:noProof/>
            <w:webHidden/>
          </w:rPr>
          <w:instrText xml:space="preserve"> PAGEREF _Toc147923423 \h </w:instrText>
        </w:r>
        <w:r w:rsidRPr="00362591">
          <w:rPr>
            <w:b w:val="0"/>
            <w:bCs/>
            <w:noProof/>
            <w:webHidden/>
          </w:rPr>
          <w:fldChar w:fldCharType="separate"/>
        </w:r>
        <w:r w:rsidRPr="00362591">
          <w:rPr>
            <w:b w:val="0"/>
            <w:bCs/>
            <w:noProof/>
            <w:webHidden/>
          </w:rPr>
          <w:t>21</w:t>
        </w:r>
        <w:r w:rsidRPr="00362591">
          <w:rPr>
            <w:b w:val="0"/>
            <w:bCs/>
            <w:noProof/>
            <w:webHidden/>
          </w:rPr>
          <w:fldChar w:fldCharType="end"/>
        </w:r>
      </w:hyperlink>
    </w:p>
    <w:p w:rsidR="00FE44B9" w:rsidRPr="00FE44B9" w14:paraId="6F7C80A4" w14:textId="4FAFC3C9">
      <w:pPr>
        <w:pStyle w:val="TableofFigures"/>
        <w:tabs>
          <w:tab w:val="right" w:leader="dot" w:pos="9350"/>
        </w:tabs>
        <w:rPr>
          <w:rFonts w:asciiTheme="minorHAnsi" w:eastAsiaTheme="minorEastAsia" w:hAnsiTheme="minorHAnsi" w:cstheme="minorBidi"/>
          <w:b w:val="0"/>
          <w:bCs/>
          <w:noProof/>
          <w:color w:val="auto"/>
          <w:kern w:val="2"/>
          <w14:ligatures w14:val="standardContextual"/>
        </w:rPr>
      </w:pPr>
      <w:hyperlink w:anchor="_Toc147923424" w:history="1">
        <w:r w:rsidRPr="00362591">
          <w:rPr>
            <w:rStyle w:val="Hyperlink"/>
            <w:b w:val="0"/>
            <w:bCs/>
            <w:noProof/>
          </w:rPr>
          <w:t>Table 9  Descriptive Statistics for Uncertainty Results (7 Percent NPV)</w:t>
        </w:r>
        <w:r w:rsidRPr="00362591">
          <w:rPr>
            <w:b w:val="0"/>
            <w:bCs/>
            <w:noProof/>
            <w:webHidden/>
          </w:rPr>
          <w:tab/>
        </w:r>
        <w:r w:rsidRPr="00362591">
          <w:rPr>
            <w:b w:val="0"/>
            <w:bCs/>
            <w:noProof/>
            <w:webHidden/>
          </w:rPr>
          <w:fldChar w:fldCharType="begin"/>
        </w:r>
        <w:r w:rsidRPr="00362591">
          <w:rPr>
            <w:b w:val="0"/>
            <w:bCs/>
            <w:noProof/>
            <w:webHidden/>
          </w:rPr>
          <w:instrText xml:space="preserve"> PAGEREF _Toc147923424 \h </w:instrText>
        </w:r>
        <w:r w:rsidRPr="00362591">
          <w:rPr>
            <w:b w:val="0"/>
            <w:bCs/>
            <w:noProof/>
            <w:webHidden/>
          </w:rPr>
          <w:fldChar w:fldCharType="separate"/>
        </w:r>
        <w:r w:rsidRPr="00362591">
          <w:rPr>
            <w:b w:val="0"/>
            <w:bCs/>
            <w:noProof/>
            <w:webHidden/>
          </w:rPr>
          <w:t>25</w:t>
        </w:r>
        <w:r w:rsidRPr="00362591">
          <w:rPr>
            <w:b w:val="0"/>
            <w:bCs/>
            <w:noProof/>
            <w:webHidden/>
          </w:rPr>
          <w:fldChar w:fldCharType="end"/>
        </w:r>
      </w:hyperlink>
    </w:p>
    <w:p w:rsidR="00FE44B9" w:rsidRPr="00FE44B9" w14:paraId="16601282" w14:textId="5CA393D3">
      <w:pPr>
        <w:pStyle w:val="TableofFigures"/>
        <w:tabs>
          <w:tab w:val="right" w:leader="dot" w:pos="9350"/>
        </w:tabs>
        <w:rPr>
          <w:rFonts w:asciiTheme="minorHAnsi" w:eastAsiaTheme="minorEastAsia" w:hAnsiTheme="minorHAnsi" w:cstheme="minorBidi"/>
          <w:b w:val="0"/>
          <w:bCs/>
          <w:noProof/>
          <w:color w:val="auto"/>
          <w:kern w:val="2"/>
          <w14:ligatures w14:val="standardContextual"/>
        </w:rPr>
      </w:pPr>
      <w:hyperlink w:anchor="_Toc147923425" w:history="1">
        <w:r w:rsidRPr="00362591">
          <w:rPr>
            <w:rStyle w:val="Hyperlink"/>
            <w:b w:val="0"/>
            <w:bCs/>
            <w:noProof/>
          </w:rPr>
          <w:t>Table A</w:t>
        </w:r>
        <w:r w:rsidRPr="00362591">
          <w:rPr>
            <w:rStyle w:val="Hyperlink"/>
            <w:b w:val="0"/>
            <w:bCs/>
            <w:noProof/>
          </w:rPr>
          <w:noBreakHyphen/>
        </w:r>
        <w:r w:rsidR="007C35A5">
          <w:rPr>
            <w:rStyle w:val="Hyperlink"/>
            <w:b w:val="0"/>
            <w:bCs/>
            <w:noProof/>
          </w:rPr>
          <w:t>1</w:t>
        </w:r>
        <w:r w:rsidRPr="00362591">
          <w:rPr>
            <w:rStyle w:val="Hyperlink"/>
            <w:b w:val="0"/>
            <w:bCs/>
            <w:noProof/>
          </w:rPr>
          <w:t xml:space="preserve">  Changes to Table B-1</w:t>
        </w:r>
        <w:r w:rsidRPr="00362591">
          <w:rPr>
            <w:b w:val="0"/>
            <w:bCs/>
            <w:noProof/>
            <w:webHidden/>
          </w:rPr>
          <w:tab/>
        </w:r>
        <w:r>
          <w:rPr>
            <w:b w:val="0"/>
            <w:bCs/>
            <w:noProof/>
            <w:webHidden/>
          </w:rPr>
          <w:t>A-</w:t>
        </w:r>
        <w:r w:rsidRPr="00362591">
          <w:rPr>
            <w:b w:val="0"/>
            <w:bCs/>
            <w:noProof/>
            <w:webHidden/>
          </w:rPr>
          <w:fldChar w:fldCharType="begin"/>
        </w:r>
        <w:r w:rsidRPr="00362591">
          <w:rPr>
            <w:b w:val="0"/>
            <w:bCs/>
            <w:noProof/>
            <w:webHidden/>
          </w:rPr>
          <w:instrText xml:space="preserve"> PAGEREF _Toc147923425 \h </w:instrText>
        </w:r>
        <w:r w:rsidRPr="00362591">
          <w:rPr>
            <w:b w:val="0"/>
            <w:bCs/>
            <w:noProof/>
            <w:webHidden/>
          </w:rPr>
          <w:fldChar w:fldCharType="separate"/>
        </w:r>
        <w:r w:rsidRPr="00362591">
          <w:rPr>
            <w:b w:val="0"/>
            <w:bCs/>
            <w:noProof/>
            <w:webHidden/>
          </w:rPr>
          <w:t>1</w:t>
        </w:r>
        <w:r w:rsidRPr="00362591">
          <w:rPr>
            <w:b w:val="0"/>
            <w:bCs/>
            <w:noProof/>
            <w:webHidden/>
          </w:rPr>
          <w:fldChar w:fldCharType="end"/>
        </w:r>
      </w:hyperlink>
    </w:p>
    <w:p w:rsidR="00FE44B9" w:rsidRPr="00FE44B9" w14:paraId="7EB2D3AC" w14:textId="66670075">
      <w:pPr>
        <w:pStyle w:val="TableofFigures"/>
        <w:tabs>
          <w:tab w:val="right" w:leader="dot" w:pos="9350"/>
        </w:tabs>
        <w:rPr>
          <w:rFonts w:asciiTheme="minorHAnsi" w:eastAsiaTheme="minorEastAsia" w:hAnsiTheme="minorHAnsi" w:cstheme="minorBidi"/>
          <w:b w:val="0"/>
          <w:bCs/>
          <w:noProof/>
          <w:color w:val="auto"/>
          <w:kern w:val="2"/>
          <w14:ligatures w14:val="standardContextual"/>
        </w:rPr>
      </w:pPr>
      <w:hyperlink w:anchor="_Toc147923426" w:history="1">
        <w:r w:rsidRPr="00362591">
          <w:rPr>
            <w:rStyle w:val="Hyperlink"/>
            <w:b w:val="0"/>
            <w:bCs/>
            <w:noProof/>
          </w:rPr>
          <w:t>Table A</w:t>
        </w:r>
        <w:r w:rsidRPr="00362591">
          <w:rPr>
            <w:rStyle w:val="Hyperlink"/>
            <w:b w:val="0"/>
            <w:bCs/>
            <w:noProof/>
          </w:rPr>
          <w:noBreakHyphen/>
        </w:r>
        <w:r w:rsidR="007C35A5">
          <w:rPr>
            <w:rStyle w:val="Hyperlink"/>
            <w:b w:val="0"/>
            <w:bCs/>
            <w:noProof/>
          </w:rPr>
          <w:t>2</w:t>
        </w:r>
        <w:r w:rsidRPr="00362591">
          <w:rPr>
            <w:rStyle w:val="Hyperlink"/>
            <w:b w:val="0"/>
            <w:bCs/>
            <w:noProof/>
          </w:rPr>
          <w:t xml:space="preserve">  Major Assumptions and Input Data</w:t>
        </w:r>
        <w:r w:rsidRPr="00362591">
          <w:rPr>
            <w:b w:val="0"/>
            <w:bCs/>
            <w:noProof/>
            <w:webHidden/>
          </w:rPr>
          <w:tab/>
        </w:r>
        <w:r>
          <w:rPr>
            <w:b w:val="0"/>
            <w:bCs/>
            <w:noProof/>
            <w:webHidden/>
          </w:rPr>
          <w:t>A-</w:t>
        </w:r>
        <w:r w:rsidRPr="00362591">
          <w:rPr>
            <w:b w:val="0"/>
            <w:bCs/>
            <w:noProof/>
            <w:webHidden/>
          </w:rPr>
          <w:fldChar w:fldCharType="begin"/>
        </w:r>
        <w:r w:rsidRPr="00362591">
          <w:rPr>
            <w:b w:val="0"/>
            <w:bCs/>
            <w:noProof/>
            <w:webHidden/>
          </w:rPr>
          <w:instrText xml:space="preserve"> PAGEREF _Toc147923426 \h </w:instrText>
        </w:r>
        <w:r w:rsidRPr="00362591">
          <w:rPr>
            <w:b w:val="0"/>
            <w:bCs/>
            <w:noProof/>
            <w:webHidden/>
          </w:rPr>
          <w:fldChar w:fldCharType="separate"/>
        </w:r>
        <w:r w:rsidRPr="00362591">
          <w:rPr>
            <w:b w:val="0"/>
            <w:bCs/>
            <w:noProof/>
            <w:webHidden/>
          </w:rPr>
          <w:t>8</w:t>
        </w:r>
        <w:r w:rsidRPr="00362591">
          <w:rPr>
            <w:b w:val="0"/>
            <w:bCs/>
            <w:noProof/>
            <w:webHidden/>
          </w:rPr>
          <w:fldChar w:fldCharType="end"/>
        </w:r>
      </w:hyperlink>
    </w:p>
    <w:p w:rsidR="0078072B" w:rsidRPr="00195ACD" w:rsidP="0078072B" w14:paraId="7AA28CB5" w14:textId="4DC48BCB">
      <w:pPr>
        <w:tabs>
          <w:tab w:val="left" w:pos="1440"/>
        </w:tabs>
        <w:rPr>
          <w:highlight w:val="yellow"/>
        </w:rPr>
      </w:pPr>
      <w:r w:rsidRPr="00544F9A">
        <w:rPr>
          <w:highlight w:val="yellow"/>
        </w:rPr>
        <w:fldChar w:fldCharType="end"/>
      </w:r>
    </w:p>
    <w:p w:rsidR="0078072B" w:rsidP="0078072B" w14:paraId="09B5D3D0" w14:textId="040DFD29">
      <w:pPr>
        <w:tabs>
          <w:tab w:val="right" w:pos="9360"/>
        </w:tabs>
        <w:spacing w:after="120"/>
        <w:rPr>
          <w:highlight w:val="yellow"/>
        </w:rPr>
        <w:sectPr w:rsidSect="00AA7975">
          <w:type w:val="oddPage"/>
          <w:pgSz w:w="12240" w:h="15840"/>
          <w:pgMar w:top="1440" w:right="1440" w:bottom="1440" w:left="1440" w:header="720" w:footer="720" w:gutter="0"/>
          <w:pgNumType w:fmt="lowerRoman"/>
          <w:cols w:space="720"/>
          <w:docGrid w:linePitch="360"/>
        </w:sectPr>
      </w:pPr>
    </w:p>
    <w:p w:rsidR="0078072B" w:rsidRPr="0070556C" w:rsidP="0078072B" w14:paraId="2C7D3633" w14:textId="2B26B7F1">
      <w:pPr>
        <w:pStyle w:val="Heading1"/>
        <w:jc w:val="center"/>
        <w:rPr>
          <w:sz w:val="28"/>
        </w:rPr>
      </w:pPr>
      <w:bookmarkStart w:id="8" w:name="_Toc147922961"/>
      <w:r w:rsidRPr="0070556C">
        <w:rPr>
          <w:sz w:val="28"/>
        </w:rPr>
        <w:t>ABBREVIATIONS AND ACRONYMS</w:t>
      </w:r>
      <w:bookmarkEnd w:id="8"/>
    </w:p>
    <w:p w:rsidR="0078072B" w:rsidRPr="00F73D2B" w:rsidP="00F73D2B" w14:paraId="5A9517CB" w14:textId="77777777">
      <w:pPr>
        <w:jc w:val="center"/>
        <w:rPr>
          <w:sz w:val="28"/>
          <w:szCs w:val="28"/>
        </w:rPr>
      </w:pPr>
    </w:p>
    <w:p w:rsidR="0078072B" w:rsidP="0078072B" w14:paraId="24BEBBB6" w14:textId="77777777">
      <w:pPr>
        <w:rPr>
          <w:lang w:val="en"/>
        </w:rPr>
      </w:pPr>
      <w:r w:rsidRPr="000243D0">
        <w:rPr>
          <w:lang w:val="en"/>
        </w:rPr>
        <w:t>AEA</w:t>
      </w:r>
      <w:r>
        <w:rPr>
          <w:lang w:val="en"/>
        </w:rPr>
        <w:tab/>
      </w:r>
      <w:r>
        <w:rPr>
          <w:lang w:val="en"/>
        </w:rPr>
        <w:tab/>
        <w:t>Atomic Energy Act of 1954, as amended</w:t>
      </w:r>
    </w:p>
    <w:p w:rsidR="0078072B" w:rsidRPr="000243D0" w:rsidP="0078072B" w14:paraId="4433FD59" w14:textId="77777777">
      <w:pPr>
        <w:rPr>
          <w:lang w:val="en"/>
        </w:rPr>
      </w:pPr>
    </w:p>
    <w:p w:rsidR="0078072B" w:rsidRPr="004D6251" w:rsidP="0078072B" w14:paraId="198B1D12" w14:textId="77777777">
      <w:pPr>
        <w:rPr>
          <w:lang w:val="en"/>
        </w:rPr>
      </w:pPr>
      <w:r w:rsidRPr="004D6251">
        <w:rPr>
          <w:lang w:val="en"/>
        </w:rPr>
        <w:t>BLS</w:t>
      </w:r>
      <w:r w:rsidRPr="004D6251">
        <w:rPr>
          <w:lang w:val="en"/>
        </w:rPr>
        <w:tab/>
      </w:r>
      <w:r w:rsidRPr="004D6251">
        <w:rPr>
          <w:lang w:val="en"/>
        </w:rPr>
        <w:tab/>
        <w:t>Bureau of Labor Statistics (U.S. Department of Labor)</w:t>
      </w:r>
    </w:p>
    <w:p w:rsidR="0078072B" w:rsidRPr="006638EF" w:rsidP="0078072B" w14:paraId="08E6F7EF" w14:textId="77777777">
      <w:pPr>
        <w:rPr>
          <w:highlight w:val="yellow"/>
          <w:lang w:val="en"/>
        </w:rPr>
      </w:pPr>
    </w:p>
    <w:p w:rsidR="0078072B" w:rsidRPr="004D6251" w:rsidP="0078072B" w14:paraId="1FC24EBD" w14:textId="77777777">
      <w:pPr>
        <w:rPr>
          <w:i/>
        </w:rPr>
      </w:pPr>
      <w:r w:rsidRPr="004D6251">
        <w:rPr>
          <w:lang w:val="en"/>
        </w:rPr>
        <w:t>CFR</w:t>
      </w:r>
      <w:r w:rsidRPr="004D6251">
        <w:rPr>
          <w:lang w:val="en"/>
        </w:rPr>
        <w:tab/>
      </w:r>
      <w:r w:rsidRPr="004D6251">
        <w:rPr>
          <w:lang w:val="en"/>
        </w:rPr>
        <w:tab/>
      </w:r>
      <w:r w:rsidRPr="004D6251">
        <w:rPr>
          <w:i/>
        </w:rPr>
        <w:t>Code of Federal Regulations</w:t>
      </w:r>
    </w:p>
    <w:p w:rsidR="0078072B" w:rsidRPr="004D6251" w:rsidP="0078072B" w14:paraId="7C536400" w14:textId="77777777">
      <w:r w:rsidRPr="004D6251">
        <w:t>CPI</w:t>
      </w:r>
      <w:r>
        <w:noBreakHyphen/>
      </w:r>
      <w:r w:rsidRPr="004D6251">
        <w:t>U</w:t>
      </w:r>
      <w:r w:rsidRPr="004D6251">
        <w:tab/>
      </w:r>
      <w:r w:rsidRPr="004D6251">
        <w:tab/>
        <w:t>consumer price index for all urban consumers</w:t>
      </w:r>
    </w:p>
    <w:p w:rsidR="0078072B" w:rsidRPr="006638EF" w:rsidP="0078072B" w14:paraId="26304ECF" w14:textId="77777777">
      <w:pPr>
        <w:rPr>
          <w:highlight w:val="yellow"/>
        </w:rPr>
      </w:pPr>
    </w:p>
    <w:p w:rsidR="0078072B" w:rsidP="0078072B" w14:paraId="264C29F3" w14:textId="77777777">
      <w:r w:rsidRPr="003571BA">
        <w:t>EIS</w:t>
      </w:r>
      <w:r w:rsidRPr="003571BA">
        <w:tab/>
      </w:r>
      <w:r w:rsidRPr="003571BA">
        <w:tab/>
        <w:t>environmental impact statement</w:t>
      </w:r>
    </w:p>
    <w:p w:rsidR="0078072B" w:rsidP="0078072B" w14:paraId="52F22572" w14:textId="77777777">
      <w:r>
        <w:t>EMF</w:t>
      </w:r>
      <w:r>
        <w:tab/>
      </w:r>
      <w:r>
        <w:tab/>
        <w:t>electromagnetic field</w:t>
      </w:r>
    </w:p>
    <w:p w:rsidR="0078072B" w:rsidRPr="003571BA" w:rsidP="0078072B" w14:paraId="2E935BE9" w14:textId="77777777"/>
    <w:p w:rsidR="0078072B" w:rsidRPr="00B12475" w:rsidP="0078072B" w14:paraId="6639B6C9" w14:textId="77777777">
      <w:pPr>
        <w:rPr>
          <w:i/>
          <w:iCs/>
        </w:rPr>
      </w:pPr>
      <w:r w:rsidRPr="00B12475">
        <w:t>FR</w:t>
      </w:r>
      <w:r w:rsidRPr="00B12475">
        <w:tab/>
      </w:r>
      <w:r w:rsidRPr="00B12475">
        <w:tab/>
      </w:r>
      <w:r w:rsidRPr="00B12475">
        <w:rPr>
          <w:i/>
          <w:iCs/>
        </w:rPr>
        <w:t>Federal Register</w:t>
      </w:r>
    </w:p>
    <w:p w:rsidR="0078072B" w:rsidRPr="00B12475" w:rsidP="0078072B" w14:paraId="4F261F40" w14:textId="77777777">
      <w:pPr>
        <w:rPr>
          <w:highlight w:val="yellow"/>
        </w:rPr>
      </w:pPr>
    </w:p>
    <w:p w:rsidR="0078072B" w:rsidP="0078072B" w14:paraId="0489B91D" w14:textId="52FB1373">
      <w:r>
        <w:t>gpm</w:t>
      </w:r>
      <w:r>
        <w:tab/>
      </w:r>
      <w:r>
        <w:tab/>
        <w:t>gallons per minute</w:t>
      </w:r>
    </w:p>
    <w:p w:rsidR="0078072B" w:rsidP="0078072B" w14:paraId="328F3F5D" w14:textId="77777777"/>
    <w:p w:rsidR="0078072B" w:rsidP="0078072B" w14:paraId="3C7EA49B" w14:textId="77777777">
      <w:r>
        <w:t>LR</w:t>
      </w:r>
      <w:r>
        <w:tab/>
      </w:r>
      <w:r>
        <w:tab/>
        <w:t>license renewal</w:t>
      </w:r>
    </w:p>
    <w:p w:rsidR="0078072B" w:rsidP="0078072B" w14:paraId="617DB5A2" w14:textId="77777777">
      <w:pPr>
        <w:ind w:left="1440" w:hanging="1440"/>
      </w:pPr>
      <w:r>
        <w:t>LR GEIS</w:t>
      </w:r>
      <w:r>
        <w:tab/>
        <w:t>Generic Environmental Impact Statement for License Renewal of Nuclear Plants</w:t>
      </w:r>
    </w:p>
    <w:p w:rsidR="0078072B" w:rsidP="0078072B" w14:paraId="2EADF433" w14:textId="77777777"/>
    <w:p w:rsidR="0078072B" w:rsidRPr="00C8520A" w:rsidP="0078072B" w14:paraId="627E1507" w14:textId="77777777">
      <w:r w:rsidRPr="00C8520A">
        <w:t>NEPA</w:t>
      </w:r>
      <w:r w:rsidRPr="00C8520A">
        <w:tab/>
      </w:r>
      <w:r w:rsidRPr="00C8520A">
        <w:tab/>
        <w:t>National Environmental Policy Act</w:t>
      </w:r>
    </w:p>
    <w:p w:rsidR="0078072B" w:rsidRPr="004D6251" w:rsidP="0078072B" w14:paraId="19F998D8" w14:textId="77777777">
      <w:r w:rsidRPr="004D6251">
        <w:t>NPV</w:t>
      </w:r>
      <w:r w:rsidRPr="004D6251">
        <w:tab/>
      </w:r>
      <w:r w:rsidRPr="004D6251">
        <w:tab/>
        <w:t>net present value</w:t>
      </w:r>
    </w:p>
    <w:p w:rsidR="0078072B" w:rsidP="0078072B" w14:paraId="17694E25" w14:textId="77777777">
      <w:r>
        <w:t>NRC</w:t>
      </w:r>
      <w:r>
        <w:tab/>
      </w:r>
      <w:r>
        <w:tab/>
        <w:t>U.S. Nuclear Regulatory Commission</w:t>
      </w:r>
    </w:p>
    <w:p w:rsidR="0078072B" w:rsidRPr="00EF48FE" w:rsidP="0078072B" w14:paraId="3DE79358" w14:textId="77777777"/>
    <w:p w:rsidR="0078072B" w:rsidRPr="004D6251" w:rsidP="0078072B" w14:paraId="780C6FC1" w14:textId="77777777">
      <w:r w:rsidRPr="004D6251">
        <w:t>OMB</w:t>
      </w:r>
      <w:r w:rsidRPr="004D6251">
        <w:tab/>
      </w:r>
      <w:r w:rsidRPr="004D6251">
        <w:tab/>
        <w:t>U.S. Office of Management and Budget</w:t>
      </w:r>
    </w:p>
    <w:p w:rsidR="0078072B" w:rsidRPr="004D6251" w:rsidP="0078072B" w14:paraId="102848AF" w14:textId="77777777"/>
    <w:p w:rsidR="0078072B" w:rsidP="0078072B" w14:paraId="747927EE" w14:textId="77777777">
      <w:r w:rsidRPr="00DC2F2B">
        <w:t>PERT</w:t>
      </w:r>
      <w:r w:rsidRPr="00DC2F2B">
        <w:tab/>
      </w:r>
      <w:r w:rsidRPr="00DC2F2B">
        <w:tab/>
        <w:t>program evaluation and review technique</w:t>
      </w:r>
    </w:p>
    <w:p w:rsidR="0078072B" w:rsidP="0078072B" w14:paraId="66FDC4CD" w14:textId="77777777"/>
    <w:p w:rsidR="0078072B" w:rsidP="0078072B" w14:paraId="3073E9AE" w14:textId="77777777">
      <w:r>
        <w:t>ROW</w:t>
      </w:r>
      <w:r>
        <w:tab/>
      </w:r>
      <w:r>
        <w:tab/>
        <w:t>right-of-way</w:t>
      </w:r>
    </w:p>
    <w:p w:rsidR="0078072B" w:rsidP="0078072B" w14:paraId="69D87FB1" w14:textId="77777777"/>
    <w:p w:rsidR="0078072B" w:rsidP="0078072B" w14:paraId="31A78E15" w14:textId="77777777">
      <w:r>
        <w:t>SEIS</w:t>
      </w:r>
      <w:r>
        <w:tab/>
      </w:r>
      <w:r>
        <w:tab/>
        <w:t>supplemental environmental impact statement</w:t>
      </w:r>
    </w:p>
    <w:p w:rsidR="0078072B" w:rsidP="0078072B" w14:paraId="04027ADF" w14:textId="77777777">
      <w:r>
        <w:t>SLR</w:t>
      </w:r>
      <w:r>
        <w:tab/>
      </w:r>
      <w:r>
        <w:tab/>
        <w:t>subsequent license renewal</w:t>
      </w:r>
    </w:p>
    <w:p w:rsidR="00E749CF" w:rsidP="0078072B" w14:paraId="21B9E0BE" w14:textId="518BF893">
      <w:r>
        <w:t>SOC</w:t>
      </w:r>
      <w:r>
        <w:tab/>
      </w:r>
      <w:r>
        <w:tab/>
        <w:t>standard occupational classification</w:t>
      </w:r>
    </w:p>
    <w:p w:rsidR="0078072B" w:rsidRPr="00923037" w:rsidP="0078072B" w14:paraId="6E307C2C" w14:textId="41136FEE">
      <w:r>
        <w:t>SRM</w:t>
      </w:r>
      <w:r>
        <w:tab/>
      </w:r>
      <w:r>
        <w:tab/>
        <w:t>staff requirements memorandum</w:t>
      </w:r>
    </w:p>
    <w:p w:rsidR="0078072B" w:rsidRPr="00E10389" w:rsidP="0078072B" w14:paraId="5518A8E8" w14:textId="77777777">
      <w:pPr>
        <w:rPr>
          <w:highlight w:val="yellow"/>
        </w:rPr>
      </w:pPr>
    </w:p>
    <w:p w:rsidR="0078072B" w:rsidP="0078072B" w14:paraId="65ECE75E" w14:textId="77777777">
      <w:pPr>
        <w:pStyle w:val="Heading1"/>
        <w:tabs>
          <w:tab w:val="left" w:pos="0"/>
          <w:tab w:val="left" w:pos="450"/>
        </w:tabs>
        <w:jc w:val="center"/>
        <w:rPr>
          <w:sz w:val="28"/>
        </w:rPr>
        <w:sectPr w:rsidSect="00AA7975">
          <w:pgSz w:w="12240" w:h="15840"/>
          <w:pgMar w:top="1440" w:right="1440" w:bottom="1440" w:left="1440" w:header="720" w:footer="720" w:gutter="0"/>
          <w:pgNumType w:fmt="lowerRoman"/>
          <w:cols w:space="720"/>
          <w:docGrid w:linePitch="360"/>
        </w:sectPr>
      </w:pPr>
    </w:p>
    <w:p w:rsidR="0078072B" w:rsidRPr="00A8609E" w:rsidP="0078072B" w14:paraId="6A8EB56A" w14:textId="77777777">
      <w:pPr>
        <w:pStyle w:val="Heading1"/>
        <w:tabs>
          <w:tab w:val="left" w:pos="0"/>
          <w:tab w:val="left" w:pos="450"/>
        </w:tabs>
        <w:jc w:val="center"/>
        <w:rPr>
          <w:sz w:val="28"/>
          <w:highlight w:val="yellow"/>
        </w:rPr>
      </w:pPr>
      <w:bookmarkStart w:id="9" w:name="_Toc147922962"/>
      <w:r w:rsidRPr="00513D74">
        <w:rPr>
          <w:sz w:val="28"/>
        </w:rPr>
        <w:t>1</w:t>
      </w:r>
      <w:r w:rsidRPr="00513D74">
        <w:rPr>
          <w:sz w:val="28"/>
        </w:rPr>
        <w:tab/>
      </w:r>
      <w:r>
        <w:rPr>
          <w:sz w:val="28"/>
        </w:rPr>
        <w:t>STATEMENT OF PROBLEM AND OBJECTIVE</w:t>
      </w:r>
      <w:bookmarkEnd w:id="9"/>
    </w:p>
    <w:p w:rsidR="0078072B" w:rsidRPr="00E10389" w:rsidP="0078072B" w14:paraId="7FD28117" w14:textId="77777777">
      <w:pPr>
        <w:rPr>
          <w:highlight w:val="yellow"/>
        </w:rPr>
      </w:pPr>
    </w:p>
    <w:p w:rsidR="0078072B" w:rsidP="0078072B" w14:paraId="49AF4A8A" w14:textId="2633BE89">
      <w:r w:rsidRPr="007C5083">
        <w:t xml:space="preserve">The </w:t>
      </w:r>
      <w:r>
        <w:t>U.S. Nuclear Regulatory Commission (</w:t>
      </w:r>
      <w:r w:rsidRPr="007C5083">
        <w:t>NRC</w:t>
      </w:r>
      <w:r>
        <w:t>)</w:t>
      </w:r>
      <w:r w:rsidRPr="007C5083">
        <w:t xml:space="preserve"> is amend</w:t>
      </w:r>
      <w:r w:rsidR="008A6ACE">
        <w:t>ing</w:t>
      </w:r>
      <w:r w:rsidRPr="007C5083">
        <w:t xml:space="preserve"> its environmental regulations for the renewal of nuclear power plant operating licenses, including Table B</w:t>
      </w:r>
      <w:r w:rsidRPr="007C5083">
        <w:noBreakHyphen/>
        <w:t xml:space="preserve">1, “Summary of Findings on NEPA </w:t>
      </w:r>
      <w:r>
        <w:t>[</w:t>
      </w:r>
      <w:r w:rsidRPr="00F667F7">
        <w:t>National Environmental Policy Act</w:t>
      </w:r>
      <w:r>
        <w:t xml:space="preserve">] </w:t>
      </w:r>
      <w:r w:rsidRPr="007C5083">
        <w:t xml:space="preserve">Issues for License Renewal of Nuclear Power Plants,” in Appendix B, “Environmental Effect of Renewing the Operating License of a Nuclear Power Plant,” to Subpart A, “National Environmental Policy Act—Regulations Implementing Section 102(2),” of Title 10 of the </w:t>
      </w:r>
      <w:r w:rsidRPr="007C5083">
        <w:rPr>
          <w:i/>
        </w:rPr>
        <w:t xml:space="preserve">Code of Federal Regulations </w:t>
      </w:r>
      <w:r>
        <w:rPr>
          <w:iCs/>
        </w:rPr>
        <w:t>(10 CFR) </w:t>
      </w:r>
      <w:r w:rsidRPr="007C5083">
        <w:t xml:space="preserve">Part 51, </w:t>
      </w:r>
      <w:r w:rsidRPr="007C5083">
        <w:rPr>
          <w:iCs/>
        </w:rPr>
        <w:t>“Environmental Protection Regulations for Domestic Licensing and Related Regulatory Functions</w:t>
      </w:r>
      <w:r>
        <w:rPr>
          <w:iCs/>
        </w:rPr>
        <w:t>,</w:t>
      </w:r>
      <w:r w:rsidRPr="007C5083">
        <w:rPr>
          <w:iCs/>
        </w:rPr>
        <w:t>”</w:t>
      </w:r>
      <w:r w:rsidRPr="007C5083">
        <w:t xml:space="preserve"> and </w:t>
      </w:r>
      <w:r w:rsidR="00D15806">
        <w:t>making</w:t>
      </w:r>
      <w:r w:rsidRPr="007C5083">
        <w:t xml:space="preserve"> conforming changes in 10 CFR 51.53(c)(3)(ii) and 10 CFR 51.95(c).</w:t>
      </w:r>
      <w:r>
        <w:rPr>
          <w:rStyle w:val="FootnoteReference"/>
          <w:vertAlign w:val="superscript"/>
        </w:rPr>
        <w:footnoteReference w:id="3"/>
      </w:r>
      <w:r w:rsidRPr="007C5083">
        <w:t xml:space="preserve"> (Hereafter, </w:t>
      </w:r>
      <w:r>
        <w:t xml:space="preserve">this document will refer to </w:t>
      </w:r>
      <w:r w:rsidRPr="007C5083">
        <w:t xml:space="preserve">this table </w:t>
      </w:r>
      <w:r>
        <w:t>simply</w:t>
      </w:r>
      <w:r w:rsidRPr="007C5083">
        <w:t xml:space="preserve"> as “Table B</w:t>
      </w:r>
      <w:r w:rsidRPr="007C5083">
        <w:noBreakHyphen/>
        <w:t>1</w:t>
      </w:r>
      <w:r>
        <w:t>.</w:t>
      </w:r>
      <w:r w:rsidRPr="007C5083">
        <w:t>”) Under the NRC’s regulations in 10</w:t>
      </w:r>
      <w:r w:rsidRPr="00B12475">
        <w:t> </w:t>
      </w:r>
      <w:r w:rsidRPr="007C5083">
        <w:t>CFR</w:t>
      </w:r>
      <w:r w:rsidRPr="00B12475">
        <w:t> </w:t>
      </w:r>
      <w:r w:rsidRPr="007C5083">
        <w:t>Part</w:t>
      </w:r>
      <w:r w:rsidRPr="00B12475">
        <w:t> </w:t>
      </w:r>
      <w:r w:rsidRPr="007C5083">
        <w:t>51, which implement the National Environmental Policy Act of 1969, as amended (NEPA),</w:t>
      </w:r>
      <w:r>
        <w:rPr>
          <w:rStyle w:val="FootnoteReference"/>
          <w:vertAlign w:val="superscript"/>
        </w:rPr>
        <w:footnoteReference w:id="4"/>
      </w:r>
      <w:r w:rsidRPr="007C5083">
        <w:t xml:space="preserve"> the renewal of a nuclear power plant operating license requires the preparation of an environmental impact statement (EIS).</w:t>
      </w:r>
    </w:p>
    <w:p w:rsidR="0078072B" w:rsidP="0078072B" w14:paraId="64CB5B49" w14:textId="77777777"/>
    <w:p w:rsidR="0078072B" w:rsidRPr="00F61B72" w:rsidP="0078072B" w14:paraId="6879E079" w14:textId="5A496E9E">
      <w:r w:rsidRPr="002519D3">
        <w:t>To support the preparation of license renewal EISs, the NRC conducted a comprehensive review to identify the common environmental effects of license renewal. The review determined which environmental effects could result in the same (generic) impact</w:t>
      </w:r>
      <w:r w:rsidR="00B83D47">
        <w:t>s</w:t>
      </w:r>
      <w:r w:rsidRPr="002519D3">
        <w:t xml:space="preserve"> at all nuclear power plants </w:t>
      </w:r>
      <w:r>
        <w:t xml:space="preserve">(or a subset of plants) </w:t>
      </w:r>
      <w:r w:rsidRPr="002519D3">
        <w:t xml:space="preserve">and which effects could result in different levels of impact, requiring </w:t>
      </w:r>
      <w:r w:rsidRPr="00F61B72">
        <w:t>nuclear</w:t>
      </w:r>
      <w:r w:rsidRPr="00F61B72" w:rsidR="59C840D4">
        <w:t xml:space="preserve"> </w:t>
      </w:r>
      <w:r w:rsidRPr="00F61B72">
        <w:t>plant</w:t>
      </w:r>
      <w:r w:rsidRPr="00F61B72" w:rsidR="7615A1BA">
        <w:noBreakHyphen/>
      </w:r>
      <w:r w:rsidRPr="00F61B72">
        <w:t>specific analyses for an impact determination. The review culminated in the issuance of NUREG</w:t>
      </w:r>
      <w:r w:rsidRPr="00B12475">
        <w:noBreakHyphen/>
      </w:r>
      <w:r w:rsidRPr="00F61B72">
        <w:t xml:space="preserve">1437, “Generic Environmental Impact Statement for License Renewal of Nuclear Plants </w:t>
      </w:r>
      <w:r>
        <w:t>(</w:t>
      </w:r>
      <w:r w:rsidRPr="00F61B72">
        <w:t>1996</w:t>
      </w:r>
      <w:r w:rsidRPr="00B12475">
        <w:t> </w:t>
      </w:r>
      <w:r w:rsidRPr="00F61B72">
        <w:t>LR</w:t>
      </w:r>
      <w:r w:rsidRPr="00B12475">
        <w:t> </w:t>
      </w:r>
      <w:r w:rsidRPr="00F61B72">
        <w:t>GEIS</w:t>
      </w:r>
      <w:r>
        <w:t>)</w:t>
      </w:r>
      <w:r w:rsidRPr="00D15806" w:rsidR="00D15806">
        <w:t xml:space="preserve"> </w:t>
      </w:r>
      <w:r w:rsidRPr="00F61B72" w:rsidR="000118F7">
        <w:t>(NRC, 1996)</w:t>
      </w:r>
      <w:r w:rsidRPr="00F61B72">
        <w:t xml:space="preserve">, followed by the publication </w:t>
      </w:r>
      <w:r w:rsidR="006315A7">
        <w:t xml:space="preserve">in the </w:t>
      </w:r>
      <w:r w:rsidRPr="005D041F" w:rsidR="006315A7">
        <w:rPr>
          <w:i/>
          <w:iCs/>
        </w:rPr>
        <w:t xml:space="preserve">Federal Register </w:t>
      </w:r>
      <w:r w:rsidR="006315A7">
        <w:t xml:space="preserve">(FR) </w:t>
      </w:r>
      <w:r w:rsidRPr="00F61B72" w:rsidR="006315A7">
        <w:t>on June</w:t>
      </w:r>
      <w:r w:rsidR="006315A7">
        <w:t> </w:t>
      </w:r>
      <w:r w:rsidRPr="00F61B72" w:rsidR="006315A7">
        <w:t>5,</w:t>
      </w:r>
      <w:r w:rsidR="006315A7">
        <w:t> </w:t>
      </w:r>
      <w:r w:rsidRPr="00F61B72" w:rsidR="006315A7">
        <w:t>1996 (61 FR 28467)</w:t>
      </w:r>
      <w:r w:rsidR="006315A7">
        <w:t xml:space="preserve"> </w:t>
      </w:r>
      <w:r w:rsidRPr="00F61B72">
        <w:t xml:space="preserve">of the final rule that codified the </w:t>
      </w:r>
      <w:r w:rsidR="006315A7">
        <w:t xml:space="preserve">1996 </w:t>
      </w:r>
      <w:r w:rsidRPr="00F61B72">
        <w:t>LR GEIS findings.</w:t>
      </w:r>
    </w:p>
    <w:p w:rsidR="0078072B" w:rsidP="0078072B" w14:paraId="26A583CF" w14:textId="77777777"/>
    <w:p w:rsidR="0078072B" w:rsidRPr="0030544C" w:rsidP="0078072B" w14:paraId="36BE6DB9" w14:textId="2F91860F">
      <w:pPr>
        <w:rPr>
          <w:color w:val="auto"/>
        </w:rPr>
      </w:pPr>
      <w:r w:rsidRPr="00B2037F">
        <w:t xml:space="preserve">The introduction to Appendix B to Subpart A of </w:t>
      </w:r>
      <w:r w:rsidRPr="00B12475">
        <w:t>10 CFR Part 51 states</w:t>
      </w:r>
      <w:r w:rsidRPr="00B2037F">
        <w:t xml:space="preserve"> that, on a 10</w:t>
      </w:r>
      <w:r>
        <w:noBreakHyphen/>
      </w:r>
      <w:r w:rsidRPr="00B2037F">
        <w:t>year cycle, the Commission intends to review the material in Appendix B, including Table B</w:t>
      </w:r>
      <w:r>
        <w:noBreakHyphen/>
      </w:r>
      <w:r w:rsidRPr="00B2037F">
        <w:t xml:space="preserve">1, and update it if necessary. </w:t>
      </w:r>
      <w:r w:rsidRPr="00882479">
        <w:t xml:space="preserve">The previous revision cycle was completed with the issuance of a final rule </w:t>
      </w:r>
      <w:r w:rsidRPr="00882479" w:rsidR="00AC2386">
        <w:t>(78</w:t>
      </w:r>
      <w:r w:rsidR="00AC2386">
        <w:t> </w:t>
      </w:r>
      <w:r w:rsidRPr="00882479" w:rsidR="00AC2386">
        <w:t>FR</w:t>
      </w:r>
      <w:r w:rsidR="00AC2386">
        <w:t> </w:t>
      </w:r>
      <w:r w:rsidRPr="00882479" w:rsidR="00AC2386">
        <w:t>37281)</w:t>
      </w:r>
      <w:r w:rsidR="00AC2386">
        <w:t xml:space="preserve"> </w:t>
      </w:r>
      <w:r w:rsidRPr="00882479">
        <w:t xml:space="preserve">and </w:t>
      </w:r>
      <w:r w:rsidR="00AC2386">
        <w:t xml:space="preserve">the </w:t>
      </w:r>
      <w:r w:rsidRPr="00882479">
        <w:t>LR</w:t>
      </w:r>
      <w:r>
        <w:t> </w:t>
      </w:r>
      <w:r w:rsidRPr="00882479">
        <w:t>GEIS, Revision 1</w:t>
      </w:r>
      <w:r>
        <w:t xml:space="preserve"> (2013 LR GEIS),</w:t>
      </w:r>
      <w:r w:rsidRPr="00882479">
        <w:t xml:space="preserve"> on June 20, 2013</w:t>
      </w:r>
      <w:r w:rsidR="007270B0">
        <w:t xml:space="preserve"> (NRC, 2013a)</w:t>
      </w:r>
      <w:r w:rsidRPr="00882479">
        <w:t>.</w:t>
      </w:r>
      <w:r>
        <w:t xml:space="preserve"> </w:t>
      </w:r>
      <w:r>
        <w:rPr>
          <w:color w:val="auto"/>
        </w:rPr>
        <w:t>T</w:t>
      </w:r>
      <w:r w:rsidRPr="0030544C">
        <w:rPr>
          <w:color w:val="auto"/>
        </w:rPr>
        <w:t>he 2013</w:t>
      </w:r>
      <w:r>
        <w:rPr>
          <w:color w:val="auto"/>
        </w:rPr>
        <w:t> </w:t>
      </w:r>
      <w:r w:rsidRPr="0030544C">
        <w:rPr>
          <w:color w:val="auto"/>
        </w:rPr>
        <w:t>LR GEIS</w:t>
      </w:r>
      <w:r>
        <w:rPr>
          <w:color w:val="auto"/>
        </w:rPr>
        <w:t xml:space="preserve"> </w:t>
      </w:r>
      <w:r w:rsidRPr="0030544C">
        <w:rPr>
          <w:color w:val="auto"/>
        </w:rPr>
        <w:t xml:space="preserve">provides the technical and regulatory bases for the </w:t>
      </w:r>
      <w:r w:rsidRPr="00C46ED6">
        <w:rPr>
          <w:color w:val="auto"/>
        </w:rPr>
        <w:t>current Table B</w:t>
      </w:r>
      <w:r>
        <w:rPr>
          <w:color w:val="auto"/>
        </w:rPr>
        <w:noBreakHyphen/>
      </w:r>
      <w:r w:rsidRPr="00C46ED6">
        <w:rPr>
          <w:color w:val="auto"/>
        </w:rPr>
        <w:t>1</w:t>
      </w:r>
      <w:r w:rsidRPr="0030544C">
        <w:rPr>
          <w:color w:val="auto"/>
        </w:rPr>
        <w:t>. The LR</w:t>
      </w:r>
      <w:r>
        <w:rPr>
          <w:color w:val="auto"/>
        </w:rPr>
        <w:t> </w:t>
      </w:r>
      <w:r w:rsidRPr="0030544C">
        <w:rPr>
          <w:color w:val="auto"/>
        </w:rPr>
        <w:t>GEIS</w:t>
      </w:r>
      <w:r w:rsidR="00EB444D">
        <w:rPr>
          <w:color w:val="auto"/>
        </w:rPr>
        <w:t>, Revision 2 (revised LR GEIS),</w:t>
      </w:r>
      <w:r w:rsidRPr="0030544C">
        <w:rPr>
          <w:color w:val="auto"/>
        </w:rPr>
        <w:t xml:space="preserve"> provide</w:t>
      </w:r>
      <w:r>
        <w:rPr>
          <w:color w:val="auto"/>
        </w:rPr>
        <w:t>s</w:t>
      </w:r>
      <w:r w:rsidRPr="0030544C">
        <w:rPr>
          <w:color w:val="auto"/>
        </w:rPr>
        <w:t xml:space="preserve"> the technical and regulatory bases for the </w:t>
      </w:r>
      <w:r w:rsidR="00671121">
        <w:rPr>
          <w:color w:val="auto"/>
        </w:rPr>
        <w:t>final</w:t>
      </w:r>
      <w:r w:rsidRPr="0030544C">
        <w:rPr>
          <w:color w:val="auto"/>
        </w:rPr>
        <w:t xml:space="preserve"> rule.</w:t>
      </w:r>
    </w:p>
    <w:p w:rsidR="0078072B" w:rsidRPr="0030544C" w:rsidP="0078072B" w14:paraId="42841DA9" w14:textId="77777777">
      <w:pPr>
        <w:rPr>
          <w:color w:val="auto"/>
        </w:rPr>
      </w:pPr>
    </w:p>
    <w:p w:rsidR="0078072B" w:rsidRPr="0030544C" w:rsidP="0078072B" w14:paraId="6172B2DC" w14:textId="179F571E">
      <w:pPr>
        <w:rPr>
          <w:highlight w:val="yellow"/>
        </w:rPr>
      </w:pPr>
      <w:r w:rsidRPr="0030544C">
        <w:rPr>
          <w:color w:val="auto"/>
        </w:rPr>
        <w:t>In Commission Order CLI</w:t>
      </w:r>
      <w:r>
        <w:rPr>
          <w:color w:val="auto"/>
        </w:rPr>
        <w:noBreakHyphen/>
      </w:r>
      <w:r w:rsidRPr="0030544C">
        <w:rPr>
          <w:color w:val="auto"/>
        </w:rPr>
        <w:t>22</w:t>
      </w:r>
      <w:r>
        <w:rPr>
          <w:color w:val="auto"/>
        </w:rPr>
        <w:noBreakHyphen/>
      </w:r>
      <w:r w:rsidRPr="0030544C">
        <w:rPr>
          <w:color w:val="auto"/>
        </w:rPr>
        <w:t xml:space="preserve">03 (NRC, 2022a) and recent decisions </w:t>
      </w:r>
      <w:r w:rsidR="00D53BF3">
        <w:rPr>
          <w:color w:val="auto"/>
        </w:rPr>
        <w:t>related</w:t>
      </w:r>
      <w:r w:rsidR="00A02953">
        <w:rPr>
          <w:color w:val="auto"/>
        </w:rPr>
        <w:t xml:space="preserve"> to</w:t>
      </w:r>
      <w:r w:rsidRPr="0030544C" w:rsidR="00D53BF3">
        <w:rPr>
          <w:color w:val="auto"/>
        </w:rPr>
        <w:t xml:space="preserve"> </w:t>
      </w:r>
      <w:r w:rsidR="00CE0D17">
        <w:rPr>
          <w:color w:val="auto"/>
        </w:rPr>
        <w:t>Turkey Point</w:t>
      </w:r>
      <w:r w:rsidR="00773A3B">
        <w:rPr>
          <w:color w:val="auto"/>
        </w:rPr>
        <w:t xml:space="preserve"> Nuclear Generating in</w:t>
      </w:r>
      <w:r w:rsidR="00CE0D17">
        <w:rPr>
          <w:color w:val="auto"/>
        </w:rPr>
        <w:t xml:space="preserve"> </w:t>
      </w:r>
      <w:r w:rsidRPr="0030544C">
        <w:rPr>
          <w:color w:val="auto"/>
        </w:rPr>
        <w:t>CLI</w:t>
      </w:r>
      <w:r w:rsidRPr="0030544C">
        <w:rPr>
          <w:color w:val="auto"/>
        </w:rPr>
        <w:noBreakHyphen/>
        <w:t xml:space="preserve">22-02 (NRC, 2022b) and </w:t>
      </w:r>
      <w:r w:rsidR="00CE0D17">
        <w:rPr>
          <w:color w:val="auto"/>
        </w:rPr>
        <w:t>Peach Bottom</w:t>
      </w:r>
      <w:r w:rsidR="00DC100B">
        <w:rPr>
          <w:color w:val="auto"/>
        </w:rPr>
        <w:t xml:space="preserve"> Atomic Power Station in</w:t>
      </w:r>
      <w:r w:rsidRPr="0030544C">
        <w:rPr>
          <w:color w:val="auto"/>
        </w:rPr>
        <w:t xml:space="preserve"> CLI-22-04 (NRC, 2022c), the Commission determined that the </w:t>
      </w:r>
      <w:r>
        <w:rPr>
          <w:color w:val="auto"/>
        </w:rPr>
        <w:t>2013 </w:t>
      </w:r>
      <w:r w:rsidRPr="0030544C">
        <w:rPr>
          <w:color w:val="auto"/>
        </w:rPr>
        <w:t>LR</w:t>
      </w:r>
      <w:r>
        <w:rPr>
          <w:color w:val="auto"/>
        </w:rPr>
        <w:t> </w:t>
      </w:r>
      <w:r w:rsidRPr="0030544C">
        <w:rPr>
          <w:color w:val="auto"/>
        </w:rPr>
        <w:t>GEIS and</w:t>
      </w:r>
      <w:r>
        <w:rPr>
          <w:color w:val="auto"/>
        </w:rPr>
        <w:t xml:space="preserve"> </w:t>
      </w:r>
      <w:r w:rsidRPr="0030544C">
        <w:rPr>
          <w:color w:val="auto"/>
        </w:rPr>
        <w:t>Table B</w:t>
      </w:r>
      <w:r>
        <w:rPr>
          <w:color w:val="auto"/>
        </w:rPr>
        <w:noBreakHyphen/>
      </w:r>
      <w:r w:rsidRPr="0030544C">
        <w:rPr>
          <w:color w:val="auto"/>
        </w:rPr>
        <w:t xml:space="preserve">1 </w:t>
      </w:r>
      <w:r>
        <w:rPr>
          <w:color w:val="auto"/>
        </w:rPr>
        <w:t>did not address subsequent license renewal (SLR).</w:t>
      </w:r>
      <w:r w:rsidRPr="0030544C">
        <w:rPr>
          <w:color w:val="auto"/>
        </w:rPr>
        <w:t xml:space="preserve"> Additionally, the Commission found that 10</w:t>
      </w:r>
      <w:r>
        <w:rPr>
          <w:color w:val="auto"/>
        </w:rPr>
        <w:t> </w:t>
      </w:r>
      <w:r w:rsidRPr="0030544C">
        <w:rPr>
          <w:color w:val="auto"/>
        </w:rPr>
        <w:t>CFR</w:t>
      </w:r>
      <w:r>
        <w:rPr>
          <w:color w:val="auto"/>
        </w:rPr>
        <w:t> </w:t>
      </w:r>
      <w:r w:rsidRPr="0030544C">
        <w:rPr>
          <w:color w:val="auto"/>
        </w:rPr>
        <w:t xml:space="preserve">51.53(c)(3) only applies to applicants for initial </w:t>
      </w:r>
      <w:r w:rsidRPr="0030544C">
        <w:rPr>
          <w:rStyle w:val="normaltextrun"/>
          <w:rFonts w:eastAsiaTheme="majorEastAsia"/>
          <w:color w:val="000000"/>
          <w:shd w:val="clear" w:color="auto" w:fill="FFFFFF"/>
        </w:rPr>
        <w:t>license renewal</w:t>
      </w:r>
      <w:r>
        <w:rPr>
          <w:rStyle w:val="normaltextrun"/>
          <w:rFonts w:eastAsiaTheme="majorEastAsia"/>
          <w:color w:val="000000"/>
          <w:shd w:val="clear" w:color="auto" w:fill="FFFFFF"/>
        </w:rPr>
        <w:t xml:space="preserve"> (initial LR)</w:t>
      </w:r>
      <w:r w:rsidRPr="0030544C">
        <w:rPr>
          <w:color w:val="auto"/>
        </w:rPr>
        <w:t>.</w:t>
      </w:r>
    </w:p>
    <w:p w:rsidR="0078072B" w:rsidRPr="0030544C" w:rsidP="0078072B" w14:paraId="0844934B" w14:textId="77777777">
      <w:pPr>
        <w:rPr>
          <w:color w:val="auto"/>
        </w:rPr>
      </w:pPr>
    </w:p>
    <w:p w:rsidR="0078072B" w:rsidRPr="0030544C" w:rsidP="0078072B" w14:paraId="49D350E7" w14:textId="4F5DD298">
      <w:pPr>
        <w:pStyle w:val="text"/>
        <w:spacing w:line="276" w:lineRule="auto"/>
      </w:pPr>
      <w:r w:rsidRPr="039E47FA">
        <w:t xml:space="preserve">The </w:t>
      </w:r>
      <w:r w:rsidR="007848AF">
        <w:t>final</w:t>
      </w:r>
      <w:r>
        <w:t xml:space="preserve"> </w:t>
      </w:r>
      <w:r w:rsidRPr="039E47FA">
        <w:t xml:space="preserve">rule </w:t>
      </w:r>
      <w:r w:rsidRPr="37A6B070">
        <w:rPr>
          <w:rStyle w:val="normaltextrun"/>
          <w:rFonts w:eastAsiaTheme="majorEastAsia"/>
          <w:color w:val="000000"/>
        </w:rPr>
        <w:t>redefine</w:t>
      </w:r>
      <w:r w:rsidR="002C6AB9">
        <w:rPr>
          <w:rStyle w:val="normaltextrun"/>
          <w:rFonts w:eastAsiaTheme="majorEastAsia"/>
          <w:color w:val="000000"/>
        </w:rPr>
        <w:t>s</w:t>
      </w:r>
      <w:r w:rsidRPr="37A6B070">
        <w:rPr>
          <w:rStyle w:val="normaltextrun"/>
          <w:rFonts w:eastAsiaTheme="majorEastAsia"/>
          <w:color w:val="000000"/>
        </w:rPr>
        <w:t xml:space="preserve"> the number and scope of t</w:t>
      </w:r>
      <w:r w:rsidRPr="37A6B070">
        <w:rPr>
          <w:rStyle w:val="normaltextrun"/>
          <w:rFonts w:eastAsiaTheme="majorEastAsia"/>
          <w:color w:val="000000"/>
          <w:shd w:val="clear" w:color="auto" w:fill="FFFFFF"/>
        </w:rPr>
        <w:t xml:space="preserve">he environmental issues </w:t>
      </w:r>
      <w:r w:rsidRPr="039E47FA">
        <w:rPr>
          <w:rStyle w:val="normaltextrun"/>
          <w:color w:val="000000"/>
          <w:shd w:val="clear" w:color="auto" w:fill="FFFFFF"/>
        </w:rPr>
        <w:t>in Table</w:t>
      </w:r>
      <w:r>
        <w:rPr>
          <w:rStyle w:val="normaltextrun"/>
          <w:color w:val="000000"/>
          <w:shd w:val="clear" w:color="auto" w:fill="FFFFFF"/>
        </w:rPr>
        <w:t> </w:t>
      </w:r>
      <w:r w:rsidRPr="039E47FA">
        <w:rPr>
          <w:rStyle w:val="normaltextrun"/>
          <w:color w:val="000000"/>
          <w:shd w:val="clear" w:color="auto" w:fill="FFFFFF"/>
        </w:rPr>
        <w:t>B</w:t>
      </w:r>
      <w:r>
        <w:rPr>
          <w:rStyle w:val="normaltextrun"/>
          <w:color w:val="000000"/>
          <w:shd w:val="clear" w:color="auto" w:fill="FFFFFF"/>
        </w:rPr>
        <w:noBreakHyphen/>
      </w:r>
      <w:r w:rsidRPr="039E47FA">
        <w:rPr>
          <w:rStyle w:val="normaltextrun"/>
          <w:color w:val="000000"/>
          <w:shd w:val="clear" w:color="auto" w:fill="FFFFFF"/>
        </w:rPr>
        <w:t xml:space="preserve">1 </w:t>
      </w:r>
      <w:r w:rsidRPr="37A6B070">
        <w:rPr>
          <w:rStyle w:val="normaltextrun"/>
          <w:rFonts w:eastAsiaTheme="majorEastAsia"/>
          <w:color w:val="000000"/>
          <w:shd w:val="clear" w:color="auto" w:fill="FFFFFF"/>
        </w:rPr>
        <w:t xml:space="preserve">that must be addressed by the NRC and applicants during </w:t>
      </w:r>
      <w:r w:rsidR="008A6ACE">
        <w:rPr>
          <w:rFonts w:eastAsiaTheme="majorEastAsia"/>
        </w:rPr>
        <w:t>plant</w:t>
      </w:r>
      <w:r w:rsidR="008A6ACE">
        <w:noBreakHyphen/>
      </w:r>
      <w:r w:rsidR="008A6ACE">
        <w:rPr>
          <w:rFonts w:eastAsiaTheme="majorEastAsia"/>
        </w:rPr>
        <w:t>specific</w:t>
      </w:r>
      <w:r w:rsidRPr="37A6B070">
        <w:rPr>
          <w:rStyle w:val="normaltextrun"/>
          <w:rFonts w:eastAsiaTheme="majorEastAsia"/>
          <w:color w:val="000000"/>
          <w:shd w:val="clear" w:color="auto" w:fill="FFFFFF"/>
        </w:rPr>
        <w:t xml:space="preserve"> license renewal environmental reviews</w:t>
      </w:r>
      <w:r w:rsidRPr="039E47FA">
        <w:t xml:space="preserve"> based on changes in the </w:t>
      </w:r>
      <w:r w:rsidR="00880951">
        <w:t>revised</w:t>
      </w:r>
      <w:r w:rsidR="004841A6">
        <w:t xml:space="preserve"> </w:t>
      </w:r>
      <w:r w:rsidRPr="039E47FA">
        <w:t>LR GEIS.</w:t>
      </w:r>
      <w:r w:rsidRPr="0030544C">
        <w:rPr>
          <w:szCs w:val="22"/>
        </w:rPr>
        <w:t xml:space="preserve"> </w:t>
      </w:r>
      <w:r w:rsidRPr="039E47FA">
        <w:t xml:space="preserve">The </w:t>
      </w:r>
      <w:r w:rsidR="00671121">
        <w:t>final</w:t>
      </w:r>
      <w:r>
        <w:t xml:space="preserve"> </w:t>
      </w:r>
      <w:r w:rsidRPr="039E47FA">
        <w:t xml:space="preserve">rule </w:t>
      </w:r>
      <w:r>
        <w:t>update</w:t>
      </w:r>
      <w:r w:rsidR="002D398F">
        <w:t xml:space="preserve">s </w:t>
      </w:r>
      <w:r>
        <w:t xml:space="preserve">the </w:t>
      </w:r>
      <w:r w:rsidR="00BC3361">
        <w:t xml:space="preserve">2013 </w:t>
      </w:r>
      <w:r w:rsidRPr="039E47FA">
        <w:t>LR</w:t>
      </w:r>
      <w:r>
        <w:t> </w:t>
      </w:r>
      <w:r w:rsidRPr="039E47FA">
        <w:t>GEIS to</w:t>
      </w:r>
      <w:r>
        <w:t xml:space="preserve"> also</w:t>
      </w:r>
      <w:r w:rsidRPr="039E47FA">
        <w:t xml:space="preserve"> apply </w:t>
      </w:r>
      <w:r>
        <w:t>to</w:t>
      </w:r>
      <w:r w:rsidRPr="039E47FA">
        <w:t xml:space="preserve"> SLR. It </w:t>
      </w:r>
      <w:r>
        <w:t xml:space="preserve">also </w:t>
      </w:r>
      <w:r w:rsidRPr="039E47FA">
        <w:t>codif</w:t>
      </w:r>
      <w:r w:rsidR="002C6AB9">
        <w:t>ies</w:t>
      </w:r>
      <w:r w:rsidRPr="039E47FA">
        <w:t xml:space="preserve"> the lessons</w:t>
      </w:r>
      <w:r>
        <w:t xml:space="preserve"> </w:t>
      </w:r>
      <w:r w:rsidRPr="039E47FA">
        <w:t xml:space="preserve">learned, knowledge gained, and experience from license renewal environmental reviews performed since </w:t>
      </w:r>
      <w:r w:rsidR="00680052">
        <w:t xml:space="preserve">development of the </w:t>
      </w:r>
      <w:r w:rsidRPr="039E47FA">
        <w:t>2013</w:t>
      </w:r>
      <w:r w:rsidR="00680052">
        <w:t xml:space="preserve"> LR GEIS</w:t>
      </w:r>
      <w:r w:rsidRPr="039E47FA">
        <w:t xml:space="preserve"> and incorporate changes in environmental regulations</w:t>
      </w:r>
      <w:r>
        <w:t>,</w:t>
      </w:r>
      <w:r w:rsidRPr="039E47FA">
        <w:t xml:space="preserve"> impact methodology, and other new information.</w:t>
      </w:r>
    </w:p>
    <w:p w:rsidR="0078072B" w:rsidRPr="00513D74" w:rsidP="0078072B" w14:paraId="4AD391A6" w14:textId="4E257A04">
      <w:r w:rsidRPr="00513D74">
        <w:t>This regulatory analysis evaluat</w:t>
      </w:r>
      <w:r>
        <w:t>es</w:t>
      </w:r>
      <w:r w:rsidRPr="00513D74">
        <w:t xml:space="preserve"> the </w:t>
      </w:r>
      <w:r w:rsidR="007848AF">
        <w:t>final</w:t>
      </w:r>
      <w:r w:rsidRPr="00513D74">
        <w:t xml:space="preserve"> rule and </w:t>
      </w:r>
      <w:r>
        <w:t>one</w:t>
      </w:r>
      <w:r w:rsidRPr="00513D74">
        <w:t xml:space="preserve"> alternative, </w:t>
      </w:r>
      <w:r>
        <w:t>the</w:t>
      </w:r>
      <w:r w:rsidRPr="00513D74">
        <w:t xml:space="preserve"> “no</w:t>
      </w:r>
      <w:r>
        <w:t> </w:t>
      </w:r>
      <w:r w:rsidRPr="00513D74">
        <w:t xml:space="preserve">action” alternative, for which the NRC would not conduct rulemaking </w:t>
      </w:r>
      <w:r>
        <w:t>but</w:t>
      </w:r>
      <w:r w:rsidRPr="00513D74">
        <w:t xml:space="preserve"> continue to </w:t>
      </w:r>
      <w:r>
        <w:t xml:space="preserve">regulate the renewal of nuclear power plant operating licenses using existing </w:t>
      </w:r>
      <w:r w:rsidR="00DE75C4">
        <w:t>NEPA</w:t>
      </w:r>
      <w:r w:rsidR="00D818BF">
        <w:t xml:space="preserve"> implementing</w:t>
      </w:r>
      <w:r>
        <w:t xml:space="preserve"> regulations. The no action alternative is the baseline </w:t>
      </w:r>
      <w:r w:rsidR="00454BAC">
        <w:t xml:space="preserve">against </w:t>
      </w:r>
      <w:r>
        <w:t>which the proposed action is compared.</w:t>
      </w:r>
    </w:p>
    <w:p w:rsidR="0078072B" w:rsidRPr="0030544C" w:rsidP="0078072B" w14:paraId="31875E14" w14:textId="77777777">
      <w:pPr>
        <w:pStyle w:val="text"/>
        <w:spacing w:after="0" w:line="276" w:lineRule="auto"/>
        <w:rPr>
          <w:szCs w:val="22"/>
        </w:rPr>
      </w:pPr>
    </w:p>
    <w:p w:rsidR="0078072B" w:rsidRPr="003D6FD5" w:rsidP="0078072B" w14:paraId="3130F7C3" w14:textId="77777777">
      <w:pPr>
        <w:pStyle w:val="Heading2"/>
        <w:rPr>
          <w:color w:val="auto"/>
        </w:rPr>
      </w:pPr>
      <w:bookmarkStart w:id="10" w:name="_Toc147922963"/>
      <w:r w:rsidRPr="00B33C78">
        <w:rPr>
          <w:sz w:val="24"/>
          <w:szCs w:val="24"/>
        </w:rPr>
        <w:t>1.</w:t>
      </w:r>
      <w:r>
        <w:rPr>
          <w:sz w:val="24"/>
          <w:szCs w:val="24"/>
        </w:rPr>
        <w:t>1</w:t>
      </w:r>
      <w:r w:rsidRPr="00B33C78">
        <w:rPr>
          <w:sz w:val="24"/>
          <w:szCs w:val="24"/>
        </w:rPr>
        <w:tab/>
      </w:r>
      <w:r w:rsidRPr="00EE750B">
        <w:rPr>
          <w:sz w:val="24"/>
          <w:szCs w:val="24"/>
          <w:u w:val="single"/>
        </w:rPr>
        <w:t>Description of the Proposed Action</w:t>
      </w:r>
      <w:bookmarkEnd w:id="10"/>
    </w:p>
    <w:p w:rsidR="0078072B" w:rsidRPr="000E6B8E" w:rsidP="0078072B" w14:paraId="3E9DCD28" w14:textId="15AD9B19">
      <w:pPr>
        <w:pStyle w:val="BodyText"/>
        <w:spacing w:before="240"/>
        <w:rPr>
          <w:rStyle w:val="normaltextrun"/>
          <w:rFonts w:eastAsiaTheme="majorEastAsia"/>
          <w:color w:val="000000"/>
        </w:rPr>
      </w:pPr>
      <w:r w:rsidRPr="0713135D">
        <w:rPr>
          <w:rStyle w:val="normaltextrun"/>
          <w:rFonts w:eastAsiaTheme="majorEastAsia"/>
        </w:rPr>
        <w:t xml:space="preserve">The proposed action </w:t>
      </w:r>
      <w:r w:rsidR="00454BAC">
        <w:rPr>
          <w:rStyle w:val="normaltextrun"/>
          <w:rFonts w:eastAsiaTheme="majorEastAsia"/>
        </w:rPr>
        <w:t>is to</w:t>
      </w:r>
      <w:r w:rsidRPr="0713135D">
        <w:rPr>
          <w:rStyle w:val="normaltextrun"/>
          <w:rFonts w:eastAsiaTheme="majorEastAsia"/>
        </w:rPr>
        <w:t xml:space="preserve"> update the </w:t>
      </w:r>
      <w:r w:rsidR="005E6915">
        <w:rPr>
          <w:rStyle w:val="normaltextrun"/>
          <w:rFonts w:eastAsiaTheme="majorEastAsia"/>
        </w:rPr>
        <w:t xml:space="preserve">2013 </w:t>
      </w:r>
      <w:r w:rsidRPr="0713135D">
        <w:rPr>
          <w:rStyle w:val="normaltextrun"/>
          <w:rFonts w:eastAsiaTheme="majorEastAsia"/>
        </w:rPr>
        <w:t>LR</w:t>
      </w:r>
      <w:r>
        <w:rPr>
          <w:rStyle w:val="normaltextrun"/>
          <w:rFonts w:eastAsiaTheme="majorEastAsia"/>
        </w:rPr>
        <w:t> </w:t>
      </w:r>
      <w:r w:rsidRPr="0713135D">
        <w:rPr>
          <w:rStyle w:val="normaltextrun"/>
          <w:rFonts w:eastAsiaTheme="majorEastAsia"/>
        </w:rPr>
        <w:t>GEIS and the environmental issues in Table B</w:t>
      </w:r>
      <w:r>
        <w:rPr>
          <w:rStyle w:val="normaltextrun"/>
          <w:rFonts w:eastAsiaTheme="majorEastAsia"/>
        </w:rPr>
        <w:noBreakHyphen/>
      </w:r>
      <w:r w:rsidRPr="0713135D">
        <w:rPr>
          <w:rStyle w:val="normaltextrun"/>
          <w:rFonts w:eastAsiaTheme="majorEastAsia"/>
        </w:rPr>
        <w:t xml:space="preserve">1 to address the impacts of initial </w:t>
      </w:r>
      <w:r>
        <w:rPr>
          <w:rStyle w:val="normaltextrun"/>
          <w:rFonts w:eastAsiaTheme="majorEastAsia"/>
        </w:rPr>
        <w:t>LR</w:t>
      </w:r>
      <w:r w:rsidRPr="0713135D">
        <w:rPr>
          <w:rStyle w:val="normaltextrun"/>
          <w:rFonts w:eastAsiaTheme="majorEastAsia"/>
        </w:rPr>
        <w:t xml:space="preserve"> </w:t>
      </w:r>
      <w:r>
        <w:rPr>
          <w:rStyle w:val="normaltextrun"/>
          <w:rFonts w:eastAsiaTheme="majorEastAsia"/>
        </w:rPr>
        <w:t>and</w:t>
      </w:r>
      <w:r w:rsidRPr="0713135D">
        <w:rPr>
          <w:rStyle w:val="normaltextrun"/>
          <w:rFonts w:eastAsiaTheme="majorEastAsia"/>
        </w:rPr>
        <w:t xml:space="preserve"> SLR. The rule would also remove the word “initial” from </w:t>
      </w:r>
      <w:r w:rsidRPr="00F16883">
        <w:rPr>
          <w:color w:val="auto"/>
        </w:rPr>
        <w:t>10 CFR 51.53(c)(3)</w:t>
      </w:r>
      <w:r>
        <w:rPr>
          <w:color w:val="auto"/>
        </w:rPr>
        <w:t xml:space="preserve"> </w:t>
      </w:r>
      <w:r w:rsidRPr="0713135D">
        <w:rPr>
          <w:rStyle w:val="normaltextrun"/>
          <w:rFonts w:eastAsiaTheme="majorEastAsia"/>
        </w:rPr>
        <w:t xml:space="preserve">and make conforming changes in </w:t>
      </w:r>
      <w:r w:rsidRPr="004207A9">
        <w:rPr>
          <w:rStyle w:val="normaltextrun"/>
          <w:rFonts w:eastAsiaTheme="majorEastAsia"/>
        </w:rPr>
        <w:t>10 CFR 51.53(c)(3)(ii)</w:t>
      </w:r>
      <w:r w:rsidRPr="0713135D">
        <w:rPr>
          <w:rStyle w:val="normaltextrun"/>
          <w:rFonts w:eastAsiaTheme="majorEastAsia"/>
        </w:rPr>
        <w:t xml:space="preserve"> and 10</w:t>
      </w:r>
      <w:r>
        <w:rPr>
          <w:rStyle w:val="normaltextrun"/>
          <w:rFonts w:eastAsiaTheme="majorEastAsia"/>
        </w:rPr>
        <w:t> </w:t>
      </w:r>
      <w:r w:rsidRPr="0713135D">
        <w:rPr>
          <w:rStyle w:val="normaltextrun"/>
          <w:rFonts w:eastAsiaTheme="majorEastAsia"/>
        </w:rPr>
        <w:t>CFR</w:t>
      </w:r>
      <w:r>
        <w:rPr>
          <w:rStyle w:val="normaltextrun"/>
          <w:rFonts w:eastAsiaTheme="majorEastAsia"/>
        </w:rPr>
        <w:t> </w:t>
      </w:r>
      <w:r w:rsidRPr="0713135D">
        <w:rPr>
          <w:rStyle w:val="normaltextrun"/>
          <w:rFonts w:eastAsiaTheme="majorEastAsia"/>
        </w:rPr>
        <w:t>51.95(c)</w:t>
      </w:r>
      <w:r w:rsidRPr="00F16883">
        <w:rPr>
          <w:color w:val="auto"/>
        </w:rPr>
        <w:t xml:space="preserve">. Additionally, the rule would address recent changes to environmental laws, executive orders, and regulations. </w:t>
      </w:r>
    </w:p>
    <w:p w:rsidR="0078072B" w:rsidRPr="001D6838" w:rsidP="0078072B" w14:paraId="46D43ECA" w14:textId="7C824434">
      <w:pPr>
        <w:pStyle w:val="BodyText"/>
        <w:spacing w:before="240" w:after="220"/>
      </w:pPr>
      <w:r w:rsidRPr="37A6B070">
        <w:rPr>
          <w:rStyle w:val="normaltextrun"/>
          <w:rFonts w:eastAsiaTheme="majorEastAsia"/>
          <w:color w:val="000000"/>
        </w:rPr>
        <w:t xml:space="preserve">Specifically, the proposed action would </w:t>
      </w:r>
      <w:r w:rsidRPr="00F87BBA">
        <w:t>redefine the number and scope of th</w:t>
      </w:r>
      <w:r>
        <w:t xml:space="preserve">e environmental </w:t>
      </w:r>
      <w:r w:rsidRPr="00662DB6">
        <w:t xml:space="preserve">issues </w:t>
      </w:r>
      <w:r>
        <w:t>that</w:t>
      </w:r>
      <w:r w:rsidRPr="00662DB6">
        <w:t xml:space="preserve"> must be addressed by the Commission in conjunction with the review of </w:t>
      </w:r>
      <w:r>
        <w:t xml:space="preserve">license renewal </w:t>
      </w:r>
      <w:r w:rsidRPr="00662DB6">
        <w:t>application</w:t>
      </w:r>
      <w:r w:rsidRPr="00640374">
        <w:t xml:space="preserve">s </w:t>
      </w:r>
      <w:r>
        <w:t>(initial LR or SLR)</w:t>
      </w:r>
      <w:r w:rsidRPr="00640374">
        <w:t xml:space="preserve">. </w:t>
      </w:r>
      <w:r w:rsidRPr="37A6B070">
        <w:rPr>
          <w:rStyle w:val="normaltextrun"/>
          <w:rFonts w:eastAsiaTheme="majorEastAsia"/>
          <w:color w:val="000000"/>
        </w:rPr>
        <w:t xml:space="preserve">The </w:t>
      </w:r>
      <w:r w:rsidRPr="37A6B070" w:rsidR="00454BAC">
        <w:rPr>
          <w:rStyle w:val="normaltextrun"/>
          <w:rFonts w:eastAsiaTheme="majorEastAsia"/>
          <w:color w:val="000000"/>
        </w:rPr>
        <w:t xml:space="preserve">associated draft </w:t>
      </w:r>
      <w:r w:rsidR="00AC05FA">
        <w:rPr>
          <w:rStyle w:val="normaltextrun"/>
          <w:rFonts w:eastAsiaTheme="majorEastAsia"/>
          <w:color w:val="000000"/>
        </w:rPr>
        <w:t xml:space="preserve">revised </w:t>
      </w:r>
      <w:r w:rsidRPr="37A6B070" w:rsidR="00454BAC">
        <w:rPr>
          <w:rStyle w:val="normaltextrun"/>
          <w:rFonts w:eastAsiaTheme="majorEastAsia"/>
          <w:color w:val="000000"/>
        </w:rPr>
        <w:t>LR GEIS</w:t>
      </w:r>
      <w:r w:rsidRPr="37A6B070">
        <w:rPr>
          <w:rStyle w:val="normaltextrun"/>
          <w:rFonts w:eastAsiaTheme="majorEastAsia"/>
          <w:color w:val="000000"/>
        </w:rPr>
        <w:t xml:space="preserve"> identified</w:t>
      </w:r>
      <w:r w:rsidRPr="00640374">
        <w:rPr>
          <w:rStyle w:val="normaltextrun"/>
          <w:color w:val="000000"/>
        </w:rPr>
        <w:t xml:space="preserve"> 80 environmental issues, 20 of which require a </w:t>
      </w:r>
      <w:r w:rsidR="00B46B93">
        <w:rPr>
          <w:rStyle w:val="normaltextrun"/>
          <w:color w:val="000000"/>
        </w:rPr>
        <w:t>plant-specific</w:t>
      </w:r>
      <w:r w:rsidRPr="00640374">
        <w:rPr>
          <w:rStyle w:val="normaltextrun"/>
          <w:color w:val="000000"/>
        </w:rPr>
        <w:t xml:space="preserve"> analysis</w:t>
      </w:r>
      <w:r w:rsidRPr="37A6B070">
        <w:rPr>
          <w:rStyle w:val="normaltextrun"/>
          <w:rFonts w:eastAsiaTheme="majorEastAsia"/>
          <w:color w:val="000000"/>
        </w:rPr>
        <w:t>. The following summarizes the types of changes to Table B</w:t>
      </w:r>
      <w:r>
        <w:rPr>
          <w:rStyle w:val="normaltextrun"/>
          <w:rFonts w:eastAsiaTheme="majorEastAsia"/>
          <w:color w:val="000000"/>
        </w:rPr>
        <w:noBreakHyphen/>
      </w:r>
      <w:r w:rsidRPr="37A6B070">
        <w:rPr>
          <w:rStyle w:val="normaltextrun"/>
          <w:rFonts w:eastAsiaTheme="majorEastAsia"/>
          <w:color w:val="000000"/>
        </w:rPr>
        <w:t>1 (as enumerated in Appendix A to this analysis):</w:t>
      </w:r>
    </w:p>
    <w:p w:rsidR="0078072B" w:rsidP="0078072B" w14:paraId="57799B41" w14:textId="6CB8876C">
      <w:pPr>
        <w:pStyle w:val="ListParagraph"/>
        <w:numPr>
          <w:ilvl w:val="0"/>
          <w:numId w:val="25"/>
        </w:numPr>
        <w:spacing w:after="220"/>
        <w:ind w:hanging="720"/>
        <w:contextualSpacing w:val="0"/>
      </w:pPr>
      <w:r>
        <w:t>One Category 2 issue, “Groundwater quality degradation (</w:t>
      </w:r>
      <w:r w:rsidR="00311137">
        <w:t>plant</w:t>
      </w:r>
      <w:r w:rsidR="00456520">
        <w:t>s</w:t>
      </w:r>
      <w:r w:rsidR="00311137">
        <w:t xml:space="preserve"> with </w:t>
      </w:r>
      <w:r>
        <w:t>cooling ponds at inland sites)” and a related Category 1 issue, “Groundwater quality degradation (</w:t>
      </w:r>
      <w:r w:rsidR="00311137">
        <w:t>plant</w:t>
      </w:r>
      <w:r w:rsidR="00475CEF">
        <w:t>s</w:t>
      </w:r>
      <w:r w:rsidR="00311137">
        <w:t xml:space="preserve"> with </w:t>
      </w:r>
      <w:r>
        <w:t>cooling ponds in salt marshes),” were consolidated into a single Category 2 issue, “Groundwater quality degradation (plants with cooling ponds).”</w:t>
      </w:r>
    </w:p>
    <w:p w:rsidR="0078072B" w:rsidP="0078072B" w14:paraId="6F45FE94" w14:textId="1AD0D6B0">
      <w:pPr>
        <w:pStyle w:val="ListParagraph"/>
        <w:numPr>
          <w:ilvl w:val="0"/>
          <w:numId w:val="25"/>
        </w:numPr>
        <w:spacing w:after="220"/>
        <w:ind w:hanging="720"/>
        <w:contextualSpacing w:val="0"/>
      </w:pPr>
      <w:r>
        <w:t>Two related Category 1 issues, “Infrequently reported thermal impacts (all plants)” and “Effects of cooling water discharge on dissolved oxygen, gas supersaturation, and eutrophication</w:t>
      </w:r>
      <w:r w:rsidR="007E6FA4">
        <w:t>,</w:t>
      </w:r>
      <w:r>
        <w:t>” and the thermal effluent component of the Category 1 issue, “Losses from predation, parasitism, and disease among organisms exposed to sublethal stresses,” were consolidated into a single Category 1 issue, “Infrequently reported effects of thermal effluents.”</w:t>
      </w:r>
    </w:p>
    <w:p w:rsidR="0078072B" w:rsidP="0078072B" w14:paraId="6B44582B" w14:textId="2602DA4F">
      <w:pPr>
        <w:pStyle w:val="ListParagraph"/>
        <w:numPr>
          <w:ilvl w:val="0"/>
          <w:numId w:val="25"/>
        </w:numPr>
        <w:spacing w:after="220"/>
        <w:ind w:hanging="720"/>
        <w:contextualSpacing w:val="0"/>
      </w:pPr>
      <w:r>
        <w:t>One Category 2 issue, “Impingement and entrainment of aquatic organisms (plants with once-through cooling systems or cooling ponds)</w:t>
      </w:r>
      <w:r w:rsidR="00E045D9">
        <w:t>,</w:t>
      </w:r>
      <w:r>
        <w:t>” and the impingement component of a Category 1 issue, “Losses from predation, parasitism, and disease among organisms exposed to sublethal stresses</w:t>
      </w:r>
      <w:r w:rsidR="00E045D9">
        <w:t>,</w:t>
      </w:r>
      <w:r>
        <w:t>” were consolidated into a single Category 2 issue, “Impingement mortality and entrainment of aquatic organisms (plants with once-through cooling systems or cooling ponds).”</w:t>
      </w:r>
    </w:p>
    <w:p w:rsidR="0078072B" w:rsidP="0078072B" w14:paraId="37F752BF" w14:textId="7EB1838D">
      <w:pPr>
        <w:pStyle w:val="ListParagraph"/>
        <w:numPr>
          <w:ilvl w:val="0"/>
          <w:numId w:val="25"/>
        </w:numPr>
        <w:spacing w:after="220"/>
        <w:ind w:hanging="720"/>
        <w:contextualSpacing w:val="0"/>
      </w:pPr>
      <w:r>
        <w:t>One Category 1 issue, “Impingement and entrainment of aquatic organisms (plants with cooling towers)</w:t>
      </w:r>
      <w:r w:rsidR="00E045D9">
        <w:t>,</w:t>
      </w:r>
      <w:r>
        <w:t>” and the impingement component of a Category 1 issue, “Losses from predation, parasitism, and disease among organisms exposed to sublethal stresses,” were consolidated into a single Category 1 issue, “Impingement mortality and entrainment of aquatic organisms (plants with cooling towers).”</w:t>
      </w:r>
    </w:p>
    <w:p w:rsidR="0078072B" w:rsidP="0078072B" w14:paraId="262E3D3C" w14:textId="6CB47602">
      <w:pPr>
        <w:pStyle w:val="ListParagraph"/>
        <w:numPr>
          <w:ilvl w:val="0"/>
          <w:numId w:val="25"/>
        </w:numPr>
        <w:spacing w:after="220"/>
        <w:ind w:hanging="720"/>
        <w:contextualSpacing w:val="0"/>
      </w:pPr>
      <w:r>
        <w:t xml:space="preserve">One Category 2 issue, “Threatened, endangered, and protected species and essential fish habitat,” was divided into three Category 2 issues: (1) “Endangered Species Act: </w:t>
      </w:r>
      <w:r w:rsidR="002A0157">
        <w:t>f</w:t>
      </w:r>
      <w:r>
        <w:t xml:space="preserve">ederally listed species and critical habitats under U.S. Fish and Wildlife </w:t>
      </w:r>
      <w:r w:rsidR="00671121">
        <w:t xml:space="preserve">Service </w:t>
      </w:r>
      <w:r>
        <w:t xml:space="preserve">jurisdiction,” (2) “Endangered Species Act: </w:t>
      </w:r>
      <w:r w:rsidR="002A0157">
        <w:t>f</w:t>
      </w:r>
      <w:r>
        <w:t>ederally listed species and critical habitats under National Marine Fisheries Service jurisdiction,” and (3) “Magnuson-Stevens Act: essential fish habitat</w:t>
      </w:r>
      <w:r w:rsidR="004D4180">
        <w:t>.</w:t>
      </w:r>
      <w:r>
        <w:t>”</w:t>
      </w:r>
    </w:p>
    <w:p w:rsidR="0078072B" w:rsidP="0078072B" w14:paraId="56EFE416" w14:textId="77777777">
      <w:pPr>
        <w:pStyle w:val="ListParagraph"/>
        <w:numPr>
          <w:ilvl w:val="0"/>
          <w:numId w:val="25"/>
        </w:numPr>
        <w:spacing w:after="220"/>
        <w:ind w:hanging="720"/>
        <w:contextualSpacing w:val="0"/>
      </w:pPr>
      <w:r>
        <w:t>Two new Category 2 issues, “National Marine Sanctuaries Act: sanctuary resources” and “Climate change impacts on environmental resources,” were added.</w:t>
      </w:r>
    </w:p>
    <w:p w:rsidR="0078072B" w:rsidP="0078072B" w14:paraId="4C0E1029" w14:textId="77777777">
      <w:pPr>
        <w:pStyle w:val="ListParagraph"/>
        <w:numPr>
          <w:ilvl w:val="0"/>
          <w:numId w:val="25"/>
        </w:numPr>
        <w:spacing w:after="220"/>
        <w:ind w:hanging="720"/>
        <w:contextualSpacing w:val="0"/>
      </w:pPr>
      <w:r>
        <w:t>One Category 2 issue, “Severe accidents,” was changed to a Category 1 issue.</w:t>
      </w:r>
    </w:p>
    <w:p w:rsidR="0078072B" w:rsidP="0078072B" w14:paraId="528ECB83" w14:textId="77777777">
      <w:pPr>
        <w:pStyle w:val="ListParagraph"/>
        <w:numPr>
          <w:ilvl w:val="0"/>
          <w:numId w:val="25"/>
        </w:numPr>
        <w:ind w:hanging="720"/>
      </w:pPr>
      <w:r>
        <w:t>One new Category 1 issue, “Greenhouse gas impacts on climate change,” was added.</w:t>
      </w:r>
    </w:p>
    <w:p w:rsidR="0078072B" w:rsidP="0078072B" w14:paraId="4B223988" w14:textId="77777777"/>
    <w:p w:rsidR="0078072B" w:rsidRPr="008A7DAE" w:rsidP="0078072B" w14:paraId="7B05E12E" w14:textId="2FED5003">
      <w:r>
        <w:t xml:space="preserve">The NRC </w:t>
      </w:r>
      <w:r w:rsidR="00454BAC">
        <w:t>does not propose to</w:t>
      </w:r>
      <w:r>
        <w:t xml:space="preserve"> eliminate any</w:t>
      </w:r>
      <w:r w:rsidRPr="008A7DAE">
        <w:t xml:space="preserve"> environmental issues identified in Table</w:t>
      </w:r>
      <w:r>
        <w:t> </w:t>
      </w:r>
      <w:r w:rsidRPr="008A7DAE">
        <w:t>B</w:t>
      </w:r>
      <w:r>
        <w:noBreakHyphen/>
      </w:r>
      <w:r w:rsidRPr="008A7DAE">
        <w:t xml:space="preserve">1 and </w:t>
      </w:r>
      <w:r>
        <w:t>evaluated</w:t>
      </w:r>
      <w:r w:rsidRPr="008A7DAE">
        <w:t xml:space="preserve"> in the 2013</w:t>
      </w:r>
      <w:r>
        <w:t> </w:t>
      </w:r>
      <w:r w:rsidRPr="008A7DAE">
        <w:t>LR</w:t>
      </w:r>
      <w:r>
        <w:t> </w:t>
      </w:r>
      <w:r w:rsidRPr="008A7DAE">
        <w:t>GEIS.</w:t>
      </w:r>
    </w:p>
    <w:p w:rsidR="0078072B" w:rsidP="0078072B" w14:paraId="2B9CAC8E" w14:textId="70A33CF5">
      <w:pPr>
        <w:pStyle w:val="BodyText"/>
        <w:spacing w:before="240"/>
      </w:pPr>
      <w:r>
        <w:t xml:space="preserve">Under the proposed action, </w:t>
      </w:r>
      <w:r w:rsidR="005C2B86">
        <w:t xml:space="preserve">with the final rule, </w:t>
      </w:r>
      <w:r>
        <w:t xml:space="preserve">in addition to </w:t>
      </w:r>
      <w:r w:rsidR="00454BAC">
        <w:t xml:space="preserve">updating </w:t>
      </w:r>
      <w:r>
        <w:t xml:space="preserve">the </w:t>
      </w:r>
      <w:r w:rsidR="005C2B86">
        <w:t xml:space="preserve">2013 </w:t>
      </w:r>
      <w:r>
        <w:t>LR GEIS, the NRC would revise the</w:t>
      </w:r>
      <w:r w:rsidRPr="00811483">
        <w:t xml:space="preserve"> guidance </w:t>
      </w:r>
      <w:r>
        <w:t>in</w:t>
      </w:r>
      <w:r w:rsidRPr="00811483">
        <w:t xml:space="preserve"> Regulatory Guide 4.2, Supplement 1</w:t>
      </w:r>
      <w:r>
        <w:t xml:space="preserve">, Revision 1, </w:t>
      </w:r>
      <w:r w:rsidRPr="00D27E43">
        <w:t>“Preparation of Environmental Reports for Nuclear Power Plant License Renewal Applications,”</w:t>
      </w:r>
      <w:r>
        <w:t xml:space="preserve"> (NRC, 2013b),</w:t>
      </w:r>
      <w:r w:rsidRPr="00811483">
        <w:t xml:space="preserve"> and </w:t>
      </w:r>
      <w:r w:rsidRPr="004207A9">
        <w:t>NUREG</w:t>
      </w:r>
      <w:r w:rsidR="479E0AD7">
        <w:t xml:space="preserve"> </w:t>
      </w:r>
      <w:r w:rsidRPr="004207A9">
        <w:t>1555, Supplement 1, Revision 1</w:t>
      </w:r>
      <w:r>
        <w:t xml:space="preserve">, </w:t>
      </w:r>
      <w:r w:rsidRPr="00B12475">
        <w:t>“Standard Review Plans for Environmental Reviews for Nuclear Power Plants: Operating License Renewal</w:t>
      </w:r>
      <w:r>
        <w:t>,</w:t>
      </w:r>
      <w:r w:rsidRPr="00B12475">
        <w:t>”</w:t>
      </w:r>
      <w:r w:rsidRPr="004207A9">
        <w:t xml:space="preserve"> (NRC, 2013c)</w:t>
      </w:r>
      <w:r w:rsidRPr="00811483">
        <w:t>.</w:t>
      </w:r>
      <w:r>
        <w:t xml:space="preserve"> </w:t>
      </w:r>
      <w:r w:rsidRPr="00AD10DE">
        <w:t>T</w:t>
      </w:r>
      <w:r>
        <w:t>he staff uses t</w:t>
      </w:r>
      <w:r w:rsidRPr="00AD10DE">
        <w:t xml:space="preserve">hese guidance documents to evaluate license renewal applications, to conduct </w:t>
      </w:r>
      <w:r w:rsidR="007D4418">
        <w:t>plant-specific</w:t>
      </w:r>
      <w:r w:rsidRPr="00AD10DE">
        <w:t xml:space="preserve"> environmental reviews, and to assist applicants in the preparation of </w:t>
      </w:r>
      <w:r>
        <w:t>environmental report</w:t>
      </w:r>
      <w:r w:rsidRPr="00AD10DE">
        <w:t>s as part of their license renewal applications.</w:t>
      </w:r>
    </w:p>
    <w:p w:rsidR="0078072B" w:rsidRPr="00CD660E" w:rsidP="0078072B" w14:paraId="34948D64" w14:textId="77777777">
      <w:pPr>
        <w:pStyle w:val="Heading2"/>
        <w:spacing w:before="240"/>
        <w:rPr>
          <w:sz w:val="24"/>
          <w:szCs w:val="24"/>
          <w:u w:val="single"/>
        </w:rPr>
      </w:pPr>
      <w:bookmarkStart w:id="11" w:name="_Toc147922964"/>
      <w:r w:rsidRPr="00CD660E">
        <w:rPr>
          <w:sz w:val="24"/>
          <w:szCs w:val="24"/>
        </w:rPr>
        <w:t>1.2</w:t>
      </w:r>
      <w:r w:rsidRPr="00CD660E">
        <w:rPr>
          <w:sz w:val="24"/>
          <w:szCs w:val="24"/>
        </w:rPr>
        <w:tab/>
      </w:r>
      <w:r w:rsidRPr="00CD660E">
        <w:rPr>
          <w:sz w:val="24"/>
          <w:szCs w:val="24"/>
          <w:u w:val="single"/>
        </w:rPr>
        <w:t>Need for the Proposed Action</w:t>
      </w:r>
      <w:bookmarkEnd w:id="11"/>
    </w:p>
    <w:p w:rsidR="0078072B" w:rsidP="0078072B" w14:paraId="42010BF2" w14:textId="77777777"/>
    <w:p w:rsidR="0078072B" w:rsidRPr="00CF6D6A" w:rsidP="0078072B" w14:paraId="3D341BDB" w14:textId="62202515">
      <w:pPr>
        <w:autoSpaceDE/>
        <w:autoSpaceDN/>
        <w:adjustRightInd/>
        <w:textAlignment w:val="baseline"/>
        <w:rPr>
          <w:color w:val="000000"/>
          <w:shd w:val="clear" w:color="auto" w:fill="FFFFFF"/>
        </w:rPr>
      </w:pPr>
      <w:r w:rsidRPr="00E51802">
        <w:rPr>
          <w:rStyle w:val="normaltextrun"/>
          <w:color w:val="000000"/>
          <w:shd w:val="clear" w:color="auto" w:fill="FFFFFF"/>
        </w:rPr>
        <w:t>The regulat</w:t>
      </w:r>
      <w:r>
        <w:rPr>
          <w:rStyle w:val="normaltextrun"/>
          <w:color w:val="000000"/>
          <w:shd w:val="clear" w:color="auto" w:fill="FFFFFF"/>
        </w:rPr>
        <w:t>ions in </w:t>
      </w:r>
      <w:r w:rsidRPr="004207A9">
        <w:rPr>
          <w:rStyle w:val="normaltextrun"/>
          <w:color w:val="000000"/>
          <w:shd w:val="clear" w:color="auto" w:fill="FFFFFF"/>
        </w:rPr>
        <w:t>10 CFR Part 51</w:t>
      </w:r>
      <w:r>
        <w:rPr>
          <w:rStyle w:val="normaltextrun"/>
          <w:color w:val="000000"/>
          <w:shd w:val="clear" w:color="auto" w:fill="FFFFFF"/>
        </w:rPr>
        <w:t> state that the Commission intends to review Table B</w:t>
      </w:r>
      <w:r>
        <w:rPr>
          <w:rStyle w:val="normaltextrun"/>
          <w:color w:val="000000"/>
          <w:shd w:val="clear" w:color="auto" w:fill="FFFFFF"/>
        </w:rPr>
        <w:noBreakHyphen/>
        <w:t>1, along with technical supporting documentation (</w:t>
      </w:r>
      <w:r w:rsidRPr="004207A9">
        <w:rPr>
          <w:rStyle w:val="normaltextrun"/>
          <w:color w:val="000000"/>
          <w:shd w:val="clear" w:color="auto" w:fill="FFFFFF"/>
        </w:rPr>
        <w:t>NUREG</w:t>
      </w:r>
      <w:r w:rsidRPr="004207A9">
        <w:rPr>
          <w:rStyle w:val="normaltextrun"/>
          <w:color w:val="000000"/>
          <w:shd w:val="clear" w:color="auto" w:fill="FFFFFF"/>
        </w:rPr>
        <w:noBreakHyphen/>
        <w:t>1437</w:t>
      </w:r>
      <w:r>
        <w:rPr>
          <w:rStyle w:val="normaltextrun"/>
          <w:color w:val="000000"/>
          <w:shd w:val="clear" w:color="auto" w:fill="FFFFFF"/>
        </w:rPr>
        <w:t>), on a 10</w:t>
      </w:r>
      <w:r>
        <w:rPr>
          <w:rStyle w:val="normaltextrun"/>
          <w:color w:val="000000"/>
          <w:shd w:val="clear" w:color="auto" w:fill="FFFFFF"/>
        </w:rPr>
        <w:noBreakHyphen/>
        <w:t xml:space="preserve">year cycle and update if necessary. </w:t>
      </w:r>
      <w:r w:rsidRPr="00F81DBD">
        <w:rPr>
          <w:color w:val="000000"/>
        </w:rPr>
        <w:t>The LR</w:t>
      </w:r>
      <w:r>
        <w:rPr>
          <w:color w:val="000000"/>
        </w:rPr>
        <w:t> </w:t>
      </w:r>
      <w:r w:rsidRPr="00F81DBD">
        <w:rPr>
          <w:color w:val="000000"/>
        </w:rPr>
        <w:t>GEIS and Table</w:t>
      </w:r>
      <w:r>
        <w:rPr>
          <w:color w:val="000000"/>
        </w:rPr>
        <w:t> </w:t>
      </w:r>
      <w:r w:rsidRPr="00F81DBD">
        <w:rPr>
          <w:color w:val="000000"/>
        </w:rPr>
        <w:t>B</w:t>
      </w:r>
      <w:r>
        <w:rPr>
          <w:color w:val="000000"/>
        </w:rPr>
        <w:noBreakHyphen/>
      </w:r>
      <w:r w:rsidRPr="00F81DBD">
        <w:rPr>
          <w:color w:val="000000"/>
        </w:rPr>
        <w:t>1 have been effective in focusing license renewal environmental reviews on important issues and concerns at each nuclear power plant site, thus increasing the overall efficiency of the NRC’s environmental review</w:t>
      </w:r>
      <w:r>
        <w:rPr>
          <w:color w:val="000000"/>
        </w:rPr>
        <w:t xml:space="preserve"> and </w:t>
      </w:r>
      <w:r>
        <w:rPr>
          <w:color w:val="000000"/>
        </w:rPr>
        <w:t>in</w:t>
      </w:r>
      <w:r>
        <w:rPr>
          <w:color w:val="000000"/>
        </w:rPr>
        <w:t xml:space="preserve"> meeting its NEPA compliance responsibilities</w:t>
      </w:r>
      <w:r w:rsidRPr="00F81DBD">
        <w:rPr>
          <w:color w:val="000000"/>
        </w:rPr>
        <w:t xml:space="preserve">. </w:t>
      </w:r>
      <w:r>
        <w:rPr>
          <w:rStyle w:val="normaltextrun"/>
          <w:color w:val="000000"/>
          <w:shd w:val="clear" w:color="auto" w:fill="FFFFFF"/>
        </w:rPr>
        <w:t>The last rule that amended Table B</w:t>
      </w:r>
      <w:r>
        <w:rPr>
          <w:rStyle w:val="normaltextrun"/>
          <w:color w:val="000000"/>
          <w:shd w:val="clear" w:color="auto" w:fill="FFFFFF"/>
        </w:rPr>
        <w:noBreakHyphen/>
        <w:t>1 was published in 2013, along with the 2013 LR GEIS.</w:t>
      </w:r>
    </w:p>
    <w:p w:rsidR="0078072B" w:rsidRPr="00F81DBD" w:rsidP="0078072B" w14:paraId="131D6B57" w14:textId="77777777">
      <w:pPr>
        <w:rPr>
          <w:color w:val="000000"/>
        </w:rPr>
      </w:pPr>
    </w:p>
    <w:p w:rsidR="0078072B" w:rsidP="0078072B" w14:paraId="6AABA6B8" w14:textId="3CC2E37F">
      <w:pPr>
        <w:autoSpaceDE/>
        <w:autoSpaceDN/>
        <w:adjustRightInd/>
        <w:textAlignment w:val="baseline"/>
        <w:rPr>
          <w:rStyle w:val="normaltextrun"/>
          <w:color w:val="000000"/>
          <w:shd w:val="clear" w:color="auto" w:fill="FFFFFF"/>
        </w:rPr>
      </w:pPr>
      <w:r>
        <w:rPr>
          <w:rStyle w:val="normaltextrun"/>
          <w:color w:val="000000"/>
          <w:shd w:val="clear" w:color="auto" w:fill="FFFFFF"/>
        </w:rPr>
        <w:t>The current rulemaking began when the NRC issued a notice of intent to review and potentially update the 2013 LR GEIS. In July 2021, the staff submitted SECY</w:t>
      </w:r>
      <w:r>
        <w:rPr>
          <w:rStyle w:val="normaltextrun"/>
          <w:color w:val="000000"/>
          <w:shd w:val="clear" w:color="auto" w:fill="FFFFFF"/>
        </w:rPr>
        <w:noBreakHyphen/>
        <w:t>21</w:t>
      </w:r>
      <w:r>
        <w:rPr>
          <w:rStyle w:val="normaltextrun"/>
          <w:color w:val="000000"/>
          <w:shd w:val="clear" w:color="auto" w:fill="FFFFFF"/>
        </w:rPr>
        <w:noBreakHyphen/>
        <w:t xml:space="preserve">0066, “Rulemaking Plan for Renewing Nuclear Power Plant Operating Licenses—Environmental Review </w:t>
      </w:r>
      <w:r>
        <w:rPr>
          <w:rStyle w:val="normaltextrun"/>
          <w:color w:val="000000"/>
          <w:shd w:val="clear" w:color="auto" w:fill="FFFFFF"/>
        </w:rPr>
        <w:t>(RIN 3150</w:t>
      </w:r>
      <w:r>
        <w:rPr>
          <w:rStyle w:val="normaltextrun"/>
          <w:color w:val="000000"/>
          <w:shd w:val="clear" w:color="auto" w:fill="FFFFFF"/>
        </w:rPr>
        <w:noBreakHyphen/>
        <w:t>AK32; NRC</w:t>
      </w:r>
      <w:r>
        <w:rPr>
          <w:rStyle w:val="normaltextrun"/>
          <w:color w:val="000000"/>
          <w:shd w:val="clear" w:color="auto" w:fill="FFFFFF"/>
        </w:rPr>
        <w:noBreakHyphen/>
        <w:t>2018</w:t>
      </w:r>
      <w:r>
        <w:rPr>
          <w:rStyle w:val="normaltextrun"/>
          <w:color w:val="000000"/>
          <w:shd w:val="clear" w:color="auto" w:fill="FFFFFF"/>
        </w:rPr>
        <w:noBreakHyphen/>
        <w:t>0296)” (NRC, 2021</w:t>
      </w:r>
      <w:r w:rsidR="00FE52A0">
        <w:rPr>
          <w:rStyle w:val="normaltextrun"/>
          <w:color w:val="000000"/>
          <w:shd w:val="clear" w:color="auto" w:fill="FFFFFF"/>
        </w:rPr>
        <w:t>a</w:t>
      </w:r>
      <w:r>
        <w:rPr>
          <w:rStyle w:val="normaltextrun"/>
          <w:color w:val="000000"/>
          <w:shd w:val="clear" w:color="auto" w:fill="FFFFFF"/>
        </w:rPr>
        <w:t>), to request Commission approval to initiate a rulemaking to amend Table B</w:t>
      </w:r>
      <w:r>
        <w:rPr>
          <w:rStyle w:val="normaltextrun"/>
          <w:color w:val="000000"/>
          <w:shd w:val="clear" w:color="auto" w:fill="FFFFFF"/>
        </w:rPr>
        <w:noBreakHyphen/>
        <w:t>1 and update the 2013 LR GEIS and associated guidance. The rulemaking plan also proposed to remove the word “initial” from 10 CFR 51.53(c)(3) and make corresponding changes to the LR</w:t>
      </w:r>
      <w:r>
        <w:t> </w:t>
      </w:r>
      <w:r>
        <w:rPr>
          <w:rStyle w:val="normaltextrun"/>
          <w:color w:val="000000"/>
          <w:shd w:val="clear" w:color="auto" w:fill="FFFFFF"/>
        </w:rPr>
        <w:t>GEIS and associated guidance to include applicability to SLR.</w:t>
      </w:r>
    </w:p>
    <w:p w:rsidR="0078072B" w:rsidP="0078072B" w14:paraId="5627D0EF" w14:textId="77777777">
      <w:pPr>
        <w:autoSpaceDE/>
        <w:autoSpaceDN/>
        <w:adjustRightInd/>
        <w:textAlignment w:val="baseline"/>
        <w:rPr>
          <w:rStyle w:val="normaltextrun"/>
          <w:color w:val="000000"/>
          <w:shd w:val="clear" w:color="auto" w:fill="FFFFFF"/>
        </w:rPr>
      </w:pPr>
    </w:p>
    <w:p w:rsidR="0078072B" w:rsidRPr="0037052F" w:rsidP="0078072B" w14:paraId="508756D6" w14:textId="3773F353">
      <w:pPr>
        <w:pStyle w:val="Default"/>
        <w:spacing w:line="276" w:lineRule="auto"/>
        <w:rPr>
          <w:rFonts w:ascii="Arial" w:hAnsi="Arial" w:cs="Arial"/>
          <w:sz w:val="22"/>
          <w:szCs w:val="22"/>
        </w:rPr>
      </w:pPr>
      <w:r>
        <w:rPr>
          <w:rStyle w:val="normaltextrun"/>
          <w:rFonts w:ascii="Arial" w:hAnsi="Arial" w:cs="Arial"/>
          <w:sz w:val="22"/>
          <w:szCs w:val="22"/>
        </w:rPr>
        <w:t>In February 2022, the Commission issued Staff Requirements Memorandum (SRM)</w:t>
      </w:r>
      <w:r>
        <w:rPr>
          <w:rStyle w:val="normaltextrun"/>
          <w:rFonts w:ascii="Arial" w:hAnsi="Arial" w:eastAsiaTheme="majorEastAsia" w:cs="Arial"/>
          <w:sz w:val="22"/>
          <w:szCs w:val="22"/>
        </w:rPr>
        <w:noBreakHyphen/>
      </w:r>
      <w:r>
        <w:rPr>
          <w:rStyle w:val="normaltextrun"/>
          <w:rFonts w:ascii="Arial" w:hAnsi="Arial" w:cs="Arial"/>
          <w:sz w:val="22"/>
          <w:szCs w:val="22"/>
        </w:rPr>
        <w:t>SECY</w:t>
      </w:r>
      <w:r>
        <w:rPr>
          <w:rStyle w:val="normaltextrun"/>
          <w:rFonts w:ascii="Arial" w:hAnsi="Arial" w:eastAsiaTheme="majorEastAsia" w:cs="Arial"/>
          <w:sz w:val="22"/>
          <w:szCs w:val="22"/>
        </w:rPr>
        <w:noBreakHyphen/>
      </w:r>
      <w:r>
        <w:rPr>
          <w:rStyle w:val="normaltextrun"/>
          <w:rFonts w:ascii="Arial" w:hAnsi="Arial" w:cs="Arial"/>
          <w:sz w:val="22"/>
          <w:szCs w:val="22"/>
        </w:rPr>
        <w:t>21</w:t>
      </w:r>
      <w:r>
        <w:rPr>
          <w:rStyle w:val="normaltextrun"/>
          <w:rFonts w:ascii="Arial" w:hAnsi="Arial" w:eastAsiaTheme="majorEastAsia" w:cs="Arial"/>
          <w:sz w:val="22"/>
          <w:szCs w:val="22"/>
        </w:rPr>
        <w:noBreakHyphen/>
      </w:r>
      <w:r>
        <w:rPr>
          <w:rStyle w:val="normaltextrun"/>
          <w:rFonts w:ascii="Arial" w:hAnsi="Arial" w:cs="Arial"/>
          <w:sz w:val="22"/>
          <w:szCs w:val="22"/>
        </w:rPr>
        <w:t xml:space="preserve">0066, “Rulemaking Plan for Renewing Nuclear Power Plant Operating Licenses – Environmental Review (RIN 3150-AK32; NRC-2018-0296)” (NRC, 2022d), disapproving the staff’s recommendation and directing the staff to develop a rulemaking plan that aligned with </w:t>
      </w:r>
      <w:r w:rsidR="00D84682">
        <w:rPr>
          <w:rStyle w:val="normaltextrun"/>
          <w:rFonts w:ascii="Arial" w:hAnsi="Arial" w:cs="Arial"/>
          <w:sz w:val="22"/>
          <w:szCs w:val="22"/>
        </w:rPr>
        <w:t xml:space="preserve">Commission </w:t>
      </w:r>
      <w:r>
        <w:rPr>
          <w:rStyle w:val="normaltextrun"/>
          <w:rFonts w:ascii="Arial" w:hAnsi="Arial" w:cs="Arial"/>
          <w:sz w:val="22"/>
          <w:szCs w:val="22"/>
        </w:rPr>
        <w:t>Order CL</w:t>
      </w:r>
      <w:r w:rsidR="00250A55">
        <w:rPr>
          <w:rStyle w:val="normaltextrun"/>
          <w:rFonts w:ascii="Arial" w:hAnsi="Arial" w:cs="Arial"/>
          <w:sz w:val="22"/>
          <w:szCs w:val="22"/>
        </w:rPr>
        <w:t>I</w:t>
      </w:r>
      <w:r>
        <w:rPr>
          <w:rStyle w:val="normaltextrun"/>
          <w:rFonts w:ascii="Arial" w:hAnsi="Arial" w:cs="Arial"/>
          <w:sz w:val="22"/>
          <w:szCs w:val="22"/>
        </w:rPr>
        <w:noBreakHyphen/>
        <w:t>22</w:t>
      </w:r>
      <w:r>
        <w:rPr>
          <w:rStyle w:val="normaltextrun"/>
          <w:rFonts w:ascii="Arial" w:hAnsi="Arial" w:cs="Arial"/>
          <w:sz w:val="22"/>
          <w:szCs w:val="22"/>
        </w:rPr>
        <w:noBreakHyphen/>
        <w:t>03 and recent decisions in CLI</w:t>
      </w:r>
      <w:r>
        <w:rPr>
          <w:rStyle w:val="normaltextrun"/>
          <w:rFonts w:ascii="Arial" w:hAnsi="Arial" w:cs="Arial"/>
          <w:sz w:val="22"/>
          <w:szCs w:val="22"/>
        </w:rPr>
        <w:noBreakHyphen/>
        <w:t>22</w:t>
      </w:r>
      <w:r>
        <w:rPr>
          <w:rStyle w:val="normaltextrun"/>
          <w:rFonts w:ascii="Arial" w:hAnsi="Arial" w:cs="Arial"/>
          <w:sz w:val="22"/>
          <w:szCs w:val="22"/>
        </w:rPr>
        <w:noBreakHyphen/>
        <w:t>02 and CLI</w:t>
      </w:r>
      <w:r>
        <w:rPr>
          <w:rStyle w:val="normaltextrun"/>
          <w:rFonts w:ascii="Arial" w:hAnsi="Arial" w:cs="Arial"/>
          <w:sz w:val="22"/>
          <w:szCs w:val="22"/>
        </w:rPr>
        <w:noBreakHyphen/>
        <w:t>22</w:t>
      </w:r>
      <w:r>
        <w:rPr>
          <w:rStyle w:val="normaltextrun"/>
          <w:rFonts w:ascii="Arial" w:hAnsi="Arial" w:cs="Arial"/>
          <w:sz w:val="22"/>
          <w:szCs w:val="22"/>
        </w:rPr>
        <w:noBreakHyphen/>
        <w:t>04 regarding the NEPA analysis of SLR applications.</w:t>
      </w:r>
      <w:r>
        <w:rPr>
          <w:rFonts w:ascii="Arial" w:hAnsi="Arial" w:cs="Arial"/>
          <w:sz w:val="22"/>
          <w:szCs w:val="22"/>
        </w:rPr>
        <w:t xml:space="preserve"> The SRM also directed the staff to (1) proceed with rulemaking to amend Table B</w:t>
      </w:r>
      <w:r>
        <w:rPr>
          <w:rFonts w:ascii="Arial" w:hAnsi="Arial" w:cs="Arial"/>
          <w:sz w:val="22"/>
          <w:szCs w:val="22"/>
        </w:rPr>
        <w:noBreakHyphen/>
        <w:t xml:space="preserve">1, (2) remove the word “initial” from 10 CFR 51.53(c)(3), (3) update the </w:t>
      </w:r>
      <w:r w:rsidR="007B63A2">
        <w:rPr>
          <w:rFonts w:ascii="Arial" w:hAnsi="Arial" w:cs="Arial"/>
          <w:sz w:val="22"/>
          <w:szCs w:val="22"/>
        </w:rPr>
        <w:t>2013</w:t>
      </w:r>
      <w:r>
        <w:rPr>
          <w:rFonts w:ascii="Arial" w:hAnsi="Arial" w:cs="Arial"/>
          <w:sz w:val="22"/>
          <w:szCs w:val="22"/>
        </w:rPr>
        <w:t xml:space="preserve"> LR GEIS, (4) conduct a thorough analysis of the environmental impacts of SLR to expand the applicability of the LR GEIS, and (5) consider chan</w:t>
      </w:r>
      <w:r w:rsidRPr="0037052F">
        <w:rPr>
          <w:rFonts w:ascii="Arial" w:hAnsi="Arial" w:cs="Arial"/>
          <w:sz w:val="22"/>
          <w:szCs w:val="22"/>
        </w:rPr>
        <w:t>ges to applicable laws and regulations, new data, and experience in conducting similar environmental reviews.</w:t>
      </w:r>
    </w:p>
    <w:p w:rsidR="0078072B" w:rsidRPr="0037052F" w:rsidP="0078072B" w14:paraId="731B2CCD" w14:textId="77777777">
      <w:pPr>
        <w:pStyle w:val="Default"/>
        <w:spacing w:line="276" w:lineRule="auto"/>
        <w:rPr>
          <w:rFonts w:ascii="Arial" w:hAnsi="Arial" w:cs="Arial"/>
          <w:sz w:val="22"/>
          <w:szCs w:val="22"/>
        </w:rPr>
      </w:pPr>
    </w:p>
    <w:p w:rsidR="0078072B" w:rsidP="0078072B" w14:paraId="7492A53D" w14:textId="18E175E4">
      <w:pPr>
        <w:rPr>
          <w:rStyle w:val="eop"/>
          <w:rFonts w:eastAsiaTheme="majorEastAsia"/>
        </w:rPr>
      </w:pPr>
      <w:r w:rsidRPr="0037052F">
        <w:rPr>
          <w:rStyle w:val="normaltextrun"/>
          <w:rFonts w:eastAsiaTheme="majorEastAsia"/>
        </w:rPr>
        <w:t>In March 2022, the staff submitted SECY</w:t>
      </w:r>
      <w:r w:rsidRPr="0037052F">
        <w:rPr>
          <w:rStyle w:val="normaltextrun"/>
          <w:rFonts w:eastAsiaTheme="majorEastAsia"/>
        </w:rPr>
        <w:noBreakHyphen/>
        <w:t>22</w:t>
      </w:r>
      <w:r w:rsidRPr="0037052F">
        <w:rPr>
          <w:rStyle w:val="normaltextrun"/>
          <w:rFonts w:eastAsiaTheme="majorEastAsia"/>
        </w:rPr>
        <w:noBreakHyphen/>
        <w:t>0024, “Rulemaking Plan for Renewing Nuclear Power Plant Operating Licenses—Environmental Review (RIN 3150</w:t>
      </w:r>
      <w:r w:rsidRPr="0037052F">
        <w:rPr>
          <w:rStyle w:val="normaltextrun"/>
          <w:rFonts w:eastAsiaTheme="majorEastAsia"/>
        </w:rPr>
        <w:noBreakHyphen/>
        <w:t>AK32; NRC</w:t>
      </w:r>
      <w:r w:rsidRPr="0037052F">
        <w:rPr>
          <w:rStyle w:val="normaltextrun"/>
          <w:rFonts w:eastAsiaTheme="majorEastAsia"/>
        </w:rPr>
        <w:noBreakHyphen/>
        <w:t>2018</w:t>
      </w:r>
      <w:r w:rsidRPr="0037052F">
        <w:rPr>
          <w:rStyle w:val="normaltextrun"/>
          <w:rFonts w:eastAsiaTheme="majorEastAsia"/>
        </w:rPr>
        <w:noBreakHyphen/>
        <w:t xml:space="preserve">0296)” (NRC, 2022e), to request Commission approval to initiate a rulemaking that would align with </w:t>
      </w:r>
      <w:r>
        <w:rPr>
          <w:rStyle w:val="normaltextrun"/>
          <w:rFonts w:eastAsiaTheme="majorEastAsia"/>
        </w:rPr>
        <w:t xml:space="preserve">the </w:t>
      </w:r>
      <w:r w:rsidRPr="007010B1">
        <w:t xml:space="preserve">Commission </w:t>
      </w:r>
      <w:r w:rsidRPr="0037052F">
        <w:t>Order CLI</w:t>
      </w:r>
      <w:r w:rsidRPr="0037052F">
        <w:noBreakHyphen/>
        <w:t>22</w:t>
      </w:r>
      <w:r w:rsidRPr="0037052F">
        <w:noBreakHyphen/>
        <w:t>03</w:t>
      </w:r>
      <w:r>
        <w:t>,</w:t>
      </w:r>
      <w:r w:rsidRPr="0037052F">
        <w:t xml:space="preserve"> and </w:t>
      </w:r>
      <w:r w:rsidRPr="00986965">
        <w:t>recent decisions in CLI</w:t>
      </w:r>
      <w:r w:rsidRPr="00986965">
        <w:noBreakHyphen/>
        <w:t>22-02</w:t>
      </w:r>
      <w:r w:rsidRPr="0030544C">
        <w:rPr>
          <w:color w:val="auto"/>
        </w:rPr>
        <w:t xml:space="preserve">, </w:t>
      </w:r>
      <w:r w:rsidRPr="00986965">
        <w:t>and CLI-22-04</w:t>
      </w:r>
      <w:r>
        <w:rPr>
          <w:color w:val="auto"/>
        </w:rPr>
        <w:t>.</w:t>
      </w:r>
    </w:p>
    <w:p w:rsidR="0078072B" w:rsidRPr="00A25943" w:rsidP="0078072B" w14:paraId="38D9FD3C" w14:textId="77777777"/>
    <w:p w:rsidR="0078072B" w:rsidRPr="0037052F" w:rsidP="00E70A22" w14:paraId="1DD4CC2D" w14:textId="77777777">
      <w:pPr>
        <w:rPr>
          <w:rStyle w:val="normaltextrun"/>
          <w:rFonts w:eastAsiaTheme="majorEastAsia"/>
        </w:rPr>
      </w:pPr>
      <w:r w:rsidRPr="0037052F">
        <w:rPr>
          <w:rStyle w:val="normaltextrun"/>
          <w:rFonts w:eastAsiaTheme="majorEastAsia"/>
        </w:rPr>
        <w:t>In April 2022, the Commission issued SRM</w:t>
      </w:r>
      <w:r w:rsidRPr="0037052F">
        <w:rPr>
          <w:rStyle w:val="normaltextrun"/>
          <w:rFonts w:eastAsiaTheme="majorEastAsia"/>
        </w:rPr>
        <w:noBreakHyphen/>
        <w:t>SECY</w:t>
      </w:r>
      <w:r w:rsidRPr="0037052F">
        <w:rPr>
          <w:rStyle w:val="normaltextrun"/>
          <w:rFonts w:eastAsiaTheme="majorEastAsia"/>
        </w:rPr>
        <w:noBreakHyphen/>
        <w:t>22</w:t>
      </w:r>
      <w:r w:rsidRPr="0037052F">
        <w:rPr>
          <w:rStyle w:val="normaltextrun"/>
          <w:rFonts w:eastAsiaTheme="majorEastAsia"/>
        </w:rPr>
        <w:noBreakHyphen/>
        <w:t>0024</w:t>
      </w:r>
      <w:r>
        <w:rPr>
          <w:rStyle w:val="normaltextrun"/>
          <w:rFonts w:eastAsiaTheme="majorEastAsia"/>
        </w:rPr>
        <w:t>, “Rulemaking Plan for Renewing Nuclear Power Plant Operating Licenses</w:t>
      </w:r>
      <w:r w:rsidRPr="0037052F">
        <w:rPr>
          <w:rStyle w:val="normaltextrun"/>
          <w:rFonts w:eastAsiaTheme="majorEastAsia"/>
        </w:rPr>
        <w:t>—</w:t>
      </w:r>
      <w:r>
        <w:rPr>
          <w:rStyle w:val="normaltextrun"/>
          <w:rFonts w:eastAsiaTheme="majorEastAsia"/>
        </w:rPr>
        <w:t>Environmental Review (RIN 3150-AK32; NRC</w:t>
      </w:r>
      <w:r>
        <w:rPr>
          <w:rStyle w:val="normaltextrun"/>
          <w:rFonts w:eastAsiaTheme="majorEastAsia"/>
        </w:rPr>
        <w:noBreakHyphen/>
        <w:t>2018</w:t>
      </w:r>
      <w:r>
        <w:rPr>
          <w:rStyle w:val="normaltextrun"/>
          <w:rFonts w:eastAsiaTheme="majorEastAsia"/>
        </w:rPr>
        <w:noBreakHyphen/>
        <w:t>0296)”</w:t>
      </w:r>
      <w:r w:rsidRPr="0037052F">
        <w:rPr>
          <w:rStyle w:val="normaltextrun"/>
          <w:rFonts w:eastAsiaTheme="majorEastAsia"/>
        </w:rPr>
        <w:t xml:space="preserve"> (NRC, 2022f), approving the staff’s recommendation to proceed with the rulemaking.</w:t>
      </w:r>
    </w:p>
    <w:p w:rsidR="0078072B" w:rsidRPr="0037052F" w:rsidP="0078072B" w14:paraId="07A9AAF9" w14:textId="77777777">
      <w:pPr>
        <w:rPr>
          <w:rStyle w:val="normaltextrun"/>
          <w:rFonts w:eastAsiaTheme="majorEastAsia"/>
        </w:rPr>
      </w:pPr>
    </w:p>
    <w:p w:rsidR="0078072B" w:rsidRPr="001A39F1" w:rsidP="0078072B" w14:paraId="1310D705" w14:textId="46A1CE78">
      <w:pPr>
        <w:pStyle w:val="paragraph"/>
        <w:spacing w:before="0" w:beforeAutospacing="0" w:after="0" w:afterAutospacing="0" w:line="276" w:lineRule="auto"/>
        <w:textAlignment w:val="baseline"/>
        <w:rPr>
          <w:rFonts w:ascii="Arial" w:hAnsi="Arial" w:cs="Arial"/>
          <w:sz w:val="22"/>
          <w:szCs w:val="22"/>
        </w:rPr>
      </w:pPr>
      <w:r w:rsidRPr="0037052F">
        <w:rPr>
          <w:rStyle w:val="normaltextrun"/>
          <w:rFonts w:ascii="Arial" w:hAnsi="Arial" w:eastAsiaTheme="majorEastAsia" w:cs="Arial"/>
          <w:sz w:val="22"/>
          <w:szCs w:val="22"/>
        </w:rPr>
        <w:t>Revisions to the 2013 LR GEIS would consid</w:t>
      </w:r>
      <w:r>
        <w:rPr>
          <w:rStyle w:val="normaltextrun"/>
          <w:rFonts w:ascii="Arial" w:hAnsi="Arial" w:eastAsiaTheme="majorEastAsia" w:cs="Arial"/>
          <w:sz w:val="22"/>
          <w:szCs w:val="22"/>
        </w:rPr>
        <w:t xml:space="preserve">er (1) lessons learned </w:t>
      </w:r>
      <w:r>
        <w:rPr>
          <w:rStyle w:val="normaltextrun"/>
          <w:rFonts w:ascii="Arial" w:hAnsi="Arial" w:eastAsiaTheme="majorEastAsia" w:cs="Arial"/>
          <w:color w:val="000000"/>
          <w:sz w:val="22"/>
          <w:szCs w:val="22"/>
          <w:shd w:val="clear" w:color="auto" w:fill="FFFFFF"/>
        </w:rPr>
        <w:t xml:space="preserve">and experience gained during previous license renewal reviews conducted since </w:t>
      </w:r>
      <w:r w:rsidR="00F114AA">
        <w:rPr>
          <w:rStyle w:val="normaltextrun"/>
          <w:rFonts w:ascii="Arial" w:hAnsi="Arial" w:eastAsiaTheme="majorEastAsia" w:cs="Arial"/>
          <w:color w:val="000000"/>
          <w:sz w:val="22"/>
          <w:szCs w:val="22"/>
          <w:shd w:val="clear" w:color="auto" w:fill="FFFFFF"/>
        </w:rPr>
        <w:t xml:space="preserve">development of the </w:t>
      </w:r>
      <w:r>
        <w:rPr>
          <w:rStyle w:val="normaltextrun"/>
          <w:rFonts w:ascii="Arial" w:hAnsi="Arial" w:eastAsiaTheme="majorEastAsia" w:cs="Arial"/>
          <w:color w:val="000000"/>
          <w:sz w:val="22"/>
          <w:szCs w:val="22"/>
          <w:shd w:val="clear" w:color="auto" w:fill="FFFFFF"/>
        </w:rPr>
        <w:t>2013</w:t>
      </w:r>
      <w:r w:rsidR="00F114AA">
        <w:rPr>
          <w:rStyle w:val="normaltextrun"/>
          <w:rFonts w:ascii="Arial" w:hAnsi="Arial" w:eastAsiaTheme="majorEastAsia" w:cs="Arial"/>
          <w:color w:val="000000"/>
          <w:sz w:val="22"/>
          <w:szCs w:val="22"/>
          <w:shd w:val="clear" w:color="auto" w:fill="FFFFFF"/>
        </w:rPr>
        <w:t xml:space="preserve"> LR GEIS</w:t>
      </w:r>
      <w:r>
        <w:rPr>
          <w:rStyle w:val="normaltextrun"/>
          <w:rFonts w:ascii="Arial" w:hAnsi="Arial" w:eastAsiaTheme="majorEastAsia" w:cs="Arial"/>
          <w:color w:val="000000"/>
          <w:sz w:val="22"/>
          <w:szCs w:val="22"/>
          <w:shd w:val="clear" w:color="auto" w:fill="FFFFFF"/>
        </w:rPr>
        <w:t xml:space="preserve">, and (2) </w:t>
      </w:r>
      <w:r>
        <w:rPr>
          <w:rStyle w:val="normaltextrun"/>
          <w:rFonts w:ascii="Arial" w:hAnsi="Arial" w:eastAsiaTheme="majorEastAsia" w:cs="Arial"/>
          <w:color w:val="000000"/>
          <w:sz w:val="22"/>
          <w:szCs w:val="22"/>
          <w:bdr w:val="none" w:sz="0" w:space="0" w:color="auto" w:frame="1"/>
        </w:rPr>
        <w:t xml:space="preserve">new research, findings, and other information </w:t>
      </w:r>
      <w:r>
        <w:rPr>
          <w:rStyle w:val="normaltextrun"/>
          <w:rFonts w:ascii="Arial" w:hAnsi="Arial" w:eastAsiaTheme="majorEastAsia" w:cs="Arial"/>
          <w:color w:val="000000"/>
          <w:sz w:val="22"/>
          <w:szCs w:val="22"/>
          <w:shd w:val="clear" w:color="auto" w:fill="FFFFFF"/>
        </w:rPr>
        <w:t xml:space="preserve">when evaluating the significance of impacts associated with initial LR and </w:t>
      </w:r>
      <w:r w:rsidR="00E8793E">
        <w:rPr>
          <w:rStyle w:val="normaltextrun"/>
          <w:rFonts w:ascii="Arial" w:hAnsi="Arial" w:eastAsiaTheme="majorEastAsia" w:cs="Arial"/>
          <w:color w:val="000000"/>
          <w:sz w:val="22"/>
          <w:szCs w:val="22"/>
          <w:shd w:val="clear" w:color="auto" w:fill="FFFFFF"/>
        </w:rPr>
        <w:t>on</w:t>
      </w:r>
      <w:r w:rsidR="00CE166B">
        <w:rPr>
          <w:rStyle w:val="normaltextrun"/>
          <w:rFonts w:ascii="Arial" w:hAnsi="Arial" w:eastAsiaTheme="majorEastAsia" w:cs="Arial"/>
          <w:color w:val="000000"/>
          <w:sz w:val="22"/>
          <w:szCs w:val="22"/>
          <w:shd w:val="clear" w:color="auto" w:fill="FFFFFF"/>
        </w:rPr>
        <w:t>e</w:t>
      </w:r>
      <w:r w:rsidR="00E8793E">
        <w:rPr>
          <w:rStyle w:val="normaltextrun"/>
          <w:rFonts w:ascii="Arial" w:hAnsi="Arial" w:eastAsiaTheme="majorEastAsia" w:cs="Arial"/>
          <w:color w:val="000000"/>
          <w:sz w:val="22"/>
          <w:szCs w:val="22"/>
          <w:shd w:val="clear" w:color="auto" w:fill="FFFFFF"/>
        </w:rPr>
        <w:t xml:space="preserve"> term of </w:t>
      </w:r>
      <w:r>
        <w:rPr>
          <w:rStyle w:val="normaltextrun"/>
          <w:rFonts w:ascii="Arial" w:hAnsi="Arial" w:eastAsiaTheme="majorEastAsia" w:cs="Arial"/>
          <w:color w:val="000000"/>
          <w:sz w:val="22"/>
          <w:szCs w:val="22"/>
          <w:shd w:val="clear" w:color="auto" w:fill="FFFFFF"/>
        </w:rPr>
        <w:t xml:space="preserve">SLR. The purpose of this evaluation is to </w:t>
      </w:r>
      <w:r w:rsidR="009A5C0D">
        <w:rPr>
          <w:rStyle w:val="normaltextrun"/>
          <w:rFonts w:ascii="Arial" w:hAnsi="Arial" w:eastAsiaTheme="majorEastAsia" w:cs="Arial"/>
          <w:color w:val="000000"/>
          <w:sz w:val="22"/>
          <w:szCs w:val="22"/>
          <w:shd w:val="clear" w:color="auto" w:fill="FFFFFF"/>
        </w:rPr>
        <w:t>review</w:t>
      </w:r>
      <w:r>
        <w:rPr>
          <w:rStyle w:val="normaltextrun"/>
          <w:rFonts w:ascii="Arial" w:hAnsi="Arial" w:eastAsiaTheme="majorEastAsia" w:cs="Arial"/>
          <w:color w:val="000000"/>
          <w:sz w:val="22"/>
          <w:szCs w:val="22"/>
          <w:shd w:val="clear" w:color="auto" w:fill="FFFFFF"/>
        </w:rPr>
        <w:t xml:space="preserve"> the findings presented in the 2013 LR GEIS </w:t>
      </w:r>
      <w:r w:rsidR="008D074A">
        <w:rPr>
          <w:rStyle w:val="normaltextrun"/>
          <w:rFonts w:ascii="Arial" w:hAnsi="Arial" w:eastAsiaTheme="majorEastAsia" w:cs="Arial"/>
          <w:color w:val="000000"/>
          <w:sz w:val="22"/>
          <w:szCs w:val="22"/>
          <w:shd w:val="clear" w:color="auto" w:fill="FFFFFF"/>
        </w:rPr>
        <w:t xml:space="preserve">and </w:t>
      </w:r>
      <w:r w:rsidRPr="004C36E8" w:rsidR="004C36E8">
        <w:rPr>
          <w:rStyle w:val="normaltextrun"/>
          <w:rFonts w:ascii="Arial" w:hAnsi="Arial" w:eastAsiaTheme="majorEastAsia" w:cs="Arial"/>
          <w:color w:val="000000"/>
          <w:sz w:val="22"/>
          <w:szCs w:val="22"/>
          <w:shd w:val="clear" w:color="auto" w:fill="FFFFFF"/>
        </w:rPr>
        <w:t xml:space="preserve">to ensure that the analysis and assumptions </w:t>
      </w:r>
      <w:r w:rsidR="008D074A">
        <w:rPr>
          <w:rStyle w:val="normaltextrun"/>
          <w:rFonts w:ascii="Arial" w:hAnsi="Arial" w:eastAsiaTheme="majorEastAsia" w:cs="Arial"/>
          <w:color w:val="000000"/>
          <w:sz w:val="22"/>
          <w:szCs w:val="22"/>
          <w:shd w:val="clear" w:color="auto" w:fill="FFFFFF"/>
        </w:rPr>
        <w:t>apply to SLR</w:t>
      </w:r>
      <w:r>
        <w:rPr>
          <w:rStyle w:val="normaltextrun"/>
          <w:rFonts w:ascii="Arial" w:hAnsi="Arial" w:eastAsiaTheme="majorEastAsia" w:cs="Arial"/>
          <w:color w:val="000000"/>
          <w:sz w:val="22"/>
          <w:szCs w:val="22"/>
          <w:shd w:val="clear" w:color="auto" w:fill="FFFFFF"/>
        </w:rPr>
        <w:t>. In doing so, the NRC considered the need to modify, add, or delete any of the environmental issues in the 2013 LR GEIS</w:t>
      </w:r>
      <w:r w:rsidR="00BE0182">
        <w:rPr>
          <w:rStyle w:val="normaltextrun"/>
          <w:rFonts w:ascii="Arial" w:hAnsi="Arial" w:eastAsiaTheme="majorEastAsia" w:cs="Arial"/>
          <w:color w:val="000000"/>
          <w:sz w:val="22"/>
          <w:szCs w:val="22"/>
          <w:shd w:val="clear" w:color="auto" w:fill="FFFFFF"/>
        </w:rPr>
        <w:t xml:space="preserve"> and codified in Table B-1</w:t>
      </w:r>
      <w:r>
        <w:rPr>
          <w:rStyle w:val="normaltextrun"/>
          <w:rFonts w:ascii="Arial" w:hAnsi="Arial" w:eastAsiaTheme="majorEastAsia" w:cs="Arial"/>
          <w:color w:val="000000"/>
          <w:sz w:val="22"/>
          <w:szCs w:val="22"/>
          <w:shd w:val="clear" w:color="auto" w:fill="FFFFFF"/>
        </w:rPr>
        <w:t>.</w:t>
      </w:r>
    </w:p>
    <w:p w:rsidR="0078072B" w:rsidRPr="00320266" w:rsidP="0078072B" w14:paraId="08159603" w14:textId="77777777"/>
    <w:p w:rsidR="0078072B" w:rsidRPr="003F240A" w:rsidP="0078072B" w14:paraId="3F28B799" w14:textId="77777777">
      <w:pPr>
        <w:pStyle w:val="Heading2"/>
        <w:rPr>
          <w:sz w:val="24"/>
          <w:szCs w:val="24"/>
        </w:rPr>
      </w:pPr>
      <w:bookmarkStart w:id="12" w:name="_Toc147922965"/>
      <w:r w:rsidRPr="003F240A">
        <w:rPr>
          <w:sz w:val="24"/>
          <w:szCs w:val="24"/>
        </w:rPr>
        <w:t>1.3</w:t>
      </w:r>
      <w:r w:rsidRPr="003F240A">
        <w:rPr>
          <w:sz w:val="24"/>
          <w:szCs w:val="24"/>
        </w:rPr>
        <w:tab/>
      </w:r>
      <w:r w:rsidRPr="003F240A">
        <w:rPr>
          <w:sz w:val="24"/>
          <w:szCs w:val="24"/>
          <w:u w:val="single"/>
        </w:rPr>
        <w:t>Existing Regulatory Framework</w:t>
      </w:r>
      <w:bookmarkEnd w:id="12"/>
    </w:p>
    <w:p w:rsidR="0078072B" w:rsidP="0078072B" w14:paraId="18183F80" w14:textId="2C5FB5E1">
      <w:pPr>
        <w:pStyle w:val="BodyText"/>
        <w:spacing w:before="240"/>
      </w:pPr>
      <w:r>
        <w:t>As mandated by the Atomic Energy Act of 1954, as amended (AEA), the NRC is responsible for protecting public health and safety in the civilian use of nuclear power. The AEA allows the NRC to issue licenses for commercial nuclear power reactors to operate for up to 40 years. The NRC</w:t>
      </w:r>
      <w:r w:rsidR="00943DC7">
        <w:t>’s</w:t>
      </w:r>
      <w:r>
        <w:t xml:space="preserve"> regulations allow for the renewal of these licenses, with the renewal term including the number of years remaining on the operating license currently in effect plus an additional 20 years. The approval or disapproval of the license renewal application is based on an NRC determination as to whether the nuclear facility can continue to operate safely during the </w:t>
      </w:r>
      <w:r w:rsidR="008A6ACE">
        <w:t>20</w:t>
      </w:r>
      <w:r w:rsidR="008A6ACE">
        <w:noBreakHyphen/>
        <w:t>year</w:t>
      </w:r>
      <w:r>
        <w:t xml:space="preserve"> period of extended operation and whether the adverse environmental impacts of license renewal are so great that preserving the option of license renewal for energy planning decision</w:t>
      </w:r>
      <w:r w:rsidR="00D02E21">
        <w:noBreakHyphen/>
      </w:r>
      <w:r>
        <w:t>makers would be unreasonable. The term of any renewed license may not exceed 40 years. No specific limitations exist in the AEA or in the NRC’s regulations on the number of times a power reactor operating license may be renewed.</w:t>
      </w:r>
    </w:p>
    <w:p w:rsidR="0078072B" w:rsidP="0078072B" w14:paraId="7548DFF2" w14:textId="7A692177">
      <w:pPr>
        <w:pStyle w:val="BodyText"/>
        <w:spacing w:before="240"/>
      </w:pPr>
      <w:r>
        <w:t xml:space="preserve">Under the NRC’s </w:t>
      </w:r>
      <w:r w:rsidR="00DE75C4">
        <w:t>NEPA implementing</w:t>
      </w:r>
      <w:r>
        <w:t xml:space="preserve"> regulations in 10 CFR Part 51, renewal of a nuclear power plant operating license requires the preparation of an EIS. In this regard, the NRC prepares a supplemental EIS (SEIS) to the LR GEIS</w:t>
      </w:r>
      <w:r w:rsidR="00D25DCB">
        <w:t xml:space="preserve"> for each license renewal application</w:t>
      </w:r>
      <w:r>
        <w:t xml:space="preserve">. The primary purpose </w:t>
      </w:r>
      <w:r w:rsidR="00D02E21">
        <w:t>of</w:t>
      </w:r>
      <w:r>
        <w:t xml:space="preserve"> the LR GEIS is to identify all environmental issues for license renewal and evaluate those environmental impacts considered to be generic to all nuclear power plants, or a subset of plants. The LR GEIS also identifies issues that need to be addressed in </w:t>
      </w:r>
      <w:r w:rsidR="00D02E21">
        <w:t>plant</w:t>
      </w:r>
      <w:r w:rsidR="0009243D">
        <w:noBreakHyphen/>
        <w:t>specific</w:t>
      </w:r>
      <w:r>
        <w:t xml:space="preserve"> environmental reviews for nuclear power plant license renewals, as documented in </w:t>
      </w:r>
      <w:r w:rsidR="0009243D">
        <w:t>plant</w:t>
      </w:r>
      <w:r w:rsidR="0009243D">
        <w:noBreakHyphen/>
        <w:t>specific</w:t>
      </w:r>
      <w:r>
        <w:t xml:space="preserve"> SEISs.</w:t>
      </w:r>
    </w:p>
    <w:p w:rsidR="0078072B" w:rsidP="0078072B" w14:paraId="07C44DF0" w14:textId="3A313212">
      <w:pPr>
        <w:pStyle w:val="BodyText"/>
        <w:spacing w:before="240"/>
      </w:pPr>
      <w:r>
        <w:t>The environmental issues evaluated in the LR GEIS and listed in Table B</w:t>
      </w:r>
      <w:r w:rsidR="0009243D">
        <w:noBreakHyphen/>
      </w:r>
      <w:r>
        <w:t xml:space="preserve">1 are characterized as either Category 1, </w:t>
      </w:r>
      <w:r w:rsidRPr="00261D12">
        <w:t xml:space="preserve">Category 2, or uncategorized. Category 1 issues are considered generic, as the impacts have been found to be essentially the same or similar at all, or a subset of, nuclear plants. Category 1 issues are not reevaluated in nuclear power </w:t>
      </w:r>
      <w:r w:rsidR="000E7E00">
        <w:t>plant</w:t>
      </w:r>
      <w:r w:rsidR="000E7E00">
        <w:noBreakHyphen/>
        <w:t>specific</w:t>
      </w:r>
      <w:r w:rsidRPr="00261D12">
        <w:t xml:space="preserve"> environmental reviews absent new and significant information. C</w:t>
      </w:r>
      <w:r>
        <w:t xml:space="preserve">ategory 2 issues are required to be addressed in each nuclear power </w:t>
      </w:r>
      <w:r w:rsidR="000E7E00">
        <w:t>plant</w:t>
      </w:r>
      <w:r w:rsidR="000E7E00">
        <w:noBreakHyphen/>
        <w:t>specific</w:t>
      </w:r>
      <w:r>
        <w:t xml:space="preserve"> environmental review. Table B-1 summarizes the findings in the LR GEIS on environmental issues for license renewal of nuclear power plants.</w:t>
      </w:r>
    </w:p>
    <w:p w:rsidR="0078072B" w:rsidP="0078072B" w14:paraId="10EEAFF4" w14:textId="0FA76C71">
      <w:pPr>
        <w:pStyle w:val="BodyText"/>
        <w:spacing w:before="240"/>
      </w:pPr>
      <w:r>
        <w:t>Additionally, to support the staff’s environmental review, license renewal applicants must prepare an environmental report under 10 CFR 51.53(c). That section directs applicants for initial LR to analyze Category 2 issues and rely on Table B</w:t>
      </w:r>
      <w:r w:rsidR="000E7E00">
        <w:noBreakHyphen/>
      </w:r>
      <w:r>
        <w:t xml:space="preserve">1 and the LR GEIS for Category 1 issues. The staff uses the information in that environmental report to analyze Category 2 issues in a </w:t>
      </w:r>
      <w:r w:rsidR="000E7E00">
        <w:t>plant</w:t>
      </w:r>
      <w:r w:rsidR="000E7E00">
        <w:noBreakHyphen/>
        <w:t>specific</w:t>
      </w:r>
      <w:r>
        <w:t xml:space="preserve"> SEIS to the LR GEIS.</w:t>
      </w:r>
    </w:p>
    <w:p w:rsidR="0078072B" w:rsidP="0078072B" w14:paraId="2FE0ED39" w14:textId="77777777">
      <w:pPr>
        <w:rPr>
          <w:rFonts w:ascii="ArialMT" w:hAnsi="ArialMT" w:cs="ArialMT"/>
          <w:color w:val="000000"/>
        </w:rPr>
        <w:sectPr w:rsidSect="00AA7975">
          <w:pgSz w:w="12240" w:h="15840"/>
          <w:pgMar w:top="1440" w:right="1440" w:bottom="1440" w:left="1440" w:header="720" w:footer="720" w:gutter="0"/>
          <w:pgNumType w:start="1"/>
          <w:cols w:space="720"/>
          <w:docGrid w:linePitch="360"/>
        </w:sectPr>
      </w:pPr>
    </w:p>
    <w:p w:rsidR="0078072B" w:rsidRPr="002306D6" w:rsidP="0078072B" w14:paraId="62F9656B" w14:textId="77777777">
      <w:pPr>
        <w:pStyle w:val="Heading1"/>
        <w:jc w:val="center"/>
        <w:rPr>
          <w:sz w:val="28"/>
        </w:rPr>
      </w:pPr>
      <w:bookmarkStart w:id="13" w:name="_Toc147922966"/>
      <w:r w:rsidRPr="002306D6">
        <w:rPr>
          <w:sz w:val="28"/>
        </w:rPr>
        <w:t>2</w:t>
      </w:r>
      <w:r w:rsidRPr="002306D6">
        <w:rPr>
          <w:sz w:val="28"/>
        </w:rPr>
        <w:tab/>
      </w:r>
      <w:r w:rsidRPr="00237D27">
        <w:rPr>
          <w:rFonts w:ascii="Arial Bold" w:hAnsi="Arial Bold"/>
          <w:caps/>
          <w:sz w:val="28"/>
        </w:rPr>
        <w:t>Identification and Preliminary Analysis of Alternative Approaches</w:t>
      </w:r>
      <w:bookmarkEnd w:id="13"/>
    </w:p>
    <w:p w:rsidR="0078072B" w:rsidRPr="00E10389" w:rsidP="0078072B" w14:paraId="14B49F2D" w14:textId="77777777">
      <w:pPr>
        <w:rPr>
          <w:highlight w:val="yellow"/>
        </w:rPr>
      </w:pPr>
    </w:p>
    <w:p w:rsidR="0078072B" w:rsidRPr="00A42DB9" w:rsidP="0078072B" w14:paraId="704B4B00" w14:textId="77777777">
      <w:r w:rsidRPr="00A42DB9">
        <w:t xml:space="preserve">The NRC analyzed </w:t>
      </w:r>
      <w:r>
        <w:t>one</w:t>
      </w:r>
      <w:r w:rsidRPr="00320266">
        <w:t xml:space="preserve"> alternative to the rule</w:t>
      </w:r>
      <w:r>
        <w:t>,</w:t>
      </w:r>
      <w:r w:rsidRPr="00320266">
        <w:t xml:space="preserve"> as described in this section.</w:t>
      </w:r>
    </w:p>
    <w:p w:rsidR="0078072B" w:rsidRPr="00830907" w:rsidP="0078072B" w14:paraId="13892E0C" w14:textId="77777777">
      <w:pPr>
        <w:rPr>
          <w:sz w:val="24"/>
          <w:szCs w:val="24"/>
          <w:highlight w:val="yellow"/>
        </w:rPr>
      </w:pPr>
    </w:p>
    <w:p w:rsidR="0078072B" w:rsidRPr="00830907" w:rsidP="0078072B" w14:paraId="10B83D55" w14:textId="77777777">
      <w:pPr>
        <w:pStyle w:val="Heading2"/>
        <w:rPr>
          <w:sz w:val="24"/>
          <w:szCs w:val="24"/>
          <w:u w:val="single"/>
        </w:rPr>
      </w:pPr>
      <w:bookmarkStart w:id="14" w:name="_Toc147922967"/>
      <w:r w:rsidRPr="00830907">
        <w:rPr>
          <w:sz w:val="24"/>
          <w:szCs w:val="24"/>
        </w:rPr>
        <w:t>2.1</w:t>
      </w:r>
      <w:r w:rsidRPr="00830907">
        <w:rPr>
          <w:sz w:val="24"/>
          <w:szCs w:val="24"/>
        </w:rPr>
        <w:tab/>
      </w:r>
      <w:r w:rsidRPr="00830907">
        <w:rPr>
          <w:sz w:val="24"/>
          <w:szCs w:val="24"/>
          <w:u w:val="single"/>
        </w:rPr>
        <w:t>Alternative 1: No Action Alternative</w:t>
      </w:r>
      <w:bookmarkEnd w:id="14"/>
    </w:p>
    <w:p w:rsidR="0078072B" w:rsidRPr="006E69EB" w:rsidP="0078072B" w14:paraId="0715977C" w14:textId="77777777"/>
    <w:p w:rsidR="0078072B" w:rsidP="0078072B" w14:paraId="62612CF6" w14:textId="77777777">
      <w:pPr>
        <w:pStyle w:val="text"/>
        <w:spacing w:line="276" w:lineRule="auto"/>
      </w:pPr>
      <w:r w:rsidRPr="00320266">
        <w:t>The no action alternative maintain</w:t>
      </w:r>
      <w:r>
        <w:t>s</w:t>
      </w:r>
      <w:r w:rsidRPr="00320266">
        <w:t xml:space="preserve"> the status quo.</w:t>
      </w:r>
      <w:r>
        <w:t xml:space="preserve"> Under the no action alternative, the </w:t>
      </w:r>
      <w:r w:rsidRPr="008F18A6">
        <w:t xml:space="preserve">NRC would not </w:t>
      </w:r>
      <w:r>
        <w:t xml:space="preserve">amend certain provisions of </w:t>
      </w:r>
      <w:r w:rsidRPr="004207A9">
        <w:t>10 CFR Part 51</w:t>
      </w:r>
      <w:r>
        <w:t xml:space="preserve"> relating to the renewal of nuclear power plant licenses, including </w:t>
      </w:r>
      <w:r w:rsidRPr="008F18A6">
        <w:t>Table B</w:t>
      </w:r>
      <w:r>
        <w:noBreakHyphen/>
      </w:r>
      <w:r w:rsidRPr="008F18A6">
        <w:t>1.</w:t>
      </w:r>
      <w:r>
        <w:t xml:space="preserve"> </w:t>
      </w:r>
      <w:r w:rsidRPr="00B43B23">
        <w:t>This alternative serves as the baseline for this analysis.</w:t>
      </w:r>
    </w:p>
    <w:p w:rsidR="0078072B" w:rsidP="0078072B" w14:paraId="4506CD0E" w14:textId="77777777">
      <w:pPr>
        <w:pStyle w:val="text"/>
        <w:spacing w:after="0" w:line="276" w:lineRule="auto"/>
        <w:rPr>
          <w:i/>
          <w:iCs/>
        </w:rPr>
      </w:pPr>
      <w:r w:rsidRPr="008A57C4">
        <w:rPr>
          <w:i/>
          <w:iCs/>
        </w:rPr>
        <w:t>Initial L</w:t>
      </w:r>
      <w:r>
        <w:rPr>
          <w:i/>
          <w:iCs/>
        </w:rPr>
        <w:t>R</w:t>
      </w:r>
    </w:p>
    <w:p w:rsidR="0078072B" w:rsidRPr="008A57C4" w:rsidP="0078072B" w14:paraId="30F57D4F" w14:textId="77777777">
      <w:pPr>
        <w:pStyle w:val="text"/>
        <w:spacing w:after="0" w:line="276" w:lineRule="auto"/>
        <w:rPr>
          <w:i/>
          <w:iCs/>
        </w:rPr>
      </w:pPr>
    </w:p>
    <w:p w:rsidR="0078072B" w:rsidP="0078072B" w14:paraId="54D516C4" w14:textId="56AF6EF5">
      <w:pPr>
        <w:pStyle w:val="text"/>
        <w:spacing w:after="0" w:line="276" w:lineRule="auto"/>
      </w:pPr>
      <w:r>
        <w:t>Under Alternative 1, the NRC would continue to rely upon the findings set forth in the current Table B</w:t>
      </w:r>
      <w:r>
        <w:noBreakHyphen/>
        <w:t xml:space="preserve">1 when determining the scope and magnitude of environmental impacts </w:t>
      </w:r>
      <w:r w:rsidRPr="00B43B23">
        <w:t xml:space="preserve">of an initial operating license renewal for a nuclear power plant. Licensees seeking an initial operating license renewal would continue to comply with the existing provisions of </w:t>
      </w:r>
      <w:r w:rsidRPr="004207A9">
        <w:t>10 CFR Part 51</w:t>
      </w:r>
      <w:r w:rsidRPr="00B43B23">
        <w:t xml:space="preserve">. </w:t>
      </w:r>
      <w:r>
        <w:t>T</w:t>
      </w:r>
      <w:r w:rsidRPr="00B43B23">
        <w:t>his alternative</w:t>
      </w:r>
      <w:r>
        <w:t xml:space="preserve"> </w:t>
      </w:r>
      <w:r w:rsidRPr="00B43B23">
        <w:t xml:space="preserve">would result in no new direct costs to the NRC or </w:t>
      </w:r>
      <w:r>
        <w:t>licensees seeking an initial LR</w:t>
      </w:r>
      <w:r w:rsidRPr="00B43B23">
        <w:t>.</w:t>
      </w:r>
    </w:p>
    <w:p w:rsidR="0078072B" w:rsidP="0078072B" w14:paraId="0DD73998" w14:textId="77777777">
      <w:pPr>
        <w:pStyle w:val="text"/>
        <w:spacing w:after="0" w:line="276" w:lineRule="auto"/>
      </w:pPr>
    </w:p>
    <w:p w:rsidR="0078072B" w:rsidP="0078072B" w14:paraId="14C92E46" w14:textId="77777777">
      <w:pPr>
        <w:pStyle w:val="text"/>
        <w:spacing w:after="0" w:line="276" w:lineRule="auto"/>
        <w:rPr>
          <w:i/>
          <w:iCs/>
        </w:rPr>
      </w:pPr>
      <w:r>
        <w:rPr>
          <w:i/>
          <w:iCs/>
        </w:rPr>
        <w:t>Future SLR</w:t>
      </w:r>
      <w:r>
        <w:rPr>
          <w:rStyle w:val="FootnoteReference"/>
          <w:i/>
          <w:iCs/>
          <w:vertAlign w:val="superscript"/>
        </w:rPr>
        <w:footnoteReference w:id="5"/>
      </w:r>
    </w:p>
    <w:p w:rsidR="0078072B" w:rsidRPr="00F9189E" w:rsidP="0078072B" w14:paraId="0500F3CC" w14:textId="77777777">
      <w:pPr>
        <w:pStyle w:val="text"/>
        <w:spacing w:after="0" w:line="276" w:lineRule="auto"/>
        <w:rPr>
          <w:i/>
          <w:iCs/>
        </w:rPr>
      </w:pPr>
    </w:p>
    <w:p w:rsidR="0078072B" w:rsidRPr="004F2FB6" w:rsidP="0078072B" w14:paraId="10958DB6" w14:textId="3988EBD9">
      <w:pPr>
        <w:pStyle w:val="text"/>
        <w:spacing w:line="276" w:lineRule="auto"/>
      </w:pPr>
      <w:r>
        <w:t>In accordance with</w:t>
      </w:r>
      <w:r w:rsidRPr="00B43B23">
        <w:t xml:space="preserve"> </w:t>
      </w:r>
      <w:r w:rsidR="00C866DA">
        <w:t>t</w:t>
      </w:r>
      <w:r w:rsidR="0082154D">
        <w:t xml:space="preserve">he Commission </w:t>
      </w:r>
      <w:r w:rsidRPr="004F2FB6">
        <w:t>Order CLI</w:t>
      </w:r>
      <w:r>
        <w:noBreakHyphen/>
      </w:r>
      <w:r w:rsidRPr="004F2FB6">
        <w:t>22</w:t>
      </w:r>
      <w:r>
        <w:noBreakHyphen/>
      </w:r>
      <w:r w:rsidRPr="004F2FB6">
        <w:t xml:space="preserve">03, </w:t>
      </w:r>
      <w:r>
        <w:t xml:space="preserve">Alternative 1 </w:t>
      </w:r>
      <w:r w:rsidRPr="00B43B23">
        <w:t xml:space="preserve">would not address the environmental impacts of renewing the operating license of a nuclear power plant for </w:t>
      </w:r>
      <w:r>
        <w:t>SLR</w:t>
      </w:r>
      <w:r w:rsidRPr="00B43B23">
        <w:t xml:space="preserve">. </w:t>
      </w:r>
      <w:r>
        <w:t>T</w:t>
      </w:r>
      <w:r w:rsidRPr="00B43B23">
        <w:t>his alternative</w:t>
      </w:r>
      <w:r>
        <w:t xml:space="preserve"> </w:t>
      </w:r>
      <w:r w:rsidRPr="00B43B23">
        <w:t>would</w:t>
      </w:r>
      <w:r>
        <w:t xml:space="preserve"> </w:t>
      </w:r>
      <w:r w:rsidRPr="00B43B23">
        <w:t xml:space="preserve">result in additional costs </w:t>
      </w:r>
      <w:r>
        <w:t xml:space="preserve">to the NRC and licensees </w:t>
      </w:r>
      <w:r w:rsidRPr="00B43B23">
        <w:t xml:space="preserve">seeking a </w:t>
      </w:r>
      <w:r>
        <w:t>future SLR for</w:t>
      </w:r>
      <w:r w:rsidRPr="00B43B23">
        <w:t xml:space="preserve"> evaluating all environmental impacts as </w:t>
      </w:r>
      <w:r w:rsidR="007D4418">
        <w:t>plant-specific</w:t>
      </w:r>
      <w:r w:rsidRPr="00B43B23">
        <w:t xml:space="preserve"> issues</w:t>
      </w:r>
      <w:r w:rsidRPr="004F2FB6">
        <w:t>.</w:t>
      </w:r>
    </w:p>
    <w:p w:rsidR="0078072B" w:rsidRPr="005958E2" w:rsidP="0078072B" w14:paraId="546A4639" w14:textId="0E30CC6A">
      <w:pPr>
        <w:pStyle w:val="text"/>
        <w:spacing w:line="276" w:lineRule="auto"/>
        <w:rPr>
          <w:i/>
          <w:iCs/>
        </w:rPr>
      </w:pPr>
      <w:r w:rsidRPr="005958E2">
        <w:rPr>
          <w:i/>
          <w:iCs/>
        </w:rPr>
        <w:t>Near-</w:t>
      </w:r>
      <w:r>
        <w:rPr>
          <w:i/>
          <w:iCs/>
        </w:rPr>
        <w:t>T</w:t>
      </w:r>
      <w:r w:rsidRPr="005958E2">
        <w:rPr>
          <w:i/>
          <w:iCs/>
        </w:rPr>
        <w:t>erm</w:t>
      </w:r>
      <w:r>
        <w:rPr>
          <w:rStyle w:val="FootnoteReference"/>
          <w:i/>
          <w:iCs/>
          <w:vertAlign w:val="superscript"/>
        </w:rPr>
        <w:footnoteReference w:id="6"/>
      </w:r>
      <w:r w:rsidR="00134320">
        <w:rPr>
          <w:i/>
          <w:iCs/>
        </w:rPr>
        <w:t xml:space="preserve"> and</w:t>
      </w:r>
      <w:r w:rsidRPr="005958E2">
        <w:rPr>
          <w:i/>
          <w:iCs/>
        </w:rPr>
        <w:t xml:space="preserve"> </w:t>
      </w:r>
      <w:r w:rsidRPr="005958E2">
        <w:rPr>
          <w:i/>
          <w:iCs/>
        </w:rPr>
        <w:t>Submitted</w:t>
      </w:r>
      <w:r w:rsidR="00134320">
        <w:rPr>
          <w:i/>
          <w:iCs/>
        </w:rPr>
        <w:t xml:space="preserve"> Applications</w:t>
      </w:r>
      <w:r w:rsidRPr="005958E2">
        <w:rPr>
          <w:i/>
          <w:iCs/>
        </w:rPr>
        <w:t xml:space="preserve">, </w:t>
      </w:r>
      <w:r>
        <w:rPr>
          <w:i/>
          <w:iCs/>
        </w:rPr>
        <w:t>and</w:t>
      </w:r>
      <w:r w:rsidRPr="005958E2">
        <w:rPr>
          <w:i/>
          <w:iCs/>
        </w:rPr>
        <w:t xml:space="preserve"> </w:t>
      </w:r>
      <w:r w:rsidR="00134320">
        <w:rPr>
          <w:i/>
          <w:iCs/>
        </w:rPr>
        <w:t>Issued</w:t>
      </w:r>
      <w:r>
        <w:rPr>
          <w:rStyle w:val="FootnoteReference"/>
          <w:i/>
          <w:iCs/>
          <w:szCs w:val="22"/>
          <w:vertAlign w:val="superscript"/>
        </w:rPr>
        <w:footnoteReference w:id="7"/>
      </w:r>
      <w:r w:rsidRPr="005958E2">
        <w:rPr>
          <w:i/>
          <w:iCs/>
        </w:rPr>
        <w:t xml:space="preserve"> Subsequent</w:t>
      </w:r>
      <w:r>
        <w:rPr>
          <w:i/>
          <w:iCs/>
        </w:rPr>
        <w:t>ly</w:t>
      </w:r>
      <w:r w:rsidRPr="005958E2">
        <w:rPr>
          <w:i/>
          <w:iCs/>
        </w:rPr>
        <w:t xml:space="preserve"> </w:t>
      </w:r>
      <w:r>
        <w:rPr>
          <w:i/>
          <w:iCs/>
        </w:rPr>
        <w:t xml:space="preserve">Renewed </w:t>
      </w:r>
      <w:r w:rsidRPr="005958E2">
        <w:rPr>
          <w:i/>
          <w:iCs/>
        </w:rPr>
        <w:t>License</w:t>
      </w:r>
      <w:r>
        <w:rPr>
          <w:i/>
          <w:iCs/>
        </w:rPr>
        <w:t>s</w:t>
      </w:r>
    </w:p>
    <w:p w:rsidR="0078072B" w:rsidRPr="00B43B23" w:rsidP="0078072B" w14:paraId="0C14E103" w14:textId="77A6211C">
      <w:pPr>
        <w:pStyle w:val="text"/>
        <w:spacing w:line="276" w:lineRule="auto"/>
      </w:pPr>
      <w:r>
        <w:t>In accordance with</w:t>
      </w:r>
      <w:r w:rsidR="0082154D">
        <w:t xml:space="preserve"> the Commission </w:t>
      </w:r>
      <w:r w:rsidRPr="00B43B23">
        <w:t xml:space="preserve">Orders </w:t>
      </w:r>
      <w:r w:rsidRPr="004F2FB6">
        <w:t>CLI</w:t>
      </w:r>
      <w:r w:rsidRPr="004F2FB6">
        <w:noBreakHyphen/>
        <w:t>22</w:t>
      </w:r>
      <w:r>
        <w:noBreakHyphen/>
      </w:r>
      <w:r w:rsidRPr="004F2FB6">
        <w:t>02 and CLI</w:t>
      </w:r>
      <w:r>
        <w:noBreakHyphen/>
      </w:r>
      <w:r w:rsidRPr="004F2FB6">
        <w:t>22</w:t>
      </w:r>
      <w:r>
        <w:noBreakHyphen/>
      </w:r>
      <w:r w:rsidRPr="004F2FB6">
        <w:t xml:space="preserve">04, for licensees seeking a </w:t>
      </w:r>
      <w:r w:rsidR="007D4418">
        <w:t>near-term</w:t>
      </w:r>
      <w:r w:rsidRPr="004F2FB6">
        <w:t xml:space="preserve"> SLR or licensees </w:t>
      </w:r>
      <w:r>
        <w:t>that</w:t>
      </w:r>
      <w:r w:rsidRPr="004F2FB6">
        <w:t xml:space="preserve"> have </w:t>
      </w:r>
      <w:r w:rsidRPr="004F2FB6">
        <w:t>submitted</w:t>
      </w:r>
      <w:r w:rsidR="0053255A">
        <w:t xml:space="preserve"> an application</w:t>
      </w:r>
      <w:r w:rsidR="0053255A">
        <w:t xml:space="preserve"> for</w:t>
      </w:r>
      <w:r w:rsidR="002B39CF">
        <w:t xml:space="preserve"> an SLR</w:t>
      </w:r>
      <w:r w:rsidRPr="004F2FB6">
        <w:t xml:space="preserve"> or received a</w:t>
      </w:r>
      <w:r>
        <w:t>n SLR</w:t>
      </w:r>
      <w:r w:rsidRPr="004F2FB6">
        <w:t xml:space="preserve">, </w:t>
      </w:r>
      <w:r>
        <w:t>A</w:t>
      </w:r>
      <w:r w:rsidRPr="004F2FB6">
        <w:t xml:space="preserve">lternative </w:t>
      </w:r>
      <w:r>
        <w:t xml:space="preserve">1 </w:t>
      </w:r>
      <w:r w:rsidRPr="004F2FB6">
        <w:t xml:space="preserve">would require the evaluation of all environmental issues as </w:t>
      </w:r>
      <w:r w:rsidR="000A7471">
        <w:t>plant-</w:t>
      </w:r>
      <w:r w:rsidRPr="004F2FB6" w:rsidR="000A7471">
        <w:t>specific</w:t>
      </w:r>
      <w:r w:rsidRPr="004F2FB6">
        <w:t xml:space="preserve">. </w:t>
      </w:r>
      <w:r>
        <w:t xml:space="preserve">This alternative </w:t>
      </w:r>
      <w:r w:rsidRPr="004F2FB6">
        <w:t>would result in additional costs to the NRC and licensees.</w:t>
      </w:r>
    </w:p>
    <w:p w:rsidR="0078072B" w:rsidRPr="00830907" w:rsidP="0078072B" w14:paraId="1808DD93" w14:textId="77777777">
      <w:pPr>
        <w:pStyle w:val="Heading2"/>
        <w:keepLines w:val="0"/>
        <w:ind w:left="720" w:hanging="720"/>
      </w:pPr>
      <w:bookmarkStart w:id="15" w:name="_Toc147922968"/>
      <w:r w:rsidRPr="00200526">
        <w:rPr>
          <w:sz w:val="24"/>
          <w:szCs w:val="24"/>
        </w:rPr>
        <w:t>2.2</w:t>
      </w:r>
      <w:r w:rsidRPr="00200526">
        <w:rPr>
          <w:sz w:val="24"/>
          <w:szCs w:val="24"/>
        </w:rPr>
        <w:tab/>
      </w:r>
      <w:r w:rsidRPr="00200526">
        <w:rPr>
          <w:sz w:val="24"/>
          <w:szCs w:val="24"/>
          <w:u w:val="single"/>
        </w:rPr>
        <w:t>Alternative 2</w:t>
      </w:r>
      <w:r>
        <w:rPr>
          <w:sz w:val="24"/>
          <w:szCs w:val="24"/>
          <w:u w:val="single"/>
        </w:rPr>
        <w:t xml:space="preserve">: </w:t>
      </w:r>
      <w:r w:rsidRPr="00200526">
        <w:rPr>
          <w:sz w:val="24"/>
          <w:szCs w:val="24"/>
          <w:u w:val="single"/>
        </w:rPr>
        <w:t xml:space="preserve">Rulemaking to Amend </w:t>
      </w:r>
      <w:r w:rsidRPr="004207A9">
        <w:rPr>
          <w:sz w:val="24"/>
          <w:szCs w:val="24"/>
          <w:u w:val="single"/>
        </w:rPr>
        <w:t>10 CFR Part 51</w:t>
      </w:r>
      <w:bookmarkEnd w:id="15"/>
    </w:p>
    <w:p w:rsidR="0078072B" w:rsidP="0078072B" w14:paraId="27290DB2" w14:textId="77777777">
      <w:pPr>
        <w:keepNext/>
        <w:rPr>
          <w:highlight w:val="yellow"/>
        </w:rPr>
      </w:pPr>
    </w:p>
    <w:p w:rsidR="0078072B" w:rsidP="0078072B" w14:paraId="6CFF2F77" w14:textId="056A2591">
      <w:pPr>
        <w:pStyle w:val="ListParagraph"/>
        <w:ind w:left="0"/>
      </w:pPr>
      <w:r w:rsidRPr="00EF4365">
        <w:t xml:space="preserve">Under </w:t>
      </w:r>
      <w:r>
        <w:t>A</w:t>
      </w:r>
      <w:r w:rsidRPr="00EF4365">
        <w:t>lternative</w:t>
      </w:r>
      <w:r>
        <w:t xml:space="preserve"> 2</w:t>
      </w:r>
      <w:r w:rsidRPr="005353D4">
        <w:t>, the NRC would</w:t>
      </w:r>
      <w:r>
        <w:t xml:space="preserve"> issue a </w:t>
      </w:r>
      <w:r w:rsidR="00E30D42">
        <w:t xml:space="preserve">final </w:t>
      </w:r>
      <w:r>
        <w:t xml:space="preserve">rule </w:t>
      </w:r>
      <w:r w:rsidRPr="006055A0">
        <w:t>t</w:t>
      </w:r>
      <w:r>
        <w:t>hat would establish new, and amend existing,</w:t>
      </w:r>
      <w:r w:rsidRPr="005353D4">
        <w:t xml:space="preserve"> provisions of </w:t>
      </w:r>
      <w:r w:rsidRPr="007B6AF9">
        <w:t>10 CFR Part 51</w:t>
      </w:r>
      <w:r w:rsidRPr="005353D4">
        <w:t xml:space="preserve"> relating to the renewal of nuclear power plant licenses, including Table B</w:t>
      </w:r>
      <w:r>
        <w:noBreakHyphen/>
      </w:r>
      <w:r w:rsidRPr="005353D4">
        <w:t xml:space="preserve">1. </w:t>
      </w:r>
      <w:r w:rsidR="00BF282C">
        <w:t>C</w:t>
      </w:r>
      <w:r w:rsidRPr="00856824">
        <w:t>hanges include updating all issues in the current Table</w:t>
      </w:r>
      <w:r>
        <w:t> </w:t>
      </w:r>
      <w:r w:rsidRPr="00856824">
        <w:t>B</w:t>
      </w:r>
      <w:r>
        <w:noBreakHyphen/>
      </w:r>
      <w:r w:rsidRPr="00856824">
        <w:t>1 to fully account for</w:t>
      </w:r>
      <w:r>
        <w:t xml:space="preserve"> SLR and are based on the findings described in the revised LR GEIS. The rule includes new, consolidated, and revised Category 1 and 2 issues based on lessons learned, </w:t>
      </w:r>
      <w:r w:rsidRPr="00816BB0">
        <w:t xml:space="preserve">knowledge gained, and experience from license renewal environmental reviews performed since </w:t>
      </w:r>
      <w:r w:rsidR="00F114AA">
        <w:t xml:space="preserve">development of the </w:t>
      </w:r>
      <w:r w:rsidRPr="00816BB0">
        <w:t>2013</w:t>
      </w:r>
      <w:r w:rsidR="00F114AA">
        <w:t xml:space="preserve"> LR GEIS</w:t>
      </w:r>
      <w:r>
        <w:t>. The rule also</w:t>
      </w:r>
      <w:r w:rsidRPr="00816BB0">
        <w:t xml:space="preserve"> incorporates changes in environmental regulations</w:t>
      </w:r>
      <w:r>
        <w:t>,</w:t>
      </w:r>
      <w:r w:rsidRPr="00816BB0">
        <w:t xml:space="preserve"> impact methodology, and other new information.</w:t>
      </w:r>
      <w:r>
        <w:t xml:space="preserve"> The rule clarif</w:t>
      </w:r>
      <w:r w:rsidR="00F20447">
        <w:t>ies</w:t>
      </w:r>
      <w:r>
        <w:t xml:space="preserve"> issue titles and the scope and resources considered for issue findings.</w:t>
      </w:r>
    </w:p>
    <w:p w:rsidR="0078072B" w:rsidRPr="00985548" w:rsidP="0078072B" w14:paraId="14CCE537" w14:textId="77777777">
      <w:pPr>
        <w:pStyle w:val="ListParagraph"/>
        <w:ind w:left="0"/>
      </w:pPr>
    </w:p>
    <w:p w:rsidR="0078072B" w:rsidRPr="0043376D" w:rsidP="0078072B" w14:paraId="1382218F" w14:textId="3B5125DC">
      <w:pPr>
        <w:pStyle w:val="text"/>
        <w:spacing w:line="276" w:lineRule="auto"/>
      </w:pPr>
      <w:r w:rsidRPr="00A97F75">
        <w:t xml:space="preserve">The rule would apply to all </w:t>
      </w:r>
      <w:r w:rsidR="00A53B70">
        <w:t xml:space="preserve">nuclear power plant </w:t>
      </w:r>
      <w:r w:rsidRPr="00A97F75">
        <w:t>license renewal applicants</w:t>
      </w:r>
      <w:r>
        <w:t xml:space="preserve"> and benefit future SLR applicants</w:t>
      </w:r>
      <w:r w:rsidRPr="00A97F75">
        <w:t xml:space="preserve">. </w:t>
      </w:r>
      <w:r>
        <w:fldChar w:fldCharType="begin"/>
      </w:r>
      <w:r>
        <w:instrText xml:space="preserve"> REF _Ref108428849 \h </w:instrText>
      </w:r>
      <w:r>
        <w:fldChar w:fldCharType="separate"/>
      </w:r>
      <w:r w:rsidRPr="005C65EA">
        <w:t>Table A</w:t>
      </w:r>
      <w:r w:rsidRPr="005C65EA">
        <w:noBreakHyphen/>
        <w:t>1</w:t>
      </w:r>
      <w:r>
        <w:fldChar w:fldCharType="end"/>
      </w:r>
      <w:r w:rsidRPr="00985548">
        <w:t xml:space="preserve"> in Appendix A </w:t>
      </w:r>
      <w:r>
        <w:t>t</w:t>
      </w:r>
      <w:r w:rsidRPr="00985548">
        <w:t>o this regulatory analysis presents the changes to the issues and findings in Table B</w:t>
      </w:r>
      <w:r>
        <w:noBreakHyphen/>
      </w:r>
      <w:r w:rsidRPr="00985548">
        <w:t>1 that would result in quantifiable costs and benefits</w:t>
      </w:r>
      <w:r w:rsidRPr="005B2C26">
        <w:t>.</w:t>
      </w:r>
      <w:r>
        <w:br w:type="page"/>
      </w:r>
    </w:p>
    <w:p w:rsidR="0078072B" w:rsidRPr="00063F62" w:rsidP="0078072B" w14:paraId="024E35BB" w14:textId="77777777">
      <w:pPr>
        <w:pStyle w:val="Heading1"/>
        <w:shd w:val="clear" w:color="auto" w:fill="FFFFFF" w:themeFill="background1"/>
        <w:jc w:val="center"/>
        <w:rPr>
          <w:sz w:val="28"/>
        </w:rPr>
      </w:pPr>
      <w:bookmarkStart w:id="16" w:name="_Toc147922969"/>
      <w:r w:rsidRPr="00063F62">
        <w:rPr>
          <w:sz w:val="28"/>
        </w:rPr>
        <w:t>3</w:t>
      </w:r>
      <w:r w:rsidRPr="00063F62">
        <w:rPr>
          <w:sz w:val="28"/>
        </w:rPr>
        <w:tab/>
      </w:r>
      <w:r w:rsidRPr="00063F62">
        <w:rPr>
          <w:rFonts w:ascii="Arial Bold" w:hAnsi="Arial Bold"/>
          <w:caps/>
          <w:sz w:val="28"/>
        </w:rPr>
        <w:t>Estimation and Evaluation of Costs and Benefits</w:t>
      </w:r>
      <w:bookmarkEnd w:id="16"/>
    </w:p>
    <w:p w:rsidR="0078072B" w:rsidRPr="00E10389" w:rsidP="0078072B" w14:paraId="0D70050D" w14:textId="77777777">
      <w:pPr>
        <w:rPr>
          <w:highlight w:val="yellow"/>
        </w:rPr>
      </w:pPr>
    </w:p>
    <w:p w:rsidR="0078072B" w:rsidRPr="004D4508" w:rsidP="0078072B" w14:paraId="1D7E8D75" w14:textId="77777777">
      <w:r>
        <w:t>This section examines the costs and benefits expected to result from the NRC’s rule. A</w:t>
      </w:r>
      <w:r w:rsidRPr="00135820">
        <w:t xml:space="preserve">ll costs and benefits are </w:t>
      </w:r>
      <w:r>
        <w:t>monetized, when possible</w:t>
      </w:r>
      <w:r w:rsidRPr="00135820">
        <w:t xml:space="preserve">. The total costs and benefits </w:t>
      </w:r>
      <w:r>
        <w:t>are then</w:t>
      </w:r>
      <w:r w:rsidRPr="00135820">
        <w:t xml:space="preserve"> summed to determine whether the difference between the costs and benefits </w:t>
      </w:r>
      <w:r>
        <w:t>results in</w:t>
      </w:r>
      <w:r w:rsidRPr="00135820">
        <w:t xml:space="preserve"> a positive benefit. </w:t>
      </w:r>
      <w:r>
        <w:t>I</w:t>
      </w:r>
      <w:r w:rsidRPr="00135820">
        <w:t>n some cases</w:t>
      </w:r>
      <w:r>
        <w:t>,</w:t>
      </w:r>
      <w:r w:rsidRPr="00135820">
        <w:t xml:space="preserve"> </w:t>
      </w:r>
      <w:r>
        <w:t xml:space="preserve">costs and </w:t>
      </w:r>
      <w:r w:rsidRPr="00135820">
        <w:t>benefits</w:t>
      </w:r>
      <w:r>
        <w:t xml:space="preserve"> are</w:t>
      </w:r>
      <w:r w:rsidRPr="00135820">
        <w:t xml:space="preserve"> not </w:t>
      </w:r>
      <w:r>
        <w:t>monetized</w:t>
      </w:r>
      <w:r w:rsidRPr="00135820">
        <w:t xml:space="preserve"> because meaningful quantification is not possible</w:t>
      </w:r>
      <w:r w:rsidRPr="004D4508">
        <w:t>.</w:t>
      </w:r>
    </w:p>
    <w:p w:rsidR="0078072B" w:rsidRPr="00E10389" w:rsidP="0078072B" w14:paraId="1B0581CC" w14:textId="77777777">
      <w:pPr>
        <w:rPr>
          <w:highlight w:val="yellow"/>
        </w:rPr>
      </w:pPr>
    </w:p>
    <w:p w:rsidR="0078072B" w:rsidRPr="00830907" w:rsidP="0078072B" w14:paraId="3D511CBE" w14:textId="77777777">
      <w:pPr>
        <w:pStyle w:val="Heading2"/>
        <w:rPr>
          <w:sz w:val="24"/>
          <w:szCs w:val="24"/>
        </w:rPr>
      </w:pPr>
      <w:bookmarkStart w:id="17" w:name="_Toc147922970"/>
      <w:r w:rsidRPr="00830907">
        <w:rPr>
          <w:sz w:val="24"/>
          <w:szCs w:val="24"/>
        </w:rPr>
        <w:t>3.1</w:t>
      </w:r>
      <w:r w:rsidRPr="00830907">
        <w:rPr>
          <w:sz w:val="24"/>
          <w:szCs w:val="24"/>
        </w:rPr>
        <w:tab/>
      </w:r>
      <w:r w:rsidRPr="00830907">
        <w:rPr>
          <w:sz w:val="24"/>
          <w:szCs w:val="24"/>
          <w:u w:val="single"/>
        </w:rPr>
        <w:t>Identification of Affected Attributes</w:t>
      </w:r>
      <w:bookmarkEnd w:id="17"/>
    </w:p>
    <w:p w:rsidR="0078072B" w:rsidRPr="00E10389" w:rsidP="0078072B" w14:paraId="6BC87040" w14:textId="77777777">
      <w:pPr>
        <w:keepNext/>
        <w:rPr>
          <w:highlight w:val="yellow"/>
        </w:rPr>
      </w:pPr>
    </w:p>
    <w:p w:rsidR="0078072B" w:rsidRPr="00DF47CD" w:rsidP="0078072B" w14:paraId="03872F2E" w14:textId="77777777">
      <w:r w:rsidRPr="00DF47CD">
        <w:t xml:space="preserve">This section identifies the components of the public and private sectors, commonly referred to as attributes, that are expected to be affected by Alternative </w:t>
      </w:r>
      <w:r>
        <w:t>2</w:t>
      </w:r>
      <w:r w:rsidRPr="00DF47CD">
        <w:t xml:space="preserve">, the rulemaking alternative, identified in Section 2. </w:t>
      </w:r>
      <w:r w:rsidRPr="00320266">
        <w:t xml:space="preserve">Alternative 2 would apply to all NRC applicants </w:t>
      </w:r>
      <w:r>
        <w:t>renewing their nuclear power reactor(s) operating license.</w:t>
      </w:r>
      <w:r w:rsidRPr="00DF47CD">
        <w:t xml:space="preserve"> The staff developed an inventory of the impacted attributes using the list in NUREG/BR</w:t>
      </w:r>
      <w:r w:rsidRPr="00DF47CD">
        <w:noBreakHyphen/>
        <w:t>0058, draft Revision 5, “Regulatory Analysis Guidelines of the U.S. Nuclear Regulatory Commission,” issued January 2020 (NRC, 2020).</w:t>
      </w:r>
    </w:p>
    <w:p w:rsidR="0078072B" w:rsidRPr="00DF47CD" w:rsidP="0078072B" w14:paraId="7429A8C9" w14:textId="77777777"/>
    <w:p w:rsidR="0078072B" w:rsidP="0078072B" w14:paraId="7D3D263F" w14:textId="77777777">
      <w:r w:rsidRPr="00DF47CD">
        <w:t>The rule would affect the attributes</w:t>
      </w:r>
      <w:r>
        <w:t xml:space="preserve"> described below.</w:t>
      </w:r>
    </w:p>
    <w:p w:rsidR="0078072B" w:rsidP="0078072B" w14:paraId="2DF12936" w14:textId="77777777"/>
    <w:p w:rsidR="0078072B" w:rsidRPr="006B41CD" w:rsidP="0078072B" w14:paraId="17C6CCDE" w14:textId="77777777">
      <w:pPr>
        <w:pStyle w:val="Heading3"/>
        <w:rPr>
          <w:i w:val="0"/>
          <w:iCs/>
        </w:rPr>
      </w:pPr>
      <w:bookmarkStart w:id="18" w:name="_Toc147922971"/>
      <w:r w:rsidRPr="006B41CD">
        <w:rPr>
          <w:i w:val="0"/>
          <w:iCs/>
        </w:rPr>
        <w:t>3.1.1</w:t>
      </w:r>
      <w:r w:rsidRPr="006B41CD">
        <w:rPr>
          <w:i w:val="0"/>
          <w:iCs/>
        </w:rPr>
        <w:tab/>
      </w:r>
      <w:r w:rsidRPr="006B41CD">
        <w:t>Industry Implementation</w:t>
      </w:r>
      <w:bookmarkEnd w:id="18"/>
    </w:p>
    <w:p w:rsidR="0078072B" w:rsidRPr="00E20DBC" w:rsidP="0078072B" w14:paraId="40AE28BB" w14:textId="77777777"/>
    <w:p w:rsidR="0078072B" w:rsidP="0078072B" w14:paraId="745D5DBB" w14:textId="77777777">
      <w:r w:rsidRPr="00006DE2">
        <w:t xml:space="preserve">This attribute </w:t>
      </w:r>
      <w:r>
        <w:t>accounts for</w:t>
      </w:r>
      <w:r w:rsidRPr="00006DE2">
        <w:t xml:space="preserve"> the projected net economic effect on the</w:t>
      </w:r>
      <w:r>
        <w:t xml:space="preserve"> industry </w:t>
      </w:r>
      <w:r w:rsidRPr="00006DE2">
        <w:t xml:space="preserve">of implementing the </w:t>
      </w:r>
      <w:r>
        <w:t xml:space="preserve">regulatory </w:t>
      </w:r>
      <w:r w:rsidRPr="00006DE2">
        <w:t xml:space="preserve">action </w:t>
      </w:r>
      <w:r>
        <w:t>for</w:t>
      </w:r>
      <w:r w:rsidRPr="00006DE2">
        <w:t xml:space="preserve"> all affected</w:t>
      </w:r>
      <w:r>
        <w:t xml:space="preserve"> licensee</w:t>
      </w:r>
      <w:r w:rsidRPr="006211A9">
        <w:t>s. Under this action, the industry would review the regulations and update its processes and procedures, as necessary.</w:t>
      </w:r>
    </w:p>
    <w:p w:rsidR="0078072B" w:rsidP="0078072B" w14:paraId="3CE1B9EF" w14:textId="77777777"/>
    <w:p w:rsidR="0078072B" w:rsidRPr="001D3512" w:rsidP="0078072B" w14:paraId="3AA6C7FD" w14:textId="77777777">
      <w:pPr>
        <w:pStyle w:val="Heading3"/>
        <w:rPr>
          <w:i w:val="0"/>
          <w:iCs/>
        </w:rPr>
      </w:pPr>
      <w:bookmarkStart w:id="19" w:name="_Toc147922972"/>
      <w:r w:rsidRPr="001D3512">
        <w:rPr>
          <w:i w:val="0"/>
          <w:iCs/>
        </w:rPr>
        <w:t>3.1.2</w:t>
      </w:r>
      <w:r>
        <w:rPr>
          <w:i w:val="0"/>
          <w:iCs/>
        </w:rPr>
        <w:tab/>
      </w:r>
      <w:r w:rsidRPr="00F43ECB">
        <w:t>Industry Operation</w:t>
      </w:r>
      <w:bookmarkEnd w:id="19"/>
    </w:p>
    <w:p w:rsidR="0078072B" w:rsidP="0078072B" w14:paraId="2B52F74C" w14:textId="77777777"/>
    <w:p w:rsidR="0078072B" w:rsidP="0078072B" w14:paraId="28E5F5E7" w14:textId="332637F9">
      <w:r w:rsidRPr="004B3539">
        <w:t>This attribute accounts for the projected net economic effect on all affected licensees caused by routine and recurring activities required by Alternative 2. Under Alternative 2, licensees would incur costs and benefits resulting from the environmental issues</w:t>
      </w:r>
      <w:r>
        <w:t xml:space="preserve"> and findings</w:t>
      </w:r>
      <w:r w:rsidRPr="004B3539">
        <w:t xml:space="preserve"> in Table</w:t>
      </w:r>
      <w:r>
        <w:t> </w:t>
      </w:r>
      <w:r w:rsidRPr="004B3539">
        <w:t>B</w:t>
      </w:r>
      <w:r>
        <w:noBreakHyphen/>
      </w:r>
      <w:r w:rsidRPr="004B3539">
        <w:t>1.</w:t>
      </w:r>
    </w:p>
    <w:p w:rsidR="0078072B" w:rsidRPr="009A223C" w:rsidP="0078072B" w14:paraId="104C88A7" w14:textId="77777777"/>
    <w:p w:rsidR="0078072B" w:rsidP="0078072B" w14:paraId="63233639" w14:textId="1F8E5818">
      <w:pPr>
        <w:pStyle w:val="Heading3"/>
        <w:keepLines/>
        <w:rPr>
          <w:i w:val="0"/>
          <w:iCs/>
        </w:rPr>
      </w:pPr>
      <w:bookmarkStart w:id="20" w:name="_Toc147922973"/>
      <w:r w:rsidRPr="006B41CD">
        <w:rPr>
          <w:i w:val="0"/>
          <w:iCs/>
        </w:rPr>
        <w:t>3.1.</w:t>
      </w:r>
      <w:r w:rsidR="00E3697C">
        <w:rPr>
          <w:i w:val="0"/>
          <w:iCs/>
        </w:rPr>
        <w:t>3</w:t>
      </w:r>
      <w:r w:rsidRPr="006B41CD">
        <w:rPr>
          <w:i w:val="0"/>
          <w:iCs/>
        </w:rPr>
        <w:tab/>
      </w:r>
      <w:r w:rsidRPr="00AC0898">
        <w:t>NRC Operation</w:t>
      </w:r>
      <w:bookmarkEnd w:id="20"/>
    </w:p>
    <w:p w:rsidR="0078072B" w:rsidP="0078072B" w14:paraId="58E41474" w14:textId="77777777">
      <w:pPr>
        <w:keepNext/>
        <w:keepLines/>
      </w:pPr>
    </w:p>
    <w:p w:rsidR="0078072B" w:rsidP="0078072B" w14:paraId="40F1879F" w14:textId="7BA1094D">
      <w:pPr>
        <w:keepNext/>
        <w:keepLines/>
      </w:pPr>
      <w:r w:rsidRPr="006211A9">
        <w:t>This attribute accounts for the projected net economic effect on the NRC caused by routine and recurring activities required by Alternative 2.</w:t>
      </w:r>
      <w:r>
        <w:t xml:space="preserve"> </w:t>
      </w:r>
      <w:r w:rsidRPr="006211A9">
        <w:t>Under Alternative 2, the NRC would incur</w:t>
      </w:r>
      <w:r w:rsidRPr="004B3539">
        <w:t xml:space="preserve"> costs and benefits resulting from the environmental issues</w:t>
      </w:r>
      <w:r>
        <w:t xml:space="preserve"> and findings</w:t>
      </w:r>
      <w:r w:rsidRPr="004B3539">
        <w:t xml:space="preserve"> in Table B</w:t>
      </w:r>
      <w:r>
        <w:noBreakHyphen/>
      </w:r>
      <w:r w:rsidRPr="004B3539">
        <w:t>1.</w:t>
      </w:r>
    </w:p>
    <w:p w:rsidR="0078072B" w:rsidRPr="00AC0898" w:rsidP="0078072B" w14:paraId="0CECC4AB" w14:textId="77777777">
      <w:pPr>
        <w:keepNext/>
        <w:keepLines/>
      </w:pPr>
    </w:p>
    <w:p w:rsidR="0078072B" w:rsidRPr="00AC0898" w:rsidP="0078072B" w14:paraId="724188CB" w14:textId="6BEED17F">
      <w:pPr>
        <w:pStyle w:val="Heading3"/>
      </w:pPr>
      <w:bookmarkStart w:id="21" w:name="_Toc147922974"/>
      <w:r w:rsidRPr="00AC0898">
        <w:rPr>
          <w:i w:val="0"/>
          <w:iCs/>
        </w:rPr>
        <w:t>3.1.</w:t>
      </w:r>
      <w:r w:rsidR="00E3697C">
        <w:rPr>
          <w:i w:val="0"/>
          <w:iCs/>
        </w:rPr>
        <w:t>4</w:t>
      </w:r>
      <w:r>
        <w:tab/>
      </w:r>
      <w:r w:rsidRPr="006B41CD">
        <w:t>Improvements in Knowledge</w:t>
      </w:r>
      <w:bookmarkEnd w:id="21"/>
    </w:p>
    <w:p w:rsidR="0078072B" w:rsidRPr="006F1C08" w:rsidP="0078072B" w14:paraId="5729C82F" w14:textId="77777777"/>
    <w:p w:rsidR="0078072B" w:rsidP="0078072B" w14:paraId="78F19766" w14:textId="4F77EFF3">
      <w:r w:rsidRPr="007F3A0A">
        <w:t>This attribute accounts for the potential value of new information</w:t>
      </w:r>
      <w:r>
        <w:t xml:space="preserve"> resulting from the implementation of Alternative 2 compared to Alternative 1</w:t>
      </w:r>
      <w:r w:rsidRPr="007F3A0A">
        <w:t>.</w:t>
      </w:r>
      <w:r>
        <w:t xml:space="preserve"> Alternative 2 would codify the lessons learned, knowledge gained, and experience from license renewal environmental reviews performed since </w:t>
      </w:r>
      <w:r w:rsidR="00F114AA">
        <w:t xml:space="preserve">development of the </w:t>
      </w:r>
      <w:r>
        <w:t>2013</w:t>
      </w:r>
      <w:r w:rsidR="00F114AA">
        <w:t xml:space="preserve"> LR GEIS</w:t>
      </w:r>
      <w:r>
        <w:t xml:space="preserve"> and incorporate </w:t>
      </w:r>
      <w:r w:rsidRPr="00071D9D">
        <w:t>changes in environmental regulations</w:t>
      </w:r>
      <w:r>
        <w:t>,</w:t>
      </w:r>
      <w:r w:rsidRPr="00071D9D">
        <w:t xml:space="preserve"> impact methodology, and other new information.</w:t>
      </w:r>
    </w:p>
    <w:p w:rsidR="0078072B" w:rsidRPr="00135820" w:rsidP="0078072B" w14:paraId="674A2C92" w14:textId="77777777"/>
    <w:p w:rsidR="0078072B" w:rsidRPr="006B41CD" w:rsidP="0078072B" w14:paraId="239CDB72" w14:textId="0FCB59FB">
      <w:pPr>
        <w:pStyle w:val="Heading3"/>
        <w:rPr>
          <w:i w:val="0"/>
          <w:iCs/>
        </w:rPr>
      </w:pPr>
      <w:bookmarkStart w:id="22" w:name="_Toc147922975"/>
      <w:r w:rsidRPr="006B41CD">
        <w:rPr>
          <w:i w:val="0"/>
          <w:iCs/>
        </w:rPr>
        <w:t>3.1.</w:t>
      </w:r>
      <w:r w:rsidR="00E3697C">
        <w:rPr>
          <w:i w:val="0"/>
          <w:iCs/>
        </w:rPr>
        <w:t>5</w:t>
      </w:r>
      <w:r w:rsidRPr="006B41CD">
        <w:rPr>
          <w:i w:val="0"/>
          <w:iCs/>
        </w:rPr>
        <w:tab/>
      </w:r>
      <w:r w:rsidRPr="006B41CD">
        <w:t xml:space="preserve">Regulatory </w:t>
      </w:r>
      <w:r>
        <w:t>Clarity</w:t>
      </w:r>
      <w:bookmarkEnd w:id="22"/>
    </w:p>
    <w:p w:rsidR="0078072B" w:rsidRPr="00EA36E3" w:rsidP="0078072B" w14:paraId="539B684C" w14:textId="77777777"/>
    <w:p w:rsidR="0078072B" w:rsidP="0078072B" w14:paraId="0BFD1B2E" w14:textId="6A7548D5">
      <w:r w:rsidRPr="00417AF3">
        <w:t xml:space="preserve">This attribute accounts for regulatory </w:t>
      </w:r>
      <w:r>
        <w:t xml:space="preserve">clarity resulting from the implementation of Alternative 2 compared to Alternative 1. Alternative 2 would update the applicability of the </w:t>
      </w:r>
      <w:r w:rsidR="002824A3">
        <w:t xml:space="preserve">revised </w:t>
      </w:r>
      <w:r>
        <w:t>LR GEIS, Table B</w:t>
      </w:r>
      <w:r>
        <w:noBreakHyphen/>
        <w:t>1, and the associated guidance to SLR.</w:t>
      </w:r>
    </w:p>
    <w:p w:rsidR="0078072B" w:rsidP="0078072B" w14:paraId="080878F3" w14:textId="77777777"/>
    <w:p w:rsidR="0078072B" w:rsidP="0078072B" w14:paraId="4814AF75" w14:textId="225E59B8">
      <w:pPr>
        <w:pStyle w:val="Heading3"/>
      </w:pPr>
      <w:bookmarkStart w:id="23" w:name="_Toc147922976"/>
      <w:r>
        <w:rPr>
          <w:i w:val="0"/>
          <w:iCs/>
        </w:rPr>
        <w:t>3.1.</w:t>
      </w:r>
      <w:r w:rsidR="00E3697C">
        <w:rPr>
          <w:i w:val="0"/>
          <w:iCs/>
        </w:rPr>
        <w:t>6</w:t>
      </w:r>
      <w:r>
        <w:rPr>
          <w:i w:val="0"/>
          <w:iCs/>
        </w:rPr>
        <w:tab/>
      </w:r>
      <w:r w:rsidRPr="00A73DAC">
        <w:t>Environmental Considerations</w:t>
      </w:r>
      <w:bookmarkEnd w:id="23"/>
    </w:p>
    <w:p w:rsidR="0078072B" w:rsidP="0078072B" w14:paraId="5C9C09A6" w14:textId="77777777"/>
    <w:p w:rsidR="0078072B" w:rsidRPr="00DA4F86" w:rsidP="0078072B" w14:paraId="692AFF97" w14:textId="642E38EC">
      <w:r>
        <w:t xml:space="preserve">This attribute accounts for the consideration of environmental impacts of Federal actions that affect the human environment. Many NRC regulatory actions are handled through an EIS that considers the environmental impacts (both negative and beneficial) from the proposed licensing action. This regulatory action </w:t>
      </w:r>
      <w:r w:rsidR="000A7471">
        <w:t>updates</w:t>
      </w:r>
      <w:r>
        <w:t xml:space="preserve"> Table B</w:t>
      </w:r>
      <w:r>
        <w:noBreakHyphen/>
        <w:t>1 and make</w:t>
      </w:r>
      <w:r w:rsidR="0052435E">
        <w:t>s</w:t>
      </w:r>
      <w:r>
        <w:t xml:space="preserve"> other conforming changes in </w:t>
      </w:r>
      <w:r w:rsidRPr="007B6AF9">
        <w:t>10 CFR Part 51</w:t>
      </w:r>
      <w:r>
        <w:t xml:space="preserve">, which will improve the quality of the environmental information provided to the NRC and facilitate license renewal environmental reviews performed for power reactor license renewal. The </w:t>
      </w:r>
      <w:r w:rsidR="00A61FF6">
        <w:t>discussions</w:t>
      </w:r>
      <w:r w:rsidR="00925C4D">
        <w:t xml:space="preserve"> of </w:t>
      </w:r>
      <w:r>
        <w:t>the attributes in Sections 3.1.1–3.1.3</w:t>
      </w:r>
      <w:r w:rsidR="00394858">
        <w:t xml:space="preserve"> analyze the impacts of these changes</w:t>
      </w:r>
      <w:r>
        <w:t>.</w:t>
      </w:r>
    </w:p>
    <w:p w:rsidR="0078072B" w:rsidRPr="00A73DAC" w:rsidP="0078072B" w14:paraId="319C3F57" w14:textId="77777777"/>
    <w:p w:rsidR="0078072B" w:rsidRPr="006B41CD" w:rsidP="0078072B" w14:paraId="5236AD45" w14:textId="7D80B07F">
      <w:pPr>
        <w:pStyle w:val="Heading3"/>
        <w:rPr>
          <w:i w:val="0"/>
          <w:iCs/>
        </w:rPr>
      </w:pPr>
      <w:bookmarkStart w:id="24" w:name="_Toc147922977"/>
      <w:r w:rsidRPr="006B41CD">
        <w:rPr>
          <w:i w:val="0"/>
          <w:iCs/>
        </w:rPr>
        <w:t>3.1.</w:t>
      </w:r>
      <w:r w:rsidR="00E3697C">
        <w:rPr>
          <w:i w:val="0"/>
          <w:iCs/>
        </w:rPr>
        <w:t>7</w:t>
      </w:r>
      <w:r w:rsidRPr="006B41CD">
        <w:rPr>
          <w:i w:val="0"/>
          <w:iCs/>
        </w:rPr>
        <w:tab/>
      </w:r>
      <w:r w:rsidRPr="006B41CD">
        <w:t>Attributes with No Effects</w:t>
      </w:r>
      <w:bookmarkEnd w:id="24"/>
    </w:p>
    <w:p w:rsidR="0078072B" w:rsidRPr="0090437C" w:rsidP="0078072B" w14:paraId="16A2008B" w14:textId="77777777"/>
    <w:p w:rsidR="0078072B" w:rsidP="0078072B" w14:paraId="5FFB8B1E" w14:textId="77777777">
      <w:r>
        <w:t>The following attributes are not expected to contribute to the results under any of the alternatives:</w:t>
      </w:r>
    </w:p>
    <w:p w:rsidR="0078072B" w:rsidP="0078072B" w14:paraId="5014E7B2" w14:textId="77777777"/>
    <w:p w:rsidR="00E3697C" w:rsidP="0078072B" w14:paraId="3AAD9E9E" w14:textId="77777777">
      <w:pPr>
        <w:pStyle w:val="ListParagraph"/>
        <w:numPr>
          <w:ilvl w:val="0"/>
          <w:numId w:val="7"/>
        </w:numPr>
        <w:ind w:hanging="720"/>
      </w:pPr>
      <w:r>
        <w:t xml:space="preserve">NRC Implementation </w:t>
      </w:r>
    </w:p>
    <w:p w:rsidR="0078072B" w:rsidP="0078072B" w14:paraId="4D0983C9" w14:textId="2164FF94">
      <w:pPr>
        <w:pStyle w:val="ListParagraph"/>
        <w:numPr>
          <w:ilvl w:val="0"/>
          <w:numId w:val="7"/>
        </w:numPr>
        <w:ind w:hanging="720"/>
      </w:pPr>
      <w:r>
        <w:t>Public Health (Accident)</w:t>
      </w:r>
    </w:p>
    <w:p w:rsidR="0078072B" w:rsidP="0078072B" w14:paraId="011193FC" w14:textId="77777777">
      <w:pPr>
        <w:pStyle w:val="ListParagraph"/>
        <w:numPr>
          <w:ilvl w:val="0"/>
          <w:numId w:val="7"/>
        </w:numPr>
        <w:ind w:hanging="720"/>
      </w:pPr>
      <w:r>
        <w:t>Public Health (Routine)</w:t>
      </w:r>
    </w:p>
    <w:p w:rsidR="0078072B" w:rsidP="0078072B" w14:paraId="1A66D57C" w14:textId="77777777">
      <w:pPr>
        <w:pStyle w:val="ListParagraph"/>
        <w:numPr>
          <w:ilvl w:val="0"/>
          <w:numId w:val="7"/>
        </w:numPr>
        <w:ind w:hanging="720"/>
      </w:pPr>
      <w:r>
        <w:t>Occupational Health (Accident)</w:t>
      </w:r>
    </w:p>
    <w:p w:rsidR="0078072B" w:rsidP="0078072B" w14:paraId="7618AC98" w14:textId="77777777">
      <w:pPr>
        <w:pStyle w:val="ListParagraph"/>
        <w:numPr>
          <w:ilvl w:val="0"/>
          <w:numId w:val="7"/>
        </w:numPr>
        <w:ind w:hanging="720"/>
      </w:pPr>
      <w:r>
        <w:t>Occupational Health (Routine)</w:t>
      </w:r>
    </w:p>
    <w:p w:rsidR="0078072B" w:rsidP="0078072B" w14:paraId="2BA2318D" w14:textId="77777777">
      <w:pPr>
        <w:pStyle w:val="ListParagraph"/>
        <w:numPr>
          <w:ilvl w:val="0"/>
          <w:numId w:val="7"/>
        </w:numPr>
        <w:ind w:hanging="720"/>
      </w:pPr>
      <w:r>
        <w:t>Offsite Property</w:t>
      </w:r>
    </w:p>
    <w:p w:rsidR="0078072B" w:rsidP="0078072B" w14:paraId="0853C6DE" w14:textId="77777777">
      <w:pPr>
        <w:pStyle w:val="ListParagraph"/>
        <w:numPr>
          <w:ilvl w:val="0"/>
          <w:numId w:val="7"/>
        </w:numPr>
        <w:ind w:hanging="720"/>
      </w:pPr>
      <w:r>
        <w:t>Onsite Property</w:t>
      </w:r>
    </w:p>
    <w:p w:rsidR="0078072B" w:rsidP="0078072B" w14:paraId="1100E18F" w14:textId="77777777">
      <w:pPr>
        <w:pStyle w:val="ListParagraph"/>
        <w:numPr>
          <w:ilvl w:val="0"/>
          <w:numId w:val="7"/>
        </w:numPr>
        <w:ind w:hanging="720"/>
      </w:pPr>
      <w:r>
        <w:t>Other Government Entities</w:t>
      </w:r>
    </w:p>
    <w:p w:rsidR="0078072B" w:rsidP="0078072B" w14:paraId="69D9D32F" w14:textId="77777777">
      <w:pPr>
        <w:pStyle w:val="ListParagraph"/>
        <w:numPr>
          <w:ilvl w:val="0"/>
          <w:numId w:val="7"/>
        </w:numPr>
        <w:ind w:hanging="720"/>
      </w:pPr>
      <w:r>
        <w:t>General Public</w:t>
      </w:r>
    </w:p>
    <w:p w:rsidR="0078072B" w:rsidRPr="002070F6" w:rsidP="0078072B" w14:paraId="6487A0AB" w14:textId="77777777">
      <w:pPr>
        <w:pStyle w:val="ListParagraph"/>
        <w:numPr>
          <w:ilvl w:val="0"/>
          <w:numId w:val="7"/>
        </w:numPr>
        <w:ind w:hanging="720"/>
      </w:pPr>
      <w:r>
        <w:t>Safeguards and Security Considerations</w:t>
      </w:r>
    </w:p>
    <w:p w:rsidR="0078072B" w:rsidRPr="002070F6" w:rsidP="0078072B" w14:paraId="422B9DDB" w14:textId="77777777">
      <w:pPr>
        <w:pStyle w:val="ListParagraph"/>
        <w:numPr>
          <w:ilvl w:val="0"/>
          <w:numId w:val="7"/>
        </w:numPr>
        <w:ind w:hanging="720"/>
      </w:pPr>
      <w:r>
        <w:t>Other Considerations</w:t>
      </w:r>
    </w:p>
    <w:p w:rsidR="0078072B" w:rsidRPr="00E10389" w:rsidP="0078072B" w14:paraId="1E53BD51" w14:textId="77777777">
      <w:pPr>
        <w:pStyle w:val="ListParagraph"/>
        <w:rPr>
          <w:highlight w:val="yellow"/>
        </w:rPr>
      </w:pPr>
    </w:p>
    <w:p w:rsidR="0078072B" w:rsidRPr="000D6FDC" w:rsidP="0078072B" w14:paraId="0D928F57" w14:textId="77777777">
      <w:pPr>
        <w:pStyle w:val="Heading2"/>
        <w:rPr>
          <w:sz w:val="24"/>
          <w:szCs w:val="24"/>
          <w:highlight w:val="yellow"/>
          <w:u w:val="single"/>
        </w:rPr>
      </w:pPr>
      <w:bookmarkStart w:id="25" w:name="_Toc147922978"/>
      <w:r w:rsidRPr="000D6FDC">
        <w:rPr>
          <w:sz w:val="24"/>
          <w:szCs w:val="24"/>
        </w:rPr>
        <w:t>3.2</w:t>
      </w:r>
      <w:r w:rsidRPr="000D6FDC">
        <w:rPr>
          <w:sz w:val="24"/>
          <w:szCs w:val="24"/>
        </w:rPr>
        <w:tab/>
      </w:r>
      <w:r w:rsidRPr="000D6FDC">
        <w:rPr>
          <w:sz w:val="24"/>
          <w:szCs w:val="24"/>
          <w:u w:val="single"/>
        </w:rPr>
        <w:t>Analytical Methodology</w:t>
      </w:r>
      <w:bookmarkEnd w:id="25"/>
    </w:p>
    <w:p w:rsidR="0078072B" w:rsidRPr="00485402" w:rsidP="0078072B" w14:paraId="4A91B7F3" w14:textId="77777777">
      <w:pPr>
        <w:keepNext/>
      </w:pPr>
    </w:p>
    <w:p w:rsidR="0078072B" w:rsidRPr="00485402" w:rsidP="0078072B" w14:paraId="534AB9B8" w14:textId="77777777">
      <w:r w:rsidRPr="00485402">
        <w:t xml:space="preserve">This section describes the process used to evaluate costs and benefits associated with </w:t>
      </w:r>
      <w:r>
        <w:t>Alternative 2</w:t>
      </w:r>
      <w:r w:rsidRPr="00485402">
        <w:t xml:space="preserve">. The </w:t>
      </w:r>
      <w:r w:rsidRPr="00485402">
        <w:rPr>
          <w:iCs/>
        </w:rPr>
        <w:t>benefits</w:t>
      </w:r>
      <w:r w:rsidRPr="00485402">
        <w:t xml:space="preserve"> include any desirable changes in affected attributes (e.g., monetary savings). The </w:t>
      </w:r>
      <w:r w:rsidRPr="00485402">
        <w:rPr>
          <w:iCs/>
        </w:rPr>
        <w:t>costs</w:t>
      </w:r>
      <w:r w:rsidRPr="00485402">
        <w:t xml:space="preserve"> include any undesirable changes in affected attributes (e.g., monetary costs).</w:t>
      </w:r>
    </w:p>
    <w:p w:rsidR="0078072B" w:rsidRPr="00E10389" w:rsidP="0078072B" w14:paraId="74C3BCE1" w14:textId="77777777">
      <w:pPr>
        <w:rPr>
          <w:highlight w:val="yellow"/>
        </w:rPr>
      </w:pPr>
    </w:p>
    <w:p w:rsidR="0078072B" w:rsidP="0078072B" w14:paraId="1431F94E" w14:textId="1855AD36">
      <w:r w:rsidRPr="00485402">
        <w:t xml:space="preserve">Of the </w:t>
      </w:r>
      <w:r w:rsidR="004A21B8">
        <w:t>six</w:t>
      </w:r>
      <w:r w:rsidRPr="00485402">
        <w:t> affected attri</w:t>
      </w:r>
      <w:r w:rsidRPr="000614E1">
        <w:t xml:space="preserve">butes, the analysis quantitively evaluates </w:t>
      </w:r>
      <w:r w:rsidR="004A21B8">
        <w:rPr>
          <w:shd w:val="clear" w:color="auto" w:fill="FFFFFF" w:themeFill="background1"/>
        </w:rPr>
        <w:t>th</w:t>
      </w:r>
      <w:r w:rsidR="00E3697C">
        <w:rPr>
          <w:shd w:val="clear" w:color="auto" w:fill="FFFFFF" w:themeFill="background1"/>
        </w:rPr>
        <w:t xml:space="preserve">ree </w:t>
      </w:r>
      <w:r w:rsidRPr="004C79ED">
        <w:rPr>
          <w:shd w:val="clear" w:color="auto" w:fill="FFFFFF" w:themeFill="background1"/>
        </w:rPr>
        <w:t>attributes—industry implementation</w:t>
      </w:r>
      <w:r>
        <w:rPr>
          <w:shd w:val="clear" w:color="auto" w:fill="FFFFFF" w:themeFill="background1"/>
        </w:rPr>
        <w:t>, industry operation,</w:t>
      </w:r>
      <w:r w:rsidRPr="004C79ED">
        <w:rPr>
          <w:shd w:val="clear" w:color="auto" w:fill="FFFFFF" w:themeFill="background1"/>
        </w:rPr>
        <w:t xml:space="preserve"> </w:t>
      </w:r>
      <w:r>
        <w:rPr>
          <w:shd w:val="clear" w:color="auto" w:fill="FFFFFF" w:themeFill="background1"/>
        </w:rPr>
        <w:t>and NRC operation</w:t>
      </w:r>
      <w:r w:rsidRPr="00AB31DC">
        <w:t xml:space="preserve">. Quantitative analysis requires a </w:t>
      </w:r>
      <w:r w:rsidRPr="00AB31DC">
        <w:t xml:space="preserve">baseline characterization of the affected </w:t>
      </w:r>
      <w:r w:rsidR="009E5B77">
        <w:t>society</w:t>
      </w:r>
      <w:r w:rsidRPr="00AB31DC">
        <w:t xml:space="preserve">, including factors such as the number of affected entities, the nature of the activities currently performed, and the types of systems and procedures that applicants would consider or would no longer implement because of the proposed alternatives. </w:t>
      </w:r>
      <w:r w:rsidRPr="003741DB">
        <w:t xml:space="preserve">Where possible, the NRC calculated costs for these attributes using distributions to quantify the uncertainty in these estimates. </w:t>
      </w:r>
      <w:r>
        <w:t>The individual sections for each of the provisions include t</w:t>
      </w:r>
      <w:r w:rsidRPr="003741DB">
        <w:t>he detailed cost tables used in this regulatory analysis. The NRC evaluated the remaining attribute</w:t>
      </w:r>
      <w:r>
        <w:t>s</w:t>
      </w:r>
      <w:r w:rsidRPr="003741DB">
        <w:t xml:space="preserve"> qualitatively because the benefits relating to regulatory efficiency are not easily quantifiable or because the data necessary to quantify and monetize the impacts o</w:t>
      </w:r>
      <w:r>
        <w:t>f</w:t>
      </w:r>
      <w:r w:rsidRPr="003741DB">
        <w:t xml:space="preserve"> th</w:t>
      </w:r>
      <w:r>
        <w:t xml:space="preserve">ese </w:t>
      </w:r>
      <w:r w:rsidRPr="003741DB">
        <w:t>attribute</w:t>
      </w:r>
      <w:r>
        <w:t>s</w:t>
      </w:r>
      <w:r w:rsidRPr="003741DB">
        <w:t xml:space="preserve"> </w:t>
      </w:r>
      <w:r>
        <w:t xml:space="preserve">are </w:t>
      </w:r>
      <w:r w:rsidRPr="003741DB">
        <w:t>not available.</w:t>
      </w:r>
    </w:p>
    <w:p w:rsidR="0078072B" w:rsidRPr="00E10389" w:rsidP="0078072B" w14:paraId="5C35D8A9" w14:textId="77777777">
      <w:pPr>
        <w:rPr>
          <w:highlight w:val="yellow"/>
        </w:rPr>
      </w:pPr>
    </w:p>
    <w:p w:rsidR="0078072B" w:rsidRPr="006B41CD" w:rsidP="0078072B" w14:paraId="18C5B57F" w14:textId="77777777">
      <w:pPr>
        <w:pStyle w:val="Heading3"/>
        <w:rPr>
          <w:i w:val="0"/>
          <w:iCs/>
        </w:rPr>
      </w:pPr>
      <w:bookmarkStart w:id="26" w:name="_Toc147922979"/>
      <w:r w:rsidRPr="006B41CD">
        <w:rPr>
          <w:i w:val="0"/>
          <w:iCs/>
        </w:rPr>
        <w:t>3.2.1</w:t>
      </w:r>
      <w:r w:rsidRPr="006B41CD">
        <w:rPr>
          <w:i w:val="0"/>
          <w:iCs/>
        </w:rPr>
        <w:tab/>
      </w:r>
      <w:r w:rsidRPr="006B41CD">
        <w:t>Regulatory Baseline</w:t>
      </w:r>
      <w:bookmarkEnd w:id="26"/>
    </w:p>
    <w:p w:rsidR="0078072B" w:rsidRPr="00411C79" w:rsidP="0078072B" w14:paraId="73D08467" w14:textId="77777777"/>
    <w:p w:rsidR="0078072B" w:rsidP="0078072B" w14:paraId="21745742" w14:textId="77777777">
      <w:pPr>
        <w:rPr>
          <w:bCs/>
        </w:rPr>
      </w:pPr>
      <w:r w:rsidRPr="00465416">
        <w:rPr>
          <w:bCs/>
        </w:rPr>
        <w:t xml:space="preserve">This regulatory analysis measures the incremental costs of the rule relative to a baseline that reflects anticipated behavior if the NRC does not undertake any regulatory action. As part of the regulatory baseline used in this analysis, the staff assumes full licensee compliance with existing NRC regulations. </w:t>
      </w:r>
      <w:r w:rsidRPr="00320266">
        <w:t>Section </w:t>
      </w:r>
      <w:r>
        <w:t>4</w:t>
      </w:r>
      <w:r w:rsidRPr="00320266">
        <w:t xml:space="preserve"> of this regulatory analysis presents the estimated incremental costs and benefits of the alternatives compared to this baseline. This regulatory baseline is the no action alternative (i.e., Alternative 1).</w:t>
      </w:r>
    </w:p>
    <w:p w:rsidR="0078072B" w:rsidP="0078072B" w14:paraId="074451ED" w14:textId="77777777">
      <w:pPr>
        <w:rPr>
          <w:bCs/>
        </w:rPr>
      </w:pPr>
    </w:p>
    <w:p w:rsidR="0078072B" w:rsidRPr="00AD3EA9" w:rsidP="0078072B" w14:paraId="6307A77E" w14:textId="3EA59212">
      <w:pPr>
        <w:pStyle w:val="Heading3"/>
        <w:keepLines/>
      </w:pPr>
      <w:bookmarkStart w:id="27" w:name="_Toc147922980"/>
      <w:r w:rsidRPr="00AD3EA9">
        <w:rPr>
          <w:i w:val="0"/>
          <w:iCs/>
        </w:rPr>
        <w:t>3.2.2</w:t>
      </w:r>
      <w:r>
        <w:tab/>
      </w:r>
      <w:r w:rsidRPr="00AD3EA9">
        <w:t>Affected Entities</w:t>
      </w:r>
      <w:bookmarkEnd w:id="27"/>
    </w:p>
    <w:p w:rsidR="0078072B" w:rsidP="0078072B" w14:paraId="37B18808" w14:textId="77777777">
      <w:pPr>
        <w:keepNext/>
        <w:keepLines/>
        <w:rPr>
          <w:highlight w:val="yellow"/>
        </w:rPr>
      </w:pPr>
    </w:p>
    <w:p w:rsidR="0078072B" w:rsidP="2B612987" w14:paraId="30BC6D07" w14:textId="063B884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A11C6">
        <w:t>The license</w:t>
      </w:r>
      <w:r>
        <w:t>es</w:t>
      </w:r>
      <w:r w:rsidRPr="003A11C6">
        <w:t xml:space="preserve"> for all </w:t>
      </w:r>
      <w:r w:rsidRPr="00B0723F">
        <w:t>5</w:t>
      </w:r>
      <w:r w:rsidR="00A87EE1">
        <w:t>4</w:t>
      </w:r>
      <w:r w:rsidRPr="003A11C6">
        <w:t xml:space="preserve"> operating nuclear power plant</w:t>
      </w:r>
      <w:r>
        <w:t xml:space="preserve"> </w:t>
      </w:r>
      <w:r w:rsidRPr="003A11C6">
        <w:t>s</w:t>
      </w:r>
      <w:r>
        <w:t>ites</w:t>
      </w:r>
      <w:r w:rsidRPr="003A11C6">
        <w:t xml:space="preserve"> can apply for </w:t>
      </w:r>
      <w:r>
        <w:t>license renewal</w:t>
      </w:r>
      <w:r w:rsidRPr="003342CD">
        <w:t xml:space="preserve">. </w:t>
      </w:r>
      <w:r>
        <w:t>T</w:t>
      </w:r>
      <w:r w:rsidRPr="003342CD">
        <w:t>he license</w:t>
      </w:r>
      <w:r>
        <w:t>es</w:t>
      </w:r>
      <w:r w:rsidRPr="003342CD">
        <w:t xml:space="preserve"> for </w:t>
      </w:r>
      <w:r w:rsidR="004A21B8">
        <w:t>50</w:t>
      </w:r>
      <w:r>
        <w:t xml:space="preserve"> </w:t>
      </w:r>
      <w:r w:rsidRPr="003A11C6">
        <w:t>operating nuclear power plants</w:t>
      </w:r>
      <w:r w:rsidRPr="003342CD">
        <w:t xml:space="preserve"> </w:t>
      </w:r>
      <w:r>
        <w:t xml:space="preserve">sites </w:t>
      </w:r>
      <w:r w:rsidRPr="003342CD">
        <w:t xml:space="preserve">have already received </w:t>
      </w:r>
      <w:r>
        <w:t xml:space="preserve">an initial </w:t>
      </w:r>
      <w:r w:rsidRPr="003342CD">
        <w:t>20</w:t>
      </w:r>
      <w:r w:rsidRPr="003342CD" w:rsidR="28BC72E2">
        <w:t xml:space="preserve"> </w:t>
      </w:r>
      <w:r>
        <w:noBreakHyphen/>
      </w:r>
      <w:r w:rsidRPr="003342CD">
        <w:t>year operating license extension from the NRC.</w:t>
      </w:r>
      <w:r>
        <w:t xml:space="preserve"> Three operating nuclear power plants sites have received subsequently renewed licenses. Table A</w:t>
      </w:r>
      <w:r>
        <w:noBreakHyphen/>
        <w:t>3 includes the timing of the estimated initial LR and SLR submittals for each operating plant.</w:t>
      </w:r>
    </w:p>
    <w:p w:rsidR="0078072B" w:rsidP="0078072B" w14:paraId="47AF8261" w14:textId="77777777"/>
    <w:p w:rsidR="0078072B" w:rsidP="0078072B" w14:paraId="33299F1A" w14:textId="0EC01073">
      <w:pPr>
        <w:pStyle w:val="text"/>
        <w:keepNext/>
        <w:keepLines/>
      </w:pPr>
      <w:r w:rsidRPr="005A0C7D">
        <w:t xml:space="preserve">The analysis estimates the number of initial </w:t>
      </w:r>
      <w:r>
        <w:t>LR</w:t>
      </w:r>
      <w:r w:rsidRPr="005A0C7D">
        <w:t xml:space="preserve"> applications, future SLR applications, and </w:t>
      </w:r>
      <w:r w:rsidR="001C0DC6">
        <w:t>near</w:t>
      </w:r>
      <w:r w:rsidR="00DF1BAF">
        <w:noBreakHyphen/>
        <w:t>term</w:t>
      </w:r>
      <w:r w:rsidR="00C93FA1">
        <w:t xml:space="preserve"> and</w:t>
      </w:r>
      <w:r w:rsidRPr="005A0C7D">
        <w:t xml:space="preserve"> submitted</w:t>
      </w:r>
      <w:r w:rsidR="00C93FA1">
        <w:t xml:space="preserve"> applications</w:t>
      </w:r>
      <w:r>
        <w:t>,</w:t>
      </w:r>
      <w:r w:rsidRPr="005A0C7D">
        <w:t xml:space="preserve"> </w:t>
      </w:r>
      <w:r w:rsidR="00C93FA1">
        <w:t>and</w:t>
      </w:r>
      <w:r w:rsidRPr="005A0C7D">
        <w:t xml:space="preserve"> </w:t>
      </w:r>
      <w:r w:rsidR="00C93FA1">
        <w:t xml:space="preserve">issued </w:t>
      </w:r>
      <w:r>
        <w:t>subsequently renewed licenses</w:t>
      </w:r>
      <w:r w:rsidRPr="005A0C7D">
        <w:t xml:space="preserve"> as follows:</w:t>
      </w:r>
    </w:p>
    <w:p w:rsidR="0078072B" w:rsidRPr="005E5B1B" w:rsidP="0078072B" w14:paraId="5EC97672" w14:textId="2926FC53">
      <w:pPr>
        <w:pStyle w:val="text"/>
        <w:keepNext/>
        <w:keepLines/>
        <w:numPr>
          <w:ilvl w:val="0"/>
          <w:numId w:val="22"/>
        </w:numPr>
        <w:ind w:hanging="720"/>
      </w:pPr>
      <w:r w:rsidRPr="005E5B1B">
        <w:t xml:space="preserve">The NRC is currently reviewing </w:t>
      </w:r>
      <w:r w:rsidR="00DF1BAF">
        <w:t>six</w:t>
      </w:r>
      <w:r w:rsidRPr="00D662B5">
        <w:t xml:space="preserve"> </w:t>
      </w:r>
      <w:r w:rsidRPr="005E5B1B">
        <w:t>SLR applications.</w:t>
      </w:r>
    </w:p>
    <w:p w:rsidR="0078072B" w:rsidP="0078072B" w14:paraId="71D1D09F" w14:textId="57AACC66">
      <w:pPr>
        <w:pStyle w:val="ListParagraph"/>
        <w:numPr>
          <w:ilvl w:val="0"/>
          <w:numId w:val="22"/>
        </w:numPr>
        <w:ind w:hanging="720"/>
        <w:rPr>
          <w:rFonts w:eastAsia="Times New Roman"/>
          <w:color w:val="auto"/>
        </w:rPr>
      </w:pPr>
      <w:r w:rsidRPr="207BD411">
        <w:rPr>
          <w:rFonts w:eastAsia="Times New Roman"/>
          <w:color w:val="auto"/>
        </w:rPr>
        <w:t>Based on letters of intent</w:t>
      </w:r>
      <w:r w:rsidRPr="207BD411" w:rsidR="00FE1A35">
        <w:rPr>
          <w:rFonts w:eastAsia="Times New Roman"/>
          <w:color w:val="auto"/>
        </w:rPr>
        <w:t>, approved timely renewal exemptions,</w:t>
      </w:r>
      <w:r w:rsidRPr="207BD411">
        <w:rPr>
          <w:rFonts w:eastAsia="Times New Roman"/>
          <w:color w:val="auto"/>
        </w:rPr>
        <w:t xml:space="preserve"> and discussions with licensees, the NRC anticipates receiving </w:t>
      </w:r>
      <w:r w:rsidR="00DF1BAF">
        <w:rPr>
          <w:rFonts w:eastAsia="Times New Roman"/>
          <w:color w:val="auto"/>
        </w:rPr>
        <w:t>two</w:t>
      </w:r>
      <w:r w:rsidRPr="207BD411">
        <w:rPr>
          <w:rFonts w:eastAsia="Times New Roman"/>
          <w:color w:val="auto"/>
        </w:rPr>
        <w:t xml:space="preserve"> SLR applications through fiscal year 2024.</w:t>
      </w:r>
    </w:p>
    <w:p w:rsidR="0078072B" w:rsidRPr="00E4074A" w:rsidP="0078072B" w14:paraId="193D6278" w14:textId="77777777">
      <w:pPr>
        <w:pStyle w:val="ListParagraph"/>
        <w:rPr>
          <w:rFonts w:eastAsia="Times New Roman"/>
          <w:color w:val="auto"/>
          <w:szCs w:val="20"/>
          <w:highlight w:val="yellow"/>
        </w:rPr>
      </w:pPr>
    </w:p>
    <w:p w:rsidR="0078072B" w:rsidP="0078072B" w14:paraId="62F74F10" w14:textId="2D3A85D6">
      <w:pPr>
        <w:pStyle w:val="ListParagraph"/>
        <w:numPr>
          <w:ilvl w:val="0"/>
          <w:numId w:val="22"/>
        </w:numPr>
        <w:ind w:hanging="720"/>
        <w:rPr>
          <w:rFonts w:eastAsia="Times New Roman"/>
          <w:color w:val="auto"/>
          <w:szCs w:val="20"/>
        </w:rPr>
      </w:pPr>
      <w:r>
        <w:rPr>
          <w:rFonts w:eastAsia="Times New Roman"/>
          <w:color w:val="auto"/>
          <w:szCs w:val="20"/>
        </w:rPr>
        <w:t xml:space="preserve">As a result of </w:t>
      </w:r>
      <w:r w:rsidR="00DF1BAF">
        <w:rPr>
          <w:rFonts w:eastAsia="Times New Roman"/>
          <w:color w:val="auto"/>
          <w:szCs w:val="20"/>
        </w:rPr>
        <w:t xml:space="preserve">Commission </w:t>
      </w:r>
      <w:r>
        <w:rPr>
          <w:rFonts w:eastAsia="Times New Roman"/>
          <w:color w:val="auto"/>
          <w:szCs w:val="20"/>
        </w:rPr>
        <w:t>Orders CLI</w:t>
      </w:r>
      <w:r>
        <w:rPr>
          <w:rFonts w:eastAsia="Times New Roman"/>
          <w:color w:val="auto"/>
          <w:szCs w:val="20"/>
        </w:rPr>
        <w:noBreakHyphen/>
        <w:t>22</w:t>
      </w:r>
      <w:r>
        <w:rPr>
          <w:rFonts w:eastAsia="Times New Roman"/>
          <w:color w:val="auto"/>
          <w:szCs w:val="20"/>
        </w:rPr>
        <w:noBreakHyphen/>
        <w:t>02, CLI</w:t>
      </w:r>
      <w:r>
        <w:rPr>
          <w:rFonts w:eastAsia="Times New Roman"/>
          <w:color w:val="auto"/>
          <w:szCs w:val="20"/>
        </w:rPr>
        <w:noBreakHyphen/>
        <w:t>22</w:t>
      </w:r>
      <w:r>
        <w:rPr>
          <w:rFonts w:eastAsia="Times New Roman"/>
          <w:color w:val="auto"/>
          <w:szCs w:val="20"/>
        </w:rPr>
        <w:noBreakHyphen/>
        <w:t>04, CLI</w:t>
      </w:r>
      <w:r>
        <w:rPr>
          <w:rFonts w:eastAsia="Times New Roman"/>
          <w:color w:val="auto"/>
          <w:szCs w:val="20"/>
        </w:rPr>
        <w:noBreakHyphen/>
        <w:t>22</w:t>
      </w:r>
      <w:r>
        <w:rPr>
          <w:rFonts w:eastAsia="Times New Roman"/>
          <w:color w:val="auto"/>
          <w:szCs w:val="20"/>
        </w:rPr>
        <w:noBreakHyphen/>
        <w:t>06</w:t>
      </w:r>
      <w:r w:rsidR="00A13E86">
        <w:rPr>
          <w:rFonts w:eastAsia="Times New Roman"/>
          <w:color w:val="auto"/>
          <w:szCs w:val="20"/>
        </w:rPr>
        <w:t>,</w:t>
      </w:r>
      <w:r>
        <w:rPr>
          <w:rFonts w:eastAsia="Times New Roman"/>
          <w:color w:val="auto"/>
          <w:szCs w:val="20"/>
        </w:rPr>
        <w:t xml:space="preserve"> and CLI</w:t>
      </w:r>
      <w:r>
        <w:rPr>
          <w:rFonts w:eastAsia="Times New Roman"/>
          <w:color w:val="auto"/>
          <w:szCs w:val="20"/>
        </w:rPr>
        <w:noBreakHyphen/>
        <w:t>22</w:t>
      </w:r>
      <w:r>
        <w:rPr>
          <w:rFonts w:eastAsia="Times New Roman"/>
          <w:color w:val="auto"/>
          <w:szCs w:val="20"/>
        </w:rPr>
        <w:noBreakHyphen/>
        <w:t>07, two of the three operating nuclear power plants sites with subsequently renewed licensees have been reset to the end of the initial period of extended operation. The remaining operating nuclear power plant site with an SLR would require no additional action.</w:t>
      </w:r>
    </w:p>
    <w:p w:rsidR="0078072B" w:rsidRPr="00E4074A" w:rsidP="0078072B" w14:paraId="44A0FEDD" w14:textId="77777777">
      <w:pPr>
        <w:pStyle w:val="ListParagraph"/>
        <w:rPr>
          <w:rFonts w:eastAsia="Times New Roman"/>
          <w:color w:val="auto"/>
          <w:szCs w:val="20"/>
          <w:highlight w:val="yellow"/>
        </w:rPr>
      </w:pPr>
    </w:p>
    <w:p w:rsidR="0078072B" w:rsidRPr="00DA583B" w:rsidP="0078072B" w14:paraId="6F5E4D42" w14:textId="2400CBD4">
      <w:pPr>
        <w:pStyle w:val="ListParagraph"/>
        <w:numPr>
          <w:ilvl w:val="0"/>
          <w:numId w:val="30"/>
        </w:numPr>
        <w:ind w:hanging="720"/>
      </w:pPr>
      <w:r w:rsidRPr="17A1830D">
        <w:rPr>
          <w:rFonts w:eastAsia="Times New Roman"/>
          <w:color w:val="auto"/>
        </w:rPr>
        <w:t>Some operating nuclear power plant sites will become eligible for a subsequent 20</w:t>
      </w:r>
      <w:r>
        <w:rPr>
          <w:rFonts w:eastAsia="Times New Roman"/>
          <w:color w:val="auto"/>
          <w:szCs w:val="20"/>
        </w:rPr>
        <w:noBreakHyphen/>
      </w:r>
      <w:r w:rsidRPr="17A1830D">
        <w:rPr>
          <w:rFonts w:eastAsia="Times New Roman"/>
          <w:color w:val="auto"/>
        </w:rPr>
        <w:t>year license extension after fiscal year 2024</w:t>
      </w:r>
      <w:r w:rsidR="00CE0D56">
        <w:rPr>
          <w:rFonts w:eastAsia="Times New Roman"/>
          <w:color w:val="auto"/>
        </w:rPr>
        <w:t xml:space="preserve"> (e.g., 60 to 80 years)</w:t>
      </w:r>
      <w:r w:rsidRPr="17A1830D">
        <w:rPr>
          <w:rFonts w:eastAsia="Times New Roman"/>
          <w:color w:val="auto"/>
        </w:rPr>
        <w:t xml:space="preserve">. The NRC expects to receive an estimated </w:t>
      </w:r>
      <w:r w:rsidRPr="00D662B5" w:rsidR="5CDEEBDD">
        <w:rPr>
          <w:rFonts w:eastAsia="Times New Roman"/>
          <w:color w:val="auto"/>
        </w:rPr>
        <w:t>43</w:t>
      </w:r>
      <w:r w:rsidRPr="17A1830D">
        <w:rPr>
          <w:rFonts w:eastAsia="Times New Roman"/>
          <w:color w:val="auto"/>
        </w:rPr>
        <w:t> SLR applications during fiscal year 2025 through fiscal year 2035.</w:t>
      </w:r>
    </w:p>
    <w:p w:rsidR="0078072B" w:rsidRPr="00D662B5" w:rsidP="00D33E14" w14:paraId="0FC6C92D" w14:textId="28CB53D8">
      <w:pPr>
        <w:ind w:left="720"/>
      </w:pPr>
    </w:p>
    <w:p w:rsidR="0078072B" w:rsidP="0078072B" w14:paraId="582081E9" w14:textId="13F63A48">
      <w:pPr>
        <w:pStyle w:val="text"/>
        <w:keepNext/>
        <w:keepLines/>
        <w:numPr>
          <w:ilvl w:val="0"/>
          <w:numId w:val="21"/>
        </w:numPr>
        <w:ind w:hanging="720"/>
      </w:pPr>
      <w:r w:rsidRPr="00EC74DF">
        <w:t xml:space="preserve">The NRC estimates that </w:t>
      </w:r>
      <w:r>
        <w:t xml:space="preserve">it will receive </w:t>
      </w:r>
      <w:r w:rsidRPr="00EC74DF">
        <w:t>a total o</w:t>
      </w:r>
      <w:r w:rsidRPr="00BB4B7B">
        <w:t xml:space="preserve">f </w:t>
      </w:r>
      <w:r w:rsidRPr="00D662B5">
        <w:t>44</w:t>
      </w:r>
      <w:r w:rsidRPr="00BB4B7B">
        <w:t xml:space="preserve"> license renewal applications (</w:t>
      </w:r>
      <w:r w:rsidRPr="00EC74DF">
        <w:t xml:space="preserve">including </w:t>
      </w:r>
      <w:r>
        <w:t>initial LR and SLR applications</w:t>
      </w:r>
      <w:r w:rsidRPr="00EC74DF">
        <w:t xml:space="preserve">) in the </w:t>
      </w:r>
      <w:r>
        <w:t>10</w:t>
      </w:r>
      <w:r>
        <w:noBreakHyphen/>
        <w:t>year cycle following the effective</w:t>
      </w:r>
      <w:r w:rsidRPr="00EC74DF">
        <w:t xml:space="preserve"> date of the rule</w:t>
      </w:r>
      <w:r>
        <w:t>, as show</w:t>
      </w:r>
      <w:r w:rsidRPr="00B83469">
        <w:t xml:space="preserve">n in </w:t>
      </w:r>
      <w:r w:rsidRPr="00F81960">
        <w:fldChar w:fldCharType="begin"/>
      </w:r>
      <w:r w:rsidRPr="00F81960">
        <w:instrText xml:space="preserve"> REF _Ref108428968 \h </w:instrText>
      </w:r>
      <w:r w:rsidRPr="00921AA0" w:rsidR="00C056BB">
        <w:rPr>
          <w:highlight w:val="yellow"/>
        </w:rPr>
        <w:instrText xml:space="preserve"> \* MERGEFORMAT </w:instrText>
      </w:r>
      <w:r w:rsidRPr="00F81960">
        <w:fldChar w:fldCharType="separate"/>
      </w:r>
      <w:r w:rsidRPr="00F81960">
        <w:t>Table </w:t>
      </w:r>
      <w:r w:rsidRPr="00F81960">
        <w:rPr>
          <w:noProof/>
        </w:rPr>
        <w:t>1</w:t>
      </w:r>
      <w:r w:rsidRPr="00F81960">
        <w:fldChar w:fldCharType="end"/>
      </w:r>
      <w:r w:rsidRPr="00F81960">
        <w:t>.</w:t>
      </w:r>
      <w:r w:rsidRPr="00B83469">
        <w:t xml:space="preserve"> Cu</w:t>
      </w:r>
      <w:r w:rsidRPr="00EC74DF">
        <w:t xml:space="preserve">rrently, sufficient data </w:t>
      </w:r>
      <w:r w:rsidR="00A13E86">
        <w:t>do</w:t>
      </w:r>
      <w:r w:rsidRPr="00EC74DF">
        <w:t xml:space="preserve"> not exist to support estimates on license renewal applications </w:t>
      </w:r>
      <w:r w:rsidRPr="0079381B">
        <w:t>beyond 2035.</w:t>
      </w:r>
    </w:p>
    <w:p w:rsidR="0078072B" w:rsidRPr="00400095" w:rsidP="0078072B" w14:paraId="7224BB2E" w14:textId="6826A715">
      <w:pPr>
        <w:pStyle w:val="Caption"/>
        <w:jc w:val="center"/>
        <w:rPr>
          <w:b/>
        </w:rPr>
      </w:pPr>
      <w:bookmarkStart w:id="28" w:name="_Toc147923416"/>
      <w:r w:rsidRPr="00400095">
        <w:rPr>
          <w:b/>
        </w:rPr>
        <w:t>Table </w:t>
      </w:r>
      <w:r w:rsidRPr="00400095">
        <w:rPr>
          <w:b/>
        </w:rPr>
        <w:fldChar w:fldCharType="begin"/>
      </w:r>
      <w:r w:rsidRPr="009B14B4">
        <w:instrText xml:space="preserve"> SEQ Table \* ARABIC \r1</w:instrText>
      </w:r>
      <w:r w:rsidRPr="00400095">
        <w:rPr>
          <w:b/>
        </w:rPr>
        <w:fldChar w:fldCharType="separate"/>
      </w:r>
      <w:r w:rsidRPr="00E4074A" w:rsidR="00E427D5">
        <w:rPr>
          <w:b/>
          <w:noProof/>
        </w:rPr>
        <w:t>1</w:t>
      </w:r>
      <w:r w:rsidRPr="00400095">
        <w:rPr>
          <w:b/>
        </w:rPr>
        <w:fldChar w:fldCharType="end"/>
      </w:r>
      <w:r w:rsidRPr="00C558F8">
        <w:rPr>
          <w:b/>
          <w:bCs w:val="0"/>
        </w:rPr>
        <w:t xml:space="preserve">  </w:t>
      </w:r>
      <w:r w:rsidRPr="00400095">
        <w:rPr>
          <w:b/>
        </w:rPr>
        <w:t>Affected License Renewal Applicants</w:t>
      </w:r>
      <w:r>
        <w:rPr>
          <w:rStyle w:val="FootnoteReference"/>
          <w:b/>
          <w:vertAlign w:val="superscript"/>
        </w:rPr>
        <w:footnoteReference w:id="8"/>
      </w:r>
      <w:bookmarkEnd w:id="28"/>
    </w:p>
    <w:tbl>
      <w:tblPr>
        <w:tblW w:w="8365" w:type="dxa"/>
        <w:tblLook w:val="04A0"/>
      </w:tblPr>
      <w:tblGrid>
        <w:gridCol w:w="1615"/>
        <w:gridCol w:w="1080"/>
        <w:gridCol w:w="1170"/>
        <w:gridCol w:w="2430"/>
        <w:gridCol w:w="2070"/>
      </w:tblGrid>
      <w:tr w14:paraId="3975D9B4" w14:textId="77777777" w:rsidTr="0066072E">
        <w:tblPrEx>
          <w:tblW w:w="8365" w:type="dxa"/>
          <w:tblLook w:val="04A0"/>
        </w:tblPrEx>
        <w:trPr>
          <w:trHeight w:val="86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72B" w:rsidRPr="00101046" w:rsidP="0066072E" w14:paraId="062DD75D" w14:textId="77777777">
            <w:pPr>
              <w:autoSpaceDE/>
              <w:autoSpaceDN/>
              <w:adjustRightInd/>
              <w:spacing w:line="240" w:lineRule="auto"/>
              <w:jc w:val="center"/>
              <w:rPr>
                <w:rFonts w:eastAsia="Times New Roman"/>
                <w:b/>
                <w:bCs/>
                <w:color w:val="000000"/>
                <w:sz w:val="20"/>
                <w:szCs w:val="20"/>
              </w:rPr>
            </w:pPr>
            <w:r w:rsidRPr="00101046">
              <w:rPr>
                <w:rFonts w:eastAsia="Times New Roman"/>
                <w:b/>
                <w:bCs/>
                <w:color w:val="000000"/>
                <w:sz w:val="20"/>
                <w:szCs w:val="20"/>
              </w:rPr>
              <w:t>Calendar Year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8072B" w:rsidRPr="00101046" w:rsidP="0066072E" w14:paraId="27ABC3CF" w14:textId="77777777">
            <w:pPr>
              <w:autoSpaceDE/>
              <w:autoSpaceDN/>
              <w:adjustRightInd/>
              <w:spacing w:line="240" w:lineRule="auto"/>
              <w:jc w:val="center"/>
              <w:rPr>
                <w:rFonts w:eastAsia="Times New Roman"/>
                <w:b/>
                <w:bCs/>
                <w:color w:val="000000"/>
                <w:sz w:val="20"/>
                <w:szCs w:val="20"/>
              </w:rPr>
            </w:pPr>
            <w:r w:rsidRPr="00101046">
              <w:rPr>
                <w:rFonts w:eastAsia="Times New Roman"/>
                <w:b/>
                <w:bCs/>
                <w:color w:val="000000"/>
                <w:sz w:val="20"/>
                <w:szCs w:val="20"/>
              </w:rPr>
              <w:t>Initial L</w:t>
            </w:r>
            <w:r>
              <w:rPr>
                <w:rFonts w:eastAsia="Times New Roman"/>
                <w:b/>
                <w:bCs/>
                <w:color w:val="000000"/>
                <w:sz w:val="20"/>
                <w:szCs w:val="20"/>
              </w:rPr>
              <w:t>R</w:t>
            </w:r>
            <w:r w:rsidRPr="00101046">
              <w:rPr>
                <w:rFonts w:eastAsia="Times New Roman"/>
                <w:b/>
                <w:bCs/>
                <w:color w:val="000000"/>
                <w:sz w:val="20"/>
                <w:szCs w:val="20"/>
                <w:vertAlign w:val="superscript"/>
              </w:rPr>
              <w:t>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78072B" w:rsidRPr="00101046" w:rsidP="0066072E" w14:paraId="03839872" w14:textId="77777777">
            <w:pPr>
              <w:autoSpaceDE/>
              <w:autoSpaceDN/>
              <w:adjustRightInd/>
              <w:spacing w:line="240" w:lineRule="auto"/>
              <w:jc w:val="center"/>
              <w:rPr>
                <w:rFonts w:eastAsia="Times New Roman"/>
                <w:b/>
                <w:bCs/>
                <w:color w:val="000000"/>
                <w:sz w:val="20"/>
                <w:szCs w:val="20"/>
              </w:rPr>
            </w:pPr>
            <w:r w:rsidRPr="00101046">
              <w:rPr>
                <w:rFonts w:eastAsia="Times New Roman"/>
                <w:b/>
                <w:bCs/>
                <w:color w:val="000000"/>
                <w:sz w:val="20"/>
                <w:szCs w:val="20"/>
              </w:rPr>
              <w:t>Future SLR</w:t>
            </w:r>
          </w:p>
        </w:tc>
        <w:tc>
          <w:tcPr>
            <w:tcW w:w="2430" w:type="dxa"/>
            <w:tcBorders>
              <w:top w:val="single" w:sz="4" w:space="0" w:color="auto"/>
              <w:left w:val="nil"/>
              <w:bottom w:val="single" w:sz="4" w:space="0" w:color="auto"/>
              <w:right w:val="single" w:sz="4" w:space="0" w:color="auto"/>
            </w:tcBorders>
            <w:vAlign w:val="center"/>
          </w:tcPr>
          <w:p w:rsidR="0078072B" w:rsidRPr="00101046" w:rsidP="0066072E" w14:paraId="6A7C0263" w14:textId="590E92C3">
            <w:pPr>
              <w:autoSpaceDE/>
              <w:autoSpaceDN/>
              <w:adjustRightInd/>
              <w:spacing w:line="240" w:lineRule="auto"/>
              <w:jc w:val="center"/>
              <w:rPr>
                <w:rFonts w:eastAsia="Times New Roman"/>
                <w:b/>
                <w:bCs/>
                <w:color w:val="000000"/>
                <w:sz w:val="20"/>
                <w:szCs w:val="20"/>
              </w:rPr>
            </w:pPr>
            <w:r w:rsidRPr="00101046">
              <w:rPr>
                <w:rFonts w:eastAsia="Times New Roman"/>
                <w:b/>
                <w:bCs/>
                <w:color w:val="000000"/>
                <w:sz w:val="20"/>
                <w:szCs w:val="20"/>
              </w:rPr>
              <w:t>Near-</w:t>
            </w:r>
            <w:r>
              <w:rPr>
                <w:rFonts w:eastAsia="Times New Roman"/>
                <w:b/>
                <w:bCs/>
                <w:color w:val="000000"/>
                <w:sz w:val="20"/>
                <w:szCs w:val="20"/>
              </w:rPr>
              <w:t>T</w:t>
            </w:r>
            <w:r w:rsidRPr="00101046">
              <w:rPr>
                <w:rFonts w:eastAsia="Times New Roman"/>
                <w:b/>
                <w:bCs/>
                <w:color w:val="000000"/>
                <w:sz w:val="20"/>
                <w:szCs w:val="20"/>
              </w:rPr>
              <w:t>erm</w:t>
            </w:r>
            <w:r w:rsidR="000D10AC">
              <w:rPr>
                <w:rFonts w:eastAsia="Times New Roman"/>
                <w:b/>
                <w:bCs/>
                <w:color w:val="000000"/>
                <w:sz w:val="20"/>
                <w:szCs w:val="20"/>
              </w:rPr>
              <w:t xml:space="preserve"> and</w:t>
            </w:r>
            <w:r w:rsidRPr="00101046">
              <w:rPr>
                <w:rFonts w:eastAsia="Times New Roman"/>
                <w:b/>
                <w:bCs/>
                <w:color w:val="000000"/>
                <w:sz w:val="20"/>
                <w:szCs w:val="20"/>
              </w:rPr>
              <w:t xml:space="preserve"> Submitted</w:t>
            </w:r>
            <w:r w:rsidR="000D10AC">
              <w:rPr>
                <w:rFonts w:eastAsia="Times New Roman"/>
                <w:b/>
                <w:bCs/>
                <w:color w:val="000000"/>
                <w:sz w:val="20"/>
                <w:szCs w:val="20"/>
              </w:rPr>
              <w:t xml:space="preserve"> Applications</w:t>
            </w:r>
            <w:r w:rsidRPr="00101046">
              <w:rPr>
                <w:rFonts w:eastAsia="Times New Roman"/>
                <w:b/>
                <w:bCs/>
                <w:color w:val="000000"/>
                <w:sz w:val="20"/>
                <w:szCs w:val="20"/>
              </w:rPr>
              <w:t xml:space="preserve">, </w:t>
            </w:r>
            <w:r>
              <w:rPr>
                <w:rFonts w:eastAsia="Times New Roman"/>
                <w:b/>
                <w:bCs/>
                <w:color w:val="000000"/>
                <w:sz w:val="20"/>
                <w:szCs w:val="20"/>
              </w:rPr>
              <w:t>and</w:t>
            </w:r>
            <w:r w:rsidRPr="00101046">
              <w:rPr>
                <w:rFonts w:eastAsia="Times New Roman"/>
                <w:b/>
                <w:bCs/>
                <w:color w:val="000000"/>
                <w:sz w:val="20"/>
                <w:szCs w:val="20"/>
              </w:rPr>
              <w:t xml:space="preserve"> </w:t>
            </w:r>
            <w:r w:rsidR="000D10AC">
              <w:rPr>
                <w:rFonts w:eastAsia="Times New Roman"/>
                <w:b/>
                <w:bCs/>
                <w:color w:val="000000"/>
                <w:sz w:val="20"/>
                <w:szCs w:val="20"/>
              </w:rPr>
              <w:t>Issued</w:t>
            </w:r>
            <w:r w:rsidRPr="00101046" w:rsidR="000D10AC">
              <w:rPr>
                <w:rFonts w:eastAsia="Times New Roman"/>
                <w:b/>
                <w:bCs/>
                <w:color w:val="000000"/>
                <w:sz w:val="20"/>
                <w:szCs w:val="20"/>
              </w:rPr>
              <w:t xml:space="preserve"> </w:t>
            </w:r>
            <w:r w:rsidRPr="00101046">
              <w:rPr>
                <w:rFonts w:eastAsia="Times New Roman"/>
                <w:b/>
                <w:bCs/>
                <w:color w:val="000000"/>
                <w:sz w:val="20"/>
                <w:szCs w:val="20"/>
              </w:rPr>
              <w:t>Subsequent</w:t>
            </w:r>
            <w:r>
              <w:rPr>
                <w:rFonts w:eastAsia="Times New Roman"/>
                <w:b/>
                <w:bCs/>
                <w:color w:val="000000"/>
                <w:sz w:val="20"/>
                <w:szCs w:val="20"/>
              </w:rPr>
              <w:t>ly</w:t>
            </w:r>
            <w:r w:rsidRPr="00101046">
              <w:rPr>
                <w:rFonts w:eastAsia="Times New Roman"/>
                <w:b/>
                <w:bCs/>
                <w:color w:val="000000"/>
                <w:sz w:val="20"/>
                <w:szCs w:val="20"/>
              </w:rPr>
              <w:t xml:space="preserve"> </w:t>
            </w:r>
            <w:r>
              <w:rPr>
                <w:rFonts w:eastAsia="Times New Roman"/>
                <w:b/>
                <w:bCs/>
                <w:color w:val="000000"/>
                <w:sz w:val="20"/>
                <w:szCs w:val="20"/>
              </w:rPr>
              <w:t xml:space="preserve">Renewed </w:t>
            </w:r>
            <w:r w:rsidRPr="00101046">
              <w:rPr>
                <w:rFonts w:eastAsia="Times New Roman"/>
                <w:b/>
                <w:bCs/>
                <w:color w:val="000000"/>
                <w:sz w:val="20"/>
                <w:szCs w:val="20"/>
              </w:rPr>
              <w:t>License</w:t>
            </w:r>
            <w:r>
              <w:rPr>
                <w:rFonts w:eastAsia="Times New Roman"/>
                <w:b/>
                <w:bCs/>
                <w:color w:val="000000"/>
                <w:sz w:val="20"/>
                <w:szCs w:val="20"/>
              </w:rPr>
              <w: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72B" w:rsidRPr="00101046" w:rsidP="0066072E" w14:paraId="327479EA" w14:textId="77777777">
            <w:pPr>
              <w:autoSpaceDE/>
              <w:autoSpaceDN/>
              <w:adjustRightInd/>
              <w:spacing w:line="240" w:lineRule="auto"/>
              <w:jc w:val="center"/>
              <w:rPr>
                <w:rFonts w:eastAsia="Times New Roman"/>
                <w:b/>
                <w:bCs/>
                <w:color w:val="000000"/>
                <w:sz w:val="20"/>
                <w:szCs w:val="20"/>
              </w:rPr>
            </w:pPr>
            <w:r w:rsidRPr="00101046">
              <w:rPr>
                <w:rFonts w:eastAsia="Times New Roman"/>
                <w:b/>
                <w:bCs/>
                <w:color w:val="000000"/>
                <w:sz w:val="20"/>
                <w:szCs w:val="20"/>
              </w:rPr>
              <w:t>Total License Renewal Applications</w:t>
            </w:r>
            <w:r w:rsidRPr="00101046">
              <w:rPr>
                <w:rFonts w:eastAsia="Times New Roman"/>
                <w:b/>
                <w:bCs/>
                <w:color w:val="000000"/>
                <w:sz w:val="20"/>
                <w:szCs w:val="20"/>
                <w:vertAlign w:val="superscript"/>
              </w:rPr>
              <w:t>b</w:t>
            </w:r>
            <w:r>
              <w:rPr>
                <w:rFonts w:eastAsia="Times New Roman"/>
                <w:b/>
                <w:bCs/>
                <w:color w:val="000000"/>
                <w:sz w:val="20"/>
                <w:szCs w:val="20"/>
                <w:vertAlign w:val="superscript"/>
              </w:rPr>
              <w:t>, c</w:t>
            </w:r>
          </w:p>
        </w:tc>
      </w:tr>
      <w:tr w14:paraId="5C99F7F9" w14:textId="77777777" w:rsidTr="0066072E">
        <w:tblPrEx>
          <w:tblW w:w="8365" w:type="dxa"/>
          <w:tblLook w:val="04A0"/>
        </w:tblPrEx>
        <w:trPr>
          <w:trHeight w:val="28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792DA41B"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2025</w:t>
            </w:r>
          </w:p>
        </w:tc>
        <w:tc>
          <w:tcPr>
            <w:tcW w:w="108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66FD9837"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29C5724A" w14:textId="77777777">
            <w:pPr>
              <w:autoSpaceDE/>
              <w:autoSpaceDN/>
              <w:adjustRightInd/>
              <w:spacing w:line="240" w:lineRule="auto"/>
              <w:jc w:val="center"/>
              <w:rPr>
                <w:rFonts w:eastAsia="Times New Roman"/>
                <w:color w:val="000000"/>
                <w:sz w:val="20"/>
                <w:szCs w:val="20"/>
              </w:rPr>
            </w:pPr>
            <w:r w:rsidRPr="00BD7DB9">
              <w:rPr>
                <w:sz w:val="20"/>
                <w:szCs w:val="20"/>
              </w:rPr>
              <w:t>13</w:t>
            </w:r>
          </w:p>
        </w:tc>
        <w:tc>
          <w:tcPr>
            <w:tcW w:w="2430" w:type="dxa"/>
            <w:tcBorders>
              <w:top w:val="single" w:sz="4" w:space="0" w:color="auto"/>
              <w:left w:val="nil"/>
              <w:bottom w:val="single" w:sz="4" w:space="0" w:color="auto"/>
              <w:right w:val="single" w:sz="4" w:space="0" w:color="auto"/>
            </w:tcBorders>
            <w:vAlign w:val="center"/>
          </w:tcPr>
          <w:p w:rsidR="0078072B" w:rsidRPr="00101046" w:rsidP="0066072E" w14:paraId="16BE4179" w14:textId="362B6DFB">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1</w:t>
            </w:r>
            <w:r>
              <w:rPr>
                <w:rFonts w:eastAsia="Times New Roman"/>
                <w:color w:val="000000"/>
                <w:sz w:val="20"/>
                <w:szCs w:val="20"/>
              </w:rPr>
              <w:t>0</w:t>
            </w: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1BE28877" w14:textId="77777777">
            <w:pPr>
              <w:autoSpaceDE/>
              <w:autoSpaceDN/>
              <w:adjustRightInd/>
              <w:spacing w:line="240" w:lineRule="auto"/>
              <w:jc w:val="center"/>
              <w:rPr>
                <w:rFonts w:eastAsia="Times New Roman"/>
                <w:color w:val="000000"/>
                <w:sz w:val="20"/>
                <w:szCs w:val="20"/>
              </w:rPr>
            </w:pPr>
            <w:r w:rsidRPr="00BD7DB9">
              <w:rPr>
                <w:sz w:val="20"/>
                <w:szCs w:val="20"/>
              </w:rPr>
              <w:t>23</w:t>
            </w:r>
          </w:p>
        </w:tc>
      </w:tr>
      <w:tr w14:paraId="375468E8" w14:textId="77777777" w:rsidTr="0066072E">
        <w:tblPrEx>
          <w:tblW w:w="8365" w:type="dxa"/>
          <w:tblLook w:val="04A0"/>
        </w:tblPrEx>
        <w:trPr>
          <w:trHeight w:val="28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19CAF4E2"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2026</w:t>
            </w:r>
          </w:p>
        </w:tc>
        <w:tc>
          <w:tcPr>
            <w:tcW w:w="108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1A214B62"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8072B" w:rsidRPr="00B619AC" w:rsidP="0066072E" w14:paraId="0A55BACF" w14:textId="77777777">
            <w:pPr>
              <w:autoSpaceDE/>
              <w:autoSpaceDN/>
              <w:adjustRightInd/>
              <w:spacing w:line="240" w:lineRule="auto"/>
              <w:jc w:val="center"/>
              <w:rPr>
                <w:sz w:val="20"/>
                <w:szCs w:val="20"/>
              </w:rPr>
            </w:pPr>
            <w:r>
              <w:rPr>
                <w:sz w:val="20"/>
                <w:szCs w:val="20"/>
              </w:rPr>
              <w:t>2</w:t>
            </w:r>
          </w:p>
        </w:tc>
        <w:tc>
          <w:tcPr>
            <w:tcW w:w="2430" w:type="dxa"/>
            <w:tcBorders>
              <w:top w:val="single" w:sz="4" w:space="0" w:color="auto"/>
              <w:left w:val="nil"/>
              <w:bottom w:val="single" w:sz="4" w:space="0" w:color="auto"/>
              <w:right w:val="single" w:sz="4" w:space="0" w:color="auto"/>
            </w:tcBorders>
            <w:vAlign w:val="center"/>
          </w:tcPr>
          <w:p w:rsidR="0078072B" w:rsidRPr="00101046" w:rsidP="0066072E" w14:paraId="15EC4043" w14:textId="77777777">
            <w:pPr>
              <w:autoSpaceDE/>
              <w:autoSpaceDN/>
              <w:adjustRightInd/>
              <w:spacing w:line="240" w:lineRule="auto"/>
              <w:jc w:val="center"/>
              <w:rPr>
                <w:rFonts w:eastAsia="Times New Roman"/>
                <w:color w:val="000000"/>
                <w:sz w:val="20"/>
                <w:szCs w:val="20"/>
              </w:rPr>
            </w:pP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236A127F" w14:textId="7B5AFBB6">
            <w:pPr>
              <w:autoSpaceDE/>
              <w:autoSpaceDN/>
              <w:adjustRightInd/>
              <w:spacing w:line="240" w:lineRule="auto"/>
              <w:jc w:val="center"/>
              <w:rPr>
                <w:rFonts w:eastAsia="Times New Roman"/>
                <w:color w:val="000000"/>
                <w:sz w:val="20"/>
                <w:szCs w:val="20"/>
              </w:rPr>
            </w:pPr>
            <w:r>
              <w:rPr>
                <w:sz w:val="20"/>
                <w:szCs w:val="20"/>
              </w:rPr>
              <w:t>2</w:t>
            </w:r>
          </w:p>
        </w:tc>
      </w:tr>
      <w:tr w14:paraId="455BED54" w14:textId="77777777" w:rsidTr="0066072E">
        <w:tblPrEx>
          <w:tblW w:w="8365" w:type="dxa"/>
          <w:tblLook w:val="04A0"/>
        </w:tblPrEx>
        <w:trPr>
          <w:trHeight w:val="28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3C494CCC"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2027</w:t>
            </w:r>
          </w:p>
        </w:tc>
        <w:tc>
          <w:tcPr>
            <w:tcW w:w="108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6313F0A5"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0F03CF2C" w14:textId="77777777">
            <w:pPr>
              <w:autoSpaceDE/>
              <w:autoSpaceDN/>
              <w:adjustRightInd/>
              <w:spacing w:line="240" w:lineRule="auto"/>
              <w:jc w:val="center"/>
              <w:rPr>
                <w:rFonts w:eastAsia="Times New Roman"/>
                <w:color w:val="000000"/>
                <w:sz w:val="20"/>
                <w:szCs w:val="20"/>
              </w:rPr>
            </w:pPr>
            <w:r>
              <w:rPr>
                <w:sz w:val="20"/>
                <w:szCs w:val="20"/>
              </w:rPr>
              <w:t>2</w:t>
            </w:r>
          </w:p>
        </w:tc>
        <w:tc>
          <w:tcPr>
            <w:tcW w:w="2430" w:type="dxa"/>
            <w:tcBorders>
              <w:top w:val="single" w:sz="4" w:space="0" w:color="auto"/>
              <w:left w:val="nil"/>
              <w:bottom w:val="single" w:sz="4" w:space="0" w:color="auto"/>
              <w:right w:val="single" w:sz="4" w:space="0" w:color="auto"/>
            </w:tcBorders>
            <w:vAlign w:val="center"/>
          </w:tcPr>
          <w:p w:rsidR="0078072B" w:rsidRPr="00101046" w:rsidP="0066072E" w14:paraId="202F8DAC" w14:textId="77777777">
            <w:pPr>
              <w:autoSpaceDE/>
              <w:autoSpaceDN/>
              <w:adjustRightInd/>
              <w:spacing w:line="240" w:lineRule="auto"/>
              <w:jc w:val="center"/>
              <w:rPr>
                <w:rFonts w:eastAsia="Times New Roman"/>
                <w:color w:val="000000"/>
                <w:sz w:val="20"/>
                <w:szCs w:val="20"/>
              </w:rPr>
            </w:pP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5B5ACC49" w14:textId="6C776FC6">
            <w:pPr>
              <w:autoSpaceDE/>
              <w:autoSpaceDN/>
              <w:adjustRightInd/>
              <w:spacing w:line="240" w:lineRule="auto"/>
              <w:jc w:val="center"/>
              <w:rPr>
                <w:rFonts w:eastAsia="Times New Roman"/>
                <w:color w:val="000000"/>
                <w:sz w:val="20"/>
                <w:szCs w:val="20"/>
              </w:rPr>
            </w:pPr>
            <w:r>
              <w:rPr>
                <w:sz w:val="20"/>
                <w:szCs w:val="20"/>
              </w:rPr>
              <w:t>2</w:t>
            </w:r>
          </w:p>
        </w:tc>
      </w:tr>
      <w:tr w14:paraId="57E5B600" w14:textId="77777777" w:rsidTr="0066072E">
        <w:tblPrEx>
          <w:tblW w:w="8365" w:type="dxa"/>
          <w:tblLook w:val="04A0"/>
        </w:tblPrEx>
        <w:trPr>
          <w:trHeight w:val="28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72AC7D10"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2028</w:t>
            </w:r>
          </w:p>
        </w:tc>
        <w:tc>
          <w:tcPr>
            <w:tcW w:w="108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5E46CEF0"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5D7DBE67" w14:textId="77777777">
            <w:pPr>
              <w:autoSpaceDE/>
              <w:autoSpaceDN/>
              <w:adjustRightInd/>
              <w:spacing w:line="240" w:lineRule="auto"/>
              <w:jc w:val="center"/>
              <w:rPr>
                <w:rFonts w:eastAsia="Times New Roman"/>
                <w:color w:val="000000"/>
                <w:sz w:val="20"/>
                <w:szCs w:val="20"/>
              </w:rPr>
            </w:pPr>
            <w:r>
              <w:rPr>
                <w:sz w:val="20"/>
                <w:szCs w:val="20"/>
              </w:rPr>
              <w:t>1</w:t>
            </w:r>
          </w:p>
        </w:tc>
        <w:tc>
          <w:tcPr>
            <w:tcW w:w="2430" w:type="dxa"/>
            <w:tcBorders>
              <w:top w:val="single" w:sz="4" w:space="0" w:color="auto"/>
              <w:left w:val="nil"/>
              <w:bottom w:val="single" w:sz="4" w:space="0" w:color="auto"/>
              <w:right w:val="single" w:sz="4" w:space="0" w:color="auto"/>
            </w:tcBorders>
            <w:vAlign w:val="center"/>
          </w:tcPr>
          <w:p w:rsidR="0078072B" w:rsidRPr="00101046" w:rsidP="0066072E" w14:paraId="3BFE60DE" w14:textId="77777777">
            <w:pPr>
              <w:autoSpaceDE/>
              <w:autoSpaceDN/>
              <w:adjustRightInd/>
              <w:spacing w:line="240" w:lineRule="auto"/>
              <w:jc w:val="center"/>
              <w:rPr>
                <w:rFonts w:eastAsia="Times New Roman"/>
                <w:color w:val="000000"/>
                <w:sz w:val="20"/>
                <w:szCs w:val="20"/>
              </w:rPr>
            </w:pP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28D6EA42" w14:textId="3D07E61B">
            <w:pPr>
              <w:autoSpaceDE/>
              <w:autoSpaceDN/>
              <w:adjustRightInd/>
              <w:spacing w:line="240" w:lineRule="auto"/>
              <w:jc w:val="center"/>
              <w:rPr>
                <w:rFonts w:eastAsia="Times New Roman"/>
                <w:color w:val="000000"/>
                <w:sz w:val="20"/>
                <w:szCs w:val="20"/>
              </w:rPr>
            </w:pPr>
            <w:r>
              <w:rPr>
                <w:sz w:val="20"/>
                <w:szCs w:val="20"/>
              </w:rPr>
              <w:t>1</w:t>
            </w:r>
          </w:p>
        </w:tc>
      </w:tr>
      <w:tr w14:paraId="25133F6C" w14:textId="77777777" w:rsidTr="0066072E">
        <w:tblPrEx>
          <w:tblW w:w="8365" w:type="dxa"/>
          <w:tblLook w:val="04A0"/>
        </w:tblPrEx>
        <w:trPr>
          <w:trHeight w:val="28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2283F78B"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2029</w:t>
            </w:r>
          </w:p>
        </w:tc>
        <w:tc>
          <w:tcPr>
            <w:tcW w:w="108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3BBC454C"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40BB381F" w14:textId="77777777">
            <w:pPr>
              <w:autoSpaceDE/>
              <w:autoSpaceDN/>
              <w:adjustRightInd/>
              <w:spacing w:line="240" w:lineRule="auto"/>
              <w:jc w:val="center"/>
              <w:rPr>
                <w:rFonts w:eastAsia="Times New Roman"/>
                <w:color w:val="000000"/>
                <w:sz w:val="20"/>
                <w:szCs w:val="20"/>
              </w:rPr>
            </w:pPr>
            <w:r w:rsidRPr="00BD7DB9">
              <w:rPr>
                <w:sz w:val="20"/>
                <w:szCs w:val="20"/>
              </w:rPr>
              <w:t>0</w:t>
            </w:r>
          </w:p>
        </w:tc>
        <w:tc>
          <w:tcPr>
            <w:tcW w:w="2430" w:type="dxa"/>
            <w:tcBorders>
              <w:top w:val="single" w:sz="4" w:space="0" w:color="auto"/>
              <w:left w:val="nil"/>
              <w:bottom w:val="single" w:sz="4" w:space="0" w:color="auto"/>
              <w:right w:val="single" w:sz="4" w:space="0" w:color="auto"/>
            </w:tcBorders>
            <w:vAlign w:val="center"/>
          </w:tcPr>
          <w:p w:rsidR="0078072B" w:rsidRPr="00101046" w:rsidP="0066072E" w14:paraId="6964C9FC" w14:textId="77777777">
            <w:pPr>
              <w:autoSpaceDE/>
              <w:autoSpaceDN/>
              <w:adjustRightInd/>
              <w:spacing w:line="240" w:lineRule="auto"/>
              <w:jc w:val="center"/>
              <w:rPr>
                <w:rFonts w:eastAsia="Times New Roman"/>
                <w:color w:val="000000"/>
                <w:sz w:val="20"/>
                <w:szCs w:val="20"/>
              </w:rPr>
            </w:pP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5AA5C8BF" w14:textId="77777777">
            <w:pPr>
              <w:autoSpaceDE/>
              <w:autoSpaceDN/>
              <w:adjustRightInd/>
              <w:spacing w:line="240" w:lineRule="auto"/>
              <w:jc w:val="center"/>
              <w:rPr>
                <w:rFonts w:eastAsia="Times New Roman"/>
                <w:color w:val="000000"/>
                <w:sz w:val="20"/>
                <w:szCs w:val="20"/>
              </w:rPr>
            </w:pPr>
            <w:r w:rsidRPr="00BD7DB9">
              <w:rPr>
                <w:sz w:val="20"/>
                <w:szCs w:val="20"/>
              </w:rPr>
              <w:t>0</w:t>
            </w:r>
          </w:p>
        </w:tc>
      </w:tr>
      <w:tr w14:paraId="127CE529" w14:textId="77777777" w:rsidTr="0066072E">
        <w:tblPrEx>
          <w:tblW w:w="8365" w:type="dxa"/>
          <w:tblLook w:val="04A0"/>
        </w:tblPrEx>
        <w:trPr>
          <w:trHeight w:val="28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6E74EB9F"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2030</w:t>
            </w:r>
          </w:p>
        </w:tc>
        <w:tc>
          <w:tcPr>
            <w:tcW w:w="108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1680275A"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4D727373" w14:textId="77777777">
            <w:pPr>
              <w:autoSpaceDE/>
              <w:autoSpaceDN/>
              <w:adjustRightInd/>
              <w:spacing w:line="240" w:lineRule="auto"/>
              <w:jc w:val="center"/>
              <w:rPr>
                <w:rFonts w:eastAsia="Times New Roman"/>
                <w:color w:val="000000"/>
                <w:sz w:val="20"/>
                <w:szCs w:val="20"/>
              </w:rPr>
            </w:pPr>
            <w:r>
              <w:rPr>
                <w:sz w:val="20"/>
                <w:szCs w:val="20"/>
              </w:rPr>
              <w:t>1</w:t>
            </w:r>
          </w:p>
        </w:tc>
        <w:tc>
          <w:tcPr>
            <w:tcW w:w="2430" w:type="dxa"/>
            <w:tcBorders>
              <w:top w:val="single" w:sz="4" w:space="0" w:color="auto"/>
              <w:left w:val="nil"/>
              <w:bottom w:val="single" w:sz="4" w:space="0" w:color="auto"/>
              <w:right w:val="single" w:sz="4" w:space="0" w:color="auto"/>
            </w:tcBorders>
            <w:vAlign w:val="center"/>
          </w:tcPr>
          <w:p w:rsidR="0078072B" w:rsidRPr="00101046" w:rsidP="0066072E" w14:paraId="3AC3CEC1" w14:textId="77777777">
            <w:pPr>
              <w:autoSpaceDE/>
              <w:autoSpaceDN/>
              <w:adjustRightInd/>
              <w:spacing w:line="240" w:lineRule="auto"/>
              <w:jc w:val="center"/>
              <w:rPr>
                <w:rFonts w:eastAsia="Times New Roman"/>
                <w:color w:val="000000"/>
                <w:sz w:val="20"/>
                <w:szCs w:val="20"/>
              </w:rPr>
            </w:pP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04DFA300" w14:textId="7313784A">
            <w:pPr>
              <w:autoSpaceDE/>
              <w:autoSpaceDN/>
              <w:adjustRightInd/>
              <w:spacing w:line="240" w:lineRule="auto"/>
              <w:jc w:val="center"/>
              <w:rPr>
                <w:rFonts w:eastAsia="Times New Roman"/>
                <w:color w:val="000000"/>
                <w:sz w:val="20"/>
                <w:szCs w:val="20"/>
              </w:rPr>
            </w:pPr>
            <w:r>
              <w:rPr>
                <w:sz w:val="20"/>
                <w:szCs w:val="20"/>
              </w:rPr>
              <w:t>2</w:t>
            </w:r>
          </w:p>
        </w:tc>
      </w:tr>
      <w:tr w14:paraId="5F29C331" w14:textId="77777777" w:rsidTr="0066072E">
        <w:tblPrEx>
          <w:tblW w:w="8365" w:type="dxa"/>
          <w:tblLook w:val="04A0"/>
        </w:tblPrEx>
        <w:trPr>
          <w:trHeight w:val="28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5C70052C"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2031</w:t>
            </w:r>
          </w:p>
        </w:tc>
        <w:tc>
          <w:tcPr>
            <w:tcW w:w="108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50835A6D"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5A30E196" w14:textId="77777777">
            <w:pPr>
              <w:autoSpaceDE/>
              <w:autoSpaceDN/>
              <w:adjustRightInd/>
              <w:spacing w:line="240" w:lineRule="auto"/>
              <w:jc w:val="center"/>
              <w:rPr>
                <w:rFonts w:eastAsia="Times New Roman"/>
                <w:color w:val="000000"/>
                <w:sz w:val="20"/>
                <w:szCs w:val="20"/>
              </w:rPr>
            </w:pPr>
            <w:r>
              <w:rPr>
                <w:sz w:val="20"/>
                <w:szCs w:val="20"/>
              </w:rPr>
              <w:t>1</w:t>
            </w:r>
          </w:p>
        </w:tc>
        <w:tc>
          <w:tcPr>
            <w:tcW w:w="2430" w:type="dxa"/>
            <w:tcBorders>
              <w:top w:val="single" w:sz="4" w:space="0" w:color="auto"/>
              <w:left w:val="nil"/>
              <w:bottom w:val="single" w:sz="4" w:space="0" w:color="auto"/>
              <w:right w:val="single" w:sz="4" w:space="0" w:color="auto"/>
            </w:tcBorders>
            <w:vAlign w:val="center"/>
          </w:tcPr>
          <w:p w:rsidR="0078072B" w:rsidRPr="00101046" w:rsidP="0066072E" w14:paraId="204B171A" w14:textId="77777777">
            <w:pPr>
              <w:autoSpaceDE/>
              <w:autoSpaceDN/>
              <w:adjustRightInd/>
              <w:spacing w:line="240" w:lineRule="auto"/>
              <w:jc w:val="center"/>
              <w:rPr>
                <w:rFonts w:eastAsia="Times New Roman"/>
                <w:color w:val="000000"/>
                <w:sz w:val="20"/>
                <w:szCs w:val="20"/>
              </w:rPr>
            </w:pP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7BC21197" w14:textId="4CFAB0F5">
            <w:pPr>
              <w:autoSpaceDE/>
              <w:autoSpaceDN/>
              <w:adjustRightInd/>
              <w:spacing w:line="240" w:lineRule="auto"/>
              <w:jc w:val="center"/>
              <w:rPr>
                <w:rFonts w:eastAsia="Times New Roman"/>
                <w:color w:val="000000"/>
                <w:sz w:val="20"/>
                <w:szCs w:val="20"/>
              </w:rPr>
            </w:pPr>
            <w:r>
              <w:rPr>
                <w:sz w:val="20"/>
                <w:szCs w:val="20"/>
              </w:rPr>
              <w:t>1</w:t>
            </w:r>
          </w:p>
        </w:tc>
      </w:tr>
      <w:tr w14:paraId="38717105" w14:textId="77777777" w:rsidTr="0066072E">
        <w:tblPrEx>
          <w:tblW w:w="8365" w:type="dxa"/>
          <w:tblLook w:val="04A0"/>
        </w:tblPrEx>
        <w:trPr>
          <w:trHeight w:val="28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60321A06"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2032</w:t>
            </w:r>
          </w:p>
        </w:tc>
        <w:tc>
          <w:tcPr>
            <w:tcW w:w="108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7D1D2F3E"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63AA6045" w14:textId="77777777">
            <w:pPr>
              <w:autoSpaceDE/>
              <w:autoSpaceDN/>
              <w:adjustRightInd/>
              <w:spacing w:line="240" w:lineRule="auto"/>
              <w:jc w:val="center"/>
              <w:rPr>
                <w:rFonts w:eastAsia="Times New Roman"/>
                <w:color w:val="000000"/>
                <w:sz w:val="20"/>
                <w:szCs w:val="20"/>
              </w:rPr>
            </w:pPr>
            <w:r w:rsidRPr="00BD7DB9">
              <w:rPr>
                <w:sz w:val="20"/>
                <w:szCs w:val="20"/>
              </w:rPr>
              <w:t>2</w:t>
            </w:r>
          </w:p>
        </w:tc>
        <w:tc>
          <w:tcPr>
            <w:tcW w:w="2430" w:type="dxa"/>
            <w:tcBorders>
              <w:top w:val="single" w:sz="4" w:space="0" w:color="auto"/>
              <w:left w:val="nil"/>
              <w:bottom w:val="single" w:sz="4" w:space="0" w:color="auto"/>
              <w:right w:val="single" w:sz="4" w:space="0" w:color="auto"/>
            </w:tcBorders>
            <w:vAlign w:val="center"/>
          </w:tcPr>
          <w:p w:rsidR="0078072B" w:rsidRPr="00101046" w:rsidP="0066072E" w14:paraId="1A3C35EC" w14:textId="77777777">
            <w:pPr>
              <w:autoSpaceDE/>
              <w:autoSpaceDN/>
              <w:adjustRightInd/>
              <w:spacing w:line="240" w:lineRule="auto"/>
              <w:jc w:val="center"/>
              <w:rPr>
                <w:rFonts w:eastAsia="Times New Roman"/>
                <w:color w:val="000000"/>
                <w:sz w:val="20"/>
                <w:szCs w:val="20"/>
              </w:rPr>
            </w:pP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12ED6612" w14:textId="77777777">
            <w:pPr>
              <w:autoSpaceDE/>
              <w:autoSpaceDN/>
              <w:adjustRightInd/>
              <w:spacing w:line="240" w:lineRule="auto"/>
              <w:jc w:val="center"/>
              <w:rPr>
                <w:rFonts w:eastAsia="Times New Roman"/>
                <w:color w:val="000000"/>
                <w:sz w:val="20"/>
                <w:szCs w:val="20"/>
              </w:rPr>
            </w:pPr>
            <w:r w:rsidRPr="00BD7DB9">
              <w:rPr>
                <w:sz w:val="20"/>
                <w:szCs w:val="20"/>
              </w:rPr>
              <w:t>2</w:t>
            </w:r>
          </w:p>
        </w:tc>
      </w:tr>
      <w:tr w14:paraId="1B4CE6AA" w14:textId="77777777" w:rsidTr="0066072E">
        <w:tblPrEx>
          <w:tblW w:w="8365" w:type="dxa"/>
          <w:tblLook w:val="04A0"/>
        </w:tblPrEx>
        <w:trPr>
          <w:trHeight w:val="28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7309944C"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2033</w:t>
            </w:r>
          </w:p>
        </w:tc>
        <w:tc>
          <w:tcPr>
            <w:tcW w:w="108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518B0C63"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5E6717A4" w14:textId="77777777">
            <w:pPr>
              <w:autoSpaceDE/>
              <w:autoSpaceDN/>
              <w:adjustRightInd/>
              <w:spacing w:line="240" w:lineRule="auto"/>
              <w:jc w:val="center"/>
              <w:rPr>
                <w:rFonts w:eastAsia="Times New Roman"/>
                <w:color w:val="000000"/>
                <w:sz w:val="20"/>
                <w:szCs w:val="20"/>
              </w:rPr>
            </w:pPr>
            <w:r>
              <w:rPr>
                <w:sz w:val="20"/>
                <w:szCs w:val="20"/>
              </w:rPr>
              <w:t>2</w:t>
            </w:r>
          </w:p>
        </w:tc>
        <w:tc>
          <w:tcPr>
            <w:tcW w:w="2430" w:type="dxa"/>
            <w:tcBorders>
              <w:top w:val="single" w:sz="4" w:space="0" w:color="auto"/>
              <w:left w:val="nil"/>
              <w:bottom w:val="single" w:sz="4" w:space="0" w:color="auto"/>
              <w:right w:val="single" w:sz="4" w:space="0" w:color="auto"/>
            </w:tcBorders>
            <w:vAlign w:val="center"/>
          </w:tcPr>
          <w:p w:rsidR="0078072B" w:rsidRPr="00101046" w:rsidP="0066072E" w14:paraId="3402DB13" w14:textId="77777777">
            <w:pPr>
              <w:autoSpaceDE/>
              <w:autoSpaceDN/>
              <w:adjustRightInd/>
              <w:spacing w:line="240" w:lineRule="auto"/>
              <w:jc w:val="center"/>
              <w:rPr>
                <w:rFonts w:eastAsia="Times New Roman"/>
                <w:color w:val="000000"/>
                <w:sz w:val="20"/>
                <w:szCs w:val="20"/>
              </w:rPr>
            </w:pP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6C9B4257" w14:textId="48638D6E">
            <w:pPr>
              <w:autoSpaceDE/>
              <w:autoSpaceDN/>
              <w:adjustRightInd/>
              <w:spacing w:line="240" w:lineRule="auto"/>
              <w:jc w:val="center"/>
              <w:rPr>
                <w:rFonts w:eastAsia="Times New Roman"/>
                <w:color w:val="000000"/>
                <w:sz w:val="20"/>
                <w:szCs w:val="20"/>
              </w:rPr>
            </w:pPr>
            <w:r>
              <w:rPr>
                <w:sz w:val="20"/>
                <w:szCs w:val="20"/>
              </w:rPr>
              <w:t>2</w:t>
            </w:r>
          </w:p>
        </w:tc>
      </w:tr>
      <w:tr w14:paraId="571F2B7C" w14:textId="77777777" w:rsidTr="0066072E">
        <w:tblPrEx>
          <w:tblW w:w="8365" w:type="dxa"/>
          <w:tblLook w:val="04A0"/>
        </w:tblPrEx>
        <w:trPr>
          <w:trHeight w:val="28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7039C053"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2034</w:t>
            </w:r>
          </w:p>
        </w:tc>
        <w:tc>
          <w:tcPr>
            <w:tcW w:w="108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729435AC"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3ADBFBB3" w14:textId="77777777">
            <w:pPr>
              <w:autoSpaceDE/>
              <w:autoSpaceDN/>
              <w:adjustRightInd/>
              <w:spacing w:line="240" w:lineRule="auto"/>
              <w:jc w:val="center"/>
              <w:rPr>
                <w:rFonts w:eastAsia="Times New Roman"/>
                <w:color w:val="000000"/>
                <w:sz w:val="20"/>
                <w:szCs w:val="20"/>
              </w:rPr>
            </w:pPr>
            <w:r>
              <w:rPr>
                <w:sz w:val="20"/>
                <w:szCs w:val="20"/>
              </w:rPr>
              <w:t>5</w:t>
            </w:r>
          </w:p>
        </w:tc>
        <w:tc>
          <w:tcPr>
            <w:tcW w:w="2430" w:type="dxa"/>
            <w:tcBorders>
              <w:top w:val="single" w:sz="4" w:space="0" w:color="auto"/>
              <w:left w:val="nil"/>
              <w:bottom w:val="single" w:sz="4" w:space="0" w:color="auto"/>
              <w:right w:val="single" w:sz="4" w:space="0" w:color="auto"/>
            </w:tcBorders>
            <w:vAlign w:val="center"/>
          </w:tcPr>
          <w:p w:rsidR="0078072B" w:rsidRPr="00101046" w:rsidP="0066072E" w14:paraId="2453D161" w14:textId="77777777">
            <w:pPr>
              <w:autoSpaceDE/>
              <w:autoSpaceDN/>
              <w:adjustRightInd/>
              <w:spacing w:line="240" w:lineRule="auto"/>
              <w:jc w:val="center"/>
              <w:rPr>
                <w:rFonts w:eastAsia="Times New Roman"/>
                <w:color w:val="000000"/>
                <w:sz w:val="20"/>
                <w:szCs w:val="20"/>
              </w:rPr>
            </w:pP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3E94376D" w14:textId="2E359A6A">
            <w:pPr>
              <w:autoSpaceDE/>
              <w:autoSpaceDN/>
              <w:adjustRightInd/>
              <w:spacing w:line="240" w:lineRule="auto"/>
              <w:jc w:val="center"/>
              <w:rPr>
                <w:rFonts w:eastAsia="Times New Roman"/>
                <w:color w:val="000000"/>
                <w:sz w:val="20"/>
                <w:szCs w:val="20"/>
              </w:rPr>
            </w:pPr>
            <w:r>
              <w:rPr>
                <w:sz w:val="20"/>
                <w:szCs w:val="20"/>
              </w:rPr>
              <w:t>5</w:t>
            </w:r>
          </w:p>
        </w:tc>
      </w:tr>
      <w:tr w14:paraId="07ABAF59" w14:textId="77777777" w:rsidTr="0066072E">
        <w:tblPrEx>
          <w:tblW w:w="8365" w:type="dxa"/>
          <w:tblLook w:val="04A0"/>
        </w:tblPrEx>
        <w:trPr>
          <w:trHeight w:val="28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61D41A8C"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2035</w:t>
            </w:r>
          </w:p>
        </w:tc>
        <w:tc>
          <w:tcPr>
            <w:tcW w:w="108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210B5948" w14:textId="77777777">
            <w:pPr>
              <w:autoSpaceDE/>
              <w:autoSpaceDN/>
              <w:adjustRightInd/>
              <w:spacing w:line="240" w:lineRule="auto"/>
              <w:jc w:val="center"/>
              <w:rPr>
                <w:rFonts w:eastAsia="Times New Roman"/>
                <w:color w:val="000000"/>
                <w:sz w:val="20"/>
                <w:szCs w:val="20"/>
              </w:rPr>
            </w:pPr>
            <w:r w:rsidRPr="00101046">
              <w:rPr>
                <w:rFonts w:eastAsia="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78072B" w:rsidRPr="00101046" w:rsidP="0066072E" w14:paraId="4B6CF2A0" w14:textId="77777777">
            <w:pPr>
              <w:autoSpaceDE/>
              <w:autoSpaceDN/>
              <w:adjustRightInd/>
              <w:spacing w:line="240" w:lineRule="auto"/>
              <w:jc w:val="center"/>
              <w:rPr>
                <w:rFonts w:eastAsia="Times New Roman"/>
                <w:color w:val="000000"/>
                <w:sz w:val="20"/>
                <w:szCs w:val="20"/>
              </w:rPr>
            </w:pPr>
            <w:r>
              <w:rPr>
                <w:sz w:val="20"/>
                <w:szCs w:val="20"/>
              </w:rPr>
              <w:t>4</w:t>
            </w:r>
          </w:p>
        </w:tc>
        <w:tc>
          <w:tcPr>
            <w:tcW w:w="2430" w:type="dxa"/>
            <w:tcBorders>
              <w:top w:val="single" w:sz="4" w:space="0" w:color="auto"/>
              <w:left w:val="nil"/>
              <w:bottom w:val="single" w:sz="4" w:space="0" w:color="auto"/>
              <w:right w:val="single" w:sz="4" w:space="0" w:color="auto"/>
            </w:tcBorders>
            <w:vAlign w:val="center"/>
          </w:tcPr>
          <w:p w:rsidR="0078072B" w:rsidRPr="00101046" w:rsidP="0066072E" w14:paraId="2DA4CB4D" w14:textId="77777777">
            <w:pPr>
              <w:autoSpaceDE/>
              <w:autoSpaceDN/>
              <w:adjustRightInd/>
              <w:spacing w:line="240" w:lineRule="auto"/>
              <w:jc w:val="center"/>
              <w:rPr>
                <w:rFonts w:eastAsia="Times New Roman"/>
                <w:color w:val="000000"/>
                <w:sz w:val="20"/>
                <w:szCs w:val="20"/>
              </w:rPr>
            </w:pP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26182762" w14:textId="5971AC19">
            <w:pPr>
              <w:autoSpaceDE/>
              <w:autoSpaceDN/>
              <w:adjustRightInd/>
              <w:spacing w:line="240" w:lineRule="auto"/>
              <w:jc w:val="center"/>
              <w:rPr>
                <w:rFonts w:eastAsia="Times New Roman"/>
                <w:color w:val="000000"/>
                <w:sz w:val="20"/>
                <w:szCs w:val="20"/>
              </w:rPr>
            </w:pPr>
            <w:r>
              <w:rPr>
                <w:sz w:val="20"/>
                <w:szCs w:val="20"/>
              </w:rPr>
              <w:t>5</w:t>
            </w:r>
          </w:p>
        </w:tc>
      </w:tr>
      <w:tr w14:paraId="07656CC8" w14:textId="77777777" w:rsidTr="0066072E">
        <w:tblPrEx>
          <w:tblW w:w="8365" w:type="dxa"/>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78072B" w:rsidRPr="00101046" w:rsidP="0066072E" w14:paraId="6072AD84" w14:textId="77777777">
            <w:pPr>
              <w:autoSpaceDE/>
              <w:autoSpaceDN/>
              <w:adjustRightInd/>
              <w:spacing w:line="240" w:lineRule="auto"/>
              <w:jc w:val="center"/>
              <w:rPr>
                <w:rFonts w:eastAsia="Times New Roman"/>
                <w:b/>
                <w:bCs/>
                <w:color w:val="000000"/>
                <w:sz w:val="20"/>
                <w:szCs w:val="20"/>
              </w:rPr>
            </w:pPr>
            <w:r w:rsidRPr="00101046">
              <w:rPr>
                <w:rFonts w:eastAsia="Times New Roman"/>
                <w:b/>
                <w:bCs/>
                <w:color w:val="000000"/>
                <w:sz w:val="20"/>
                <w:szCs w:val="20"/>
              </w:rPr>
              <w:t>Total Applications</w:t>
            </w:r>
          </w:p>
        </w:tc>
        <w:tc>
          <w:tcPr>
            <w:tcW w:w="1080" w:type="dxa"/>
            <w:tcBorders>
              <w:top w:val="nil"/>
              <w:left w:val="nil"/>
              <w:bottom w:val="single" w:sz="4" w:space="0" w:color="auto"/>
              <w:right w:val="single" w:sz="4" w:space="0" w:color="auto"/>
            </w:tcBorders>
            <w:shd w:val="clear" w:color="auto" w:fill="auto"/>
            <w:noWrap/>
            <w:vAlign w:val="center"/>
            <w:hideMark/>
          </w:tcPr>
          <w:p w:rsidR="0078072B" w:rsidRPr="006C65FC" w:rsidP="0066072E" w14:paraId="2A778608" w14:textId="77777777">
            <w:pPr>
              <w:autoSpaceDE/>
              <w:autoSpaceDN/>
              <w:adjustRightInd/>
              <w:spacing w:line="240" w:lineRule="auto"/>
              <w:jc w:val="center"/>
              <w:rPr>
                <w:rFonts w:eastAsia="Times New Roman"/>
                <w:b/>
                <w:color w:val="000000"/>
                <w:sz w:val="20"/>
                <w:szCs w:val="20"/>
              </w:rPr>
            </w:pPr>
            <w:r w:rsidRPr="006C65FC">
              <w:rPr>
                <w:rFonts w:eastAsia="Times New Roman"/>
                <w:b/>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78072B" w:rsidRPr="006C65FC" w:rsidP="0066072E" w14:paraId="465DBC05" w14:textId="77777777">
            <w:pPr>
              <w:autoSpaceDE/>
              <w:autoSpaceDN/>
              <w:adjustRightInd/>
              <w:spacing w:line="240" w:lineRule="auto"/>
              <w:jc w:val="center"/>
              <w:rPr>
                <w:rFonts w:eastAsia="Times New Roman"/>
                <w:b/>
                <w:color w:val="000000"/>
                <w:sz w:val="20"/>
                <w:szCs w:val="20"/>
              </w:rPr>
            </w:pPr>
            <w:r>
              <w:rPr>
                <w:b/>
                <w:bCs/>
                <w:sz w:val="20"/>
                <w:szCs w:val="20"/>
              </w:rPr>
              <w:t>33</w:t>
            </w:r>
          </w:p>
        </w:tc>
        <w:tc>
          <w:tcPr>
            <w:tcW w:w="2430" w:type="dxa"/>
            <w:tcBorders>
              <w:top w:val="single" w:sz="4" w:space="0" w:color="auto"/>
              <w:left w:val="nil"/>
              <w:bottom w:val="single" w:sz="4" w:space="0" w:color="auto"/>
              <w:right w:val="single" w:sz="4" w:space="0" w:color="auto"/>
            </w:tcBorders>
            <w:vAlign w:val="center"/>
          </w:tcPr>
          <w:p w:rsidR="0078072B" w:rsidRPr="006C65FC" w:rsidP="0066072E" w14:paraId="1502E0DD" w14:textId="77777777">
            <w:pPr>
              <w:autoSpaceDE/>
              <w:autoSpaceDN/>
              <w:adjustRightInd/>
              <w:spacing w:line="240" w:lineRule="auto"/>
              <w:jc w:val="center"/>
              <w:rPr>
                <w:rFonts w:eastAsia="Times New Roman"/>
                <w:b/>
                <w:color w:val="000000"/>
                <w:sz w:val="20"/>
                <w:szCs w:val="20"/>
              </w:rPr>
            </w:pPr>
            <w:r w:rsidRPr="006C65FC">
              <w:rPr>
                <w:rFonts w:eastAsia="Times New Roman"/>
                <w:b/>
                <w:color w:val="000000"/>
                <w:sz w:val="20"/>
                <w:szCs w:val="20"/>
              </w:rPr>
              <w:t>1</w:t>
            </w:r>
            <w:r>
              <w:rPr>
                <w:rFonts w:eastAsia="Times New Roman"/>
                <w:b/>
                <w:color w:val="000000"/>
                <w:sz w:val="20"/>
                <w:szCs w:val="20"/>
              </w:rPr>
              <w:t>0</w:t>
            </w: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78072B" w:rsidRPr="00101046" w:rsidP="0066072E" w14:paraId="2A7937FB" w14:textId="77777777">
            <w:pPr>
              <w:autoSpaceDE/>
              <w:autoSpaceDN/>
              <w:adjustRightInd/>
              <w:spacing w:line="240" w:lineRule="auto"/>
              <w:jc w:val="center"/>
              <w:rPr>
                <w:rFonts w:eastAsia="Times New Roman"/>
                <w:b/>
                <w:bCs/>
                <w:color w:val="000000"/>
                <w:sz w:val="20"/>
                <w:szCs w:val="20"/>
              </w:rPr>
            </w:pPr>
            <w:r>
              <w:rPr>
                <w:b/>
                <w:bCs/>
                <w:sz w:val="20"/>
                <w:szCs w:val="20"/>
              </w:rPr>
              <w:t>44</w:t>
            </w:r>
          </w:p>
        </w:tc>
      </w:tr>
    </w:tbl>
    <w:p w:rsidR="0078072B" w:rsidP="0078072B" w14:paraId="590AEAE7" w14:textId="636EEBB4">
      <w:pPr>
        <w:tabs>
          <w:tab w:val="left" w:pos="900"/>
        </w:tabs>
        <w:spacing w:line="240" w:lineRule="auto"/>
        <w:ind w:left="187" w:hanging="187"/>
        <w:rPr>
          <w:sz w:val="18"/>
          <w:szCs w:val="18"/>
        </w:rPr>
      </w:pPr>
      <w:r w:rsidRPr="004423B3">
        <w:rPr>
          <w:vertAlign w:val="superscript"/>
        </w:rPr>
        <w:t xml:space="preserve">a </w:t>
      </w:r>
      <w:r w:rsidR="006D4488">
        <w:rPr>
          <w:sz w:val="18"/>
          <w:szCs w:val="18"/>
        </w:rPr>
        <w:t>When this regulatory analysis was prepared, D</w:t>
      </w:r>
      <w:r w:rsidRPr="004423B3">
        <w:rPr>
          <w:sz w:val="18"/>
          <w:szCs w:val="18"/>
        </w:rPr>
        <w:t xml:space="preserve">iablo Canyon </w:t>
      </w:r>
      <w:r w:rsidR="00A13E86">
        <w:rPr>
          <w:sz w:val="18"/>
          <w:szCs w:val="18"/>
        </w:rPr>
        <w:t xml:space="preserve">Power Plant </w:t>
      </w:r>
      <w:r w:rsidRPr="004423B3">
        <w:rPr>
          <w:sz w:val="18"/>
          <w:szCs w:val="18"/>
        </w:rPr>
        <w:t xml:space="preserve">Units 1 and 2 </w:t>
      </w:r>
      <w:r w:rsidR="00EC73EE">
        <w:rPr>
          <w:sz w:val="18"/>
          <w:szCs w:val="18"/>
        </w:rPr>
        <w:t>w</w:t>
      </w:r>
      <w:r w:rsidR="00362969">
        <w:rPr>
          <w:sz w:val="18"/>
          <w:szCs w:val="18"/>
        </w:rPr>
        <w:t>ere</w:t>
      </w:r>
      <w:r w:rsidRPr="004423B3">
        <w:rPr>
          <w:sz w:val="18"/>
          <w:szCs w:val="18"/>
        </w:rPr>
        <w:t xml:space="preserve"> scheduled to cease operation in 2024 and 2025, respectively, and therefore are not included in this analysis.</w:t>
      </w:r>
      <w:r w:rsidRPr="00C176D3" w:rsidR="00C176D3">
        <w:t xml:space="preserve"> </w:t>
      </w:r>
    </w:p>
    <w:p w:rsidR="0078072B" w:rsidP="0078072B" w14:paraId="12E28D3E" w14:textId="77777777">
      <w:pPr>
        <w:tabs>
          <w:tab w:val="left" w:pos="900"/>
        </w:tabs>
        <w:spacing w:line="240" w:lineRule="auto"/>
        <w:ind w:left="187" w:hanging="187"/>
        <w:rPr>
          <w:sz w:val="18"/>
          <w:szCs w:val="18"/>
        </w:rPr>
      </w:pPr>
      <w:r>
        <w:rPr>
          <w:vertAlign w:val="superscript"/>
        </w:rPr>
        <w:t xml:space="preserve">b </w:t>
      </w:r>
      <w:r w:rsidRPr="00525803">
        <w:rPr>
          <w:sz w:val="18"/>
          <w:szCs w:val="18"/>
        </w:rPr>
        <w:t>This analysis assumes licensees will submit a license renewal application</w:t>
      </w:r>
      <w:r>
        <w:rPr>
          <w:sz w:val="18"/>
          <w:szCs w:val="18"/>
        </w:rPr>
        <w:t>, which may cover multiple units,</w:t>
      </w:r>
      <w:r w:rsidRPr="00525803">
        <w:rPr>
          <w:sz w:val="18"/>
          <w:szCs w:val="18"/>
        </w:rPr>
        <w:t xml:space="preserve"> </w:t>
      </w:r>
      <w:r>
        <w:rPr>
          <w:sz w:val="18"/>
          <w:szCs w:val="18"/>
        </w:rPr>
        <w:t>as</w:t>
      </w:r>
      <w:r w:rsidRPr="00525803">
        <w:rPr>
          <w:sz w:val="18"/>
          <w:szCs w:val="18"/>
        </w:rPr>
        <w:t xml:space="preserve"> </w:t>
      </w:r>
      <w:r>
        <w:rPr>
          <w:sz w:val="18"/>
          <w:szCs w:val="18"/>
        </w:rPr>
        <w:t>shown in Table A</w:t>
      </w:r>
      <w:r>
        <w:rPr>
          <w:sz w:val="18"/>
          <w:szCs w:val="18"/>
        </w:rPr>
        <w:noBreakHyphen/>
        <w:t>3</w:t>
      </w:r>
      <w:r w:rsidRPr="00525803">
        <w:rPr>
          <w:sz w:val="18"/>
          <w:szCs w:val="18"/>
        </w:rPr>
        <w:t>.</w:t>
      </w:r>
    </w:p>
    <w:p w:rsidR="0078072B" w:rsidP="0078072B" w14:paraId="18513787" w14:textId="6C131728">
      <w:pPr>
        <w:tabs>
          <w:tab w:val="left" w:pos="900"/>
        </w:tabs>
        <w:spacing w:line="240" w:lineRule="auto"/>
        <w:ind w:left="187" w:hanging="187"/>
        <w:rPr>
          <w:sz w:val="18"/>
          <w:szCs w:val="18"/>
        </w:rPr>
      </w:pPr>
      <w:r w:rsidRPr="0015095F">
        <w:rPr>
          <w:vertAlign w:val="superscript"/>
        </w:rPr>
        <w:t>c</w:t>
      </w:r>
      <w:r w:rsidRPr="00795D20">
        <w:rPr>
          <w:sz w:val="18"/>
          <w:szCs w:val="18"/>
        </w:rPr>
        <w:t xml:space="preserve"> </w:t>
      </w:r>
      <w:r w:rsidRPr="00D93556">
        <w:rPr>
          <w:sz w:val="18"/>
          <w:szCs w:val="18"/>
        </w:rPr>
        <w:t xml:space="preserve">Advanced </w:t>
      </w:r>
      <w:r w:rsidR="00CB067C">
        <w:rPr>
          <w:sz w:val="18"/>
          <w:szCs w:val="18"/>
        </w:rPr>
        <w:t xml:space="preserve">nuclear </w:t>
      </w:r>
      <w:r w:rsidRPr="00D93556">
        <w:rPr>
          <w:sz w:val="18"/>
          <w:szCs w:val="18"/>
        </w:rPr>
        <w:t xml:space="preserve">reactors are </w:t>
      </w:r>
      <w:r w:rsidRPr="000B3497">
        <w:rPr>
          <w:sz w:val="18"/>
          <w:szCs w:val="18"/>
        </w:rPr>
        <w:t>excluded from this analysis</w:t>
      </w:r>
      <w:r w:rsidR="00CB067C">
        <w:rPr>
          <w:sz w:val="18"/>
          <w:szCs w:val="18"/>
        </w:rPr>
        <w:t xml:space="preserve"> but are considered in</w:t>
      </w:r>
      <w:r w:rsidR="0084673E">
        <w:rPr>
          <w:sz w:val="18"/>
          <w:szCs w:val="18"/>
        </w:rPr>
        <w:t xml:space="preserve"> the </w:t>
      </w:r>
      <w:r w:rsidR="00F942C7">
        <w:rPr>
          <w:sz w:val="18"/>
          <w:szCs w:val="18"/>
        </w:rPr>
        <w:t>“R</w:t>
      </w:r>
      <w:r w:rsidR="0084673E">
        <w:rPr>
          <w:sz w:val="18"/>
          <w:szCs w:val="18"/>
        </w:rPr>
        <w:t xml:space="preserve">egulatory </w:t>
      </w:r>
      <w:r w:rsidR="00F942C7">
        <w:rPr>
          <w:sz w:val="18"/>
          <w:szCs w:val="18"/>
        </w:rPr>
        <w:t>A</w:t>
      </w:r>
      <w:r w:rsidR="0084673E">
        <w:rPr>
          <w:sz w:val="18"/>
          <w:szCs w:val="18"/>
        </w:rPr>
        <w:t>nalysis for the 10</w:t>
      </w:r>
      <w:r w:rsidR="00A563D7">
        <w:rPr>
          <w:sz w:val="18"/>
          <w:szCs w:val="18"/>
        </w:rPr>
        <w:t> </w:t>
      </w:r>
      <w:r w:rsidR="0084673E">
        <w:rPr>
          <w:sz w:val="18"/>
          <w:szCs w:val="18"/>
        </w:rPr>
        <w:t>CFR</w:t>
      </w:r>
      <w:r w:rsidR="00A563D7">
        <w:rPr>
          <w:sz w:val="18"/>
          <w:szCs w:val="18"/>
        </w:rPr>
        <w:t> </w:t>
      </w:r>
      <w:r w:rsidR="00B43461">
        <w:rPr>
          <w:sz w:val="18"/>
          <w:szCs w:val="18"/>
        </w:rPr>
        <w:t>P</w:t>
      </w:r>
      <w:r w:rsidR="0084673E">
        <w:rPr>
          <w:sz w:val="18"/>
          <w:szCs w:val="18"/>
        </w:rPr>
        <w:t>art</w:t>
      </w:r>
      <w:r w:rsidR="00A563D7">
        <w:rPr>
          <w:sz w:val="18"/>
          <w:szCs w:val="18"/>
        </w:rPr>
        <w:t> </w:t>
      </w:r>
      <w:r w:rsidR="0084673E">
        <w:rPr>
          <w:sz w:val="18"/>
          <w:szCs w:val="18"/>
        </w:rPr>
        <w:t>51</w:t>
      </w:r>
      <w:r w:rsidR="000D18AA">
        <w:rPr>
          <w:sz w:val="18"/>
          <w:szCs w:val="18"/>
        </w:rPr>
        <w:t>, Advanced Nuclear Reactor Generic Environmental Impact Statement Proposed Rule</w:t>
      </w:r>
      <w:r w:rsidR="00FA2715">
        <w:rPr>
          <w:sz w:val="18"/>
          <w:szCs w:val="18"/>
        </w:rPr>
        <w:t xml:space="preserve">,” </w:t>
      </w:r>
      <w:r w:rsidR="001962BE">
        <w:rPr>
          <w:sz w:val="18"/>
          <w:szCs w:val="18"/>
        </w:rPr>
        <w:t xml:space="preserve">dated </w:t>
      </w:r>
      <w:r w:rsidR="00CA6EE4">
        <w:rPr>
          <w:sz w:val="18"/>
          <w:szCs w:val="18"/>
        </w:rPr>
        <w:t>December 14, 2021</w:t>
      </w:r>
      <w:r w:rsidR="004139D3">
        <w:rPr>
          <w:sz w:val="18"/>
          <w:szCs w:val="18"/>
        </w:rPr>
        <w:t xml:space="preserve"> </w:t>
      </w:r>
      <w:r w:rsidR="00FE52A0">
        <w:rPr>
          <w:sz w:val="18"/>
          <w:szCs w:val="18"/>
        </w:rPr>
        <w:t>(NRC, 2021b)</w:t>
      </w:r>
      <w:r w:rsidRPr="000B3497">
        <w:rPr>
          <w:sz w:val="18"/>
          <w:szCs w:val="18"/>
        </w:rPr>
        <w:t>.</w:t>
      </w:r>
    </w:p>
    <w:p w:rsidR="0078072B" w:rsidRPr="000B3497" w:rsidP="0078072B" w14:paraId="375FE55B" w14:textId="77777777">
      <w:pPr>
        <w:tabs>
          <w:tab w:val="left" w:pos="900"/>
        </w:tabs>
        <w:spacing w:line="240" w:lineRule="auto"/>
        <w:ind w:left="187" w:hanging="187"/>
        <w:rPr>
          <w:i/>
          <w:sz w:val="18"/>
          <w:szCs w:val="18"/>
        </w:rPr>
      </w:pPr>
    </w:p>
    <w:p w:rsidR="0078072B" w:rsidRPr="006B41CD" w:rsidP="00130697" w14:paraId="7020A11B" w14:textId="77777777">
      <w:pPr>
        <w:pStyle w:val="Heading3"/>
        <w:spacing w:line="240" w:lineRule="auto"/>
        <w:rPr>
          <w:i w:val="0"/>
          <w:iCs/>
        </w:rPr>
      </w:pPr>
      <w:bookmarkStart w:id="29" w:name="_Toc147922981"/>
      <w:r w:rsidRPr="006B41CD">
        <w:rPr>
          <w:i w:val="0"/>
          <w:iCs/>
        </w:rPr>
        <w:t>3.2.3</w:t>
      </w:r>
      <w:r w:rsidRPr="006B41CD">
        <w:rPr>
          <w:i w:val="0"/>
          <w:iCs/>
        </w:rPr>
        <w:tab/>
      </w:r>
      <w:r w:rsidRPr="006B41CD">
        <w:t>Base Year</w:t>
      </w:r>
      <w:bookmarkEnd w:id="29"/>
    </w:p>
    <w:p w:rsidR="0078072B" w:rsidRPr="00267B9B" w:rsidP="00130697" w14:paraId="2ED18005" w14:textId="77777777">
      <w:pPr>
        <w:spacing w:line="240" w:lineRule="auto"/>
      </w:pPr>
    </w:p>
    <w:p w:rsidR="0078072B" w:rsidP="0078072B" w14:paraId="3629195B" w14:textId="5CB02A94">
      <w:r w:rsidRPr="00C70733">
        <w:t>All monetized costs are expressed in 20</w:t>
      </w:r>
      <w:r>
        <w:t>2</w:t>
      </w:r>
      <w:r w:rsidR="00DE1229">
        <w:t>3</w:t>
      </w:r>
      <w:r w:rsidRPr="00C70733">
        <w:t xml:space="preserve"> dollars. </w:t>
      </w:r>
      <w:r w:rsidRPr="004B5719">
        <w:t xml:space="preserve">The </w:t>
      </w:r>
      <w:r>
        <w:t xml:space="preserve">staff expects the </w:t>
      </w:r>
      <w:r w:rsidRPr="004B5719">
        <w:t>NRC</w:t>
      </w:r>
      <w:r>
        <w:t xml:space="preserve"> to incur</w:t>
      </w:r>
      <w:r w:rsidRPr="004B5719">
        <w:t xml:space="preserve"> implementation costs to prepare and issue a final rule and </w:t>
      </w:r>
      <w:r w:rsidRPr="00ED5F92">
        <w:t>guid</w:t>
      </w:r>
      <w:r w:rsidRPr="00D92A76">
        <w:t>ance in 2024. On</w:t>
      </w:r>
      <w:r w:rsidRPr="00ED5F92">
        <w:t xml:space="preserve">going operation </w:t>
      </w:r>
      <w:r>
        <w:t xml:space="preserve">costs </w:t>
      </w:r>
      <w:r w:rsidRPr="00ED5F92">
        <w:t xml:space="preserve">related to Alternative 2 are assumed to begin no earlier than 30 days after publication of the final rule in the </w:t>
      </w:r>
      <w:r w:rsidRPr="00E336EC">
        <w:rPr>
          <w:i/>
          <w:iCs/>
        </w:rPr>
        <w:t>Federal Register</w:t>
      </w:r>
      <w:r>
        <w:t>,</w:t>
      </w:r>
      <w:r w:rsidRPr="00ED5F92">
        <w:t xml:space="preserve"> unless otherwise stated, and are modeled on an annual cost basis. </w:t>
      </w:r>
      <w:r w:rsidRPr="007A166B">
        <w:t>Estimates are made for recurring annual operating expenses. T</w:t>
      </w:r>
      <w:r w:rsidRPr="00D92A76">
        <w:t xml:space="preserve">he values for annual operating expenses are modeled as a constant expense for each year of the </w:t>
      </w:r>
      <w:r w:rsidRPr="00D92A76" w:rsidR="7BCE2D82">
        <w:t>10-year</w:t>
      </w:r>
      <w:r w:rsidRPr="007A166B">
        <w:t xml:space="preserve"> analysis horizon. The staff performed a discounted cash flow calculation to discount these annual expenses to 202</w:t>
      </w:r>
      <w:r w:rsidR="00DE1229">
        <w:t>3</w:t>
      </w:r>
      <w:r w:rsidRPr="007A166B">
        <w:t> dollar values.</w:t>
      </w:r>
    </w:p>
    <w:p w:rsidR="0078072B" w:rsidRPr="00E10389" w:rsidP="0078072B" w14:paraId="61BE9438" w14:textId="77777777">
      <w:pPr>
        <w:rPr>
          <w:highlight w:val="yellow"/>
        </w:rPr>
      </w:pPr>
    </w:p>
    <w:p w:rsidR="0078072B" w:rsidRPr="006B41CD" w:rsidP="0078072B" w14:paraId="67491237" w14:textId="77777777">
      <w:pPr>
        <w:pStyle w:val="Heading3"/>
        <w:keepLines/>
        <w:rPr>
          <w:i w:val="0"/>
          <w:iCs/>
        </w:rPr>
      </w:pPr>
      <w:bookmarkStart w:id="30" w:name="_Toc147922982"/>
      <w:r w:rsidRPr="006B41CD">
        <w:rPr>
          <w:i w:val="0"/>
          <w:iCs/>
        </w:rPr>
        <w:t>3.2.4</w:t>
      </w:r>
      <w:r w:rsidRPr="006B41CD">
        <w:rPr>
          <w:i w:val="0"/>
          <w:iCs/>
        </w:rPr>
        <w:tab/>
      </w:r>
      <w:r w:rsidRPr="006B41CD">
        <w:t>Discount Rates</w:t>
      </w:r>
      <w:bookmarkEnd w:id="30"/>
    </w:p>
    <w:p w:rsidR="0078072B" w:rsidRPr="00505738" w:rsidP="0078072B" w14:paraId="794CBB11" w14:textId="77777777">
      <w:pPr>
        <w:keepNext/>
        <w:keepLines/>
      </w:pPr>
    </w:p>
    <w:p w:rsidR="0078072B" w:rsidP="0078072B" w14:paraId="0FB17B62" w14:textId="69A5AE9C">
      <w:pPr>
        <w:keepNext/>
        <w:keepLines/>
      </w:pPr>
      <w:r w:rsidRPr="004D0C3A">
        <w:t>In accordance with guidance from Office of Management and Budget (OMB) Circular A</w:t>
      </w:r>
      <w:r w:rsidRPr="004D0C3A">
        <w:noBreakHyphen/>
        <w:t>4</w:t>
      </w:r>
      <w:r>
        <w:t xml:space="preserve">, “Regulatory Analysis,” issued September 2003 (OMB, 2003), </w:t>
      </w:r>
      <w:r w:rsidRPr="004D0C3A">
        <w:t>and NUREG/BR</w:t>
      </w:r>
      <w:r w:rsidRPr="004D0C3A">
        <w:noBreakHyphen/>
        <w:t xml:space="preserve">0058, </w:t>
      </w:r>
      <w:r>
        <w:t xml:space="preserve">net </w:t>
      </w:r>
      <w:r w:rsidRPr="004D0C3A">
        <w:t>present</w:t>
      </w:r>
      <w:r>
        <w:t xml:space="preserve"> value</w:t>
      </w:r>
      <w:r w:rsidRPr="004D0C3A">
        <w:t xml:space="preserve"> </w:t>
      </w:r>
      <w:r>
        <w:t xml:space="preserve">(NPV) </w:t>
      </w:r>
      <w:r w:rsidRPr="004D0C3A">
        <w:t>calculations are used to determine how much society would need to invest today to ensure that the designated dollar amount is available</w:t>
      </w:r>
      <w:r>
        <w:t xml:space="preserve"> in a given year in the future. U</w:t>
      </w:r>
      <w:r w:rsidRPr="004D0C3A">
        <w:t xml:space="preserve">sing </w:t>
      </w:r>
      <w:r>
        <w:t>NPV calculati</w:t>
      </w:r>
      <w:r w:rsidRPr="00AF12E1">
        <w:t>ons, costs and benefits are valued to a reference year for comparison, regardless of when the cost or benefit is incurred in time.</w:t>
      </w:r>
      <w:r>
        <w:t xml:space="preserve"> </w:t>
      </w:r>
      <w:r w:rsidRPr="004D0C3A">
        <w:t xml:space="preserve">Based on </w:t>
      </w:r>
      <w:r w:rsidR="00D77702">
        <w:t xml:space="preserve">the 2003 </w:t>
      </w:r>
      <w:r w:rsidRPr="004D0C3A">
        <w:t>OMB Circular A</w:t>
      </w:r>
      <w:r>
        <w:noBreakHyphen/>
      </w:r>
      <w:r w:rsidRPr="004D0C3A">
        <w:t xml:space="preserve">4 and consistent with NRC practice and guidance, present-worth calculations </w:t>
      </w:r>
      <w:r>
        <w:t>in this analysis use</w:t>
      </w:r>
      <w:r w:rsidRPr="004D0C3A">
        <w:t xml:space="preserve"> </w:t>
      </w:r>
      <w:r>
        <w:t>3 </w:t>
      </w:r>
      <w:r w:rsidRPr="004D0C3A">
        <w:t xml:space="preserve">percent and </w:t>
      </w:r>
      <w:r>
        <w:t>7 </w:t>
      </w:r>
      <w:r w:rsidRPr="004D0C3A">
        <w:t>percent real discount rates.</w:t>
      </w:r>
      <w:r>
        <w:t xml:space="preserve"> </w:t>
      </w:r>
      <w:r w:rsidRPr="004D0C3A">
        <w:t xml:space="preserve">A </w:t>
      </w:r>
      <w:r>
        <w:t>3 </w:t>
      </w:r>
      <w:r w:rsidRPr="004D0C3A">
        <w:t xml:space="preserve">percent discount rate approximates the real rate of return on </w:t>
      </w:r>
      <w:r w:rsidR="00F37864">
        <w:t>a</w:t>
      </w:r>
      <w:r w:rsidR="00F21602">
        <w:t xml:space="preserve"> </w:t>
      </w:r>
      <w:r w:rsidRPr="004D0C3A" w:rsidR="00213860">
        <w:t>long term</w:t>
      </w:r>
      <w:r w:rsidRPr="004D0C3A">
        <w:t xml:space="preserve"> </w:t>
      </w:r>
      <w:r>
        <w:t>g</w:t>
      </w:r>
      <w:r w:rsidRPr="004D0C3A">
        <w:t xml:space="preserve">overnment debt, which serves as a proxy for the real rate of return on savings to reflect reliance on a social rate of time </w:t>
      </w:r>
      <w:r>
        <w:t>preference discounting concept.</w:t>
      </w:r>
      <w:r>
        <w:rPr>
          <w:rStyle w:val="FootnoteReference"/>
          <w:sz w:val="18"/>
          <w:szCs w:val="18"/>
          <w:vertAlign w:val="superscript"/>
        </w:rPr>
        <w:footnoteReference w:id="9"/>
      </w:r>
      <w:r>
        <w:t xml:space="preserve"> </w:t>
      </w:r>
      <w:r w:rsidRPr="004D0C3A">
        <w:t xml:space="preserve">A </w:t>
      </w:r>
      <w:r>
        <w:t>7 </w:t>
      </w:r>
      <w:r w:rsidRPr="004D0C3A">
        <w:t xml:space="preserve">percent discount rate approximates the marginal pretax real rate of return on an average investment in the private sector, and </w:t>
      </w:r>
      <w:r>
        <w:t xml:space="preserve">it </w:t>
      </w:r>
      <w:r w:rsidRPr="004D0C3A">
        <w:t xml:space="preserve">is the appropriate discount rate whenever the main effect of a regulation is to displace or alter the use of capital in the private sector. A </w:t>
      </w:r>
      <w:r>
        <w:t>7 </w:t>
      </w:r>
      <w:r w:rsidRPr="004D0C3A">
        <w:t>percent rate is consistent with an opportunity cost</w:t>
      </w:r>
      <w:r>
        <w:rPr>
          <w:rStyle w:val="FootnoteReference"/>
          <w:sz w:val="18"/>
          <w:szCs w:val="18"/>
          <w:vertAlign w:val="superscript"/>
        </w:rPr>
        <w:footnoteReference w:id="10"/>
      </w:r>
      <w:r w:rsidRPr="004D0C3A">
        <w:t xml:space="preserve"> of capital concept to reflect the time value of resources directed to meet regulatory requirements.</w:t>
      </w:r>
    </w:p>
    <w:p w:rsidR="0078072B" w:rsidRPr="00E10389" w:rsidP="0078072B" w14:paraId="26D709FD" w14:textId="77777777">
      <w:pPr>
        <w:rPr>
          <w:highlight w:val="yellow"/>
        </w:rPr>
      </w:pPr>
    </w:p>
    <w:p w:rsidR="0078072B" w:rsidRPr="006B41CD" w:rsidP="0078072B" w14:paraId="22A6E8E8" w14:textId="21BEF524">
      <w:pPr>
        <w:pStyle w:val="Heading3"/>
        <w:tabs>
          <w:tab w:val="left" w:pos="720"/>
        </w:tabs>
        <w:rPr>
          <w:i w:val="0"/>
          <w:iCs/>
        </w:rPr>
      </w:pPr>
      <w:bookmarkStart w:id="31" w:name="_Toc147922983"/>
      <w:r w:rsidRPr="006B41CD">
        <w:rPr>
          <w:i w:val="0"/>
          <w:iCs/>
        </w:rPr>
        <w:t>3.2.5</w:t>
      </w:r>
      <w:r w:rsidRPr="006B41CD">
        <w:rPr>
          <w:i w:val="0"/>
          <w:iCs/>
        </w:rPr>
        <w:tab/>
      </w:r>
      <w:r w:rsidRPr="006B41CD">
        <w:t>Cost/Benefit Inflators</w:t>
      </w:r>
      <w:bookmarkEnd w:id="31"/>
    </w:p>
    <w:p w:rsidR="0078072B" w:rsidRPr="006B41CD" w:rsidP="00CF36D8" w14:paraId="7841D662" w14:textId="77777777">
      <w:pPr>
        <w:keepNext/>
      </w:pPr>
    </w:p>
    <w:p w:rsidR="0078072B" w:rsidRPr="00780DE5" w:rsidP="00CF36D8" w14:paraId="10CA6018" w14:textId="14287AC7">
      <w:pPr>
        <w:keepNext/>
        <w:tabs>
          <w:tab w:val="left" w:pos="1080"/>
        </w:tabs>
        <w:spacing w:after="220"/>
        <w:rPr>
          <w:highlight w:val="yellow"/>
        </w:rPr>
      </w:pPr>
      <w:r w:rsidRPr="006B41CD">
        <w:t xml:space="preserve">The staff estimated the analysis inputs from sources as referenced in </w:t>
      </w:r>
      <w:r w:rsidRPr="00FF19BF">
        <w:t>Appendix A</w:t>
      </w:r>
      <w:r w:rsidRPr="006B41CD">
        <w:t xml:space="preserve">, </w:t>
      </w:r>
      <w:r w:rsidR="00F055EF">
        <w:t>and inputs</w:t>
      </w:r>
      <w:r w:rsidRPr="006B41CD">
        <w:t xml:space="preserve"> are provided in </w:t>
      </w:r>
      <w:r w:rsidR="00F055EF">
        <w:t>prior</w:t>
      </w:r>
      <w:r w:rsidR="00F6782F">
        <w:t>-year</w:t>
      </w:r>
      <w:r w:rsidRPr="006B41CD">
        <w:t xml:space="preserve"> dollar</w:t>
      </w:r>
      <w:r w:rsidRPr="00990CB6">
        <w:t>s. To evaluate the costs and benefits consistently, these inputs are put into 202</w:t>
      </w:r>
      <w:r w:rsidR="00F6782F">
        <w:t>3</w:t>
      </w:r>
      <w:r w:rsidRPr="00990CB6">
        <w:t xml:space="preserve"> </w:t>
      </w:r>
      <w:r w:rsidR="007D4418">
        <w:t>base year</w:t>
      </w:r>
      <w:r w:rsidRPr="00990CB6">
        <w:t xml:space="preserve"> dollars. The most common inflator is the consumer price index for all urban consumers (CPI</w:t>
      </w:r>
      <w:r>
        <w:noBreakHyphen/>
      </w:r>
      <w:r w:rsidRPr="00990CB6">
        <w:t>U) developed by the U.S. Department of Labor, Bureau of Labor Statistics (BLS)</w:t>
      </w:r>
      <w:r w:rsidRPr="0098214B">
        <w:t>. Using the CPI</w:t>
      </w:r>
      <w:r>
        <w:noBreakHyphen/>
      </w:r>
      <w:r w:rsidRPr="0098214B">
        <w:t>U, the prior-year dollars are converted to 202</w:t>
      </w:r>
      <w:r w:rsidR="00F6782F">
        <w:t>3</w:t>
      </w:r>
      <w:r w:rsidR="00B22558">
        <w:t xml:space="preserve"> base year</w:t>
      </w:r>
      <w:r w:rsidRPr="0098214B">
        <w:t xml:space="preserve"> dollars</w:t>
      </w:r>
      <w:r w:rsidRPr="00B86E1F">
        <w:t>.</w:t>
      </w:r>
      <w:r w:rsidRPr="00D428A6">
        <w:t xml:space="preserve"> </w:t>
      </w:r>
      <w:r w:rsidRPr="0098214B">
        <w:t>For 202</w:t>
      </w:r>
      <w:r w:rsidR="00F6782F">
        <w:t>3</w:t>
      </w:r>
      <w:r w:rsidRPr="0098214B">
        <w:t>, the currently reported CPI</w:t>
      </w:r>
      <w:r>
        <w:noBreakHyphen/>
      </w:r>
      <w:r w:rsidRPr="0098214B">
        <w:t xml:space="preserve">U values have been averaged together; the </w:t>
      </w:r>
      <w:r w:rsidR="001410E6">
        <w:t xml:space="preserve">BLS has not determined </w:t>
      </w:r>
      <w:r w:rsidRPr="0098214B" w:rsidR="001410E6">
        <w:t xml:space="preserve">the </w:t>
      </w:r>
      <w:r w:rsidRPr="0098214B">
        <w:t>entirety of CPI</w:t>
      </w:r>
      <w:r w:rsidRPr="0098214B">
        <w:noBreakHyphen/>
        <w:t>U for 202</w:t>
      </w:r>
      <w:r w:rsidR="00F6782F">
        <w:t>3</w:t>
      </w:r>
      <w:r w:rsidRPr="0098214B">
        <w:t>. The formula to determine the amount in 202</w:t>
      </w:r>
      <w:r w:rsidR="00F6782F">
        <w:t>3</w:t>
      </w:r>
      <w:r w:rsidRPr="0098214B">
        <w:t xml:space="preserve"> dollars is as follows:</w:t>
      </w:r>
    </w:p>
    <w:p w:rsidR="0078072B" w:rsidRPr="0098214B" w:rsidP="0078072B" w14:paraId="3ED5412D" w14:textId="541F94CF">
      <m:oMathPara>
        <m:oMath>
          <m:f>
            <m:fPr>
              <m:ctrlPr>
                <w:rPr>
                  <w:rFonts w:ascii="Cambria Math" w:hAnsi="Cambria Math"/>
                </w:rPr>
              </m:ctrlPr>
            </m:fPr>
            <m:num>
              <m:sSub>
                <m:sSubPr>
                  <m:ctrlPr>
                    <w:rPr>
                      <w:rFonts w:ascii="Cambria Math" w:hAnsi="Cambria Math"/>
                    </w:rPr>
                  </m:ctrlPr>
                </m:sSubPr>
                <m:e>
                  <m:r>
                    <w:rPr>
                      <w:rFonts w:ascii="Cambria Math" w:hAnsi="Cambria Math"/>
                    </w:rPr>
                    <m:t>CPI</m:t>
                  </m:r>
                  <m:r>
                    <m:rPr>
                      <m:sty m:val="p"/>
                    </m:rPr>
                    <w:rPr>
                      <w:rFonts w:ascii="Cambria Math" w:hAnsi="Cambria Math"/>
                    </w:rPr>
                    <m:t>-</m:t>
                  </m:r>
                  <m:r>
                    <w:rPr>
                      <w:rFonts w:ascii="Cambria Math" w:hAnsi="Cambria Math"/>
                    </w:rPr>
                    <m:t>U</m:t>
                  </m:r>
                </m:e>
                <m:sub>
                  <m:r>
                    <m:rPr>
                      <m:sty m:val="p"/>
                    </m:rPr>
                    <w:rPr>
                      <w:rFonts w:ascii="Cambria Math" w:hAnsi="Cambria Math"/>
                    </w:rPr>
                    <m:t>2023</m:t>
                  </m:r>
                </m:sub>
              </m:sSub>
            </m:num>
            <m:den>
              <m:sSub>
                <m:sSubPr>
                  <m:ctrlPr>
                    <w:rPr>
                      <w:rFonts w:ascii="Cambria Math" w:hAnsi="Cambria Math"/>
                    </w:rPr>
                  </m:ctrlPr>
                </m:sSubPr>
                <m:e>
                  <m:r>
                    <w:rPr>
                      <w:rFonts w:ascii="Cambria Math" w:hAnsi="Cambria Math"/>
                    </w:rPr>
                    <m:t>CPI</m:t>
                  </m:r>
                  <m:r>
                    <m:rPr>
                      <m:sty m:val="p"/>
                    </m:rPr>
                    <w:rPr>
                      <w:rFonts w:ascii="Cambria Math" w:hAnsi="Cambria Math"/>
                    </w:rPr>
                    <m:t>-</m:t>
                  </m:r>
                  <m:r>
                    <w:rPr>
                      <w:rFonts w:ascii="Cambria Math" w:hAnsi="Cambria Math"/>
                    </w:rPr>
                    <m:t>U</m:t>
                  </m:r>
                </m:e>
                <m:sub>
                  <m:r>
                    <w:rPr>
                      <w:rFonts w:ascii="Cambria Math" w:hAnsi="Cambria Math"/>
                    </w:rPr>
                    <m:t>2022</m:t>
                  </m:r>
                </m:sub>
              </m:sSub>
            </m:den>
          </m:f>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sSub>
            <m:sSubPr>
              <m:ctrlPr>
                <w:rPr>
                  <w:rFonts w:ascii="Cambria Math" w:hAnsi="Cambria Math"/>
                </w:rPr>
              </m:ctrlPr>
            </m:sSubPr>
            <m:e>
              <m:r>
                <w:rPr>
                  <w:rFonts w:ascii="Cambria Math" w:hAnsi="Cambria Math"/>
                </w:rPr>
                <m:t>Value</m:t>
              </m:r>
            </m:e>
            <m:sub>
              <m:r>
                <w:rPr>
                  <w:rFonts w:ascii="Cambria Math" w:hAnsi="Cambria Math"/>
                </w:rPr>
                <m:t>2022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Value</m:t>
              </m:r>
            </m:e>
            <m:sub>
              <m:r>
                <m:rPr>
                  <m:sty m:val="p"/>
                </m:rPr>
                <w:rPr>
                  <w:rFonts w:ascii="Cambria Math" w:hAnsi="Cambria Math"/>
                </w:rPr>
                <m:t>2023</m:t>
              </m:r>
            </m:sub>
          </m:sSub>
        </m:oMath>
      </m:oMathPara>
    </w:p>
    <w:p w:rsidR="0078072B" w:rsidRPr="00780DE5" w:rsidP="00E4074A" w14:paraId="163227A1" w14:textId="77777777">
      <w:pPr>
        <w:keepNext/>
        <w:keepLines/>
        <w:autoSpaceDE/>
        <w:autoSpaceDN/>
        <w:adjustRightInd/>
        <w:rPr>
          <w:highlight w:val="yellow"/>
        </w:rPr>
      </w:pPr>
    </w:p>
    <w:p w:rsidR="0078072B" w:rsidRPr="00780DE5" w:rsidP="00E4074A" w14:paraId="1D26FB85" w14:textId="62F1585A">
      <w:pPr>
        <w:keepNext/>
        <w:keepLines/>
        <w:rPr>
          <w:highlight w:val="yellow"/>
        </w:rPr>
      </w:pPr>
      <w:r>
        <w:fldChar w:fldCharType="begin"/>
      </w:r>
      <w:r>
        <w:instrText xml:space="preserve"> REF _Ref108428990 \h </w:instrText>
      </w:r>
      <w:r>
        <w:fldChar w:fldCharType="separate"/>
      </w:r>
      <w:r w:rsidRPr="009B14B4">
        <w:t>Table </w:t>
      </w:r>
      <w:r>
        <w:rPr>
          <w:noProof/>
        </w:rPr>
        <w:t>2</w:t>
      </w:r>
      <w:r>
        <w:fldChar w:fldCharType="end"/>
      </w:r>
      <w:r>
        <w:t xml:space="preserve"> </w:t>
      </w:r>
      <w:r w:rsidRPr="00B83469">
        <w:t>s</w:t>
      </w:r>
      <w:r w:rsidRPr="00537CAB">
        <w:t>ummarizes the values of CPI</w:t>
      </w:r>
      <w:r>
        <w:noBreakHyphen/>
      </w:r>
      <w:r w:rsidRPr="00537CAB">
        <w:t>U used in this regulatory analysis.</w:t>
      </w:r>
    </w:p>
    <w:p w:rsidR="0078072B" w:rsidRPr="00780DE5" w:rsidP="00E4074A" w14:paraId="7B8BE159" w14:textId="77777777">
      <w:pPr>
        <w:keepNext/>
        <w:keepLines/>
        <w:rPr>
          <w:highlight w:val="yellow"/>
        </w:rPr>
      </w:pPr>
    </w:p>
    <w:p w:rsidR="007947CC" w:rsidRPr="00E4074A" w:rsidP="00E4074A" w14:paraId="6C0378E5" w14:textId="34E89424">
      <w:pPr>
        <w:pStyle w:val="Caption"/>
        <w:jc w:val="center"/>
        <w:rPr>
          <w:b/>
        </w:rPr>
      </w:pPr>
      <w:bookmarkStart w:id="32" w:name="_Toc147923417"/>
      <w:r w:rsidRPr="00E4074A">
        <w:rPr>
          <w:b/>
          <w:bCs w:val="0"/>
        </w:rPr>
        <w:t xml:space="preserve">Table </w:t>
      </w:r>
      <w:r w:rsidRPr="00E4074A">
        <w:rPr>
          <w:b/>
          <w:bCs w:val="0"/>
        </w:rPr>
        <w:fldChar w:fldCharType="begin"/>
      </w:r>
      <w:r w:rsidRPr="00E4074A">
        <w:rPr>
          <w:b/>
          <w:bCs w:val="0"/>
        </w:rPr>
        <w:instrText xml:space="preserve"> SEQ Table \* ARABIC </w:instrText>
      </w:r>
      <w:r w:rsidRPr="00E4074A">
        <w:rPr>
          <w:b/>
          <w:bCs w:val="0"/>
        </w:rPr>
        <w:fldChar w:fldCharType="separate"/>
      </w:r>
      <w:r w:rsidR="00BE3FBC">
        <w:rPr>
          <w:b/>
          <w:bCs w:val="0"/>
          <w:noProof/>
        </w:rPr>
        <w:t>2</w:t>
      </w:r>
      <w:r w:rsidRPr="00E4074A">
        <w:rPr>
          <w:b/>
          <w:bCs w:val="0"/>
        </w:rPr>
        <w:fldChar w:fldCharType="end"/>
      </w:r>
      <w:r w:rsidRPr="00E4074A">
        <w:rPr>
          <w:b/>
          <w:bCs w:val="0"/>
        </w:rPr>
        <w:t xml:space="preserve">  CPI-U Inflator</w:t>
      </w:r>
      <w:bookmarkEnd w:id="32"/>
    </w:p>
    <w:tbl>
      <w:tblPr>
        <w:tblW w:w="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2775"/>
      </w:tblGrid>
      <w:tr w14:paraId="6C7BC7DE" w14:textId="77777777" w:rsidTr="0066072E">
        <w:tblPrEx>
          <w:tblW w:w="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2"/>
          <w:jc w:val="center"/>
        </w:trPr>
        <w:tc>
          <w:tcPr>
            <w:tcW w:w="1620" w:type="dxa"/>
            <w:shd w:val="clear" w:color="auto" w:fill="auto"/>
            <w:vAlign w:val="center"/>
            <w:hideMark/>
          </w:tcPr>
          <w:p w:rsidR="0078072B" w:rsidRPr="00A01008" w:rsidP="00E4074A" w14:paraId="00FFC52D" w14:textId="77777777">
            <w:pPr>
              <w:keepNext/>
              <w:keepLines/>
              <w:jc w:val="center"/>
              <w:rPr>
                <w:b/>
              </w:rPr>
            </w:pPr>
            <w:r w:rsidRPr="00A01008">
              <w:rPr>
                <w:b/>
              </w:rPr>
              <w:t>Base Year</w:t>
            </w:r>
          </w:p>
        </w:tc>
        <w:tc>
          <w:tcPr>
            <w:tcW w:w="2775" w:type="dxa"/>
            <w:shd w:val="clear" w:color="auto" w:fill="auto"/>
            <w:vAlign w:val="center"/>
            <w:hideMark/>
          </w:tcPr>
          <w:p w:rsidR="0078072B" w:rsidRPr="00A01008" w:rsidP="00E4074A" w14:paraId="6F3C043F" w14:textId="77777777">
            <w:pPr>
              <w:keepNext/>
              <w:keepLines/>
              <w:jc w:val="center"/>
              <w:rPr>
                <w:b/>
              </w:rPr>
            </w:pPr>
            <w:r w:rsidRPr="00A01008">
              <w:rPr>
                <w:b/>
              </w:rPr>
              <w:t>CPI</w:t>
            </w:r>
            <w:r>
              <w:rPr>
                <w:b/>
              </w:rPr>
              <w:noBreakHyphen/>
            </w:r>
            <w:r w:rsidRPr="00A01008">
              <w:rPr>
                <w:b/>
              </w:rPr>
              <w:t>U Annual Average</w:t>
            </w:r>
            <w:r w:rsidRPr="00A01008">
              <w:rPr>
                <w:b/>
                <w:vertAlign w:val="superscript"/>
              </w:rPr>
              <w:t>a</w:t>
            </w:r>
          </w:p>
        </w:tc>
      </w:tr>
      <w:tr w14:paraId="63EA7AE4" w14:textId="77777777" w:rsidTr="0066072E">
        <w:tblPrEx>
          <w:tblW w:w="4395" w:type="dxa"/>
          <w:jc w:val="center"/>
          <w:tblLook w:val="04A0"/>
        </w:tblPrEx>
        <w:trPr>
          <w:trHeight w:val="300"/>
          <w:jc w:val="center"/>
        </w:trPr>
        <w:tc>
          <w:tcPr>
            <w:tcW w:w="1620" w:type="dxa"/>
            <w:shd w:val="clear" w:color="auto" w:fill="auto"/>
            <w:vAlign w:val="center"/>
          </w:tcPr>
          <w:p w:rsidR="0078072B" w:rsidRPr="00A01008" w:rsidP="00E4074A" w14:paraId="63AF7314" w14:textId="6026CA82">
            <w:pPr>
              <w:keepNext/>
              <w:keepLines/>
              <w:jc w:val="center"/>
            </w:pPr>
            <w:r w:rsidRPr="00A01008">
              <w:t>202</w:t>
            </w:r>
            <w:r w:rsidR="00AA7197">
              <w:t>2</w:t>
            </w:r>
          </w:p>
        </w:tc>
        <w:tc>
          <w:tcPr>
            <w:tcW w:w="2775" w:type="dxa"/>
            <w:shd w:val="clear" w:color="auto" w:fill="auto"/>
            <w:vAlign w:val="center"/>
          </w:tcPr>
          <w:p w:rsidR="0078072B" w:rsidRPr="00A01008" w:rsidP="00E4074A" w14:paraId="5CDEA19A" w14:textId="4B33BB56">
            <w:pPr>
              <w:keepNext/>
              <w:keepLines/>
              <w:autoSpaceDE/>
              <w:autoSpaceDN/>
              <w:adjustRightInd/>
              <w:jc w:val="center"/>
              <w:rPr>
                <w:color w:val="000000"/>
              </w:rPr>
            </w:pPr>
            <w:r w:rsidRPr="00A01008">
              <w:rPr>
                <w:color w:val="000000"/>
              </w:rPr>
              <w:t>2</w:t>
            </w:r>
            <w:r w:rsidR="0050267D">
              <w:rPr>
                <w:color w:val="000000"/>
              </w:rPr>
              <w:t>92</w:t>
            </w:r>
            <w:r w:rsidR="00AD7EF1">
              <w:rPr>
                <w:color w:val="000000"/>
              </w:rPr>
              <w:t>.655</w:t>
            </w:r>
          </w:p>
        </w:tc>
      </w:tr>
      <w:tr w14:paraId="21F0B51F" w14:textId="77777777" w:rsidTr="0066072E">
        <w:tblPrEx>
          <w:tblW w:w="4395" w:type="dxa"/>
          <w:jc w:val="center"/>
          <w:tblLook w:val="04A0"/>
        </w:tblPrEx>
        <w:trPr>
          <w:trHeight w:val="300"/>
          <w:jc w:val="center"/>
        </w:trPr>
        <w:tc>
          <w:tcPr>
            <w:tcW w:w="1620" w:type="dxa"/>
            <w:shd w:val="clear" w:color="auto" w:fill="auto"/>
            <w:vAlign w:val="center"/>
          </w:tcPr>
          <w:p w:rsidR="0078072B" w:rsidRPr="00A01008" w:rsidP="00E4074A" w14:paraId="357976E3" w14:textId="1AA6B17B">
            <w:pPr>
              <w:keepNext/>
              <w:keepLines/>
              <w:jc w:val="center"/>
            </w:pPr>
            <w:r w:rsidRPr="00A01008">
              <w:t>202</w:t>
            </w:r>
            <w:r w:rsidR="00AA7197">
              <w:t>3</w:t>
            </w:r>
          </w:p>
        </w:tc>
        <w:tc>
          <w:tcPr>
            <w:tcW w:w="2775" w:type="dxa"/>
            <w:shd w:val="clear" w:color="auto" w:fill="auto"/>
            <w:vAlign w:val="center"/>
          </w:tcPr>
          <w:p w:rsidR="0078072B" w:rsidRPr="00A01008" w:rsidP="00E4074A" w14:paraId="0FD2B830" w14:textId="53FFD169">
            <w:pPr>
              <w:keepNext/>
              <w:keepLines/>
              <w:autoSpaceDE/>
              <w:autoSpaceDN/>
              <w:adjustRightInd/>
              <w:jc w:val="center"/>
              <w:rPr>
                <w:color w:val="000000"/>
              </w:rPr>
            </w:pPr>
            <w:r>
              <w:t>303.395</w:t>
            </w:r>
          </w:p>
        </w:tc>
      </w:tr>
    </w:tbl>
    <w:p w:rsidR="0078072B" w:rsidRPr="00A01008" w:rsidP="0078072B" w14:paraId="2A613C22" w14:textId="181181B6">
      <w:pPr>
        <w:keepNext/>
        <w:keepLines/>
        <w:ind w:left="2340"/>
        <w:rPr>
          <w:sz w:val="18"/>
          <w:szCs w:val="18"/>
        </w:rPr>
      </w:pPr>
      <w:r>
        <w:rPr>
          <w:sz w:val="18"/>
          <w:szCs w:val="18"/>
          <w:vertAlign w:val="superscript"/>
        </w:rPr>
        <w:t xml:space="preserve">      </w:t>
      </w:r>
      <w:r w:rsidRPr="00A01008">
        <w:rPr>
          <w:sz w:val="18"/>
          <w:szCs w:val="18"/>
          <w:vertAlign w:val="superscript"/>
        </w:rPr>
        <w:t>a</w:t>
      </w:r>
      <w:r>
        <w:rPr>
          <w:sz w:val="18"/>
          <w:szCs w:val="18"/>
        </w:rPr>
        <w:t xml:space="preserve"> </w:t>
      </w:r>
      <w:r w:rsidRPr="00D45542">
        <w:rPr>
          <w:sz w:val="18"/>
          <w:szCs w:val="20"/>
        </w:rPr>
        <w:t>BLS, 202</w:t>
      </w:r>
      <w:r w:rsidR="00AA7197">
        <w:rPr>
          <w:sz w:val="18"/>
          <w:szCs w:val="20"/>
        </w:rPr>
        <w:t>3</w:t>
      </w:r>
      <w:r w:rsidRPr="00D45542">
        <w:rPr>
          <w:sz w:val="18"/>
          <w:szCs w:val="18"/>
        </w:rPr>
        <w:t>.</w:t>
      </w:r>
    </w:p>
    <w:p w:rsidR="0078072B" w:rsidRPr="00E10389" w:rsidP="0078072B" w14:paraId="6F4C9DF8" w14:textId="77777777">
      <w:pPr>
        <w:rPr>
          <w:highlight w:val="yellow"/>
        </w:rPr>
      </w:pPr>
    </w:p>
    <w:p w:rsidR="0078072B" w:rsidRPr="00537CAB" w:rsidP="0078072B" w14:paraId="69552715" w14:textId="77777777">
      <w:pPr>
        <w:pStyle w:val="Heading3"/>
        <w:rPr>
          <w:i w:val="0"/>
          <w:iCs/>
        </w:rPr>
      </w:pPr>
      <w:bookmarkStart w:id="33" w:name="_Toc147922984"/>
      <w:r w:rsidRPr="00537CAB">
        <w:rPr>
          <w:i w:val="0"/>
          <w:iCs/>
        </w:rPr>
        <w:t>3.2.6</w:t>
      </w:r>
      <w:r w:rsidRPr="00537CAB">
        <w:rPr>
          <w:i w:val="0"/>
          <w:iCs/>
        </w:rPr>
        <w:tab/>
      </w:r>
      <w:r w:rsidRPr="00537CAB">
        <w:t>Labor Rates</w:t>
      </w:r>
      <w:bookmarkEnd w:id="33"/>
    </w:p>
    <w:p w:rsidR="0078072B" w:rsidRPr="00F461F0" w:rsidP="0078072B" w14:paraId="02C9315E" w14:textId="77777777"/>
    <w:p w:rsidR="0078072B" w:rsidRPr="00E10389" w:rsidP="0078072B" w14:paraId="7B77835D" w14:textId="72A9F16A">
      <w:pPr>
        <w:rPr>
          <w:highlight w:val="yellow"/>
        </w:rPr>
      </w:pPr>
      <w:r w:rsidRPr="007E610E">
        <w:t>For the purposes of this regulatory analysis, the NRC applied incremental cost principles to develop labor rates that include only labor and material costs directly related to the implementation</w:t>
      </w:r>
      <w:r>
        <w:t>,</w:t>
      </w:r>
      <w:r w:rsidRPr="007E610E">
        <w:t xml:space="preserve"> operation</w:t>
      </w:r>
      <w:r>
        <w:t>,</w:t>
      </w:r>
      <w:r w:rsidRPr="007E610E">
        <w:t xml:space="preserve"> and maintenance of the rule requirements</w:t>
      </w:r>
      <w:r w:rsidRPr="00076728">
        <w:t>. This approach is consistent with the guidance in NUREG/CR</w:t>
      </w:r>
      <w:r w:rsidR="00A548FB">
        <w:noBreakHyphen/>
      </w:r>
      <w:r w:rsidRPr="00076728">
        <w:t xml:space="preserve">3568, “A Handbook for </w:t>
      </w:r>
      <w:r w:rsidR="00A548FB">
        <w:t>Value Impact</w:t>
      </w:r>
      <w:r w:rsidRPr="00076728">
        <w:t xml:space="preserve"> Assessment,” issued December 1983 (NRC, 1983), and general </w:t>
      </w:r>
      <w:r w:rsidR="00A548FB">
        <w:t>cost estimate</w:t>
      </w:r>
      <w:r w:rsidRPr="00076728">
        <w:t xml:space="preserve"> methodology. </w:t>
      </w:r>
      <w:r w:rsidRPr="003C433C">
        <w:t>The NRC incremental labor rate is $143 per hour for fiscal year 202</w:t>
      </w:r>
      <w:r w:rsidR="001410E6">
        <w:t>3</w:t>
      </w:r>
      <w:r w:rsidRPr="003C433C">
        <w:t>.</w:t>
      </w:r>
      <w:r>
        <w:rPr>
          <w:rStyle w:val="FootnoteReference"/>
          <w:sz w:val="18"/>
          <w:szCs w:val="18"/>
          <w:vertAlign w:val="superscript"/>
        </w:rPr>
        <w:footnoteReference w:id="11"/>
      </w:r>
    </w:p>
    <w:p w:rsidR="0078072B" w:rsidRPr="00B025CF" w:rsidP="0078072B" w14:paraId="32F78B09" w14:textId="77777777"/>
    <w:p w:rsidR="0078072B" w:rsidP="0078072B" w14:paraId="5D9DB99A" w14:textId="5EC73A1E">
      <w:r w:rsidRPr="00C90EFB">
        <w:rPr>
          <w:rFonts w:eastAsiaTheme="minorEastAsia"/>
          <w:lang w:eastAsia="ja-JP"/>
        </w:rPr>
        <w:t xml:space="preserve">The staff used the </w:t>
      </w:r>
      <w:r w:rsidRPr="00BE168F">
        <w:t>2021</w:t>
      </w:r>
      <w:r w:rsidRPr="00C90EFB">
        <w:t xml:space="preserve"> BLS Occupational Employment and Wages data (BLS,</w:t>
      </w:r>
      <w:r>
        <w:t> </w:t>
      </w:r>
      <w:r w:rsidRPr="00BE168F">
        <w:t>2021</w:t>
      </w:r>
      <w:r w:rsidRPr="00C90EFB">
        <w:t>)</w:t>
      </w:r>
      <w:r w:rsidRPr="003C433C">
        <w:rPr>
          <w:rFonts w:eastAsiaTheme="minorEastAsia"/>
          <w:lang w:eastAsia="ja-JP"/>
        </w:rPr>
        <w:t xml:space="preserve"> </w:t>
      </w:r>
      <w:r w:rsidR="00B646A5">
        <w:rPr>
          <w:rFonts w:eastAsiaTheme="minorEastAsia"/>
          <w:lang w:eastAsia="ja-JP"/>
        </w:rPr>
        <w:t xml:space="preserve">to obtain </w:t>
      </w:r>
      <w:r w:rsidRPr="003C433C">
        <w:rPr>
          <w:rFonts w:eastAsiaTheme="minorEastAsia"/>
          <w:lang w:eastAsia="ja-JP"/>
        </w:rPr>
        <w:t>labor categories and the mean hourly wage rate by jo</w:t>
      </w:r>
      <w:r w:rsidRPr="00B60048">
        <w:rPr>
          <w:rFonts w:eastAsiaTheme="minorEastAsia"/>
          <w:lang w:eastAsia="ja-JP"/>
        </w:rPr>
        <w:t xml:space="preserve">b type, and </w:t>
      </w:r>
      <w:r w:rsidR="00B646A5">
        <w:rPr>
          <w:rFonts w:eastAsiaTheme="minorEastAsia"/>
          <w:lang w:eastAsia="ja-JP"/>
        </w:rPr>
        <w:t>applied</w:t>
      </w:r>
      <w:r w:rsidRPr="00B60048">
        <w:rPr>
          <w:rFonts w:eastAsiaTheme="minorEastAsia"/>
          <w:lang w:eastAsia="ja-JP"/>
        </w:rPr>
        <w:t xml:space="preserve"> the inflator discussed above to inflate these labor rate data to </w:t>
      </w:r>
      <w:r w:rsidRPr="00BE168F">
        <w:rPr>
          <w:rFonts w:eastAsiaTheme="minorEastAsia"/>
          <w:lang w:eastAsia="ja-JP"/>
        </w:rPr>
        <w:t>202</w:t>
      </w:r>
      <w:r w:rsidR="001410E6">
        <w:rPr>
          <w:rFonts w:eastAsiaTheme="minorEastAsia"/>
          <w:lang w:eastAsia="ja-JP"/>
        </w:rPr>
        <w:t>3</w:t>
      </w:r>
      <w:r w:rsidRPr="00B60048">
        <w:rPr>
          <w:rFonts w:eastAsiaTheme="minorEastAsia"/>
          <w:lang w:eastAsia="ja-JP"/>
        </w:rPr>
        <w:t xml:space="preserve"> dollars. </w:t>
      </w:r>
      <w:r w:rsidRPr="003C433C">
        <w:rPr>
          <w:rFonts w:eastAsiaTheme="minorEastAsia"/>
          <w:lang w:eastAsia="ja-JP"/>
        </w:rPr>
        <w:t>The labor rates used in the analysis reflect total hourly compensation, including wages and nonwage benefits</w:t>
      </w:r>
      <w:r>
        <w:rPr>
          <w:rFonts w:eastAsiaTheme="minorEastAsia"/>
          <w:lang w:eastAsia="ja-JP"/>
        </w:rPr>
        <w:t>,</w:t>
      </w:r>
      <w:r w:rsidRPr="003C433C">
        <w:rPr>
          <w:rFonts w:eastAsiaTheme="minorEastAsia"/>
          <w:lang w:eastAsia="ja-JP"/>
        </w:rPr>
        <w:t xml:space="preserve"> using a burden factor of</w:t>
      </w:r>
      <w:r w:rsidRPr="291A2C8C" w:rsidR="57CC209F">
        <w:rPr>
          <w:rFonts w:eastAsiaTheme="minorEastAsia"/>
          <w:lang w:eastAsia="ja-JP"/>
        </w:rPr>
        <w:t xml:space="preserve"> </w:t>
      </w:r>
      <w:r w:rsidRPr="003C433C">
        <w:rPr>
          <w:rFonts w:eastAsiaTheme="minorEastAsia"/>
          <w:lang w:eastAsia="ja-JP"/>
        </w:rPr>
        <w:t>2.4</w:t>
      </w:r>
      <w:r w:rsidRPr="0073061F">
        <w:t>. The NRC used the BLS data tables to select appropriate hourly labor rates for performing the anticipated tasks necessary during and following implementation of the proposed alternative. In establishing this labor rate, wages paid to the individuals performing the work</w:t>
      </w:r>
      <w:r>
        <w:t>,</w:t>
      </w:r>
      <w:r w:rsidRPr="0073061F">
        <w:t xml:space="preserve"> plus the associated fringe benefit component of labor cost (i.e., insurance premiums, pension, and legally require</w:t>
      </w:r>
      <w:r w:rsidRPr="0090466F">
        <w:t>d benefits)</w:t>
      </w:r>
      <w:r>
        <w:t>,</w:t>
      </w:r>
      <w:r w:rsidRPr="0090466F">
        <w:t xml:space="preserve"> are considered incremental expenses and are included. </w:t>
      </w:r>
      <w:r w:rsidRPr="00BE168F">
        <w:fldChar w:fldCharType="begin"/>
      </w:r>
      <w:r w:rsidRPr="00BE168F">
        <w:instrText xml:space="preserve"> REF _Ref108429023 \h </w:instrText>
      </w:r>
      <w:r w:rsidR="002B0E48">
        <w:instrText xml:space="preserve"> \* MERGEFORMAT </w:instrText>
      </w:r>
      <w:r w:rsidRPr="00BE168F">
        <w:fldChar w:fldCharType="separate"/>
      </w:r>
      <w:r w:rsidRPr="00BE168F">
        <w:t>Table </w:t>
      </w:r>
      <w:r w:rsidRPr="00BE168F">
        <w:rPr>
          <w:noProof/>
        </w:rPr>
        <w:t>3</w:t>
      </w:r>
      <w:r w:rsidRPr="00BE168F">
        <w:fldChar w:fldCharType="end"/>
      </w:r>
      <w:r w:rsidRPr="0090466F">
        <w:t xml:space="preserve"> summarizes the BLS labor categories that were used to estimate industry labor costs to implement this rule.</w:t>
      </w:r>
    </w:p>
    <w:p w:rsidR="00FE44B9" w:rsidRPr="00E4074A" w:rsidP="00E4074A" w14:paraId="02661218" w14:textId="2049304E">
      <w:pPr>
        <w:pStyle w:val="Caption"/>
        <w:jc w:val="center"/>
        <w:rPr>
          <w:b/>
        </w:rPr>
      </w:pPr>
      <w:bookmarkStart w:id="34" w:name="_Toc147923418"/>
      <w:r w:rsidRPr="00E4074A">
        <w:rPr>
          <w:b/>
          <w:bCs w:val="0"/>
        </w:rPr>
        <w:t xml:space="preserve">Table </w:t>
      </w:r>
      <w:r w:rsidRPr="00E4074A">
        <w:rPr>
          <w:b/>
          <w:bCs w:val="0"/>
        </w:rPr>
        <w:fldChar w:fldCharType="begin"/>
      </w:r>
      <w:r w:rsidRPr="00E4074A">
        <w:rPr>
          <w:b/>
          <w:bCs w:val="0"/>
        </w:rPr>
        <w:instrText xml:space="preserve"> SEQ Table \* ARABIC </w:instrText>
      </w:r>
      <w:r w:rsidRPr="00E4074A">
        <w:rPr>
          <w:b/>
          <w:bCs w:val="0"/>
        </w:rPr>
        <w:fldChar w:fldCharType="separate"/>
      </w:r>
      <w:r w:rsidR="00BE3FBC">
        <w:rPr>
          <w:b/>
          <w:bCs w:val="0"/>
          <w:noProof/>
        </w:rPr>
        <w:t>3</w:t>
      </w:r>
      <w:r w:rsidRPr="00E4074A">
        <w:rPr>
          <w:b/>
          <w:bCs w:val="0"/>
        </w:rPr>
        <w:fldChar w:fldCharType="end"/>
      </w:r>
      <w:r w:rsidRPr="00E4074A">
        <w:rPr>
          <w:b/>
          <w:bCs w:val="0"/>
        </w:rPr>
        <w:t xml:space="preserve">  Position Titles and Occupations</w:t>
      </w:r>
      <w:bookmarkEnd w:id="34"/>
    </w:p>
    <w:tbl>
      <w:tblPr>
        <w:tblW w:w="9445" w:type="dxa"/>
        <w:jc w:val="center"/>
        <w:tblLook w:val="04A0"/>
      </w:tblPr>
      <w:tblGrid>
        <w:gridCol w:w="2515"/>
        <w:gridCol w:w="6930"/>
      </w:tblGrid>
      <w:tr w14:paraId="4A208B92" w14:textId="77777777" w:rsidTr="0066072E">
        <w:tblPrEx>
          <w:tblW w:w="9445" w:type="dxa"/>
          <w:jc w:val="center"/>
          <w:tblLook w:val="04A0"/>
        </w:tblPrEx>
        <w:trPr>
          <w:trHeight w:val="629"/>
          <w:tblHeade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72B" w:rsidRPr="00E667E3" w:rsidP="0066072E" w14:paraId="444AEA6C" w14:textId="77777777">
            <w:pPr>
              <w:keepNext/>
              <w:keepLines/>
              <w:autoSpaceDE/>
              <w:autoSpaceDN/>
              <w:adjustRightInd/>
              <w:spacing w:line="240" w:lineRule="auto"/>
              <w:jc w:val="center"/>
              <w:rPr>
                <w:rFonts w:eastAsia="Times New Roman"/>
                <w:b/>
                <w:bCs/>
                <w:color w:val="000000"/>
              </w:rPr>
            </w:pPr>
            <w:r w:rsidRPr="00E667E3">
              <w:rPr>
                <w:rFonts w:eastAsia="Times New Roman"/>
                <w:b/>
                <w:bCs/>
                <w:color w:val="000000"/>
              </w:rPr>
              <w:t xml:space="preserve">Position Title (in </w:t>
            </w:r>
            <w:r>
              <w:rPr>
                <w:rFonts w:eastAsia="Times New Roman"/>
                <w:b/>
                <w:bCs/>
                <w:color w:val="000000"/>
              </w:rPr>
              <w:t>t</w:t>
            </w:r>
            <w:r w:rsidRPr="00E667E3">
              <w:rPr>
                <w:rFonts w:eastAsia="Times New Roman"/>
                <w:b/>
                <w:bCs/>
                <w:color w:val="000000"/>
              </w:rPr>
              <w:t>his Regulatory Analysis)</w:t>
            </w:r>
          </w:p>
        </w:tc>
        <w:tc>
          <w:tcPr>
            <w:tcW w:w="6930" w:type="dxa"/>
            <w:tcBorders>
              <w:top w:val="single" w:sz="4" w:space="0" w:color="auto"/>
              <w:left w:val="nil"/>
              <w:bottom w:val="single" w:sz="4" w:space="0" w:color="auto"/>
              <w:right w:val="single" w:sz="4" w:space="0" w:color="auto"/>
            </w:tcBorders>
            <w:shd w:val="clear" w:color="auto" w:fill="auto"/>
            <w:vAlign w:val="center"/>
            <w:hideMark/>
          </w:tcPr>
          <w:p w:rsidR="0078072B" w:rsidRPr="004366A6" w:rsidP="0066072E" w14:paraId="09101C76" w14:textId="77777777">
            <w:pPr>
              <w:keepNext/>
              <w:keepLines/>
              <w:autoSpaceDE/>
              <w:autoSpaceDN/>
              <w:adjustRightInd/>
              <w:spacing w:line="240" w:lineRule="auto"/>
              <w:jc w:val="center"/>
              <w:rPr>
                <w:b/>
                <w:color w:val="000000"/>
                <w:lang w:val="fr-FR"/>
              </w:rPr>
            </w:pPr>
            <w:r w:rsidRPr="004366A6">
              <w:rPr>
                <w:b/>
                <w:color w:val="000000"/>
                <w:lang w:val="fr-FR"/>
              </w:rPr>
              <w:t>Standard Occupational Classification (SOC Code)</w:t>
            </w:r>
          </w:p>
        </w:tc>
      </w:tr>
      <w:tr w14:paraId="30852BD1" w14:textId="77777777" w:rsidTr="0066072E">
        <w:tblPrEx>
          <w:tblW w:w="9445" w:type="dxa"/>
          <w:jc w:val="center"/>
          <w:tblLook w:val="04A0"/>
        </w:tblPrEx>
        <w:trPr>
          <w:trHeight w:val="269"/>
          <w:jc w:val="center"/>
        </w:trPr>
        <w:tc>
          <w:tcPr>
            <w:tcW w:w="2515" w:type="dxa"/>
            <w:tcBorders>
              <w:top w:val="nil"/>
              <w:left w:val="single" w:sz="4" w:space="0" w:color="auto"/>
              <w:right w:val="single" w:sz="4" w:space="0" w:color="auto"/>
            </w:tcBorders>
            <w:shd w:val="clear" w:color="auto" w:fill="auto"/>
            <w:vAlign w:val="center"/>
          </w:tcPr>
          <w:p w:rsidR="0078072B" w:rsidRPr="00E667E3" w:rsidP="0066072E" w14:paraId="5D973C6D" w14:textId="77777777">
            <w:pPr>
              <w:keepNext/>
              <w:keepLines/>
              <w:autoSpaceDE/>
              <w:autoSpaceDN/>
              <w:adjustRightInd/>
              <w:spacing w:line="240" w:lineRule="auto"/>
              <w:rPr>
                <w:rFonts w:eastAsia="Times New Roman"/>
                <w:color w:val="000000"/>
              </w:rPr>
            </w:pPr>
            <w:r>
              <w:rPr>
                <w:rFonts w:eastAsia="Times New Roman"/>
                <w:color w:val="000000"/>
              </w:rPr>
              <w:t>Managers</w:t>
            </w:r>
          </w:p>
        </w:tc>
        <w:tc>
          <w:tcPr>
            <w:tcW w:w="6930" w:type="dxa"/>
            <w:tcBorders>
              <w:top w:val="nil"/>
              <w:left w:val="nil"/>
              <w:bottom w:val="single" w:sz="4" w:space="0" w:color="auto"/>
              <w:right w:val="single" w:sz="4" w:space="0" w:color="auto"/>
            </w:tcBorders>
            <w:shd w:val="clear" w:color="auto" w:fill="auto"/>
            <w:vAlign w:val="center"/>
          </w:tcPr>
          <w:p w:rsidR="0078072B" w:rsidRPr="00E667E3" w:rsidP="0066072E" w14:paraId="0DF5FA04" w14:textId="77777777">
            <w:pPr>
              <w:keepNext/>
              <w:keepLines/>
              <w:autoSpaceDE/>
              <w:autoSpaceDN/>
              <w:adjustRightInd/>
              <w:spacing w:line="240" w:lineRule="auto"/>
              <w:rPr>
                <w:rFonts w:eastAsia="Times New Roman"/>
                <w:color w:val="000000"/>
              </w:rPr>
            </w:pPr>
            <w:r>
              <w:rPr>
                <w:rFonts w:eastAsia="Times New Roman"/>
                <w:color w:val="000000"/>
              </w:rPr>
              <w:t>General and Operations Managers (111021)</w:t>
            </w:r>
          </w:p>
        </w:tc>
      </w:tr>
      <w:tr w14:paraId="2660A934" w14:textId="77777777" w:rsidTr="0066072E">
        <w:tblPrEx>
          <w:tblW w:w="9445" w:type="dxa"/>
          <w:jc w:val="center"/>
          <w:tblLook w:val="04A0"/>
        </w:tblPrEx>
        <w:trPr>
          <w:trHeight w:val="269"/>
          <w:jc w:val="center"/>
        </w:trPr>
        <w:tc>
          <w:tcPr>
            <w:tcW w:w="2515" w:type="dxa"/>
            <w:vMerge w:val="restart"/>
            <w:tcBorders>
              <w:top w:val="single" w:sz="4" w:space="0" w:color="auto"/>
              <w:left w:val="single" w:sz="4" w:space="0" w:color="auto"/>
              <w:right w:val="single" w:sz="4" w:space="0" w:color="auto"/>
            </w:tcBorders>
            <w:shd w:val="clear" w:color="auto" w:fill="auto"/>
            <w:vAlign w:val="center"/>
            <w:hideMark/>
          </w:tcPr>
          <w:p w:rsidR="0078072B" w:rsidRPr="00E667E3" w:rsidP="0066072E" w14:paraId="7FEECBE3" w14:textId="77777777">
            <w:pPr>
              <w:keepNext/>
              <w:keepLines/>
              <w:autoSpaceDE/>
              <w:autoSpaceDN/>
              <w:adjustRightInd/>
              <w:spacing w:line="240" w:lineRule="auto"/>
              <w:rPr>
                <w:rFonts w:eastAsia="Times New Roman"/>
                <w:color w:val="000000"/>
              </w:rPr>
            </w:pPr>
            <w:r w:rsidRPr="00E667E3">
              <w:rPr>
                <w:rFonts w:eastAsia="Times New Roman"/>
                <w:color w:val="000000"/>
              </w:rPr>
              <w:t>Technical Staff</w:t>
            </w:r>
          </w:p>
        </w:tc>
        <w:tc>
          <w:tcPr>
            <w:tcW w:w="6930" w:type="dxa"/>
            <w:tcBorders>
              <w:top w:val="nil"/>
              <w:left w:val="nil"/>
              <w:bottom w:val="single" w:sz="4" w:space="0" w:color="auto"/>
              <w:right w:val="single" w:sz="4" w:space="0" w:color="auto"/>
            </w:tcBorders>
            <w:shd w:val="clear" w:color="auto" w:fill="auto"/>
            <w:vAlign w:val="center"/>
            <w:hideMark/>
          </w:tcPr>
          <w:p w:rsidR="0078072B" w:rsidRPr="00E667E3" w:rsidP="0066072E" w14:paraId="0710B0F0" w14:textId="77777777">
            <w:pPr>
              <w:keepNext/>
              <w:keepLines/>
              <w:autoSpaceDE/>
              <w:autoSpaceDN/>
              <w:adjustRightInd/>
              <w:spacing w:line="240" w:lineRule="auto"/>
              <w:rPr>
                <w:rFonts w:eastAsia="Times New Roman"/>
                <w:color w:val="000000"/>
              </w:rPr>
            </w:pPr>
            <w:r>
              <w:rPr>
                <w:rFonts w:eastAsia="Times New Roman"/>
                <w:color w:val="000000"/>
              </w:rPr>
              <w:t>Biological Scientists (191020)</w:t>
            </w:r>
          </w:p>
        </w:tc>
      </w:tr>
      <w:tr w14:paraId="00D7D843" w14:textId="77777777" w:rsidTr="0066072E">
        <w:tblPrEx>
          <w:tblW w:w="9445" w:type="dxa"/>
          <w:jc w:val="center"/>
          <w:tblLook w:val="04A0"/>
        </w:tblPrEx>
        <w:trPr>
          <w:trHeight w:val="260"/>
          <w:jc w:val="center"/>
        </w:trPr>
        <w:tc>
          <w:tcPr>
            <w:tcW w:w="2515" w:type="dxa"/>
            <w:vMerge/>
            <w:tcBorders>
              <w:left w:val="single" w:sz="4" w:space="0" w:color="auto"/>
              <w:bottom w:val="single" w:sz="4" w:space="0" w:color="auto"/>
              <w:right w:val="single" w:sz="4" w:space="0" w:color="auto"/>
            </w:tcBorders>
            <w:vAlign w:val="center"/>
          </w:tcPr>
          <w:p w:rsidR="0078072B" w:rsidRPr="00E667E3" w:rsidP="0066072E" w14:paraId="6547E457" w14:textId="77777777">
            <w:pPr>
              <w:keepNext/>
              <w:keepLines/>
              <w:autoSpaceDE/>
              <w:autoSpaceDN/>
              <w:adjustRightInd/>
              <w:spacing w:line="240" w:lineRule="auto"/>
              <w:rPr>
                <w:rFonts w:eastAsia="Times New Roman"/>
                <w:color w:val="000000"/>
              </w:rPr>
            </w:pPr>
          </w:p>
        </w:tc>
        <w:tc>
          <w:tcPr>
            <w:tcW w:w="6930" w:type="dxa"/>
            <w:tcBorders>
              <w:top w:val="nil"/>
              <w:left w:val="nil"/>
              <w:bottom w:val="single" w:sz="4" w:space="0" w:color="auto"/>
              <w:right w:val="single" w:sz="4" w:space="0" w:color="auto"/>
            </w:tcBorders>
            <w:shd w:val="clear" w:color="auto" w:fill="auto"/>
            <w:vAlign w:val="center"/>
          </w:tcPr>
          <w:p w:rsidR="0078072B" w:rsidP="0066072E" w14:paraId="120FBD24" w14:textId="77777777">
            <w:pPr>
              <w:keepNext/>
              <w:keepLines/>
              <w:autoSpaceDE/>
              <w:autoSpaceDN/>
              <w:adjustRightInd/>
              <w:spacing w:line="240" w:lineRule="auto"/>
              <w:rPr>
                <w:rFonts w:eastAsia="Times New Roman"/>
                <w:color w:val="000000"/>
              </w:rPr>
            </w:pPr>
            <w:r>
              <w:rPr>
                <w:rFonts w:eastAsia="Times New Roman"/>
                <w:color w:val="000000"/>
              </w:rPr>
              <w:t>Environmental Scientists and Geoscientists (192040)</w:t>
            </w:r>
          </w:p>
        </w:tc>
      </w:tr>
      <w:tr w14:paraId="00F7EC5B" w14:textId="77777777" w:rsidTr="0066072E">
        <w:tblPrEx>
          <w:tblW w:w="9445" w:type="dxa"/>
          <w:jc w:val="center"/>
          <w:tblLook w:val="04A0"/>
        </w:tblPrEx>
        <w:trPr>
          <w:trHeight w:val="260"/>
          <w:jc w:val="center"/>
        </w:trPr>
        <w:tc>
          <w:tcPr>
            <w:tcW w:w="2515" w:type="dxa"/>
            <w:vMerge/>
            <w:tcBorders>
              <w:left w:val="single" w:sz="4" w:space="0" w:color="auto"/>
              <w:bottom w:val="single" w:sz="4" w:space="0" w:color="auto"/>
              <w:right w:val="single" w:sz="4" w:space="0" w:color="auto"/>
            </w:tcBorders>
            <w:vAlign w:val="center"/>
          </w:tcPr>
          <w:p w:rsidR="0078072B" w:rsidRPr="00E667E3" w:rsidP="0066072E" w14:paraId="73902F12" w14:textId="77777777">
            <w:pPr>
              <w:keepNext/>
              <w:keepLines/>
              <w:autoSpaceDE/>
              <w:autoSpaceDN/>
              <w:adjustRightInd/>
              <w:spacing w:line="240" w:lineRule="auto"/>
              <w:rPr>
                <w:rFonts w:eastAsia="Times New Roman"/>
                <w:color w:val="000000"/>
              </w:rPr>
            </w:pPr>
          </w:p>
        </w:tc>
        <w:tc>
          <w:tcPr>
            <w:tcW w:w="6930" w:type="dxa"/>
            <w:tcBorders>
              <w:top w:val="nil"/>
              <w:left w:val="nil"/>
              <w:bottom w:val="single" w:sz="4" w:space="0" w:color="auto"/>
              <w:right w:val="single" w:sz="4" w:space="0" w:color="auto"/>
            </w:tcBorders>
            <w:shd w:val="clear" w:color="auto" w:fill="auto"/>
            <w:vAlign w:val="center"/>
          </w:tcPr>
          <w:p w:rsidR="0078072B" w:rsidRPr="00E667E3" w:rsidP="0066072E" w14:paraId="7D6AB03C" w14:textId="77777777">
            <w:pPr>
              <w:keepNext/>
              <w:keepLines/>
              <w:autoSpaceDE/>
              <w:autoSpaceDN/>
              <w:adjustRightInd/>
              <w:spacing w:line="240" w:lineRule="auto"/>
              <w:rPr>
                <w:rFonts w:eastAsia="Times New Roman"/>
                <w:color w:val="000000"/>
              </w:rPr>
            </w:pPr>
            <w:r>
              <w:rPr>
                <w:rFonts w:eastAsia="Times New Roman"/>
                <w:color w:val="000000"/>
              </w:rPr>
              <w:t>Life, Physical, and Social Scientists (190000)</w:t>
            </w:r>
          </w:p>
        </w:tc>
      </w:tr>
      <w:tr w14:paraId="5CAC727E" w14:textId="77777777" w:rsidTr="0066072E">
        <w:tblPrEx>
          <w:tblW w:w="9445" w:type="dxa"/>
          <w:jc w:val="center"/>
          <w:tblLook w:val="04A0"/>
        </w:tblPrEx>
        <w:trPr>
          <w:trHeight w:val="260"/>
          <w:jc w:val="center"/>
        </w:trPr>
        <w:tc>
          <w:tcPr>
            <w:tcW w:w="2515" w:type="dxa"/>
            <w:vMerge w:val="restart"/>
            <w:tcBorders>
              <w:top w:val="nil"/>
              <w:left w:val="single" w:sz="4" w:space="0" w:color="auto"/>
              <w:bottom w:val="single" w:sz="4" w:space="0" w:color="auto"/>
              <w:right w:val="single" w:sz="4" w:space="0" w:color="auto"/>
            </w:tcBorders>
            <w:shd w:val="clear" w:color="auto" w:fill="auto"/>
            <w:vAlign w:val="center"/>
            <w:hideMark/>
          </w:tcPr>
          <w:p w:rsidR="0078072B" w:rsidRPr="00E667E3" w:rsidP="0066072E" w14:paraId="42330A98" w14:textId="77777777">
            <w:pPr>
              <w:keepNext/>
              <w:keepLines/>
              <w:autoSpaceDE/>
              <w:autoSpaceDN/>
              <w:adjustRightInd/>
              <w:spacing w:line="240" w:lineRule="auto"/>
              <w:rPr>
                <w:rFonts w:eastAsia="Times New Roman"/>
                <w:color w:val="000000"/>
              </w:rPr>
            </w:pPr>
            <w:r w:rsidRPr="00E667E3">
              <w:rPr>
                <w:rFonts w:eastAsia="Times New Roman"/>
                <w:color w:val="000000"/>
              </w:rPr>
              <w:t>Administrative Staff</w:t>
            </w:r>
          </w:p>
        </w:tc>
        <w:tc>
          <w:tcPr>
            <w:tcW w:w="6930" w:type="dxa"/>
            <w:tcBorders>
              <w:top w:val="nil"/>
              <w:left w:val="nil"/>
              <w:bottom w:val="single" w:sz="4" w:space="0" w:color="auto"/>
              <w:right w:val="single" w:sz="4" w:space="0" w:color="auto"/>
            </w:tcBorders>
            <w:shd w:val="clear" w:color="auto" w:fill="auto"/>
            <w:vAlign w:val="center"/>
            <w:hideMark/>
          </w:tcPr>
          <w:p w:rsidR="0078072B" w:rsidRPr="00E667E3" w:rsidP="0066072E" w14:paraId="3B2A3127" w14:textId="77777777">
            <w:pPr>
              <w:keepNext/>
              <w:keepLines/>
              <w:autoSpaceDE/>
              <w:autoSpaceDN/>
              <w:adjustRightInd/>
              <w:spacing w:line="240" w:lineRule="auto"/>
              <w:rPr>
                <w:rFonts w:eastAsia="Times New Roman"/>
                <w:color w:val="000000"/>
              </w:rPr>
            </w:pPr>
            <w:r w:rsidRPr="00E667E3">
              <w:rPr>
                <w:rFonts w:eastAsia="Times New Roman"/>
                <w:color w:val="000000"/>
              </w:rPr>
              <w:t>Office and Administrative Support Occupations (430000)</w:t>
            </w:r>
          </w:p>
        </w:tc>
      </w:tr>
      <w:tr w14:paraId="08A2F4C8" w14:textId="77777777" w:rsidTr="0066072E">
        <w:tblPrEx>
          <w:tblW w:w="9445" w:type="dxa"/>
          <w:jc w:val="center"/>
          <w:tblLook w:val="04A0"/>
        </w:tblPrEx>
        <w:trPr>
          <w:trHeight w:val="260"/>
          <w:jc w:val="center"/>
        </w:trPr>
        <w:tc>
          <w:tcPr>
            <w:tcW w:w="2515" w:type="dxa"/>
            <w:vMerge/>
            <w:tcBorders>
              <w:top w:val="nil"/>
              <w:left w:val="single" w:sz="4" w:space="0" w:color="auto"/>
              <w:bottom w:val="single" w:sz="4" w:space="0" w:color="auto"/>
              <w:right w:val="single" w:sz="4" w:space="0" w:color="auto"/>
            </w:tcBorders>
            <w:vAlign w:val="center"/>
            <w:hideMark/>
          </w:tcPr>
          <w:p w:rsidR="0078072B" w:rsidRPr="00E667E3" w:rsidP="0066072E" w14:paraId="5EB136FF" w14:textId="77777777">
            <w:pPr>
              <w:keepNext/>
              <w:keepLines/>
              <w:autoSpaceDE/>
              <w:autoSpaceDN/>
              <w:adjustRightInd/>
              <w:spacing w:line="240" w:lineRule="auto"/>
              <w:rPr>
                <w:rFonts w:eastAsia="Times New Roman"/>
                <w:color w:val="000000"/>
              </w:rPr>
            </w:pPr>
          </w:p>
        </w:tc>
        <w:tc>
          <w:tcPr>
            <w:tcW w:w="6930" w:type="dxa"/>
            <w:tcBorders>
              <w:top w:val="nil"/>
              <w:left w:val="nil"/>
              <w:bottom w:val="single" w:sz="4" w:space="0" w:color="auto"/>
              <w:right w:val="single" w:sz="4" w:space="0" w:color="auto"/>
            </w:tcBorders>
            <w:shd w:val="clear" w:color="auto" w:fill="auto"/>
            <w:vAlign w:val="center"/>
            <w:hideMark/>
          </w:tcPr>
          <w:p w:rsidR="0078072B" w:rsidRPr="00E667E3" w:rsidP="0066072E" w14:paraId="4F97ABB4" w14:textId="77777777">
            <w:pPr>
              <w:keepNext/>
              <w:keepLines/>
              <w:autoSpaceDE/>
              <w:autoSpaceDN/>
              <w:adjustRightInd/>
              <w:spacing w:line="240" w:lineRule="auto"/>
              <w:rPr>
                <w:rFonts w:eastAsia="Times New Roman"/>
                <w:color w:val="000000"/>
              </w:rPr>
            </w:pPr>
            <w:r w:rsidRPr="00E667E3">
              <w:rPr>
                <w:rFonts w:eastAsia="Times New Roman"/>
                <w:color w:val="000000"/>
              </w:rPr>
              <w:t>First-Line Supervisors of Office and Administrative Support Workers (431011)</w:t>
            </w:r>
          </w:p>
        </w:tc>
      </w:tr>
      <w:tr w14:paraId="295DB5B9" w14:textId="77777777" w:rsidTr="0066072E">
        <w:tblPrEx>
          <w:tblW w:w="9445" w:type="dxa"/>
          <w:jc w:val="center"/>
          <w:tblLook w:val="04A0"/>
        </w:tblPrEx>
        <w:trPr>
          <w:trHeight w:val="26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78072B" w:rsidRPr="00E667E3" w:rsidP="0066072E" w14:paraId="6E954EB5" w14:textId="77777777">
            <w:pPr>
              <w:keepNext/>
              <w:keepLines/>
              <w:autoSpaceDE/>
              <w:autoSpaceDN/>
              <w:adjustRightInd/>
              <w:spacing w:line="240" w:lineRule="auto"/>
              <w:rPr>
                <w:rFonts w:eastAsia="Times New Roman"/>
                <w:color w:val="000000"/>
              </w:rPr>
            </w:pPr>
            <w:r w:rsidRPr="00E667E3">
              <w:rPr>
                <w:rFonts w:eastAsia="Times New Roman"/>
                <w:color w:val="000000"/>
              </w:rPr>
              <w:t>Licensing Staff </w:t>
            </w:r>
          </w:p>
        </w:tc>
        <w:tc>
          <w:tcPr>
            <w:tcW w:w="6930" w:type="dxa"/>
            <w:tcBorders>
              <w:top w:val="nil"/>
              <w:left w:val="nil"/>
              <w:bottom w:val="single" w:sz="4" w:space="0" w:color="auto"/>
              <w:right w:val="single" w:sz="4" w:space="0" w:color="auto"/>
            </w:tcBorders>
            <w:shd w:val="clear" w:color="auto" w:fill="auto"/>
            <w:vAlign w:val="center"/>
            <w:hideMark/>
          </w:tcPr>
          <w:p w:rsidR="0078072B" w:rsidRPr="00E667E3" w:rsidP="0066072E" w14:paraId="70F95C7A" w14:textId="77777777">
            <w:pPr>
              <w:keepNext/>
              <w:keepLines/>
              <w:autoSpaceDE/>
              <w:autoSpaceDN/>
              <w:adjustRightInd/>
              <w:spacing w:line="240" w:lineRule="auto"/>
              <w:rPr>
                <w:rFonts w:eastAsia="Times New Roman"/>
                <w:color w:val="000000"/>
              </w:rPr>
            </w:pPr>
            <w:r w:rsidRPr="00E667E3">
              <w:rPr>
                <w:rFonts w:eastAsia="Times New Roman"/>
                <w:color w:val="000000"/>
              </w:rPr>
              <w:t>Lawyers (231011)</w:t>
            </w:r>
          </w:p>
        </w:tc>
      </w:tr>
    </w:tbl>
    <w:p w:rsidR="0078072B" w:rsidP="0078072B" w14:paraId="0B11485C" w14:textId="77777777">
      <w:pPr>
        <w:rPr>
          <w:highlight w:val="yellow"/>
        </w:rPr>
      </w:pPr>
    </w:p>
    <w:p w:rsidR="0078072B" w:rsidP="0078072B" w14:paraId="3111B635" w14:textId="49822B1B">
      <w:r w:rsidRPr="0090466F">
        <w:t>The NRC used BLS labor rates at the 25</w:t>
      </w:r>
      <w:r w:rsidRPr="004366A6">
        <w:t>th</w:t>
      </w:r>
      <w:r w:rsidRPr="0090466F">
        <w:t> percentile</w:t>
      </w:r>
      <w:r>
        <w:t>, mean,</w:t>
      </w:r>
      <w:r w:rsidRPr="0090466F">
        <w:t xml:space="preserve"> and 75</w:t>
      </w:r>
      <w:r w:rsidRPr="004366A6">
        <w:t>th</w:t>
      </w:r>
      <w:r>
        <w:t> </w:t>
      </w:r>
      <w:r w:rsidRPr="0090466F">
        <w:t>percentile and</w:t>
      </w:r>
      <w:r>
        <w:t xml:space="preserve"> adjusted to 202</w:t>
      </w:r>
      <w:r w:rsidR="002B0E48">
        <w:t>3</w:t>
      </w:r>
      <w:r>
        <w:t> dollars as input into the uncertainty analysis, which is described in Section 4</w:t>
      </w:r>
      <w:r w:rsidRPr="00C401D9">
        <w:t>.</w:t>
      </w:r>
      <w:r>
        <w:t xml:space="preserve"> The industry hourly labor rate used in this analysis is $</w:t>
      </w:r>
      <w:r w:rsidRPr="00650ECF">
        <w:t>16</w:t>
      </w:r>
      <w:r w:rsidR="007A5965">
        <w:t>4</w:t>
      </w:r>
      <w:r>
        <w:t xml:space="preserve"> per hour.</w:t>
      </w:r>
    </w:p>
    <w:p w:rsidR="0078072B" w:rsidRPr="00E10389" w:rsidP="0078072B" w14:paraId="0F87DF5B" w14:textId="77777777">
      <w:pPr>
        <w:rPr>
          <w:highlight w:val="yellow"/>
        </w:rPr>
      </w:pPr>
    </w:p>
    <w:p w:rsidR="0078072B" w:rsidRPr="00920919" w:rsidP="0078072B" w14:paraId="6A906033" w14:textId="77777777">
      <w:pPr>
        <w:pStyle w:val="Heading3"/>
        <w:keepLines/>
        <w:rPr>
          <w:i w:val="0"/>
          <w:iCs/>
        </w:rPr>
      </w:pPr>
      <w:bookmarkStart w:id="35" w:name="_Toc147922985"/>
      <w:r w:rsidRPr="00920919">
        <w:rPr>
          <w:i w:val="0"/>
          <w:iCs/>
        </w:rPr>
        <w:t>3.2.7</w:t>
      </w:r>
      <w:r w:rsidRPr="00920919">
        <w:rPr>
          <w:i w:val="0"/>
          <w:iCs/>
        </w:rPr>
        <w:tab/>
      </w:r>
      <w:r w:rsidRPr="00920919">
        <w:t>Sign Conventions</w:t>
      </w:r>
      <w:bookmarkEnd w:id="35"/>
    </w:p>
    <w:p w:rsidR="0078072B" w:rsidRPr="00CB4858" w:rsidP="0078072B" w14:paraId="3FC782EF" w14:textId="77777777">
      <w:pPr>
        <w:keepNext/>
        <w:keepLines/>
      </w:pPr>
    </w:p>
    <w:p w:rsidR="0078072B" w:rsidP="0078072B" w14:paraId="63F6CEB5" w14:textId="77777777">
      <w:pPr>
        <w:keepNext/>
        <w:keepLines/>
      </w:pPr>
      <w:r w:rsidRPr="004D0C3A">
        <w:t xml:space="preserve">The sign conventions used in this analysis are </w:t>
      </w:r>
      <w:r>
        <w:t xml:space="preserve">that </w:t>
      </w:r>
      <w:r w:rsidRPr="004D0C3A">
        <w:t xml:space="preserve">all favorable consequences for the </w:t>
      </w:r>
      <w:r>
        <w:t xml:space="preserve">Alternative 2 </w:t>
      </w:r>
      <w:r w:rsidRPr="004D0C3A">
        <w:t>are positive and all adverse consequences are negative. Negative values are shown using parentheses (e.g., negative $500 is displayed as ($500)).</w:t>
      </w:r>
    </w:p>
    <w:p w:rsidR="0078072B" w:rsidRPr="00E10389" w:rsidP="0078072B" w14:paraId="0E64E553" w14:textId="77777777">
      <w:pPr>
        <w:rPr>
          <w:highlight w:val="yellow"/>
        </w:rPr>
      </w:pPr>
    </w:p>
    <w:p w:rsidR="0078072B" w:rsidRPr="00F836A0" w:rsidP="0078072B" w14:paraId="4FBE6663" w14:textId="77777777">
      <w:pPr>
        <w:pStyle w:val="Heading3"/>
        <w:rPr>
          <w:i w:val="0"/>
          <w:iCs/>
        </w:rPr>
      </w:pPr>
      <w:bookmarkStart w:id="36" w:name="_Toc147922986"/>
      <w:r w:rsidRPr="00F836A0">
        <w:rPr>
          <w:i w:val="0"/>
          <w:iCs/>
        </w:rPr>
        <w:t>3.2.8</w:t>
      </w:r>
      <w:r w:rsidRPr="00F836A0">
        <w:rPr>
          <w:i w:val="0"/>
          <w:iCs/>
        </w:rPr>
        <w:tab/>
      </w:r>
      <w:r w:rsidRPr="00F836A0">
        <w:t>Analysis Horizon</w:t>
      </w:r>
      <w:bookmarkEnd w:id="36"/>
    </w:p>
    <w:p w:rsidR="0078072B" w:rsidRPr="00CB4858" w:rsidP="0078072B" w14:paraId="566AB782" w14:textId="77777777">
      <w:pPr>
        <w:rPr>
          <w:highlight w:val="yellow"/>
        </w:rPr>
      </w:pPr>
    </w:p>
    <w:p w:rsidR="0078072B" w:rsidP="0078072B" w14:paraId="570EE45F" w14:textId="21BC7A16">
      <w:pPr>
        <w:rPr>
          <w:color w:val="auto"/>
        </w:rPr>
      </w:pPr>
      <w:r w:rsidRPr="00166E38">
        <w:rPr>
          <w:iCs/>
        </w:rPr>
        <w:t>The analysis horizon is 10 years based on Appe</w:t>
      </w:r>
      <w:r>
        <w:rPr>
          <w:iCs/>
        </w:rPr>
        <w:t xml:space="preserve">ndix B to Subpart A of </w:t>
      </w:r>
      <w:r w:rsidRPr="0040608C">
        <w:rPr>
          <w:iCs/>
        </w:rPr>
        <w:t>10 CFR Part 51</w:t>
      </w:r>
      <w:r>
        <w:rPr>
          <w:iCs/>
        </w:rPr>
        <w:t xml:space="preserve">, which states that the material in Appendix B, including Table </w:t>
      </w:r>
      <w:r w:rsidRPr="291A2C8C">
        <w:t>B</w:t>
      </w:r>
      <w:r w:rsidR="00D20E11">
        <w:noBreakHyphen/>
      </w:r>
      <w:r w:rsidRPr="291A2C8C">
        <w:t>1</w:t>
      </w:r>
      <w:r>
        <w:rPr>
          <w:iCs/>
        </w:rPr>
        <w:t>, should be reviewed on a 10</w:t>
      </w:r>
      <w:r w:rsidRPr="291A2C8C" w:rsidR="3EA47756">
        <w:t>-</w:t>
      </w:r>
      <w:r>
        <w:rPr>
          <w:iCs/>
        </w:rPr>
        <w:t>year cycle and updated if necessary</w:t>
      </w:r>
      <w:r w:rsidRPr="291A2C8C">
        <w:t>.</w:t>
      </w:r>
      <w:r>
        <w:rPr>
          <w:iCs/>
        </w:rPr>
        <w:t xml:space="preserve"> This is also consistent with Commission direction in SRM</w:t>
      </w:r>
      <w:r>
        <w:rPr>
          <w:iCs/>
        </w:rPr>
        <w:noBreakHyphen/>
        <w:t>SECY</w:t>
      </w:r>
      <w:r>
        <w:rPr>
          <w:iCs/>
        </w:rPr>
        <w:noBreakHyphen/>
        <w:t>21</w:t>
      </w:r>
      <w:r>
        <w:rPr>
          <w:iCs/>
        </w:rPr>
        <w:noBreakHyphen/>
        <w:t>0066</w:t>
      </w:r>
      <w:r w:rsidRPr="00501E8B">
        <w:rPr>
          <w:color w:val="auto"/>
        </w:rPr>
        <w:t xml:space="preserve">, </w:t>
      </w:r>
      <w:r>
        <w:rPr>
          <w:color w:val="auto"/>
        </w:rPr>
        <w:t>SRM</w:t>
      </w:r>
      <w:r>
        <w:rPr>
          <w:color w:val="auto"/>
        </w:rPr>
        <w:noBreakHyphen/>
        <w:t>SECY</w:t>
      </w:r>
      <w:r>
        <w:rPr>
          <w:color w:val="auto"/>
        </w:rPr>
        <w:noBreakHyphen/>
        <w:t>22</w:t>
      </w:r>
      <w:r>
        <w:rPr>
          <w:color w:val="auto"/>
        </w:rPr>
        <w:noBreakHyphen/>
        <w:t>0024, and SRM</w:t>
      </w:r>
      <w:r>
        <w:rPr>
          <w:color w:val="auto"/>
        </w:rPr>
        <w:noBreakHyphen/>
        <w:t>SECY</w:t>
      </w:r>
      <w:r>
        <w:rPr>
          <w:color w:val="auto"/>
        </w:rPr>
        <w:noBreakHyphen/>
        <w:t>22</w:t>
      </w:r>
      <w:r>
        <w:rPr>
          <w:color w:val="auto"/>
        </w:rPr>
        <w:noBreakHyphen/>
        <w:t>0036, “</w:t>
      </w:r>
      <w:r w:rsidRPr="00B678A9">
        <w:rPr>
          <w:color w:val="auto"/>
        </w:rPr>
        <w:t>Staff Requirements</w:t>
      </w:r>
      <w:r>
        <w:rPr>
          <w:color w:val="auto"/>
        </w:rPr>
        <w:t>—</w:t>
      </w:r>
      <w:r w:rsidRPr="00C3049E">
        <w:rPr>
          <w:color w:val="auto"/>
        </w:rPr>
        <w:t>SECY</w:t>
      </w:r>
      <w:r>
        <w:rPr>
          <w:color w:val="auto"/>
        </w:rPr>
        <w:noBreakHyphen/>
      </w:r>
      <w:r w:rsidRPr="00C3049E">
        <w:rPr>
          <w:color w:val="auto"/>
        </w:rPr>
        <w:t>22</w:t>
      </w:r>
      <w:r>
        <w:rPr>
          <w:color w:val="auto"/>
        </w:rPr>
        <w:noBreakHyphen/>
      </w:r>
      <w:r w:rsidRPr="00C3049E">
        <w:rPr>
          <w:color w:val="auto"/>
        </w:rPr>
        <w:t>0036</w:t>
      </w:r>
      <w:r>
        <w:rPr>
          <w:color w:val="auto"/>
        </w:rPr>
        <w:t>—Rulemaking Plan for Renewing Nuclear Power Plant Operating Licenses</w:t>
      </w:r>
      <w:r w:rsidRPr="00AC5CE8">
        <w:rPr>
          <w:color w:val="auto"/>
        </w:rPr>
        <w:t>—</w:t>
      </w:r>
      <w:r>
        <w:rPr>
          <w:color w:val="auto"/>
        </w:rPr>
        <w:t>10</w:t>
      </w:r>
      <w:r>
        <w:rPr>
          <w:color w:val="auto"/>
        </w:rPr>
        <w:noBreakHyphen/>
        <w:t>Year Environmental Regulatory Update (NRC</w:t>
      </w:r>
      <w:r>
        <w:rPr>
          <w:color w:val="auto"/>
        </w:rPr>
        <w:noBreakHyphen/>
        <w:t>2022</w:t>
      </w:r>
      <w:r w:rsidR="00D20E11">
        <w:rPr>
          <w:color w:val="auto"/>
        </w:rPr>
        <w:noBreakHyphen/>
      </w:r>
      <w:r>
        <w:rPr>
          <w:color w:val="auto"/>
        </w:rPr>
        <w:t>0087),” dated June 17, 2022 (NRC, 2022i).</w:t>
      </w:r>
    </w:p>
    <w:p w:rsidR="0078072B" w:rsidRPr="00B11EC8" w:rsidP="0078072B" w14:paraId="715BEACC" w14:textId="77777777">
      <w:pPr>
        <w:tabs>
          <w:tab w:val="left" w:pos="1440"/>
          <w:tab w:val="left" w:pos="2160"/>
          <w:tab w:val="left" w:pos="9360"/>
        </w:tabs>
        <w:rPr>
          <w:rFonts w:eastAsia="Times New Roman"/>
        </w:rPr>
      </w:pPr>
    </w:p>
    <w:p w:rsidR="0078072B" w:rsidRPr="00B11EC8" w:rsidP="0078072B" w14:paraId="6E4B8F97" w14:textId="77777777">
      <w:pPr>
        <w:pStyle w:val="Heading2"/>
        <w:rPr>
          <w:sz w:val="24"/>
          <w:szCs w:val="24"/>
        </w:rPr>
      </w:pPr>
      <w:bookmarkStart w:id="37" w:name="_Toc147922987"/>
      <w:r w:rsidRPr="00B11EC8">
        <w:rPr>
          <w:sz w:val="24"/>
          <w:szCs w:val="24"/>
        </w:rPr>
        <w:t>3.3</w:t>
      </w:r>
      <w:r w:rsidRPr="00B11EC8">
        <w:rPr>
          <w:sz w:val="24"/>
          <w:szCs w:val="24"/>
        </w:rPr>
        <w:tab/>
      </w:r>
      <w:r w:rsidRPr="00B11EC8">
        <w:rPr>
          <w:sz w:val="24"/>
          <w:szCs w:val="24"/>
          <w:u w:val="single"/>
        </w:rPr>
        <w:t>Industry Implementation</w:t>
      </w:r>
      <w:bookmarkEnd w:id="37"/>
    </w:p>
    <w:p w:rsidR="0078072B" w:rsidP="0078072B" w14:paraId="63D07AE1" w14:textId="77777777">
      <w:pPr>
        <w:rPr>
          <w:highlight w:val="yellow"/>
        </w:rPr>
      </w:pPr>
    </w:p>
    <w:p w:rsidR="0078072B" w:rsidP="0078072B" w14:paraId="500700A6" w14:textId="79D8EEA0">
      <w:pPr>
        <w:pStyle w:val="BodyText"/>
      </w:pPr>
      <w:r>
        <w:t xml:space="preserve">Under Alternative 2, </w:t>
      </w:r>
      <w:r w:rsidRPr="009C0B78">
        <w:t>industry</w:t>
      </w:r>
      <w:r>
        <w:t xml:space="preserve"> would need to review the rule and update its procedures</w:t>
      </w:r>
      <w:r w:rsidR="00A66B21">
        <w:t>,</w:t>
      </w:r>
      <w:r>
        <w:t xml:space="preserve"> as necessary</w:t>
      </w:r>
      <w:r w:rsidRPr="004259F9">
        <w:t xml:space="preserve">. The </w:t>
      </w:r>
      <w:r>
        <w:t>staff</w:t>
      </w:r>
      <w:r w:rsidRPr="004259F9">
        <w:t xml:space="preserve"> assumed that these implementation activities would apply to the </w:t>
      </w:r>
      <w:r>
        <w:t>18 parent companies of the licensees</w:t>
      </w:r>
      <w:r w:rsidRPr="004259F9">
        <w:t xml:space="preserve"> expected to submit applications under this rule </w:t>
      </w:r>
      <w:r>
        <w:t>from</w:t>
      </w:r>
      <w:r w:rsidRPr="004259F9">
        <w:t xml:space="preserve"> </w:t>
      </w:r>
      <w:r w:rsidRPr="009C10FF">
        <w:t>2025</w:t>
      </w:r>
      <w:r>
        <w:t xml:space="preserve"> through </w:t>
      </w:r>
      <w:r w:rsidRPr="009C10FF">
        <w:t>2035</w:t>
      </w:r>
      <w:r>
        <w:t xml:space="preserve">, </w:t>
      </w:r>
      <w:r w:rsidRPr="009C10FF">
        <w:t>as well as those license</w:t>
      </w:r>
      <w:r>
        <w:t>e</w:t>
      </w:r>
      <w:r w:rsidRPr="009C10FF">
        <w:t>s that plan to sub</w:t>
      </w:r>
      <w:r w:rsidRPr="001833A6">
        <w:t xml:space="preserve">mit </w:t>
      </w:r>
      <w:r w:rsidRPr="001833A6" w:rsidR="0003428B">
        <w:t>near-term</w:t>
      </w:r>
      <w:r w:rsidRPr="001833A6">
        <w:t xml:space="preserve"> SLR applications or license</w:t>
      </w:r>
      <w:r w:rsidR="0003428B">
        <w:t>e</w:t>
      </w:r>
      <w:r w:rsidRPr="001833A6">
        <w:t>s that have submitted</w:t>
      </w:r>
      <w:r w:rsidR="002B39CF">
        <w:t xml:space="preserve"> an SLR application</w:t>
      </w:r>
      <w:r w:rsidRPr="001833A6">
        <w:t xml:space="preserve"> or have received a subsequent</w:t>
      </w:r>
      <w:r>
        <w:t>ly renewed</w:t>
      </w:r>
      <w:r w:rsidRPr="001833A6">
        <w:t xml:space="preserve"> license. The staff estimated each </w:t>
      </w:r>
      <w:r w:rsidRPr="001A7DC1">
        <w:t xml:space="preserve">parent company would </w:t>
      </w:r>
      <w:r>
        <w:t>incur</w:t>
      </w:r>
      <w:r w:rsidRPr="001A7DC1">
        <w:t xml:space="preserve"> $50,000 </w:t>
      </w:r>
      <w:r>
        <w:t xml:space="preserve">in </w:t>
      </w:r>
      <w:r w:rsidR="006A61B7">
        <w:t xml:space="preserve">costs to </w:t>
      </w:r>
      <w:r>
        <w:t>perform</w:t>
      </w:r>
      <w:r w:rsidRPr="001A7DC1">
        <w:t xml:space="preserve"> these activities, allocated evenly between reviewing the regulatory changes and updating their procedures in preparation </w:t>
      </w:r>
      <w:r>
        <w:t>for</w:t>
      </w:r>
      <w:r w:rsidRPr="001A7DC1">
        <w:t xml:space="preserve"> us</w:t>
      </w:r>
      <w:r>
        <w:t>ing</w:t>
      </w:r>
      <w:r w:rsidRPr="001A7DC1">
        <w:t xml:space="preserve"> the new requirements</w:t>
      </w:r>
      <w:r>
        <w:t>. These activities result in costs to industry of approximately ($</w:t>
      </w:r>
      <w:r w:rsidR="00AE6870">
        <w:t>814</w:t>
      </w:r>
      <w:r>
        <w:t>,000) using a 7 percent NPV and ($</w:t>
      </w:r>
      <w:r w:rsidR="00AE6870">
        <w:t>861</w:t>
      </w:r>
      <w:r>
        <w:t xml:space="preserve">,000) using a 3 percent NPV, </w:t>
      </w:r>
      <w:r w:rsidR="00AE6870">
        <w:t xml:space="preserve">as </w:t>
      </w:r>
      <w:r>
        <w:t xml:space="preserve">shown in </w:t>
      </w:r>
      <w:r w:rsidRPr="00C14561">
        <w:fldChar w:fldCharType="begin"/>
      </w:r>
      <w:r w:rsidRPr="00C14561">
        <w:instrText xml:space="preserve"> REF _Ref108429045 \h </w:instrText>
      </w:r>
      <w:r w:rsidRPr="00C14561" w:rsidR="009F5825">
        <w:instrText xml:space="preserve"> \* MERGEFORMAT </w:instrText>
      </w:r>
      <w:r w:rsidRPr="00C14561">
        <w:fldChar w:fldCharType="separate"/>
      </w:r>
      <w:r w:rsidRPr="00C14561">
        <w:t>Table </w:t>
      </w:r>
      <w:r w:rsidRPr="00C14561">
        <w:rPr>
          <w:noProof/>
        </w:rPr>
        <w:t>4</w:t>
      </w:r>
      <w:r w:rsidRPr="00C14561">
        <w:fldChar w:fldCharType="end"/>
      </w:r>
      <w:r>
        <w:t>.</w:t>
      </w:r>
    </w:p>
    <w:p w:rsidR="00FE44B9" w:rsidRPr="00E4074A" w:rsidP="00E4074A" w14:paraId="7D8D0A5F" w14:textId="0F73AB50">
      <w:pPr>
        <w:pStyle w:val="Caption"/>
        <w:jc w:val="center"/>
        <w:rPr>
          <w:b/>
        </w:rPr>
      </w:pPr>
      <w:bookmarkStart w:id="38" w:name="_Toc147923419"/>
      <w:r w:rsidRPr="00E4074A">
        <w:rPr>
          <w:b/>
        </w:rPr>
        <w:t xml:space="preserve">Table </w:t>
      </w:r>
      <w:r w:rsidRPr="00E4074A">
        <w:rPr>
          <w:b/>
        </w:rPr>
        <w:fldChar w:fldCharType="begin"/>
      </w:r>
      <w:r w:rsidRPr="00E4074A">
        <w:rPr>
          <w:b/>
        </w:rPr>
        <w:instrText xml:space="preserve"> SEQ Table \* ARABIC </w:instrText>
      </w:r>
      <w:r w:rsidRPr="00E4074A">
        <w:rPr>
          <w:b/>
        </w:rPr>
        <w:fldChar w:fldCharType="separate"/>
      </w:r>
      <w:r w:rsidR="00BE3FBC">
        <w:rPr>
          <w:b/>
          <w:noProof/>
        </w:rPr>
        <w:t>4</w:t>
      </w:r>
      <w:r w:rsidRPr="00E4074A">
        <w:rPr>
          <w:b/>
        </w:rPr>
        <w:fldChar w:fldCharType="end"/>
      </w:r>
      <w:r w:rsidRPr="00E4074A">
        <w:rPr>
          <w:b/>
        </w:rPr>
        <w:t xml:space="preserve">  Industry Implementation</w:t>
      </w:r>
      <w:bookmarkEnd w:id="38"/>
    </w:p>
    <w:tbl>
      <w:tblPr>
        <w:tblW w:w="9789" w:type="dxa"/>
        <w:tblLook w:val="04A0"/>
      </w:tblPr>
      <w:tblGrid>
        <w:gridCol w:w="715"/>
        <w:gridCol w:w="1980"/>
        <w:gridCol w:w="1350"/>
        <w:gridCol w:w="1530"/>
        <w:gridCol w:w="1440"/>
        <w:gridCol w:w="1387"/>
        <w:gridCol w:w="1387"/>
      </w:tblGrid>
      <w:tr w14:paraId="4C7D9AB6" w14:textId="77777777" w:rsidTr="00E4074A">
        <w:tblPrEx>
          <w:tblW w:w="9789" w:type="dxa"/>
          <w:tblLook w:val="04A0"/>
        </w:tblPrEx>
        <w:trPr>
          <w:trHeight w:val="280"/>
        </w:trPr>
        <w:tc>
          <w:tcPr>
            <w:tcW w:w="7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8072B" w:rsidRPr="00DC25AE" w:rsidP="0066072E" w14:paraId="1365FDA8" w14:textId="77777777">
            <w:pPr>
              <w:keepNext/>
              <w:keepLines/>
              <w:autoSpaceDE/>
              <w:autoSpaceDN/>
              <w:adjustRightInd/>
              <w:spacing w:line="240" w:lineRule="auto"/>
              <w:jc w:val="center"/>
              <w:rPr>
                <w:rFonts w:eastAsia="Times New Roman"/>
                <w:b/>
                <w:bCs/>
                <w:color w:val="000000"/>
                <w:sz w:val="18"/>
                <w:szCs w:val="18"/>
              </w:rPr>
            </w:pPr>
            <w:r w:rsidRPr="00DC25AE">
              <w:rPr>
                <w:rFonts w:eastAsia="Times New Roman"/>
                <w:b/>
                <w:bCs/>
                <w:color w:val="000000"/>
                <w:sz w:val="18"/>
                <w:szCs w:val="18"/>
              </w:rPr>
              <w:t>Year</w:t>
            </w:r>
          </w:p>
        </w:tc>
        <w:tc>
          <w:tcPr>
            <w:tcW w:w="19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8072B" w:rsidRPr="00DC25AE" w:rsidP="0066072E" w14:paraId="4AC0DC2A" w14:textId="77777777">
            <w:pPr>
              <w:keepNext/>
              <w:keepLines/>
              <w:autoSpaceDE/>
              <w:autoSpaceDN/>
              <w:adjustRightInd/>
              <w:spacing w:line="240" w:lineRule="auto"/>
              <w:jc w:val="center"/>
              <w:rPr>
                <w:rFonts w:eastAsia="Times New Roman"/>
                <w:b/>
                <w:bCs/>
                <w:color w:val="000000"/>
                <w:sz w:val="18"/>
                <w:szCs w:val="18"/>
              </w:rPr>
            </w:pPr>
            <w:r w:rsidRPr="00DC25AE">
              <w:rPr>
                <w:rFonts w:eastAsia="Times New Roman"/>
                <w:b/>
                <w:bCs/>
                <w:color w:val="000000"/>
                <w:sz w:val="18"/>
                <w:szCs w:val="18"/>
              </w:rPr>
              <w:t>Activity</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072B" w:rsidRPr="00DC25AE" w:rsidP="0066072E" w14:paraId="63CB11B2" w14:textId="77777777">
            <w:pPr>
              <w:keepNext/>
              <w:keepLines/>
              <w:autoSpaceDE/>
              <w:autoSpaceDN/>
              <w:adjustRightInd/>
              <w:spacing w:line="240" w:lineRule="auto"/>
              <w:jc w:val="center"/>
              <w:rPr>
                <w:rFonts w:eastAsia="Times New Roman"/>
                <w:b/>
                <w:bCs/>
                <w:color w:val="000000"/>
                <w:sz w:val="18"/>
                <w:szCs w:val="18"/>
              </w:rPr>
            </w:pPr>
            <w:r w:rsidRPr="00DC25AE">
              <w:rPr>
                <w:rFonts w:eastAsia="Times New Roman"/>
                <w:b/>
                <w:bCs/>
                <w:color w:val="000000"/>
                <w:sz w:val="18"/>
                <w:szCs w:val="18"/>
              </w:rPr>
              <w:t>No. of Parent Companies</w:t>
            </w: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072B" w:rsidRPr="00DC25AE" w:rsidP="0066072E" w14:paraId="0072BCB9" w14:textId="77777777">
            <w:pPr>
              <w:keepNext/>
              <w:keepLines/>
              <w:autoSpaceDE/>
              <w:autoSpaceDN/>
              <w:adjustRightInd/>
              <w:spacing w:line="240" w:lineRule="auto"/>
              <w:jc w:val="center"/>
              <w:rPr>
                <w:rFonts w:eastAsia="Times New Roman"/>
                <w:b/>
                <w:bCs/>
                <w:color w:val="000000"/>
                <w:sz w:val="18"/>
                <w:szCs w:val="18"/>
              </w:rPr>
            </w:pPr>
            <w:r w:rsidRPr="00DC25AE">
              <w:rPr>
                <w:rFonts w:eastAsia="Times New Roman"/>
                <w:b/>
                <w:bCs/>
                <w:color w:val="000000"/>
                <w:sz w:val="18"/>
                <w:szCs w:val="18"/>
              </w:rPr>
              <w:t>Total per Parent Company</w:t>
            </w:r>
          </w:p>
        </w:tc>
        <w:tc>
          <w:tcPr>
            <w:tcW w:w="421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8072B" w:rsidRPr="00DC25AE" w:rsidP="0066072E" w14:paraId="4CBEBDA1" w14:textId="75C7F068">
            <w:pPr>
              <w:keepNext/>
              <w:keepLines/>
              <w:autoSpaceDE/>
              <w:autoSpaceDN/>
              <w:adjustRightInd/>
              <w:spacing w:line="240" w:lineRule="auto"/>
              <w:jc w:val="center"/>
              <w:rPr>
                <w:rFonts w:eastAsia="Times New Roman"/>
                <w:b/>
                <w:bCs/>
                <w:color w:val="000000"/>
                <w:sz w:val="18"/>
                <w:szCs w:val="18"/>
              </w:rPr>
            </w:pPr>
            <w:r w:rsidRPr="00DC25AE">
              <w:rPr>
                <w:rFonts w:eastAsia="Times New Roman"/>
                <w:b/>
                <w:bCs/>
                <w:color w:val="000000"/>
                <w:sz w:val="18"/>
                <w:szCs w:val="18"/>
              </w:rPr>
              <w:t>Total (</w:t>
            </w:r>
            <w:r w:rsidRPr="00C14561">
              <w:rPr>
                <w:rFonts w:eastAsia="Times New Roman"/>
                <w:b/>
                <w:bCs/>
                <w:color w:val="000000"/>
                <w:sz w:val="18"/>
                <w:szCs w:val="18"/>
              </w:rPr>
              <w:t>202</w:t>
            </w:r>
            <w:r w:rsidRPr="00E4074A" w:rsidR="00C14561">
              <w:rPr>
                <w:rFonts w:eastAsia="Times New Roman"/>
                <w:b/>
                <w:bCs/>
                <w:color w:val="000000"/>
                <w:sz w:val="18"/>
                <w:szCs w:val="18"/>
              </w:rPr>
              <w:t>3</w:t>
            </w:r>
            <w:r w:rsidRPr="00DC25AE">
              <w:rPr>
                <w:rFonts w:eastAsia="Times New Roman"/>
                <w:b/>
                <w:bCs/>
                <w:color w:val="000000"/>
                <w:sz w:val="18"/>
                <w:szCs w:val="18"/>
              </w:rPr>
              <w:t xml:space="preserve"> dollars)</w:t>
            </w:r>
            <w:r w:rsidRPr="002E5CC7">
              <w:rPr>
                <w:rFonts w:eastAsia="Times New Roman"/>
                <w:b/>
                <w:bCs/>
                <w:color w:val="000000"/>
                <w:sz w:val="18"/>
                <w:szCs w:val="18"/>
                <w:vertAlign w:val="superscript"/>
              </w:rPr>
              <w:t>a</w:t>
            </w:r>
          </w:p>
        </w:tc>
      </w:tr>
      <w:tr w14:paraId="6D00CB03" w14:textId="77777777" w:rsidTr="00E4074A">
        <w:tblPrEx>
          <w:tblW w:w="9789" w:type="dxa"/>
          <w:tblLook w:val="04A0"/>
        </w:tblPrEx>
        <w:trPr>
          <w:trHeight w:val="280"/>
        </w:trPr>
        <w:tc>
          <w:tcPr>
            <w:tcW w:w="715" w:type="dxa"/>
            <w:vMerge/>
            <w:tcBorders>
              <w:top w:val="single" w:sz="4" w:space="0" w:color="auto"/>
              <w:left w:val="single" w:sz="4" w:space="0" w:color="auto"/>
              <w:bottom w:val="single" w:sz="4" w:space="0" w:color="000000"/>
              <w:right w:val="single" w:sz="4" w:space="0" w:color="auto"/>
            </w:tcBorders>
            <w:vAlign w:val="center"/>
            <w:hideMark/>
          </w:tcPr>
          <w:p w:rsidR="0078072B" w:rsidRPr="00DC25AE" w:rsidP="0066072E" w14:paraId="09A51987" w14:textId="77777777">
            <w:pPr>
              <w:keepNext/>
              <w:keepLines/>
              <w:autoSpaceDE/>
              <w:autoSpaceDN/>
              <w:adjustRightInd/>
              <w:spacing w:line="240" w:lineRule="auto"/>
              <w:rPr>
                <w:rFonts w:eastAsia="Times New Roman"/>
                <w:b/>
                <w:bCs/>
                <w:color w:val="000000"/>
                <w:sz w:val="18"/>
                <w:szCs w:val="18"/>
              </w:rPr>
            </w:pPr>
          </w:p>
        </w:tc>
        <w:tc>
          <w:tcPr>
            <w:tcW w:w="1980" w:type="dxa"/>
            <w:vMerge/>
            <w:tcBorders>
              <w:top w:val="single" w:sz="4" w:space="0" w:color="auto"/>
              <w:left w:val="single" w:sz="4" w:space="0" w:color="auto"/>
              <w:bottom w:val="single" w:sz="4" w:space="0" w:color="000000"/>
              <w:right w:val="single" w:sz="4" w:space="0" w:color="auto"/>
            </w:tcBorders>
            <w:vAlign w:val="center"/>
            <w:hideMark/>
          </w:tcPr>
          <w:p w:rsidR="0078072B" w:rsidRPr="00DC25AE" w:rsidP="0066072E" w14:paraId="1DD1089E" w14:textId="77777777">
            <w:pPr>
              <w:keepNext/>
              <w:keepLines/>
              <w:autoSpaceDE/>
              <w:autoSpaceDN/>
              <w:adjustRightInd/>
              <w:spacing w:line="240" w:lineRule="auto"/>
              <w:rPr>
                <w:rFonts w:eastAsia="Times New Roman"/>
                <w:b/>
                <w:bCs/>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78072B" w:rsidRPr="00DC25AE" w:rsidP="0066072E" w14:paraId="77444E31" w14:textId="77777777">
            <w:pPr>
              <w:keepNext/>
              <w:keepLines/>
              <w:autoSpaceDE/>
              <w:autoSpaceDN/>
              <w:adjustRightInd/>
              <w:spacing w:line="240" w:lineRule="auto"/>
              <w:rPr>
                <w:rFonts w:eastAsia="Times New Roman"/>
                <w:b/>
                <w:bCs/>
                <w:color w:val="000000"/>
                <w:sz w:val="18"/>
                <w:szCs w:val="18"/>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78072B" w:rsidRPr="00DC25AE" w:rsidP="0066072E" w14:paraId="1278A1DE" w14:textId="77777777">
            <w:pPr>
              <w:keepNext/>
              <w:keepLines/>
              <w:autoSpaceDE/>
              <w:autoSpaceDN/>
              <w:adjustRightInd/>
              <w:spacing w:line="240" w:lineRule="auto"/>
              <w:rPr>
                <w:rFonts w:eastAsia="Times New Roman"/>
                <w:b/>
                <w:bCs/>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rsidR="0078072B" w:rsidRPr="00DC25AE" w:rsidP="0066072E" w14:paraId="38E68310" w14:textId="77777777">
            <w:pPr>
              <w:keepNext/>
              <w:keepLines/>
              <w:autoSpaceDE/>
              <w:autoSpaceDN/>
              <w:adjustRightInd/>
              <w:spacing w:line="240" w:lineRule="auto"/>
              <w:jc w:val="center"/>
              <w:rPr>
                <w:rFonts w:eastAsia="Times New Roman"/>
                <w:b/>
                <w:bCs/>
                <w:color w:val="000000"/>
                <w:sz w:val="18"/>
                <w:szCs w:val="18"/>
              </w:rPr>
            </w:pPr>
            <w:r w:rsidRPr="00DC25AE">
              <w:rPr>
                <w:rFonts w:eastAsia="Times New Roman"/>
                <w:b/>
                <w:bCs/>
                <w:color w:val="000000"/>
                <w:sz w:val="18"/>
                <w:szCs w:val="18"/>
              </w:rPr>
              <w:t xml:space="preserve"> Undiscounted</w:t>
            </w:r>
          </w:p>
        </w:tc>
        <w:tc>
          <w:tcPr>
            <w:tcW w:w="1387" w:type="dxa"/>
            <w:tcBorders>
              <w:top w:val="nil"/>
              <w:left w:val="nil"/>
              <w:bottom w:val="single" w:sz="4" w:space="0" w:color="auto"/>
              <w:right w:val="single" w:sz="4" w:space="0" w:color="auto"/>
            </w:tcBorders>
            <w:shd w:val="clear" w:color="auto" w:fill="auto"/>
            <w:vAlign w:val="center"/>
            <w:hideMark/>
          </w:tcPr>
          <w:p w:rsidR="0078072B" w:rsidRPr="00DC25AE" w:rsidP="0066072E" w14:paraId="7E3EC63D" w14:textId="77777777">
            <w:pPr>
              <w:keepNext/>
              <w:keepLines/>
              <w:autoSpaceDE/>
              <w:autoSpaceDN/>
              <w:adjustRightInd/>
              <w:spacing w:line="240" w:lineRule="auto"/>
              <w:jc w:val="center"/>
              <w:rPr>
                <w:rFonts w:eastAsia="Times New Roman"/>
                <w:b/>
                <w:bCs/>
                <w:color w:val="000000"/>
                <w:sz w:val="18"/>
                <w:szCs w:val="18"/>
              </w:rPr>
            </w:pPr>
            <w:r w:rsidRPr="00DC25AE">
              <w:rPr>
                <w:rFonts w:eastAsia="Times New Roman"/>
                <w:b/>
                <w:bCs/>
                <w:color w:val="000000"/>
                <w:sz w:val="18"/>
                <w:szCs w:val="18"/>
              </w:rPr>
              <w:t>7% NPV</w:t>
            </w:r>
          </w:p>
        </w:tc>
        <w:tc>
          <w:tcPr>
            <w:tcW w:w="1387" w:type="dxa"/>
            <w:tcBorders>
              <w:top w:val="nil"/>
              <w:left w:val="nil"/>
              <w:bottom w:val="single" w:sz="4" w:space="0" w:color="auto"/>
              <w:right w:val="single" w:sz="4" w:space="0" w:color="auto"/>
            </w:tcBorders>
            <w:shd w:val="clear" w:color="auto" w:fill="auto"/>
            <w:vAlign w:val="center"/>
            <w:hideMark/>
          </w:tcPr>
          <w:p w:rsidR="0078072B" w:rsidRPr="00DC25AE" w:rsidP="0066072E" w14:paraId="494812A9" w14:textId="77777777">
            <w:pPr>
              <w:keepNext/>
              <w:keepLines/>
              <w:autoSpaceDE/>
              <w:autoSpaceDN/>
              <w:adjustRightInd/>
              <w:spacing w:line="240" w:lineRule="auto"/>
              <w:jc w:val="center"/>
              <w:rPr>
                <w:rFonts w:eastAsia="Times New Roman"/>
                <w:b/>
                <w:bCs/>
                <w:color w:val="000000"/>
                <w:sz w:val="18"/>
                <w:szCs w:val="18"/>
              </w:rPr>
            </w:pPr>
            <w:r w:rsidRPr="00DC25AE">
              <w:rPr>
                <w:rFonts w:eastAsia="Times New Roman"/>
                <w:b/>
                <w:bCs/>
                <w:color w:val="000000"/>
                <w:sz w:val="18"/>
                <w:szCs w:val="18"/>
              </w:rPr>
              <w:t>3% NPV</w:t>
            </w:r>
          </w:p>
        </w:tc>
      </w:tr>
      <w:tr w14:paraId="23EB1C19" w14:textId="77777777" w:rsidTr="00E4074A">
        <w:tblPrEx>
          <w:tblW w:w="9789" w:type="dxa"/>
          <w:tblLook w:val="04A0"/>
        </w:tblPrEx>
        <w:trPr>
          <w:trHeight w:val="560"/>
        </w:trPr>
        <w:tc>
          <w:tcPr>
            <w:tcW w:w="715" w:type="dxa"/>
            <w:tcBorders>
              <w:top w:val="nil"/>
              <w:left w:val="single" w:sz="4" w:space="0" w:color="auto"/>
              <w:bottom w:val="single" w:sz="4" w:space="0" w:color="auto"/>
              <w:right w:val="single" w:sz="4" w:space="0" w:color="auto"/>
            </w:tcBorders>
            <w:shd w:val="clear" w:color="auto" w:fill="auto"/>
            <w:vAlign w:val="center"/>
            <w:hideMark/>
          </w:tcPr>
          <w:p w:rsidR="0078072B" w:rsidRPr="00DC25AE" w:rsidP="0066072E" w14:paraId="52792853" w14:textId="77777777">
            <w:pPr>
              <w:keepNext/>
              <w:keepLines/>
              <w:autoSpaceDE/>
              <w:autoSpaceDN/>
              <w:adjustRightInd/>
              <w:spacing w:line="240" w:lineRule="auto"/>
              <w:jc w:val="center"/>
              <w:rPr>
                <w:rFonts w:eastAsia="Times New Roman"/>
                <w:color w:val="000000"/>
                <w:sz w:val="18"/>
                <w:szCs w:val="18"/>
              </w:rPr>
            </w:pPr>
            <w:r w:rsidRPr="00DC25AE">
              <w:rPr>
                <w:rFonts w:eastAsia="Times New Roman"/>
                <w:color w:val="000000"/>
                <w:sz w:val="18"/>
                <w:szCs w:val="18"/>
              </w:rPr>
              <w:t>2024</w:t>
            </w:r>
          </w:p>
        </w:tc>
        <w:tc>
          <w:tcPr>
            <w:tcW w:w="1980" w:type="dxa"/>
            <w:tcBorders>
              <w:top w:val="nil"/>
              <w:left w:val="nil"/>
              <w:bottom w:val="single" w:sz="4" w:space="0" w:color="auto"/>
              <w:right w:val="single" w:sz="4" w:space="0" w:color="auto"/>
            </w:tcBorders>
            <w:shd w:val="clear" w:color="auto" w:fill="auto"/>
            <w:vAlign w:val="center"/>
            <w:hideMark/>
          </w:tcPr>
          <w:p w:rsidR="0078072B" w:rsidRPr="00DC25AE" w:rsidP="0066072E" w14:paraId="0D0CEA46" w14:textId="77777777">
            <w:pPr>
              <w:keepNext/>
              <w:keepLines/>
              <w:autoSpaceDE/>
              <w:autoSpaceDN/>
              <w:adjustRightInd/>
              <w:spacing w:line="240" w:lineRule="auto"/>
              <w:jc w:val="center"/>
              <w:rPr>
                <w:rFonts w:eastAsia="Times New Roman"/>
                <w:color w:val="000000"/>
                <w:sz w:val="18"/>
                <w:szCs w:val="18"/>
              </w:rPr>
            </w:pPr>
            <w:r w:rsidRPr="00DC25AE">
              <w:rPr>
                <w:rFonts w:eastAsia="Times New Roman"/>
                <w:color w:val="000000"/>
                <w:sz w:val="18"/>
                <w:szCs w:val="18"/>
              </w:rPr>
              <w:t>Licensee Review New Requirements</w:t>
            </w:r>
          </w:p>
        </w:tc>
        <w:tc>
          <w:tcPr>
            <w:tcW w:w="1350" w:type="dxa"/>
            <w:tcBorders>
              <w:top w:val="nil"/>
              <w:left w:val="nil"/>
              <w:bottom w:val="single" w:sz="4" w:space="0" w:color="auto"/>
              <w:right w:val="single" w:sz="4" w:space="0" w:color="auto"/>
            </w:tcBorders>
            <w:shd w:val="clear" w:color="auto" w:fill="auto"/>
            <w:vAlign w:val="center"/>
            <w:hideMark/>
          </w:tcPr>
          <w:p w:rsidR="0078072B" w:rsidRPr="00DC25AE" w:rsidP="0066072E" w14:paraId="4384250B" w14:textId="77777777">
            <w:pPr>
              <w:keepNext/>
              <w:keepLines/>
              <w:autoSpaceDE/>
              <w:autoSpaceDN/>
              <w:adjustRightInd/>
              <w:spacing w:line="240" w:lineRule="auto"/>
              <w:jc w:val="center"/>
              <w:rPr>
                <w:rFonts w:eastAsia="Times New Roman"/>
                <w:color w:val="000000"/>
                <w:sz w:val="18"/>
                <w:szCs w:val="18"/>
              </w:rPr>
            </w:pPr>
            <w:r w:rsidRPr="00DC25AE">
              <w:rPr>
                <w:rFonts w:eastAsia="Times New Roman"/>
                <w:color w:val="000000"/>
                <w:sz w:val="18"/>
                <w:szCs w:val="18"/>
              </w:rPr>
              <w:t>18</w:t>
            </w:r>
          </w:p>
        </w:tc>
        <w:tc>
          <w:tcPr>
            <w:tcW w:w="1530" w:type="dxa"/>
            <w:tcBorders>
              <w:top w:val="nil"/>
              <w:left w:val="nil"/>
              <w:bottom w:val="single" w:sz="4" w:space="0" w:color="auto"/>
              <w:right w:val="single" w:sz="4" w:space="0" w:color="auto"/>
            </w:tcBorders>
            <w:shd w:val="clear" w:color="auto" w:fill="auto"/>
            <w:noWrap/>
            <w:vAlign w:val="center"/>
            <w:hideMark/>
          </w:tcPr>
          <w:p w:rsidR="0078072B" w:rsidRPr="00DC25AE" w:rsidP="0066072E" w14:paraId="3F8DF7E1" w14:textId="77777777">
            <w:pPr>
              <w:keepNext/>
              <w:keepLines/>
              <w:autoSpaceDE/>
              <w:autoSpaceDN/>
              <w:adjustRightInd/>
              <w:spacing w:line="240" w:lineRule="auto"/>
              <w:jc w:val="center"/>
              <w:rPr>
                <w:rFonts w:eastAsia="Times New Roman"/>
                <w:color w:val="000000"/>
                <w:sz w:val="18"/>
                <w:szCs w:val="18"/>
              </w:rPr>
            </w:pPr>
            <w:r w:rsidRPr="00DC25AE">
              <w:rPr>
                <w:rFonts w:eastAsia="Times New Roman"/>
                <w:color w:val="000000"/>
                <w:sz w:val="18"/>
                <w:szCs w:val="18"/>
              </w:rPr>
              <w:t>$25,000</w:t>
            </w:r>
          </w:p>
        </w:tc>
        <w:tc>
          <w:tcPr>
            <w:tcW w:w="1440" w:type="dxa"/>
            <w:tcBorders>
              <w:top w:val="nil"/>
              <w:left w:val="nil"/>
              <w:bottom w:val="single" w:sz="4" w:space="0" w:color="auto"/>
              <w:right w:val="single" w:sz="4" w:space="0" w:color="auto"/>
            </w:tcBorders>
            <w:shd w:val="clear" w:color="auto" w:fill="auto"/>
            <w:noWrap/>
            <w:vAlign w:val="center"/>
            <w:hideMark/>
          </w:tcPr>
          <w:p w:rsidR="0078072B" w:rsidRPr="00DC25AE" w:rsidP="0066072E" w14:paraId="446B4742" w14:textId="77777777">
            <w:pPr>
              <w:keepNext/>
              <w:keepLines/>
              <w:autoSpaceDE/>
              <w:autoSpaceDN/>
              <w:adjustRightInd/>
              <w:spacing w:line="240" w:lineRule="auto"/>
              <w:jc w:val="center"/>
              <w:rPr>
                <w:rFonts w:eastAsia="Times New Roman"/>
                <w:color w:val="000000"/>
                <w:sz w:val="18"/>
                <w:szCs w:val="18"/>
              </w:rPr>
            </w:pPr>
            <w:r w:rsidRPr="00DC25AE">
              <w:rPr>
                <w:rFonts w:eastAsia="Times New Roman"/>
                <w:color w:val="000000"/>
                <w:sz w:val="18"/>
                <w:szCs w:val="18"/>
              </w:rPr>
              <w:t>($450,000)</w:t>
            </w:r>
          </w:p>
        </w:tc>
        <w:tc>
          <w:tcPr>
            <w:tcW w:w="1387" w:type="dxa"/>
            <w:tcBorders>
              <w:top w:val="nil"/>
              <w:left w:val="nil"/>
              <w:bottom w:val="single" w:sz="4" w:space="0" w:color="auto"/>
              <w:right w:val="single" w:sz="4" w:space="0" w:color="auto"/>
            </w:tcBorders>
            <w:shd w:val="clear" w:color="auto" w:fill="auto"/>
            <w:noWrap/>
            <w:vAlign w:val="center"/>
            <w:hideMark/>
          </w:tcPr>
          <w:p w:rsidR="0078072B" w:rsidRPr="00DC25AE" w:rsidP="0066072E" w14:paraId="6299849E" w14:textId="125EB1AE">
            <w:pPr>
              <w:keepNext/>
              <w:keepLines/>
              <w:autoSpaceDE/>
              <w:autoSpaceDN/>
              <w:adjustRightInd/>
              <w:spacing w:line="240" w:lineRule="auto"/>
              <w:jc w:val="center"/>
              <w:rPr>
                <w:rFonts w:eastAsia="Times New Roman"/>
                <w:color w:val="000000"/>
                <w:sz w:val="18"/>
                <w:szCs w:val="18"/>
              </w:rPr>
            </w:pPr>
            <w:r w:rsidRPr="00DC25AE">
              <w:rPr>
                <w:rFonts w:eastAsia="Times New Roman"/>
                <w:color w:val="000000"/>
                <w:sz w:val="18"/>
                <w:szCs w:val="18"/>
              </w:rPr>
              <w:t>($</w:t>
            </w:r>
            <w:r w:rsidRPr="00E4074A" w:rsidR="00C14561">
              <w:rPr>
                <w:rFonts w:eastAsia="Times New Roman"/>
                <w:color w:val="000000"/>
                <w:sz w:val="18"/>
                <w:szCs w:val="18"/>
              </w:rPr>
              <w:t>421</w:t>
            </w:r>
            <w:r w:rsidRPr="00DC25AE">
              <w:rPr>
                <w:rFonts w:eastAsia="Times New Roman"/>
                <w:color w:val="000000"/>
                <w:sz w:val="18"/>
                <w:szCs w:val="18"/>
              </w:rPr>
              <w:t>,000)</w:t>
            </w:r>
          </w:p>
        </w:tc>
        <w:tc>
          <w:tcPr>
            <w:tcW w:w="1387" w:type="dxa"/>
            <w:tcBorders>
              <w:top w:val="nil"/>
              <w:left w:val="nil"/>
              <w:bottom w:val="single" w:sz="4" w:space="0" w:color="auto"/>
              <w:right w:val="single" w:sz="4" w:space="0" w:color="auto"/>
            </w:tcBorders>
            <w:shd w:val="clear" w:color="auto" w:fill="auto"/>
            <w:noWrap/>
            <w:vAlign w:val="center"/>
            <w:hideMark/>
          </w:tcPr>
          <w:p w:rsidR="0078072B" w:rsidRPr="00DC25AE" w:rsidP="0066072E" w14:paraId="368192D7" w14:textId="20E2F35E">
            <w:pPr>
              <w:keepNext/>
              <w:keepLines/>
              <w:autoSpaceDE/>
              <w:autoSpaceDN/>
              <w:adjustRightInd/>
              <w:spacing w:line="240" w:lineRule="auto"/>
              <w:jc w:val="center"/>
              <w:rPr>
                <w:rFonts w:eastAsia="Times New Roman"/>
                <w:color w:val="000000"/>
                <w:sz w:val="18"/>
                <w:szCs w:val="18"/>
              </w:rPr>
            </w:pPr>
            <w:r w:rsidRPr="00DC25AE">
              <w:rPr>
                <w:rFonts w:eastAsia="Times New Roman"/>
                <w:color w:val="000000"/>
                <w:sz w:val="18"/>
                <w:szCs w:val="18"/>
              </w:rPr>
              <w:t>($</w:t>
            </w:r>
            <w:r w:rsidRPr="00C14561">
              <w:rPr>
                <w:rFonts w:eastAsia="Times New Roman"/>
                <w:color w:val="000000"/>
                <w:sz w:val="18"/>
                <w:szCs w:val="18"/>
              </w:rPr>
              <w:t>4</w:t>
            </w:r>
            <w:r w:rsidRPr="00E4074A" w:rsidR="00C14561">
              <w:rPr>
                <w:rFonts w:eastAsia="Times New Roman"/>
                <w:color w:val="000000"/>
                <w:sz w:val="18"/>
                <w:szCs w:val="18"/>
              </w:rPr>
              <w:t>37</w:t>
            </w:r>
            <w:r w:rsidRPr="00C14561">
              <w:rPr>
                <w:rFonts w:eastAsia="Times New Roman"/>
                <w:color w:val="000000"/>
                <w:sz w:val="18"/>
                <w:szCs w:val="18"/>
              </w:rPr>
              <w:t>,</w:t>
            </w:r>
            <w:r w:rsidRPr="00E4074A" w:rsidR="00C14561">
              <w:rPr>
                <w:rFonts w:eastAsia="Times New Roman"/>
                <w:color w:val="000000"/>
                <w:sz w:val="18"/>
                <w:szCs w:val="18"/>
              </w:rPr>
              <w:t>0</w:t>
            </w:r>
            <w:r w:rsidRPr="00DC25AE">
              <w:rPr>
                <w:rFonts w:eastAsia="Times New Roman"/>
                <w:color w:val="000000"/>
                <w:sz w:val="18"/>
                <w:szCs w:val="18"/>
              </w:rPr>
              <w:t>00)</w:t>
            </w:r>
          </w:p>
        </w:tc>
      </w:tr>
      <w:tr w14:paraId="1A575338" w14:textId="77777777" w:rsidTr="00E4074A">
        <w:tblPrEx>
          <w:tblW w:w="9789" w:type="dxa"/>
          <w:tblLook w:val="04A0"/>
        </w:tblPrEx>
        <w:trPr>
          <w:trHeight w:val="560"/>
        </w:trPr>
        <w:tc>
          <w:tcPr>
            <w:tcW w:w="715" w:type="dxa"/>
            <w:tcBorders>
              <w:top w:val="nil"/>
              <w:left w:val="single" w:sz="4" w:space="0" w:color="auto"/>
              <w:bottom w:val="single" w:sz="4" w:space="0" w:color="auto"/>
              <w:right w:val="single" w:sz="4" w:space="0" w:color="auto"/>
            </w:tcBorders>
            <w:shd w:val="clear" w:color="auto" w:fill="auto"/>
            <w:vAlign w:val="center"/>
            <w:hideMark/>
          </w:tcPr>
          <w:p w:rsidR="0078072B" w:rsidRPr="00DC25AE" w:rsidP="0066072E" w14:paraId="0DA1A455" w14:textId="77777777">
            <w:pPr>
              <w:keepNext/>
              <w:keepLines/>
              <w:autoSpaceDE/>
              <w:autoSpaceDN/>
              <w:adjustRightInd/>
              <w:spacing w:line="240" w:lineRule="auto"/>
              <w:jc w:val="center"/>
              <w:rPr>
                <w:rFonts w:eastAsia="Times New Roman"/>
                <w:color w:val="000000"/>
                <w:sz w:val="18"/>
                <w:szCs w:val="18"/>
              </w:rPr>
            </w:pPr>
            <w:r w:rsidRPr="00DC25AE">
              <w:rPr>
                <w:rFonts w:eastAsia="Times New Roman"/>
                <w:color w:val="000000"/>
                <w:sz w:val="18"/>
                <w:szCs w:val="18"/>
              </w:rPr>
              <w:t>2025</w:t>
            </w:r>
          </w:p>
        </w:tc>
        <w:tc>
          <w:tcPr>
            <w:tcW w:w="1980" w:type="dxa"/>
            <w:tcBorders>
              <w:top w:val="nil"/>
              <w:left w:val="nil"/>
              <w:bottom w:val="single" w:sz="4" w:space="0" w:color="auto"/>
              <w:right w:val="single" w:sz="4" w:space="0" w:color="auto"/>
            </w:tcBorders>
            <w:shd w:val="clear" w:color="auto" w:fill="auto"/>
            <w:vAlign w:val="center"/>
            <w:hideMark/>
          </w:tcPr>
          <w:p w:rsidR="0078072B" w:rsidRPr="00DC25AE" w:rsidP="0066072E" w14:paraId="0D29FBAB" w14:textId="77777777">
            <w:pPr>
              <w:keepNext/>
              <w:keepLines/>
              <w:autoSpaceDE/>
              <w:autoSpaceDN/>
              <w:adjustRightInd/>
              <w:spacing w:line="240" w:lineRule="auto"/>
              <w:jc w:val="center"/>
              <w:rPr>
                <w:rFonts w:eastAsia="Times New Roman"/>
                <w:color w:val="000000"/>
                <w:sz w:val="18"/>
                <w:szCs w:val="18"/>
              </w:rPr>
            </w:pPr>
            <w:r w:rsidRPr="00DC25AE">
              <w:rPr>
                <w:rFonts w:eastAsia="Times New Roman"/>
                <w:color w:val="000000"/>
                <w:sz w:val="18"/>
                <w:szCs w:val="18"/>
              </w:rPr>
              <w:t>Licensee Procedure(s) Update(s)</w:t>
            </w:r>
          </w:p>
        </w:tc>
        <w:tc>
          <w:tcPr>
            <w:tcW w:w="1350" w:type="dxa"/>
            <w:tcBorders>
              <w:top w:val="nil"/>
              <w:left w:val="nil"/>
              <w:bottom w:val="single" w:sz="4" w:space="0" w:color="auto"/>
              <w:right w:val="single" w:sz="4" w:space="0" w:color="auto"/>
            </w:tcBorders>
            <w:shd w:val="clear" w:color="auto" w:fill="auto"/>
            <w:vAlign w:val="center"/>
            <w:hideMark/>
          </w:tcPr>
          <w:p w:rsidR="0078072B" w:rsidRPr="00DC25AE" w:rsidP="0066072E" w14:paraId="1EA877BC" w14:textId="77777777">
            <w:pPr>
              <w:keepNext/>
              <w:keepLines/>
              <w:autoSpaceDE/>
              <w:autoSpaceDN/>
              <w:adjustRightInd/>
              <w:spacing w:line="240" w:lineRule="auto"/>
              <w:jc w:val="center"/>
              <w:rPr>
                <w:rFonts w:eastAsia="Times New Roman"/>
                <w:color w:val="000000"/>
                <w:sz w:val="18"/>
                <w:szCs w:val="18"/>
              </w:rPr>
            </w:pPr>
            <w:r w:rsidRPr="00DC25AE">
              <w:rPr>
                <w:rFonts w:eastAsia="Times New Roman"/>
                <w:color w:val="000000"/>
                <w:sz w:val="18"/>
                <w:szCs w:val="18"/>
              </w:rPr>
              <w:t>18</w:t>
            </w:r>
          </w:p>
        </w:tc>
        <w:tc>
          <w:tcPr>
            <w:tcW w:w="1530" w:type="dxa"/>
            <w:tcBorders>
              <w:top w:val="nil"/>
              <w:left w:val="nil"/>
              <w:bottom w:val="single" w:sz="4" w:space="0" w:color="auto"/>
              <w:right w:val="single" w:sz="4" w:space="0" w:color="auto"/>
            </w:tcBorders>
            <w:shd w:val="clear" w:color="auto" w:fill="auto"/>
            <w:noWrap/>
            <w:vAlign w:val="center"/>
            <w:hideMark/>
          </w:tcPr>
          <w:p w:rsidR="0078072B" w:rsidRPr="00DC25AE" w:rsidP="0066072E" w14:paraId="40062C02" w14:textId="77777777">
            <w:pPr>
              <w:keepNext/>
              <w:keepLines/>
              <w:autoSpaceDE/>
              <w:autoSpaceDN/>
              <w:adjustRightInd/>
              <w:spacing w:line="240" w:lineRule="auto"/>
              <w:jc w:val="center"/>
              <w:rPr>
                <w:rFonts w:eastAsia="Times New Roman"/>
                <w:color w:val="000000"/>
                <w:sz w:val="18"/>
                <w:szCs w:val="18"/>
              </w:rPr>
            </w:pPr>
            <w:r w:rsidRPr="00DC25AE">
              <w:rPr>
                <w:rFonts w:eastAsia="Times New Roman"/>
                <w:color w:val="000000"/>
                <w:sz w:val="18"/>
                <w:szCs w:val="18"/>
              </w:rPr>
              <w:t>$25,000</w:t>
            </w:r>
          </w:p>
        </w:tc>
        <w:tc>
          <w:tcPr>
            <w:tcW w:w="1440" w:type="dxa"/>
            <w:tcBorders>
              <w:top w:val="nil"/>
              <w:left w:val="nil"/>
              <w:bottom w:val="single" w:sz="4" w:space="0" w:color="auto"/>
              <w:right w:val="single" w:sz="4" w:space="0" w:color="auto"/>
            </w:tcBorders>
            <w:shd w:val="clear" w:color="auto" w:fill="auto"/>
            <w:noWrap/>
            <w:vAlign w:val="center"/>
            <w:hideMark/>
          </w:tcPr>
          <w:p w:rsidR="0078072B" w:rsidRPr="00DC25AE" w:rsidP="0066072E" w14:paraId="47D311DB" w14:textId="77777777">
            <w:pPr>
              <w:keepNext/>
              <w:keepLines/>
              <w:autoSpaceDE/>
              <w:autoSpaceDN/>
              <w:adjustRightInd/>
              <w:spacing w:line="240" w:lineRule="auto"/>
              <w:jc w:val="center"/>
              <w:rPr>
                <w:rFonts w:eastAsia="Times New Roman"/>
                <w:color w:val="000000"/>
                <w:sz w:val="18"/>
                <w:szCs w:val="18"/>
              </w:rPr>
            </w:pPr>
            <w:r w:rsidRPr="00DC25AE">
              <w:rPr>
                <w:rFonts w:eastAsia="Times New Roman"/>
                <w:color w:val="000000"/>
                <w:sz w:val="18"/>
                <w:szCs w:val="18"/>
              </w:rPr>
              <w:t>($450,000)</w:t>
            </w:r>
          </w:p>
        </w:tc>
        <w:tc>
          <w:tcPr>
            <w:tcW w:w="1387" w:type="dxa"/>
            <w:tcBorders>
              <w:top w:val="nil"/>
              <w:left w:val="nil"/>
              <w:bottom w:val="single" w:sz="4" w:space="0" w:color="auto"/>
              <w:right w:val="single" w:sz="4" w:space="0" w:color="auto"/>
            </w:tcBorders>
            <w:shd w:val="clear" w:color="auto" w:fill="auto"/>
            <w:noWrap/>
            <w:vAlign w:val="center"/>
            <w:hideMark/>
          </w:tcPr>
          <w:p w:rsidR="0078072B" w:rsidRPr="00DC25AE" w:rsidP="0066072E" w14:paraId="0760E331" w14:textId="3D9F1293">
            <w:pPr>
              <w:keepNext/>
              <w:keepLines/>
              <w:autoSpaceDE/>
              <w:autoSpaceDN/>
              <w:adjustRightInd/>
              <w:spacing w:line="240" w:lineRule="auto"/>
              <w:jc w:val="center"/>
              <w:rPr>
                <w:rFonts w:eastAsia="Times New Roman"/>
                <w:color w:val="000000"/>
                <w:sz w:val="18"/>
                <w:szCs w:val="18"/>
              </w:rPr>
            </w:pPr>
            <w:r w:rsidRPr="00DC25AE">
              <w:rPr>
                <w:rFonts w:eastAsia="Times New Roman"/>
                <w:color w:val="000000"/>
                <w:sz w:val="18"/>
                <w:szCs w:val="18"/>
              </w:rPr>
              <w:t>($</w:t>
            </w:r>
            <w:r w:rsidRPr="00C14561">
              <w:rPr>
                <w:rFonts w:eastAsia="Times New Roman"/>
                <w:color w:val="000000"/>
                <w:sz w:val="18"/>
                <w:szCs w:val="18"/>
              </w:rPr>
              <w:t>3</w:t>
            </w:r>
            <w:r w:rsidRPr="00E4074A" w:rsidR="00C14561">
              <w:rPr>
                <w:rFonts w:eastAsia="Times New Roman"/>
                <w:color w:val="000000"/>
                <w:sz w:val="18"/>
                <w:szCs w:val="18"/>
              </w:rPr>
              <w:t>93</w:t>
            </w:r>
            <w:r w:rsidRPr="00DC25AE">
              <w:rPr>
                <w:rFonts w:eastAsia="Times New Roman"/>
                <w:color w:val="000000"/>
                <w:sz w:val="18"/>
                <w:szCs w:val="18"/>
              </w:rPr>
              <w:t>,</w:t>
            </w:r>
            <w:r>
              <w:rPr>
                <w:rFonts w:eastAsia="Times New Roman"/>
                <w:color w:val="000000"/>
                <w:sz w:val="18"/>
                <w:szCs w:val="18"/>
              </w:rPr>
              <w:t>0</w:t>
            </w:r>
            <w:r w:rsidRPr="00DC25AE">
              <w:rPr>
                <w:rFonts w:eastAsia="Times New Roman"/>
                <w:color w:val="000000"/>
                <w:sz w:val="18"/>
                <w:szCs w:val="18"/>
              </w:rPr>
              <w:t>00)</w:t>
            </w:r>
          </w:p>
        </w:tc>
        <w:tc>
          <w:tcPr>
            <w:tcW w:w="1387" w:type="dxa"/>
            <w:tcBorders>
              <w:top w:val="nil"/>
              <w:left w:val="nil"/>
              <w:bottom w:val="single" w:sz="4" w:space="0" w:color="auto"/>
              <w:right w:val="single" w:sz="4" w:space="0" w:color="auto"/>
            </w:tcBorders>
            <w:shd w:val="clear" w:color="auto" w:fill="auto"/>
            <w:noWrap/>
            <w:vAlign w:val="center"/>
            <w:hideMark/>
          </w:tcPr>
          <w:p w:rsidR="0078072B" w:rsidRPr="00DC25AE" w:rsidP="0066072E" w14:paraId="2AF8801B" w14:textId="1A985870">
            <w:pPr>
              <w:keepNext/>
              <w:keepLines/>
              <w:autoSpaceDE/>
              <w:autoSpaceDN/>
              <w:adjustRightInd/>
              <w:spacing w:line="240" w:lineRule="auto"/>
              <w:jc w:val="center"/>
              <w:rPr>
                <w:rFonts w:eastAsia="Times New Roman"/>
                <w:color w:val="000000"/>
                <w:sz w:val="18"/>
                <w:szCs w:val="18"/>
              </w:rPr>
            </w:pPr>
            <w:r w:rsidRPr="00DC25AE">
              <w:rPr>
                <w:rFonts w:eastAsia="Times New Roman"/>
                <w:color w:val="000000"/>
                <w:sz w:val="18"/>
                <w:szCs w:val="18"/>
              </w:rPr>
              <w:t>($</w:t>
            </w:r>
            <w:r w:rsidRPr="00C14561">
              <w:rPr>
                <w:rFonts w:eastAsia="Times New Roman"/>
                <w:color w:val="000000"/>
                <w:sz w:val="18"/>
                <w:szCs w:val="18"/>
              </w:rPr>
              <w:t>4</w:t>
            </w:r>
            <w:r w:rsidRPr="00E4074A" w:rsidR="00C14561">
              <w:rPr>
                <w:rFonts w:eastAsia="Times New Roman"/>
                <w:color w:val="000000"/>
                <w:sz w:val="18"/>
                <w:szCs w:val="18"/>
              </w:rPr>
              <w:t>24</w:t>
            </w:r>
            <w:r w:rsidRPr="00DC25AE">
              <w:rPr>
                <w:rFonts w:eastAsia="Times New Roman"/>
                <w:color w:val="000000"/>
                <w:sz w:val="18"/>
                <w:szCs w:val="18"/>
              </w:rPr>
              <w:t>,</w:t>
            </w:r>
            <w:r>
              <w:rPr>
                <w:rFonts w:eastAsia="Times New Roman"/>
                <w:color w:val="000000"/>
                <w:sz w:val="18"/>
                <w:szCs w:val="18"/>
              </w:rPr>
              <w:t>0</w:t>
            </w:r>
            <w:r w:rsidRPr="00DC25AE">
              <w:rPr>
                <w:rFonts w:eastAsia="Times New Roman"/>
                <w:color w:val="000000"/>
                <w:sz w:val="18"/>
                <w:szCs w:val="18"/>
              </w:rPr>
              <w:t>00)</w:t>
            </w:r>
          </w:p>
        </w:tc>
      </w:tr>
      <w:tr w14:paraId="197AACB4" w14:textId="77777777" w:rsidTr="00E4074A">
        <w:tblPrEx>
          <w:tblW w:w="9789" w:type="dxa"/>
          <w:tblLook w:val="04A0"/>
        </w:tblPrEx>
        <w:trPr>
          <w:trHeight w:val="280"/>
        </w:trPr>
        <w:tc>
          <w:tcPr>
            <w:tcW w:w="557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8072B" w:rsidRPr="00DC25AE" w:rsidP="0066072E" w14:paraId="232042CB" w14:textId="77777777">
            <w:pPr>
              <w:keepNext/>
              <w:keepLines/>
              <w:autoSpaceDE/>
              <w:autoSpaceDN/>
              <w:adjustRightInd/>
              <w:spacing w:line="240" w:lineRule="auto"/>
              <w:jc w:val="right"/>
              <w:rPr>
                <w:rFonts w:eastAsia="Times New Roman"/>
                <w:b/>
                <w:bCs/>
                <w:color w:val="000000"/>
                <w:sz w:val="18"/>
                <w:szCs w:val="18"/>
              </w:rPr>
            </w:pPr>
            <w:r w:rsidRPr="00DC25AE">
              <w:rPr>
                <w:rFonts w:eastAsia="Times New Roman"/>
                <w:b/>
                <w:bCs/>
                <w:color w:val="000000"/>
                <w:sz w:val="18"/>
                <w:szCs w:val="18"/>
              </w:rPr>
              <w:t>Industry Net Implementation Benefit (Cost)</w:t>
            </w:r>
          </w:p>
        </w:tc>
        <w:tc>
          <w:tcPr>
            <w:tcW w:w="1440" w:type="dxa"/>
            <w:tcBorders>
              <w:top w:val="nil"/>
              <w:left w:val="nil"/>
              <w:bottom w:val="single" w:sz="4" w:space="0" w:color="auto"/>
              <w:right w:val="single" w:sz="4" w:space="0" w:color="auto"/>
            </w:tcBorders>
            <w:shd w:val="clear" w:color="auto" w:fill="auto"/>
            <w:noWrap/>
            <w:vAlign w:val="center"/>
            <w:hideMark/>
          </w:tcPr>
          <w:p w:rsidR="0078072B" w:rsidRPr="00DC25AE" w:rsidP="0066072E" w14:paraId="27AF291C" w14:textId="77777777">
            <w:pPr>
              <w:keepNext/>
              <w:keepLines/>
              <w:autoSpaceDE/>
              <w:autoSpaceDN/>
              <w:adjustRightInd/>
              <w:spacing w:line="240" w:lineRule="auto"/>
              <w:jc w:val="center"/>
              <w:rPr>
                <w:rFonts w:eastAsia="Times New Roman"/>
                <w:b/>
                <w:bCs/>
                <w:color w:val="000000"/>
                <w:sz w:val="18"/>
                <w:szCs w:val="18"/>
              </w:rPr>
            </w:pPr>
            <w:r w:rsidRPr="00DC25AE">
              <w:rPr>
                <w:rFonts w:eastAsia="Times New Roman"/>
                <w:b/>
                <w:bCs/>
                <w:color w:val="000000"/>
                <w:sz w:val="18"/>
                <w:szCs w:val="18"/>
              </w:rPr>
              <w:t>($900,000)</w:t>
            </w:r>
          </w:p>
        </w:tc>
        <w:tc>
          <w:tcPr>
            <w:tcW w:w="1387" w:type="dxa"/>
            <w:tcBorders>
              <w:top w:val="nil"/>
              <w:left w:val="nil"/>
              <w:bottom w:val="single" w:sz="4" w:space="0" w:color="auto"/>
              <w:right w:val="single" w:sz="4" w:space="0" w:color="auto"/>
            </w:tcBorders>
            <w:shd w:val="clear" w:color="auto" w:fill="auto"/>
            <w:noWrap/>
            <w:vAlign w:val="center"/>
            <w:hideMark/>
          </w:tcPr>
          <w:p w:rsidR="0078072B" w:rsidRPr="00DC25AE" w:rsidP="0066072E" w14:paraId="05C8D5F7" w14:textId="61857BA8">
            <w:pPr>
              <w:keepNext/>
              <w:keepLines/>
              <w:autoSpaceDE/>
              <w:autoSpaceDN/>
              <w:adjustRightInd/>
              <w:spacing w:line="240" w:lineRule="auto"/>
              <w:jc w:val="center"/>
              <w:rPr>
                <w:rFonts w:eastAsia="Times New Roman"/>
                <w:b/>
                <w:bCs/>
                <w:color w:val="000000"/>
                <w:sz w:val="18"/>
                <w:szCs w:val="18"/>
              </w:rPr>
            </w:pPr>
            <w:r w:rsidRPr="00DC25AE">
              <w:rPr>
                <w:rFonts w:eastAsia="Times New Roman"/>
                <w:b/>
                <w:bCs/>
                <w:color w:val="000000"/>
                <w:sz w:val="18"/>
                <w:szCs w:val="18"/>
              </w:rPr>
              <w:t>($</w:t>
            </w:r>
            <w:r w:rsidRPr="00E4074A" w:rsidR="00C14561">
              <w:rPr>
                <w:rFonts w:eastAsia="Times New Roman"/>
                <w:b/>
                <w:bCs/>
                <w:color w:val="000000"/>
                <w:sz w:val="18"/>
                <w:szCs w:val="18"/>
              </w:rPr>
              <w:t>814</w:t>
            </w:r>
            <w:r w:rsidRPr="00DC25AE">
              <w:rPr>
                <w:rFonts w:eastAsia="Times New Roman"/>
                <w:b/>
                <w:bCs/>
                <w:color w:val="000000"/>
                <w:sz w:val="18"/>
                <w:szCs w:val="18"/>
              </w:rPr>
              <w:t>,</w:t>
            </w:r>
            <w:r>
              <w:rPr>
                <w:rFonts w:eastAsia="Times New Roman"/>
                <w:b/>
                <w:bCs/>
                <w:color w:val="000000"/>
                <w:sz w:val="18"/>
                <w:szCs w:val="18"/>
              </w:rPr>
              <w:t>0</w:t>
            </w:r>
            <w:r w:rsidRPr="00DC25AE">
              <w:rPr>
                <w:rFonts w:eastAsia="Times New Roman"/>
                <w:b/>
                <w:bCs/>
                <w:color w:val="000000"/>
                <w:sz w:val="18"/>
                <w:szCs w:val="18"/>
              </w:rPr>
              <w:t>00)</w:t>
            </w:r>
          </w:p>
        </w:tc>
        <w:tc>
          <w:tcPr>
            <w:tcW w:w="1387" w:type="dxa"/>
            <w:tcBorders>
              <w:top w:val="nil"/>
              <w:left w:val="nil"/>
              <w:bottom w:val="single" w:sz="4" w:space="0" w:color="auto"/>
              <w:right w:val="single" w:sz="4" w:space="0" w:color="auto"/>
            </w:tcBorders>
            <w:shd w:val="clear" w:color="auto" w:fill="auto"/>
            <w:noWrap/>
            <w:vAlign w:val="center"/>
            <w:hideMark/>
          </w:tcPr>
          <w:p w:rsidR="0078072B" w:rsidRPr="00DC25AE" w:rsidP="0066072E" w14:paraId="04C52074" w14:textId="58E5B3FF">
            <w:pPr>
              <w:keepNext/>
              <w:keepLines/>
              <w:autoSpaceDE/>
              <w:autoSpaceDN/>
              <w:adjustRightInd/>
              <w:spacing w:line="240" w:lineRule="auto"/>
              <w:jc w:val="center"/>
              <w:rPr>
                <w:rFonts w:eastAsia="Times New Roman"/>
                <w:b/>
                <w:bCs/>
                <w:color w:val="000000"/>
                <w:sz w:val="18"/>
                <w:szCs w:val="18"/>
              </w:rPr>
            </w:pPr>
            <w:r w:rsidRPr="00DC25AE">
              <w:rPr>
                <w:rFonts w:eastAsia="Times New Roman"/>
                <w:b/>
                <w:bCs/>
                <w:color w:val="000000"/>
                <w:sz w:val="18"/>
                <w:szCs w:val="18"/>
              </w:rPr>
              <w:t>($</w:t>
            </w:r>
            <w:r w:rsidRPr="00C14561">
              <w:rPr>
                <w:rFonts w:eastAsia="Times New Roman"/>
                <w:b/>
                <w:bCs/>
                <w:color w:val="000000"/>
                <w:sz w:val="18"/>
                <w:szCs w:val="18"/>
              </w:rPr>
              <w:t>8</w:t>
            </w:r>
            <w:r w:rsidRPr="00E4074A" w:rsidR="00C14561">
              <w:rPr>
                <w:rFonts w:eastAsia="Times New Roman"/>
                <w:b/>
                <w:bCs/>
                <w:color w:val="000000"/>
                <w:sz w:val="18"/>
                <w:szCs w:val="18"/>
              </w:rPr>
              <w:t>61</w:t>
            </w:r>
            <w:r w:rsidRPr="00DC25AE">
              <w:rPr>
                <w:rFonts w:eastAsia="Times New Roman"/>
                <w:b/>
                <w:bCs/>
                <w:color w:val="000000"/>
                <w:sz w:val="18"/>
                <w:szCs w:val="18"/>
              </w:rPr>
              <w:t>,000)</w:t>
            </w:r>
          </w:p>
        </w:tc>
      </w:tr>
    </w:tbl>
    <w:p w:rsidR="0078072B" w:rsidRPr="00C53635" w:rsidP="0078072B" w14:paraId="12402F77" w14:textId="77777777">
      <w:r w:rsidRPr="00C53635">
        <w:rPr>
          <w:sz w:val="18"/>
          <w:szCs w:val="18"/>
          <w:vertAlign w:val="superscript"/>
        </w:rPr>
        <w:t xml:space="preserve">a </w:t>
      </w:r>
      <w:r w:rsidRPr="00C53635">
        <w:rPr>
          <w:sz w:val="18"/>
          <w:szCs w:val="18"/>
        </w:rPr>
        <w:t xml:space="preserve">Values rounded to nearest </w:t>
      </w:r>
      <w:r>
        <w:rPr>
          <w:sz w:val="18"/>
          <w:szCs w:val="18"/>
        </w:rPr>
        <w:t>thousand</w:t>
      </w:r>
      <w:r w:rsidRPr="00C53635">
        <w:rPr>
          <w:sz w:val="18"/>
          <w:szCs w:val="18"/>
        </w:rPr>
        <w:t xml:space="preserve"> dollars.</w:t>
      </w:r>
    </w:p>
    <w:p w:rsidR="0078072B" w:rsidRPr="00FA4329" w:rsidP="0078072B" w14:paraId="436992F1" w14:textId="77777777">
      <w:pPr>
        <w:rPr>
          <w:highlight w:val="yellow"/>
        </w:rPr>
      </w:pPr>
    </w:p>
    <w:p w:rsidR="0078072B" w:rsidRPr="00347085" w:rsidP="0078072B" w14:paraId="4436EF8F" w14:textId="77777777">
      <w:pPr>
        <w:pStyle w:val="Heading2"/>
        <w:rPr>
          <w:sz w:val="24"/>
          <w:szCs w:val="24"/>
          <w:u w:val="single"/>
        </w:rPr>
      </w:pPr>
      <w:bookmarkStart w:id="39" w:name="_Toc147922988"/>
      <w:r w:rsidRPr="00347085">
        <w:rPr>
          <w:sz w:val="24"/>
          <w:szCs w:val="24"/>
        </w:rPr>
        <w:t>3.4</w:t>
      </w:r>
      <w:r w:rsidRPr="00347085">
        <w:rPr>
          <w:sz w:val="24"/>
          <w:szCs w:val="24"/>
        </w:rPr>
        <w:tab/>
      </w:r>
      <w:r w:rsidRPr="00347085">
        <w:rPr>
          <w:sz w:val="24"/>
          <w:szCs w:val="24"/>
          <w:u w:val="single"/>
        </w:rPr>
        <w:t>Industry Operation</w:t>
      </w:r>
      <w:bookmarkEnd w:id="39"/>
    </w:p>
    <w:p w:rsidR="0078072B" w:rsidRPr="001F1302" w:rsidP="0078072B" w14:paraId="0A9109C8" w14:textId="77777777">
      <w:pPr>
        <w:rPr>
          <w:highlight w:val="yellow"/>
        </w:rPr>
      </w:pPr>
    </w:p>
    <w:p w:rsidR="0078072B" w:rsidRPr="00A5087F" w:rsidP="0078072B" w14:paraId="79310669" w14:textId="5746B936">
      <w:pPr>
        <w:pStyle w:val="text"/>
        <w:spacing w:after="0" w:line="276" w:lineRule="auto"/>
        <w:rPr>
          <w:szCs w:val="22"/>
          <w:highlight w:val="yellow"/>
        </w:rPr>
      </w:pPr>
      <w:r>
        <w:rPr>
          <w:szCs w:val="22"/>
        </w:rPr>
        <w:t>Alternative</w:t>
      </w:r>
      <w:r w:rsidRPr="009B79A1">
        <w:rPr>
          <w:szCs w:val="22"/>
        </w:rPr>
        <w:t xml:space="preserve"> 2 </w:t>
      </w:r>
      <w:r w:rsidRPr="00B755E3">
        <w:rPr>
          <w:szCs w:val="22"/>
        </w:rPr>
        <w:t xml:space="preserve">provides </w:t>
      </w:r>
      <w:r>
        <w:rPr>
          <w:szCs w:val="22"/>
        </w:rPr>
        <w:t>80 issues in</w:t>
      </w:r>
      <w:r w:rsidRPr="00B755E3">
        <w:rPr>
          <w:szCs w:val="22"/>
        </w:rPr>
        <w:t xml:space="preserve"> Table B</w:t>
      </w:r>
      <w:r>
        <w:rPr>
          <w:szCs w:val="22"/>
        </w:rPr>
        <w:noBreakHyphen/>
      </w:r>
      <w:r w:rsidRPr="00B755E3">
        <w:rPr>
          <w:szCs w:val="22"/>
        </w:rPr>
        <w:t>1</w:t>
      </w:r>
      <w:r>
        <w:t xml:space="preserve"> </w:t>
      </w:r>
      <w:r w:rsidRPr="00A0032C">
        <w:t xml:space="preserve">(see </w:t>
      </w:r>
      <w:r>
        <w:fldChar w:fldCharType="begin"/>
      </w:r>
      <w:r>
        <w:instrText xml:space="preserve"> REF _Ref108428849 \h </w:instrText>
      </w:r>
      <w:r>
        <w:fldChar w:fldCharType="separate"/>
      </w:r>
      <w:r w:rsidRPr="00B34941">
        <w:t>Table A</w:t>
      </w:r>
      <w:r w:rsidRPr="00B34941">
        <w:noBreakHyphen/>
      </w:r>
      <w:r>
        <w:rPr>
          <w:noProof/>
        </w:rPr>
        <w:t>1</w:t>
      </w:r>
      <w:r>
        <w:fldChar w:fldCharType="end"/>
      </w:r>
      <w:r>
        <w:t xml:space="preserve"> </w:t>
      </w:r>
      <w:r w:rsidRPr="00A0032C">
        <w:t>in Appendix A)</w:t>
      </w:r>
      <w:r>
        <w:t xml:space="preserve"> </w:t>
      </w:r>
      <w:r w:rsidRPr="00B755E3">
        <w:rPr>
          <w:szCs w:val="22"/>
        </w:rPr>
        <w:t>that each licensee must assess and include as part of the environmental review of its license renewal application to the NRC.</w:t>
      </w:r>
    </w:p>
    <w:p w:rsidR="0078072B" w:rsidP="0078072B" w14:paraId="68CFD24B" w14:textId="77777777">
      <w:pPr>
        <w:rPr>
          <w:highlight w:val="yellow"/>
        </w:rPr>
      </w:pPr>
    </w:p>
    <w:p w:rsidR="0078072B" w:rsidRPr="007A1F4F" w:rsidP="0078072B" w14:paraId="07C373AC" w14:textId="542CF0CC">
      <w:pPr>
        <w:pStyle w:val="Style1"/>
        <w:spacing w:line="276" w:lineRule="auto"/>
        <w:rPr>
          <w:rFonts w:ascii="Arial" w:hAnsi="Arial" w:cs="Arial"/>
          <w:sz w:val="22"/>
          <w:szCs w:val="22"/>
        </w:rPr>
      </w:pPr>
      <w:r w:rsidRPr="004F162E">
        <w:rPr>
          <w:rFonts w:ascii="Arial" w:hAnsi="Arial" w:cs="Arial"/>
          <w:i/>
          <w:iCs/>
          <w:sz w:val="22"/>
          <w:szCs w:val="22"/>
        </w:rPr>
        <w:t>General assumptions</w:t>
      </w:r>
      <w:r>
        <w:rPr>
          <w:rFonts w:ascii="Arial" w:hAnsi="Arial" w:cs="Arial"/>
          <w:i/>
          <w:iCs/>
          <w:sz w:val="22"/>
          <w:szCs w:val="22"/>
        </w:rPr>
        <w:t>:</w:t>
      </w:r>
      <w:r w:rsidRPr="007A1F4F">
        <w:rPr>
          <w:rFonts w:ascii="Arial" w:hAnsi="Arial" w:cs="Arial"/>
          <w:sz w:val="22"/>
          <w:szCs w:val="22"/>
        </w:rPr>
        <w:t xml:space="preserve"> </w:t>
      </w:r>
      <w:r>
        <w:rPr>
          <w:rFonts w:ascii="Arial" w:hAnsi="Arial" w:cs="Arial"/>
          <w:sz w:val="22"/>
          <w:szCs w:val="22"/>
        </w:rPr>
        <w:t>Assumptions</w:t>
      </w:r>
      <w:r w:rsidRPr="007A1F4F">
        <w:rPr>
          <w:rFonts w:ascii="Arial" w:hAnsi="Arial" w:cs="Arial"/>
          <w:sz w:val="22"/>
          <w:szCs w:val="22"/>
        </w:rPr>
        <w:t xml:space="preserve"> are listed below</w:t>
      </w:r>
      <w:r>
        <w:rPr>
          <w:rFonts w:ascii="Arial" w:hAnsi="Arial" w:cs="Arial"/>
          <w:sz w:val="22"/>
          <w:szCs w:val="22"/>
        </w:rPr>
        <w:t xml:space="preserve"> and apply to all license renewal applicants</w:t>
      </w:r>
      <w:r w:rsidRPr="007A1F4F">
        <w:rPr>
          <w:rFonts w:ascii="Arial" w:hAnsi="Arial" w:cs="Arial"/>
          <w:sz w:val="22"/>
          <w:szCs w:val="22"/>
        </w:rPr>
        <w:t>:</w:t>
      </w:r>
    </w:p>
    <w:p w:rsidR="0078072B" w:rsidRPr="007D6ABB" w:rsidP="0078072B" w14:paraId="70393A97" w14:textId="77777777"/>
    <w:p w:rsidR="0078072B" w:rsidRPr="007D6ABB" w:rsidP="0078072B" w14:paraId="5E899A08" w14:textId="5B1EA5D6">
      <w:pPr>
        <w:pStyle w:val="Style1"/>
        <w:numPr>
          <w:ilvl w:val="0"/>
          <w:numId w:val="26"/>
        </w:numPr>
        <w:spacing w:line="276" w:lineRule="auto"/>
        <w:ind w:hanging="720"/>
        <w:rPr>
          <w:rFonts w:ascii="Arial" w:hAnsi="Arial" w:cs="Arial"/>
          <w:sz w:val="22"/>
          <w:szCs w:val="22"/>
        </w:rPr>
      </w:pPr>
      <w:r w:rsidRPr="007D6ABB">
        <w:rPr>
          <w:rFonts w:ascii="Arial" w:hAnsi="Arial" w:cs="Arial"/>
          <w:bCs/>
          <w:sz w:val="22"/>
          <w:szCs w:val="22"/>
          <w:u w:val="single"/>
        </w:rPr>
        <w:t xml:space="preserve">Category 1 </w:t>
      </w:r>
      <w:r>
        <w:rPr>
          <w:rFonts w:ascii="Arial" w:hAnsi="Arial" w:cs="Arial"/>
          <w:bCs/>
          <w:sz w:val="22"/>
          <w:szCs w:val="22"/>
          <w:u w:val="single"/>
        </w:rPr>
        <w:t>I</w:t>
      </w:r>
      <w:r w:rsidRPr="007D6ABB">
        <w:rPr>
          <w:rFonts w:ascii="Arial" w:hAnsi="Arial" w:cs="Arial"/>
          <w:bCs/>
          <w:sz w:val="22"/>
          <w:szCs w:val="22"/>
          <w:u w:val="single"/>
        </w:rPr>
        <w:t>ssue</w:t>
      </w:r>
      <w:r>
        <w:rPr>
          <w:rFonts w:ascii="Arial" w:hAnsi="Arial" w:cs="Arial"/>
          <w:sz w:val="22"/>
          <w:szCs w:val="22"/>
        </w:rPr>
        <w:t>—</w:t>
      </w:r>
      <w:r w:rsidRPr="007D6ABB">
        <w:rPr>
          <w:rFonts w:ascii="Arial" w:hAnsi="Arial" w:cs="Arial"/>
          <w:sz w:val="22"/>
          <w:szCs w:val="22"/>
        </w:rPr>
        <w:t xml:space="preserve">A Category 1 issue is assumed to require, on average, </w:t>
      </w:r>
      <w:r>
        <w:rPr>
          <w:rFonts w:ascii="Arial" w:hAnsi="Arial" w:cs="Arial"/>
          <w:sz w:val="22"/>
          <w:szCs w:val="22"/>
        </w:rPr>
        <w:t>95</w:t>
      </w:r>
      <w:r w:rsidRPr="007D6ABB">
        <w:rPr>
          <w:rFonts w:ascii="Arial" w:hAnsi="Arial" w:cs="Arial"/>
          <w:sz w:val="22"/>
          <w:szCs w:val="22"/>
        </w:rPr>
        <w:t> hours of licensee staff labor to research new and significant information and, as applicable, include information in the environmental report.</w:t>
      </w:r>
    </w:p>
    <w:p w:rsidR="0078072B" w:rsidRPr="007A1F4F" w:rsidP="0078072B" w14:paraId="5FE70364" w14:textId="77777777">
      <w:pPr>
        <w:pStyle w:val="Style1"/>
        <w:spacing w:line="276" w:lineRule="auto"/>
        <w:ind w:left="720" w:hanging="720"/>
        <w:rPr>
          <w:rFonts w:ascii="Arial" w:hAnsi="Arial" w:cs="Arial"/>
          <w:sz w:val="22"/>
          <w:szCs w:val="22"/>
          <w:highlight w:val="yellow"/>
        </w:rPr>
      </w:pPr>
    </w:p>
    <w:p w:rsidR="0078072B" w:rsidRPr="00D217C7" w:rsidP="0078072B" w14:paraId="3C79EF0A" w14:textId="35A57512">
      <w:pPr>
        <w:pStyle w:val="Style1"/>
        <w:numPr>
          <w:ilvl w:val="0"/>
          <w:numId w:val="26"/>
        </w:numPr>
        <w:spacing w:line="276" w:lineRule="auto"/>
        <w:ind w:hanging="720"/>
        <w:rPr>
          <w:rFonts w:ascii="Arial" w:hAnsi="Arial" w:cs="Arial"/>
          <w:sz w:val="22"/>
          <w:szCs w:val="22"/>
        </w:rPr>
      </w:pPr>
      <w:r w:rsidRPr="00D217C7">
        <w:rPr>
          <w:rFonts w:ascii="Arial" w:hAnsi="Arial" w:cs="Arial"/>
          <w:bCs/>
          <w:sz w:val="22"/>
          <w:szCs w:val="22"/>
          <w:u w:val="single"/>
        </w:rPr>
        <w:t xml:space="preserve">Category 2 </w:t>
      </w:r>
      <w:r>
        <w:rPr>
          <w:rFonts w:ascii="Arial" w:hAnsi="Arial" w:cs="Arial"/>
          <w:bCs/>
          <w:sz w:val="22"/>
          <w:szCs w:val="22"/>
          <w:u w:val="single"/>
        </w:rPr>
        <w:t>I</w:t>
      </w:r>
      <w:r w:rsidRPr="00D217C7">
        <w:rPr>
          <w:rFonts w:ascii="Arial" w:hAnsi="Arial" w:cs="Arial"/>
          <w:bCs/>
          <w:sz w:val="22"/>
          <w:szCs w:val="22"/>
          <w:u w:val="single"/>
        </w:rPr>
        <w:t>ssue</w:t>
      </w:r>
      <w:r>
        <w:rPr>
          <w:rFonts w:ascii="Arial" w:hAnsi="Arial" w:cs="Arial"/>
          <w:sz w:val="22"/>
          <w:szCs w:val="22"/>
        </w:rPr>
        <w:t>—</w:t>
      </w:r>
      <w:r w:rsidRPr="00D217C7">
        <w:rPr>
          <w:rFonts w:ascii="Arial" w:hAnsi="Arial" w:cs="Arial"/>
          <w:sz w:val="22"/>
          <w:szCs w:val="22"/>
        </w:rPr>
        <w:t>A Category 2 issue is assumed to require, on average, 3</w:t>
      </w:r>
      <w:r>
        <w:rPr>
          <w:rFonts w:ascii="Arial" w:hAnsi="Arial" w:cs="Arial"/>
          <w:sz w:val="22"/>
          <w:szCs w:val="22"/>
        </w:rPr>
        <w:t>81</w:t>
      </w:r>
      <w:r w:rsidRPr="00D217C7">
        <w:rPr>
          <w:rFonts w:ascii="Arial" w:hAnsi="Arial" w:cs="Arial"/>
          <w:sz w:val="22"/>
          <w:szCs w:val="22"/>
        </w:rPr>
        <w:t xml:space="preserve"> hours of licensee staff labor to complete a </w:t>
      </w:r>
      <w:r w:rsidR="00AE6870">
        <w:rPr>
          <w:rFonts w:ascii="Arial" w:hAnsi="Arial" w:cs="Arial"/>
          <w:sz w:val="22"/>
          <w:szCs w:val="22"/>
        </w:rPr>
        <w:t>plant</w:t>
      </w:r>
      <w:r w:rsidR="00AE6870">
        <w:rPr>
          <w:rFonts w:ascii="Arial" w:hAnsi="Arial" w:cs="Arial"/>
          <w:sz w:val="22"/>
          <w:szCs w:val="22"/>
        </w:rPr>
        <w:noBreakHyphen/>
        <w:t>specific</w:t>
      </w:r>
      <w:r w:rsidRPr="00D217C7">
        <w:rPr>
          <w:rFonts w:ascii="Arial" w:hAnsi="Arial" w:cs="Arial"/>
          <w:sz w:val="22"/>
          <w:szCs w:val="22"/>
        </w:rPr>
        <w:t xml:space="preserve"> analysis and to present the analysis in the environmental report.</w:t>
      </w:r>
    </w:p>
    <w:p w:rsidR="0078072B" w:rsidP="0078072B" w14:paraId="2CD43910" w14:textId="77777777">
      <w:pPr>
        <w:pStyle w:val="ListParagraph"/>
      </w:pPr>
    </w:p>
    <w:p w:rsidR="0078072B" w:rsidRPr="00D217C7" w:rsidP="0078072B" w14:paraId="649DD9E6" w14:textId="77777777">
      <w:pPr>
        <w:pStyle w:val="Style1"/>
        <w:numPr>
          <w:ilvl w:val="0"/>
          <w:numId w:val="26"/>
        </w:numPr>
        <w:spacing w:line="276" w:lineRule="auto"/>
        <w:ind w:hanging="720"/>
        <w:rPr>
          <w:rFonts w:ascii="Arial" w:hAnsi="Arial" w:cs="Arial"/>
          <w:sz w:val="22"/>
          <w:szCs w:val="22"/>
        </w:rPr>
      </w:pPr>
      <w:r w:rsidRPr="00594EB1">
        <w:rPr>
          <w:rFonts w:ascii="Arial" w:hAnsi="Arial" w:cs="Arial"/>
          <w:sz w:val="22"/>
          <w:szCs w:val="22"/>
          <w:u w:val="single"/>
        </w:rPr>
        <w:t xml:space="preserve">Uncategorized </w:t>
      </w:r>
      <w:r>
        <w:rPr>
          <w:rFonts w:ascii="Arial" w:hAnsi="Arial" w:cs="Arial"/>
          <w:sz w:val="22"/>
          <w:szCs w:val="22"/>
          <w:u w:val="single"/>
        </w:rPr>
        <w:t>I</w:t>
      </w:r>
      <w:r w:rsidRPr="00594EB1">
        <w:rPr>
          <w:rFonts w:ascii="Arial" w:hAnsi="Arial" w:cs="Arial"/>
          <w:sz w:val="22"/>
          <w:szCs w:val="22"/>
          <w:u w:val="single"/>
        </w:rPr>
        <w:t>ssue</w:t>
      </w:r>
      <w:r>
        <w:rPr>
          <w:rFonts w:ascii="Arial" w:hAnsi="Arial" w:cs="Arial"/>
          <w:sz w:val="22"/>
          <w:szCs w:val="22"/>
        </w:rPr>
        <w:t>—An uncategorized issue is assumed to require, on average, 95 hours of licensee staff labor to research new and significant information and, as applicable, include information in the environmental report.</w:t>
      </w:r>
    </w:p>
    <w:p w:rsidR="0078072B" w:rsidRPr="007A1F4F" w:rsidP="0078072B" w14:paraId="16BD4A83" w14:textId="77777777">
      <w:pPr>
        <w:pStyle w:val="ListParagraph"/>
        <w:ind w:hanging="720"/>
        <w:rPr>
          <w:highlight w:val="yellow"/>
        </w:rPr>
      </w:pPr>
    </w:p>
    <w:p w:rsidR="0078072B" w:rsidRPr="005F5958" w:rsidP="0078072B" w14:paraId="76E04406" w14:textId="7F3720EA">
      <w:pPr>
        <w:pStyle w:val="Style1"/>
        <w:numPr>
          <w:ilvl w:val="0"/>
          <w:numId w:val="26"/>
        </w:numPr>
        <w:spacing w:line="276" w:lineRule="auto"/>
        <w:ind w:hanging="720"/>
        <w:rPr>
          <w:rFonts w:ascii="Arial" w:hAnsi="Arial" w:cs="Arial"/>
          <w:sz w:val="22"/>
          <w:szCs w:val="22"/>
        </w:rPr>
      </w:pPr>
      <w:r w:rsidRPr="005F5958">
        <w:rPr>
          <w:rFonts w:ascii="Arial" w:hAnsi="Arial" w:cs="Arial"/>
          <w:bCs/>
          <w:sz w:val="22"/>
          <w:szCs w:val="22"/>
          <w:u w:val="single"/>
        </w:rPr>
        <w:t>Category Change</w:t>
      </w:r>
      <w:r>
        <w:rPr>
          <w:rFonts w:ascii="Arial" w:hAnsi="Arial" w:cs="Arial"/>
          <w:sz w:val="22"/>
          <w:szCs w:val="22"/>
        </w:rPr>
        <w:t xml:space="preserve">—The </w:t>
      </w:r>
      <w:r w:rsidRPr="005F5958">
        <w:rPr>
          <w:rFonts w:ascii="Arial" w:hAnsi="Arial" w:cs="Arial"/>
          <w:sz w:val="22"/>
          <w:szCs w:val="22"/>
        </w:rPr>
        <w:t>net saving</w:t>
      </w:r>
      <w:r>
        <w:rPr>
          <w:rFonts w:ascii="Arial" w:hAnsi="Arial" w:cs="Arial"/>
          <w:sz w:val="22"/>
          <w:szCs w:val="22"/>
        </w:rPr>
        <w:t>s</w:t>
      </w:r>
      <w:r w:rsidRPr="005F5958">
        <w:rPr>
          <w:rFonts w:ascii="Arial" w:hAnsi="Arial" w:cs="Arial"/>
          <w:sz w:val="22"/>
          <w:szCs w:val="22"/>
        </w:rPr>
        <w:t xml:space="preserve"> per change from Category 2 to Category 1</w:t>
      </w:r>
      <w:r>
        <w:rPr>
          <w:rFonts w:ascii="Arial" w:hAnsi="Arial" w:cs="Arial"/>
          <w:sz w:val="22"/>
          <w:szCs w:val="22"/>
        </w:rPr>
        <w:t xml:space="preserve"> and the net cost per change from Category 2 to Category 1</w:t>
      </w:r>
      <w:r w:rsidRPr="005F5958">
        <w:rPr>
          <w:rFonts w:ascii="Arial" w:hAnsi="Arial" w:cs="Arial"/>
          <w:sz w:val="22"/>
          <w:szCs w:val="22"/>
        </w:rPr>
        <w:t xml:space="preserve"> is 2</w:t>
      </w:r>
      <w:r>
        <w:rPr>
          <w:rFonts w:ascii="Arial" w:hAnsi="Arial" w:cs="Arial"/>
          <w:sz w:val="22"/>
          <w:szCs w:val="22"/>
        </w:rPr>
        <w:t>86</w:t>
      </w:r>
      <w:r w:rsidRPr="005F5958">
        <w:rPr>
          <w:rFonts w:ascii="Arial" w:hAnsi="Arial" w:cs="Arial"/>
          <w:sz w:val="22"/>
          <w:szCs w:val="22"/>
        </w:rPr>
        <w:t> hours.</w:t>
      </w:r>
    </w:p>
    <w:p w:rsidR="0078072B" w:rsidRPr="00083F68" w:rsidP="0078072B" w14:paraId="149EA27A" w14:textId="77777777">
      <w:pPr>
        <w:pStyle w:val="Style1"/>
        <w:spacing w:line="276" w:lineRule="auto"/>
        <w:ind w:left="720" w:hanging="720"/>
        <w:rPr>
          <w:rFonts w:ascii="Arial" w:hAnsi="Arial" w:cs="Arial"/>
          <w:sz w:val="22"/>
          <w:szCs w:val="22"/>
        </w:rPr>
      </w:pPr>
    </w:p>
    <w:p w:rsidR="0078072B" w:rsidRPr="00083F68" w:rsidP="0078072B" w14:paraId="24CBE562" w14:textId="0DB57A89">
      <w:pPr>
        <w:pStyle w:val="Style1"/>
        <w:numPr>
          <w:ilvl w:val="0"/>
          <w:numId w:val="26"/>
        </w:numPr>
        <w:spacing w:line="276" w:lineRule="auto"/>
        <w:ind w:hanging="720"/>
        <w:rPr>
          <w:rFonts w:ascii="Arial" w:hAnsi="Arial" w:cs="Arial"/>
          <w:sz w:val="22"/>
          <w:szCs w:val="22"/>
        </w:rPr>
      </w:pPr>
      <w:r w:rsidRPr="00083F68">
        <w:rPr>
          <w:rFonts w:ascii="Arial" w:hAnsi="Arial" w:cs="Arial"/>
          <w:bCs/>
          <w:sz w:val="22"/>
          <w:szCs w:val="22"/>
          <w:u w:val="single"/>
        </w:rPr>
        <w:t>Issue Consolidation</w:t>
      </w:r>
      <w:r>
        <w:rPr>
          <w:rFonts w:ascii="Arial" w:hAnsi="Arial" w:cs="Arial"/>
          <w:sz w:val="22"/>
          <w:szCs w:val="22"/>
        </w:rPr>
        <w:t>—C</w:t>
      </w:r>
      <w:r w:rsidRPr="00083F68">
        <w:rPr>
          <w:rFonts w:ascii="Arial" w:hAnsi="Arial" w:cs="Arial"/>
          <w:sz w:val="22"/>
          <w:szCs w:val="22"/>
        </w:rPr>
        <w:t xml:space="preserve">ombining similar </w:t>
      </w:r>
      <w:r>
        <w:rPr>
          <w:rFonts w:ascii="Arial" w:hAnsi="Arial" w:cs="Arial"/>
          <w:sz w:val="22"/>
          <w:szCs w:val="22"/>
        </w:rPr>
        <w:t>c</w:t>
      </w:r>
      <w:r w:rsidRPr="00083F68">
        <w:rPr>
          <w:rFonts w:ascii="Arial" w:hAnsi="Arial" w:cs="Arial"/>
          <w:sz w:val="22"/>
          <w:szCs w:val="22"/>
        </w:rPr>
        <w:t>ategory issues from the 2013</w:t>
      </w:r>
      <w:r>
        <w:rPr>
          <w:rFonts w:ascii="Arial" w:hAnsi="Arial" w:cs="Arial"/>
          <w:sz w:val="22"/>
          <w:szCs w:val="22"/>
        </w:rPr>
        <w:t> </w:t>
      </w:r>
      <w:r w:rsidRPr="00083F68">
        <w:rPr>
          <w:rFonts w:ascii="Arial" w:hAnsi="Arial" w:cs="Arial"/>
          <w:sz w:val="22"/>
          <w:szCs w:val="22"/>
        </w:rPr>
        <w:t>LR GEIS into a single Category 1 or Category 2 issue in Table B</w:t>
      </w:r>
      <w:r>
        <w:rPr>
          <w:rFonts w:ascii="Arial" w:hAnsi="Arial" w:cs="Arial"/>
          <w:sz w:val="22"/>
          <w:szCs w:val="22"/>
        </w:rPr>
        <w:noBreakHyphen/>
      </w:r>
      <w:r w:rsidRPr="00083F68">
        <w:rPr>
          <w:rFonts w:ascii="Arial" w:hAnsi="Arial" w:cs="Arial"/>
          <w:sz w:val="22"/>
          <w:szCs w:val="22"/>
        </w:rPr>
        <w:t>1 will result in a</w:t>
      </w:r>
      <w:r>
        <w:rPr>
          <w:rFonts w:ascii="Arial" w:hAnsi="Arial" w:cs="Arial"/>
          <w:sz w:val="22"/>
          <w:szCs w:val="22"/>
        </w:rPr>
        <w:t>n estimated</w:t>
      </w:r>
      <w:r w:rsidRPr="00083F68">
        <w:rPr>
          <w:rFonts w:ascii="Arial" w:hAnsi="Arial" w:cs="Arial"/>
          <w:sz w:val="22"/>
          <w:szCs w:val="22"/>
        </w:rPr>
        <w:t xml:space="preserve"> 70</w:t>
      </w:r>
      <w:r>
        <w:rPr>
          <w:rFonts w:ascii="Arial" w:hAnsi="Arial" w:cs="Arial"/>
          <w:sz w:val="22"/>
          <w:szCs w:val="22"/>
        </w:rPr>
        <w:t> </w:t>
      </w:r>
      <w:r w:rsidRPr="00083F68">
        <w:rPr>
          <w:rFonts w:ascii="Arial" w:hAnsi="Arial" w:cs="Arial"/>
          <w:sz w:val="22"/>
          <w:szCs w:val="22"/>
        </w:rPr>
        <w:t>percent savings</w:t>
      </w:r>
      <w:r>
        <w:rPr>
          <w:rFonts w:ascii="Arial" w:hAnsi="Arial" w:cs="Arial"/>
          <w:sz w:val="22"/>
          <w:szCs w:val="22"/>
        </w:rPr>
        <w:t>, on average,</w:t>
      </w:r>
      <w:r w:rsidRPr="00083F68">
        <w:rPr>
          <w:rFonts w:ascii="Arial" w:hAnsi="Arial" w:cs="Arial"/>
          <w:sz w:val="22"/>
          <w:szCs w:val="22"/>
        </w:rPr>
        <w:t xml:space="preserve"> in labor time for each issue removed by consolidation.</w:t>
      </w:r>
    </w:p>
    <w:p w:rsidR="0078072B" w:rsidP="0078072B" w14:paraId="3D2BA9E2" w14:textId="77777777">
      <w:pPr>
        <w:pStyle w:val="ListParagraph"/>
      </w:pPr>
    </w:p>
    <w:p w:rsidR="0078072B" w:rsidRPr="00083F68" w:rsidP="0078072B" w14:paraId="4F210F4E" w14:textId="062A9B4C">
      <w:pPr>
        <w:pStyle w:val="Style1"/>
        <w:numPr>
          <w:ilvl w:val="0"/>
          <w:numId w:val="26"/>
        </w:numPr>
        <w:spacing w:line="276" w:lineRule="auto"/>
        <w:ind w:hanging="720"/>
        <w:rPr>
          <w:rFonts w:ascii="Arial" w:hAnsi="Arial" w:cs="Arial"/>
          <w:sz w:val="22"/>
          <w:szCs w:val="22"/>
        </w:rPr>
      </w:pPr>
      <w:r w:rsidRPr="00594EB1">
        <w:rPr>
          <w:rFonts w:ascii="Arial" w:hAnsi="Arial" w:cs="Arial"/>
          <w:sz w:val="22"/>
          <w:szCs w:val="22"/>
          <w:u w:val="single"/>
        </w:rPr>
        <w:t>Issue Division</w:t>
      </w:r>
      <w:r>
        <w:rPr>
          <w:rFonts w:ascii="Arial" w:hAnsi="Arial" w:cs="Arial"/>
          <w:sz w:val="22"/>
          <w:szCs w:val="22"/>
        </w:rPr>
        <w:t>—Dividing a category issue from the 2013 LR GEIS into individual issues of the same category in Table B</w:t>
      </w:r>
      <w:r>
        <w:rPr>
          <w:rFonts w:ascii="Arial" w:hAnsi="Arial" w:cs="Arial"/>
          <w:sz w:val="22"/>
          <w:szCs w:val="22"/>
        </w:rPr>
        <w:noBreakHyphen/>
        <w:t xml:space="preserve">1, on average, will result in an estimated 50 percent increase in cost and in labor time for each issue added by issue division. For example, if a single Category 2 issue is divided into three Category 2 issues, then the result is an increased incremental cost of 100 percent for a total of </w:t>
      </w:r>
      <w:r w:rsidRPr="00130697">
        <w:rPr>
          <w:rFonts w:ascii="Arial" w:hAnsi="Arial" w:cs="Arial"/>
          <w:sz w:val="22"/>
          <w:szCs w:val="22"/>
        </w:rPr>
        <w:t>381</w:t>
      </w:r>
      <w:r>
        <w:rPr>
          <w:rFonts w:ascii="Arial" w:hAnsi="Arial" w:cs="Arial"/>
          <w:sz w:val="22"/>
          <w:szCs w:val="22"/>
        </w:rPr>
        <w:t> hours to analyze the three subdivided Category 2 issues.</w:t>
      </w:r>
    </w:p>
    <w:p w:rsidR="0078072B" w:rsidP="0078072B" w14:paraId="4254F2C3" w14:textId="77777777">
      <w:pPr>
        <w:pStyle w:val="text"/>
        <w:spacing w:after="0" w:line="276" w:lineRule="auto"/>
        <w:rPr>
          <w:i/>
          <w:iCs/>
        </w:rPr>
      </w:pPr>
    </w:p>
    <w:p w:rsidR="0078072B" w:rsidRPr="004F162E" w:rsidP="0078072B" w14:paraId="4FF1EAFF" w14:textId="2B947350">
      <w:pPr>
        <w:pStyle w:val="text"/>
        <w:spacing w:after="0" w:line="276" w:lineRule="auto"/>
        <w:rPr>
          <w:i/>
          <w:iCs/>
        </w:rPr>
      </w:pPr>
      <w:r w:rsidRPr="008A57C4">
        <w:rPr>
          <w:i/>
          <w:iCs/>
        </w:rPr>
        <w:t>Initial L</w:t>
      </w:r>
      <w:r>
        <w:rPr>
          <w:i/>
          <w:iCs/>
        </w:rPr>
        <w:t xml:space="preserve">R: </w:t>
      </w:r>
      <w:r>
        <w:t>All incremental changes from the current Table B</w:t>
      </w:r>
      <w:r>
        <w:noBreakHyphen/>
        <w:t xml:space="preserve">1 to the </w:t>
      </w:r>
      <w:r w:rsidR="0080648D">
        <w:t xml:space="preserve">revised </w:t>
      </w:r>
      <w:r>
        <w:t>Table B</w:t>
      </w:r>
      <w:r>
        <w:noBreakHyphen/>
        <w:t>1 resulting from the revised LR GEIS would apply to initial LR applicants:</w:t>
      </w:r>
    </w:p>
    <w:p w:rsidR="0078072B" w:rsidP="0078072B" w14:paraId="0ED10F68" w14:textId="77777777">
      <w:pPr>
        <w:pStyle w:val="text"/>
        <w:spacing w:after="0" w:line="276" w:lineRule="auto"/>
      </w:pPr>
    </w:p>
    <w:p w:rsidR="0078072B" w:rsidP="0078072B" w14:paraId="0548C94C" w14:textId="791884D6">
      <w:pPr>
        <w:pStyle w:val="text"/>
        <w:numPr>
          <w:ilvl w:val="0"/>
          <w:numId w:val="27"/>
        </w:numPr>
        <w:spacing w:after="0" w:line="276" w:lineRule="auto"/>
        <w:ind w:hanging="720"/>
      </w:pPr>
      <w:r w:rsidRPr="00301CC2">
        <w:rPr>
          <w:u w:val="single"/>
        </w:rPr>
        <w:t>Costs</w:t>
      </w:r>
      <w:r>
        <w:t>—New Category 2 issues subdividing an existing Category 2 issue, as well as Category</w:t>
      </w:r>
      <w:r w:rsidR="00A33413">
        <w:noBreakHyphen/>
      </w:r>
      <w:r>
        <w:t xml:space="preserve">1 issues that are changed to Category 2 issues, including consolidations, would incur costs because these issues would require a </w:t>
      </w:r>
      <w:r w:rsidR="00C70B47">
        <w:t>plant</w:t>
      </w:r>
      <w:r w:rsidR="00C70B47">
        <w:noBreakHyphen/>
        <w:t>specific</w:t>
      </w:r>
      <w:r w:rsidRPr="00261D12">
        <w:t xml:space="preserve"> evaluation. </w:t>
      </w:r>
      <w:r>
        <w:t>N</w:t>
      </w:r>
      <w:r w:rsidRPr="00261D12">
        <w:t>ew Category 1 issues</w:t>
      </w:r>
      <w:r>
        <w:t xml:space="preserve"> would also incur costs</w:t>
      </w:r>
      <w:r w:rsidRPr="00261D12">
        <w:t xml:space="preserve"> to research new and significant information.</w:t>
      </w:r>
    </w:p>
    <w:p w:rsidR="0078072B" w:rsidP="0078072B" w14:paraId="545F2B25" w14:textId="77777777">
      <w:pPr>
        <w:pStyle w:val="text"/>
        <w:spacing w:after="0" w:line="276" w:lineRule="auto"/>
        <w:ind w:hanging="720"/>
      </w:pPr>
    </w:p>
    <w:p w:rsidR="0078072B" w:rsidP="0078072B" w14:paraId="62070FAB" w14:textId="3CACF3DA">
      <w:pPr>
        <w:pStyle w:val="text"/>
        <w:numPr>
          <w:ilvl w:val="0"/>
          <w:numId w:val="27"/>
        </w:numPr>
        <w:spacing w:after="0" w:line="276" w:lineRule="auto"/>
        <w:ind w:hanging="720"/>
      </w:pPr>
      <w:r w:rsidRPr="00301CC2">
        <w:rPr>
          <w:u w:val="single"/>
        </w:rPr>
        <w:t>Benefits</w:t>
      </w:r>
      <w:r>
        <w:t>—The benefits of this rule would result from Category 2 issues that are changed to Category</w:t>
      </w:r>
      <w:r w:rsidR="00A33413">
        <w:noBreakHyphen/>
      </w:r>
      <w:r>
        <w:t xml:space="preserve">1 issues, because those issues will no longer require </w:t>
      </w:r>
      <w:r w:rsidR="00C70B47">
        <w:t>plant</w:t>
      </w:r>
      <w:r w:rsidR="00C70B47">
        <w:noBreakHyphen/>
        <w:t>specific</w:t>
      </w:r>
      <w:r>
        <w:t xml:space="preserve"> evaluation. Combining similar issues into a single category would also result in savings.</w:t>
      </w:r>
    </w:p>
    <w:p w:rsidR="0078072B" w:rsidRPr="00C064F9" w:rsidP="0078072B" w14:paraId="43F0FC2C" w14:textId="77777777">
      <w:pPr>
        <w:pStyle w:val="text"/>
        <w:spacing w:after="0" w:line="276" w:lineRule="auto"/>
      </w:pPr>
    </w:p>
    <w:p w:rsidR="0078072B" w:rsidRPr="00301CC2" w:rsidP="0078072B" w14:paraId="0F06F0CA" w14:textId="5213B5DB">
      <w:pPr>
        <w:pStyle w:val="text"/>
        <w:spacing w:after="0" w:line="276" w:lineRule="auto"/>
        <w:rPr>
          <w:i/>
          <w:iCs/>
        </w:rPr>
      </w:pPr>
      <w:r>
        <w:rPr>
          <w:i/>
          <w:iCs/>
        </w:rPr>
        <w:t xml:space="preserve">Future SLR: </w:t>
      </w:r>
      <w:r>
        <w:t xml:space="preserve">All the issues and findings in </w:t>
      </w:r>
      <w:r w:rsidR="00A33413">
        <w:t xml:space="preserve">the revised </w:t>
      </w:r>
      <w:r>
        <w:t>Table B</w:t>
      </w:r>
      <w:r>
        <w:noBreakHyphen/>
        <w:t>1 would apply to future SLR applicants:</w:t>
      </w:r>
    </w:p>
    <w:p w:rsidR="0078072B" w:rsidP="0078072B" w14:paraId="18502FD4" w14:textId="77777777">
      <w:pPr>
        <w:pStyle w:val="text"/>
        <w:spacing w:after="0" w:line="276" w:lineRule="auto"/>
      </w:pPr>
    </w:p>
    <w:p w:rsidR="0078072B" w:rsidP="0078072B" w14:paraId="5747A591" w14:textId="77777777">
      <w:pPr>
        <w:pStyle w:val="text"/>
        <w:numPr>
          <w:ilvl w:val="0"/>
          <w:numId w:val="28"/>
        </w:numPr>
        <w:spacing w:after="0" w:line="276" w:lineRule="auto"/>
        <w:ind w:hanging="720"/>
      </w:pPr>
      <w:r w:rsidRPr="00301CC2">
        <w:rPr>
          <w:u w:val="single"/>
        </w:rPr>
        <w:t>Costs</w:t>
      </w:r>
      <w:r>
        <w:rPr>
          <w:szCs w:val="22"/>
        </w:rPr>
        <w:t>—</w:t>
      </w:r>
      <w:r>
        <w:t>No incremental costs would be incurred by addressing Category 2 issues because these costs would be incurred with or without the rule.</w:t>
      </w:r>
    </w:p>
    <w:p w:rsidR="0078072B" w:rsidP="0078072B" w14:paraId="72A78570" w14:textId="77777777">
      <w:pPr>
        <w:pStyle w:val="text"/>
        <w:spacing w:after="0" w:line="276" w:lineRule="auto"/>
        <w:ind w:hanging="720"/>
      </w:pPr>
    </w:p>
    <w:p w:rsidR="0078072B" w:rsidP="0078072B" w14:paraId="1FB70AC2" w14:textId="234C503D">
      <w:pPr>
        <w:pStyle w:val="text"/>
        <w:numPr>
          <w:ilvl w:val="0"/>
          <w:numId w:val="28"/>
        </w:numPr>
        <w:spacing w:after="0" w:line="276" w:lineRule="auto"/>
        <w:ind w:hanging="720"/>
      </w:pPr>
      <w:r w:rsidRPr="00301CC2">
        <w:rPr>
          <w:u w:val="single"/>
        </w:rPr>
        <w:t>Benefits</w:t>
      </w:r>
      <w:r>
        <w:t xml:space="preserve">—The rule would result in averted costs for Category 1 issues because those issues will no longer require </w:t>
      </w:r>
      <w:r w:rsidR="00A33413">
        <w:t>plant</w:t>
      </w:r>
      <w:r w:rsidR="00A33413">
        <w:noBreakHyphen/>
        <w:t>specific</w:t>
      </w:r>
      <w:r>
        <w:t xml:space="preserve"> evaluation.</w:t>
      </w:r>
    </w:p>
    <w:p w:rsidR="0078072B" w:rsidP="0078072B" w14:paraId="4C246BB3" w14:textId="77777777">
      <w:pPr>
        <w:pStyle w:val="text"/>
        <w:spacing w:after="0" w:line="276" w:lineRule="auto"/>
      </w:pPr>
    </w:p>
    <w:p w:rsidR="0078072B" w:rsidRPr="009D53AF" w:rsidP="0078072B" w14:paraId="2C4486D9" w14:textId="4B4EF54E">
      <w:pPr>
        <w:pStyle w:val="text"/>
        <w:spacing w:line="276" w:lineRule="auto"/>
      </w:pPr>
      <w:r w:rsidRPr="00A46919">
        <w:rPr>
          <w:i/>
          <w:iCs/>
        </w:rPr>
        <w:t>Near-</w:t>
      </w:r>
      <w:r>
        <w:rPr>
          <w:i/>
          <w:iCs/>
        </w:rPr>
        <w:t>T</w:t>
      </w:r>
      <w:r w:rsidRPr="00A46919">
        <w:rPr>
          <w:i/>
          <w:iCs/>
        </w:rPr>
        <w:t>erm</w:t>
      </w:r>
      <w:r w:rsidR="00673F96">
        <w:rPr>
          <w:i/>
          <w:iCs/>
        </w:rPr>
        <w:t xml:space="preserve"> and </w:t>
      </w:r>
      <w:r w:rsidRPr="00A46919">
        <w:rPr>
          <w:i/>
          <w:iCs/>
        </w:rPr>
        <w:t>Submitted</w:t>
      </w:r>
      <w:r w:rsidR="00673F96">
        <w:rPr>
          <w:i/>
          <w:iCs/>
        </w:rPr>
        <w:t xml:space="preserve"> Applications</w:t>
      </w:r>
      <w:r w:rsidRPr="00A46919">
        <w:rPr>
          <w:i/>
          <w:iCs/>
        </w:rPr>
        <w:t xml:space="preserve">, </w:t>
      </w:r>
      <w:r>
        <w:rPr>
          <w:i/>
          <w:iCs/>
        </w:rPr>
        <w:t>and</w:t>
      </w:r>
      <w:r w:rsidRPr="00A46919">
        <w:rPr>
          <w:i/>
          <w:iCs/>
        </w:rPr>
        <w:t xml:space="preserve"> </w:t>
      </w:r>
      <w:r w:rsidR="00673F96">
        <w:rPr>
          <w:i/>
          <w:iCs/>
        </w:rPr>
        <w:t>Issued</w:t>
      </w:r>
      <w:r w:rsidRPr="00A46919">
        <w:rPr>
          <w:i/>
          <w:iCs/>
        </w:rPr>
        <w:t xml:space="preserve"> Subsequent</w:t>
      </w:r>
      <w:r>
        <w:rPr>
          <w:i/>
          <w:iCs/>
        </w:rPr>
        <w:t>ly</w:t>
      </w:r>
      <w:r w:rsidRPr="00A46919">
        <w:rPr>
          <w:i/>
          <w:iCs/>
        </w:rPr>
        <w:t xml:space="preserve"> </w:t>
      </w:r>
      <w:r>
        <w:rPr>
          <w:i/>
          <w:iCs/>
        </w:rPr>
        <w:t xml:space="preserve">Renewed </w:t>
      </w:r>
      <w:r w:rsidRPr="00A46919">
        <w:rPr>
          <w:i/>
          <w:iCs/>
        </w:rPr>
        <w:t>License</w:t>
      </w:r>
      <w:r>
        <w:rPr>
          <w:i/>
          <w:iCs/>
        </w:rPr>
        <w:t>s:</w:t>
      </w:r>
      <w:r>
        <w:rPr>
          <w:i/>
        </w:rPr>
        <w:t xml:space="preserve"> </w:t>
      </w:r>
      <w:r w:rsidRPr="00701F09">
        <w:t xml:space="preserve">This group of licensees </w:t>
      </w:r>
      <w:r>
        <w:t>is</w:t>
      </w:r>
      <w:r w:rsidRPr="00701F09">
        <w:t xml:space="preserve"> expected to submit SLR applications </w:t>
      </w:r>
      <w:r>
        <w:t>before</w:t>
      </w:r>
      <w:r w:rsidRPr="00701F09">
        <w:t xml:space="preserve"> 2025. </w:t>
      </w:r>
      <w:r>
        <w:t>N</w:t>
      </w:r>
      <w:r w:rsidRPr="056BDFE2">
        <w:t>ear</w:t>
      </w:r>
      <w:r>
        <w:rPr>
          <w:szCs w:val="22"/>
        </w:rPr>
        <w:noBreakHyphen/>
      </w:r>
      <w:r w:rsidRPr="056BDFE2">
        <w:t xml:space="preserve">term SLR applicants may choose from two options: evaluate all environmental impacts as </w:t>
      </w:r>
      <w:r w:rsidR="00A33413">
        <w:t>plant</w:t>
      </w:r>
      <w:r w:rsidR="00A33413">
        <w:noBreakHyphen/>
        <w:t>specific</w:t>
      </w:r>
      <w:r w:rsidRPr="056BDFE2">
        <w:t xml:space="preserve"> or rely on the current Table B</w:t>
      </w:r>
      <w:r>
        <w:rPr>
          <w:szCs w:val="22"/>
        </w:rPr>
        <w:noBreakHyphen/>
      </w:r>
      <w:r w:rsidRPr="056BDFE2">
        <w:t xml:space="preserve">1 findings when developing their environmental report. This analysis assumes that, at their own risk, </w:t>
      </w:r>
      <w:r w:rsidRPr="00701F09">
        <w:t>licensees seeking a near</w:t>
      </w:r>
      <w:r w:rsidR="000379D4">
        <w:t>-</w:t>
      </w:r>
      <w:r w:rsidRPr="00701F09">
        <w:t>term SLR would rely on the current Table B-1 findings when determining the scope and magnitude of environmental impacts of their subsequent license</w:t>
      </w:r>
      <w:r>
        <w:t>, pending completion of the final rule</w:t>
      </w:r>
      <w:r w:rsidRPr="00701F09">
        <w:t>.</w:t>
      </w:r>
      <w:r>
        <w:rPr>
          <w:rStyle w:val="FootnoteReference"/>
          <w:vertAlign w:val="superscript"/>
        </w:rPr>
        <w:footnoteReference w:id="12"/>
      </w:r>
      <w:r w:rsidRPr="0016209F">
        <w:t xml:space="preserve"> </w:t>
      </w:r>
      <w:r>
        <w:t>Th</w:t>
      </w:r>
      <w:r w:rsidRPr="00701F09">
        <w:t xml:space="preserve">is assumption </w:t>
      </w:r>
      <w:r>
        <w:t>results in cost reductions of</w:t>
      </w:r>
      <w:r w:rsidRPr="00701F09">
        <w:t xml:space="preserve"> approximately 40</w:t>
      </w:r>
      <w:r>
        <w:t> </w:t>
      </w:r>
      <w:r w:rsidRPr="00701F09">
        <w:t>percent. Once the rule becomes effective, n</w:t>
      </w:r>
      <w:r>
        <w:t>ew Category</w:t>
      </w:r>
      <w:r w:rsidR="00C914CE">
        <w:noBreakHyphen/>
      </w:r>
      <w:r>
        <w:t>1 and 2 issues, and changes from Category 1 to Category 2, including consolidations, would apply to this group of license renewal applicants. Th</w:t>
      </w:r>
      <w:r w:rsidR="00652F44">
        <w:t>erefore, th</w:t>
      </w:r>
      <w:r>
        <w:t xml:space="preserve">is group of licensees </w:t>
      </w:r>
      <w:r w:rsidRPr="001D0BCA">
        <w:t xml:space="preserve">will need to provide the NRC with additional environmental information as a result of the </w:t>
      </w:r>
      <w:r>
        <w:t xml:space="preserve">changes introduced by the </w:t>
      </w:r>
      <w:r w:rsidRPr="001D0BCA">
        <w:t>rule. The NRC can acquire this information</w:t>
      </w:r>
      <w:r>
        <w:t xml:space="preserve"> in multiple ways</w:t>
      </w:r>
      <w:r w:rsidRPr="001D0BCA">
        <w:t xml:space="preserve"> (e.g.,</w:t>
      </w:r>
      <w:r>
        <w:t xml:space="preserve"> the NRC can send </w:t>
      </w:r>
      <w:r w:rsidRPr="001D0BCA">
        <w:t>requests for additional information</w:t>
      </w:r>
      <w:r>
        <w:t xml:space="preserve"> or requests for confirmatory information, or licensees can reevaluate and resubmit their application</w:t>
      </w:r>
      <w:r w:rsidR="00A33413">
        <w:t>s</w:t>
      </w:r>
      <w:r w:rsidRPr="001D0BCA">
        <w:t xml:space="preserve">). </w:t>
      </w:r>
      <w:r>
        <w:t xml:space="preserve">This analysis </w:t>
      </w:r>
      <w:r w:rsidR="003C4E81">
        <w:t>recognizes</w:t>
      </w:r>
      <w:r w:rsidR="00832CC9">
        <w:t xml:space="preserve"> </w:t>
      </w:r>
      <w:r>
        <w:t>that the licensee would reevaluate its application against the changes to Table B</w:t>
      </w:r>
      <w:r>
        <w:noBreakHyphen/>
        <w:t>1 and resubmit the application to the NRC.</w:t>
      </w:r>
    </w:p>
    <w:p w:rsidR="0078072B" w:rsidRPr="008205F5" w:rsidP="0078072B" w14:paraId="5BF5FDFC" w14:textId="2F2583C2">
      <w:pPr>
        <w:pStyle w:val="text"/>
        <w:numPr>
          <w:ilvl w:val="0"/>
          <w:numId w:val="29"/>
        </w:numPr>
        <w:spacing w:line="276" w:lineRule="auto"/>
        <w:ind w:left="720" w:hanging="720"/>
        <w:rPr>
          <w:i/>
          <w:iCs/>
        </w:rPr>
      </w:pPr>
      <w:r w:rsidRPr="006033F5">
        <w:rPr>
          <w:u w:val="single"/>
        </w:rPr>
        <w:t>Costs</w:t>
      </w:r>
      <w:r>
        <w:t xml:space="preserve">—The rule would result in additional costs associated with new Category 2 issues </w:t>
      </w:r>
      <w:r w:rsidR="00A738A3">
        <w:t xml:space="preserve">and </w:t>
      </w:r>
      <w:r>
        <w:t xml:space="preserve">subdividing an existing Category 2 issue, as well as Category 1 issues that are changed to Category 2 issues, including consolidations, because these issues would </w:t>
      </w:r>
      <w:r>
        <w:t xml:space="preserve">require </w:t>
      </w:r>
      <w:r w:rsidR="007D4418">
        <w:t>plant-</w:t>
      </w:r>
      <w:r w:rsidRPr="00261D12" w:rsidR="007D4418">
        <w:t>specific</w:t>
      </w:r>
      <w:r w:rsidRPr="00261D12">
        <w:t xml:space="preserve"> evaluation</w:t>
      </w:r>
      <w:r>
        <w:t>. A</w:t>
      </w:r>
      <w:r w:rsidRPr="00261D12">
        <w:t>dditional costs associated with new Category 1 issues to research new and significant information</w:t>
      </w:r>
      <w:r>
        <w:t xml:space="preserve"> would be incurred</w:t>
      </w:r>
      <w:r w:rsidRPr="00261D12">
        <w:t>.</w:t>
      </w:r>
      <w:r>
        <w:t xml:space="preserve"> The licensee would have 1 year to comply, resulting in costs incurred in 2025.</w:t>
      </w:r>
    </w:p>
    <w:p w:rsidR="0078072B" w:rsidRPr="00E22CBD" w:rsidP="0078072B" w14:paraId="071D8D82" w14:textId="3C561618">
      <w:pPr>
        <w:pStyle w:val="text"/>
        <w:numPr>
          <w:ilvl w:val="0"/>
          <w:numId w:val="29"/>
        </w:numPr>
        <w:spacing w:line="276" w:lineRule="auto"/>
        <w:ind w:left="720" w:hanging="720"/>
        <w:rPr>
          <w:i/>
          <w:iCs/>
        </w:rPr>
      </w:pPr>
      <w:r w:rsidRPr="00301CC2">
        <w:rPr>
          <w:u w:val="single"/>
        </w:rPr>
        <w:t>Benefits</w:t>
      </w:r>
      <w:r>
        <w:rPr>
          <w:szCs w:val="22"/>
        </w:rPr>
        <w:t>—</w:t>
      </w:r>
      <w:r w:rsidRPr="00B55E39">
        <w:t xml:space="preserve">The rule would </w:t>
      </w:r>
      <w:r>
        <w:t>address the gap in applicability for SLR</w:t>
      </w:r>
      <w:r w:rsidR="00FD589D">
        <w:t>.</w:t>
      </w:r>
    </w:p>
    <w:p w:rsidR="0078072B" w:rsidP="0078072B" w14:paraId="13CA695B" w14:textId="22381768">
      <w:pPr>
        <w:rPr>
          <w:rFonts w:eastAsia="Times New Roman"/>
        </w:rPr>
      </w:pPr>
      <w:r>
        <w:rPr>
          <w:rFonts w:eastAsia="Times New Roman"/>
        </w:rPr>
        <w:fldChar w:fldCharType="begin"/>
      </w:r>
      <w:r>
        <w:rPr>
          <w:rFonts w:eastAsia="Times New Roman"/>
        </w:rPr>
        <w:instrText xml:space="preserve"> REF _Ref108429081 \h </w:instrText>
      </w:r>
      <w:r>
        <w:rPr>
          <w:rFonts w:eastAsia="Times New Roman"/>
        </w:rPr>
        <w:fldChar w:fldCharType="separate"/>
      </w:r>
      <w:r>
        <w:t>Table </w:t>
      </w:r>
      <w:r>
        <w:rPr>
          <w:noProof/>
        </w:rPr>
        <w:t>5</w:t>
      </w:r>
      <w:r>
        <w:rPr>
          <w:rFonts w:eastAsia="Times New Roman"/>
        </w:rPr>
        <w:fldChar w:fldCharType="end"/>
      </w:r>
      <w:r w:rsidRPr="00641636">
        <w:rPr>
          <w:rFonts w:eastAsia="Times New Roman"/>
        </w:rPr>
        <w:t xml:space="preserve"> </w:t>
      </w:r>
      <w:r w:rsidR="007C27BC">
        <w:rPr>
          <w:rFonts w:eastAsia="Times New Roman"/>
        </w:rPr>
        <w:t>summarizes</w:t>
      </w:r>
      <w:r w:rsidRPr="00641636">
        <w:rPr>
          <w:rFonts w:eastAsia="Times New Roman"/>
        </w:rPr>
        <w:t xml:space="preserve"> of the cost</w:t>
      </w:r>
      <w:r>
        <w:rPr>
          <w:rFonts w:eastAsia="Times New Roman"/>
        </w:rPr>
        <w:t>s and benefits to license renewal applicants as a result</w:t>
      </w:r>
      <w:r w:rsidRPr="00641636">
        <w:rPr>
          <w:rFonts w:eastAsia="Times New Roman"/>
        </w:rPr>
        <w:t xml:space="preserve"> of the </w:t>
      </w:r>
      <w:r w:rsidR="00A427EF">
        <w:rPr>
          <w:rFonts w:eastAsia="Times New Roman"/>
        </w:rPr>
        <w:t>revised</w:t>
      </w:r>
      <w:r w:rsidRPr="00641636">
        <w:rPr>
          <w:rFonts w:eastAsia="Times New Roman"/>
        </w:rPr>
        <w:t xml:space="preserve"> Table B</w:t>
      </w:r>
      <w:r>
        <w:rPr>
          <w:rFonts w:eastAsia="Times New Roman"/>
        </w:rPr>
        <w:noBreakHyphen/>
      </w:r>
      <w:r w:rsidRPr="00641636">
        <w:rPr>
          <w:rFonts w:eastAsia="Times New Roman"/>
        </w:rPr>
        <w:t>1</w:t>
      </w:r>
      <w:r w:rsidRPr="00D83F09">
        <w:rPr>
          <w:rFonts w:eastAsia="Times New Roman"/>
        </w:rPr>
        <w:t>.</w:t>
      </w:r>
    </w:p>
    <w:p w:rsidR="0078072B" w:rsidP="0078072B" w14:paraId="57387337" w14:textId="77777777">
      <w:pPr>
        <w:rPr>
          <w:rFonts w:eastAsia="Times New Roman"/>
        </w:rPr>
      </w:pPr>
    </w:p>
    <w:p w:rsidR="00FE44B9" w:rsidP="00C87C8D" w14:paraId="04AC47CA" w14:textId="1C23FB6B">
      <w:pPr>
        <w:pStyle w:val="Caption"/>
        <w:jc w:val="center"/>
      </w:pPr>
      <w:r w:rsidRPr="00C87C8D">
        <w:rPr>
          <w:b/>
          <w:bCs w:val="0"/>
        </w:rPr>
        <w:t xml:space="preserve">Table </w:t>
      </w:r>
      <w:r w:rsidRPr="00C87C8D">
        <w:rPr>
          <w:b/>
          <w:bCs w:val="0"/>
        </w:rPr>
        <w:fldChar w:fldCharType="begin"/>
      </w:r>
      <w:r w:rsidRPr="00C87C8D">
        <w:rPr>
          <w:b/>
          <w:bCs w:val="0"/>
        </w:rPr>
        <w:instrText xml:space="preserve"> SEQ Table \* ARABIC </w:instrText>
      </w:r>
      <w:r w:rsidRPr="00C87C8D">
        <w:rPr>
          <w:b/>
          <w:bCs w:val="0"/>
        </w:rPr>
        <w:fldChar w:fldCharType="separate"/>
      </w:r>
      <w:r w:rsidR="00BE3FBC">
        <w:rPr>
          <w:b/>
          <w:bCs w:val="0"/>
          <w:noProof/>
        </w:rPr>
        <w:t>5</w:t>
      </w:r>
      <w:r w:rsidRPr="00C87C8D">
        <w:rPr>
          <w:b/>
          <w:bCs w:val="0"/>
        </w:rPr>
        <w:fldChar w:fldCharType="end"/>
      </w:r>
      <w:bookmarkStart w:id="40" w:name="_Toc147923420"/>
      <w:r w:rsidRPr="00C87C8D">
        <w:rPr>
          <w:b/>
          <w:bCs w:val="0"/>
        </w:rPr>
        <w:t xml:space="preserve">  Industry Operation Costs</w:t>
      </w:r>
      <w:bookmarkEnd w:id="40"/>
    </w:p>
    <w:tbl>
      <w:tblPr>
        <w:tblW w:w="9715" w:type="dxa"/>
        <w:tblLayout w:type="fixed"/>
        <w:tblLook w:val="04A0"/>
      </w:tblPr>
      <w:tblGrid>
        <w:gridCol w:w="1217"/>
        <w:gridCol w:w="3716"/>
        <w:gridCol w:w="1722"/>
        <w:gridCol w:w="1530"/>
        <w:gridCol w:w="1530"/>
      </w:tblGrid>
      <w:tr w14:paraId="50F2CD3D" w14:textId="77777777" w:rsidTr="00C87C8D">
        <w:tblPrEx>
          <w:tblW w:w="9715" w:type="dxa"/>
          <w:tblLayout w:type="fixed"/>
          <w:tblLook w:val="04A0"/>
        </w:tblPrEx>
        <w:trPr>
          <w:trHeight w:val="280"/>
        </w:trPr>
        <w:tc>
          <w:tcPr>
            <w:tcW w:w="12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30C0" w:rsidRPr="00C87C8D" w:rsidP="007130C0" w14:paraId="7068543D"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Year</w:t>
            </w:r>
          </w:p>
        </w:tc>
        <w:tc>
          <w:tcPr>
            <w:tcW w:w="3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30C0" w:rsidRPr="00C87C8D" w:rsidP="007130C0" w14:paraId="6D74987A"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Applicant Group</w:t>
            </w:r>
          </w:p>
        </w:tc>
        <w:tc>
          <w:tcPr>
            <w:tcW w:w="4782" w:type="dxa"/>
            <w:gridSpan w:val="3"/>
            <w:tcBorders>
              <w:top w:val="single" w:sz="4" w:space="0" w:color="auto"/>
              <w:left w:val="nil"/>
              <w:bottom w:val="single" w:sz="4" w:space="0" w:color="auto"/>
              <w:right w:val="single" w:sz="4" w:space="0" w:color="auto"/>
            </w:tcBorders>
            <w:shd w:val="clear" w:color="auto" w:fill="auto"/>
            <w:noWrap/>
            <w:vAlign w:val="bottom"/>
            <w:hideMark/>
          </w:tcPr>
          <w:p w:rsidR="007130C0" w:rsidRPr="00C87C8D" w:rsidP="007130C0" w14:paraId="2D0A64F3"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Total (2023 dollars)</w:t>
            </w:r>
          </w:p>
        </w:tc>
      </w:tr>
      <w:tr w14:paraId="760D5BD9" w14:textId="77777777" w:rsidTr="00C87C8D">
        <w:tblPrEx>
          <w:tblW w:w="9715" w:type="dxa"/>
          <w:tblLayout w:type="fixed"/>
          <w:tblLook w:val="04A0"/>
        </w:tblPrEx>
        <w:trPr>
          <w:trHeight w:val="280"/>
        </w:trPr>
        <w:tc>
          <w:tcPr>
            <w:tcW w:w="1217" w:type="dxa"/>
            <w:vMerge/>
            <w:tcBorders>
              <w:top w:val="single" w:sz="4" w:space="0" w:color="auto"/>
              <w:left w:val="single" w:sz="4" w:space="0" w:color="auto"/>
              <w:bottom w:val="single" w:sz="4" w:space="0" w:color="auto"/>
              <w:right w:val="single" w:sz="4" w:space="0" w:color="auto"/>
            </w:tcBorders>
            <w:vAlign w:val="center"/>
            <w:hideMark/>
          </w:tcPr>
          <w:p w:rsidR="007130C0" w:rsidRPr="000D3264" w:rsidP="007130C0" w14:paraId="70BB0C30" w14:textId="77777777">
            <w:pPr>
              <w:autoSpaceDE/>
              <w:autoSpaceDN/>
              <w:adjustRightInd/>
              <w:spacing w:line="240" w:lineRule="auto"/>
              <w:rPr>
                <w:rFonts w:eastAsia="Times New Roman"/>
                <w:b/>
                <w:bCs/>
                <w:color w:val="000000"/>
                <w:sz w:val="20"/>
                <w:szCs w:val="20"/>
              </w:rPr>
            </w:pPr>
          </w:p>
        </w:tc>
        <w:tc>
          <w:tcPr>
            <w:tcW w:w="3716" w:type="dxa"/>
            <w:vMerge/>
            <w:tcBorders>
              <w:top w:val="single" w:sz="4" w:space="0" w:color="auto"/>
              <w:left w:val="single" w:sz="4" w:space="0" w:color="auto"/>
              <w:bottom w:val="single" w:sz="4" w:space="0" w:color="auto"/>
              <w:right w:val="single" w:sz="4" w:space="0" w:color="auto"/>
            </w:tcBorders>
            <w:vAlign w:val="center"/>
            <w:hideMark/>
          </w:tcPr>
          <w:p w:rsidR="007130C0" w:rsidRPr="000D3264" w:rsidP="007130C0" w14:paraId="52CF8D7E" w14:textId="77777777">
            <w:pPr>
              <w:autoSpaceDE/>
              <w:autoSpaceDN/>
              <w:adjustRightInd/>
              <w:spacing w:line="240" w:lineRule="auto"/>
              <w:rPr>
                <w:rFonts w:eastAsia="Times New Roman"/>
                <w:b/>
                <w:bCs/>
                <w:color w:val="000000"/>
                <w:sz w:val="20"/>
                <w:szCs w:val="20"/>
              </w:rPr>
            </w:pPr>
          </w:p>
        </w:tc>
        <w:tc>
          <w:tcPr>
            <w:tcW w:w="1722" w:type="dxa"/>
            <w:tcBorders>
              <w:top w:val="nil"/>
              <w:left w:val="nil"/>
              <w:bottom w:val="single" w:sz="4" w:space="0" w:color="auto"/>
              <w:right w:val="single" w:sz="4" w:space="0" w:color="auto"/>
            </w:tcBorders>
            <w:shd w:val="clear" w:color="auto" w:fill="auto"/>
            <w:noWrap/>
            <w:vAlign w:val="bottom"/>
            <w:hideMark/>
          </w:tcPr>
          <w:p w:rsidR="007130C0" w:rsidRPr="000D3264" w:rsidP="007130C0" w14:paraId="7F73F582" w14:textId="77777777">
            <w:pPr>
              <w:autoSpaceDE/>
              <w:autoSpaceDN/>
              <w:adjustRightInd/>
              <w:spacing w:line="240" w:lineRule="auto"/>
              <w:jc w:val="center"/>
              <w:rPr>
                <w:rFonts w:eastAsia="Times New Roman"/>
                <w:b/>
                <w:bCs/>
                <w:color w:val="000000"/>
                <w:sz w:val="20"/>
                <w:szCs w:val="20"/>
              </w:rPr>
            </w:pPr>
            <w:r w:rsidRPr="000D3264">
              <w:rPr>
                <w:rFonts w:eastAsia="Times New Roman"/>
                <w:b/>
                <w:bCs/>
                <w:color w:val="000000"/>
                <w:sz w:val="20"/>
                <w:szCs w:val="20"/>
              </w:rPr>
              <w:t>Undiscounted</w:t>
            </w:r>
          </w:p>
        </w:tc>
        <w:tc>
          <w:tcPr>
            <w:tcW w:w="1530" w:type="dxa"/>
            <w:tcBorders>
              <w:top w:val="nil"/>
              <w:left w:val="nil"/>
              <w:bottom w:val="single" w:sz="4" w:space="0" w:color="auto"/>
              <w:right w:val="single" w:sz="4" w:space="0" w:color="auto"/>
            </w:tcBorders>
            <w:shd w:val="clear" w:color="auto" w:fill="auto"/>
            <w:noWrap/>
            <w:vAlign w:val="bottom"/>
            <w:hideMark/>
          </w:tcPr>
          <w:p w:rsidR="007130C0" w:rsidRPr="000D3264" w:rsidP="007130C0" w14:paraId="1E9E7B28" w14:textId="77777777">
            <w:pPr>
              <w:autoSpaceDE/>
              <w:autoSpaceDN/>
              <w:adjustRightInd/>
              <w:spacing w:line="240" w:lineRule="auto"/>
              <w:jc w:val="center"/>
              <w:rPr>
                <w:rFonts w:eastAsia="Times New Roman"/>
                <w:b/>
                <w:bCs/>
                <w:color w:val="000000"/>
                <w:sz w:val="20"/>
                <w:szCs w:val="20"/>
              </w:rPr>
            </w:pPr>
            <w:r w:rsidRPr="000D3264">
              <w:rPr>
                <w:rFonts w:eastAsia="Times New Roman"/>
                <w:b/>
                <w:bCs/>
                <w:color w:val="000000"/>
                <w:sz w:val="20"/>
                <w:szCs w:val="20"/>
              </w:rPr>
              <w:t>7% NPV</w:t>
            </w:r>
          </w:p>
        </w:tc>
        <w:tc>
          <w:tcPr>
            <w:tcW w:w="1530" w:type="dxa"/>
            <w:tcBorders>
              <w:top w:val="nil"/>
              <w:left w:val="nil"/>
              <w:bottom w:val="single" w:sz="4" w:space="0" w:color="auto"/>
              <w:right w:val="single" w:sz="4" w:space="0" w:color="auto"/>
            </w:tcBorders>
            <w:shd w:val="clear" w:color="auto" w:fill="auto"/>
            <w:noWrap/>
            <w:vAlign w:val="bottom"/>
            <w:hideMark/>
          </w:tcPr>
          <w:p w:rsidR="007130C0" w:rsidRPr="000D3264" w:rsidP="007130C0" w14:paraId="40E77BFB" w14:textId="77777777">
            <w:pPr>
              <w:autoSpaceDE/>
              <w:autoSpaceDN/>
              <w:adjustRightInd/>
              <w:spacing w:line="240" w:lineRule="auto"/>
              <w:jc w:val="center"/>
              <w:rPr>
                <w:rFonts w:eastAsia="Times New Roman"/>
                <w:b/>
                <w:bCs/>
                <w:color w:val="000000"/>
                <w:sz w:val="20"/>
                <w:szCs w:val="20"/>
              </w:rPr>
            </w:pPr>
            <w:r w:rsidRPr="000D3264">
              <w:rPr>
                <w:rFonts w:eastAsia="Times New Roman"/>
                <w:b/>
                <w:bCs/>
                <w:color w:val="000000"/>
                <w:sz w:val="20"/>
                <w:szCs w:val="20"/>
              </w:rPr>
              <w:t>3% NPV</w:t>
            </w:r>
          </w:p>
        </w:tc>
      </w:tr>
      <w:tr w14:paraId="2D729B65" w14:textId="77777777" w:rsidTr="00C87C8D">
        <w:tblPrEx>
          <w:tblW w:w="9715" w:type="dxa"/>
          <w:tblLayout w:type="fixed"/>
          <w:tblLook w:val="04A0"/>
        </w:tblPrEx>
        <w:trPr>
          <w:trHeight w:val="290"/>
        </w:trPr>
        <w:tc>
          <w:tcPr>
            <w:tcW w:w="12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30C0" w:rsidRPr="00C87C8D" w:rsidP="007130C0" w14:paraId="1BA11A16"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2025-2035</w:t>
            </w:r>
          </w:p>
        </w:tc>
        <w:tc>
          <w:tcPr>
            <w:tcW w:w="849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130C0" w:rsidRPr="00C87C8D" w:rsidP="007130C0" w14:paraId="0E7279A3" w14:textId="77777777">
            <w:pPr>
              <w:autoSpaceDE/>
              <w:autoSpaceDN/>
              <w:adjustRightInd/>
              <w:spacing w:line="240" w:lineRule="auto"/>
              <w:rPr>
                <w:rFonts w:eastAsia="Times New Roman"/>
                <w:color w:val="000000"/>
                <w:sz w:val="20"/>
                <w:szCs w:val="20"/>
              </w:rPr>
            </w:pPr>
            <w:r w:rsidRPr="00C87C8D">
              <w:rPr>
                <w:rFonts w:eastAsia="Times New Roman"/>
                <w:color w:val="000000"/>
                <w:sz w:val="20"/>
                <w:szCs w:val="20"/>
              </w:rPr>
              <w:t>Initial LR</w:t>
            </w:r>
          </w:p>
        </w:tc>
      </w:tr>
      <w:tr w14:paraId="777A8EA0" w14:textId="77777777" w:rsidTr="00C87C8D">
        <w:tblPrEx>
          <w:tblW w:w="9715" w:type="dxa"/>
          <w:tblLayout w:type="fixed"/>
          <w:tblLook w:val="04A0"/>
        </w:tblPrEx>
        <w:trPr>
          <w:trHeight w:val="280"/>
        </w:trPr>
        <w:tc>
          <w:tcPr>
            <w:tcW w:w="1217" w:type="dxa"/>
            <w:vMerge/>
            <w:tcBorders>
              <w:top w:val="nil"/>
              <w:left w:val="single" w:sz="4" w:space="0" w:color="auto"/>
              <w:bottom w:val="single" w:sz="4" w:space="0" w:color="auto"/>
              <w:right w:val="single" w:sz="4" w:space="0" w:color="auto"/>
            </w:tcBorders>
            <w:vAlign w:val="center"/>
            <w:hideMark/>
          </w:tcPr>
          <w:p w:rsidR="007130C0" w:rsidRPr="000D3264" w:rsidP="007130C0" w14:paraId="1FF8522D" w14:textId="77777777">
            <w:pPr>
              <w:autoSpaceDE/>
              <w:autoSpaceDN/>
              <w:adjustRightInd/>
              <w:spacing w:line="240" w:lineRule="auto"/>
              <w:rPr>
                <w:rFonts w:eastAsia="Times New Roman"/>
                <w:color w:val="000000"/>
                <w:sz w:val="20"/>
                <w:szCs w:val="20"/>
              </w:rPr>
            </w:pPr>
          </w:p>
        </w:tc>
        <w:tc>
          <w:tcPr>
            <w:tcW w:w="3716" w:type="dxa"/>
            <w:tcBorders>
              <w:top w:val="nil"/>
              <w:left w:val="nil"/>
              <w:bottom w:val="single" w:sz="4" w:space="0" w:color="auto"/>
              <w:right w:val="single" w:sz="4" w:space="0" w:color="auto"/>
            </w:tcBorders>
            <w:shd w:val="clear" w:color="auto" w:fill="auto"/>
            <w:noWrap/>
            <w:vAlign w:val="bottom"/>
            <w:hideMark/>
          </w:tcPr>
          <w:p w:rsidR="007130C0" w:rsidRPr="000D3264" w:rsidP="007130C0" w14:paraId="1475590C" w14:textId="77777777">
            <w:pPr>
              <w:autoSpaceDE/>
              <w:autoSpaceDN/>
              <w:adjustRightInd/>
              <w:spacing w:line="240" w:lineRule="auto"/>
              <w:ind w:firstLine="200" w:firstLineChars="100"/>
              <w:rPr>
                <w:rFonts w:eastAsia="Times New Roman"/>
                <w:color w:val="000000"/>
                <w:sz w:val="20"/>
                <w:szCs w:val="20"/>
              </w:rPr>
            </w:pPr>
            <w:r w:rsidRPr="000D3264">
              <w:rPr>
                <w:rFonts w:eastAsia="Times New Roman"/>
                <w:color w:val="000000"/>
                <w:sz w:val="20"/>
                <w:szCs w:val="20"/>
              </w:rPr>
              <w:t>Costs</w:t>
            </w:r>
          </w:p>
        </w:tc>
        <w:tc>
          <w:tcPr>
            <w:tcW w:w="1722"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74E5ECE2"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($129,000)</w:t>
            </w:r>
          </w:p>
        </w:tc>
        <w:tc>
          <w:tcPr>
            <w:tcW w:w="1530"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33BD9DE7"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($57,000)</w:t>
            </w:r>
          </w:p>
        </w:tc>
        <w:tc>
          <w:tcPr>
            <w:tcW w:w="1530"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0C5F6DE1"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($91,000)</w:t>
            </w:r>
          </w:p>
        </w:tc>
      </w:tr>
      <w:tr w14:paraId="2C223D40" w14:textId="77777777" w:rsidTr="00C87C8D">
        <w:tblPrEx>
          <w:tblW w:w="9715" w:type="dxa"/>
          <w:tblLayout w:type="fixed"/>
          <w:tblLook w:val="04A0"/>
        </w:tblPrEx>
        <w:trPr>
          <w:trHeight w:val="280"/>
        </w:trPr>
        <w:tc>
          <w:tcPr>
            <w:tcW w:w="1217" w:type="dxa"/>
            <w:vMerge/>
            <w:tcBorders>
              <w:top w:val="nil"/>
              <w:left w:val="single" w:sz="4" w:space="0" w:color="auto"/>
              <w:bottom w:val="single" w:sz="4" w:space="0" w:color="auto"/>
              <w:right w:val="single" w:sz="4" w:space="0" w:color="auto"/>
            </w:tcBorders>
            <w:vAlign w:val="center"/>
            <w:hideMark/>
          </w:tcPr>
          <w:p w:rsidR="007130C0" w:rsidRPr="000D3264" w:rsidP="007130C0" w14:paraId="5C4DA2BF" w14:textId="77777777">
            <w:pPr>
              <w:autoSpaceDE/>
              <w:autoSpaceDN/>
              <w:adjustRightInd/>
              <w:spacing w:line="240" w:lineRule="auto"/>
              <w:rPr>
                <w:rFonts w:eastAsia="Times New Roman"/>
                <w:color w:val="000000"/>
                <w:sz w:val="20"/>
                <w:szCs w:val="20"/>
              </w:rPr>
            </w:pPr>
          </w:p>
        </w:tc>
        <w:tc>
          <w:tcPr>
            <w:tcW w:w="3716" w:type="dxa"/>
            <w:tcBorders>
              <w:top w:val="nil"/>
              <w:left w:val="nil"/>
              <w:bottom w:val="single" w:sz="4" w:space="0" w:color="auto"/>
              <w:right w:val="single" w:sz="4" w:space="0" w:color="auto"/>
            </w:tcBorders>
            <w:shd w:val="clear" w:color="auto" w:fill="auto"/>
            <w:noWrap/>
            <w:vAlign w:val="bottom"/>
            <w:hideMark/>
          </w:tcPr>
          <w:p w:rsidR="007130C0" w:rsidRPr="000D3264" w:rsidP="007130C0" w14:paraId="29695C4B" w14:textId="77777777">
            <w:pPr>
              <w:autoSpaceDE/>
              <w:autoSpaceDN/>
              <w:adjustRightInd/>
              <w:spacing w:line="240" w:lineRule="auto"/>
              <w:ind w:firstLine="200" w:firstLineChars="100"/>
              <w:rPr>
                <w:rFonts w:eastAsia="Times New Roman"/>
                <w:color w:val="000000"/>
                <w:sz w:val="20"/>
                <w:szCs w:val="20"/>
              </w:rPr>
            </w:pPr>
            <w:r w:rsidRPr="000D3264">
              <w:rPr>
                <w:rFonts w:eastAsia="Times New Roman"/>
                <w:color w:val="000000"/>
                <w:sz w:val="20"/>
                <w:szCs w:val="20"/>
              </w:rPr>
              <w:t>Benefits</w:t>
            </w:r>
          </w:p>
        </w:tc>
        <w:tc>
          <w:tcPr>
            <w:tcW w:w="1722"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4A067A18"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7586C42E"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4E211444"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r>
      <w:tr w14:paraId="1D8AE063" w14:textId="77777777" w:rsidTr="00C87C8D">
        <w:tblPrEx>
          <w:tblW w:w="9715" w:type="dxa"/>
          <w:tblLayout w:type="fixed"/>
          <w:tblLook w:val="04A0"/>
        </w:tblPrEx>
        <w:trPr>
          <w:trHeight w:val="290"/>
        </w:trPr>
        <w:tc>
          <w:tcPr>
            <w:tcW w:w="1217" w:type="dxa"/>
            <w:vMerge/>
            <w:tcBorders>
              <w:top w:val="nil"/>
              <w:left w:val="single" w:sz="4" w:space="0" w:color="auto"/>
              <w:bottom w:val="single" w:sz="4" w:space="0" w:color="auto"/>
              <w:right w:val="single" w:sz="4" w:space="0" w:color="auto"/>
            </w:tcBorders>
            <w:vAlign w:val="center"/>
            <w:hideMark/>
          </w:tcPr>
          <w:p w:rsidR="007130C0" w:rsidRPr="000D3264" w:rsidP="007130C0" w14:paraId="10C11941" w14:textId="77777777">
            <w:pPr>
              <w:autoSpaceDE/>
              <w:autoSpaceDN/>
              <w:adjustRightInd/>
              <w:spacing w:line="240" w:lineRule="auto"/>
              <w:rPr>
                <w:rFonts w:eastAsia="Times New Roman"/>
                <w:color w:val="000000"/>
                <w:sz w:val="20"/>
                <w:szCs w:val="20"/>
              </w:rPr>
            </w:pPr>
          </w:p>
        </w:tc>
        <w:tc>
          <w:tcPr>
            <w:tcW w:w="3716" w:type="dxa"/>
            <w:tcBorders>
              <w:top w:val="nil"/>
              <w:left w:val="nil"/>
              <w:bottom w:val="single" w:sz="4" w:space="0" w:color="auto"/>
              <w:right w:val="single" w:sz="4" w:space="0" w:color="auto"/>
            </w:tcBorders>
            <w:shd w:val="clear" w:color="auto" w:fill="auto"/>
            <w:noWrap/>
            <w:vAlign w:val="bottom"/>
            <w:hideMark/>
          </w:tcPr>
          <w:p w:rsidR="007130C0" w:rsidRPr="000D3264" w:rsidP="007130C0" w14:paraId="5AF2857D" w14:textId="77777777">
            <w:pPr>
              <w:autoSpaceDE/>
              <w:autoSpaceDN/>
              <w:adjustRightInd/>
              <w:spacing w:line="240" w:lineRule="auto"/>
              <w:ind w:firstLine="200" w:firstLineChars="100"/>
              <w:jc w:val="right"/>
              <w:rPr>
                <w:rFonts w:eastAsia="Times New Roman"/>
                <w:i/>
                <w:iCs/>
                <w:color w:val="000000"/>
                <w:sz w:val="20"/>
                <w:szCs w:val="20"/>
              </w:rPr>
            </w:pPr>
            <w:r w:rsidRPr="000D3264">
              <w:rPr>
                <w:rFonts w:eastAsia="Times New Roman"/>
                <w:i/>
                <w:iCs/>
                <w:color w:val="000000"/>
                <w:sz w:val="20"/>
                <w:szCs w:val="20"/>
              </w:rPr>
              <w:t>Initial LR Subtotal</w:t>
            </w:r>
          </w:p>
        </w:tc>
        <w:tc>
          <w:tcPr>
            <w:tcW w:w="1722"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24F7F310"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($129,000)</w:t>
            </w:r>
          </w:p>
        </w:tc>
        <w:tc>
          <w:tcPr>
            <w:tcW w:w="1530"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573480CE"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($57,000)</w:t>
            </w:r>
          </w:p>
        </w:tc>
        <w:tc>
          <w:tcPr>
            <w:tcW w:w="1530"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143E506E"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($91,000)</w:t>
            </w:r>
          </w:p>
        </w:tc>
      </w:tr>
      <w:tr w14:paraId="47333DF5" w14:textId="77777777" w:rsidTr="00C87C8D">
        <w:tblPrEx>
          <w:tblW w:w="9715" w:type="dxa"/>
          <w:tblLayout w:type="fixed"/>
          <w:tblLook w:val="04A0"/>
        </w:tblPrEx>
        <w:trPr>
          <w:trHeight w:val="290"/>
        </w:trPr>
        <w:tc>
          <w:tcPr>
            <w:tcW w:w="12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30C0" w:rsidRPr="00C87C8D" w:rsidP="007130C0" w14:paraId="61CAE50B"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2025-2035</w:t>
            </w:r>
          </w:p>
        </w:tc>
        <w:tc>
          <w:tcPr>
            <w:tcW w:w="849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130C0" w:rsidRPr="00C87C8D" w:rsidP="007130C0" w14:paraId="3FC1CF42" w14:textId="77777777">
            <w:pPr>
              <w:autoSpaceDE/>
              <w:autoSpaceDN/>
              <w:adjustRightInd/>
              <w:spacing w:line="240" w:lineRule="auto"/>
              <w:rPr>
                <w:rFonts w:eastAsia="Times New Roman"/>
                <w:color w:val="000000"/>
                <w:sz w:val="20"/>
                <w:szCs w:val="20"/>
              </w:rPr>
            </w:pPr>
            <w:r w:rsidRPr="00C87C8D">
              <w:rPr>
                <w:rFonts w:eastAsia="Times New Roman"/>
                <w:color w:val="000000"/>
                <w:sz w:val="20"/>
                <w:szCs w:val="20"/>
              </w:rPr>
              <w:t>Future SLR</w:t>
            </w:r>
          </w:p>
        </w:tc>
      </w:tr>
      <w:tr w14:paraId="0CD3AF6A" w14:textId="77777777" w:rsidTr="00C87C8D">
        <w:tblPrEx>
          <w:tblW w:w="9715" w:type="dxa"/>
          <w:tblLayout w:type="fixed"/>
          <w:tblLook w:val="04A0"/>
        </w:tblPrEx>
        <w:trPr>
          <w:trHeight w:val="310"/>
        </w:trPr>
        <w:tc>
          <w:tcPr>
            <w:tcW w:w="1217" w:type="dxa"/>
            <w:vMerge/>
            <w:tcBorders>
              <w:top w:val="nil"/>
              <w:left w:val="single" w:sz="4" w:space="0" w:color="auto"/>
              <w:bottom w:val="single" w:sz="4" w:space="0" w:color="auto"/>
              <w:right w:val="single" w:sz="4" w:space="0" w:color="auto"/>
            </w:tcBorders>
            <w:vAlign w:val="center"/>
            <w:hideMark/>
          </w:tcPr>
          <w:p w:rsidR="007130C0" w:rsidRPr="000D3264" w:rsidP="007130C0" w14:paraId="65CC5281" w14:textId="77777777">
            <w:pPr>
              <w:autoSpaceDE/>
              <w:autoSpaceDN/>
              <w:adjustRightInd/>
              <w:spacing w:line="240" w:lineRule="auto"/>
              <w:rPr>
                <w:rFonts w:eastAsia="Times New Roman"/>
                <w:color w:val="000000"/>
                <w:sz w:val="20"/>
                <w:szCs w:val="20"/>
              </w:rPr>
            </w:pPr>
          </w:p>
        </w:tc>
        <w:tc>
          <w:tcPr>
            <w:tcW w:w="3716" w:type="dxa"/>
            <w:tcBorders>
              <w:top w:val="nil"/>
              <w:left w:val="nil"/>
              <w:bottom w:val="single" w:sz="4" w:space="0" w:color="auto"/>
              <w:right w:val="single" w:sz="4" w:space="0" w:color="auto"/>
            </w:tcBorders>
            <w:shd w:val="clear" w:color="auto" w:fill="auto"/>
            <w:noWrap/>
            <w:vAlign w:val="bottom"/>
            <w:hideMark/>
          </w:tcPr>
          <w:p w:rsidR="007130C0" w:rsidRPr="000D3264" w:rsidP="007130C0" w14:paraId="6A86121A" w14:textId="77777777">
            <w:pPr>
              <w:autoSpaceDE/>
              <w:autoSpaceDN/>
              <w:adjustRightInd/>
              <w:spacing w:line="240" w:lineRule="auto"/>
              <w:ind w:firstLine="200" w:firstLineChars="100"/>
              <w:rPr>
                <w:rFonts w:eastAsia="Times New Roman"/>
                <w:color w:val="000000"/>
                <w:sz w:val="20"/>
                <w:szCs w:val="20"/>
              </w:rPr>
            </w:pPr>
            <w:r w:rsidRPr="000D3264">
              <w:rPr>
                <w:rFonts w:eastAsia="Times New Roman"/>
                <w:color w:val="000000"/>
                <w:sz w:val="20"/>
                <w:szCs w:val="20"/>
              </w:rPr>
              <w:t>Costs</w:t>
            </w:r>
          </w:p>
        </w:tc>
        <w:tc>
          <w:tcPr>
            <w:tcW w:w="1722"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34715739"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7B2BEF22"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5F81EBDA"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r>
      <w:tr w14:paraId="149B480D" w14:textId="77777777" w:rsidTr="00C87C8D">
        <w:tblPrEx>
          <w:tblW w:w="9715" w:type="dxa"/>
          <w:tblLayout w:type="fixed"/>
          <w:tblLook w:val="04A0"/>
        </w:tblPrEx>
        <w:trPr>
          <w:trHeight w:val="280"/>
        </w:trPr>
        <w:tc>
          <w:tcPr>
            <w:tcW w:w="1217" w:type="dxa"/>
            <w:vMerge/>
            <w:tcBorders>
              <w:top w:val="nil"/>
              <w:left w:val="single" w:sz="4" w:space="0" w:color="auto"/>
              <w:bottom w:val="single" w:sz="4" w:space="0" w:color="auto"/>
              <w:right w:val="single" w:sz="4" w:space="0" w:color="auto"/>
            </w:tcBorders>
            <w:vAlign w:val="center"/>
            <w:hideMark/>
          </w:tcPr>
          <w:p w:rsidR="007130C0" w:rsidRPr="000D3264" w:rsidP="007130C0" w14:paraId="7BCCDCCC" w14:textId="77777777">
            <w:pPr>
              <w:autoSpaceDE/>
              <w:autoSpaceDN/>
              <w:adjustRightInd/>
              <w:spacing w:line="240" w:lineRule="auto"/>
              <w:rPr>
                <w:rFonts w:eastAsia="Times New Roman"/>
                <w:color w:val="000000"/>
                <w:sz w:val="20"/>
                <w:szCs w:val="20"/>
              </w:rPr>
            </w:pPr>
          </w:p>
        </w:tc>
        <w:tc>
          <w:tcPr>
            <w:tcW w:w="3716" w:type="dxa"/>
            <w:tcBorders>
              <w:top w:val="nil"/>
              <w:left w:val="nil"/>
              <w:bottom w:val="single" w:sz="4" w:space="0" w:color="auto"/>
              <w:right w:val="single" w:sz="4" w:space="0" w:color="auto"/>
            </w:tcBorders>
            <w:shd w:val="clear" w:color="auto" w:fill="auto"/>
            <w:noWrap/>
            <w:vAlign w:val="bottom"/>
            <w:hideMark/>
          </w:tcPr>
          <w:p w:rsidR="007130C0" w:rsidRPr="000D3264" w:rsidP="007130C0" w14:paraId="7D3F7012" w14:textId="77777777">
            <w:pPr>
              <w:autoSpaceDE/>
              <w:autoSpaceDN/>
              <w:adjustRightInd/>
              <w:spacing w:line="240" w:lineRule="auto"/>
              <w:ind w:firstLine="200" w:firstLineChars="100"/>
              <w:rPr>
                <w:rFonts w:eastAsia="Times New Roman"/>
                <w:color w:val="000000"/>
                <w:sz w:val="20"/>
                <w:szCs w:val="20"/>
              </w:rPr>
            </w:pPr>
            <w:r w:rsidRPr="000D3264">
              <w:rPr>
                <w:rFonts w:eastAsia="Times New Roman"/>
                <w:color w:val="000000"/>
                <w:sz w:val="20"/>
                <w:szCs w:val="20"/>
              </w:rPr>
              <w:t>Benefits</w:t>
            </w:r>
          </w:p>
        </w:tc>
        <w:tc>
          <w:tcPr>
            <w:tcW w:w="1722"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05BB6D63"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$92,609,000</w:t>
            </w:r>
          </w:p>
        </w:tc>
        <w:tc>
          <w:tcPr>
            <w:tcW w:w="1530"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02601269"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$63,667,000</w:t>
            </w:r>
          </w:p>
        </w:tc>
        <w:tc>
          <w:tcPr>
            <w:tcW w:w="1530"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3AAEF666"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$77,917,000</w:t>
            </w:r>
          </w:p>
        </w:tc>
      </w:tr>
      <w:tr w14:paraId="6B371F3F" w14:textId="77777777" w:rsidTr="00C87C8D">
        <w:tblPrEx>
          <w:tblW w:w="9715" w:type="dxa"/>
          <w:tblLayout w:type="fixed"/>
          <w:tblLook w:val="04A0"/>
        </w:tblPrEx>
        <w:trPr>
          <w:trHeight w:val="290"/>
        </w:trPr>
        <w:tc>
          <w:tcPr>
            <w:tcW w:w="1217" w:type="dxa"/>
            <w:vMerge/>
            <w:tcBorders>
              <w:top w:val="nil"/>
              <w:left w:val="single" w:sz="4" w:space="0" w:color="auto"/>
              <w:bottom w:val="single" w:sz="4" w:space="0" w:color="auto"/>
              <w:right w:val="single" w:sz="4" w:space="0" w:color="auto"/>
            </w:tcBorders>
            <w:vAlign w:val="center"/>
            <w:hideMark/>
          </w:tcPr>
          <w:p w:rsidR="007130C0" w:rsidRPr="000D3264" w:rsidP="007130C0" w14:paraId="6A4E3B6A" w14:textId="77777777">
            <w:pPr>
              <w:autoSpaceDE/>
              <w:autoSpaceDN/>
              <w:adjustRightInd/>
              <w:spacing w:line="240" w:lineRule="auto"/>
              <w:rPr>
                <w:rFonts w:eastAsia="Times New Roman"/>
                <w:color w:val="000000"/>
                <w:sz w:val="20"/>
                <w:szCs w:val="20"/>
              </w:rPr>
            </w:pPr>
          </w:p>
        </w:tc>
        <w:tc>
          <w:tcPr>
            <w:tcW w:w="3716" w:type="dxa"/>
            <w:tcBorders>
              <w:top w:val="nil"/>
              <w:left w:val="nil"/>
              <w:bottom w:val="single" w:sz="4" w:space="0" w:color="auto"/>
              <w:right w:val="single" w:sz="4" w:space="0" w:color="auto"/>
            </w:tcBorders>
            <w:shd w:val="clear" w:color="auto" w:fill="auto"/>
            <w:noWrap/>
            <w:vAlign w:val="bottom"/>
            <w:hideMark/>
          </w:tcPr>
          <w:p w:rsidR="007130C0" w:rsidRPr="000D3264" w:rsidP="007130C0" w14:paraId="564A5348" w14:textId="77777777">
            <w:pPr>
              <w:autoSpaceDE/>
              <w:autoSpaceDN/>
              <w:adjustRightInd/>
              <w:spacing w:line="240" w:lineRule="auto"/>
              <w:ind w:firstLine="200" w:firstLineChars="100"/>
              <w:jc w:val="right"/>
              <w:rPr>
                <w:rFonts w:eastAsia="Times New Roman"/>
                <w:i/>
                <w:iCs/>
                <w:color w:val="000000"/>
                <w:sz w:val="20"/>
                <w:szCs w:val="20"/>
              </w:rPr>
            </w:pPr>
            <w:r w:rsidRPr="000D3264">
              <w:rPr>
                <w:rFonts w:eastAsia="Times New Roman"/>
                <w:i/>
                <w:iCs/>
                <w:color w:val="000000"/>
                <w:sz w:val="20"/>
                <w:szCs w:val="20"/>
              </w:rPr>
              <w:t>Future SLR Subtotal</w:t>
            </w:r>
          </w:p>
        </w:tc>
        <w:tc>
          <w:tcPr>
            <w:tcW w:w="1722"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7C69E212"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$92,609,000</w:t>
            </w:r>
          </w:p>
        </w:tc>
        <w:tc>
          <w:tcPr>
            <w:tcW w:w="1530"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0512C27B"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$63,667,000</w:t>
            </w:r>
          </w:p>
        </w:tc>
        <w:tc>
          <w:tcPr>
            <w:tcW w:w="1530"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3BBB9890"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$77,917,000</w:t>
            </w:r>
          </w:p>
        </w:tc>
      </w:tr>
      <w:tr w14:paraId="7F435D8D" w14:textId="77777777" w:rsidTr="00C87C8D">
        <w:tblPrEx>
          <w:tblW w:w="9715" w:type="dxa"/>
          <w:tblLayout w:type="fixed"/>
          <w:tblLook w:val="04A0"/>
        </w:tblPrEx>
        <w:trPr>
          <w:trHeight w:val="610"/>
        </w:trPr>
        <w:tc>
          <w:tcPr>
            <w:tcW w:w="12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30C0" w:rsidRPr="00C87C8D" w:rsidP="007130C0" w14:paraId="60CF9350"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2025</w:t>
            </w:r>
          </w:p>
        </w:tc>
        <w:tc>
          <w:tcPr>
            <w:tcW w:w="849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130C0" w:rsidRPr="00C87C8D" w:rsidP="007130C0" w14:paraId="165346AC" w14:textId="13BD535D">
            <w:pPr>
              <w:autoSpaceDE/>
              <w:autoSpaceDN/>
              <w:adjustRightInd/>
              <w:spacing w:line="240" w:lineRule="auto"/>
              <w:rPr>
                <w:rFonts w:eastAsia="Times New Roman"/>
                <w:color w:val="000000"/>
                <w:sz w:val="20"/>
                <w:szCs w:val="20"/>
              </w:rPr>
            </w:pPr>
            <w:r w:rsidRPr="00C87C8D">
              <w:rPr>
                <w:rFonts w:eastAsia="Times New Roman"/>
                <w:color w:val="000000"/>
                <w:sz w:val="20"/>
                <w:szCs w:val="20"/>
              </w:rPr>
              <w:t xml:space="preserve"> Near-</w:t>
            </w:r>
            <w:r w:rsidR="005322FA">
              <w:rPr>
                <w:rFonts w:eastAsia="Times New Roman"/>
                <w:color w:val="000000"/>
                <w:sz w:val="20"/>
                <w:szCs w:val="20"/>
              </w:rPr>
              <w:t>T</w:t>
            </w:r>
            <w:r w:rsidRPr="00C87C8D">
              <w:rPr>
                <w:rFonts w:eastAsia="Times New Roman"/>
                <w:color w:val="000000"/>
                <w:sz w:val="20"/>
                <w:szCs w:val="20"/>
              </w:rPr>
              <w:t>erm and Submitted Applications, and Issued Subsequently Renewed Licenses</w:t>
            </w:r>
          </w:p>
        </w:tc>
      </w:tr>
      <w:tr w14:paraId="633A85B3" w14:textId="77777777" w:rsidTr="00C87C8D">
        <w:tblPrEx>
          <w:tblW w:w="9715" w:type="dxa"/>
          <w:tblLayout w:type="fixed"/>
          <w:tblLook w:val="04A0"/>
        </w:tblPrEx>
        <w:trPr>
          <w:trHeight w:val="280"/>
        </w:trPr>
        <w:tc>
          <w:tcPr>
            <w:tcW w:w="1217" w:type="dxa"/>
            <w:vMerge/>
            <w:tcBorders>
              <w:top w:val="nil"/>
              <w:left w:val="single" w:sz="4" w:space="0" w:color="auto"/>
              <w:bottom w:val="single" w:sz="4" w:space="0" w:color="auto"/>
              <w:right w:val="single" w:sz="4" w:space="0" w:color="auto"/>
            </w:tcBorders>
            <w:vAlign w:val="center"/>
            <w:hideMark/>
          </w:tcPr>
          <w:p w:rsidR="007130C0" w:rsidRPr="000D3264" w:rsidP="007130C0" w14:paraId="6A6B1773" w14:textId="77777777">
            <w:pPr>
              <w:autoSpaceDE/>
              <w:autoSpaceDN/>
              <w:adjustRightInd/>
              <w:spacing w:line="240" w:lineRule="auto"/>
              <w:rPr>
                <w:rFonts w:eastAsia="Times New Roman"/>
                <w:color w:val="000000"/>
                <w:sz w:val="20"/>
                <w:szCs w:val="20"/>
              </w:rPr>
            </w:pPr>
          </w:p>
        </w:tc>
        <w:tc>
          <w:tcPr>
            <w:tcW w:w="3716" w:type="dxa"/>
            <w:tcBorders>
              <w:top w:val="nil"/>
              <w:left w:val="nil"/>
              <w:bottom w:val="single" w:sz="4" w:space="0" w:color="auto"/>
              <w:right w:val="single" w:sz="4" w:space="0" w:color="auto"/>
            </w:tcBorders>
            <w:shd w:val="clear" w:color="auto" w:fill="auto"/>
            <w:noWrap/>
            <w:vAlign w:val="bottom"/>
            <w:hideMark/>
          </w:tcPr>
          <w:p w:rsidR="007130C0" w:rsidRPr="000D3264" w:rsidP="007130C0" w14:paraId="296F90D6" w14:textId="77777777">
            <w:pPr>
              <w:autoSpaceDE/>
              <w:autoSpaceDN/>
              <w:adjustRightInd/>
              <w:spacing w:line="240" w:lineRule="auto"/>
              <w:ind w:firstLine="200" w:firstLineChars="100"/>
              <w:rPr>
                <w:rFonts w:eastAsia="Times New Roman"/>
                <w:color w:val="000000"/>
                <w:sz w:val="20"/>
                <w:szCs w:val="20"/>
              </w:rPr>
            </w:pPr>
            <w:r w:rsidRPr="000D3264">
              <w:rPr>
                <w:rFonts w:eastAsia="Times New Roman"/>
                <w:color w:val="000000"/>
                <w:sz w:val="20"/>
                <w:szCs w:val="20"/>
              </w:rPr>
              <w:t>Costs</w:t>
            </w:r>
          </w:p>
        </w:tc>
        <w:tc>
          <w:tcPr>
            <w:tcW w:w="1722"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38143776" w14:textId="77777777">
            <w:pPr>
              <w:autoSpaceDE/>
              <w:autoSpaceDN/>
              <w:adjustRightInd/>
              <w:spacing w:line="240" w:lineRule="auto"/>
              <w:jc w:val="center"/>
              <w:rPr>
                <w:rFonts w:eastAsia="Times New Roman"/>
                <w:color w:val="auto"/>
                <w:sz w:val="20"/>
                <w:szCs w:val="20"/>
              </w:rPr>
            </w:pPr>
            <w:r w:rsidRPr="000D3264">
              <w:rPr>
                <w:rFonts w:eastAsia="Times New Roman"/>
                <w:color w:val="auto"/>
                <w:sz w:val="20"/>
                <w:szCs w:val="20"/>
              </w:rPr>
              <w:t>($2,089,000)</w:t>
            </w:r>
          </w:p>
        </w:tc>
        <w:tc>
          <w:tcPr>
            <w:tcW w:w="1530"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7AA07BE9" w14:textId="77777777">
            <w:pPr>
              <w:autoSpaceDE/>
              <w:autoSpaceDN/>
              <w:adjustRightInd/>
              <w:spacing w:line="240" w:lineRule="auto"/>
              <w:jc w:val="center"/>
              <w:rPr>
                <w:rFonts w:eastAsia="Times New Roman"/>
                <w:color w:val="auto"/>
                <w:sz w:val="20"/>
                <w:szCs w:val="20"/>
              </w:rPr>
            </w:pPr>
            <w:r w:rsidRPr="000D3264">
              <w:rPr>
                <w:rFonts w:eastAsia="Times New Roman"/>
                <w:color w:val="auto"/>
                <w:sz w:val="20"/>
                <w:szCs w:val="20"/>
              </w:rPr>
              <w:t>($1,825,000)</w:t>
            </w:r>
          </w:p>
        </w:tc>
        <w:tc>
          <w:tcPr>
            <w:tcW w:w="1530"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79BE95DF" w14:textId="77777777">
            <w:pPr>
              <w:autoSpaceDE/>
              <w:autoSpaceDN/>
              <w:adjustRightInd/>
              <w:spacing w:line="240" w:lineRule="auto"/>
              <w:jc w:val="center"/>
              <w:rPr>
                <w:rFonts w:eastAsia="Times New Roman"/>
                <w:color w:val="auto"/>
                <w:sz w:val="20"/>
                <w:szCs w:val="20"/>
              </w:rPr>
            </w:pPr>
            <w:r w:rsidRPr="000D3264">
              <w:rPr>
                <w:rFonts w:eastAsia="Times New Roman"/>
                <w:color w:val="auto"/>
                <w:sz w:val="20"/>
                <w:szCs w:val="20"/>
              </w:rPr>
              <w:t>($1,969,000)</w:t>
            </w:r>
          </w:p>
        </w:tc>
      </w:tr>
      <w:tr w14:paraId="273EFC6F" w14:textId="77777777" w:rsidTr="00C87C8D">
        <w:tblPrEx>
          <w:tblW w:w="9715" w:type="dxa"/>
          <w:tblLayout w:type="fixed"/>
          <w:tblLook w:val="04A0"/>
        </w:tblPrEx>
        <w:trPr>
          <w:trHeight w:val="280"/>
        </w:trPr>
        <w:tc>
          <w:tcPr>
            <w:tcW w:w="1217" w:type="dxa"/>
            <w:vMerge/>
            <w:tcBorders>
              <w:top w:val="nil"/>
              <w:left w:val="single" w:sz="4" w:space="0" w:color="auto"/>
              <w:bottom w:val="single" w:sz="4" w:space="0" w:color="auto"/>
              <w:right w:val="single" w:sz="4" w:space="0" w:color="auto"/>
            </w:tcBorders>
            <w:vAlign w:val="center"/>
            <w:hideMark/>
          </w:tcPr>
          <w:p w:rsidR="007130C0" w:rsidRPr="000D3264" w:rsidP="007130C0" w14:paraId="556960DD" w14:textId="77777777">
            <w:pPr>
              <w:autoSpaceDE/>
              <w:autoSpaceDN/>
              <w:adjustRightInd/>
              <w:spacing w:line="240" w:lineRule="auto"/>
              <w:rPr>
                <w:rFonts w:eastAsia="Times New Roman"/>
                <w:color w:val="000000"/>
                <w:sz w:val="20"/>
                <w:szCs w:val="20"/>
              </w:rPr>
            </w:pPr>
          </w:p>
        </w:tc>
        <w:tc>
          <w:tcPr>
            <w:tcW w:w="3716" w:type="dxa"/>
            <w:tcBorders>
              <w:top w:val="nil"/>
              <w:left w:val="nil"/>
              <w:bottom w:val="single" w:sz="4" w:space="0" w:color="auto"/>
              <w:right w:val="single" w:sz="4" w:space="0" w:color="auto"/>
            </w:tcBorders>
            <w:shd w:val="clear" w:color="auto" w:fill="auto"/>
            <w:noWrap/>
            <w:vAlign w:val="bottom"/>
            <w:hideMark/>
          </w:tcPr>
          <w:p w:rsidR="007130C0" w:rsidRPr="000D3264" w:rsidP="007130C0" w14:paraId="46B5DDBE" w14:textId="77777777">
            <w:pPr>
              <w:autoSpaceDE/>
              <w:autoSpaceDN/>
              <w:adjustRightInd/>
              <w:spacing w:line="240" w:lineRule="auto"/>
              <w:ind w:firstLine="200" w:firstLineChars="100"/>
              <w:rPr>
                <w:rFonts w:eastAsia="Times New Roman"/>
                <w:color w:val="000000"/>
                <w:sz w:val="20"/>
                <w:szCs w:val="20"/>
              </w:rPr>
            </w:pPr>
            <w:r w:rsidRPr="000D3264">
              <w:rPr>
                <w:rFonts w:eastAsia="Times New Roman"/>
                <w:color w:val="000000"/>
                <w:sz w:val="20"/>
                <w:szCs w:val="20"/>
              </w:rPr>
              <w:t>Benefits</w:t>
            </w:r>
          </w:p>
        </w:tc>
        <w:tc>
          <w:tcPr>
            <w:tcW w:w="1722"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4A08AB99"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49ABE3CC"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noWrap/>
            <w:vAlign w:val="center"/>
            <w:hideMark/>
          </w:tcPr>
          <w:p w:rsidR="007130C0" w:rsidRPr="000D3264" w:rsidP="007130C0" w14:paraId="624EF36E"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r>
      <w:tr w14:paraId="2870233D" w14:textId="77777777" w:rsidTr="00C87C8D">
        <w:tblPrEx>
          <w:tblW w:w="9715" w:type="dxa"/>
          <w:tblLayout w:type="fixed"/>
          <w:tblLook w:val="04A0"/>
        </w:tblPrEx>
        <w:trPr>
          <w:trHeight w:val="870"/>
        </w:trPr>
        <w:tc>
          <w:tcPr>
            <w:tcW w:w="1217" w:type="dxa"/>
            <w:vMerge/>
            <w:tcBorders>
              <w:top w:val="nil"/>
              <w:left w:val="single" w:sz="4" w:space="0" w:color="auto"/>
              <w:bottom w:val="single" w:sz="4" w:space="0" w:color="auto"/>
              <w:right w:val="single" w:sz="4" w:space="0" w:color="auto"/>
            </w:tcBorders>
            <w:vAlign w:val="center"/>
            <w:hideMark/>
          </w:tcPr>
          <w:p w:rsidR="007130C0" w:rsidRPr="000D3264" w:rsidP="007130C0" w14:paraId="1A22249E" w14:textId="77777777">
            <w:pPr>
              <w:autoSpaceDE/>
              <w:autoSpaceDN/>
              <w:adjustRightInd/>
              <w:spacing w:line="240" w:lineRule="auto"/>
              <w:rPr>
                <w:rFonts w:eastAsia="Times New Roman"/>
                <w:color w:val="000000"/>
                <w:sz w:val="20"/>
                <w:szCs w:val="20"/>
              </w:rPr>
            </w:pPr>
          </w:p>
        </w:tc>
        <w:tc>
          <w:tcPr>
            <w:tcW w:w="3716" w:type="dxa"/>
            <w:tcBorders>
              <w:top w:val="nil"/>
              <w:left w:val="nil"/>
              <w:bottom w:val="single" w:sz="4" w:space="0" w:color="auto"/>
              <w:right w:val="single" w:sz="4" w:space="0" w:color="auto"/>
            </w:tcBorders>
            <w:shd w:val="clear" w:color="auto" w:fill="auto"/>
            <w:vAlign w:val="center"/>
            <w:hideMark/>
          </w:tcPr>
          <w:p w:rsidR="007130C0" w:rsidRPr="00C87C8D" w:rsidP="00C87C8D" w14:paraId="2AE36EF5" w14:textId="6133D07A">
            <w:pPr>
              <w:autoSpaceDE/>
              <w:autoSpaceDN/>
              <w:adjustRightInd/>
              <w:spacing w:line="240" w:lineRule="auto"/>
              <w:rPr>
                <w:rFonts w:eastAsia="Times New Roman"/>
                <w:i/>
                <w:iCs/>
                <w:color w:val="000000"/>
                <w:sz w:val="20"/>
                <w:szCs w:val="20"/>
              </w:rPr>
            </w:pPr>
            <w:r w:rsidRPr="000D3264">
              <w:rPr>
                <w:rFonts w:eastAsia="Times New Roman"/>
                <w:i/>
                <w:iCs/>
                <w:color w:val="000000"/>
                <w:sz w:val="20"/>
                <w:szCs w:val="20"/>
              </w:rPr>
              <w:t xml:space="preserve"> Near-</w:t>
            </w:r>
            <w:r w:rsidR="005322FA">
              <w:rPr>
                <w:rFonts w:eastAsia="Times New Roman"/>
                <w:i/>
                <w:iCs/>
                <w:color w:val="000000"/>
                <w:sz w:val="20"/>
                <w:szCs w:val="20"/>
              </w:rPr>
              <w:t>T</w:t>
            </w:r>
            <w:r w:rsidRPr="00C87C8D">
              <w:rPr>
                <w:rFonts w:eastAsia="Times New Roman"/>
                <w:i/>
                <w:iCs/>
                <w:color w:val="000000"/>
                <w:sz w:val="20"/>
                <w:szCs w:val="20"/>
              </w:rPr>
              <w:t>erm and Submitted Applications, and Issued Subsequently Renewed Licenses Subtotal</w:t>
            </w:r>
          </w:p>
        </w:tc>
        <w:tc>
          <w:tcPr>
            <w:tcW w:w="1722" w:type="dxa"/>
            <w:tcBorders>
              <w:top w:val="nil"/>
              <w:left w:val="nil"/>
              <w:bottom w:val="single" w:sz="4" w:space="0" w:color="auto"/>
              <w:right w:val="single" w:sz="4" w:space="0" w:color="auto"/>
            </w:tcBorders>
            <w:shd w:val="clear" w:color="auto" w:fill="auto"/>
            <w:noWrap/>
            <w:vAlign w:val="bottom"/>
            <w:hideMark/>
          </w:tcPr>
          <w:p w:rsidR="007130C0" w:rsidRPr="00C87C8D" w:rsidP="007130C0" w14:paraId="72247143"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($2,089,000)</w:t>
            </w:r>
          </w:p>
        </w:tc>
        <w:tc>
          <w:tcPr>
            <w:tcW w:w="1530" w:type="dxa"/>
            <w:tcBorders>
              <w:top w:val="nil"/>
              <w:left w:val="nil"/>
              <w:bottom w:val="single" w:sz="4" w:space="0" w:color="auto"/>
              <w:right w:val="single" w:sz="4" w:space="0" w:color="auto"/>
            </w:tcBorders>
            <w:shd w:val="clear" w:color="auto" w:fill="auto"/>
            <w:noWrap/>
            <w:vAlign w:val="bottom"/>
            <w:hideMark/>
          </w:tcPr>
          <w:p w:rsidR="007130C0" w:rsidRPr="00C87C8D" w:rsidP="007130C0" w14:paraId="7B1A0362"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($1,825,000)</w:t>
            </w:r>
          </w:p>
        </w:tc>
        <w:tc>
          <w:tcPr>
            <w:tcW w:w="1530" w:type="dxa"/>
            <w:tcBorders>
              <w:top w:val="nil"/>
              <w:left w:val="nil"/>
              <w:bottom w:val="single" w:sz="4" w:space="0" w:color="auto"/>
              <w:right w:val="single" w:sz="4" w:space="0" w:color="auto"/>
            </w:tcBorders>
            <w:shd w:val="clear" w:color="auto" w:fill="auto"/>
            <w:noWrap/>
            <w:vAlign w:val="bottom"/>
            <w:hideMark/>
          </w:tcPr>
          <w:p w:rsidR="007130C0" w:rsidRPr="00C87C8D" w:rsidP="007130C0" w14:paraId="3000C41C"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($1,969,000)</w:t>
            </w:r>
          </w:p>
        </w:tc>
      </w:tr>
      <w:tr w14:paraId="4BB3712E" w14:textId="77777777" w:rsidTr="00C87C8D">
        <w:tblPrEx>
          <w:tblW w:w="9715" w:type="dxa"/>
          <w:tblLayout w:type="fixed"/>
          <w:tblLook w:val="04A0"/>
        </w:tblPrEx>
        <w:trPr>
          <w:trHeight w:val="280"/>
        </w:trPr>
        <w:tc>
          <w:tcPr>
            <w:tcW w:w="49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C0" w:rsidRPr="00C87C8D" w:rsidP="007130C0" w14:paraId="7104B66C" w14:textId="77777777">
            <w:pPr>
              <w:autoSpaceDE/>
              <w:autoSpaceDN/>
              <w:adjustRightInd/>
              <w:spacing w:line="240" w:lineRule="auto"/>
              <w:jc w:val="right"/>
              <w:rPr>
                <w:rFonts w:eastAsia="Times New Roman"/>
                <w:b/>
                <w:bCs/>
                <w:color w:val="000000"/>
                <w:sz w:val="20"/>
                <w:szCs w:val="20"/>
              </w:rPr>
            </w:pPr>
            <w:r w:rsidRPr="00C87C8D">
              <w:rPr>
                <w:rFonts w:eastAsia="Times New Roman"/>
                <w:b/>
                <w:bCs/>
                <w:color w:val="000000"/>
                <w:sz w:val="20"/>
                <w:szCs w:val="20"/>
              </w:rPr>
              <w:t>Industry Net Operation Benefit (Cost)</w:t>
            </w:r>
          </w:p>
        </w:tc>
        <w:tc>
          <w:tcPr>
            <w:tcW w:w="1722" w:type="dxa"/>
            <w:tcBorders>
              <w:top w:val="nil"/>
              <w:left w:val="nil"/>
              <w:bottom w:val="single" w:sz="4" w:space="0" w:color="auto"/>
              <w:right w:val="single" w:sz="4" w:space="0" w:color="auto"/>
            </w:tcBorders>
            <w:shd w:val="clear" w:color="auto" w:fill="auto"/>
            <w:noWrap/>
            <w:vAlign w:val="bottom"/>
            <w:hideMark/>
          </w:tcPr>
          <w:p w:rsidR="007130C0" w:rsidRPr="00C87C8D" w:rsidP="007130C0" w14:paraId="5CD73037"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 xml:space="preserve">$90,391,000 </w:t>
            </w:r>
          </w:p>
        </w:tc>
        <w:tc>
          <w:tcPr>
            <w:tcW w:w="1530" w:type="dxa"/>
            <w:tcBorders>
              <w:top w:val="nil"/>
              <w:left w:val="nil"/>
              <w:bottom w:val="single" w:sz="4" w:space="0" w:color="auto"/>
              <w:right w:val="single" w:sz="4" w:space="0" w:color="auto"/>
            </w:tcBorders>
            <w:shd w:val="clear" w:color="auto" w:fill="auto"/>
            <w:noWrap/>
            <w:vAlign w:val="bottom"/>
            <w:hideMark/>
          </w:tcPr>
          <w:p w:rsidR="007130C0" w:rsidRPr="00C87C8D" w:rsidP="007130C0" w14:paraId="466185DF"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 xml:space="preserve">$61,785,000 </w:t>
            </w:r>
          </w:p>
        </w:tc>
        <w:tc>
          <w:tcPr>
            <w:tcW w:w="1530" w:type="dxa"/>
            <w:tcBorders>
              <w:top w:val="nil"/>
              <w:left w:val="nil"/>
              <w:bottom w:val="single" w:sz="4" w:space="0" w:color="auto"/>
              <w:right w:val="single" w:sz="4" w:space="0" w:color="auto"/>
            </w:tcBorders>
            <w:shd w:val="clear" w:color="auto" w:fill="auto"/>
            <w:noWrap/>
            <w:vAlign w:val="bottom"/>
            <w:hideMark/>
          </w:tcPr>
          <w:p w:rsidR="007130C0" w:rsidRPr="00C87C8D" w:rsidP="007130C0" w14:paraId="26599853"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 xml:space="preserve">$75,857,000 </w:t>
            </w:r>
          </w:p>
        </w:tc>
      </w:tr>
    </w:tbl>
    <w:p w:rsidR="0078072B" w:rsidRPr="002E438B" w:rsidP="0078072B" w14:paraId="7D39F9D5" w14:textId="77777777">
      <w:pPr>
        <w:keepNext/>
        <w:keepLines/>
        <w:autoSpaceDE/>
        <w:autoSpaceDN/>
        <w:adjustRightInd/>
        <w:spacing w:line="240" w:lineRule="auto"/>
        <w:rPr>
          <w:rFonts w:eastAsia="Calibri"/>
          <w:color w:val="000000"/>
          <w:sz w:val="18"/>
          <w:szCs w:val="18"/>
        </w:rPr>
      </w:pPr>
      <w:r w:rsidRPr="002E438B">
        <w:rPr>
          <w:rFonts w:eastAsia="Calibri"/>
          <w:color w:val="000000"/>
          <w:sz w:val="18"/>
          <w:szCs w:val="18"/>
          <w:vertAlign w:val="superscript"/>
        </w:rPr>
        <w:t>a</w:t>
      </w:r>
      <w:r w:rsidRPr="002E438B">
        <w:rPr>
          <w:rFonts w:eastAsia="Calibri"/>
          <w:color w:val="000000"/>
          <w:sz w:val="18"/>
          <w:szCs w:val="18"/>
        </w:rPr>
        <w:t xml:space="preserve"> Values rounded to the nearest </w:t>
      </w:r>
      <w:r>
        <w:rPr>
          <w:rFonts w:eastAsia="Calibri"/>
          <w:color w:val="000000"/>
          <w:sz w:val="18"/>
          <w:szCs w:val="18"/>
        </w:rPr>
        <w:t>thousand</w:t>
      </w:r>
      <w:r w:rsidRPr="002E438B">
        <w:rPr>
          <w:rFonts w:eastAsia="Calibri"/>
          <w:color w:val="000000"/>
          <w:sz w:val="18"/>
          <w:szCs w:val="18"/>
        </w:rPr>
        <w:t xml:space="preserve"> dollars.</w:t>
      </w:r>
    </w:p>
    <w:p w:rsidR="0078072B" w:rsidRPr="00A837A8" w:rsidP="0078072B" w14:paraId="27D6D771" w14:textId="77777777">
      <w:pPr>
        <w:rPr>
          <w:highlight w:val="yellow"/>
        </w:rPr>
      </w:pPr>
    </w:p>
    <w:p w:rsidR="0078072B" w:rsidRPr="000B0871" w:rsidP="0078072B" w14:paraId="7813CED5" w14:textId="2D92EA97">
      <w:pPr>
        <w:pStyle w:val="Heading2"/>
        <w:rPr>
          <w:sz w:val="24"/>
          <w:szCs w:val="24"/>
        </w:rPr>
      </w:pPr>
      <w:bookmarkStart w:id="41" w:name="_Toc147922989"/>
      <w:r w:rsidRPr="000B0871">
        <w:rPr>
          <w:sz w:val="24"/>
          <w:szCs w:val="24"/>
        </w:rPr>
        <w:t>3.</w:t>
      </w:r>
      <w:r w:rsidR="007D69CF">
        <w:rPr>
          <w:sz w:val="24"/>
          <w:szCs w:val="24"/>
        </w:rPr>
        <w:t>5</w:t>
      </w:r>
      <w:r w:rsidRPr="000B0871">
        <w:rPr>
          <w:sz w:val="24"/>
          <w:szCs w:val="24"/>
        </w:rPr>
        <w:tab/>
      </w:r>
      <w:r w:rsidRPr="000B0871">
        <w:rPr>
          <w:sz w:val="24"/>
          <w:szCs w:val="24"/>
          <w:u w:val="single"/>
        </w:rPr>
        <w:t>NRC Operation</w:t>
      </w:r>
      <w:bookmarkEnd w:id="41"/>
    </w:p>
    <w:p w:rsidR="0078072B" w:rsidRPr="000B0871" w:rsidP="0078072B" w14:paraId="2AF2B7D8" w14:textId="77777777">
      <w:pPr>
        <w:pStyle w:val="text"/>
        <w:keepNext/>
        <w:keepLines/>
        <w:spacing w:after="0"/>
      </w:pPr>
    </w:p>
    <w:p w:rsidR="0078072B" w:rsidRPr="00A837A8" w:rsidP="0078072B" w14:paraId="3C8393B0" w14:textId="77777777">
      <w:pPr>
        <w:pStyle w:val="text"/>
        <w:keepNext/>
        <w:keepLines/>
        <w:spacing w:after="0"/>
        <w:rPr>
          <w:highlight w:val="yellow"/>
        </w:rPr>
      </w:pPr>
      <w:r w:rsidRPr="000B0871">
        <w:t xml:space="preserve">Alternative 2 activities affect the </w:t>
      </w:r>
      <w:r>
        <w:t xml:space="preserve">NRC </w:t>
      </w:r>
      <w:r w:rsidRPr="000B0871">
        <w:t>environmental rev</w:t>
      </w:r>
      <w:r w:rsidRPr="00D30FAB">
        <w:t>iew time per license renewal application. The analysis specifies each Table B</w:t>
      </w:r>
      <w:r>
        <w:noBreakHyphen/>
      </w:r>
      <w:r w:rsidRPr="00D30FAB">
        <w:t>1 issue that is evaluated quantitatively.</w:t>
      </w:r>
    </w:p>
    <w:p w:rsidR="0078072B" w:rsidRPr="00A837A8" w:rsidP="0078072B" w14:paraId="1EC5A5F3" w14:textId="77777777">
      <w:pPr>
        <w:pStyle w:val="text"/>
        <w:spacing w:after="0"/>
        <w:rPr>
          <w:highlight w:val="yellow"/>
        </w:rPr>
      </w:pPr>
    </w:p>
    <w:p w:rsidR="0078072B" w:rsidRPr="00F16C67" w:rsidP="0078072B" w14:paraId="1F7C1B0B" w14:textId="66788BFA">
      <w:pPr>
        <w:pStyle w:val="Style1"/>
        <w:spacing w:line="276" w:lineRule="auto"/>
      </w:pPr>
      <w:r w:rsidRPr="004F162E">
        <w:rPr>
          <w:rFonts w:ascii="Arial" w:hAnsi="Arial" w:cs="Arial"/>
          <w:i/>
          <w:iCs/>
          <w:sz w:val="22"/>
          <w:szCs w:val="22"/>
        </w:rPr>
        <w:t>General assumptions</w:t>
      </w:r>
      <w:r>
        <w:rPr>
          <w:rFonts w:ascii="Arial" w:hAnsi="Arial" w:cs="Arial"/>
          <w:i/>
          <w:iCs/>
          <w:sz w:val="22"/>
          <w:szCs w:val="22"/>
        </w:rPr>
        <w:t>:</w:t>
      </w:r>
      <w:r w:rsidRPr="007A1F4F">
        <w:rPr>
          <w:rFonts w:ascii="Arial" w:hAnsi="Arial" w:cs="Arial"/>
          <w:sz w:val="22"/>
          <w:szCs w:val="22"/>
        </w:rPr>
        <w:t xml:space="preserve"> </w:t>
      </w:r>
      <w:r w:rsidR="00256B8F">
        <w:rPr>
          <w:rFonts w:ascii="Arial" w:hAnsi="Arial" w:cs="Arial"/>
          <w:sz w:val="22"/>
          <w:szCs w:val="22"/>
        </w:rPr>
        <w:t>The following assumptions</w:t>
      </w:r>
      <w:r w:rsidRPr="007A1F4F" w:rsidR="00256B8F">
        <w:rPr>
          <w:rFonts w:ascii="Arial" w:hAnsi="Arial" w:cs="Arial"/>
          <w:sz w:val="22"/>
          <w:szCs w:val="22"/>
        </w:rPr>
        <w:t xml:space="preserve"> </w:t>
      </w:r>
      <w:r w:rsidR="00256B8F">
        <w:rPr>
          <w:rFonts w:ascii="Arial" w:hAnsi="Arial" w:cs="Arial"/>
          <w:sz w:val="22"/>
          <w:szCs w:val="22"/>
        </w:rPr>
        <w:t>are made</w:t>
      </w:r>
      <w:r w:rsidRPr="007A1F4F">
        <w:rPr>
          <w:rFonts w:ascii="Arial" w:hAnsi="Arial" w:cs="Arial"/>
          <w:sz w:val="22"/>
          <w:szCs w:val="22"/>
        </w:rPr>
        <w:t xml:space="preserve"> </w:t>
      </w:r>
      <w:r>
        <w:rPr>
          <w:rFonts w:ascii="Arial" w:hAnsi="Arial" w:cs="Arial"/>
          <w:sz w:val="22"/>
          <w:szCs w:val="22"/>
        </w:rPr>
        <w:t xml:space="preserve">about NRC operation </w:t>
      </w:r>
      <w:r w:rsidRPr="007A1F4F">
        <w:rPr>
          <w:rFonts w:ascii="Arial" w:hAnsi="Arial" w:cs="Arial"/>
          <w:sz w:val="22"/>
          <w:szCs w:val="22"/>
        </w:rPr>
        <w:t>are listed below</w:t>
      </w:r>
      <w:r>
        <w:rPr>
          <w:rFonts w:ascii="Arial" w:hAnsi="Arial" w:cs="Arial"/>
          <w:sz w:val="22"/>
          <w:szCs w:val="22"/>
        </w:rPr>
        <w:t>:</w:t>
      </w:r>
    </w:p>
    <w:p w:rsidR="0078072B" w:rsidRPr="00F16C67" w:rsidP="0078072B" w14:paraId="77263E93" w14:textId="77777777"/>
    <w:p w:rsidR="0078072B" w:rsidRPr="00F16C67" w:rsidP="0078072B" w14:paraId="113B757B" w14:textId="3DE306C5">
      <w:pPr>
        <w:numPr>
          <w:ilvl w:val="0"/>
          <w:numId w:val="26"/>
        </w:numPr>
        <w:autoSpaceDE/>
        <w:autoSpaceDN/>
        <w:adjustRightInd/>
        <w:spacing w:line="240" w:lineRule="auto"/>
        <w:ind w:hanging="720"/>
        <w:rPr>
          <w:rFonts w:eastAsia="Times New Roman"/>
          <w:color w:val="auto"/>
        </w:rPr>
      </w:pPr>
      <w:r w:rsidRPr="00F16C67">
        <w:rPr>
          <w:rFonts w:eastAsia="Times New Roman"/>
          <w:bCs/>
          <w:color w:val="auto"/>
          <w:u w:val="single"/>
        </w:rPr>
        <w:t xml:space="preserve">Category 1 </w:t>
      </w:r>
      <w:r>
        <w:rPr>
          <w:rFonts w:eastAsia="Times New Roman"/>
          <w:bCs/>
          <w:color w:val="auto"/>
          <w:u w:val="single"/>
        </w:rPr>
        <w:t>I</w:t>
      </w:r>
      <w:r w:rsidRPr="00F16C67">
        <w:rPr>
          <w:rFonts w:eastAsia="Times New Roman"/>
          <w:bCs/>
          <w:color w:val="auto"/>
          <w:u w:val="single"/>
        </w:rPr>
        <w:t>ssue</w:t>
      </w:r>
      <w:r>
        <w:t>—</w:t>
      </w:r>
      <w:r w:rsidRPr="00F16C67">
        <w:rPr>
          <w:rFonts w:eastAsia="Times New Roman"/>
          <w:color w:val="auto"/>
        </w:rPr>
        <w:t xml:space="preserve">A Category 1 issue is assumed to require, on average, </w:t>
      </w:r>
      <w:r>
        <w:rPr>
          <w:rFonts w:eastAsia="Times New Roman"/>
          <w:color w:val="auto"/>
        </w:rPr>
        <w:t>43</w:t>
      </w:r>
      <w:r w:rsidRPr="00F16C67">
        <w:rPr>
          <w:rFonts w:eastAsia="Times New Roman"/>
          <w:color w:val="auto"/>
        </w:rPr>
        <w:t xml:space="preserve"> hours of </w:t>
      </w:r>
      <w:r>
        <w:rPr>
          <w:rFonts w:eastAsia="Times New Roman"/>
          <w:color w:val="auto"/>
        </w:rPr>
        <w:t>NRC</w:t>
      </w:r>
      <w:r w:rsidRPr="00F16C67">
        <w:rPr>
          <w:rFonts w:eastAsia="Times New Roman"/>
          <w:color w:val="auto"/>
        </w:rPr>
        <w:t xml:space="preserve"> staff labor to research new and significant information and, as applicable, include information in the </w:t>
      </w:r>
      <w:r>
        <w:rPr>
          <w:rFonts w:eastAsia="Times New Roman"/>
          <w:color w:val="auto"/>
        </w:rPr>
        <w:t xml:space="preserve">supplement to the </w:t>
      </w:r>
      <w:r w:rsidR="00004072">
        <w:rPr>
          <w:rFonts w:eastAsia="Times New Roman"/>
          <w:color w:val="auto"/>
        </w:rPr>
        <w:t xml:space="preserve">revised </w:t>
      </w:r>
      <w:r>
        <w:rPr>
          <w:rFonts w:eastAsia="Times New Roman"/>
          <w:color w:val="auto"/>
        </w:rPr>
        <w:t>LR GEIS</w:t>
      </w:r>
      <w:r w:rsidRPr="00F16C67">
        <w:rPr>
          <w:rFonts w:eastAsia="Times New Roman"/>
          <w:color w:val="auto"/>
        </w:rPr>
        <w:t>.</w:t>
      </w:r>
    </w:p>
    <w:p w:rsidR="0078072B" w:rsidRPr="00F16C67" w:rsidP="0078072B" w14:paraId="3116AEB3" w14:textId="77777777">
      <w:pPr>
        <w:autoSpaceDE/>
        <w:autoSpaceDN/>
        <w:adjustRightInd/>
        <w:spacing w:line="240" w:lineRule="auto"/>
        <w:ind w:left="720" w:hanging="720"/>
        <w:rPr>
          <w:rFonts w:eastAsia="Times New Roman"/>
          <w:color w:val="auto"/>
          <w:highlight w:val="yellow"/>
        </w:rPr>
      </w:pPr>
    </w:p>
    <w:p w:rsidR="0078072B" w:rsidRPr="00F16C67" w:rsidP="0078072B" w14:paraId="4E38D9A6" w14:textId="5ECDFEDE">
      <w:pPr>
        <w:numPr>
          <w:ilvl w:val="0"/>
          <w:numId w:val="26"/>
        </w:numPr>
        <w:autoSpaceDE/>
        <w:autoSpaceDN/>
        <w:adjustRightInd/>
        <w:spacing w:line="240" w:lineRule="auto"/>
        <w:ind w:hanging="720"/>
        <w:rPr>
          <w:rFonts w:eastAsia="Times New Roman"/>
          <w:color w:val="auto"/>
        </w:rPr>
      </w:pPr>
      <w:r w:rsidRPr="00F16C67">
        <w:rPr>
          <w:rFonts w:eastAsia="Times New Roman"/>
          <w:bCs/>
          <w:color w:val="auto"/>
          <w:u w:val="single"/>
        </w:rPr>
        <w:t xml:space="preserve">Category 2 </w:t>
      </w:r>
      <w:r>
        <w:rPr>
          <w:rFonts w:eastAsia="Times New Roman"/>
          <w:bCs/>
          <w:color w:val="auto"/>
          <w:u w:val="single"/>
        </w:rPr>
        <w:t>I</w:t>
      </w:r>
      <w:r w:rsidRPr="00F16C67">
        <w:rPr>
          <w:rFonts w:eastAsia="Times New Roman"/>
          <w:bCs/>
          <w:color w:val="auto"/>
          <w:u w:val="single"/>
        </w:rPr>
        <w:t>ssue</w:t>
      </w:r>
      <w:r>
        <w:t>—</w:t>
      </w:r>
      <w:r w:rsidRPr="00F16C67">
        <w:rPr>
          <w:rFonts w:eastAsia="Times New Roman"/>
          <w:color w:val="auto"/>
        </w:rPr>
        <w:t xml:space="preserve">A Category 2 issue is assumed to require, on average, </w:t>
      </w:r>
      <w:r>
        <w:rPr>
          <w:rFonts w:eastAsia="Times New Roman"/>
          <w:color w:val="auto"/>
        </w:rPr>
        <w:t>174</w:t>
      </w:r>
      <w:r w:rsidRPr="00F16C67">
        <w:rPr>
          <w:rFonts w:eastAsia="Times New Roman"/>
          <w:color w:val="auto"/>
        </w:rPr>
        <w:t xml:space="preserve"> hours of </w:t>
      </w:r>
      <w:r>
        <w:rPr>
          <w:rFonts w:eastAsia="Times New Roman"/>
          <w:color w:val="auto"/>
        </w:rPr>
        <w:t>NRC</w:t>
      </w:r>
      <w:r w:rsidRPr="00F16C67">
        <w:rPr>
          <w:rFonts w:eastAsia="Times New Roman"/>
          <w:color w:val="auto"/>
        </w:rPr>
        <w:t xml:space="preserve"> staff labor to complete a </w:t>
      </w:r>
      <w:r>
        <w:rPr>
          <w:rFonts w:eastAsia="Times New Roman"/>
          <w:color w:val="auto"/>
        </w:rPr>
        <w:t>plant</w:t>
      </w:r>
      <w:r w:rsidRPr="00F16C67">
        <w:rPr>
          <w:rFonts w:eastAsia="Times New Roman"/>
          <w:color w:val="auto"/>
        </w:rPr>
        <w:t xml:space="preserve">-specific analysis and to present the information in the </w:t>
      </w:r>
      <w:r>
        <w:rPr>
          <w:rFonts w:eastAsia="Times New Roman"/>
          <w:color w:val="auto"/>
        </w:rPr>
        <w:t xml:space="preserve">supplement to the </w:t>
      </w:r>
      <w:r w:rsidR="00004072">
        <w:rPr>
          <w:rFonts w:eastAsia="Times New Roman"/>
          <w:color w:val="auto"/>
        </w:rPr>
        <w:t xml:space="preserve">revised </w:t>
      </w:r>
      <w:r>
        <w:rPr>
          <w:rFonts w:eastAsia="Times New Roman"/>
          <w:color w:val="auto"/>
        </w:rPr>
        <w:t>LR GEIS</w:t>
      </w:r>
      <w:r w:rsidRPr="00F16C67">
        <w:rPr>
          <w:rFonts w:eastAsia="Times New Roman"/>
          <w:color w:val="auto"/>
        </w:rPr>
        <w:t>.</w:t>
      </w:r>
    </w:p>
    <w:p w:rsidR="0078072B" w:rsidP="0078072B" w14:paraId="7602A039" w14:textId="77777777">
      <w:pPr>
        <w:pStyle w:val="ListParagraph"/>
        <w:rPr>
          <w:rFonts w:eastAsia="Times New Roman"/>
          <w:color w:val="auto"/>
        </w:rPr>
      </w:pPr>
    </w:p>
    <w:p w:rsidR="0078072B" w:rsidRPr="00D217C7" w:rsidP="0078072B" w14:paraId="5DC9B2A0" w14:textId="77777777">
      <w:pPr>
        <w:pStyle w:val="Style1"/>
        <w:numPr>
          <w:ilvl w:val="0"/>
          <w:numId w:val="26"/>
        </w:numPr>
        <w:spacing w:line="276" w:lineRule="auto"/>
        <w:ind w:hanging="720"/>
        <w:rPr>
          <w:rFonts w:ascii="Arial" w:hAnsi="Arial" w:cs="Arial"/>
          <w:sz w:val="22"/>
          <w:szCs w:val="22"/>
        </w:rPr>
      </w:pPr>
      <w:r w:rsidRPr="00594EB1">
        <w:rPr>
          <w:rFonts w:ascii="Arial" w:hAnsi="Arial" w:cs="Arial"/>
          <w:sz w:val="22"/>
          <w:szCs w:val="22"/>
          <w:u w:val="single"/>
        </w:rPr>
        <w:t xml:space="preserve">Uncategorized </w:t>
      </w:r>
      <w:r>
        <w:rPr>
          <w:rFonts w:ascii="Arial" w:hAnsi="Arial" w:cs="Arial"/>
          <w:sz w:val="22"/>
          <w:szCs w:val="22"/>
          <w:u w:val="single"/>
        </w:rPr>
        <w:t>I</w:t>
      </w:r>
      <w:r w:rsidRPr="00594EB1">
        <w:rPr>
          <w:rFonts w:ascii="Arial" w:hAnsi="Arial" w:cs="Arial"/>
          <w:sz w:val="22"/>
          <w:szCs w:val="22"/>
          <w:u w:val="single"/>
        </w:rPr>
        <w:t>ssue</w:t>
      </w:r>
      <w:r>
        <w:rPr>
          <w:rFonts w:ascii="Arial" w:hAnsi="Arial" w:cs="Arial"/>
          <w:sz w:val="22"/>
          <w:szCs w:val="22"/>
        </w:rPr>
        <w:t>—An uncategorized issue is assumed to require, on average, 43 hours of licensee staff labor to research new and significant information and, as applicable, include information in the environmental report.</w:t>
      </w:r>
    </w:p>
    <w:p w:rsidR="0078072B" w:rsidRPr="00F16C67" w:rsidP="0078072B" w14:paraId="1DD69126" w14:textId="77777777">
      <w:pPr>
        <w:autoSpaceDE/>
        <w:autoSpaceDN/>
        <w:adjustRightInd/>
        <w:spacing w:line="240" w:lineRule="auto"/>
        <w:ind w:left="720"/>
        <w:rPr>
          <w:rFonts w:eastAsia="Times New Roman"/>
          <w:color w:val="auto"/>
        </w:rPr>
      </w:pPr>
    </w:p>
    <w:p w:rsidR="0078072B" w:rsidRPr="00F16C67" w:rsidP="0078072B" w14:paraId="4B8B1D4B" w14:textId="77777777">
      <w:pPr>
        <w:numPr>
          <w:ilvl w:val="0"/>
          <w:numId w:val="26"/>
        </w:numPr>
        <w:autoSpaceDE/>
        <w:autoSpaceDN/>
        <w:adjustRightInd/>
        <w:spacing w:line="240" w:lineRule="auto"/>
        <w:ind w:hanging="720"/>
        <w:rPr>
          <w:rFonts w:eastAsia="Times New Roman"/>
          <w:color w:val="auto"/>
        </w:rPr>
      </w:pPr>
      <w:r w:rsidRPr="00F16C67">
        <w:rPr>
          <w:rFonts w:eastAsia="Times New Roman"/>
          <w:bCs/>
          <w:color w:val="auto"/>
          <w:u w:val="single"/>
        </w:rPr>
        <w:t>Category Change</w:t>
      </w:r>
      <w:r>
        <w:t>—</w:t>
      </w:r>
      <w:r w:rsidRPr="00F16C67">
        <w:rPr>
          <w:rFonts w:eastAsia="Times New Roman"/>
          <w:color w:val="auto"/>
        </w:rPr>
        <w:t xml:space="preserve">The net savings per change from Category 2 to Category 1 and the net cost per change from a Category 2 to Category 1 is </w:t>
      </w:r>
      <w:r>
        <w:rPr>
          <w:rFonts w:eastAsia="Times New Roman"/>
          <w:color w:val="auto"/>
        </w:rPr>
        <w:t xml:space="preserve">131 </w:t>
      </w:r>
      <w:r w:rsidRPr="00F16C67">
        <w:rPr>
          <w:rFonts w:eastAsia="Times New Roman"/>
          <w:color w:val="auto"/>
        </w:rPr>
        <w:t>hours.</w:t>
      </w:r>
    </w:p>
    <w:p w:rsidR="0078072B" w:rsidRPr="00F16C67" w:rsidP="0078072B" w14:paraId="32EFB2D1" w14:textId="77777777">
      <w:pPr>
        <w:autoSpaceDE/>
        <w:autoSpaceDN/>
        <w:adjustRightInd/>
        <w:spacing w:line="240" w:lineRule="auto"/>
        <w:ind w:left="720" w:hanging="720"/>
        <w:rPr>
          <w:rFonts w:eastAsia="Times New Roman"/>
          <w:color w:val="auto"/>
        </w:rPr>
      </w:pPr>
    </w:p>
    <w:p w:rsidR="0078072B" w:rsidRPr="00F16C67" w:rsidP="0078072B" w14:paraId="30ABDD55" w14:textId="20150F97">
      <w:pPr>
        <w:numPr>
          <w:ilvl w:val="0"/>
          <w:numId w:val="26"/>
        </w:numPr>
        <w:autoSpaceDE/>
        <w:autoSpaceDN/>
        <w:adjustRightInd/>
        <w:spacing w:line="240" w:lineRule="auto"/>
        <w:ind w:hanging="720"/>
        <w:rPr>
          <w:rFonts w:eastAsia="Times New Roman"/>
          <w:color w:val="auto"/>
        </w:rPr>
      </w:pPr>
      <w:r w:rsidRPr="00F16C67">
        <w:rPr>
          <w:rFonts w:eastAsia="Times New Roman"/>
          <w:bCs/>
          <w:color w:val="auto"/>
          <w:u w:val="single"/>
        </w:rPr>
        <w:t>Issue Consolidation</w:t>
      </w:r>
      <w:r>
        <w:t>—</w:t>
      </w:r>
      <w:r>
        <w:rPr>
          <w:rFonts w:eastAsia="Times New Roman"/>
          <w:color w:val="auto"/>
        </w:rPr>
        <w:t>C</w:t>
      </w:r>
      <w:r w:rsidRPr="00F16C67">
        <w:rPr>
          <w:rFonts w:eastAsia="Times New Roman"/>
          <w:color w:val="auto"/>
        </w:rPr>
        <w:t xml:space="preserve">ombining similar </w:t>
      </w:r>
      <w:r>
        <w:rPr>
          <w:rFonts w:eastAsia="Times New Roman"/>
          <w:color w:val="auto"/>
        </w:rPr>
        <w:t>c</w:t>
      </w:r>
      <w:r w:rsidRPr="00F16C67">
        <w:rPr>
          <w:rFonts w:eastAsia="Times New Roman"/>
          <w:color w:val="auto"/>
        </w:rPr>
        <w:t xml:space="preserve">ategory issues from the 2013 LR GEIS into a single Category 1 or Category 2 issue in the </w:t>
      </w:r>
      <w:r w:rsidR="00FA1492">
        <w:rPr>
          <w:rFonts w:eastAsia="Times New Roman"/>
          <w:color w:val="auto"/>
        </w:rPr>
        <w:t xml:space="preserve">revised </w:t>
      </w:r>
      <w:r w:rsidRPr="00F16C67">
        <w:rPr>
          <w:rFonts w:eastAsia="Times New Roman"/>
          <w:color w:val="auto"/>
        </w:rPr>
        <w:t>Table B</w:t>
      </w:r>
      <w:r>
        <w:rPr>
          <w:rFonts w:eastAsia="Times New Roman"/>
          <w:color w:val="auto"/>
        </w:rPr>
        <w:noBreakHyphen/>
      </w:r>
      <w:r w:rsidRPr="00F16C67">
        <w:rPr>
          <w:rFonts w:eastAsia="Times New Roman"/>
          <w:color w:val="auto"/>
        </w:rPr>
        <w:t>1 will result in a</w:t>
      </w:r>
      <w:r>
        <w:rPr>
          <w:rFonts w:eastAsia="Times New Roman"/>
          <w:color w:val="auto"/>
        </w:rPr>
        <w:t>n estimated</w:t>
      </w:r>
      <w:r w:rsidRPr="00F16C67">
        <w:rPr>
          <w:rFonts w:eastAsia="Times New Roman"/>
          <w:color w:val="auto"/>
        </w:rPr>
        <w:t xml:space="preserve"> 70</w:t>
      </w:r>
      <w:r>
        <w:rPr>
          <w:rFonts w:eastAsia="Times New Roman"/>
          <w:color w:val="auto"/>
        </w:rPr>
        <w:t> </w:t>
      </w:r>
      <w:r w:rsidRPr="00F16C67">
        <w:rPr>
          <w:rFonts w:eastAsia="Times New Roman"/>
          <w:color w:val="auto"/>
        </w:rPr>
        <w:t>percent savings</w:t>
      </w:r>
      <w:r>
        <w:rPr>
          <w:rFonts w:eastAsia="Times New Roman"/>
          <w:color w:val="auto"/>
        </w:rPr>
        <w:t>, on average,</w:t>
      </w:r>
      <w:r w:rsidRPr="00F16C67">
        <w:rPr>
          <w:rFonts w:eastAsia="Times New Roman"/>
          <w:color w:val="auto"/>
        </w:rPr>
        <w:t xml:space="preserve"> in labor time for each issue removed by consolidation.</w:t>
      </w:r>
    </w:p>
    <w:p w:rsidR="0078072B" w:rsidP="0078072B" w14:paraId="4C56E4D0" w14:textId="77777777">
      <w:pPr>
        <w:pStyle w:val="ListParagraph"/>
        <w:rPr>
          <w:rFonts w:eastAsia="Times New Roman"/>
          <w:color w:val="auto"/>
        </w:rPr>
      </w:pPr>
    </w:p>
    <w:p w:rsidR="0078072B" w:rsidRPr="00083F68" w:rsidP="0078072B" w14:paraId="3C94DEB9" w14:textId="6303D557">
      <w:pPr>
        <w:pStyle w:val="Style1"/>
        <w:numPr>
          <w:ilvl w:val="0"/>
          <w:numId w:val="26"/>
        </w:numPr>
        <w:spacing w:line="276" w:lineRule="auto"/>
        <w:ind w:hanging="720"/>
        <w:rPr>
          <w:rFonts w:ascii="Arial" w:hAnsi="Arial" w:cs="Arial"/>
          <w:sz w:val="22"/>
          <w:szCs w:val="22"/>
        </w:rPr>
      </w:pPr>
      <w:r w:rsidRPr="00594EB1">
        <w:rPr>
          <w:rFonts w:ascii="Arial" w:hAnsi="Arial" w:cs="Arial"/>
          <w:sz w:val="22"/>
          <w:szCs w:val="22"/>
          <w:u w:val="single"/>
        </w:rPr>
        <w:t>Issue Division</w:t>
      </w:r>
      <w:r>
        <w:rPr>
          <w:rFonts w:ascii="Arial" w:hAnsi="Arial" w:cs="Arial"/>
          <w:sz w:val="22"/>
          <w:szCs w:val="22"/>
        </w:rPr>
        <w:t xml:space="preserve">—Dividing a category issue from the 2013 LR GEIS into individual issues of the same category in the </w:t>
      </w:r>
      <w:r w:rsidR="00FA1492">
        <w:rPr>
          <w:rFonts w:ascii="Arial" w:hAnsi="Arial" w:cs="Arial"/>
          <w:sz w:val="22"/>
          <w:szCs w:val="22"/>
        </w:rPr>
        <w:t xml:space="preserve">revised </w:t>
      </w:r>
      <w:r>
        <w:rPr>
          <w:rFonts w:ascii="Arial" w:hAnsi="Arial" w:cs="Arial"/>
          <w:sz w:val="22"/>
          <w:szCs w:val="22"/>
        </w:rPr>
        <w:t>Table B</w:t>
      </w:r>
      <w:r>
        <w:rPr>
          <w:rFonts w:ascii="Arial" w:hAnsi="Arial" w:cs="Arial"/>
          <w:sz w:val="22"/>
          <w:szCs w:val="22"/>
        </w:rPr>
        <w:noBreakHyphen/>
        <w:t xml:space="preserve">1, on average, will result in an estimated 50 percent increase in cost, in labor time for each issue added by issue division. For example, if a single Category 2 issue is divided into three Category 2 issues, then the result is an increased incremental cost of 100 percent for a total of </w:t>
      </w:r>
      <w:r w:rsidRPr="00130697">
        <w:rPr>
          <w:rFonts w:ascii="Arial" w:hAnsi="Arial" w:cs="Arial"/>
          <w:sz w:val="22"/>
          <w:szCs w:val="22"/>
        </w:rPr>
        <w:t>174 hours to analyze the three subdivided Category 2 issues.</w:t>
      </w:r>
    </w:p>
    <w:p w:rsidR="0078072B" w:rsidP="0078072B" w14:paraId="36312CE9" w14:textId="77777777">
      <w:pPr>
        <w:rPr>
          <w:highlight w:val="yellow"/>
        </w:rPr>
      </w:pPr>
    </w:p>
    <w:p w:rsidR="0078072B" w:rsidP="00C87C8D" w14:paraId="3CFD3102" w14:textId="41B6CA33">
      <w:pPr>
        <w:pStyle w:val="Caption"/>
      </w:pPr>
      <w:r>
        <w:rPr>
          <w:rFonts w:eastAsia="Times New Roman"/>
        </w:rPr>
        <w:fldChar w:fldCharType="begin"/>
      </w:r>
      <w:r>
        <w:rPr>
          <w:rFonts w:eastAsia="Times New Roman"/>
        </w:rPr>
        <w:instrText xml:space="preserve"> REF _Ref108429234 \h </w:instrText>
      </w:r>
      <w:r>
        <w:rPr>
          <w:rFonts w:eastAsia="Times New Roman"/>
        </w:rPr>
        <w:fldChar w:fldCharType="separate"/>
      </w:r>
      <w:r w:rsidR="00FA1492">
        <w:rPr>
          <w:noProof/>
        </w:rPr>
        <w:t>Table 6</w:t>
      </w:r>
      <w:r>
        <w:rPr>
          <w:rFonts w:eastAsia="Times New Roman"/>
        </w:rPr>
        <w:fldChar w:fldCharType="end"/>
      </w:r>
      <w:r w:rsidR="00166A6D">
        <w:rPr>
          <w:rFonts w:eastAsia="Times New Roman"/>
          <w:bCs w:val="0"/>
        </w:rPr>
        <w:t xml:space="preserve"> </w:t>
      </w:r>
      <w:r w:rsidR="008145A9">
        <w:rPr>
          <w:rFonts w:eastAsia="Times New Roman"/>
          <w:bCs w:val="0"/>
        </w:rPr>
        <w:t>s</w:t>
      </w:r>
      <w:r>
        <w:rPr>
          <w:rFonts w:eastAsia="Times New Roman"/>
        </w:rPr>
        <w:t xml:space="preserve">ummarizes </w:t>
      </w:r>
      <w:r w:rsidRPr="00D83F09">
        <w:rPr>
          <w:rFonts w:eastAsia="Times New Roman"/>
        </w:rPr>
        <w:t>the cost savings impact of the changes to Table B</w:t>
      </w:r>
      <w:r>
        <w:rPr>
          <w:rFonts w:eastAsia="Times New Roman"/>
        </w:rPr>
        <w:noBreakHyphen/>
      </w:r>
      <w:r w:rsidRPr="00D83F09">
        <w:rPr>
          <w:rFonts w:eastAsia="Times New Roman"/>
        </w:rPr>
        <w:t xml:space="preserve">1 as a </w:t>
      </w:r>
      <w:r w:rsidR="008145A9">
        <w:rPr>
          <w:rFonts w:eastAsia="Times New Roman"/>
        </w:rPr>
        <w:t>r</w:t>
      </w:r>
      <w:r w:rsidRPr="00D83F09">
        <w:rPr>
          <w:rFonts w:eastAsia="Times New Roman"/>
        </w:rPr>
        <w:t xml:space="preserve">esult of the rule to </w:t>
      </w:r>
      <w:r>
        <w:rPr>
          <w:rFonts w:eastAsia="Times New Roman"/>
        </w:rPr>
        <w:t>the NRC for</w:t>
      </w:r>
      <w:r w:rsidRPr="00D83F09">
        <w:rPr>
          <w:rFonts w:eastAsia="Times New Roman"/>
        </w:rPr>
        <w:t xml:space="preserve"> license renewal applica</w:t>
      </w:r>
      <w:r>
        <w:rPr>
          <w:rFonts w:eastAsia="Times New Roman"/>
        </w:rPr>
        <w:t>tions</w:t>
      </w:r>
      <w:r w:rsidRPr="00D83F09">
        <w:rPr>
          <w:rFonts w:eastAsia="Times New Roman"/>
        </w:rPr>
        <w:t>.</w:t>
      </w:r>
    </w:p>
    <w:p w:rsidR="00FE44B9" w:rsidRPr="00C87C8D" w:rsidP="00C87C8D" w14:paraId="154FCE21" w14:textId="16B981CB">
      <w:pPr>
        <w:pStyle w:val="Caption"/>
        <w:jc w:val="center"/>
        <w:rPr>
          <w:b/>
        </w:rPr>
      </w:pPr>
      <w:bookmarkStart w:id="42" w:name="_Toc147923421"/>
      <w:r w:rsidRPr="00C87C8D">
        <w:rPr>
          <w:b/>
        </w:rPr>
        <w:t xml:space="preserve">Table </w:t>
      </w:r>
      <w:r w:rsidRPr="00C87C8D">
        <w:rPr>
          <w:b/>
        </w:rPr>
        <w:fldChar w:fldCharType="begin"/>
      </w:r>
      <w:r w:rsidRPr="00C87C8D">
        <w:rPr>
          <w:b/>
        </w:rPr>
        <w:instrText xml:space="preserve"> SEQ Table \* ARABIC </w:instrText>
      </w:r>
      <w:r w:rsidRPr="00C87C8D">
        <w:rPr>
          <w:b/>
        </w:rPr>
        <w:fldChar w:fldCharType="separate"/>
      </w:r>
      <w:r w:rsidR="00BE3FBC">
        <w:rPr>
          <w:b/>
          <w:noProof/>
        </w:rPr>
        <w:t>6</w:t>
      </w:r>
      <w:r w:rsidRPr="00C87C8D">
        <w:rPr>
          <w:b/>
        </w:rPr>
        <w:fldChar w:fldCharType="end"/>
      </w:r>
      <w:r w:rsidRPr="00C87C8D">
        <w:rPr>
          <w:b/>
        </w:rPr>
        <w:t xml:space="preserve">  NRC Operation Costs</w:t>
      </w:r>
      <w:bookmarkEnd w:id="42"/>
    </w:p>
    <w:tbl>
      <w:tblPr>
        <w:tblW w:w="0" w:type="auto"/>
        <w:tblLook w:val="04A0"/>
      </w:tblPr>
      <w:tblGrid>
        <w:gridCol w:w="1173"/>
        <w:gridCol w:w="3969"/>
        <w:gridCol w:w="1550"/>
        <w:gridCol w:w="1329"/>
        <w:gridCol w:w="1329"/>
      </w:tblGrid>
      <w:tr w14:paraId="62791A47" w14:textId="77777777" w:rsidTr="00C5571D">
        <w:tblPrEx>
          <w:tblW w:w="0" w:type="auto"/>
          <w:tblLook w:val="04A0"/>
        </w:tblPrEx>
        <w:trPr>
          <w:trHeight w:val="28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1D" w:rsidRPr="00C87C8D" w:rsidP="00C5571D" w14:paraId="33CE82E2"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Year</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1D" w:rsidRPr="00C87C8D" w:rsidP="00C5571D" w14:paraId="147FDD0A"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Applicant Group</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5571D" w:rsidRPr="00C87C8D" w:rsidP="00C5571D" w14:paraId="084F804F"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Total (2023 dollars)</w:t>
            </w:r>
          </w:p>
        </w:tc>
      </w:tr>
      <w:tr w14:paraId="54EBA4E8" w14:textId="77777777" w:rsidTr="00C5571D">
        <w:tblPrEx>
          <w:tblW w:w="0" w:type="auto"/>
          <w:tblLook w:val="04A0"/>
        </w:tblPrEx>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571D" w:rsidRPr="000D3264" w:rsidP="00C5571D" w14:paraId="4F28D4BC" w14:textId="77777777">
            <w:pPr>
              <w:autoSpaceDE/>
              <w:autoSpaceDN/>
              <w:adjustRightInd/>
              <w:spacing w:line="240" w:lineRule="auto"/>
              <w:rPr>
                <w:rFonts w:eastAsia="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571D" w:rsidRPr="000D3264" w:rsidP="00C5571D" w14:paraId="6C761393" w14:textId="77777777">
            <w:pPr>
              <w:autoSpaceDE/>
              <w:autoSpaceDN/>
              <w:adjustRightInd/>
              <w:spacing w:line="240" w:lineRule="auto"/>
              <w:rPr>
                <w:rFonts w:eastAsia="Times New Roman"/>
                <w:b/>
                <w:bCs/>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C5571D" w:rsidRPr="000D3264" w:rsidP="00C5571D" w14:paraId="08D9E218" w14:textId="77777777">
            <w:pPr>
              <w:autoSpaceDE/>
              <w:autoSpaceDN/>
              <w:adjustRightInd/>
              <w:spacing w:line="240" w:lineRule="auto"/>
              <w:jc w:val="center"/>
              <w:rPr>
                <w:rFonts w:eastAsia="Times New Roman"/>
                <w:b/>
                <w:bCs/>
                <w:color w:val="000000"/>
                <w:sz w:val="20"/>
                <w:szCs w:val="20"/>
              </w:rPr>
            </w:pPr>
            <w:r w:rsidRPr="000D3264">
              <w:rPr>
                <w:rFonts w:eastAsia="Times New Roman"/>
                <w:b/>
                <w:bCs/>
                <w:color w:val="000000"/>
                <w:sz w:val="20"/>
                <w:szCs w:val="20"/>
              </w:rPr>
              <w:t>Undiscounted</w:t>
            </w:r>
          </w:p>
        </w:tc>
        <w:tc>
          <w:tcPr>
            <w:tcW w:w="0" w:type="auto"/>
            <w:tcBorders>
              <w:top w:val="nil"/>
              <w:left w:val="nil"/>
              <w:bottom w:val="single" w:sz="4" w:space="0" w:color="auto"/>
              <w:right w:val="single" w:sz="4" w:space="0" w:color="auto"/>
            </w:tcBorders>
            <w:shd w:val="clear" w:color="auto" w:fill="auto"/>
            <w:noWrap/>
            <w:vAlign w:val="bottom"/>
            <w:hideMark/>
          </w:tcPr>
          <w:p w:rsidR="00C5571D" w:rsidRPr="000D3264" w:rsidP="00C5571D" w14:paraId="29C37794" w14:textId="77777777">
            <w:pPr>
              <w:autoSpaceDE/>
              <w:autoSpaceDN/>
              <w:adjustRightInd/>
              <w:spacing w:line="240" w:lineRule="auto"/>
              <w:jc w:val="center"/>
              <w:rPr>
                <w:rFonts w:eastAsia="Times New Roman"/>
                <w:b/>
                <w:bCs/>
                <w:color w:val="000000"/>
                <w:sz w:val="20"/>
                <w:szCs w:val="20"/>
              </w:rPr>
            </w:pPr>
            <w:r w:rsidRPr="000D3264">
              <w:rPr>
                <w:rFonts w:eastAsia="Times New Roman"/>
                <w:b/>
                <w:bCs/>
                <w:color w:val="000000"/>
                <w:sz w:val="20"/>
                <w:szCs w:val="20"/>
              </w:rPr>
              <w:t>7% NPV</w:t>
            </w:r>
          </w:p>
        </w:tc>
        <w:tc>
          <w:tcPr>
            <w:tcW w:w="0" w:type="auto"/>
            <w:tcBorders>
              <w:top w:val="nil"/>
              <w:left w:val="nil"/>
              <w:bottom w:val="single" w:sz="4" w:space="0" w:color="auto"/>
              <w:right w:val="single" w:sz="4" w:space="0" w:color="auto"/>
            </w:tcBorders>
            <w:shd w:val="clear" w:color="auto" w:fill="auto"/>
            <w:noWrap/>
            <w:vAlign w:val="bottom"/>
            <w:hideMark/>
          </w:tcPr>
          <w:p w:rsidR="00C5571D" w:rsidRPr="000D3264" w:rsidP="00C5571D" w14:paraId="4ACF3FD5" w14:textId="77777777">
            <w:pPr>
              <w:autoSpaceDE/>
              <w:autoSpaceDN/>
              <w:adjustRightInd/>
              <w:spacing w:line="240" w:lineRule="auto"/>
              <w:jc w:val="center"/>
              <w:rPr>
                <w:rFonts w:eastAsia="Times New Roman"/>
                <w:b/>
                <w:bCs/>
                <w:color w:val="000000"/>
                <w:sz w:val="20"/>
                <w:szCs w:val="20"/>
              </w:rPr>
            </w:pPr>
            <w:r w:rsidRPr="000D3264">
              <w:rPr>
                <w:rFonts w:eastAsia="Times New Roman"/>
                <w:b/>
                <w:bCs/>
                <w:color w:val="000000"/>
                <w:sz w:val="20"/>
                <w:szCs w:val="20"/>
              </w:rPr>
              <w:t>3% NPV</w:t>
            </w:r>
          </w:p>
        </w:tc>
      </w:tr>
      <w:tr w14:paraId="097DC3D0" w14:textId="77777777" w:rsidTr="00C5571D">
        <w:tblPrEx>
          <w:tblW w:w="0" w:type="auto"/>
          <w:tblLook w:val="04A0"/>
        </w:tblPrEx>
        <w:trPr>
          <w:trHeight w:val="28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5571D" w:rsidRPr="00C87C8D" w:rsidP="00C5571D" w14:paraId="5F33F99E"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2025-2035</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rsidR="00C5571D" w:rsidRPr="00C87C8D" w:rsidP="00C5571D" w14:paraId="67FC091F" w14:textId="77777777">
            <w:pPr>
              <w:autoSpaceDE/>
              <w:autoSpaceDN/>
              <w:adjustRightInd/>
              <w:spacing w:line="240" w:lineRule="auto"/>
              <w:rPr>
                <w:rFonts w:eastAsia="Times New Roman"/>
                <w:color w:val="000000"/>
                <w:sz w:val="20"/>
                <w:szCs w:val="20"/>
              </w:rPr>
            </w:pPr>
            <w:r w:rsidRPr="00C87C8D">
              <w:rPr>
                <w:rFonts w:eastAsia="Times New Roman"/>
                <w:color w:val="000000"/>
                <w:sz w:val="20"/>
                <w:szCs w:val="20"/>
              </w:rPr>
              <w:t>Initial LR</w:t>
            </w:r>
          </w:p>
        </w:tc>
      </w:tr>
      <w:tr w14:paraId="13AA6F45" w14:textId="77777777" w:rsidTr="00C5571D">
        <w:tblPrEx>
          <w:tblW w:w="0" w:type="auto"/>
          <w:tblLook w:val="04A0"/>
        </w:tblPrEx>
        <w:trPr>
          <w:trHeight w:val="280"/>
        </w:trPr>
        <w:tc>
          <w:tcPr>
            <w:tcW w:w="0" w:type="auto"/>
            <w:vMerge/>
            <w:tcBorders>
              <w:top w:val="nil"/>
              <w:left w:val="single" w:sz="4" w:space="0" w:color="auto"/>
              <w:bottom w:val="single" w:sz="4" w:space="0" w:color="auto"/>
              <w:right w:val="single" w:sz="4" w:space="0" w:color="auto"/>
            </w:tcBorders>
            <w:vAlign w:val="center"/>
            <w:hideMark/>
          </w:tcPr>
          <w:p w:rsidR="00C5571D" w:rsidRPr="000D3264" w:rsidP="00C5571D" w14:paraId="7DB8C6F5" w14:textId="77777777">
            <w:pPr>
              <w:autoSpaceDE/>
              <w:autoSpaceDN/>
              <w:adjustRightInd/>
              <w:spacing w:line="240" w:lineRule="auto"/>
              <w:rPr>
                <w:rFonts w:eastAsia="Times New Roman"/>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C5571D" w:rsidRPr="000D3264" w:rsidP="00C5571D" w14:paraId="34B5B3AB" w14:textId="77777777">
            <w:pPr>
              <w:autoSpaceDE/>
              <w:autoSpaceDN/>
              <w:adjustRightInd/>
              <w:spacing w:line="240" w:lineRule="auto"/>
              <w:ind w:firstLine="200" w:firstLineChars="100"/>
              <w:rPr>
                <w:rFonts w:eastAsia="Times New Roman"/>
                <w:color w:val="000000"/>
                <w:sz w:val="20"/>
                <w:szCs w:val="20"/>
              </w:rPr>
            </w:pPr>
            <w:r w:rsidRPr="000D3264">
              <w:rPr>
                <w:rFonts w:eastAsia="Times New Roman"/>
                <w:color w:val="000000"/>
                <w:sz w:val="20"/>
                <w:szCs w:val="20"/>
              </w:rPr>
              <w:t>Costs</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39BA7AF7"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($52,000)</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420C3963"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($23,000)</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6A0254C4"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($36,000)</w:t>
            </w:r>
          </w:p>
        </w:tc>
      </w:tr>
      <w:tr w14:paraId="77285120" w14:textId="77777777" w:rsidTr="00C5571D">
        <w:tblPrEx>
          <w:tblW w:w="0" w:type="auto"/>
          <w:tblLook w:val="04A0"/>
        </w:tblPrEx>
        <w:trPr>
          <w:trHeight w:val="280"/>
        </w:trPr>
        <w:tc>
          <w:tcPr>
            <w:tcW w:w="0" w:type="auto"/>
            <w:vMerge/>
            <w:tcBorders>
              <w:top w:val="nil"/>
              <w:left w:val="single" w:sz="4" w:space="0" w:color="auto"/>
              <w:bottom w:val="single" w:sz="4" w:space="0" w:color="auto"/>
              <w:right w:val="single" w:sz="4" w:space="0" w:color="auto"/>
            </w:tcBorders>
            <w:vAlign w:val="center"/>
            <w:hideMark/>
          </w:tcPr>
          <w:p w:rsidR="00C5571D" w:rsidRPr="000D3264" w:rsidP="00C5571D" w14:paraId="62F74403" w14:textId="77777777">
            <w:pPr>
              <w:autoSpaceDE/>
              <w:autoSpaceDN/>
              <w:adjustRightInd/>
              <w:spacing w:line="240" w:lineRule="auto"/>
              <w:rPr>
                <w:rFonts w:eastAsia="Times New Roman"/>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C5571D" w:rsidRPr="000D3264" w:rsidP="00C5571D" w14:paraId="42F9184E" w14:textId="77777777">
            <w:pPr>
              <w:autoSpaceDE/>
              <w:autoSpaceDN/>
              <w:adjustRightInd/>
              <w:spacing w:line="240" w:lineRule="auto"/>
              <w:ind w:firstLine="200" w:firstLineChars="100"/>
              <w:rPr>
                <w:rFonts w:eastAsia="Times New Roman"/>
                <w:color w:val="000000"/>
                <w:sz w:val="20"/>
                <w:szCs w:val="20"/>
              </w:rPr>
            </w:pPr>
            <w:r w:rsidRPr="000D3264">
              <w:rPr>
                <w:rFonts w:eastAsia="Times New Roman"/>
                <w:color w:val="000000"/>
                <w:sz w:val="20"/>
                <w:szCs w:val="20"/>
              </w:rPr>
              <w:t>Benefits</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692653C8"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7E690BA0"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1EEFEF84"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r>
      <w:tr w14:paraId="41BE220F" w14:textId="77777777" w:rsidTr="00C5571D">
        <w:tblPrEx>
          <w:tblW w:w="0" w:type="auto"/>
          <w:tblLook w:val="04A0"/>
        </w:tblPrEx>
        <w:trPr>
          <w:trHeight w:val="290"/>
        </w:trPr>
        <w:tc>
          <w:tcPr>
            <w:tcW w:w="0" w:type="auto"/>
            <w:vMerge/>
            <w:tcBorders>
              <w:top w:val="nil"/>
              <w:left w:val="single" w:sz="4" w:space="0" w:color="auto"/>
              <w:bottom w:val="single" w:sz="4" w:space="0" w:color="auto"/>
              <w:right w:val="single" w:sz="4" w:space="0" w:color="auto"/>
            </w:tcBorders>
            <w:vAlign w:val="center"/>
            <w:hideMark/>
          </w:tcPr>
          <w:p w:rsidR="00C5571D" w:rsidRPr="000D3264" w:rsidP="00C5571D" w14:paraId="06F62427" w14:textId="77777777">
            <w:pPr>
              <w:autoSpaceDE/>
              <w:autoSpaceDN/>
              <w:adjustRightInd/>
              <w:spacing w:line="240" w:lineRule="auto"/>
              <w:rPr>
                <w:rFonts w:eastAsia="Times New Roman"/>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C5571D" w:rsidRPr="000D3264" w:rsidP="00C5571D" w14:paraId="2BD5AFD4" w14:textId="77777777">
            <w:pPr>
              <w:autoSpaceDE/>
              <w:autoSpaceDN/>
              <w:adjustRightInd/>
              <w:spacing w:line="240" w:lineRule="auto"/>
              <w:ind w:firstLine="200" w:firstLineChars="100"/>
              <w:jc w:val="right"/>
              <w:rPr>
                <w:rFonts w:eastAsia="Times New Roman"/>
                <w:i/>
                <w:iCs/>
                <w:color w:val="000000"/>
                <w:sz w:val="20"/>
                <w:szCs w:val="20"/>
              </w:rPr>
            </w:pPr>
            <w:r w:rsidRPr="000D3264">
              <w:rPr>
                <w:rFonts w:eastAsia="Times New Roman"/>
                <w:i/>
                <w:iCs/>
                <w:color w:val="000000"/>
                <w:sz w:val="20"/>
                <w:szCs w:val="20"/>
              </w:rPr>
              <w:t>Initial LR Subtotal</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3FC732AE"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($52,000)</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57F00ECF"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($23,000)</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2F74ED9F"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($36,000)</w:t>
            </w:r>
          </w:p>
        </w:tc>
      </w:tr>
      <w:tr w14:paraId="2585F553" w14:textId="77777777" w:rsidTr="00C5571D">
        <w:tblPrEx>
          <w:tblW w:w="0" w:type="auto"/>
          <w:tblLook w:val="04A0"/>
        </w:tblPrEx>
        <w:trPr>
          <w:trHeight w:val="28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5571D" w:rsidRPr="00C87C8D" w:rsidP="00C5571D" w14:paraId="50CC608D"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2025-2035</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rsidR="00C5571D" w:rsidRPr="00C87C8D" w:rsidP="00C5571D" w14:paraId="4BA0D0B9" w14:textId="77777777">
            <w:pPr>
              <w:autoSpaceDE/>
              <w:autoSpaceDN/>
              <w:adjustRightInd/>
              <w:spacing w:line="240" w:lineRule="auto"/>
              <w:rPr>
                <w:rFonts w:eastAsia="Times New Roman"/>
                <w:color w:val="000000"/>
                <w:sz w:val="20"/>
                <w:szCs w:val="20"/>
              </w:rPr>
            </w:pPr>
            <w:r w:rsidRPr="00C87C8D">
              <w:rPr>
                <w:rFonts w:eastAsia="Times New Roman"/>
                <w:color w:val="000000"/>
                <w:sz w:val="20"/>
                <w:szCs w:val="20"/>
              </w:rPr>
              <w:t>Future SLR</w:t>
            </w:r>
          </w:p>
        </w:tc>
      </w:tr>
      <w:tr w14:paraId="637D433A" w14:textId="77777777" w:rsidTr="00C5571D">
        <w:tblPrEx>
          <w:tblW w:w="0" w:type="auto"/>
          <w:tblLook w:val="04A0"/>
        </w:tblPrEx>
        <w:trPr>
          <w:trHeight w:val="280"/>
        </w:trPr>
        <w:tc>
          <w:tcPr>
            <w:tcW w:w="0" w:type="auto"/>
            <w:vMerge/>
            <w:tcBorders>
              <w:top w:val="nil"/>
              <w:left w:val="single" w:sz="4" w:space="0" w:color="auto"/>
              <w:bottom w:val="single" w:sz="4" w:space="0" w:color="auto"/>
              <w:right w:val="single" w:sz="4" w:space="0" w:color="auto"/>
            </w:tcBorders>
            <w:vAlign w:val="center"/>
            <w:hideMark/>
          </w:tcPr>
          <w:p w:rsidR="00C5571D" w:rsidRPr="000D3264" w:rsidP="00C5571D" w14:paraId="47D64786" w14:textId="77777777">
            <w:pPr>
              <w:autoSpaceDE/>
              <w:autoSpaceDN/>
              <w:adjustRightInd/>
              <w:spacing w:line="240" w:lineRule="auto"/>
              <w:rPr>
                <w:rFonts w:eastAsia="Times New Roman"/>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C5571D" w:rsidRPr="000D3264" w:rsidP="00C5571D" w14:paraId="0282C703" w14:textId="77777777">
            <w:pPr>
              <w:autoSpaceDE/>
              <w:autoSpaceDN/>
              <w:adjustRightInd/>
              <w:spacing w:line="240" w:lineRule="auto"/>
              <w:ind w:firstLine="200" w:firstLineChars="100"/>
              <w:rPr>
                <w:rFonts w:eastAsia="Times New Roman"/>
                <w:color w:val="000000"/>
                <w:sz w:val="20"/>
                <w:szCs w:val="20"/>
              </w:rPr>
            </w:pPr>
            <w:r w:rsidRPr="000D3264">
              <w:rPr>
                <w:rFonts w:eastAsia="Times New Roman"/>
                <w:color w:val="000000"/>
                <w:sz w:val="20"/>
                <w:szCs w:val="20"/>
              </w:rPr>
              <w:t>Costs</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6E195DB5"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5E2CDB9F"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79F23EB2"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r>
      <w:tr w14:paraId="118DAFE7" w14:textId="77777777" w:rsidTr="00C5571D">
        <w:tblPrEx>
          <w:tblW w:w="0" w:type="auto"/>
          <w:tblLook w:val="04A0"/>
        </w:tblPrEx>
        <w:trPr>
          <w:trHeight w:val="280"/>
        </w:trPr>
        <w:tc>
          <w:tcPr>
            <w:tcW w:w="0" w:type="auto"/>
            <w:vMerge/>
            <w:tcBorders>
              <w:top w:val="nil"/>
              <w:left w:val="single" w:sz="4" w:space="0" w:color="auto"/>
              <w:bottom w:val="single" w:sz="4" w:space="0" w:color="auto"/>
              <w:right w:val="single" w:sz="4" w:space="0" w:color="auto"/>
            </w:tcBorders>
            <w:vAlign w:val="center"/>
            <w:hideMark/>
          </w:tcPr>
          <w:p w:rsidR="00C5571D" w:rsidRPr="000D3264" w:rsidP="00C5571D" w14:paraId="345D68E1" w14:textId="77777777">
            <w:pPr>
              <w:autoSpaceDE/>
              <w:autoSpaceDN/>
              <w:adjustRightInd/>
              <w:spacing w:line="240" w:lineRule="auto"/>
              <w:rPr>
                <w:rFonts w:eastAsia="Times New Roman"/>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C5571D" w:rsidRPr="000D3264" w:rsidP="00C5571D" w14:paraId="7E8D4006" w14:textId="77777777">
            <w:pPr>
              <w:autoSpaceDE/>
              <w:autoSpaceDN/>
              <w:adjustRightInd/>
              <w:spacing w:line="240" w:lineRule="auto"/>
              <w:ind w:firstLine="200" w:firstLineChars="100"/>
              <w:rPr>
                <w:rFonts w:eastAsia="Times New Roman"/>
                <w:color w:val="000000"/>
                <w:sz w:val="20"/>
                <w:szCs w:val="20"/>
              </w:rPr>
            </w:pPr>
            <w:r w:rsidRPr="000D3264">
              <w:rPr>
                <w:rFonts w:eastAsia="Times New Roman"/>
                <w:color w:val="000000"/>
                <w:sz w:val="20"/>
                <w:szCs w:val="20"/>
              </w:rPr>
              <w:t>Benefits</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0BDE208B"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$36,882,000</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6393196F"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$25,356,000</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1D43A638"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$31,031,000</w:t>
            </w:r>
          </w:p>
        </w:tc>
      </w:tr>
      <w:tr w14:paraId="5F767C48" w14:textId="77777777" w:rsidTr="00C5571D">
        <w:tblPrEx>
          <w:tblW w:w="0" w:type="auto"/>
          <w:tblLook w:val="04A0"/>
        </w:tblPrEx>
        <w:trPr>
          <w:trHeight w:val="290"/>
        </w:trPr>
        <w:tc>
          <w:tcPr>
            <w:tcW w:w="0" w:type="auto"/>
            <w:vMerge/>
            <w:tcBorders>
              <w:top w:val="nil"/>
              <w:left w:val="single" w:sz="4" w:space="0" w:color="auto"/>
              <w:bottom w:val="single" w:sz="4" w:space="0" w:color="auto"/>
              <w:right w:val="single" w:sz="4" w:space="0" w:color="auto"/>
            </w:tcBorders>
            <w:vAlign w:val="center"/>
            <w:hideMark/>
          </w:tcPr>
          <w:p w:rsidR="00C5571D" w:rsidRPr="000D3264" w:rsidP="00C5571D" w14:paraId="5DADC420" w14:textId="77777777">
            <w:pPr>
              <w:autoSpaceDE/>
              <w:autoSpaceDN/>
              <w:adjustRightInd/>
              <w:spacing w:line="240" w:lineRule="auto"/>
              <w:rPr>
                <w:rFonts w:eastAsia="Times New Roman"/>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C5571D" w:rsidRPr="000D3264" w:rsidP="00C5571D" w14:paraId="6E49EA65" w14:textId="77777777">
            <w:pPr>
              <w:autoSpaceDE/>
              <w:autoSpaceDN/>
              <w:adjustRightInd/>
              <w:spacing w:line="240" w:lineRule="auto"/>
              <w:ind w:firstLine="200" w:firstLineChars="100"/>
              <w:jc w:val="right"/>
              <w:rPr>
                <w:rFonts w:eastAsia="Times New Roman"/>
                <w:i/>
                <w:iCs/>
                <w:color w:val="000000"/>
                <w:sz w:val="20"/>
                <w:szCs w:val="20"/>
              </w:rPr>
            </w:pPr>
            <w:r w:rsidRPr="000D3264">
              <w:rPr>
                <w:rFonts w:eastAsia="Times New Roman"/>
                <w:i/>
                <w:iCs/>
                <w:color w:val="000000"/>
                <w:sz w:val="20"/>
                <w:szCs w:val="20"/>
              </w:rPr>
              <w:t>Future SLR Subtotal</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24B21EAD"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$36,882,000</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604FA198"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$25,356,000</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69F740BF"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$31,031,000</w:t>
            </w:r>
          </w:p>
        </w:tc>
      </w:tr>
      <w:tr w14:paraId="50BF87C1" w14:textId="77777777" w:rsidTr="00C5571D">
        <w:tblPrEx>
          <w:tblW w:w="0" w:type="auto"/>
          <w:tblLook w:val="04A0"/>
        </w:tblPrEx>
        <w:trPr>
          <w:trHeight w:val="28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5571D" w:rsidRPr="00C87C8D" w:rsidP="00C5571D" w14:paraId="2396BD08"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2025</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C5571D" w:rsidRPr="00C87C8D" w:rsidP="00C5571D" w14:paraId="68DE97C6" w14:textId="5F4824A9">
            <w:pPr>
              <w:autoSpaceDE/>
              <w:autoSpaceDN/>
              <w:adjustRightInd/>
              <w:spacing w:line="240" w:lineRule="auto"/>
              <w:rPr>
                <w:rFonts w:eastAsia="Times New Roman"/>
                <w:color w:val="000000"/>
                <w:sz w:val="20"/>
                <w:szCs w:val="20"/>
              </w:rPr>
            </w:pPr>
            <w:r w:rsidRPr="00C87C8D">
              <w:rPr>
                <w:rFonts w:eastAsia="Times New Roman"/>
                <w:color w:val="000000"/>
                <w:sz w:val="20"/>
                <w:szCs w:val="20"/>
              </w:rPr>
              <w:t xml:space="preserve"> Near-</w:t>
            </w:r>
            <w:r w:rsidR="005322FA">
              <w:rPr>
                <w:rFonts w:eastAsia="Times New Roman"/>
                <w:color w:val="000000"/>
                <w:sz w:val="20"/>
                <w:szCs w:val="20"/>
              </w:rPr>
              <w:t>T</w:t>
            </w:r>
            <w:r w:rsidRPr="00C87C8D">
              <w:rPr>
                <w:rFonts w:eastAsia="Times New Roman"/>
                <w:color w:val="000000"/>
                <w:sz w:val="20"/>
                <w:szCs w:val="20"/>
              </w:rPr>
              <w:t>erm and Submitted Applications, and Issued Subsequently Renewed Licenses</w:t>
            </w:r>
          </w:p>
        </w:tc>
      </w:tr>
      <w:tr w14:paraId="40EAB27E" w14:textId="77777777" w:rsidTr="00C5571D">
        <w:tblPrEx>
          <w:tblW w:w="0" w:type="auto"/>
          <w:tblLook w:val="04A0"/>
        </w:tblPrEx>
        <w:trPr>
          <w:trHeight w:val="280"/>
        </w:trPr>
        <w:tc>
          <w:tcPr>
            <w:tcW w:w="0" w:type="auto"/>
            <w:vMerge/>
            <w:tcBorders>
              <w:top w:val="nil"/>
              <w:left w:val="single" w:sz="4" w:space="0" w:color="auto"/>
              <w:bottom w:val="single" w:sz="4" w:space="0" w:color="auto"/>
              <w:right w:val="single" w:sz="4" w:space="0" w:color="auto"/>
            </w:tcBorders>
            <w:vAlign w:val="center"/>
            <w:hideMark/>
          </w:tcPr>
          <w:p w:rsidR="00C5571D" w:rsidRPr="000D3264" w:rsidP="00C5571D" w14:paraId="1F5ACE93" w14:textId="77777777">
            <w:pPr>
              <w:autoSpaceDE/>
              <w:autoSpaceDN/>
              <w:adjustRightInd/>
              <w:spacing w:line="240" w:lineRule="auto"/>
              <w:rPr>
                <w:rFonts w:eastAsia="Times New Roman"/>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C5571D" w:rsidRPr="000D3264" w:rsidP="00C5571D" w14:paraId="79B3AF39" w14:textId="77777777">
            <w:pPr>
              <w:autoSpaceDE/>
              <w:autoSpaceDN/>
              <w:adjustRightInd/>
              <w:spacing w:line="240" w:lineRule="auto"/>
              <w:ind w:firstLine="200" w:firstLineChars="100"/>
              <w:rPr>
                <w:rFonts w:eastAsia="Times New Roman"/>
                <w:color w:val="000000"/>
                <w:sz w:val="20"/>
                <w:szCs w:val="20"/>
              </w:rPr>
            </w:pPr>
            <w:r w:rsidRPr="000D3264">
              <w:rPr>
                <w:rFonts w:eastAsia="Times New Roman"/>
                <w:color w:val="000000"/>
                <w:sz w:val="20"/>
                <w:szCs w:val="20"/>
              </w:rPr>
              <w:t>Costs</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7D560508" w14:textId="77777777">
            <w:pPr>
              <w:autoSpaceDE/>
              <w:autoSpaceDN/>
              <w:adjustRightInd/>
              <w:spacing w:line="240" w:lineRule="auto"/>
              <w:jc w:val="center"/>
              <w:rPr>
                <w:rFonts w:eastAsia="Times New Roman"/>
                <w:color w:val="auto"/>
                <w:sz w:val="20"/>
                <w:szCs w:val="20"/>
              </w:rPr>
            </w:pPr>
            <w:r w:rsidRPr="000D3264">
              <w:rPr>
                <w:rFonts w:eastAsia="Times New Roman"/>
                <w:color w:val="auto"/>
                <w:sz w:val="20"/>
                <w:szCs w:val="20"/>
              </w:rPr>
              <w:t>($834,000)</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680BF053" w14:textId="77777777">
            <w:pPr>
              <w:autoSpaceDE/>
              <w:autoSpaceDN/>
              <w:adjustRightInd/>
              <w:spacing w:line="240" w:lineRule="auto"/>
              <w:jc w:val="center"/>
              <w:rPr>
                <w:rFonts w:eastAsia="Times New Roman"/>
                <w:color w:val="auto"/>
                <w:sz w:val="20"/>
                <w:szCs w:val="20"/>
              </w:rPr>
            </w:pPr>
            <w:r w:rsidRPr="000D3264">
              <w:rPr>
                <w:rFonts w:eastAsia="Times New Roman"/>
                <w:color w:val="auto"/>
                <w:sz w:val="20"/>
                <w:szCs w:val="20"/>
              </w:rPr>
              <w:t>($729,000)</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2D0F9A10" w14:textId="77777777">
            <w:pPr>
              <w:autoSpaceDE/>
              <w:autoSpaceDN/>
              <w:adjustRightInd/>
              <w:spacing w:line="240" w:lineRule="auto"/>
              <w:jc w:val="center"/>
              <w:rPr>
                <w:rFonts w:eastAsia="Times New Roman"/>
                <w:color w:val="auto"/>
                <w:sz w:val="20"/>
                <w:szCs w:val="20"/>
              </w:rPr>
            </w:pPr>
            <w:r w:rsidRPr="000D3264">
              <w:rPr>
                <w:rFonts w:eastAsia="Times New Roman"/>
                <w:color w:val="auto"/>
                <w:sz w:val="20"/>
                <w:szCs w:val="20"/>
              </w:rPr>
              <w:t>($786,000)</w:t>
            </w:r>
          </w:p>
        </w:tc>
      </w:tr>
      <w:tr w14:paraId="60E74B46" w14:textId="77777777" w:rsidTr="00C5571D">
        <w:tblPrEx>
          <w:tblW w:w="0" w:type="auto"/>
          <w:tblLook w:val="04A0"/>
        </w:tblPrEx>
        <w:trPr>
          <w:trHeight w:val="280"/>
        </w:trPr>
        <w:tc>
          <w:tcPr>
            <w:tcW w:w="0" w:type="auto"/>
            <w:vMerge/>
            <w:tcBorders>
              <w:top w:val="nil"/>
              <w:left w:val="single" w:sz="4" w:space="0" w:color="auto"/>
              <w:bottom w:val="single" w:sz="4" w:space="0" w:color="auto"/>
              <w:right w:val="single" w:sz="4" w:space="0" w:color="auto"/>
            </w:tcBorders>
            <w:vAlign w:val="center"/>
            <w:hideMark/>
          </w:tcPr>
          <w:p w:rsidR="00C5571D" w:rsidRPr="000D3264" w:rsidP="00C5571D" w14:paraId="7C46E481" w14:textId="77777777">
            <w:pPr>
              <w:autoSpaceDE/>
              <w:autoSpaceDN/>
              <w:adjustRightInd/>
              <w:spacing w:line="240" w:lineRule="auto"/>
              <w:rPr>
                <w:rFonts w:eastAsia="Times New Roman"/>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C5571D" w:rsidRPr="000D3264" w:rsidP="00C5571D" w14:paraId="46B92458" w14:textId="77777777">
            <w:pPr>
              <w:autoSpaceDE/>
              <w:autoSpaceDN/>
              <w:adjustRightInd/>
              <w:spacing w:line="240" w:lineRule="auto"/>
              <w:ind w:firstLine="200" w:firstLineChars="100"/>
              <w:rPr>
                <w:rFonts w:eastAsia="Times New Roman"/>
                <w:color w:val="000000"/>
                <w:sz w:val="20"/>
                <w:szCs w:val="20"/>
              </w:rPr>
            </w:pPr>
            <w:r w:rsidRPr="000D3264">
              <w:rPr>
                <w:rFonts w:eastAsia="Times New Roman"/>
                <w:color w:val="000000"/>
                <w:sz w:val="20"/>
                <w:szCs w:val="20"/>
              </w:rPr>
              <w:t>Benefits</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47B42AFF"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65E2491C"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C5571D" w:rsidRPr="000D3264" w:rsidP="00C5571D" w14:paraId="351B9429"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$0</w:t>
            </w:r>
          </w:p>
        </w:tc>
      </w:tr>
      <w:tr w14:paraId="6B38FF23" w14:textId="77777777" w:rsidTr="00C5571D">
        <w:tblPrEx>
          <w:tblW w:w="0" w:type="auto"/>
          <w:tblLook w:val="04A0"/>
        </w:tblPrEx>
        <w:trPr>
          <w:trHeight w:val="510"/>
        </w:trPr>
        <w:tc>
          <w:tcPr>
            <w:tcW w:w="0" w:type="auto"/>
            <w:vMerge/>
            <w:tcBorders>
              <w:top w:val="nil"/>
              <w:left w:val="single" w:sz="4" w:space="0" w:color="auto"/>
              <w:bottom w:val="single" w:sz="4" w:space="0" w:color="auto"/>
              <w:right w:val="single" w:sz="4" w:space="0" w:color="auto"/>
            </w:tcBorders>
            <w:vAlign w:val="center"/>
            <w:hideMark/>
          </w:tcPr>
          <w:p w:rsidR="00C5571D" w:rsidRPr="000D3264" w:rsidP="00C5571D" w14:paraId="3A52FEA3" w14:textId="77777777">
            <w:pPr>
              <w:autoSpaceDE/>
              <w:autoSpaceDN/>
              <w:adjustRightInd/>
              <w:spacing w:line="240" w:lineRule="auto"/>
              <w:rPr>
                <w:rFonts w:eastAsia="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C5571D" w:rsidRPr="00C87C8D" w:rsidP="00C5571D" w14:paraId="1CFF9141" w14:textId="6DB34727">
            <w:pPr>
              <w:autoSpaceDE/>
              <w:autoSpaceDN/>
              <w:adjustRightInd/>
              <w:spacing w:line="240" w:lineRule="auto"/>
              <w:jc w:val="right"/>
              <w:rPr>
                <w:rFonts w:eastAsia="Times New Roman"/>
                <w:i/>
                <w:iCs/>
                <w:color w:val="000000"/>
                <w:sz w:val="20"/>
                <w:szCs w:val="20"/>
              </w:rPr>
            </w:pPr>
            <w:r w:rsidRPr="000D3264">
              <w:rPr>
                <w:rFonts w:eastAsia="Times New Roman"/>
                <w:i/>
                <w:iCs/>
                <w:color w:val="000000"/>
                <w:sz w:val="20"/>
                <w:szCs w:val="20"/>
              </w:rPr>
              <w:t>Near-</w:t>
            </w:r>
            <w:r w:rsidR="005322FA">
              <w:rPr>
                <w:rFonts w:eastAsia="Times New Roman"/>
                <w:i/>
                <w:iCs/>
                <w:color w:val="000000"/>
                <w:sz w:val="20"/>
                <w:szCs w:val="20"/>
              </w:rPr>
              <w:t>T</w:t>
            </w:r>
            <w:r w:rsidRPr="00C87C8D">
              <w:rPr>
                <w:rFonts w:eastAsia="Times New Roman"/>
                <w:i/>
                <w:iCs/>
                <w:color w:val="000000"/>
                <w:sz w:val="20"/>
                <w:szCs w:val="20"/>
              </w:rPr>
              <w:t>erm and Submitted Applications, and Issued Subsequently Renewed Licenses Subtotal</w:t>
            </w:r>
          </w:p>
        </w:tc>
        <w:tc>
          <w:tcPr>
            <w:tcW w:w="0" w:type="auto"/>
            <w:tcBorders>
              <w:top w:val="nil"/>
              <w:left w:val="nil"/>
              <w:bottom w:val="single" w:sz="4" w:space="0" w:color="auto"/>
              <w:right w:val="single" w:sz="4" w:space="0" w:color="auto"/>
            </w:tcBorders>
            <w:shd w:val="clear" w:color="auto" w:fill="auto"/>
            <w:noWrap/>
            <w:vAlign w:val="bottom"/>
            <w:hideMark/>
          </w:tcPr>
          <w:p w:rsidR="00C5571D" w:rsidRPr="00C87C8D" w:rsidP="00C5571D" w14:paraId="13741C85"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($834,000)</w:t>
            </w:r>
          </w:p>
        </w:tc>
        <w:tc>
          <w:tcPr>
            <w:tcW w:w="0" w:type="auto"/>
            <w:tcBorders>
              <w:top w:val="nil"/>
              <w:left w:val="nil"/>
              <w:bottom w:val="single" w:sz="4" w:space="0" w:color="auto"/>
              <w:right w:val="single" w:sz="4" w:space="0" w:color="auto"/>
            </w:tcBorders>
            <w:shd w:val="clear" w:color="auto" w:fill="auto"/>
            <w:noWrap/>
            <w:vAlign w:val="bottom"/>
            <w:hideMark/>
          </w:tcPr>
          <w:p w:rsidR="00C5571D" w:rsidRPr="00C87C8D" w:rsidP="00C5571D" w14:paraId="6876CCBE"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($729,000)</w:t>
            </w:r>
          </w:p>
        </w:tc>
        <w:tc>
          <w:tcPr>
            <w:tcW w:w="0" w:type="auto"/>
            <w:tcBorders>
              <w:top w:val="nil"/>
              <w:left w:val="nil"/>
              <w:bottom w:val="single" w:sz="4" w:space="0" w:color="auto"/>
              <w:right w:val="single" w:sz="4" w:space="0" w:color="auto"/>
            </w:tcBorders>
            <w:shd w:val="clear" w:color="auto" w:fill="auto"/>
            <w:noWrap/>
            <w:vAlign w:val="bottom"/>
            <w:hideMark/>
          </w:tcPr>
          <w:p w:rsidR="00C5571D" w:rsidRPr="00C87C8D" w:rsidP="00C5571D" w14:paraId="3099783B"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($786,000)</w:t>
            </w:r>
          </w:p>
        </w:tc>
      </w:tr>
      <w:tr w14:paraId="1A2CC38D" w14:textId="77777777" w:rsidTr="00C5571D">
        <w:tblPrEx>
          <w:tblW w:w="0" w:type="auto"/>
          <w:tblLook w:val="04A0"/>
        </w:tblPrEx>
        <w:trPr>
          <w:trHeight w:val="28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571D" w:rsidRPr="00C87C8D" w:rsidP="00C5571D" w14:paraId="256A75BA" w14:textId="77777777">
            <w:pPr>
              <w:autoSpaceDE/>
              <w:autoSpaceDN/>
              <w:adjustRightInd/>
              <w:spacing w:line="240" w:lineRule="auto"/>
              <w:jc w:val="right"/>
              <w:rPr>
                <w:rFonts w:eastAsia="Times New Roman"/>
                <w:b/>
                <w:bCs/>
                <w:color w:val="000000"/>
                <w:sz w:val="20"/>
                <w:szCs w:val="20"/>
              </w:rPr>
            </w:pPr>
            <w:r w:rsidRPr="00C87C8D">
              <w:rPr>
                <w:rFonts w:eastAsia="Times New Roman"/>
                <w:b/>
                <w:bCs/>
                <w:color w:val="000000"/>
                <w:sz w:val="20"/>
                <w:szCs w:val="20"/>
              </w:rPr>
              <w:t>NRC Net Operation Benefit (Cost)</w:t>
            </w:r>
          </w:p>
        </w:tc>
        <w:tc>
          <w:tcPr>
            <w:tcW w:w="0" w:type="auto"/>
            <w:tcBorders>
              <w:top w:val="nil"/>
              <w:left w:val="nil"/>
              <w:bottom w:val="single" w:sz="4" w:space="0" w:color="auto"/>
              <w:right w:val="single" w:sz="4" w:space="0" w:color="auto"/>
            </w:tcBorders>
            <w:shd w:val="clear" w:color="auto" w:fill="auto"/>
            <w:noWrap/>
            <w:vAlign w:val="bottom"/>
            <w:hideMark/>
          </w:tcPr>
          <w:p w:rsidR="00C5571D" w:rsidRPr="00C87C8D" w:rsidP="00C5571D" w14:paraId="00333744"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 xml:space="preserve">$35,996,000 </w:t>
            </w:r>
          </w:p>
        </w:tc>
        <w:tc>
          <w:tcPr>
            <w:tcW w:w="0" w:type="auto"/>
            <w:tcBorders>
              <w:top w:val="nil"/>
              <w:left w:val="nil"/>
              <w:bottom w:val="single" w:sz="4" w:space="0" w:color="auto"/>
              <w:right w:val="single" w:sz="4" w:space="0" w:color="auto"/>
            </w:tcBorders>
            <w:shd w:val="clear" w:color="auto" w:fill="auto"/>
            <w:noWrap/>
            <w:vAlign w:val="bottom"/>
            <w:hideMark/>
          </w:tcPr>
          <w:p w:rsidR="00C5571D" w:rsidRPr="00C87C8D" w:rsidP="00C5571D" w14:paraId="47DBE53F"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 xml:space="preserve">$24,604,000 </w:t>
            </w:r>
          </w:p>
        </w:tc>
        <w:tc>
          <w:tcPr>
            <w:tcW w:w="0" w:type="auto"/>
            <w:tcBorders>
              <w:top w:val="nil"/>
              <w:left w:val="nil"/>
              <w:bottom w:val="single" w:sz="4" w:space="0" w:color="auto"/>
              <w:right w:val="single" w:sz="4" w:space="0" w:color="auto"/>
            </w:tcBorders>
            <w:shd w:val="clear" w:color="auto" w:fill="auto"/>
            <w:noWrap/>
            <w:vAlign w:val="bottom"/>
            <w:hideMark/>
          </w:tcPr>
          <w:p w:rsidR="00C5571D" w:rsidRPr="00C87C8D" w:rsidP="00C5571D" w14:paraId="59F68EE8"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 xml:space="preserve">$30,209,000 </w:t>
            </w:r>
          </w:p>
        </w:tc>
      </w:tr>
    </w:tbl>
    <w:p w:rsidR="0078072B" w:rsidRPr="002E438B" w:rsidP="0078072B" w14:paraId="41535969" w14:textId="77777777">
      <w:pPr>
        <w:autoSpaceDE/>
        <w:autoSpaceDN/>
        <w:adjustRightInd/>
        <w:spacing w:line="240" w:lineRule="auto"/>
        <w:rPr>
          <w:rFonts w:eastAsia="Calibri"/>
          <w:color w:val="000000"/>
          <w:sz w:val="18"/>
          <w:szCs w:val="18"/>
        </w:rPr>
      </w:pPr>
      <w:r w:rsidRPr="002E438B">
        <w:rPr>
          <w:rFonts w:eastAsia="Calibri"/>
          <w:color w:val="000000"/>
          <w:sz w:val="18"/>
          <w:szCs w:val="18"/>
          <w:vertAlign w:val="superscript"/>
        </w:rPr>
        <w:t>a</w:t>
      </w:r>
      <w:r w:rsidRPr="002E438B">
        <w:rPr>
          <w:rFonts w:eastAsia="Calibri"/>
          <w:color w:val="000000"/>
          <w:sz w:val="18"/>
          <w:szCs w:val="18"/>
        </w:rPr>
        <w:t xml:space="preserve"> Values rounded to the nearest </w:t>
      </w:r>
      <w:r w:rsidRPr="00430E83">
        <w:rPr>
          <w:rFonts w:eastAsia="Calibri"/>
          <w:color w:val="000000"/>
          <w:sz w:val="18"/>
          <w:szCs w:val="18"/>
        </w:rPr>
        <w:t xml:space="preserve">thousand </w:t>
      </w:r>
      <w:r w:rsidRPr="002E438B">
        <w:rPr>
          <w:rFonts w:eastAsia="Calibri"/>
          <w:color w:val="000000"/>
          <w:sz w:val="18"/>
          <w:szCs w:val="18"/>
        </w:rPr>
        <w:t>dollars.</w:t>
      </w:r>
    </w:p>
    <w:p w:rsidR="0078072B" w:rsidRPr="00D56080" w:rsidP="0078072B" w14:paraId="3599EDFB" w14:textId="77777777">
      <w:pPr>
        <w:rPr>
          <w:sz w:val="18"/>
          <w:szCs w:val="18"/>
        </w:rPr>
      </w:pPr>
      <w:r w:rsidRPr="00D56080">
        <w:rPr>
          <w:rFonts w:eastAsia="Calibri"/>
          <w:color w:val="000000"/>
          <w:sz w:val="18"/>
          <w:szCs w:val="18"/>
          <w:vertAlign w:val="superscript"/>
        </w:rPr>
        <w:t>b</w:t>
      </w:r>
      <w:r>
        <w:rPr>
          <w:rFonts w:eastAsia="Calibri"/>
          <w:color w:val="000000"/>
          <w:sz w:val="18"/>
          <w:szCs w:val="18"/>
        </w:rPr>
        <w:t xml:space="preserve"> </w:t>
      </w:r>
      <w:r w:rsidRPr="00D56080">
        <w:rPr>
          <w:sz w:val="18"/>
          <w:szCs w:val="18"/>
        </w:rPr>
        <w:t xml:space="preserve">The NRC would also incur incremental costs </w:t>
      </w:r>
      <w:r>
        <w:rPr>
          <w:sz w:val="18"/>
          <w:szCs w:val="18"/>
        </w:rPr>
        <w:t>to withdraw</w:t>
      </w:r>
      <w:r w:rsidRPr="00D56080">
        <w:rPr>
          <w:sz w:val="18"/>
          <w:szCs w:val="18"/>
        </w:rPr>
        <w:t xml:space="preserve"> </w:t>
      </w:r>
      <w:r>
        <w:rPr>
          <w:sz w:val="18"/>
          <w:szCs w:val="18"/>
        </w:rPr>
        <w:t>or amend</w:t>
      </w:r>
      <w:r w:rsidRPr="00D56080">
        <w:rPr>
          <w:sz w:val="18"/>
          <w:szCs w:val="18"/>
        </w:rPr>
        <w:t xml:space="preserve"> any Commission </w:t>
      </w:r>
      <w:r>
        <w:rPr>
          <w:sz w:val="18"/>
          <w:szCs w:val="18"/>
        </w:rPr>
        <w:t>o</w:t>
      </w:r>
      <w:r w:rsidRPr="00D56080">
        <w:rPr>
          <w:sz w:val="18"/>
          <w:szCs w:val="18"/>
        </w:rPr>
        <w:t>rders as a result of the rule.</w:t>
      </w:r>
    </w:p>
    <w:p w:rsidR="0078072B" w:rsidRPr="00271C9B" w:rsidP="0078072B" w14:paraId="6D4B920B" w14:textId="77777777"/>
    <w:p w:rsidR="0078072B" w:rsidP="0078072B" w14:paraId="072EA45D" w14:textId="11BD8241">
      <w:pPr>
        <w:pStyle w:val="Heading2"/>
        <w:rPr>
          <w:sz w:val="24"/>
          <w:szCs w:val="24"/>
        </w:rPr>
      </w:pPr>
      <w:bookmarkStart w:id="43" w:name="_Toc147922990"/>
      <w:r w:rsidRPr="00A714A9">
        <w:rPr>
          <w:sz w:val="24"/>
          <w:szCs w:val="24"/>
        </w:rPr>
        <w:t>3.</w:t>
      </w:r>
      <w:r w:rsidR="00FA1492">
        <w:rPr>
          <w:sz w:val="24"/>
          <w:szCs w:val="24"/>
        </w:rPr>
        <w:t>6</w:t>
      </w:r>
      <w:r>
        <w:rPr>
          <w:sz w:val="24"/>
          <w:szCs w:val="24"/>
        </w:rPr>
        <w:tab/>
      </w:r>
      <w:r w:rsidRPr="006C57F4">
        <w:rPr>
          <w:sz w:val="24"/>
          <w:szCs w:val="24"/>
          <w:u w:val="single"/>
        </w:rPr>
        <w:t>Improvements in Knowledge</w:t>
      </w:r>
      <w:bookmarkEnd w:id="43"/>
    </w:p>
    <w:p w:rsidR="0078072B" w:rsidP="00C87C8D" w14:paraId="23643AB6" w14:textId="77777777">
      <w:pPr>
        <w:keepNext/>
        <w:keepLines/>
      </w:pPr>
    </w:p>
    <w:p w:rsidR="0078072B" w:rsidP="00C87C8D" w14:paraId="572D1110" w14:textId="333BE5A6">
      <w:pPr>
        <w:keepNext/>
        <w:keepLines/>
      </w:pPr>
      <w:r>
        <w:t xml:space="preserve">Alternative 2 would amend the regulations to include lessons learned and knowledge and experience gained from license renewal environmental reviews performed since </w:t>
      </w:r>
      <w:r w:rsidR="00F114AA">
        <w:t xml:space="preserve">development of the </w:t>
      </w:r>
      <w:r>
        <w:t>2013</w:t>
      </w:r>
      <w:r w:rsidR="00F114AA">
        <w:t xml:space="preserve"> LR GEIS</w:t>
      </w:r>
      <w:r>
        <w:t xml:space="preserve">, which provide a significant source of new information. </w:t>
      </w:r>
      <w:r>
        <w:rPr>
          <w:rStyle w:val="normaltextrun"/>
          <w:color w:val="000000"/>
          <w:shd w:val="clear" w:color="auto" w:fill="FFFFFF"/>
        </w:rPr>
        <w:t>In addition, new research, findings, and other information were considered in evaluating the significance of impacts associated with initial LR and SLR.</w:t>
      </w:r>
    </w:p>
    <w:p w:rsidR="0078072B" w:rsidRPr="006C57F4" w:rsidP="0078072B" w14:paraId="76F46E72" w14:textId="77777777"/>
    <w:p w:rsidR="0078072B" w:rsidP="0078072B" w14:paraId="1A3E113D" w14:textId="1BE5D03F">
      <w:pPr>
        <w:pStyle w:val="Heading2"/>
        <w:rPr>
          <w:sz w:val="24"/>
          <w:szCs w:val="24"/>
          <w:u w:val="single"/>
        </w:rPr>
      </w:pPr>
      <w:bookmarkStart w:id="44" w:name="_Toc147922991"/>
      <w:r>
        <w:rPr>
          <w:sz w:val="24"/>
          <w:szCs w:val="24"/>
        </w:rPr>
        <w:t>3.</w:t>
      </w:r>
      <w:r w:rsidR="00FA1492">
        <w:rPr>
          <w:sz w:val="24"/>
          <w:szCs w:val="24"/>
        </w:rPr>
        <w:t>7</w:t>
      </w:r>
      <w:r w:rsidRPr="00A714A9">
        <w:rPr>
          <w:sz w:val="24"/>
          <w:szCs w:val="24"/>
        </w:rPr>
        <w:tab/>
      </w:r>
      <w:r w:rsidRPr="00A714A9">
        <w:rPr>
          <w:sz w:val="24"/>
          <w:szCs w:val="24"/>
          <w:u w:val="single"/>
        </w:rPr>
        <w:t xml:space="preserve">Regulatory </w:t>
      </w:r>
      <w:r>
        <w:rPr>
          <w:sz w:val="24"/>
          <w:szCs w:val="24"/>
          <w:u w:val="single"/>
        </w:rPr>
        <w:t>Clarity</w:t>
      </w:r>
      <w:bookmarkEnd w:id="44"/>
    </w:p>
    <w:p w:rsidR="0078072B" w:rsidP="0078072B" w14:paraId="5A281485" w14:textId="77777777"/>
    <w:p w:rsidR="0078072B" w:rsidRPr="006C57F4" w:rsidP="0078072B" w14:paraId="4EA81778" w14:textId="4B941275">
      <w:r>
        <w:t>Alternative 2 would improve the clarity of the environmental issues identified in Table B</w:t>
      </w:r>
      <w:r>
        <w:noBreakHyphen/>
        <w:t xml:space="preserve">1 and provide consistency with other similar environmental issues (e.g., ecological resource issues) by more clearly describing the title of the issues, scope, and resources considered for issue findings. For example, Table B-1 issues have been divided into separate issues for clarity and consistency with the separate Federal statutes and interagency consultation requirements that the NRC must consider with respect to </w:t>
      </w:r>
      <w:r w:rsidR="00136C7B">
        <w:t>f</w:t>
      </w:r>
      <w:r>
        <w:t xml:space="preserve">ederally protected ecological resources. Also, the rule would remove the word “initial” from 10 CFR 51.53(c)(3), update the </w:t>
      </w:r>
      <w:r w:rsidR="00D65C5F">
        <w:t xml:space="preserve">2013 </w:t>
      </w:r>
      <w:r>
        <w:t>LR GEIS and associated guidance</w:t>
      </w:r>
      <w:r w:rsidRPr="00AE587E">
        <w:t xml:space="preserve"> </w:t>
      </w:r>
      <w:r>
        <w:t>to apply to SLR, and</w:t>
      </w:r>
      <w:r w:rsidRPr="007546CB">
        <w:rPr>
          <w:rStyle w:val="normaltextrun"/>
          <w:rFonts w:eastAsiaTheme="majorEastAsia"/>
          <w:color w:val="000000"/>
        </w:rPr>
        <w:t xml:space="preserve"> make conforming changes in </w:t>
      </w:r>
      <w:r w:rsidRPr="006C4D97">
        <w:rPr>
          <w:rStyle w:val="normaltextrun"/>
          <w:rFonts w:eastAsiaTheme="majorEastAsia"/>
          <w:color w:val="000000"/>
        </w:rPr>
        <w:t>10 CFR 51.53(c)(3)(ii)</w:t>
      </w:r>
      <w:r w:rsidRPr="007546CB">
        <w:rPr>
          <w:rStyle w:val="normaltextrun"/>
          <w:rFonts w:eastAsiaTheme="majorEastAsia"/>
          <w:color w:val="000000"/>
        </w:rPr>
        <w:t xml:space="preserve"> and 10</w:t>
      </w:r>
      <w:r>
        <w:t> </w:t>
      </w:r>
      <w:r w:rsidRPr="007546CB">
        <w:rPr>
          <w:rStyle w:val="normaltextrun"/>
          <w:rFonts w:eastAsiaTheme="majorEastAsia"/>
          <w:color w:val="000000"/>
        </w:rPr>
        <w:t>CFR</w:t>
      </w:r>
      <w:r>
        <w:rPr>
          <w:rStyle w:val="normaltextrun"/>
          <w:rFonts w:eastAsiaTheme="majorEastAsia"/>
          <w:color w:val="000000"/>
        </w:rPr>
        <w:t> </w:t>
      </w:r>
      <w:r w:rsidRPr="007546CB">
        <w:rPr>
          <w:rStyle w:val="normaltextrun"/>
          <w:rFonts w:eastAsiaTheme="majorEastAsia"/>
          <w:color w:val="000000"/>
        </w:rPr>
        <w:t>51.95(c)</w:t>
      </w:r>
      <w:r>
        <w:rPr>
          <w:rStyle w:val="normaltextrun"/>
          <w:rFonts w:eastAsiaTheme="majorEastAsia"/>
          <w:color w:val="000000"/>
        </w:rPr>
        <w:t>.</w:t>
      </w:r>
    </w:p>
    <w:p w:rsidR="0078072B" w:rsidP="0078072B" w14:paraId="219938AD" w14:textId="77777777"/>
    <w:p w:rsidR="0078072B" w:rsidP="0078072B" w14:paraId="0E2015C6" w14:textId="6DA9FF5F">
      <w:pPr>
        <w:pStyle w:val="Heading2"/>
        <w:rPr>
          <w:sz w:val="24"/>
          <w:szCs w:val="24"/>
          <w:u w:val="single"/>
        </w:rPr>
      </w:pPr>
      <w:bookmarkStart w:id="45" w:name="_Toc147922992"/>
      <w:r w:rsidRPr="003A2429">
        <w:rPr>
          <w:sz w:val="24"/>
          <w:szCs w:val="24"/>
        </w:rPr>
        <w:t>3.</w:t>
      </w:r>
      <w:r w:rsidR="00FA1492">
        <w:rPr>
          <w:sz w:val="24"/>
          <w:szCs w:val="24"/>
        </w:rPr>
        <w:t>8</w:t>
      </w:r>
      <w:r w:rsidRPr="003A2429">
        <w:rPr>
          <w:sz w:val="24"/>
          <w:szCs w:val="24"/>
        </w:rPr>
        <w:tab/>
      </w:r>
      <w:r w:rsidRPr="003A2429">
        <w:rPr>
          <w:sz w:val="24"/>
          <w:szCs w:val="24"/>
          <w:u w:val="single"/>
        </w:rPr>
        <w:t>Environmental Considerations</w:t>
      </w:r>
      <w:bookmarkEnd w:id="45"/>
    </w:p>
    <w:p w:rsidR="0078072B" w:rsidP="0078072B" w14:paraId="7FF006FF" w14:textId="77777777"/>
    <w:p w:rsidR="0078072B" w:rsidRPr="008B530B" w:rsidP="0078072B" w14:paraId="36495C13" w14:textId="77777777">
      <w:r>
        <w:t>Alternative 2 would amend the regulations to update Table B</w:t>
      </w:r>
      <w:r>
        <w:noBreakHyphen/>
        <w:t xml:space="preserve">1 and make other conforming changes in </w:t>
      </w:r>
      <w:r w:rsidRPr="006C4D97">
        <w:t>10 CFR Part 51</w:t>
      </w:r>
      <w:r>
        <w:t>, which will improve the quality of the environmental information provided to the NRC and facilitate license renewal environmental reviews. This information is necessary for the NRC to ensure compliance with Federal environmental statutes and regulations and to evaluate the potential environmental effects of continued nuclear power plant operations.</w:t>
      </w:r>
      <w:r>
        <w:rPr>
          <w:rFonts w:eastAsia="Times New Roman"/>
          <w:highlight w:val="yellow"/>
        </w:rPr>
        <w:br w:type="page"/>
      </w:r>
    </w:p>
    <w:p w:rsidR="0078072B" w:rsidRPr="002306D6" w:rsidP="0078072B" w14:paraId="375E0D0F" w14:textId="77777777">
      <w:pPr>
        <w:pStyle w:val="Heading1"/>
        <w:jc w:val="center"/>
        <w:rPr>
          <w:sz w:val="28"/>
        </w:rPr>
      </w:pPr>
      <w:bookmarkStart w:id="46" w:name="_Toc147922993"/>
      <w:r w:rsidRPr="002306D6">
        <w:rPr>
          <w:sz w:val="28"/>
        </w:rPr>
        <w:t>4</w:t>
      </w:r>
      <w:r w:rsidRPr="002306D6">
        <w:rPr>
          <w:sz w:val="28"/>
        </w:rPr>
        <w:tab/>
        <w:t>SUMMARY OF THE RESULTS</w:t>
      </w:r>
      <w:bookmarkEnd w:id="46"/>
    </w:p>
    <w:p w:rsidR="0078072B" w:rsidRPr="00E10389" w:rsidP="0078072B" w14:paraId="2E27CF38" w14:textId="77777777">
      <w:pPr>
        <w:rPr>
          <w:highlight w:val="yellow"/>
        </w:rPr>
      </w:pPr>
    </w:p>
    <w:p w:rsidR="0078072B" w:rsidRPr="00D7784D" w:rsidP="0078072B" w14:paraId="484557DB" w14:textId="77777777">
      <w:pPr>
        <w:pStyle w:val="Heading2"/>
        <w:rPr>
          <w:sz w:val="24"/>
          <w:szCs w:val="24"/>
          <w:u w:val="single"/>
        </w:rPr>
      </w:pPr>
      <w:bookmarkStart w:id="47" w:name="_Toc147922994"/>
      <w:r w:rsidRPr="00D7784D">
        <w:rPr>
          <w:sz w:val="24"/>
          <w:szCs w:val="24"/>
        </w:rPr>
        <w:t>4.1</w:t>
      </w:r>
      <w:r w:rsidRPr="00D7784D">
        <w:rPr>
          <w:sz w:val="24"/>
          <w:szCs w:val="24"/>
        </w:rPr>
        <w:tab/>
      </w:r>
      <w:r w:rsidRPr="00D7784D">
        <w:rPr>
          <w:sz w:val="24"/>
          <w:szCs w:val="24"/>
          <w:u w:val="single"/>
        </w:rPr>
        <w:t>Summary</w:t>
      </w:r>
      <w:bookmarkEnd w:id="47"/>
    </w:p>
    <w:p w:rsidR="0078072B" w:rsidRPr="00D7784D" w:rsidP="0078072B" w14:paraId="27485576" w14:textId="77777777">
      <w:pPr>
        <w:rPr>
          <w:highlight w:val="yellow"/>
        </w:rPr>
      </w:pPr>
    </w:p>
    <w:p w:rsidR="0078072B" w:rsidP="0078072B" w14:paraId="1D034EBC" w14:textId="77777777">
      <w:r w:rsidRPr="00985500">
        <w:t>This regulatory analysis identifie</w:t>
      </w:r>
      <w:r>
        <w:t>s</w:t>
      </w:r>
      <w:r w:rsidRPr="00985500">
        <w:t xml:space="preserve"> both quantifiable and nonquantifiable costs</w:t>
      </w:r>
      <w:r>
        <w:t xml:space="preserve"> and benefits</w:t>
      </w:r>
      <w:r w:rsidRPr="00985500">
        <w:t xml:space="preserve"> that </w:t>
      </w:r>
      <w:r>
        <w:t>would</w:t>
      </w:r>
      <w:r w:rsidRPr="00985500">
        <w:t xml:space="preserve"> </w:t>
      </w:r>
      <w:r>
        <w:t>result</w:t>
      </w:r>
      <w:r w:rsidRPr="00985500">
        <w:t xml:space="preserve"> from </w:t>
      </w:r>
      <w:r>
        <w:t>Alternative 2 (rulemaking).</w:t>
      </w:r>
      <w:r w:rsidRPr="00985500">
        <w:t xml:space="preserve"> Although quantifiable costs</w:t>
      </w:r>
      <w:r>
        <w:t xml:space="preserve"> and benefits</w:t>
      </w:r>
      <w:r w:rsidRPr="00985500">
        <w:t xml:space="preserve"> appear to be more tangible, </w:t>
      </w:r>
      <w:r>
        <w:t>decision</w:t>
      </w:r>
      <w:r w:rsidRPr="00985500">
        <w:t xml:space="preserve">makers </w:t>
      </w:r>
      <w:r>
        <w:t xml:space="preserve">should </w:t>
      </w:r>
      <w:r w:rsidRPr="00985500">
        <w:t>not discount costs</w:t>
      </w:r>
      <w:r>
        <w:t xml:space="preserve"> and benefits</w:t>
      </w:r>
      <w:r w:rsidRPr="00985500">
        <w:t xml:space="preserve"> that </w:t>
      </w:r>
      <w:r>
        <w:t>cannot be</w:t>
      </w:r>
      <w:r w:rsidRPr="00985500">
        <w:t xml:space="preserve"> </w:t>
      </w:r>
      <w:r>
        <w:t>quantified</w:t>
      </w:r>
      <w:r w:rsidRPr="00985500">
        <w:t xml:space="preserve">. Such benefits or costs can be as </w:t>
      </w:r>
      <w:r>
        <w:t xml:space="preserve">important </w:t>
      </w:r>
      <w:r w:rsidRPr="00985500">
        <w:t xml:space="preserve">as or even more important than benefits or costs that </w:t>
      </w:r>
      <w:r>
        <w:t>can be</w:t>
      </w:r>
      <w:r w:rsidRPr="00985500">
        <w:t xml:space="preserve"> quantified and monetized.</w:t>
      </w:r>
    </w:p>
    <w:p w:rsidR="0078072B" w:rsidRPr="00E10389" w:rsidP="0078072B" w14:paraId="22F044FC" w14:textId="77777777">
      <w:pPr>
        <w:rPr>
          <w:highlight w:val="yellow"/>
        </w:rPr>
      </w:pPr>
    </w:p>
    <w:p w:rsidR="0078072B" w:rsidRPr="00781014" w:rsidP="0078072B" w14:paraId="76934458" w14:textId="77777777">
      <w:pPr>
        <w:pStyle w:val="Heading3"/>
        <w:rPr>
          <w:i w:val="0"/>
          <w:iCs/>
        </w:rPr>
      </w:pPr>
      <w:bookmarkStart w:id="48" w:name="_Toc147922995"/>
      <w:r w:rsidRPr="00781014">
        <w:rPr>
          <w:i w:val="0"/>
          <w:iCs/>
        </w:rPr>
        <w:t>4.1.1</w:t>
      </w:r>
      <w:r w:rsidRPr="00781014">
        <w:rPr>
          <w:i w:val="0"/>
          <w:iCs/>
        </w:rPr>
        <w:tab/>
      </w:r>
      <w:r w:rsidRPr="00781014">
        <w:t>Quantified Net Benefits</w:t>
      </w:r>
      <w:bookmarkEnd w:id="48"/>
    </w:p>
    <w:p w:rsidR="0078072B" w:rsidRPr="00C87C8D" w:rsidP="0078072B" w14:paraId="0AB1EB25" w14:textId="77777777"/>
    <w:p w:rsidR="0078072B" w:rsidP="0078072B" w14:paraId="669691A0" w14:textId="784E44AB">
      <w:pPr>
        <w:pStyle w:val="Caption"/>
      </w:pPr>
      <w:r>
        <w:t>Table</w:t>
      </w:r>
      <w:r w:rsidR="0002460A">
        <w:t>s</w:t>
      </w:r>
      <w:r>
        <w:t xml:space="preserve"> 7</w:t>
      </w:r>
      <w:r>
        <w:t xml:space="preserve"> and </w:t>
      </w:r>
      <w:r w:rsidR="00151868">
        <w:t xml:space="preserve">8 </w:t>
      </w:r>
      <w:r>
        <w:t>summarize</w:t>
      </w:r>
      <w:r w:rsidRPr="00764737">
        <w:t xml:space="preserve"> the estimated </w:t>
      </w:r>
      <w:r>
        <w:t>quantified costs and benefits</w:t>
      </w:r>
      <w:r w:rsidRPr="004D2B90">
        <w:t xml:space="preserve"> for </w:t>
      </w:r>
      <w:r>
        <w:t>Alternative 2</w:t>
      </w:r>
      <w:r w:rsidRPr="00BD55DA">
        <w:t xml:space="preserve"> </w:t>
      </w:r>
      <w:r>
        <w:t>compared</w:t>
      </w:r>
      <w:r w:rsidRPr="00764737">
        <w:t xml:space="preserve"> to the regulatory baseline </w:t>
      </w:r>
      <w:r>
        <w:t>(Alternative 1)</w:t>
      </w:r>
      <w:r w:rsidRPr="004D2B90">
        <w:t>.</w:t>
      </w:r>
    </w:p>
    <w:p w:rsidR="00FE44B9" w:rsidRPr="00C87C8D" w:rsidP="00C87C8D" w14:paraId="4B90A684" w14:textId="26117D05">
      <w:pPr>
        <w:pStyle w:val="Caption"/>
        <w:jc w:val="center"/>
        <w:rPr>
          <w:b/>
        </w:rPr>
      </w:pPr>
      <w:bookmarkStart w:id="49" w:name="_Toc147923422"/>
      <w:r w:rsidRPr="00C87C8D">
        <w:rPr>
          <w:b/>
        </w:rPr>
        <w:t xml:space="preserve">Table </w:t>
      </w:r>
      <w:r w:rsidRPr="00C87C8D">
        <w:rPr>
          <w:b/>
        </w:rPr>
        <w:fldChar w:fldCharType="begin"/>
      </w:r>
      <w:r w:rsidRPr="00C87C8D">
        <w:rPr>
          <w:b/>
        </w:rPr>
        <w:instrText xml:space="preserve"> SEQ Table \* ARABIC </w:instrText>
      </w:r>
      <w:r w:rsidRPr="00C87C8D">
        <w:rPr>
          <w:b/>
        </w:rPr>
        <w:fldChar w:fldCharType="separate"/>
      </w:r>
      <w:r w:rsidR="00BE3FBC">
        <w:rPr>
          <w:b/>
          <w:noProof/>
        </w:rPr>
        <w:t>7</w:t>
      </w:r>
      <w:r w:rsidRPr="00C87C8D">
        <w:rPr>
          <w:b/>
        </w:rPr>
        <w:fldChar w:fldCharType="end"/>
      </w:r>
      <w:r w:rsidRPr="00C87C8D">
        <w:rPr>
          <w:b/>
        </w:rPr>
        <w:t xml:space="preserve">  Summary of Totals by Licensee Group</w:t>
      </w:r>
      <w:bookmarkEnd w:id="49"/>
    </w:p>
    <w:tbl>
      <w:tblPr>
        <w:tblW w:w="0" w:type="auto"/>
        <w:tblLook w:val="04A0"/>
      </w:tblPr>
      <w:tblGrid>
        <w:gridCol w:w="5009"/>
        <w:gridCol w:w="1550"/>
        <w:gridCol w:w="1351"/>
        <w:gridCol w:w="1440"/>
      </w:tblGrid>
      <w:tr w14:paraId="6C448427" w14:textId="77777777" w:rsidTr="006D4BB2">
        <w:tblPrEx>
          <w:tblW w:w="0" w:type="auto"/>
          <w:tblLook w:val="04A0"/>
        </w:tblPrEx>
        <w:trPr>
          <w:trHeight w:val="280"/>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6D4BB2" w:rsidRPr="00C87C8D" w:rsidP="006D4BB2" w14:paraId="2396650C"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Licensee Group</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rsidR="006D4BB2" w:rsidRPr="00C87C8D" w:rsidP="006D4BB2" w14:paraId="5BAF39AD"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Total (2023 dollars)</w:t>
            </w:r>
          </w:p>
        </w:tc>
      </w:tr>
      <w:tr w14:paraId="1DA78F93" w14:textId="77777777" w:rsidTr="006D4BB2">
        <w:tblPrEx>
          <w:tblW w:w="0" w:type="auto"/>
          <w:tblLook w:val="04A0"/>
        </w:tblPrEx>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4BB2" w:rsidRPr="00C87C8D" w:rsidP="006D4BB2" w14:paraId="1B8EB200"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6D4BB2" w:rsidRPr="00C87C8D" w:rsidP="006D4BB2" w14:paraId="4C4F57C8"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Undiscounted</w:t>
            </w:r>
          </w:p>
        </w:tc>
        <w:tc>
          <w:tcPr>
            <w:tcW w:w="0" w:type="auto"/>
            <w:tcBorders>
              <w:top w:val="nil"/>
              <w:left w:val="nil"/>
              <w:bottom w:val="single" w:sz="4" w:space="0" w:color="auto"/>
              <w:right w:val="single" w:sz="4" w:space="0" w:color="auto"/>
            </w:tcBorders>
            <w:shd w:val="clear" w:color="auto" w:fill="auto"/>
            <w:noWrap/>
            <w:vAlign w:val="center"/>
            <w:hideMark/>
          </w:tcPr>
          <w:p w:rsidR="006D4BB2" w:rsidRPr="00C87C8D" w:rsidP="006D4BB2" w14:paraId="1AE76CD3"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7% NPV</w:t>
            </w:r>
          </w:p>
        </w:tc>
        <w:tc>
          <w:tcPr>
            <w:tcW w:w="0" w:type="auto"/>
            <w:tcBorders>
              <w:top w:val="nil"/>
              <w:left w:val="nil"/>
              <w:bottom w:val="single" w:sz="4" w:space="0" w:color="auto"/>
              <w:right w:val="single" w:sz="4" w:space="0" w:color="auto"/>
            </w:tcBorders>
            <w:shd w:val="clear" w:color="auto" w:fill="auto"/>
            <w:noWrap/>
            <w:vAlign w:val="center"/>
            <w:hideMark/>
          </w:tcPr>
          <w:p w:rsidR="006D4BB2" w:rsidRPr="00C87C8D" w:rsidP="006D4BB2" w14:paraId="3B4693F9"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3% NPV</w:t>
            </w:r>
          </w:p>
        </w:tc>
      </w:tr>
      <w:tr w14:paraId="6CA94583" w14:textId="77777777" w:rsidTr="006D4BB2">
        <w:tblPrEx>
          <w:tblW w:w="0" w:type="auto"/>
          <w:tblLook w:val="04A0"/>
        </w:tblPrEx>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4BB2" w:rsidRPr="000D3264" w:rsidP="006D4BB2" w14:paraId="403BC542" w14:textId="7A15A310">
            <w:pPr>
              <w:autoSpaceDE/>
              <w:autoSpaceDN/>
              <w:adjustRightInd/>
              <w:spacing w:line="240" w:lineRule="auto"/>
              <w:rPr>
                <w:rFonts w:eastAsia="Times New Roman"/>
                <w:color w:val="000000"/>
                <w:sz w:val="20"/>
                <w:szCs w:val="20"/>
              </w:rPr>
            </w:pPr>
            <w:r w:rsidRPr="00C87C8D">
              <w:rPr>
                <w:rFonts w:eastAsia="Times New Roman"/>
                <w:color w:val="000000"/>
                <w:sz w:val="20"/>
                <w:szCs w:val="20"/>
              </w:rPr>
              <w:t xml:space="preserve">Initial </w:t>
            </w:r>
            <w:r w:rsidR="00395531">
              <w:rPr>
                <w:rFonts w:eastAsia="Times New Roman"/>
                <w:color w:val="000000"/>
                <w:sz w:val="20"/>
                <w:szCs w:val="20"/>
              </w:rPr>
              <w:t>LR</w:t>
            </w:r>
          </w:p>
        </w:tc>
        <w:tc>
          <w:tcPr>
            <w:tcW w:w="0" w:type="auto"/>
            <w:tcBorders>
              <w:top w:val="nil"/>
              <w:left w:val="nil"/>
              <w:bottom w:val="single" w:sz="4" w:space="0" w:color="auto"/>
              <w:right w:val="single" w:sz="4" w:space="0" w:color="auto"/>
            </w:tcBorders>
            <w:shd w:val="clear" w:color="auto" w:fill="auto"/>
            <w:noWrap/>
            <w:vAlign w:val="center"/>
            <w:hideMark/>
          </w:tcPr>
          <w:p w:rsidR="006D4BB2" w:rsidRPr="000D3264" w:rsidP="006D4BB2" w14:paraId="500B3A0F"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($201,000)</w:t>
            </w:r>
          </w:p>
        </w:tc>
        <w:tc>
          <w:tcPr>
            <w:tcW w:w="0" w:type="auto"/>
            <w:tcBorders>
              <w:top w:val="nil"/>
              <w:left w:val="nil"/>
              <w:bottom w:val="single" w:sz="4" w:space="0" w:color="auto"/>
              <w:right w:val="single" w:sz="4" w:space="0" w:color="auto"/>
            </w:tcBorders>
            <w:shd w:val="clear" w:color="auto" w:fill="auto"/>
            <w:noWrap/>
            <w:vAlign w:val="center"/>
            <w:hideMark/>
          </w:tcPr>
          <w:p w:rsidR="006D4BB2" w:rsidRPr="000D3264" w:rsidP="006D4BB2" w14:paraId="59BF3D6B"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($99,000)</w:t>
            </w:r>
          </w:p>
        </w:tc>
        <w:tc>
          <w:tcPr>
            <w:tcW w:w="0" w:type="auto"/>
            <w:tcBorders>
              <w:top w:val="nil"/>
              <w:left w:val="nil"/>
              <w:bottom w:val="single" w:sz="4" w:space="0" w:color="auto"/>
              <w:right w:val="single" w:sz="4" w:space="0" w:color="auto"/>
            </w:tcBorders>
            <w:shd w:val="clear" w:color="auto" w:fill="auto"/>
            <w:noWrap/>
            <w:vAlign w:val="center"/>
            <w:hideMark/>
          </w:tcPr>
          <w:p w:rsidR="006D4BB2" w:rsidRPr="000D3264" w:rsidP="006D4BB2" w14:paraId="18A42843" w14:textId="77777777">
            <w:pPr>
              <w:autoSpaceDE/>
              <w:autoSpaceDN/>
              <w:adjustRightInd/>
              <w:spacing w:line="240" w:lineRule="auto"/>
              <w:jc w:val="center"/>
              <w:rPr>
                <w:rFonts w:eastAsia="Times New Roman"/>
                <w:color w:val="000000"/>
                <w:sz w:val="20"/>
                <w:szCs w:val="20"/>
              </w:rPr>
            </w:pPr>
            <w:r w:rsidRPr="000D3264">
              <w:rPr>
                <w:rFonts w:eastAsia="Times New Roman"/>
                <w:color w:val="000000"/>
                <w:sz w:val="20"/>
                <w:szCs w:val="20"/>
              </w:rPr>
              <w:t>($147,000)</w:t>
            </w:r>
          </w:p>
        </w:tc>
      </w:tr>
      <w:tr w14:paraId="2F64A859" w14:textId="77777777" w:rsidTr="006D4BB2">
        <w:tblPrEx>
          <w:tblW w:w="0" w:type="auto"/>
          <w:tblLook w:val="04A0"/>
        </w:tblPrEx>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4BB2" w:rsidRPr="00C87C8D" w:rsidP="006D4BB2" w14:paraId="34DCB51E" w14:textId="77777777">
            <w:pPr>
              <w:autoSpaceDE/>
              <w:autoSpaceDN/>
              <w:adjustRightInd/>
              <w:spacing w:line="240" w:lineRule="auto"/>
              <w:rPr>
                <w:rFonts w:eastAsia="Times New Roman"/>
                <w:color w:val="000000"/>
                <w:sz w:val="20"/>
                <w:szCs w:val="20"/>
              </w:rPr>
            </w:pPr>
            <w:r w:rsidRPr="00C87C8D">
              <w:rPr>
                <w:rFonts w:eastAsia="Times New Roman"/>
                <w:color w:val="000000"/>
                <w:sz w:val="20"/>
                <w:szCs w:val="20"/>
              </w:rPr>
              <w:t>Future SLRs</w:t>
            </w:r>
          </w:p>
        </w:tc>
        <w:tc>
          <w:tcPr>
            <w:tcW w:w="0" w:type="auto"/>
            <w:tcBorders>
              <w:top w:val="nil"/>
              <w:left w:val="nil"/>
              <w:bottom w:val="single" w:sz="4" w:space="0" w:color="auto"/>
              <w:right w:val="single" w:sz="4" w:space="0" w:color="auto"/>
            </w:tcBorders>
            <w:shd w:val="clear" w:color="auto" w:fill="auto"/>
            <w:noWrap/>
            <w:vAlign w:val="center"/>
            <w:hideMark/>
          </w:tcPr>
          <w:p w:rsidR="006D4BB2" w:rsidRPr="00C87C8D" w:rsidP="006D4BB2" w14:paraId="121D0390"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 xml:space="preserve">$128,816,000 </w:t>
            </w:r>
          </w:p>
        </w:tc>
        <w:tc>
          <w:tcPr>
            <w:tcW w:w="0" w:type="auto"/>
            <w:tcBorders>
              <w:top w:val="nil"/>
              <w:left w:val="nil"/>
              <w:bottom w:val="single" w:sz="4" w:space="0" w:color="auto"/>
              <w:right w:val="single" w:sz="4" w:space="0" w:color="auto"/>
            </w:tcBorders>
            <w:shd w:val="clear" w:color="auto" w:fill="auto"/>
            <w:noWrap/>
            <w:vAlign w:val="center"/>
            <w:hideMark/>
          </w:tcPr>
          <w:p w:rsidR="006D4BB2" w:rsidRPr="00C87C8D" w:rsidP="006D4BB2" w14:paraId="7E1E5F9C"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 xml:space="preserve">$88,412,000 </w:t>
            </w:r>
          </w:p>
        </w:tc>
        <w:tc>
          <w:tcPr>
            <w:tcW w:w="0" w:type="auto"/>
            <w:tcBorders>
              <w:top w:val="nil"/>
              <w:left w:val="nil"/>
              <w:bottom w:val="single" w:sz="4" w:space="0" w:color="auto"/>
              <w:right w:val="single" w:sz="4" w:space="0" w:color="auto"/>
            </w:tcBorders>
            <w:shd w:val="clear" w:color="auto" w:fill="auto"/>
            <w:noWrap/>
            <w:vAlign w:val="center"/>
            <w:hideMark/>
          </w:tcPr>
          <w:p w:rsidR="006D4BB2" w:rsidRPr="00C87C8D" w:rsidP="006D4BB2" w14:paraId="6E46DBA1"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 xml:space="preserve">$108,302,000 </w:t>
            </w:r>
          </w:p>
        </w:tc>
      </w:tr>
      <w:tr w14:paraId="5961D268" w14:textId="77777777" w:rsidTr="006D4BB2">
        <w:tblPrEx>
          <w:tblW w:w="0" w:type="auto"/>
          <w:tblLook w:val="04A0"/>
        </w:tblPrEx>
        <w:trPr>
          <w:trHeight w:val="8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4BB2" w:rsidRPr="00C87C8D" w:rsidP="006D4BB2" w14:paraId="439B37B9" w14:textId="2B1D8484">
            <w:pPr>
              <w:autoSpaceDE/>
              <w:autoSpaceDN/>
              <w:adjustRightInd/>
              <w:spacing w:line="240" w:lineRule="auto"/>
              <w:rPr>
                <w:rFonts w:eastAsia="Times New Roman"/>
                <w:color w:val="000000"/>
                <w:sz w:val="20"/>
                <w:szCs w:val="20"/>
              </w:rPr>
            </w:pPr>
            <w:r w:rsidRPr="00C87C8D">
              <w:rPr>
                <w:rFonts w:eastAsia="Times New Roman"/>
                <w:color w:val="000000"/>
                <w:sz w:val="20"/>
                <w:szCs w:val="20"/>
              </w:rPr>
              <w:t>Near-</w:t>
            </w:r>
            <w:r w:rsidR="00395531">
              <w:rPr>
                <w:rFonts w:eastAsia="Times New Roman"/>
                <w:color w:val="000000"/>
                <w:sz w:val="20"/>
                <w:szCs w:val="20"/>
              </w:rPr>
              <w:t>T</w:t>
            </w:r>
            <w:r w:rsidRPr="00C87C8D">
              <w:rPr>
                <w:rFonts w:eastAsia="Times New Roman"/>
                <w:color w:val="000000"/>
                <w:sz w:val="20"/>
                <w:szCs w:val="20"/>
              </w:rPr>
              <w:t>erm and Submitted Applications, and Issued Subsequently Renewed Licenses</w:t>
            </w:r>
          </w:p>
        </w:tc>
        <w:tc>
          <w:tcPr>
            <w:tcW w:w="0" w:type="auto"/>
            <w:tcBorders>
              <w:top w:val="nil"/>
              <w:left w:val="nil"/>
              <w:bottom w:val="single" w:sz="4" w:space="0" w:color="auto"/>
              <w:right w:val="single" w:sz="4" w:space="0" w:color="auto"/>
            </w:tcBorders>
            <w:shd w:val="clear" w:color="auto" w:fill="auto"/>
            <w:noWrap/>
            <w:vAlign w:val="center"/>
            <w:hideMark/>
          </w:tcPr>
          <w:p w:rsidR="006D4BB2" w:rsidRPr="00C87C8D" w:rsidP="006D4BB2" w14:paraId="34B5826F"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($3,128,000)</w:t>
            </w:r>
          </w:p>
        </w:tc>
        <w:tc>
          <w:tcPr>
            <w:tcW w:w="0" w:type="auto"/>
            <w:tcBorders>
              <w:top w:val="nil"/>
              <w:left w:val="nil"/>
              <w:bottom w:val="single" w:sz="4" w:space="0" w:color="auto"/>
              <w:right w:val="single" w:sz="4" w:space="0" w:color="auto"/>
            </w:tcBorders>
            <w:shd w:val="clear" w:color="auto" w:fill="auto"/>
            <w:noWrap/>
            <w:vAlign w:val="center"/>
            <w:hideMark/>
          </w:tcPr>
          <w:p w:rsidR="006D4BB2" w:rsidRPr="00C87C8D" w:rsidP="006D4BB2" w14:paraId="3259A814"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($2,738,000)</w:t>
            </w:r>
          </w:p>
        </w:tc>
        <w:tc>
          <w:tcPr>
            <w:tcW w:w="0" w:type="auto"/>
            <w:tcBorders>
              <w:top w:val="nil"/>
              <w:left w:val="nil"/>
              <w:bottom w:val="single" w:sz="4" w:space="0" w:color="auto"/>
              <w:right w:val="single" w:sz="4" w:space="0" w:color="auto"/>
            </w:tcBorders>
            <w:shd w:val="clear" w:color="auto" w:fill="auto"/>
            <w:noWrap/>
            <w:vAlign w:val="center"/>
            <w:hideMark/>
          </w:tcPr>
          <w:p w:rsidR="006D4BB2" w:rsidRPr="00C87C8D" w:rsidP="006D4BB2" w14:paraId="3491D33E" w14:textId="77777777">
            <w:pPr>
              <w:autoSpaceDE/>
              <w:autoSpaceDN/>
              <w:adjustRightInd/>
              <w:spacing w:line="240" w:lineRule="auto"/>
              <w:jc w:val="center"/>
              <w:rPr>
                <w:rFonts w:eastAsia="Times New Roman"/>
                <w:color w:val="000000"/>
                <w:sz w:val="20"/>
                <w:szCs w:val="20"/>
              </w:rPr>
            </w:pPr>
            <w:r w:rsidRPr="00C87C8D">
              <w:rPr>
                <w:rFonts w:eastAsia="Times New Roman"/>
                <w:color w:val="000000"/>
                <w:sz w:val="20"/>
                <w:szCs w:val="20"/>
              </w:rPr>
              <w:t>($2,951,000)</w:t>
            </w:r>
          </w:p>
        </w:tc>
      </w:tr>
      <w:tr w14:paraId="5A00174E" w14:textId="77777777" w:rsidTr="006D4BB2">
        <w:tblPrEx>
          <w:tblW w:w="0" w:type="auto"/>
          <w:tblLook w:val="04A0"/>
        </w:tblPrEx>
        <w:trPr>
          <w:trHeight w:val="5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4BB2" w:rsidRPr="00C87C8D" w:rsidP="006D4BB2" w14:paraId="18D1B44E" w14:textId="77777777">
            <w:pPr>
              <w:autoSpaceDE/>
              <w:autoSpaceDN/>
              <w:adjustRightInd/>
              <w:spacing w:line="240" w:lineRule="auto"/>
              <w:rPr>
                <w:rFonts w:eastAsia="Times New Roman"/>
                <w:b/>
                <w:bCs/>
                <w:color w:val="000000"/>
                <w:sz w:val="20"/>
                <w:szCs w:val="20"/>
              </w:rPr>
            </w:pPr>
            <w:r w:rsidRPr="00C87C8D">
              <w:rPr>
                <w:rFonts w:eastAsia="Times New Roman"/>
                <w:b/>
                <w:bCs/>
                <w:color w:val="000000"/>
                <w:sz w:val="20"/>
                <w:szCs w:val="20"/>
              </w:rPr>
              <w:t>Net Benefit (Cost)</w:t>
            </w:r>
          </w:p>
        </w:tc>
        <w:tc>
          <w:tcPr>
            <w:tcW w:w="0" w:type="auto"/>
            <w:tcBorders>
              <w:top w:val="nil"/>
              <w:left w:val="nil"/>
              <w:bottom w:val="single" w:sz="4" w:space="0" w:color="auto"/>
              <w:right w:val="single" w:sz="4" w:space="0" w:color="auto"/>
            </w:tcBorders>
            <w:shd w:val="clear" w:color="auto" w:fill="auto"/>
            <w:noWrap/>
            <w:vAlign w:val="center"/>
            <w:hideMark/>
          </w:tcPr>
          <w:p w:rsidR="006D4BB2" w:rsidRPr="00C87C8D" w:rsidP="006D4BB2" w14:paraId="3FFEC39E"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 xml:space="preserve">$125,487,000 </w:t>
            </w:r>
          </w:p>
        </w:tc>
        <w:tc>
          <w:tcPr>
            <w:tcW w:w="0" w:type="auto"/>
            <w:tcBorders>
              <w:top w:val="nil"/>
              <w:left w:val="nil"/>
              <w:bottom w:val="single" w:sz="4" w:space="0" w:color="auto"/>
              <w:right w:val="single" w:sz="4" w:space="0" w:color="auto"/>
            </w:tcBorders>
            <w:shd w:val="clear" w:color="auto" w:fill="auto"/>
            <w:noWrap/>
            <w:vAlign w:val="center"/>
            <w:hideMark/>
          </w:tcPr>
          <w:p w:rsidR="006D4BB2" w:rsidRPr="00C87C8D" w:rsidP="006D4BB2" w14:paraId="2BA34F7A"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 xml:space="preserve">$85,575,000 </w:t>
            </w:r>
          </w:p>
        </w:tc>
        <w:tc>
          <w:tcPr>
            <w:tcW w:w="0" w:type="auto"/>
            <w:tcBorders>
              <w:top w:val="nil"/>
              <w:left w:val="nil"/>
              <w:bottom w:val="single" w:sz="4" w:space="0" w:color="auto"/>
              <w:right w:val="single" w:sz="4" w:space="0" w:color="auto"/>
            </w:tcBorders>
            <w:shd w:val="clear" w:color="auto" w:fill="auto"/>
            <w:noWrap/>
            <w:vAlign w:val="center"/>
            <w:hideMark/>
          </w:tcPr>
          <w:p w:rsidR="006D4BB2" w:rsidRPr="00C87C8D" w:rsidP="006D4BB2" w14:paraId="332CD54F" w14:textId="77777777">
            <w:pPr>
              <w:autoSpaceDE/>
              <w:autoSpaceDN/>
              <w:adjustRightInd/>
              <w:spacing w:line="240" w:lineRule="auto"/>
              <w:jc w:val="center"/>
              <w:rPr>
                <w:rFonts w:eastAsia="Times New Roman"/>
                <w:b/>
                <w:bCs/>
                <w:color w:val="000000"/>
                <w:sz w:val="20"/>
                <w:szCs w:val="20"/>
              </w:rPr>
            </w:pPr>
            <w:r w:rsidRPr="00C87C8D">
              <w:rPr>
                <w:rFonts w:eastAsia="Times New Roman"/>
                <w:b/>
                <w:bCs/>
                <w:color w:val="000000"/>
                <w:sz w:val="20"/>
                <w:szCs w:val="20"/>
              </w:rPr>
              <w:t xml:space="preserve">$105,204,000 </w:t>
            </w:r>
          </w:p>
        </w:tc>
      </w:tr>
    </w:tbl>
    <w:p w:rsidR="0078072B" w:rsidRPr="00255BAE" w:rsidP="0078072B" w14:paraId="047AE707" w14:textId="77777777">
      <w:pPr>
        <w:rPr>
          <w:sz w:val="18"/>
          <w:szCs w:val="18"/>
        </w:rPr>
      </w:pPr>
      <w:r w:rsidRPr="00255BAE">
        <w:rPr>
          <w:sz w:val="18"/>
          <w:szCs w:val="18"/>
          <w:vertAlign w:val="superscript"/>
        </w:rPr>
        <w:t>a</w:t>
      </w:r>
      <w:r w:rsidRPr="00255BAE">
        <w:rPr>
          <w:sz w:val="18"/>
          <w:szCs w:val="18"/>
        </w:rPr>
        <w:t xml:space="preserve"> Values rounded to the nearest thousand dollars.</w:t>
      </w:r>
    </w:p>
    <w:p w:rsidR="0078072B" w:rsidP="0078072B" w14:paraId="79FDA938" w14:textId="77777777"/>
    <w:p w:rsidR="0078072B" w:rsidRPr="00781014" w:rsidP="0078072B" w14:paraId="1351B398" w14:textId="77777777">
      <w:pPr>
        <w:pStyle w:val="Heading3"/>
        <w:rPr>
          <w:i w:val="0"/>
          <w:iCs/>
        </w:rPr>
      </w:pPr>
      <w:bookmarkStart w:id="50" w:name="_Toc147922996"/>
      <w:r w:rsidRPr="00781014">
        <w:rPr>
          <w:i w:val="0"/>
          <w:iCs/>
        </w:rPr>
        <w:t>4.1.2</w:t>
      </w:r>
      <w:r w:rsidRPr="00781014">
        <w:rPr>
          <w:i w:val="0"/>
          <w:iCs/>
        </w:rPr>
        <w:tab/>
      </w:r>
      <w:r w:rsidRPr="00781014">
        <w:t>Nonquantified Benefits</w:t>
      </w:r>
      <w:bookmarkEnd w:id="50"/>
    </w:p>
    <w:p w:rsidR="0078072B" w:rsidRPr="00BB23F1" w:rsidP="0078072B" w14:paraId="40639793" w14:textId="77777777"/>
    <w:p w:rsidR="0078072B" w:rsidRPr="004D2B90" w:rsidP="0078072B" w14:paraId="47BAB593" w14:textId="402CD9A3">
      <w:r w:rsidRPr="00C8647A">
        <w:t>In addition to the quantified costs</w:t>
      </w:r>
      <w:r>
        <w:t>, the NRC has analyzed numerous costs and benefits that could not be monetized but would affect the general public, industry</w:t>
      </w:r>
      <w:r w:rsidRPr="0000362D">
        <w:t xml:space="preserve">, and the NRC. </w:t>
      </w:r>
      <w:r w:rsidR="00395531">
        <w:t xml:space="preserve">Table 8 </w:t>
      </w:r>
      <w:r>
        <w:t xml:space="preserve">summarizes </w:t>
      </w:r>
      <w:r w:rsidRPr="004D2B90">
        <w:t>the quantified and quali</w:t>
      </w:r>
      <w:r>
        <w:t>tative</w:t>
      </w:r>
      <w:r w:rsidRPr="004D2B90">
        <w:t xml:space="preserve"> costs and benefits for </w:t>
      </w:r>
      <w:r>
        <w:t>Alternative 2</w:t>
      </w:r>
      <w:r w:rsidRPr="004D2B90">
        <w:t xml:space="preserve">. </w:t>
      </w:r>
      <w:r>
        <w:t>T</w:t>
      </w:r>
      <w:r w:rsidRPr="004D2B90">
        <w:t>he quantitative analysis</w:t>
      </w:r>
      <w:r>
        <w:t xml:space="preserve"> used</w:t>
      </w:r>
      <w:r w:rsidRPr="004D2B90">
        <w:t xml:space="preserve"> </w:t>
      </w:r>
      <w:r w:rsidR="00C03EEE">
        <w:t>mean</w:t>
      </w:r>
      <w:r w:rsidRPr="004D2B90">
        <w:t xml:space="preserve"> values.</w:t>
      </w:r>
    </w:p>
    <w:p w:rsidR="0078072B" w:rsidP="0078072B" w14:paraId="60D493B4" w14:textId="77777777">
      <w:pPr>
        <w:rPr>
          <w:highlight w:val="yellow"/>
        </w:rPr>
      </w:pPr>
    </w:p>
    <w:p w:rsidR="0078072B" w:rsidRPr="00755156" w:rsidP="0078072B" w14:paraId="56334F49" w14:textId="6B0B86C4">
      <w:pPr>
        <w:pStyle w:val="Caption"/>
        <w:jc w:val="center"/>
        <w:rPr>
          <w:b/>
        </w:rPr>
      </w:pPr>
      <w:bookmarkStart w:id="51" w:name="_Toc147923423"/>
      <w:r w:rsidRPr="00C87C8D">
        <w:rPr>
          <w:b/>
        </w:rPr>
        <w:t xml:space="preserve">Table </w:t>
      </w:r>
      <w:r w:rsidRPr="00C87C8D">
        <w:rPr>
          <w:b/>
        </w:rPr>
        <w:fldChar w:fldCharType="begin"/>
      </w:r>
      <w:r w:rsidRPr="00C87C8D">
        <w:rPr>
          <w:b/>
        </w:rPr>
        <w:instrText xml:space="preserve"> SEQ Table \* ARABIC </w:instrText>
      </w:r>
      <w:r w:rsidRPr="00C87C8D">
        <w:rPr>
          <w:b/>
        </w:rPr>
        <w:fldChar w:fldCharType="separate"/>
      </w:r>
      <w:r w:rsidR="00BE3FBC">
        <w:rPr>
          <w:b/>
          <w:noProof/>
        </w:rPr>
        <w:t>8</w:t>
      </w:r>
      <w:r w:rsidRPr="00C87C8D">
        <w:rPr>
          <w:b/>
        </w:rPr>
        <w:fldChar w:fldCharType="end"/>
      </w:r>
      <w:r w:rsidRPr="00C87C8D">
        <w:rPr>
          <w:b/>
        </w:rPr>
        <w:t xml:space="preserve">  Summary of Totals</w:t>
      </w:r>
      <w:bookmarkEnd w:id="51"/>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400"/>
        <w:gridCol w:w="4940"/>
      </w:tblGrid>
      <w:tr w14:paraId="6C107FBA" w14:textId="77777777" w:rsidTr="0066072E">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blHeader/>
        </w:trPr>
        <w:tc>
          <w:tcPr>
            <w:tcW w:w="4400" w:type="dxa"/>
            <w:vAlign w:val="center"/>
          </w:tcPr>
          <w:p w:rsidR="0078072B" w:rsidRPr="004C3EEF" w:rsidP="0066072E" w14:paraId="097576C5" w14:textId="77777777">
            <w:pPr>
              <w:keepNext/>
              <w:rPr>
                <w:b/>
                <w:sz w:val="20"/>
                <w:szCs w:val="20"/>
              </w:rPr>
            </w:pPr>
            <w:r w:rsidRPr="004C3EEF">
              <w:rPr>
                <w:b/>
                <w:sz w:val="20"/>
                <w:szCs w:val="20"/>
              </w:rPr>
              <w:t>Net Monetary Savings or (Costs)</w:t>
            </w:r>
          </w:p>
        </w:tc>
        <w:tc>
          <w:tcPr>
            <w:tcW w:w="4940" w:type="dxa"/>
            <w:vAlign w:val="center"/>
          </w:tcPr>
          <w:p w:rsidR="0078072B" w:rsidRPr="004C3EEF" w:rsidP="0066072E" w14:paraId="7A5A0F79" w14:textId="77777777">
            <w:pPr>
              <w:keepNext/>
              <w:rPr>
                <w:b/>
                <w:sz w:val="20"/>
                <w:szCs w:val="20"/>
              </w:rPr>
            </w:pPr>
            <w:r w:rsidRPr="004C3EEF">
              <w:rPr>
                <w:b/>
                <w:sz w:val="20"/>
                <w:szCs w:val="20"/>
              </w:rPr>
              <w:t>Nonquantified Benefits or (Costs)</w:t>
            </w:r>
          </w:p>
        </w:tc>
      </w:tr>
      <w:tr w14:paraId="08CC904C" w14:textId="77777777" w:rsidTr="0066072E">
        <w:tblPrEx>
          <w:tblW w:w="0" w:type="auto"/>
          <w:tblLook w:val="04A0"/>
        </w:tblPrEx>
        <w:tc>
          <w:tcPr>
            <w:tcW w:w="4400" w:type="dxa"/>
          </w:tcPr>
          <w:p w:rsidR="0078072B" w:rsidRPr="004C3EEF" w:rsidP="0066072E" w14:paraId="5000FCA1" w14:textId="77777777">
            <w:pPr>
              <w:keepNext/>
              <w:rPr>
                <w:sz w:val="20"/>
                <w:szCs w:val="20"/>
              </w:rPr>
            </w:pPr>
            <w:r w:rsidRPr="004C3EEF">
              <w:rPr>
                <w:b/>
                <w:sz w:val="20"/>
                <w:szCs w:val="20"/>
              </w:rPr>
              <w:t>Alternative 1:</w:t>
            </w:r>
            <w:r w:rsidRPr="004C3EEF">
              <w:rPr>
                <w:sz w:val="20"/>
                <w:szCs w:val="20"/>
              </w:rPr>
              <w:t xml:space="preserve"> No Action</w:t>
            </w:r>
          </w:p>
          <w:p w:rsidR="0078072B" w:rsidRPr="004C3EEF" w:rsidP="0066072E" w14:paraId="50E88248" w14:textId="77777777">
            <w:pPr>
              <w:keepNext/>
              <w:rPr>
                <w:sz w:val="20"/>
                <w:szCs w:val="20"/>
              </w:rPr>
            </w:pPr>
            <w:r w:rsidRPr="004C3EEF">
              <w:rPr>
                <w:sz w:val="20"/>
                <w:szCs w:val="20"/>
              </w:rPr>
              <w:t>$0</w:t>
            </w:r>
          </w:p>
        </w:tc>
        <w:tc>
          <w:tcPr>
            <w:tcW w:w="4940" w:type="dxa"/>
          </w:tcPr>
          <w:p w:rsidR="0078072B" w:rsidRPr="004C3EEF" w:rsidP="0066072E" w14:paraId="02DADD2D" w14:textId="77777777">
            <w:pPr>
              <w:keepNext/>
              <w:rPr>
                <w:sz w:val="20"/>
                <w:szCs w:val="20"/>
              </w:rPr>
            </w:pPr>
          </w:p>
          <w:p w:rsidR="0078072B" w:rsidRPr="004C3EEF" w:rsidP="0066072E" w14:paraId="2163B2BC" w14:textId="77777777">
            <w:pPr>
              <w:keepNext/>
              <w:rPr>
                <w:sz w:val="20"/>
                <w:szCs w:val="20"/>
              </w:rPr>
            </w:pPr>
            <w:r w:rsidRPr="004C3EEF">
              <w:rPr>
                <w:sz w:val="20"/>
                <w:szCs w:val="20"/>
              </w:rPr>
              <w:t>None</w:t>
            </w:r>
          </w:p>
        </w:tc>
      </w:tr>
      <w:tr w14:paraId="77F18DDE" w14:textId="77777777" w:rsidTr="0066072E">
        <w:tblPrEx>
          <w:tblW w:w="0" w:type="auto"/>
          <w:tblLook w:val="04A0"/>
        </w:tblPrEx>
        <w:tc>
          <w:tcPr>
            <w:tcW w:w="4400" w:type="dxa"/>
          </w:tcPr>
          <w:p w:rsidR="0078072B" w:rsidRPr="004C3EEF" w:rsidP="0066072E" w14:paraId="2AC86E5B" w14:textId="77777777">
            <w:pPr>
              <w:rPr>
                <w:b/>
                <w:sz w:val="20"/>
                <w:szCs w:val="20"/>
              </w:rPr>
            </w:pPr>
            <w:r w:rsidRPr="004C3EEF">
              <w:rPr>
                <w:b/>
                <w:sz w:val="20"/>
                <w:szCs w:val="20"/>
              </w:rPr>
              <w:t>Alternative 2:</w:t>
            </w:r>
          </w:p>
          <w:p w:rsidR="0078072B" w:rsidRPr="004C3EEF" w:rsidP="0066072E" w14:paraId="663E5C1E" w14:textId="77777777">
            <w:pPr>
              <w:rPr>
                <w:sz w:val="20"/>
                <w:szCs w:val="20"/>
              </w:rPr>
            </w:pPr>
          </w:p>
          <w:p w:rsidR="0078072B" w:rsidRPr="00185FEC" w:rsidP="0066072E" w14:paraId="0160DA8C" w14:textId="77777777">
            <w:pPr>
              <w:pStyle w:val="captionTable"/>
              <w:spacing w:before="0" w:after="0"/>
              <w:rPr>
                <w:rFonts w:ascii="Arial" w:hAnsi="Arial" w:cs="Arial"/>
                <w:sz w:val="20"/>
                <w:szCs w:val="20"/>
              </w:rPr>
            </w:pPr>
            <w:r w:rsidRPr="00185FEC">
              <w:rPr>
                <w:rFonts w:ascii="Arial" w:hAnsi="Arial" w:cs="Arial"/>
                <w:sz w:val="20"/>
                <w:szCs w:val="20"/>
              </w:rPr>
              <w:t>Industry: (all provisions)</w:t>
            </w:r>
          </w:p>
          <w:p w:rsidR="0078072B" w:rsidRPr="00185FEC" w:rsidP="0066072E" w14:paraId="7BACD2B2" w14:textId="37594B88">
            <w:pPr>
              <w:rPr>
                <w:sz w:val="20"/>
                <w:szCs w:val="20"/>
              </w:rPr>
            </w:pPr>
            <w:r w:rsidRPr="00185FEC">
              <w:rPr>
                <w:sz w:val="20"/>
                <w:szCs w:val="20"/>
              </w:rPr>
              <w:t>$</w:t>
            </w:r>
            <w:r w:rsidRPr="00C87C8D" w:rsidR="0019638D">
              <w:rPr>
                <w:sz w:val="20"/>
                <w:szCs w:val="20"/>
              </w:rPr>
              <w:t>6</w:t>
            </w:r>
            <w:r w:rsidRPr="00C87C8D" w:rsidR="003B403C">
              <w:rPr>
                <w:sz w:val="20"/>
                <w:szCs w:val="20"/>
              </w:rPr>
              <w:t>1</w:t>
            </w:r>
            <w:r w:rsidRPr="001C1B8F">
              <w:rPr>
                <w:sz w:val="20"/>
                <w:szCs w:val="20"/>
              </w:rPr>
              <w:t>.</w:t>
            </w:r>
            <w:r w:rsidRPr="00C87C8D" w:rsidR="003B403C">
              <w:rPr>
                <w:sz w:val="20"/>
                <w:szCs w:val="20"/>
              </w:rPr>
              <w:t>0</w:t>
            </w:r>
            <w:r w:rsidRPr="00185FEC">
              <w:rPr>
                <w:sz w:val="20"/>
                <w:szCs w:val="20"/>
              </w:rPr>
              <w:t xml:space="preserve"> million using a 7% discount rate</w:t>
            </w:r>
          </w:p>
          <w:p w:rsidR="0078072B" w:rsidRPr="004C3EEF" w:rsidP="0066072E" w14:paraId="301BEC74" w14:textId="37D37DAF">
            <w:pPr>
              <w:rPr>
                <w:sz w:val="20"/>
                <w:szCs w:val="20"/>
              </w:rPr>
            </w:pPr>
            <w:r w:rsidRPr="00185FEC">
              <w:rPr>
                <w:sz w:val="20"/>
                <w:szCs w:val="20"/>
              </w:rPr>
              <w:t>$</w:t>
            </w:r>
            <w:r w:rsidRPr="001C1B8F">
              <w:rPr>
                <w:sz w:val="20"/>
                <w:szCs w:val="20"/>
              </w:rPr>
              <w:t>7</w:t>
            </w:r>
            <w:r w:rsidRPr="00C87C8D" w:rsidR="003B403C">
              <w:rPr>
                <w:sz w:val="20"/>
                <w:szCs w:val="20"/>
              </w:rPr>
              <w:t>5</w:t>
            </w:r>
            <w:r w:rsidRPr="001C1B8F">
              <w:rPr>
                <w:sz w:val="20"/>
                <w:szCs w:val="20"/>
              </w:rPr>
              <w:t>.</w:t>
            </w:r>
            <w:r w:rsidRPr="00C87C8D" w:rsidR="003B403C">
              <w:rPr>
                <w:sz w:val="20"/>
                <w:szCs w:val="20"/>
              </w:rPr>
              <w:t>0</w:t>
            </w:r>
            <w:r w:rsidRPr="00185FEC">
              <w:rPr>
                <w:sz w:val="20"/>
                <w:szCs w:val="20"/>
              </w:rPr>
              <w:t xml:space="preserve"> million us</w:t>
            </w:r>
            <w:r w:rsidRPr="004C3EEF">
              <w:rPr>
                <w:sz w:val="20"/>
                <w:szCs w:val="20"/>
              </w:rPr>
              <w:t>ing a 3% discount rate</w:t>
            </w:r>
          </w:p>
          <w:p w:rsidR="0078072B" w:rsidRPr="004C3EEF" w:rsidP="0066072E" w14:paraId="3A4AF1D6" w14:textId="77777777">
            <w:pPr>
              <w:rPr>
                <w:sz w:val="20"/>
                <w:szCs w:val="20"/>
              </w:rPr>
            </w:pPr>
          </w:p>
          <w:p w:rsidR="0078072B" w:rsidRPr="004C3EEF" w:rsidP="0066072E" w14:paraId="682C7475" w14:textId="77777777">
            <w:pPr>
              <w:keepNext/>
              <w:rPr>
                <w:b/>
                <w:bCs/>
                <w:sz w:val="20"/>
                <w:szCs w:val="20"/>
              </w:rPr>
            </w:pPr>
            <w:r w:rsidRPr="004C3EEF">
              <w:rPr>
                <w:b/>
                <w:bCs/>
                <w:sz w:val="20"/>
                <w:szCs w:val="20"/>
              </w:rPr>
              <w:t>NRC: (all provisions)</w:t>
            </w:r>
          </w:p>
          <w:p w:rsidR="0078072B" w:rsidRPr="00185FEC" w:rsidP="0066072E" w14:paraId="0C7CA4EB" w14:textId="0151365B">
            <w:pPr>
              <w:keepNext/>
              <w:rPr>
                <w:sz w:val="20"/>
                <w:szCs w:val="20"/>
              </w:rPr>
            </w:pPr>
            <w:r w:rsidRPr="00185FEC">
              <w:rPr>
                <w:sz w:val="20"/>
                <w:szCs w:val="20"/>
              </w:rPr>
              <w:t>$</w:t>
            </w:r>
            <w:r w:rsidRPr="00C87C8D" w:rsidR="003B403C">
              <w:rPr>
                <w:sz w:val="20"/>
                <w:szCs w:val="20"/>
              </w:rPr>
              <w:t>24</w:t>
            </w:r>
            <w:r w:rsidRPr="001C1B8F">
              <w:rPr>
                <w:sz w:val="20"/>
                <w:szCs w:val="20"/>
              </w:rPr>
              <w:t>.</w:t>
            </w:r>
            <w:r w:rsidRPr="00C87C8D" w:rsidR="001C1B8F">
              <w:rPr>
                <w:sz w:val="20"/>
                <w:szCs w:val="20"/>
              </w:rPr>
              <w:t>6</w:t>
            </w:r>
            <w:r w:rsidRPr="00185FEC">
              <w:rPr>
                <w:sz w:val="20"/>
                <w:szCs w:val="20"/>
              </w:rPr>
              <w:t xml:space="preserve"> million using a 7% discount rate</w:t>
            </w:r>
          </w:p>
          <w:p w:rsidR="0078072B" w:rsidRPr="004C3EEF" w:rsidP="0066072E" w14:paraId="24CF7AE1" w14:textId="239EEDCB">
            <w:pPr>
              <w:rPr>
                <w:sz w:val="20"/>
                <w:szCs w:val="20"/>
              </w:rPr>
            </w:pPr>
            <w:r w:rsidRPr="00185FEC">
              <w:rPr>
                <w:sz w:val="20"/>
                <w:szCs w:val="20"/>
              </w:rPr>
              <w:t>$</w:t>
            </w:r>
            <w:r w:rsidRPr="00C87C8D" w:rsidR="001C1B8F">
              <w:rPr>
                <w:sz w:val="20"/>
                <w:szCs w:val="20"/>
              </w:rPr>
              <w:t>30</w:t>
            </w:r>
            <w:r>
              <w:rPr>
                <w:sz w:val="20"/>
                <w:szCs w:val="20"/>
              </w:rPr>
              <w:t>.2</w:t>
            </w:r>
            <w:r w:rsidRPr="00185FEC">
              <w:rPr>
                <w:sz w:val="20"/>
                <w:szCs w:val="20"/>
              </w:rPr>
              <w:t xml:space="preserve"> million usin</w:t>
            </w:r>
            <w:r w:rsidRPr="004C3EEF">
              <w:rPr>
                <w:sz w:val="20"/>
                <w:szCs w:val="20"/>
              </w:rPr>
              <w:t>g a 3% discount rate</w:t>
            </w:r>
          </w:p>
          <w:p w:rsidR="0078072B" w:rsidRPr="004C3EEF" w:rsidP="0066072E" w14:paraId="46A9C35C" w14:textId="77777777">
            <w:pPr>
              <w:rPr>
                <w:sz w:val="20"/>
                <w:szCs w:val="20"/>
              </w:rPr>
            </w:pPr>
          </w:p>
          <w:p w:rsidR="0078072B" w:rsidRPr="004C3EEF" w:rsidP="0066072E" w14:paraId="79B86E0B" w14:textId="77777777">
            <w:pPr>
              <w:rPr>
                <w:b/>
                <w:bCs/>
                <w:sz w:val="20"/>
                <w:szCs w:val="20"/>
              </w:rPr>
            </w:pPr>
            <w:r w:rsidRPr="004C3EEF">
              <w:rPr>
                <w:b/>
                <w:bCs/>
                <w:sz w:val="20"/>
                <w:szCs w:val="20"/>
              </w:rPr>
              <w:t>Net Benefit (Cost): (all provisions)</w:t>
            </w:r>
          </w:p>
          <w:p w:rsidR="0078072B" w:rsidRPr="004C3EEF" w:rsidP="0066072E" w14:paraId="3362A318" w14:textId="02A182C9">
            <w:pPr>
              <w:rPr>
                <w:sz w:val="20"/>
                <w:szCs w:val="20"/>
              </w:rPr>
            </w:pPr>
            <w:r>
              <w:rPr>
                <w:sz w:val="20"/>
                <w:szCs w:val="20"/>
              </w:rPr>
              <w:t>$</w:t>
            </w:r>
            <w:r w:rsidRPr="00C87C8D" w:rsidR="001C1B8F">
              <w:rPr>
                <w:sz w:val="20"/>
                <w:szCs w:val="20"/>
              </w:rPr>
              <w:t>85</w:t>
            </w:r>
            <w:r w:rsidRPr="001C1B8F">
              <w:rPr>
                <w:sz w:val="20"/>
                <w:szCs w:val="20"/>
              </w:rPr>
              <w:t>.</w:t>
            </w:r>
            <w:r w:rsidRPr="00C87C8D" w:rsidR="001C1B8F">
              <w:rPr>
                <w:sz w:val="20"/>
                <w:szCs w:val="20"/>
              </w:rPr>
              <w:t>6</w:t>
            </w:r>
            <w:r>
              <w:rPr>
                <w:sz w:val="20"/>
                <w:szCs w:val="20"/>
              </w:rPr>
              <w:t xml:space="preserve"> million</w:t>
            </w:r>
            <w:r w:rsidRPr="004C3EEF">
              <w:rPr>
                <w:sz w:val="20"/>
                <w:szCs w:val="20"/>
              </w:rPr>
              <w:t xml:space="preserve"> using a 7% discount rate</w:t>
            </w:r>
          </w:p>
          <w:p w:rsidR="0078072B" w:rsidRPr="004C3EEF" w:rsidP="0066072E" w14:paraId="6A179660" w14:textId="21C9D88F">
            <w:pPr>
              <w:rPr>
                <w:sz w:val="20"/>
                <w:szCs w:val="20"/>
              </w:rPr>
            </w:pPr>
            <w:r>
              <w:rPr>
                <w:sz w:val="20"/>
                <w:szCs w:val="20"/>
              </w:rPr>
              <w:t>$</w:t>
            </w:r>
            <w:r w:rsidRPr="00C87C8D" w:rsidR="001C1B8F">
              <w:rPr>
                <w:sz w:val="20"/>
                <w:szCs w:val="20"/>
              </w:rPr>
              <w:t>105</w:t>
            </w:r>
            <w:r w:rsidRPr="001C1B8F">
              <w:rPr>
                <w:sz w:val="20"/>
                <w:szCs w:val="20"/>
              </w:rPr>
              <w:t>.</w:t>
            </w:r>
            <w:r w:rsidRPr="00C87C8D" w:rsidR="001C1B8F">
              <w:rPr>
                <w:sz w:val="20"/>
                <w:szCs w:val="20"/>
              </w:rPr>
              <w:t>2</w:t>
            </w:r>
            <w:r>
              <w:rPr>
                <w:sz w:val="20"/>
                <w:szCs w:val="20"/>
              </w:rPr>
              <w:t xml:space="preserve"> million </w:t>
            </w:r>
            <w:r w:rsidRPr="004C3EEF">
              <w:rPr>
                <w:sz w:val="20"/>
                <w:szCs w:val="20"/>
              </w:rPr>
              <w:t>using a 3% discount rate</w:t>
            </w:r>
          </w:p>
          <w:p w:rsidR="0078072B" w:rsidRPr="004C3EEF" w:rsidP="0066072E" w14:paraId="25F0C5BB" w14:textId="77777777">
            <w:pPr>
              <w:rPr>
                <w:sz w:val="20"/>
                <w:szCs w:val="20"/>
              </w:rPr>
            </w:pPr>
          </w:p>
        </w:tc>
        <w:tc>
          <w:tcPr>
            <w:tcW w:w="4940" w:type="dxa"/>
          </w:tcPr>
          <w:p w:rsidR="0078072B" w:rsidRPr="009A6244" w:rsidP="0066072E" w14:paraId="20DE5D25" w14:textId="77777777">
            <w:pPr>
              <w:rPr>
                <w:b/>
                <w:bCs/>
                <w:sz w:val="20"/>
                <w:szCs w:val="20"/>
                <w:u w:val="single"/>
              </w:rPr>
            </w:pPr>
            <w:r w:rsidRPr="009A6244">
              <w:rPr>
                <w:b/>
                <w:bCs/>
                <w:sz w:val="20"/>
                <w:szCs w:val="20"/>
                <w:u w:val="single"/>
              </w:rPr>
              <w:t>Benefits:</w:t>
            </w:r>
          </w:p>
          <w:p w:rsidR="0078072B" w:rsidRPr="009A6244" w:rsidP="0066072E" w14:paraId="0DA80F7D" w14:textId="77777777">
            <w:pPr>
              <w:pStyle w:val="text"/>
              <w:numPr>
                <w:ilvl w:val="0"/>
                <w:numId w:val="24"/>
              </w:numPr>
              <w:spacing w:after="0"/>
              <w:ind w:left="335"/>
              <w:rPr>
                <w:sz w:val="20"/>
              </w:rPr>
            </w:pPr>
            <w:r w:rsidRPr="009A6244">
              <w:rPr>
                <w:b/>
                <w:bCs/>
                <w:iCs/>
                <w:sz w:val="20"/>
              </w:rPr>
              <w:t>Improvements in Knowledge</w:t>
            </w:r>
            <w:r w:rsidRPr="009A6244">
              <w:rPr>
                <w:b/>
                <w:sz w:val="20"/>
              </w:rPr>
              <w:t>—</w:t>
            </w:r>
            <w:r w:rsidRPr="009A6244">
              <w:rPr>
                <w:bCs/>
                <w:sz w:val="20"/>
              </w:rPr>
              <w:t xml:space="preserve">Alternative 2 would </w:t>
            </w:r>
            <w:r w:rsidRPr="009A6244">
              <w:rPr>
                <w:sz w:val="20"/>
              </w:rPr>
              <w:t>improve the quality of the information provided to the NRC and facilitate license renewal environmental reviews.</w:t>
            </w:r>
          </w:p>
          <w:p w:rsidR="0078072B" w:rsidRPr="009A6244" w:rsidP="0066072E" w14:paraId="0366E6FC" w14:textId="77777777">
            <w:pPr>
              <w:pStyle w:val="text"/>
              <w:numPr>
                <w:ilvl w:val="0"/>
                <w:numId w:val="24"/>
              </w:numPr>
              <w:spacing w:after="0"/>
              <w:ind w:left="335"/>
              <w:rPr>
                <w:sz w:val="20"/>
              </w:rPr>
            </w:pPr>
            <w:r w:rsidRPr="009A6244">
              <w:rPr>
                <w:b/>
                <w:bCs/>
                <w:iCs/>
                <w:sz w:val="20"/>
              </w:rPr>
              <w:t>Regulatory Clarity</w:t>
            </w:r>
            <w:r w:rsidRPr="009A6244">
              <w:rPr>
                <w:b/>
                <w:sz w:val="20"/>
              </w:rPr>
              <w:t>—</w:t>
            </w:r>
            <w:r w:rsidRPr="009A6244">
              <w:rPr>
                <w:sz w:val="20"/>
              </w:rPr>
              <w:t>Alternative 2 would improve the clarity and intent of the environmental requirements</w:t>
            </w:r>
            <w:r>
              <w:rPr>
                <w:sz w:val="20"/>
              </w:rPr>
              <w:t>, including applicability to SLR, and provide consistency with other ecological resource issues</w:t>
            </w:r>
            <w:r w:rsidRPr="009A6244">
              <w:rPr>
                <w:sz w:val="20"/>
              </w:rPr>
              <w:t>.</w:t>
            </w:r>
          </w:p>
          <w:p w:rsidR="0078072B" w:rsidP="0066072E" w14:paraId="1DB80A58" w14:textId="77777777">
            <w:pPr>
              <w:pStyle w:val="ListParagraph"/>
              <w:numPr>
                <w:ilvl w:val="0"/>
                <w:numId w:val="24"/>
              </w:numPr>
              <w:ind w:left="335"/>
              <w:rPr>
                <w:sz w:val="20"/>
              </w:rPr>
            </w:pPr>
            <w:r w:rsidRPr="009A6244">
              <w:rPr>
                <w:b/>
                <w:bCs/>
                <w:iCs/>
                <w:sz w:val="20"/>
              </w:rPr>
              <w:t>Environmental Considerations</w:t>
            </w:r>
            <w:r w:rsidRPr="009A6244">
              <w:rPr>
                <w:b/>
                <w:sz w:val="20"/>
                <w:szCs w:val="20"/>
              </w:rPr>
              <w:t>—</w:t>
            </w:r>
            <w:r w:rsidRPr="009A6244">
              <w:rPr>
                <w:bCs/>
                <w:sz w:val="20"/>
                <w:szCs w:val="20"/>
              </w:rPr>
              <w:t xml:space="preserve">Alternative 2 </w:t>
            </w:r>
            <w:r w:rsidRPr="009A6244">
              <w:rPr>
                <w:sz w:val="20"/>
              </w:rPr>
              <w:t>would provide the necessary information for the NRC to comply with Federal environmental statutes and regulations</w:t>
            </w:r>
            <w:r>
              <w:rPr>
                <w:sz w:val="20"/>
              </w:rPr>
              <w:t>.</w:t>
            </w:r>
          </w:p>
          <w:p w:rsidR="0078072B" w:rsidRPr="009A6244" w:rsidP="0066072E" w14:paraId="38719FAC" w14:textId="77777777">
            <w:pPr>
              <w:pStyle w:val="ListParagraph"/>
              <w:ind w:left="335"/>
              <w:rPr>
                <w:sz w:val="20"/>
              </w:rPr>
            </w:pPr>
          </w:p>
          <w:p w:rsidR="0078072B" w:rsidRPr="009A6244" w:rsidP="0066072E" w14:paraId="7A074AD2" w14:textId="77777777">
            <w:pPr>
              <w:rPr>
                <w:sz w:val="20"/>
                <w:szCs w:val="20"/>
                <w:u w:val="single"/>
              </w:rPr>
            </w:pPr>
            <w:r w:rsidRPr="009A6244">
              <w:rPr>
                <w:b/>
                <w:bCs/>
                <w:sz w:val="20"/>
                <w:szCs w:val="20"/>
                <w:u w:val="single"/>
              </w:rPr>
              <w:t>Costs</w:t>
            </w:r>
            <w:r w:rsidRPr="009A6244">
              <w:rPr>
                <w:sz w:val="20"/>
                <w:szCs w:val="20"/>
                <w:u w:val="single"/>
              </w:rPr>
              <w:t>:</w:t>
            </w:r>
          </w:p>
          <w:p w:rsidR="0078072B" w:rsidRPr="009A6244" w:rsidP="0066072E" w14:paraId="04CE431E" w14:textId="77777777">
            <w:pPr>
              <w:pStyle w:val="ListParagraph"/>
              <w:numPr>
                <w:ilvl w:val="0"/>
                <w:numId w:val="5"/>
              </w:numPr>
              <w:autoSpaceDE/>
              <w:autoSpaceDN/>
              <w:adjustRightInd/>
              <w:spacing w:line="240" w:lineRule="auto"/>
              <w:ind w:left="361"/>
              <w:rPr>
                <w:sz w:val="20"/>
                <w:szCs w:val="20"/>
              </w:rPr>
            </w:pPr>
            <w:r w:rsidRPr="009A6244">
              <w:rPr>
                <w:sz w:val="20"/>
                <w:szCs w:val="20"/>
              </w:rPr>
              <w:t>None identified</w:t>
            </w:r>
          </w:p>
        </w:tc>
      </w:tr>
    </w:tbl>
    <w:p w:rsidR="0078072B" w:rsidRPr="00E10389" w:rsidP="0078072B" w14:paraId="08DC71CA" w14:textId="77777777">
      <w:pPr>
        <w:rPr>
          <w:highlight w:val="yellow"/>
        </w:rPr>
      </w:pPr>
    </w:p>
    <w:p w:rsidR="0078072B" w:rsidRPr="006E1621" w:rsidP="0078072B" w14:paraId="0C061AD8" w14:textId="77777777">
      <w:pPr>
        <w:pStyle w:val="Heading2"/>
        <w:rPr>
          <w:sz w:val="24"/>
          <w:szCs w:val="24"/>
        </w:rPr>
      </w:pPr>
      <w:bookmarkStart w:id="52" w:name="_Toc147922997"/>
      <w:r w:rsidRPr="006E1621">
        <w:rPr>
          <w:sz w:val="24"/>
          <w:szCs w:val="24"/>
        </w:rPr>
        <w:t>4.2</w:t>
      </w:r>
      <w:r w:rsidRPr="006E1621">
        <w:rPr>
          <w:sz w:val="24"/>
          <w:szCs w:val="24"/>
        </w:rPr>
        <w:tab/>
      </w:r>
      <w:r w:rsidRPr="006E1621">
        <w:rPr>
          <w:sz w:val="24"/>
          <w:szCs w:val="24"/>
          <w:u w:val="single"/>
        </w:rPr>
        <w:t>Uncertainty Analysis</w:t>
      </w:r>
      <w:bookmarkEnd w:id="52"/>
    </w:p>
    <w:p w:rsidR="0078072B" w:rsidRPr="006E1621" w:rsidP="0078072B" w14:paraId="61407661" w14:textId="77777777"/>
    <w:p w:rsidR="0078072B" w:rsidRPr="001679B9" w:rsidP="0078072B" w14:paraId="010A6400" w14:textId="77777777">
      <w:r>
        <w:t>The NRC completed a</w:t>
      </w:r>
      <w:r w:rsidRPr="00C260BA">
        <w:t xml:space="preserve"> Monte Carlo sensitivity analysis </w:t>
      </w:r>
      <w:r>
        <w:t>for this regulatory analysis using the specialty software @Risk</w:t>
      </w:r>
      <w:r w:rsidRPr="00C260BA">
        <w:t xml:space="preserve">. The Monte </w:t>
      </w:r>
      <w:r>
        <w:t xml:space="preserve">Carlo approach </w:t>
      </w:r>
      <w:r w:rsidRPr="00C260BA">
        <w:t>answer</w:t>
      </w:r>
      <w:r>
        <w:t>s</w:t>
      </w:r>
      <w:r w:rsidRPr="00C260BA">
        <w:t xml:space="preserve"> the question</w:t>
      </w:r>
      <w:r>
        <w:t>, “W</w:t>
      </w:r>
      <w:r w:rsidRPr="00C260BA">
        <w:t xml:space="preserve">hat distribution of net </w:t>
      </w:r>
      <w:r>
        <w:t xml:space="preserve">costs and </w:t>
      </w:r>
      <w:r w:rsidRPr="00C260BA">
        <w:t>benefits results from multiple draws of the probability distribution as</w:t>
      </w:r>
      <w:r>
        <w:t xml:space="preserve">signed to </w:t>
      </w:r>
      <w:r w:rsidRPr="001679B9">
        <w:t>key variables?”</w:t>
      </w:r>
    </w:p>
    <w:p w:rsidR="0078072B" w:rsidRPr="001679B9" w:rsidP="0078072B" w14:paraId="06AAF1AD" w14:textId="77777777"/>
    <w:p w:rsidR="0078072B" w:rsidRPr="001679B9" w:rsidP="0078072B" w14:paraId="67062AA0" w14:textId="77777777">
      <w:pPr>
        <w:pStyle w:val="Heading3"/>
        <w:rPr>
          <w:i w:val="0"/>
          <w:iCs/>
        </w:rPr>
      </w:pPr>
      <w:bookmarkStart w:id="53" w:name="_Toc147922998"/>
      <w:r w:rsidRPr="001679B9">
        <w:rPr>
          <w:i w:val="0"/>
          <w:iCs/>
        </w:rPr>
        <w:t>4.2.1</w:t>
      </w:r>
      <w:r w:rsidRPr="001679B9">
        <w:rPr>
          <w:i w:val="0"/>
          <w:iCs/>
        </w:rPr>
        <w:tab/>
      </w:r>
      <w:r w:rsidRPr="001679B9">
        <w:t>Uncertainty Analysis Assumptions</w:t>
      </w:r>
      <w:bookmarkEnd w:id="53"/>
    </w:p>
    <w:p w:rsidR="0078072B" w:rsidRPr="00721689" w:rsidP="0078072B" w14:paraId="729E2AF9" w14:textId="77777777">
      <w:pPr>
        <w:rPr>
          <w:highlight w:val="yellow"/>
        </w:rPr>
      </w:pPr>
    </w:p>
    <w:p w:rsidR="0078072B" w:rsidRPr="00320266" w:rsidP="0078072B" w14:paraId="38E39429" w14:textId="77777777">
      <w:r w:rsidRPr="00DE209B">
        <w:t>The NRC provides the following analysis of the variables with the greatest uncertainty on estimates of values. As noted above, the NRC performed this analysis with a Monte Carlo simulation analysis using the @Risk software program. Monte Carlo simulations involve introducing uncertainty into the analysis by replacing the point estimates of the variables used to estimate base case costs and benefits with probability distributions. By defining input variables as probability distributions instead of point estimates, the influence of uncertainty on the results of the analysis (i.e., the net benefits) can be modeled</w:t>
      </w:r>
      <w:r w:rsidRPr="008E24A3">
        <w:t xml:space="preserve"> </w:t>
      </w:r>
      <w:r w:rsidRPr="00DE209B">
        <w:t>effectively.</w:t>
      </w:r>
    </w:p>
    <w:p w:rsidR="0078072B" w:rsidRPr="009B3D79" w:rsidP="0078072B" w14:paraId="0DB7AC8F" w14:textId="77777777"/>
    <w:p w:rsidR="0078072B" w:rsidRPr="00320266" w:rsidP="0078072B" w14:paraId="5A639E3F" w14:textId="57859C60">
      <w:r w:rsidRPr="009B3D79">
        <w:t xml:space="preserve">The probability distributions chosen to represent the different variables in the analysis were bounded by the </w:t>
      </w:r>
      <w:r w:rsidRPr="009B3D79" w:rsidR="007D4418">
        <w:t>range referenced</w:t>
      </w:r>
      <w:r w:rsidRPr="009B3D79">
        <w:t xml:space="preserve"> input and the NRC staff’s professional judgment. When defining the probability distributions for use in a Monte Carlo simulation, summary statistics are needed to characterize the </w:t>
      </w:r>
      <w:r w:rsidRPr="005D601D">
        <w:t xml:space="preserve">distributions. These summary statistics include (1) the minimum, </w:t>
      </w:r>
      <w:r w:rsidRPr="00256BA9">
        <w:t>most likely, and maximum values of a program evaluation and review technique (PERT) distribution</w:t>
      </w:r>
      <w:r w:rsidR="00EC6ADC">
        <w:t>.</w:t>
      </w:r>
      <w:r>
        <w:rPr>
          <w:rStyle w:val="FootnoteReference"/>
          <w:color w:val="auto"/>
          <w:vertAlign w:val="superscript"/>
        </w:rPr>
        <w:footnoteReference w:id="13"/>
      </w:r>
      <w:r w:rsidRPr="005D601D">
        <w:t xml:space="preserve"> The NRC used the PERT distribution to reflect the relative spread and skewness of the distribution defined by the three estimates.</w:t>
      </w:r>
    </w:p>
    <w:p w:rsidR="0078072B" w:rsidRPr="00721689" w:rsidP="0078072B" w14:paraId="3ABACED9" w14:textId="77777777">
      <w:pPr>
        <w:rPr>
          <w:highlight w:val="yellow"/>
        </w:rPr>
      </w:pPr>
    </w:p>
    <w:p w:rsidR="0078072B" w:rsidRPr="00A0032C" w:rsidP="0078072B" w14:paraId="2B9E2D41" w14:textId="77777777">
      <w:r w:rsidRPr="00A0032C">
        <w:t>Appendix A identifies the data elements, the distribution and summary statistic, and the mean value of the distribution used in the uncertainty analysis.</w:t>
      </w:r>
    </w:p>
    <w:p w:rsidR="0078072B" w:rsidRPr="00A0032C" w:rsidP="0078072B" w14:paraId="6E3AE8F5" w14:textId="77777777"/>
    <w:p w:rsidR="0078072B" w:rsidRPr="00064DCF" w:rsidP="0078072B" w14:paraId="6507F0BE" w14:textId="77777777">
      <w:pPr>
        <w:pStyle w:val="Heading3"/>
        <w:rPr>
          <w:i w:val="0"/>
          <w:iCs/>
        </w:rPr>
      </w:pPr>
      <w:bookmarkStart w:id="54" w:name="_Toc147922999"/>
      <w:r w:rsidRPr="00064DCF">
        <w:rPr>
          <w:i w:val="0"/>
          <w:iCs/>
        </w:rPr>
        <w:t>4.2.2</w:t>
      </w:r>
      <w:r w:rsidRPr="00064DCF">
        <w:rPr>
          <w:i w:val="0"/>
          <w:iCs/>
        </w:rPr>
        <w:tab/>
      </w:r>
      <w:r w:rsidRPr="00064DCF">
        <w:t>Uncertainty Analysis Results</w:t>
      </w:r>
      <w:bookmarkEnd w:id="54"/>
    </w:p>
    <w:p w:rsidR="0078072B" w:rsidRPr="00AA6853" w:rsidP="0078072B" w14:paraId="7CAB9F08" w14:textId="77777777"/>
    <w:p w:rsidR="0078072B" w:rsidRPr="00E10389" w:rsidP="0078072B" w14:paraId="5F00F954" w14:textId="77777777">
      <w:pPr>
        <w:rPr>
          <w:highlight w:val="yellow"/>
        </w:rPr>
      </w:pPr>
      <w:r w:rsidRPr="000D794B">
        <w:t xml:space="preserve">The NRC performed the Monte Carlo simulation by repeatedly recalculating the results 10,000 times. </w:t>
      </w:r>
      <w:r>
        <w:t xml:space="preserve">For each iteration, the values identified in </w:t>
      </w:r>
      <w:r w:rsidRPr="00A0032C">
        <w:t>Appendix A</w:t>
      </w:r>
      <w:r>
        <w:t xml:space="preserve"> were chosen randomly from the probability distributions that define the input variables. The values of the output variables were recorded for each iteration, and these values were used to define the resultant probability distribution.</w:t>
      </w:r>
    </w:p>
    <w:p w:rsidR="0078072B" w:rsidRPr="00001B60" w:rsidP="0078072B" w14:paraId="4369FC6F" w14:textId="77777777"/>
    <w:p w:rsidR="0078072B" w:rsidRPr="00C767D5" w:rsidP="00C87C8D" w14:paraId="5405FDE6" w14:textId="3BCCEB30">
      <w:pPr>
        <w:shd w:val="clear" w:color="auto" w:fill="FFFFFF" w:themeFill="background1"/>
      </w:pPr>
      <w:r w:rsidRPr="0044146D">
        <w:t>For the analysis s</w:t>
      </w:r>
      <w:r w:rsidRPr="00C767D5">
        <w:t>hown in Figures 1</w:t>
      </w:r>
      <w:r w:rsidRPr="00C767D5" w:rsidR="00894E4F">
        <w:t>, 2</w:t>
      </w:r>
      <w:r w:rsidRPr="00C767D5" w:rsidR="0066242D">
        <w:t>,</w:t>
      </w:r>
      <w:r w:rsidRPr="00C767D5" w:rsidR="00894E4F">
        <w:t xml:space="preserve"> and </w:t>
      </w:r>
      <w:r w:rsidRPr="00C767D5">
        <w:t>3, the NRC ran 10,000 simulations in which it changed the key variables to assess the resulting effect on costs and benefits. Figures 1</w:t>
      </w:r>
      <w:r w:rsidRPr="00C767D5" w:rsidR="00916B70">
        <w:t xml:space="preserve">, 2, and </w:t>
      </w:r>
      <w:r w:rsidRPr="00C767D5">
        <w:t>3 display the histograms of the incremental costs and benefits from the regulatory baseline (Alternative 1) for each affected entity and the total net benefit of the rule. The analysis shows that both industry and the NRC have a greater than 99 percent likelihood of incurring benefits that exceed the costs if the NRC issues this rule.</w:t>
      </w:r>
    </w:p>
    <w:p w:rsidR="0078072B" w:rsidRPr="00C87C8D" w:rsidP="0078072B" w14:paraId="04EA36A7" w14:textId="77777777">
      <w:pPr>
        <w:rPr>
          <w:highlight w:val="yellow"/>
        </w:rPr>
      </w:pPr>
    </w:p>
    <w:p w:rsidR="0078072B" w:rsidRPr="00897FCD" w:rsidP="0078072B" w14:paraId="283F4CD5" w14:textId="3F6761E3"/>
    <w:p w:rsidR="0078072B" w:rsidRPr="00897FCD" w:rsidP="0078072B" w14:paraId="1F7348A5" w14:textId="42B15794">
      <w:pPr>
        <w:pStyle w:val="Caption"/>
        <w:jc w:val="center"/>
        <w:rPr>
          <w:b/>
        </w:rPr>
      </w:pPr>
      <w:bookmarkStart w:id="55" w:name="_Toc112274714"/>
      <w:r w:rsidRPr="00C87C8D">
        <w:rPr>
          <w:noProof/>
        </w:rPr>
        <w:drawing>
          <wp:inline distT="0" distB="0" distL="0" distR="0">
            <wp:extent cx="5943600" cy="3322320"/>
            <wp:effectExtent l="0" t="0" r="0" b="0"/>
            <wp:docPr id="1282239430" name="Picture 1282239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239430"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22320"/>
                    </a:xfrm>
                    <a:prstGeom prst="rect">
                      <a:avLst/>
                    </a:prstGeom>
                    <a:noFill/>
                    <a:ln>
                      <a:noFill/>
                    </a:ln>
                  </pic:spPr>
                </pic:pic>
              </a:graphicData>
            </a:graphic>
          </wp:inline>
        </w:drawing>
      </w:r>
      <w:r w:rsidRPr="00897FCD">
        <w:rPr>
          <w:b/>
        </w:rPr>
        <w:t xml:space="preserve">Figure </w:t>
      </w:r>
      <w:r w:rsidRPr="00897FCD">
        <w:rPr>
          <w:b/>
        </w:rPr>
        <w:fldChar w:fldCharType="begin"/>
      </w:r>
      <w:r w:rsidRPr="00897FCD">
        <w:instrText>SEQ Figure \* ARABIC</w:instrText>
      </w:r>
      <w:r w:rsidRPr="00897FCD">
        <w:rPr>
          <w:b/>
        </w:rPr>
        <w:fldChar w:fldCharType="separate"/>
      </w:r>
      <w:r w:rsidRPr="00897FCD">
        <w:rPr>
          <w:b/>
          <w:noProof/>
        </w:rPr>
        <w:t>1</w:t>
      </w:r>
      <w:r w:rsidRPr="00897FCD">
        <w:rPr>
          <w:b/>
        </w:rPr>
        <w:fldChar w:fldCharType="end"/>
      </w:r>
      <w:r w:rsidRPr="00897FCD">
        <w:rPr>
          <w:b/>
        </w:rPr>
        <w:t xml:space="preserve">  Total Industry Net Benefits (Costs) (7 Percent NPV)—Alternative 2</w:t>
      </w:r>
      <w:bookmarkEnd w:id="55"/>
    </w:p>
    <w:p w:rsidR="0078072B" w:rsidRPr="00C87C8D" w:rsidP="0078072B" w14:paraId="24B69D70" w14:textId="77777777">
      <w:pPr>
        <w:rPr>
          <w:highlight w:val="yellow"/>
        </w:rPr>
      </w:pPr>
    </w:p>
    <w:p w:rsidR="0078072B" w:rsidRPr="00897FCD" w:rsidP="0078072B" w14:paraId="0CC28DB5" w14:textId="1C994713">
      <w:pPr>
        <w:keepNext/>
      </w:pPr>
    </w:p>
    <w:p w:rsidR="0078072B" w:rsidRPr="00897FCD" w:rsidP="0078072B" w14:paraId="1EC31F30" w14:textId="161FC12C">
      <w:pPr>
        <w:pStyle w:val="Caption"/>
        <w:jc w:val="center"/>
        <w:rPr>
          <w:b/>
        </w:rPr>
      </w:pPr>
      <w:bookmarkStart w:id="56" w:name="_Toc112274715"/>
      <w:r w:rsidRPr="00C87C8D">
        <w:rPr>
          <w:noProof/>
        </w:rPr>
        <w:drawing>
          <wp:inline distT="0" distB="0" distL="0" distR="0">
            <wp:extent cx="5943600" cy="3322320"/>
            <wp:effectExtent l="0" t="0" r="0" b="0"/>
            <wp:docPr id="885354414" name="Picture 88535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54414"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22320"/>
                    </a:xfrm>
                    <a:prstGeom prst="rect">
                      <a:avLst/>
                    </a:prstGeom>
                    <a:noFill/>
                    <a:ln>
                      <a:noFill/>
                    </a:ln>
                  </pic:spPr>
                </pic:pic>
              </a:graphicData>
            </a:graphic>
          </wp:inline>
        </w:drawing>
      </w:r>
      <w:r w:rsidRPr="00897FCD">
        <w:rPr>
          <w:b/>
        </w:rPr>
        <w:t xml:space="preserve">Figure </w:t>
      </w:r>
      <w:r w:rsidRPr="00897FCD">
        <w:rPr>
          <w:b/>
        </w:rPr>
        <w:fldChar w:fldCharType="begin"/>
      </w:r>
      <w:r w:rsidRPr="00897FCD">
        <w:instrText>SEQ Figure \* ARABIC</w:instrText>
      </w:r>
      <w:r w:rsidRPr="00897FCD">
        <w:rPr>
          <w:b/>
        </w:rPr>
        <w:fldChar w:fldCharType="separate"/>
      </w:r>
      <w:r w:rsidRPr="00897FCD">
        <w:rPr>
          <w:b/>
          <w:noProof/>
        </w:rPr>
        <w:t>2</w:t>
      </w:r>
      <w:r w:rsidRPr="00897FCD">
        <w:rPr>
          <w:b/>
        </w:rPr>
        <w:fldChar w:fldCharType="end"/>
      </w:r>
      <w:r w:rsidRPr="00897FCD">
        <w:rPr>
          <w:b/>
        </w:rPr>
        <w:t xml:space="preserve">  Total NRC Net Benefits (Costs) (7 Percent NPV)—Alternative 2</w:t>
      </w:r>
      <w:bookmarkEnd w:id="56"/>
    </w:p>
    <w:p w:rsidR="0078072B" w:rsidRPr="00897FCD" w:rsidP="0078072B" w14:paraId="3E904463" w14:textId="0FC1B676">
      <w:pPr>
        <w:pStyle w:val="Caption"/>
        <w:widowControl w:val="0"/>
      </w:pPr>
    </w:p>
    <w:p w:rsidR="0078072B" w:rsidRPr="00897FCD" w:rsidP="0078072B" w14:paraId="3F9C5C89" w14:textId="11971C04">
      <w:pPr>
        <w:pStyle w:val="Caption"/>
        <w:jc w:val="center"/>
        <w:rPr>
          <w:b/>
        </w:rPr>
      </w:pPr>
      <w:bookmarkStart w:id="57" w:name="_Toc112274716"/>
      <w:r w:rsidRPr="00C87C8D">
        <w:rPr>
          <w:noProof/>
        </w:rPr>
        <w:drawing>
          <wp:inline distT="0" distB="0" distL="0" distR="0">
            <wp:extent cx="5943600" cy="3322320"/>
            <wp:effectExtent l="0" t="0" r="0" b="0"/>
            <wp:docPr id="1090969454" name="Picture 109096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69454" name="Picture 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22320"/>
                    </a:xfrm>
                    <a:prstGeom prst="rect">
                      <a:avLst/>
                    </a:prstGeom>
                    <a:noFill/>
                    <a:ln>
                      <a:noFill/>
                    </a:ln>
                  </pic:spPr>
                </pic:pic>
              </a:graphicData>
            </a:graphic>
          </wp:inline>
        </w:drawing>
      </w:r>
      <w:r w:rsidRPr="00897FCD">
        <w:rPr>
          <w:b/>
        </w:rPr>
        <w:t xml:space="preserve">Figure </w:t>
      </w:r>
      <w:r w:rsidRPr="00897FCD">
        <w:rPr>
          <w:b/>
        </w:rPr>
        <w:fldChar w:fldCharType="begin"/>
      </w:r>
      <w:r w:rsidRPr="00897FCD">
        <w:instrText>SEQ Figure \* ARABIC</w:instrText>
      </w:r>
      <w:r w:rsidRPr="00897FCD">
        <w:rPr>
          <w:b/>
        </w:rPr>
        <w:fldChar w:fldCharType="separate"/>
      </w:r>
      <w:r w:rsidRPr="00897FCD">
        <w:rPr>
          <w:b/>
          <w:noProof/>
        </w:rPr>
        <w:t>3</w:t>
      </w:r>
      <w:r w:rsidRPr="00897FCD">
        <w:rPr>
          <w:b/>
        </w:rPr>
        <w:fldChar w:fldCharType="end"/>
      </w:r>
      <w:r w:rsidRPr="00897FCD">
        <w:rPr>
          <w:b/>
        </w:rPr>
        <w:t xml:space="preserve">  Total Net Benefits (Cost) (7 Percent NPV)—Alternative 2</w:t>
      </w:r>
      <w:bookmarkEnd w:id="57"/>
    </w:p>
    <w:p w:rsidR="0078072B" w:rsidRPr="00C87C8D" w:rsidP="0078072B" w14:paraId="6C96D40D" w14:textId="77777777">
      <w:pPr>
        <w:rPr>
          <w:highlight w:val="yellow"/>
        </w:rPr>
      </w:pPr>
    </w:p>
    <w:p w:rsidR="0078072B" w:rsidRPr="00C87C8D" w:rsidP="0078072B" w14:paraId="7151E038" w14:textId="404231F5">
      <w:pPr>
        <w:keepNext/>
        <w:keepLines/>
      </w:pPr>
      <w:r w:rsidRPr="00C767D5">
        <w:fldChar w:fldCharType="begin"/>
      </w:r>
      <w:r w:rsidRPr="00C767D5">
        <w:instrText xml:space="preserve"> REF _Ref108429290 \h </w:instrText>
      </w:r>
      <w:r w:rsidR="0039213A">
        <w:instrText xml:space="preserve"> \* MERGEFORMAT </w:instrText>
      </w:r>
      <w:r w:rsidRPr="00C767D5">
        <w:fldChar w:fldCharType="separate"/>
      </w:r>
      <w:r w:rsidRPr="00C767D5">
        <w:t>Table</w:t>
      </w:r>
      <w:r w:rsidRPr="00C767D5">
        <w:fldChar w:fldCharType="end"/>
      </w:r>
      <w:r w:rsidRPr="00C767D5">
        <w:t xml:space="preserve"> </w:t>
      </w:r>
      <w:r w:rsidR="7E19481A">
        <w:t xml:space="preserve">9 </w:t>
      </w:r>
      <w:r w:rsidRPr="00C767D5">
        <w:t>presents descriptive statistics on the uncertainty analysis.</w:t>
      </w:r>
      <w:r w:rsidR="00AC38F6">
        <w:t xml:space="preserve"> It </w:t>
      </w:r>
      <w:r w:rsidRPr="0018228E" w:rsidR="00AC38F6">
        <w:t>displays the key statistical results, including the 90 percent confidence interval in which the net benefits would fall between the 5 percent and 95 percent values.</w:t>
      </w:r>
    </w:p>
    <w:p w:rsidR="00F07284" w:rsidRPr="00C87C8D" w:rsidP="0078072B" w14:paraId="1CBA30C3" w14:textId="77777777">
      <w:pPr>
        <w:keepNext/>
        <w:keepLines/>
      </w:pPr>
    </w:p>
    <w:p w:rsidR="00FE44B9" w:rsidRPr="00C87C8D" w:rsidP="00C87C8D" w14:paraId="12A8B395" w14:textId="512075F3">
      <w:pPr>
        <w:pStyle w:val="Caption"/>
        <w:jc w:val="center"/>
        <w:rPr>
          <w:b/>
        </w:rPr>
      </w:pPr>
      <w:bookmarkStart w:id="58" w:name="_Toc147923424"/>
      <w:r w:rsidRPr="00C87C8D">
        <w:rPr>
          <w:b/>
        </w:rPr>
        <w:t xml:space="preserve">Table </w:t>
      </w:r>
      <w:r w:rsidRPr="00C87C8D">
        <w:rPr>
          <w:b/>
        </w:rPr>
        <w:fldChar w:fldCharType="begin"/>
      </w:r>
      <w:r w:rsidRPr="00C87C8D">
        <w:rPr>
          <w:b/>
        </w:rPr>
        <w:instrText xml:space="preserve"> SEQ Table \* ARABIC </w:instrText>
      </w:r>
      <w:r w:rsidRPr="00C87C8D">
        <w:rPr>
          <w:b/>
        </w:rPr>
        <w:fldChar w:fldCharType="separate"/>
      </w:r>
      <w:r w:rsidR="00BE3FBC">
        <w:rPr>
          <w:b/>
          <w:noProof/>
        </w:rPr>
        <w:t>9</w:t>
      </w:r>
      <w:r w:rsidRPr="00C87C8D">
        <w:rPr>
          <w:b/>
        </w:rPr>
        <w:fldChar w:fldCharType="end"/>
      </w:r>
      <w:r w:rsidRPr="00C87C8D">
        <w:rPr>
          <w:b/>
        </w:rPr>
        <w:t xml:space="preserve">  Descriptive Statistics for Uncertainty Results (7 Percent NPV)</w:t>
      </w:r>
      <w:bookmarkEnd w:id="58"/>
    </w:p>
    <w:tbl>
      <w:tblPr>
        <w:tblW w:w="7465" w:type="dxa"/>
        <w:jc w:val="center"/>
        <w:tblLook w:val="04A0"/>
      </w:tblPr>
      <w:tblGrid>
        <w:gridCol w:w="2785"/>
        <w:gridCol w:w="900"/>
        <w:gridCol w:w="900"/>
        <w:gridCol w:w="990"/>
        <w:gridCol w:w="900"/>
        <w:gridCol w:w="990"/>
      </w:tblGrid>
      <w:tr w14:paraId="3A3323DB" w14:textId="77777777" w:rsidTr="0066072E">
        <w:tblPrEx>
          <w:tblW w:w="7465" w:type="dxa"/>
          <w:jc w:val="center"/>
          <w:tblLook w:val="04A0"/>
        </w:tblPrEx>
        <w:trPr>
          <w:trHeight w:val="280"/>
          <w:jc w:val="center"/>
        </w:trPr>
        <w:tc>
          <w:tcPr>
            <w:tcW w:w="27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72B" w:rsidRPr="0018228E" w:rsidP="0066072E" w14:paraId="4FB728BC" w14:textId="77777777">
            <w:pPr>
              <w:keepNext/>
              <w:keepLines/>
              <w:autoSpaceDE/>
              <w:autoSpaceDN/>
              <w:adjustRightInd/>
              <w:spacing w:line="240" w:lineRule="auto"/>
              <w:jc w:val="center"/>
              <w:rPr>
                <w:rFonts w:eastAsia="Times New Roman"/>
                <w:b/>
                <w:color w:val="000000"/>
                <w:sz w:val="20"/>
                <w:szCs w:val="20"/>
              </w:rPr>
            </w:pPr>
            <w:r w:rsidRPr="0018228E">
              <w:rPr>
                <w:rFonts w:eastAsia="Times New Roman"/>
                <w:b/>
                <w:color w:val="000000"/>
                <w:sz w:val="20"/>
                <w:szCs w:val="20"/>
              </w:rPr>
              <w:t>Uncertainty Result</w:t>
            </w:r>
          </w:p>
        </w:tc>
        <w:tc>
          <w:tcPr>
            <w:tcW w:w="4680" w:type="dxa"/>
            <w:gridSpan w:val="5"/>
            <w:tcBorders>
              <w:top w:val="single" w:sz="4" w:space="0" w:color="auto"/>
              <w:left w:val="nil"/>
              <w:bottom w:val="single" w:sz="4" w:space="0" w:color="auto"/>
              <w:right w:val="single" w:sz="4" w:space="0" w:color="auto"/>
            </w:tcBorders>
            <w:shd w:val="clear" w:color="auto" w:fill="auto"/>
            <w:noWrap/>
            <w:vAlign w:val="center"/>
            <w:hideMark/>
          </w:tcPr>
          <w:p w:rsidR="0078072B" w:rsidRPr="0018228E" w:rsidP="0066072E" w14:paraId="40A2A224" w14:textId="4A14A74C">
            <w:pPr>
              <w:keepNext/>
              <w:keepLines/>
              <w:autoSpaceDE/>
              <w:autoSpaceDN/>
              <w:adjustRightInd/>
              <w:spacing w:line="240" w:lineRule="auto"/>
              <w:jc w:val="center"/>
              <w:rPr>
                <w:rFonts w:eastAsia="Times New Roman"/>
                <w:b/>
                <w:color w:val="000000"/>
                <w:sz w:val="20"/>
                <w:szCs w:val="20"/>
              </w:rPr>
            </w:pPr>
            <w:r w:rsidRPr="0018228E">
              <w:rPr>
                <w:rFonts w:eastAsia="Times New Roman"/>
                <w:b/>
                <w:color w:val="000000"/>
                <w:sz w:val="20"/>
                <w:szCs w:val="20"/>
              </w:rPr>
              <w:t>Incremental Cost-Benefit (202</w:t>
            </w:r>
            <w:r w:rsidRPr="00C87C8D" w:rsidR="0017288D">
              <w:rPr>
                <w:rFonts w:eastAsia="Times New Roman"/>
                <w:b/>
                <w:color w:val="000000"/>
                <w:sz w:val="20"/>
                <w:szCs w:val="20"/>
              </w:rPr>
              <w:t>3</w:t>
            </w:r>
            <w:r w:rsidRPr="0018228E">
              <w:rPr>
                <w:rFonts w:eastAsia="Times New Roman"/>
                <w:b/>
                <w:color w:val="000000"/>
                <w:sz w:val="20"/>
                <w:szCs w:val="20"/>
              </w:rPr>
              <w:t xml:space="preserve"> Million Dollars)</w:t>
            </w:r>
          </w:p>
        </w:tc>
      </w:tr>
      <w:tr w14:paraId="4C425C75" w14:textId="77777777" w:rsidTr="0066072E">
        <w:tblPrEx>
          <w:tblW w:w="7465" w:type="dxa"/>
          <w:jc w:val="center"/>
          <w:tblLook w:val="04A0"/>
        </w:tblPrEx>
        <w:trPr>
          <w:trHeight w:val="290"/>
          <w:jc w:val="center"/>
        </w:trPr>
        <w:tc>
          <w:tcPr>
            <w:tcW w:w="2785" w:type="dxa"/>
            <w:vMerge/>
            <w:tcBorders>
              <w:top w:val="single" w:sz="4" w:space="0" w:color="auto"/>
              <w:left w:val="single" w:sz="4" w:space="0" w:color="auto"/>
              <w:bottom w:val="single" w:sz="4" w:space="0" w:color="auto"/>
              <w:right w:val="single" w:sz="4" w:space="0" w:color="auto"/>
            </w:tcBorders>
            <w:vAlign w:val="center"/>
            <w:hideMark/>
          </w:tcPr>
          <w:p w:rsidR="0078072B" w:rsidRPr="0018228E" w:rsidP="0066072E" w14:paraId="56F36E29" w14:textId="77777777">
            <w:pPr>
              <w:keepNext/>
              <w:keepLines/>
              <w:autoSpaceDE/>
              <w:autoSpaceDN/>
              <w:adjustRightInd/>
              <w:spacing w:line="240" w:lineRule="auto"/>
              <w:rPr>
                <w:rFonts w:eastAsia="Times New Roman"/>
                <w:b/>
                <w:color w:val="000000"/>
                <w:sz w:val="20"/>
                <w:szCs w:val="20"/>
              </w:rPr>
            </w:pPr>
          </w:p>
        </w:tc>
        <w:tc>
          <w:tcPr>
            <w:tcW w:w="90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53D6006C" w14:textId="77777777">
            <w:pPr>
              <w:keepNext/>
              <w:keepLines/>
              <w:autoSpaceDE/>
              <w:autoSpaceDN/>
              <w:adjustRightInd/>
              <w:spacing w:line="240" w:lineRule="auto"/>
              <w:jc w:val="center"/>
              <w:rPr>
                <w:rFonts w:eastAsia="Times New Roman"/>
                <w:b/>
                <w:color w:val="000000"/>
                <w:sz w:val="20"/>
                <w:szCs w:val="20"/>
              </w:rPr>
            </w:pPr>
            <w:r w:rsidRPr="0018228E">
              <w:rPr>
                <w:rFonts w:eastAsia="Times New Roman"/>
                <w:b/>
                <w:color w:val="000000"/>
                <w:sz w:val="20"/>
                <w:szCs w:val="20"/>
              </w:rPr>
              <w:t>Min</w:t>
            </w:r>
          </w:p>
        </w:tc>
        <w:tc>
          <w:tcPr>
            <w:tcW w:w="90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53DB0DCB" w14:textId="77777777">
            <w:pPr>
              <w:keepNext/>
              <w:keepLines/>
              <w:autoSpaceDE/>
              <w:autoSpaceDN/>
              <w:adjustRightInd/>
              <w:spacing w:line="240" w:lineRule="auto"/>
              <w:jc w:val="center"/>
              <w:rPr>
                <w:rFonts w:eastAsia="Times New Roman"/>
                <w:b/>
                <w:color w:val="000000"/>
                <w:sz w:val="20"/>
                <w:szCs w:val="20"/>
              </w:rPr>
            </w:pPr>
            <w:r w:rsidRPr="0018228E">
              <w:rPr>
                <w:rFonts w:eastAsia="Times New Roman"/>
                <w:b/>
                <w:color w:val="000000"/>
                <w:sz w:val="20"/>
                <w:szCs w:val="20"/>
              </w:rPr>
              <w:t>Mean</w:t>
            </w:r>
          </w:p>
        </w:tc>
        <w:tc>
          <w:tcPr>
            <w:tcW w:w="99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15AD076E" w14:textId="77777777">
            <w:pPr>
              <w:keepNext/>
              <w:keepLines/>
              <w:autoSpaceDE/>
              <w:autoSpaceDN/>
              <w:adjustRightInd/>
              <w:spacing w:line="240" w:lineRule="auto"/>
              <w:jc w:val="center"/>
              <w:rPr>
                <w:rFonts w:eastAsia="Times New Roman"/>
                <w:b/>
                <w:color w:val="000000"/>
                <w:sz w:val="20"/>
                <w:szCs w:val="20"/>
              </w:rPr>
            </w:pPr>
            <w:r w:rsidRPr="0018228E">
              <w:rPr>
                <w:rFonts w:eastAsia="Times New Roman"/>
                <w:b/>
                <w:color w:val="000000"/>
                <w:sz w:val="20"/>
                <w:szCs w:val="20"/>
              </w:rPr>
              <w:t>Max</w:t>
            </w:r>
          </w:p>
        </w:tc>
        <w:tc>
          <w:tcPr>
            <w:tcW w:w="90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2A02C2E8" w14:textId="77777777">
            <w:pPr>
              <w:keepNext/>
              <w:keepLines/>
              <w:autoSpaceDE/>
              <w:autoSpaceDN/>
              <w:adjustRightInd/>
              <w:spacing w:line="240" w:lineRule="auto"/>
              <w:jc w:val="center"/>
              <w:rPr>
                <w:rFonts w:eastAsia="Times New Roman"/>
                <w:b/>
                <w:color w:val="000000"/>
                <w:sz w:val="20"/>
                <w:szCs w:val="20"/>
              </w:rPr>
            </w:pPr>
            <w:r w:rsidRPr="0018228E">
              <w:rPr>
                <w:rFonts w:eastAsia="Times New Roman"/>
                <w:b/>
                <w:color w:val="000000"/>
                <w:sz w:val="20"/>
                <w:szCs w:val="20"/>
              </w:rPr>
              <w:t>5%</w:t>
            </w:r>
          </w:p>
        </w:tc>
        <w:tc>
          <w:tcPr>
            <w:tcW w:w="99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46FBFDBF" w14:textId="77777777">
            <w:pPr>
              <w:keepNext/>
              <w:keepLines/>
              <w:autoSpaceDE/>
              <w:autoSpaceDN/>
              <w:adjustRightInd/>
              <w:spacing w:line="240" w:lineRule="auto"/>
              <w:jc w:val="center"/>
              <w:rPr>
                <w:rFonts w:eastAsia="Times New Roman"/>
                <w:b/>
                <w:color w:val="000000"/>
                <w:sz w:val="20"/>
                <w:szCs w:val="20"/>
              </w:rPr>
            </w:pPr>
            <w:r w:rsidRPr="0018228E">
              <w:rPr>
                <w:rFonts w:eastAsia="Times New Roman"/>
                <w:b/>
                <w:color w:val="000000"/>
                <w:sz w:val="20"/>
                <w:szCs w:val="20"/>
              </w:rPr>
              <w:t>95%</w:t>
            </w:r>
          </w:p>
        </w:tc>
      </w:tr>
      <w:tr w14:paraId="6E4D2F1A" w14:textId="77777777" w:rsidTr="0066072E">
        <w:tblPrEx>
          <w:tblW w:w="7465" w:type="dxa"/>
          <w:jc w:val="center"/>
          <w:tblLook w:val="04A0"/>
        </w:tblPrEx>
        <w:trPr>
          <w:trHeight w:val="280"/>
          <w:jc w:val="center"/>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8228E" w:rsidP="0066072E" w14:paraId="28E1C6B4" w14:textId="77777777">
            <w:pPr>
              <w:keepNext/>
              <w:keepLines/>
              <w:autoSpaceDE/>
              <w:autoSpaceDN/>
              <w:adjustRightInd/>
              <w:spacing w:line="240" w:lineRule="auto"/>
              <w:rPr>
                <w:rFonts w:eastAsia="Times New Roman"/>
                <w:color w:val="auto"/>
                <w:sz w:val="20"/>
                <w:szCs w:val="20"/>
              </w:rPr>
            </w:pPr>
            <w:r w:rsidRPr="0018228E">
              <w:rPr>
                <w:rFonts w:eastAsia="Times New Roman"/>
                <w:color w:val="auto"/>
                <w:sz w:val="20"/>
                <w:szCs w:val="20"/>
              </w:rPr>
              <w:t>Net Industry Benefit (Cost)</w:t>
            </w:r>
          </w:p>
        </w:tc>
        <w:tc>
          <w:tcPr>
            <w:tcW w:w="90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7890A4D4" w14:textId="1562E754">
            <w:pPr>
              <w:keepNext/>
              <w:keepLines/>
              <w:autoSpaceDE/>
              <w:autoSpaceDN/>
              <w:adjustRightInd/>
              <w:spacing w:line="240" w:lineRule="auto"/>
              <w:jc w:val="center"/>
              <w:rPr>
                <w:rFonts w:eastAsia="Times New Roman"/>
                <w:color w:val="auto"/>
                <w:sz w:val="20"/>
                <w:szCs w:val="20"/>
              </w:rPr>
            </w:pPr>
            <w:r w:rsidRPr="0018228E">
              <w:rPr>
                <w:rFonts w:eastAsia="Times New Roman"/>
                <w:color w:val="auto"/>
                <w:sz w:val="20"/>
                <w:szCs w:val="20"/>
              </w:rPr>
              <w:t>$4</w:t>
            </w:r>
            <w:r w:rsidRPr="00C87C8D" w:rsidR="0017288D">
              <w:rPr>
                <w:rFonts w:eastAsia="Times New Roman"/>
                <w:color w:val="auto"/>
                <w:sz w:val="20"/>
                <w:szCs w:val="20"/>
              </w:rPr>
              <w:t>4</w:t>
            </w:r>
          </w:p>
        </w:tc>
        <w:tc>
          <w:tcPr>
            <w:tcW w:w="90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6010571E" w14:textId="0E513764">
            <w:pPr>
              <w:keepNext/>
              <w:keepLines/>
              <w:autoSpaceDE/>
              <w:autoSpaceDN/>
              <w:adjustRightInd/>
              <w:spacing w:line="240" w:lineRule="auto"/>
              <w:jc w:val="center"/>
              <w:rPr>
                <w:rFonts w:eastAsia="Times New Roman"/>
                <w:color w:val="auto"/>
                <w:sz w:val="20"/>
                <w:szCs w:val="20"/>
              </w:rPr>
            </w:pPr>
            <w:r w:rsidRPr="0018228E">
              <w:rPr>
                <w:rFonts w:eastAsia="Times New Roman"/>
                <w:color w:val="auto"/>
                <w:sz w:val="20"/>
                <w:szCs w:val="20"/>
              </w:rPr>
              <w:t>$</w:t>
            </w:r>
            <w:r w:rsidRPr="00C87C8D" w:rsidR="003948EA">
              <w:rPr>
                <w:rFonts w:eastAsia="Times New Roman"/>
                <w:color w:val="auto"/>
                <w:sz w:val="20"/>
                <w:szCs w:val="20"/>
              </w:rPr>
              <w:t>61</w:t>
            </w:r>
          </w:p>
        </w:tc>
        <w:tc>
          <w:tcPr>
            <w:tcW w:w="99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6DEB0EB6" w14:textId="5CC6C1CE">
            <w:pPr>
              <w:keepNext/>
              <w:keepLines/>
              <w:autoSpaceDE/>
              <w:autoSpaceDN/>
              <w:adjustRightInd/>
              <w:spacing w:line="240" w:lineRule="auto"/>
              <w:jc w:val="center"/>
              <w:rPr>
                <w:rFonts w:eastAsia="Times New Roman"/>
                <w:color w:val="auto"/>
                <w:sz w:val="20"/>
                <w:szCs w:val="20"/>
              </w:rPr>
            </w:pPr>
            <w:r w:rsidRPr="0018228E">
              <w:rPr>
                <w:rFonts w:eastAsia="Times New Roman"/>
                <w:color w:val="auto"/>
                <w:sz w:val="20"/>
                <w:szCs w:val="20"/>
              </w:rPr>
              <w:t>$7</w:t>
            </w:r>
            <w:r w:rsidRPr="00C87C8D" w:rsidR="003948EA">
              <w:rPr>
                <w:rFonts w:eastAsia="Times New Roman"/>
                <w:color w:val="auto"/>
                <w:sz w:val="20"/>
                <w:szCs w:val="20"/>
              </w:rPr>
              <w:t>7</w:t>
            </w:r>
          </w:p>
        </w:tc>
        <w:tc>
          <w:tcPr>
            <w:tcW w:w="90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6DA03CC6" w14:textId="5005EACE">
            <w:pPr>
              <w:keepNext/>
              <w:keepLines/>
              <w:autoSpaceDE/>
              <w:autoSpaceDN/>
              <w:adjustRightInd/>
              <w:spacing w:line="240" w:lineRule="auto"/>
              <w:jc w:val="center"/>
              <w:rPr>
                <w:rFonts w:eastAsia="Times New Roman"/>
                <w:color w:val="auto"/>
                <w:sz w:val="20"/>
                <w:szCs w:val="20"/>
              </w:rPr>
            </w:pPr>
            <w:r w:rsidRPr="0018228E">
              <w:rPr>
                <w:rFonts w:eastAsia="Times New Roman"/>
                <w:color w:val="auto"/>
                <w:sz w:val="20"/>
                <w:szCs w:val="20"/>
              </w:rPr>
              <w:t>$5</w:t>
            </w:r>
            <w:r w:rsidRPr="00C87C8D" w:rsidR="0018228E">
              <w:rPr>
                <w:rFonts w:eastAsia="Times New Roman"/>
                <w:color w:val="auto"/>
                <w:sz w:val="2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37485E0F" w14:textId="0E0DBB0E">
            <w:pPr>
              <w:keepNext/>
              <w:keepLines/>
              <w:autoSpaceDE/>
              <w:autoSpaceDN/>
              <w:adjustRightInd/>
              <w:spacing w:line="240" w:lineRule="auto"/>
              <w:jc w:val="center"/>
              <w:rPr>
                <w:rFonts w:eastAsia="Times New Roman"/>
                <w:color w:val="auto"/>
                <w:sz w:val="20"/>
                <w:szCs w:val="20"/>
              </w:rPr>
            </w:pPr>
            <w:r w:rsidRPr="0018228E">
              <w:rPr>
                <w:rFonts w:eastAsia="Times New Roman"/>
                <w:color w:val="auto"/>
                <w:sz w:val="20"/>
                <w:szCs w:val="20"/>
              </w:rPr>
              <w:t>$</w:t>
            </w:r>
            <w:r w:rsidRPr="00C87C8D" w:rsidR="0018228E">
              <w:rPr>
                <w:rFonts w:eastAsia="Times New Roman"/>
                <w:color w:val="auto"/>
                <w:sz w:val="20"/>
                <w:szCs w:val="20"/>
              </w:rPr>
              <w:t>70</w:t>
            </w:r>
          </w:p>
        </w:tc>
      </w:tr>
      <w:tr w14:paraId="7760D2F8" w14:textId="77777777" w:rsidTr="0066072E">
        <w:tblPrEx>
          <w:tblW w:w="7465" w:type="dxa"/>
          <w:jc w:val="center"/>
          <w:tblLook w:val="04A0"/>
        </w:tblPrEx>
        <w:trPr>
          <w:trHeight w:val="290"/>
          <w:jc w:val="center"/>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8228E" w:rsidP="0066072E" w14:paraId="2214E77E" w14:textId="77777777">
            <w:pPr>
              <w:keepNext/>
              <w:keepLines/>
              <w:autoSpaceDE/>
              <w:autoSpaceDN/>
              <w:adjustRightInd/>
              <w:spacing w:line="240" w:lineRule="auto"/>
              <w:rPr>
                <w:rFonts w:eastAsia="Times New Roman"/>
                <w:color w:val="auto"/>
                <w:sz w:val="20"/>
                <w:szCs w:val="20"/>
              </w:rPr>
            </w:pPr>
            <w:r w:rsidRPr="0018228E">
              <w:rPr>
                <w:rFonts w:eastAsia="Times New Roman"/>
                <w:color w:val="auto"/>
                <w:sz w:val="20"/>
                <w:szCs w:val="20"/>
              </w:rPr>
              <w:t>Net NRC Benefit (Cost)</w:t>
            </w:r>
          </w:p>
        </w:tc>
        <w:tc>
          <w:tcPr>
            <w:tcW w:w="90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170187BF" w14:textId="3FCDAFE0">
            <w:pPr>
              <w:keepNext/>
              <w:keepLines/>
              <w:autoSpaceDE/>
              <w:autoSpaceDN/>
              <w:adjustRightInd/>
              <w:spacing w:line="240" w:lineRule="auto"/>
              <w:jc w:val="center"/>
              <w:rPr>
                <w:rFonts w:eastAsia="Times New Roman"/>
                <w:color w:val="auto"/>
                <w:sz w:val="20"/>
                <w:szCs w:val="20"/>
              </w:rPr>
            </w:pPr>
            <w:r w:rsidRPr="0018228E">
              <w:rPr>
                <w:rFonts w:eastAsia="Times New Roman"/>
                <w:color w:val="auto"/>
                <w:sz w:val="20"/>
                <w:szCs w:val="20"/>
              </w:rPr>
              <w:t>$</w:t>
            </w:r>
            <w:r w:rsidRPr="00C87C8D" w:rsidR="0017288D">
              <w:rPr>
                <w:rFonts w:eastAsia="Times New Roman"/>
                <w:color w:val="auto"/>
                <w:sz w:val="20"/>
                <w:szCs w:val="20"/>
              </w:rPr>
              <w:t>21</w:t>
            </w:r>
          </w:p>
        </w:tc>
        <w:tc>
          <w:tcPr>
            <w:tcW w:w="90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30C15BFE" w14:textId="50E0E929">
            <w:pPr>
              <w:keepNext/>
              <w:keepLines/>
              <w:autoSpaceDE/>
              <w:autoSpaceDN/>
              <w:adjustRightInd/>
              <w:spacing w:line="240" w:lineRule="auto"/>
              <w:jc w:val="center"/>
              <w:rPr>
                <w:rFonts w:eastAsia="Times New Roman"/>
                <w:color w:val="auto"/>
                <w:sz w:val="20"/>
                <w:szCs w:val="20"/>
              </w:rPr>
            </w:pPr>
            <w:r w:rsidRPr="0018228E">
              <w:rPr>
                <w:rFonts w:eastAsia="Times New Roman"/>
                <w:color w:val="auto"/>
                <w:sz w:val="20"/>
                <w:szCs w:val="20"/>
              </w:rPr>
              <w:t>$</w:t>
            </w:r>
            <w:r w:rsidRPr="00C87C8D" w:rsidR="003948EA">
              <w:rPr>
                <w:rFonts w:eastAsia="Times New Roman"/>
                <w:color w:val="auto"/>
                <w:sz w:val="20"/>
                <w:szCs w:val="20"/>
              </w:rPr>
              <w:t>25</w:t>
            </w:r>
          </w:p>
        </w:tc>
        <w:tc>
          <w:tcPr>
            <w:tcW w:w="99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04F2DC32" w14:textId="5F5D99FE">
            <w:pPr>
              <w:keepNext/>
              <w:keepLines/>
              <w:autoSpaceDE/>
              <w:autoSpaceDN/>
              <w:adjustRightInd/>
              <w:spacing w:line="240" w:lineRule="auto"/>
              <w:jc w:val="center"/>
              <w:rPr>
                <w:rFonts w:eastAsia="Times New Roman"/>
                <w:color w:val="auto"/>
                <w:sz w:val="20"/>
                <w:szCs w:val="20"/>
              </w:rPr>
            </w:pPr>
            <w:r w:rsidRPr="0018228E">
              <w:rPr>
                <w:rFonts w:eastAsia="Times New Roman"/>
                <w:color w:val="auto"/>
                <w:sz w:val="20"/>
                <w:szCs w:val="20"/>
              </w:rPr>
              <w:t>$</w:t>
            </w:r>
            <w:r w:rsidRPr="0018228E" w:rsidR="00355FDC">
              <w:rPr>
                <w:rFonts w:eastAsia="Times New Roman"/>
                <w:color w:val="auto"/>
                <w:sz w:val="20"/>
                <w:szCs w:val="20"/>
              </w:rPr>
              <w:t>2</w:t>
            </w:r>
            <w:r w:rsidRPr="00C87C8D" w:rsidR="003948EA">
              <w:rPr>
                <w:rFonts w:eastAsia="Times New Roman"/>
                <w:color w:val="auto"/>
                <w:sz w:val="20"/>
                <w:szCs w:val="20"/>
              </w:rPr>
              <w:t>8</w:t>
            </w:r>
          </w:p>
        </w:tc>
        <w:tc>
          <w:tcPr>
            <w:tcW w:w="90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73F61120" w14:textId="24E985C8">
            <w:pPr>
              <w:keepNext/>
              <w:keepLines/>
              <w:autoSpaceDE/>
              <w:autoSpaceDN/>
              <w:adjustRightInd/>
              <w:spacing w:line="240" w:lineRule="auto"/>
              <w:jc w:val="center"/>
              <w:rPr>
                <w:rFonts w:eastAsia="Times New Roman"/>
                <w:color w:val="auto"/>
                <w:sz w:val="20"/>
                <w:szCs w:val="20"/>
              </w:rPr>
            </w:pPr>
            <w:r w:rsidRPr="0018228E">
              <w:rPr>
                <w:rFonts w:eastAsia="Times New Roman"/>
                <w:color w:val="auto"/>
                <w:sz w:val="20"/>
                <w:szCs w:val="20"/>
              </w:rPr>
              <w:t>$</w:t>
            </w:r>
            <w:r w:rsidRPr="00C87C8D" w:rsidR="0018228E">
              <w:rPr>
                <w:rFonts w:eastAsia="Times New Roman"/>
                <w:color w:val="auto"/>
                <w:sz w:val="20"/>
                <w:szCs w:val="20"/>
              </w:rPr>
              <w:t>22</w:t>
            </w:r>
          </w:p>
        </w:tc>
        <w:tc>
          <w:tcPr>
            <w:tcW w:w="99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41FBE3D9" w14:textId="2DBE21B3">
            <w:pPr>
              <w:keepNext/>
              <w:keepLines/>
              <w:autoSpaceDE/>
              <w:autoSpaceDN/>
              <w:adjustRightInd/>
              <w:spacing w:line="240" w:lineRule="auto"/>
              <w:jc w:val="center"/>
              <w:rPr>
                <w:rFonts w:eastAsia="Times New Roman"/>
                <w:color w:val="auto"/>
                <w:sz w:val="20"/>
                <w:szCs w:val="20"/>
              </w:rPr>
            </w:pPr>
            <w:r w:rsidRPr="0018228E">
              <w:rPr>
                <w:rFonts w:eastAsia="Times New Roman"/>
                <w:color w:val="auto"/>
                <w:sz w:val="20"/>
                <w:szCs w:val="20"/>
              </w:rPr>
              <w:t>$2</w:t>
            </w:r>
            <w:r w:rsidRPr="00C87C8D" w:rsidR="0018228E">
              <w:rPr>
                <w:rFonts w:eastAsia="Times New Roman"/>
                <w:color w:val="auto"/>
                <w:sz w:val="20"/>
                <w:szCs w:val="20"/>
              </w:rPr>
              <w:t>7</w:t>
            </w:r>
          </w:p>
        </w:tc>
      </w:tr>
      <w:tr w14:paraId="6B69FD18" w14:textId="77777777" w:rsidTr="0066072E">
        <w:tblPrEx>
          <w:tblW w:w="7465" w:type="dxa"/>
          <w:jc w:val="center"/>
          <w:tblLook w:val="04A0"/>
        </w:tblPrEx>
        <w:trPr>
          <w:trHeight w:val="280"/>
          <w:jc w:val="center"/>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8228E" w:rsidP="0066072E" w14:paraId="588A7DD0" w14:textId="77777777">
            <w:pPr>
              <w:keepNext/>
              <w:keepLines/>
              <w:autoSpaceDE/>
              <w:autoSpaceDN/>
              <w:adjustRightInd/>
              <w:spacing w:line="240" w:lineRule="auto"/>
              <w:rPr>
                <w:rFonts w:eastAsia="Times New Roman"/>
                <w:color w:val="auto"/>
                <w:sz w:val="20"/>
                <w:szCs w:val="20"/>
              </w:rPr>
            </w:pPr>
            <w:r w:rsidRPr="0018228E">
              <w:rPr>
                <w:rFonts w:eastAsia="Times New Roman"/>
                <w:color w:val="auto"/>
                <w:sz w:val="20"/>
                <w:szCs w:val="20"/>
              </w:rPr>
              <w:t>Total Net Benefit (Cost)</w:t>
            </w:r>
          </w:p>
        </w:tc>
        <w:tc>
          <w:tcPr>
            <w:tcW w:w="90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54096901" w14:textId="721F93E9">
            <w:pPr>
              <w:keepNext/>
              <w:keepLines/>
              <w:autoSpaceDE/>
              <w:autoSpaceDN/>
              <w:adjustRightInd/>
              <w:spacing w:line="240" w:lineRule="auto"/>
              <w:jc w:val="center"/>
              <w:rPr>
                <w:rFonts w:eastAsia="Times New Roman"/>
                <w:color w:val="auto"/>
                <w:sz w:val="20"/>
                <w:szCs w:val="20"/>
              </w:rPr>
            </w:pPr>
            <w:r w:rsidRPr="0018228E">
              <w:rPr>
                <w:rFonts w:eastAsia="Times New Roman"/>
                <w:color w:val="auto"/>
                <w:sz w:val="20"/>
                <w:szCs w:val="20"/>
              </w:rPr>
              <w:t>$6</w:t>
            </w:r>
            <w:r w:rsidRPr="00C87C8D" w:rsidR="0017288D">
              <w:rPr>
                <w:rFonts w:eastAsia="Times New Roman"/>
                <w:color w:val="auto"/>
                <w:sz w:val="20"/>
                <w:szCs w:val="20"/>
              </w:rPr>
              <w:t>9</w:t>
            </w:r>
          </w:p>
        </w:tc>
        <w:tc>
          <w:tcPr>
            <w:tcW w:w="90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080E4068" w14:textId="407A4137">
            <w:pPr>
              <w:keepNext/>
              <w:keepLines/>
              <w:autoSpaceDE/>
              <w:autoSpaceDN/>
              <w:adjustRightInd/>
              <w:spacing w:line="240" w:lineRule="auto"/>
              <w:jc w:val="center"/>
              <w:rPr>
                <w:rFonts w:eastAsia="Times New Roman"/>
                <w:color w:val="auto"/>
                <w:sz w:val="20"/>
                <w:szCs w:val="20"/>
              </w:rPr>
            </w:pPr>
            <w:r w:rsidRPr="0018228E">
              <w:rPr>
                <w:rFonts w:eastAsia="Times New Roman"/>
                <w:color w:val="auto"/>
                <w:sz w:val="20"/>
                <w:szCs w:val="20"/>
              </w:rPr>
              <w:t>$</w:t>
            </w:r>
            <w:r w:rsidRPr="00C87C8D" w:rsidR="003948EA">
              <w:rPr>
                <w:rFonts w:eastAsia="Times New Roman"/>
                <w:color w:val="auto"/>
                <w:sz w:val="20"/>
                <w:szCs w:val="20"/>
              </w:rPr>
              <w:t>86</w:t>
            </w:r>
          </w:p>
        </w:tc>
        <w:tc>
          <w:tcPr>
            <w:tcW w:w="99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25C97E9E" w14:textId="2D24A04A">
            <w:pPr>
              <w:keepNext/>
              <w:keepLines/>
              <w:autoSpaceDE/>
              <w:autoSpaceDN/>
              <w:adjustRightInd/>
              <w:spacing w:line="240" w:lineRule="auto"/>
              <w:jc w:val="center"/>
              <w:rPr>
                <w:rFonts w:eastAsia="Times New Roman"/>
                <w:color w:val="auto"/>
                <w:sz w:val="20"/>
                <w:szCs w:val="20"/>
              </w:rPr>
            </w:pPr>
            <w:r w:rsidRPr="0018228E">
              <w:rPr>
                <w:rFonts w:eastAsia="Times New Roman"/>
                <w:color w:val="auto"/>
                <w:sz w:val="20"/>
                <w:szCs w:val="20"/>
              </w:rPr>
              <w:t>$</w:t>
            </w:r>
            <w:r w:rsidRPr="00C87C8D" w:rsidR="003948EA">
              <w:rPr>
                <w:rFonts w:eastAsia="Times New Roman"/>
                <w:color w:val="auto"/>
                <w:sz w:val="20"/>
                <w:szCs w:val="20"/>
              </w:rPr>
              <w:t>102</w:t>
            </w:r>
          </w:p>
        </w:tc>
        <w:tc>
          <w:tcPr>
            <w:tcW w:w="90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3E0B4D03" w14:textId="71261165">
            <w:pPr>
              <w:keepNext/>
              <w:keepLines/>
              <w:autoSpaceDE/>
              <w:autoSpaceDN/>
              <w:adjustRightInd/>
              <w:spacing w:line="240" w:lineRule="auto"/>
              <w:jc w:val="center"/>
              <w:rPr>
                <w:rFonts w:eastAsia="Times New Roman"/>
                <w:color w:val="auto"/>
                <w:sz w:val="20"/>
                <w:szCs w:val="20"/>
              </w:rPr>
            </w:pPr>
            <w:r w:rsidRPr="0018228E">
              <w:rPr>
                <w:rFonts w:eastAsia="Times New Roman"/>
                <w:color w:val="auto"/>
                <w:sz w:val="20"/>
                <w:szCs w:val="20"/>
              </w:rPr>
              <w:t>$</w:t>
            </w:r>
            <w:r w:rsidRPr="00C87C8D" w:rsidR="0018228E">
              <w:rPr>
                <w:rFonts w:eastAsia="Times New Roman"/>
                <w:color w:val="auto"/>
                <w:sz w:val="20"/>
                <w:szCs w:val="20"/>
              </w:rPr>
              <w:t>77</w:t>
            </w:r>
          </w:p>
        </w:tc>
        <w:tc>
          <w:tcPr>
            <w:tcW w:w="990" w:type="dxa"/>
            <w:tcBorders>
              <w:top w:val="nil"/>
              <w:left w:val="nil"/>
              <w:bottom w:val="single" w:sz="4" w:space="0" w:color="auto"/>
              <w:right w:val="single" w:sz="4" w:space="0" w:color="auto"/>
            </w:tcBorders>
            <w:shd w:val="clear" w:color="auto" w:fill="auto"/>
            <w:noWrap/>
            <w:vAlign w:val="center"/>
            <w:hideMark/>
          </w:tcPr>
          <w:p w:rsidR="0078072B" w:rsidRPr="0018228E" w:rsidP="0066072E" w14:paraId="52964F38" w14:textId="5C7639B7">
            <w:pPr>
              <w:keepNext/>
              <w:keepLines/>
              <w:autoSpaceDE/>
              <w:autoSpaceDN/>
              <w:adjustRightInd/>
              <w:spacing w:line="240" w:lineRule="auto"/>
              <w:jc w:val="center"/>
              <w:rPr>
                <w:rFonts w:eastAsia="Times New Roman"/>
                <w:color w:val="auto"/>
                <w:sz w:val="20"/>
                <w:szCs w:val="20"/>
              </w:rPr>
            </w:pPr>
            <w:r w:rsidRPr="0018228E">
              <w:rPr>
                <w:rFonts w:eastAsia="Times New Roman"/>
                <w:color w:val="auto"/>
                <w:sz w:val="20"/>
                <w:szCs w:val="20"/>
              </w:rPr>
              <w:t>$</w:t>
            </w:r>
            <w:r w:rsidRPr="00C87C8D" w:rsidR="0018228E">
              <w:rPr>
                <w:rFonts w:eastAsia="Times New Roman"/>
                <w:color w:val="auto"/>
                <w:sz w:val="20"/>
                <w:szCs w:val="20"/>
              </w:rPr>
              <w:t>95</w:t>
            </w:r>
          </w:p>
        </w:tc>
      </w:tr>
    </w:tbl>
    <w:p w:rsidR="0078072B" w:rsidRPr="00C87C8D" w:rsidP="0078072B" w14:paraId="5C1F752F" w14:textId="77777777"/>
    <w:p w:rsidR="0078072B" w:rsidRPr="0044146D" w:rsidP="0078072B" w14:paraId="23684CA2" w14:textId="77777777">
      <w:r w:rsidRPr="0044146D">
        <w:t>Figure 4 shows a tornado diagram that identifies the cost drivers for this rule. This figure ranks the variables based on their contribution to the uncertainty in cost. The largest cost driver is the amount of time for licensees to perform an environmental analysis for new Category 2 issues, followed by the amount of time for the NRC to review the environmental analyses for new Category 2 issues. These two variables are the largest cost drivers and generate the largest variations in the total net benefit due to uncertainty. The remaining cost drivers show diminishing variation in the total net benefit.</w:t>
      </w:r>
    </w:p>
    <w:p w:rsidR="0078072B" w:rsidRPr="00C87C8D" w:rsidP="0078072B" w14:paraId="73509FD7" w14:textId="77777777">
      <w:pPr>
        <w:rPr>
          <w:highlight w:val="yellow"/>
        </w:rPr>
      </w:pPr>
    </w:p>
    <w:p w:rsidR="0078072B" w:rsidRPr="00897FCD" w:rsidP="0078072B" w14:paraId="7710F5C3" w14:textId="4AABFADF">
      <w:pPr>
        <w:keepNext/>
      </w:pPr>
    </w:p>
    <w:p w:rsidR="0078072B" w:rsidRPr="00897FCD" w:rsidP="0078072B" w14:paraId="60B12104" w14:textId="17258DA2">
      <w:pPr>
        <w:pStyle w:val="Caption"/>
        <w:keepNext w:val="0"/>
        <w:jc w:val="center"/>
        <w:rPr>
          <w:b/>
        </w:rPr>
      </w:pPr>
      <w:bookmarkStart w:id="59" w:name="_Toc112274717"/>
      <w:r w:rsidRPr="00C87C8D">
        <w:rPr>
          <w:noProof/>
        </w:rPr>
        <w:drawing>
          <wp:inline distT="0" distB="0" distL="0" distR="0">
            <wp:extent cx="5943600" cy="3322320"/>
            <wp:effectExtent l="0" t="0" r="0" b="0"/>
            <wp:docPr id="70463065" name="Picture 70463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3065" name="Picture 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22320"/>
                    </a:xfrm>
                    <a:prstGeom prst="rect">
                      <a:avLst/>
                    </a:prstGeom>
                    <a:noFill/>
                    <a:ln>
                      <a:noFill/>
                    </a:ln>
                  </pic:spPr>
                </pic:pic>
              </a:graphicData>
            </a:graphic>
          </wp:inline>
        </w:drawing>
      </w:r>
      <w:r w:rsidRPr="00897FCD">
        <w:rPr>
          <w:b/>
        </w:rPr>
        <w:t xml:space="preserve">Figure </w:t>
      </w:r>
      <w:r w:rsidRPr="00897FCD">
        <w:rPr>
          <w:b/>
        </w:rPr>
        <w:fldChar w:fldCharType="begin"/>
      </w:r>
      <w:r w:rsidRPr="00897FCD">
        <w:instrText>SEQ Figure \* ARABIC</w:instrText>
      </w:r>
      <w:r w:rsidRPr="00897FCD">
        <w:rPr>
          <w:b/>
        </w:rPr>
        <w:fldChar w:fldCharType="separate"/>
      </w:r>
      <w:r w:rsidRPr="00897FCD">
        <w:rPr>
          <w:b/>
          <w:noProof/>
        </w:rPr>
        <w:t>4</w:t>
      </w:r>
      <w:r w:rsidRPr="00897FCD">
        <w:rPr>
          <w:b/>
        </w:rPr>
        <w:fldChar w:fldCharType="end"/>
      </w:r>
      <w:r w:rsidRPr="00897FCD">
        <w:rPr>
          <w:b/>
        </w:rPr>
        <w:t xml:space="preserve">  Tornado Diagram—Total Averted Costs—7 Percent NPV</w:t>
      </w:r>
      <w:bookmarkEnd w:id="59"/>
    </w:p>
    <w:p w:rsidR="0078072B" w:rsidRPr="004D4725" w:rsidP="0078072B" w14:paraId="064C74F1" w14:textId="77777777">
      <w:pPr>
        <w:rPr>
          <w:i/>
          <w:highlight w:val="yellow"/>
        </w:rPr>
      </w:pPr>
    </w:p>
    <w:p w:rsidR="0078072B" w:rsidRPr="00A564F2" w:rsidP="0078072B" w14:paraId="3E2EF6E6" w14:textId="77777777">
      <w:pPr>
        <w:pStyle w:val="Heading3"/>
        <w:keepLines/>
        <w:rPr>
          <w:i w:val="0"/>
        </w:rPr>
      </w:pPr>
      <w:bookmarkStart w:id="60" w:name="_Toc147923000"/>
      <w:r w:rsidRPr="00A564F2">
        <w:rPr>
          <w:i w:val="0"/>
        </w:rPr>
        <w:t>4.2.3</w:t>
      </w:r>
      <w:r w:rsidRPr="00A564F2">
        <w:rPr>
          <w:i w:val="0"/>
        </w:rPr>
        <w:tab/>
      </w:r>
      <w:r w:rsidRPr="00A564F2">
        <w:t>Summary of Uncertainty Analysis</w:t>
      </w:r>
      <w:bookmarkEnd w:id="60"/>
    </w:p>
    <w:p w:rsidR="0078072B" w:rsidRPr="00A564F2" w:rsidP="0078072B" w14:paraId="2AC2BBFC" w14:textId="77777777">
      <w:pPr>
        <w:keepNext/>
        <w:keepLines/>
      </w:pPr>
    </w:p>
    <w:p w:rsidR="0078072B" w:rsidRPr="00A564F2" w:rsidP="0078072B" w14:paraId="0BB271A4" w14:textId="0385ABF8">
      <w:pPr>
        <w:keepNext/>
        <w:keepLines/>
      </w:pPr>
      <w:r w:rsidRPr="00A564F2">
        <w:t>The simulation analysis shows that the estimated mean benefit (i.e., positive averted costs or savings) for this rule is $</w:t>
      </w:r>
      <w:r w:rsidR="00652931">
        <w:t>86</w:t>
      </w:r>
      <w:r w:rsidRPr="00A564F2">
        <w:t xml:space="preserve"> million, with 90 percent confidence that the net benefit is between $6</w:t>
      </w:r>
      <w:r w:rsidR="00652931">
        <w:t>9</w:t>
      </w:r>
      <w:r w:rsidRPr="00A564F2">
        <w:t xml:space="preserve"> million and $</w:t>
      </w:r>
      <w:r w:rsidR="00652931">
        <w:t>102</w:t>
      </w:r>
      <w:r w:rsidRPr="00A564F2">
        <w:t xml:space="preserve"> million using a 7 percent discount rate. The NRC’s quantitative estimates show that the rule alternative (Alternative 2) is cost-beneficial to industry and the NRC.</w:t>
      </w:r>
    </w:p>
    <w:p w:rsidR="0078072B" w:rsidRPr="007821E5" w:rsidP="0078072B" w14:paraId="57BE51CE" w14:textId="77777777">
      <w:pPr>
        <w:rPr>
          <w:highlight w:val="yellow"/>
        </w:rPr>
      </w:pPr>
    </w:p>
    <w:p w:rsidR="0078072B" w:rsidRPr="00AF1530" w:rsidP="0078072B" w14:paraId="3B5532A3" w14:textId="77777777">
      <w:pPr>
        <w:pStyle w:val="Heading2"/>
        <w:rPr>
          <w:sz w:val="24"/>
          <w:szCs w:val="24"/>
          <w:u w:val="single"/>
        </w:rPr>
      </w:pPr>
      <w:bookmarkStart w:id="61" w:name="_Toc147923001"/>
      <w:r w:rsidRPr="00AF1530">
        <w:rPr>
          <w:sz w:val="24"/>
          <w:szCs w:val="24"/>
        </w:rPr>
        <w:t>4.3</w:t>
      </w:r>
      <w:r w:rsidRPr="00AF1530">
        <w:rPr>
          <w:sz w:val="24"/>
          <w:szCs w:val="24"/>
        </w:rPr>
        <w:tab/>
      </w:r>
      <w:r w:rsidRPr="00AF1530">
        <w:rPr>
          <w:sz w:val="24"/>
          <w:szCs w:val="24"/>
          <w:u w:val="single"/>
        </w:rPr>
        <w:t>Disaggregation</w:t>
      </w:r>
      <w:bookmarkEnd w:id="61"/>
    </w:p>
    <w:p w:rsidR="0078072B" w:rsidRPr="00E10389" w:rsidP="0078072B" w14:paraId="4E847925" w14:textId="77777777">
      <w:pPr>
        <w:rPr>
          <w:highlight w:val="yellow"/>
        </w:rPr>
      </w:pPr>
    </w:p>
    <w:p w:rsidR="0078072B" w:rsidRPr="00AF1530" w:rsidP="0078072B" w14:paraId="4B2869CA" w14:textId="77777777">
      <w:pPr>
        <w:rPr>
          <w:highlight w:val="yellow"/>
        </w:rPr>
      </w:pPr>
      <w:r w:rsidRPr="00320266">
        <w:t>To comply with the guidance in NUREG/BR</w:t>
      </w:r>
      <w:r w:rsidRPr="00320266">
        <w:noBreakHyphen/>
        <w:t xml:space="preserve">0058, Section 4.3.2, “Criteria for the Treatment of Individual Requirements,” the NRC performed a screening review to determine whether </w:t>
      </w:r>
      <w:r>
        <w:t xml:space="preserve">any individual requirement </w:t>
      </w:r>
      <w:r w:rsidRPr="00320266">
        <w:t>would be unnecessary to achieve the objectives of the rulemaking. The staff did not identify any unnecessary or unrelated provisions; therefore, it did not perform a disaggregation for this regulatory analysis.</w:t>
      </w:r>
      <w:r>
        <w:rPr>
          <w:rFonts w:ascii="Arial Bold" w:hAnsi="Arial Bold"/>
          <w:caps/>
          <w:sz w:val="28"/>
        </w:rPr>
        <w:br w:type="page"/>
      </w:r>
    </w:p>
    <w:p w:rsidR="0078072B" w:rsidP="0078072B" w14:paraId="686F530E" w14:textId="77777777">
      <w:pPr>
        <w:pStyle w:val="Heading1"/>
        <w:jc w:val="center"/>
        <w:rPr>
          <w:rFonts w:ascii="Arial Bold" w:hAnsi="Arial Bold" w:hint="eastAsia"/>
          <w:caps/>
          <w:sz w:val="28"/>
          <w:highlight w:val="yellow"/>
        </w:rPr>
      </w:pPr>
      <w:bookmarkStart w:id="62" w:name="_Toc147923002"/>
      <w:r w:rsidRPr="000451B3">
        <w:rPr>
          <w:rFonts w:ascii="Arial Bold" w:hAnsi="Arial Bold"/>
          <w:caps/>
          <w:sz w:val="28"/>
        </w:rPr>
        <w:t>5</w:t>
      </w:r>
      <w:r w:rsidRPr="000451B3">
        <w:rPr>
          <w:rFonts w:ascii="Arial Bold" w:hAnsi="Arial Bold"/>
          <w:caps/>
          <w:sz w:val="28"/>
        </w:rPr>
        <w:tab/>
      </w:r>
      <w:r w:rsidRPr="00B94CC5">
        <w:rPr>
          <w:rFonts w:ascii="Arial Bold" w:hAnsi="Arial Bold"/>
          <w:caps/>
          <w:sz w:val="28"/>
        </w:rPr>
        <w:t>Decision Rationale and Implementation</w:t>
      </w:r>
      <w:bookmarkEnd w:id="62"/>
    </w:p>
    <w:p w:rsidR="0078072B" w:rsidRPr="000451B3" w:rsidP="0078072B" w14:paraId="11D236C7" w14:textId="77777777">
      <w:pPr>
        <w:rPr>
          <w:highlight w:val="yellow"/>
        </w:rPr>
      </w:pPr>
    </w:p>
    <w:p w:rsidR="0078072B" w:rsidRPr="00320266" w:rsidP="0078072B" w14:paraId="488C18FB" w14:textId="3155555F">
      <w:r w:rsidRPr="00E84676">
        <w:t xml:space="preserve">The assessment of total costs and benefits discussed </w:t>
      </w:r>
      <w:r>
        <w:t>above</w:t>
      </w:r>
      <w:r w:rsidRPr="00E84676">
        <w:t xml:space="preserve"> leads the NRC to conclu</w:t>
      </w:r>
      <w:r>
        <w:t>de</w:t>
      </w:r>
      <w:r w:rsidRPr="00E84676">
        <w:t xml:space="preserve"> that the rule, if implemented, would </w:t>
      </w:r>
      <w:r w:rsidR="00B41645">
        <w:t>continue to ensure awareness</w:t>
      </w:r>
      <w:r w:rsidRPr="00E84676">
        <w:t xml:space="preserve"> of the environment</w:t>
      </w:r>
      <w:r w:rsidR="00B41645">
        <w:t>al impacts of license renewal</w:t>
      </w:r>
      <w:r w:rsidRPr="00E84676">
        <w:t xml:space="preserve">, increase regulatory clarity in the </w:t>
      </w:r>
      <w:r w:rsidRPr="00EF0DC6">
        <w:t>license renewal</w:t>
      </w:r>
      <w:r w:rsidRPr="00E84676">
        <w:t xml:space="preserve"> process, increase </w:t>
      </w:r>
      <w:r>
        <w:t xml:space="preserve">regulatory </w:t>
      </w:r>
      <w:r w:rsidRPr="00E84676">
        <w:t>consistency</w:t>
      </w:r>
      <w:r>
        <w:t>,</w:t>
      </w:r>
      <w:r w:rsidRPr="00E84676">
        <w:t xml:space="preserve"> and reduce the regulatory burden for </w:t>
      </w:r>
      <w:r w:rsidRPr="00EF0DC6">
        <w:t xml:space="preserve">industry and </w:t>
      </w:r>
      <w:r w:rsidRPr="00E84676">
        <w:t>the NRC.</w:t>
      </w:r>
      <w:r w:rsidRPr="00320266">
        <w:t xml:space="preserve"> Based solely on quantified costs and benefits, the regulatory analysis shows that the rulemaking is justified because the total quantified benefits of the regulatory action will exceed the costs of the final action, for all discount rates up to 7 percent. Considering nonquantified costs and benefits, the regulatory analysis shows that the rulemaking is justified because the number and significance of the nonquantified benefits outweigh the nonquantified costs. Therefore, </w:t>
      </w:r>
      <w:r>
        <w:t>considering</w:t>
      </w:r>
      <w:r w:rsidRPr="00320266">
        <w:t xml:space="preserve"> both quantified and nonquantified costs and benefits indicates that the benefits of the rule outweigh the identified quantitative and qualitative impacts attributable to the rule.</w:t>
      </w:r>
    </w:p>
    <w:p w:rsidR="0078072B" w:rsidRPr="0030278A" w:rsidP="0078072B" w14:paraId="41A720DD" w14:textId="77777777">
      <w:pPr>
        <w:rPr>
          <w:highlight w:val="yellow"/>
        </w:rPr>
      </w:pPr>
    </w:p>
    <w:p w:rsidR="0078072B" w:rsidRPr="006871FB" w:rsidP="0078072B" w14:paraId="43A4834B" w14:textId="169265CC">
      <w:r w:rsidRPr="00B0363F">
        <w:rPr>
          <w:lang w:val="en-CA"/>
        </w:rPr>
        <w:fldChar w:fldCharType="begin"/>
      </w:r>
      <w:r w:rsidRPr="00B0363F">
        <w:rPr>
          <w:lang w:val="en-CA"/>
        </w:rPr>
        <w:instrText xml:space="preserve"> SEQ CHAPTER \h \r 1</w:instrText>
      </w:r>
      <w:r w:rsidRPr="00B0363F">
        <w:rPr>
          <w:lang w:val="en-CA"/>
        </w:rPr>
        <w:fldChar w:fldCharType="separate"/>
      </w:r>
      <w:r w:rsidRPr="00B0363F">
        <w:rPr>
          <w:lang w:val="en-CA"/>
        </w:rPr>
        <w:fldChar w:fldCharType="end"/>
      </w:r>
      <w:r w:rsidRPr="00B0363F">
        <w:t xml:space="preserve">The NRC assumed for this analysis that </w:t>
      </w:r>
      <w:r>
        <w:t>this</w:t>
      </w:r>
      <w:r w:rsidRPr="00B0363F">
        <w:t xml:space="preserve"> final rule wo</w:t>
      </w:r>
      <w:r w:rsidRPr="00F067B2">
        <w:t>uld be</w:t>
      </w:r>
      <w:r>
        <w:t xml:space="preserve"> effective</w:t>
      </w:r>
      <w:r w:rsidRPr="00F067B2">
        <w:t xml:space="preserve"> in 2024.</w:t>
      </w:r>
      <w:r w:rsidRPr="00B0363F">
        <w:t xml:space="preserve"> </w:t>
      </w:r>
      <w:r>
        <w:t>In addition to the LR GEIS</w:t>
      </w:r>
      <w:r w:rsidR="007E5F8E">
        <w:t>,</w:t>
      </w:r>
      <w:r>
        <w:t xml:space="preserve"> Revision 2, the agency will issue a</w:t>
      </w:r>
      <w:r w:rsidRPr="00B0363F">
        <w:t xml:space="preserve"> </w:t>
      </w:r>
      <w:r>
        <w:t>revision</w:t>
      </w:r>
      <w:r w:rsidRPr="00B0363F">
        <w:t xml:space="preserve"> to Regulatory Guide</w:t>
      </w:r>
      <w:r>
        <w:t> </w:t>
      </w:r>
      <w:r w:rsidRPr="00B0363F">
        <w:t>4.2, Supplement</w:t>
      </w:r>
      <w:r>
        <w:t> </w:t>
      </w:r>
      <w:r w:rsidRPr="00B0363F">
        <w:t>1</w:t>
      </w:r>
      <w:r w:rsidR="005C2A19">
        <w:t>,</w:t>
      </w:r>
      <w:r w:rsidRPr="00B0363F">
        <w:t xml:space="preserve"> Revision </w:t>
      </w:r>
      <w:r>
        <w:t>2,</w:t>
      </w:r>
      <w:r w:rsidRPr="00B0363F">
        <w:t xml:space="preserve"> and </w:t>
      </w:r>
      <w:r w:rsidRPr="00304548">
        <w:t>NUREG</w:t>
      </w:r>
      <w:r w:rsidR="007A5965">
        <w:noBreakHyphen/>
      </w:r>
      <w:r w:rsidRPr="00304548">
        <w:t>1555, Supplement 1</w:t>
      </w:r>
      <w:r w:rsidR="005C2A19">
        <w:t>,</w:t>
      </w:r>
      <w:r w:rsidRPr="00304548">
        <w:t xml:space="preserve"> Revision 2</w:t>
      </w:r>
      <w:r w:rsidRPr="00B0363F">
        <w:t>, with the final rule.</w:t>
      </w:r>
      <w:r w:rsidRPr="1983384D">
        <w:rPr>
          <w:rFonts w:ascii="Arial Bold" w:hAnsi="Arial Bold"/>
          <w:caps/>
          <w:sz w:val="28"/>
          <w:szCs w:val="28"/>
        </w:rPr>
        <w:br w:type="page"/>
      </w:r>
    </w:p>
    <w:p w:rsidR="0078072B" w:rsidRPr="003C433C" w:rsidP="0078072B" w14:paraId="194DB941" w14:textId="77777777">
      <w:pPr>
        <w:pStyle w:val="Heading1"/>
        <w:jc w:val="center"/>
        <w:rPr>
          <w:rFonts w:ascii="Arial Bold" w:hAnsi="Arial Bold" w:hint="eastAsia"/>
          <w:caps/>
          <w:sz w:val="28"/>
        </w:rPr>
      </w:pPr>
      <w:bookmarkStart w:id="63" w:name="_Toc147923003"/>
      <w:r w:rsidRPr="003C433C">
        <w:rPr>
          <w:rFonts w:ascii="Arial Bold" w:hAnsi="Arial Bold"/>
          <w:caps/>
          <w:sz w:val="28"/>
        </w:rPr>
        <w:t>6</w:t>
      </w:r>
      <w:r w:rsidRPr="003C433C">
        <w:rPr>
          <w:rFonts w:ascii="Arial Bold" w:hAnsi="Arial Bold"/>
          <w:caps/>
          <w:sz w:val="28"/>
        </w:rPr>
        <w:tab/>
        <w:t>References</w:t>
      </w:r>
      <w:bookmarkEnd w:id="63"/>
    </w:p>
    <w:p w:rsidR="0078072B" w:rsidRPr="00320266" w:rsidP="0078072B" w14:paraId="55C8A065" w14:textId="77777777">
      <w:pPr>
        <w:keepNext/>
      </w:pPr>
    </w:p>
    <w:p w:rsidR="0078072B" w:rsidRPr="00320266" w:rsidP="0078072B" w14:paraId="0CBE1BDC" w14:textId="13DA46C1">
      <w:r w:rsidRPr="00320266">
        <w:t xml:space="preserve">Bureau of Labor Statistics (BLS), “Standard Occupational Classification,” U.S. Department of Labor, </w:t>
      </w:r>
      <w:r w:rsidR="00252C14">
        <w:t>May</w:t>
      </w:r>
      <w:r w:rsidRPr="00320266">
        <w:t xml:space="preserve"> 2021. Available at </w:t>
      </w:r>
      <w:hyperlink r:id="rId15" w:history="1">
        <w:r w:rsidRPr="00320266">
          <w:rPr>
            <w:rStyle w:val="Hyperlink"/>
          </w:rPr>
          <w:t>http://www.bls.gov/soc/home.htm</w:t>
        </w:r>
      </w:hyperlink>
      <w:r w:rsidRPr="00320266">
        <w:t xml:space="preserve">; last accessed on </w:t>
      </w:r>
      <w:r w:rsidR="006027C6">
        <w:t>September 28</w:t>
      </w:r>
      <w:r w:rsidRPr="00320266">
        <w:t>, 202</w:t>
      </w:r>
      <w:r w:rsidR="006027C6">
        <w:t>3</w:t>
      </w:r>
      <w:r w:rsidRPr="00320266">
        <w:t>.</w:t>
      </w:r>
    </w:p>
    <w:p w:rsidR="0078072B" w:rsidRPr="00320266" w:rsidP="0078072B" w14:paraId="743F803D" w14:textId="77777777"/>
    <w:p w:rsidR="0078072B" w:rsidRPr="008F1C4F" w:rsidP="0078072B" w14:paraId="4327A2A4" w14:textId="239C3B14">
      <w:pPr>
        <w:spacing w:after="220"/>
      </w:pPr>
      <w:r w:rsidRPr="00320266">
        <w:t xml:space="preserve">BLS, “Archived Consumer Price Index Supplement Files: </w:t>
      </w:r>
      <w:r w:rsidR="006027C6">
        <w:t xml:space="preserve">August </w:t>
      </w:r>
      <w:r w:rsidRPr="00320266">
        <w:t>202</w:t>
      </w:r>
      <w:r w:rsidR="006027C6">
        <w:t>3</w:t>
      </w:r>
      <w:r w:rsidRPr="00320266">
        <w:t xml:space="preserve"> Historical CPI-U, Historical Consumer Price Index for All Urban Consumers (CPI-U): U.S. </w:t>
      </w:r>
      <w:r w:rsidR="009A345B">
        <w:t>city average, all items, by month</w:t>
      </w:r>
      <w:r w:rsidRPr="00320266">
        <w:t xml:space="preserve">,” U.S. Department of Labor, </w:t>
      </w:r>
      <w:r w:rsidR="00693A8B">
        <w:t>September</w:t>
      </w:r>
      <w:r w:rsidR="006027C6">
        <w:t xml:space="preserve"> </w:t>
      </w:r>
      <w:r w:rsidRPr="00320266">
        <w:t>202</w:t>
      </w:r>
      <w:r w:rsidR="006027C6">
        <w:t>3</w:t>
      </w:r>
      <w:r w:rsidRPr="00320266">
        <w:t xml:space="preserve">. Available at </w:t>
      </w:r>
      <w:hyperlink r:id="rId16" w:history="1">
        <w:r w:rsidRPr="005974DC" w:rsidR="00693A8B">
          <w:rPr>
            <w:rStyle w:val="Hyperlink"/>
          </w:rPr>
          <w:t>https://www.bls.gov/cpi/tables/</w:t>
        </w:r>
        <w:r w:rsidRPr="00A55056" w:rsidR="00693A8B">
          <w:rPr>
            <w:rStyle w:val="Hyperlink"/>
          </w:rPr>
          <w:t>supplemental-files/home.htm</w:t>
        </w:r>
      </w:hyperlink>
      <w:r w:rsidRPr="00320266">
        <w:t xml:space="preserve">; last accessed on </w:t>
      </w:r>
      <w:r w:rsidR="00693A8B">
        <w:t>September 28</w:t>
      </w:r>
      <w:r w:rsidRPr="00320266">
        <w:t>, 202</w:t>
      </w:r>
      <w:r w:rsidR="00693A8B">
        <w:t>3</w:t>
      </w:r>
      <w:r w:rsidRPr="00320266">
        <w:t>.</w:t>
      </w:r>
    </w:p>
    <w:p w:rsidR="0078072B" w:rsidP="0078072B" w14:paraId="6297386E" w14:textId="77777777">
      <w:r w:rsidRPr="00290FF5">
        <w:rPr>
          <w:i/>
        </w:rPr>
        <w:t xml:space="preserve">Code of Federal Regulations </w:t>
      </w:r>
      <w:r w:rsidRPr="00290FF5">
        <w:t>(CFR), “Environmental Protection Regulations for Domestic Licensing and Related Regulatory Functions,” Part 51, Chapter I, Title 10, “Energy.”</w:t>
      </w:r>
    </w:p>
    <w:p w:rsidR="0078072B" w:rsidP="0078072B" w14:paraId="5E5CBF68" w14:textId="77777777"/>
    <w:p w:rsidR="0078072B" w:rsidRPr="00290FF5" w:rsidP="0078072B" w14:paraId="2727E4C1" w14:textId="77777777">
      <w:r>
        <w:t xml:space="preserve">CFR, “Fees for Facilities, Materials, Import and Export Licenses, and Other Regulatory Services Under the Atomic Energy Act of 1954, as Amended,” Part 170, </w:t>
      </w:r>
      <w:r w:rsidRPr="00290FF5">
        <w:t>Chapter I, Title 10, “Energy.”</w:t>
      </w:r>
    </w:p>
    <w:p w:rsidR="0078072B" w:rsidRPr="005469F2" w:rsidP="0078072B" w14:paraId="407F9023" w14:textId="77777777"/>
    <w:p w:rsidR="0078072B" w:rsidRPr="005469F2" w:rsidP="0078072B" w14:paraId="78C96840" w14:textId="3B9330A7">
      <w:r w:rsidRPr="005469F2">
        <w:t>Office of Management and Budget (OMB), “Regulatory Analysis,” Circular A</w:t>
      </w:r>
      <w:r w:rsidRPr="005469F2">
        <w:noBreakHyphen/>
        <w:t xml:space="preserve">4, September 2003. Available at </w:t>
      </w:r>
      <w:hyperlink r:id="rId17" w:history="1">
        <w:r w:rsidRPr="005469F2">
          <w:rPr>
            <w:rStyle w:val="Hyperlink"/>
          </w:rPr>
          <w:t>https://obamawhitehouse.archives.gov/omb/circulars_a004_a-4/</w:t>
        </w:r>
      </w:hyperlink>
      <w:r>
        <w:rPr>
          <w:rStyle w:val="Hyperlink"/>
        </w:rPr>
        <w:t>.</w:t>
      </w:r>
    </w:p>
    <w:p w:rsidR="0078072B" w:rsidRPr="00D72A24" w:rsidP="0078072B" w14:paraId="61B161C6" w14:textId="77777777">
      <w:pPr>
        <w:rPr>
          <w:highlight w:val="yellow"/>
        </w:rPr>
      </w:pPr>
    </w:p>
    <w:p w:rsidR="00D34AF3" w:rsidRPr="005469F2" w:rsidP="00D34AF3" w14:paraId="6BC23EC7" w14:textId="20FC4CF7">
      <w:r>
        <w:t>OMB</w:t>
      </w:r>
      <w:r w:rsidRPr="005469F2">
        <w:t>, “Regulatory Analysis,” Circular A</w:t>
      </w:r>
      <w:r w:rsidRPr="005469F2">
        <w:noBreakHyphen/>
        <w:t xml:space="preserve">4, </w:t>
      </w:r>
      <w:r>
        <w:t>November 2023</w:t>
      </w:r>
      <w:r w:rsidRPr="005469F2">
        <w:t xml:space="preserve">. Available at </w:t>
      </w:r>
      <w:hyperlink r:id="rId18" w:tgtFrame="_blank" w:tooltip="https://www.whitehouse.gov/wp-content/uploads/2023/11/circulara-4.pdf" w:history="1">
        <w:r w:rsidR="005F0227">
          <w:rPr>
            <w:rStyle w:val="Hyperlink"/>
          </w:rPr>
          <w:t>https://www.whitehouse.gov/wp-content/uploads/2023/11/CircularA-4.pdf</w:t>
        </w:r>
      </w:hyperlink>
      <w:r>
        <w:rPr>
          <w:rStyle w:val="Hyperlink"/>
        </w:rPr>
        <w:t>.</w:t>
      </w:r>
    </w:p>
    <w:p w:rsidR="00D34AF3" w:rsidRPr="00D72A24" w:rsidP="0078072B" w14:paraId="6E2397C2" w14:textId="77777777">
      <w:pPr>
        <w:rPr>
          <w:highlight w:val="yellow"/>
        </w:rPr>
      </w:pPr>
    </w:p>
    <w:p w:rsidR="0078072B" w:rsidRPr="00266137" w:rsidP="0078072B" w14:paraId="6D00D2F3" w14:textId="77777777">
      <w:r w:rsidRPr="00266137">
        <w:t>U.S. Nuclear Regulatory Commission (NRC), “A Handbook for Value-Impact Assessment,” NUREG/CR</w:t>
      </w:r>
      <w:r w:rsidRPr="00266137">
        <w:noBreakHyphen/>
        <w:t>3568, December 1983 (</w:t>
      </w:r>
      <w:r w:rsidRPr="00266137">
        <w:rPr>
          <w:color w:val="auto"/>
        </w:rPr>
        <w:t>Agencywide Documents Access and Management System</w:t>
      </w:r>
      <w:r w:rsidRPr="00266137">
        <w:t xml:space="preserve"> Accession No. ML062830096).</w:t>
      </w:r>
    </w:p>
    <w:p w:rsidR="0078072B" w:rsidP="0078072B" w14:paraId="53A9B54E" w14:textId="77777777"/>
    <w:p w:rsidR="0078072B" w:rsidP="0078072B" w14:paraId="309D4315" w14:textId="77777777">
      <w:r w:rsidRPr="002237AB">
        <w:t>NRC, “Generic Environmental Impact Statement for License Renewal of Nuclear Plants,” NUREG-1437, May 1996.</w:t>
      </w:r>
    </w:p>
    <w:p w:rsidR="0078072B" w:rsidP="0078072B" w14:paraId="1C235CFD" w14:textId="77777777"/>
    <w:p w:rsidR="0078072B" w:rsidP="0078072B" w14:paraId="13B32004" w14:textId="77777777">
      <w:r>
        <w:t xml:space="preserve">NRC, “Environmental Review for Renewal of Nuclear Power Plant Operating Licenses,” </w:t>
      </w:r>
      <w:r w:rsidRPr="00B2037F">
        <w:rPr>
          <w:i/>
          <w:iCs/>
        </w:rPr>
        <w:t>Federal Register</w:t>
      </w:r>
      <w:r>
        <w:rPr>
          <w:i/>
          <w:iCs/>
        </w:rPr>
        <w:t>,</w:t>
      </w:r>
      <w:r w:rsidRPr="002519D3">
        <w:t xml:space="preserve"> </w:t>
      </w:r>
      <w:r>
        <w:t xml:space="preserve">61 FR </w:t>
      </w:r>
      <w:r w:rsidRPr="002519D3">
        <w:t>28467</w:t>
      </w:r>
      <w:r>
        <w:t>, June 5, 1996.</w:t>
      </w:r>
    </w:p>
    <w:p w:rsidR="0078072B" w:rsidP="0078072B" w14:paraId="59E00594" w14:textId="77777777"/>
    <w:p w:rsidR="0078072B" w:rsidP="0078072B" w14:paraId="0242ED97" w14:textId="77777777">
      <w:r w:rsidRPr="002237AB">
        <w:t>NRC, “Generic Environmental Impact Statement for License Renewal of Nuclear Plants,” NUREG-1437, Revision 1, June 2013a.</w:t>
      </w:r>
    </w:p>
    <w:p w:rsidR="0078072B" w:rsidP="0078072B" w14:paraId="5CA15FC5" w14:textId="77777777"/>
    <w:p w:rsidR="0078072B" w:rsidP="0078072B" w14:paraId="35E3DEF6" w14:textId="77777777">
      <w:r>
        <w:t>NRC, “Preparation of Environmental Reports for Nuclear Power Plant License Renewal Applications,” Regulatory Guide 4.2, Supplement 1, Revision 1, June 2013b (ML13067A354).</w:t>
      </w:r>
    </w:p>
    <w:p w:rsidR="0078072B" w:rsidP="0078072B" w14:paraId="01ED5E69" w14:textId="77777777"/>
    <w:p w:rsidR="0078072B" w:rsidP="0078072B" w14:paraId="0A4B89DC" w14:textId="7967C273">
      <w:r w:rsidRPr="002237AB">
        <w:t>NRC, “Standard Review Plans for Environmental Reviews for Nuclear Power Plants</w:t>
      </w:r>
      <w:r w:rsidR="004040C9">
        <w:t>, Supplement 1</w:t>
      </w:r>
      <w:r w:rsidRPr="002237AB">
        <w:t xml:space="preserve">: Operating License Renewal,” NUREG-1555, Supplement 1, Revision 1, </w:t>
      </w:r>
      <w:r w:rsidRPr="00304548">
        <w:t>June</w:t>
      </w:r>
      <w:r>
        <w:t> </w:t>
      </w:r>
      <w:r w:rsidRPr="002237AB">
        <w:t>2013c</w:t>
      </w:r>
      <w:r>
        <w:t xml:space="preserve"> (ML13106A246).</w:t>
      </w:r>
    </w:p>
    <w:p w:rsidR="0078072B" w:rsidP="0078072B" w14:paraId="0EF47ABE" w14:textId="77777777"/>
    <w:p w:rsidR="0078072B" w:rsidP="0078072B" w14:paraId="54158FDF" w14:textId="77777777">
      <w:r>
        <w:t xml:space="preserve">NRC, “Revisions to Environmental Review for Renewal of Nuclear Power Plant Operating Licenses,” </w:t>
      </w:r>
      <w:r w:rsidRPr="007251EA">
        <w:rPr>
          <w:i/>
          <w:iCs/>
        </w:rPr>
        <w:t>Federal Register,</w:t>
      </w:r>
      <w:r>
        <w:t xml:space="preserve"> </w:t>
      </w:r>
      <w:r w:rsidRPr="00882479">
        <w:t>78 FR 37281</w:t>
      </w:r>
      <w:r>
        <w:t>, June 20, 2013.</w:t>
      </w:r>
    </w:p>
    <w:p w:rsidR="0078072B" w:rsidP="0078072B" w14:paraId="5A3D4C31" w14:textId="77777777"/>
    <w:p w:rsidR="0078072B" w:rsidP="0078072B" w14:paraId="7CA0E4CA" w14:textId="77777777">
      <w:r w:rsidRPr="00EC4A2C">
        <w:t>NRC, “Regulatory Analysis Guidelines of the U.S. Nuclear Regulatory Commission,” NUREG/</w:t>
      </w:r>
      <w:r>
        <w:t>BR0058</w:t>
      </w:r>
      <w:r w:rsidRPr="00EC4A2C">
        <w:t>, draft Revision 5, January 2020 (ML19261A277).</w:t>
      </w:r>
    </w:p>
    <w:p w:rsidR="468E4CEC" w:rsidP="468E4CEC" w14:paraId="72A3B6B3" w14:textId="7087440D"/>
    <w:p w:rsidR="0078072B" w:rsidP="0078072B" w14:paraId="2441E6EE" w14:textId="778C333E">
      <w:pPr>
        <w:pStyle w:val="Default"/>
        <w:rPr>
          <w:rFonts w:ascii="Arial" w:hAnsi="Arial" w:cs="Arial"/>
          <w:color w:val="auto"/>
          <w:sz w:val="22"/>
          <w:szCs w:val="22"/>
        </w:rPr>
      </w:pPr>
      <w:r w:rsidRPr="00E56B93">
        <w:rPr>
          <w:rFonts w:ascii="Arial" w:hAnsi="Arial" w:cs="Arial"/>
          <w:color w:val="auto"/>
          <w:sz w:val="22"/>
          <w:szCs w:val="22"/>
        </w:rPr>
        <w:t>NRC, “Rulemaking Plan for Renewing Nuclear Power Plant Operating Licenses</w:t>
      </w:r>
      <w:r>
        <w:rPr>
          <w:rFonts w:ascii="Arial" w:hAnsi="Arial" w:cs="Arial"/>
          <w:color w:val="auto"/>
          <w:sz w:val="22"/>
          <w:szCs w:val="22"/>
        </w:rPr>
        <w:t>—</w:t>
      </w:r>
      <w:r w:rsidRPr="00E56B93">
        <w:rPr>
          <w:rFonts w:ascii="Arial" w:hAnsi="Arial" w:cs="Arial"/>
          <w:color w:val="auto"/>
          <w:sz w:val="22"/>
          <w:szCs w:val="22"/>
        </w:rPr>
        <w:t>Environmental Review (RIN 3150-AK32; NRC-2018-0296),” SECY-21-0066, July</w:t>
      </w:r>
      <w:r>
        <w:rPr>
          <w:rFonts w:ascii="Arial" w:hAnsi="Arial" w:cs="Arial"/>
          <w:color w:val="auto"/>
          <w:sz w:val="22"/>
          <w:szCs w:val="22"/>
        </w:rPr>
        <w:t xml:space="preserve"> 22,</w:t>
      </w:r>
      <w:r w:rsidRPr="00E56B93">
        <w:rPr>
          <w:rFonts w:ascii="Arial" w:hAnsi="Arial" w:cs="Arial"/>
          <w:color w:val="auto"/>
          <w:sz w:val="22"/>
          <w:szCs w:val="22"/>
        </w:rPr>
        <w:t xml:space="preserve"> 2021</w:t>
      </w:r>
      <w:r w:rsidR="00B61828">
        <w:rPr>
          <w:rFonts w:ascii="Arial" w:hAnsi="Arial" w:cs="Arial"/>
          <w:color w:val="auto"/>
          <w:sz w:val="22"/>
          <w:szCs w:val="22"/>
        </w:rPr>
        <w:t>a</w:t>
      </w:r>
      <w:r w:rsidRPr="00E56B93">
        <w:rPr>
          <w:rFonts w:ascii="Arial" w:hAnsi="Arial" w:cs="Arial"/>
          <w:color w:val="auto"/>
          <w:sz w:val="22"/>
          <w:szCs w:val="22"/>
        </w:rPr>
        <w:t xml:space="preserve"> (ML20364A008).</w:t>
      </w:r>
    </w:p>
    <w:p w:rsidR="0078072B" w:rsidP="0078072B" w14:paraId="0F450E55" w14:textId="77777777">
      <w:pPr>
        <w:pStyle w:val="Default"/>
        <w:rPr>
          <w:rFonts w:ascii="Arial" w:hAnsi="Arial" w:cs="Arial"/>
          <w:color w:val="auto"/>
          <w:sz w:val="22"/>
          <w:szCs w:val="22"/>
        </w:rPr>
      </w:pPr>
    </w:p>
    <w:p w:rsidR="0046632D" w:rsidP="0078072B" w14:paraId="570AEA04" w14:textId="204E6912">
      <w:pPr>
        <w:pStyle w:val="Default"/>
        <w:rPr>
          <w:rFonts w:ascii="Arial" w:hAnsi="Arial" w:cs="Arial"/>
          <w:color w:val="auto"/>
          <w:sz w:val="22"/>
          <w:szCs w:val="22"/>
        </w:rPr>
      </w:pPr>
      <w:r>
        <w:rPr>
          <w:rFonts w:ascii="Arial" w:hAnsi="Arial" w:cs="Arial"/>
          <w:color w:val="auto"/>
          <w:sz w:val="22"/>
          <w:szCs w:val="22"/>
        </w:rPr>
        <w:t xml:space="preserve">NRC, </w:t>
      </w:r>
      <w:r w:rsidRPr="0046632D">
        <w:rPr>
          <w:rFonts w:ascii="Arial" w:hAnsi="Arial" w:cs="Arial"/>
          <w:color w:val="auto"/>
          <w:sz w:val="22"/>
          <w:szCs w:val="22"/>
        </w:rPr>
        <w:t>“Regulatory Analysis for the 10 CFR Part 51, Advanced Nuclear Reactor Generic Environmental Impact Statement Proposed Rule,” December 14, 2021</w:t>
      </w:r>
      <w:r w:rsidR="00B61828">
        <w:rPr>
          <w:rFonts w:ascii="Arial" w:hAnsi="Arial" w:cs="Arial"/>
          <w:color w:val="auto"/>
          <w:sz w:val="22"/>
          <w:szCs w:val="22"/>
        </w:rPr>
        <w:t>b</w:t>
      </w:r>
      <w:r w:rsidRPr="0046632D">
        <w:rPr>
          <w:rFonts w:ascii="Arial" w:hAnsi="Arial" w:cs="Arial"/>
          <w:color w:val="auto"/>
          <w:sz w:val="22"/>
          <w:szCs w:val="22"/>
        </w:rPr>
        <w:t xml:space="preserve"> (ML21222A057).</w:t>
      </w:r>
    </w:p>
    <w:p w:rsidR="0046632D" w:rsidP="0078072B" w14:paraId="01EEE465" w14:textId="77777777">
      <w:pPr>
        <w:pStyle w:val="Default"/>
        <w:rPr>
          <w:rFonts w:ascii="Arial" w:hAnsi="Arial" w:cs="Arial"/>
          <w:color w:val="auto"/>
          <w:sz w:val="22"/>
          <w:szCs w:val="22"/>
        </w:rPr>
      </w:pPr>
    </w:p>
    <w:p w:rsidR="0078072B" w:rsidP="0078072B" w14:paraId="67438C7F" w14:textId="762EF160">
      <w:pPr>
        <w:pStyle w:val="Default"/>
        <w:rPr>
          <w:rFonts w:ascii="Arial" w:hAnsi="Arial" w:cs="Arial"/>
          <w:color w:val="auto"/>
          <w:sz w:val="22"/>
          <w:szCs w:val="22"/>
        </w:rPr>
      </w:pPr>
      <w:r>
        <w:rPr>
          <w:rFonts w:ascii="Arial" w:hAnsi="Arial" w:cs="Arial"/>
          <w:color w:val="auto"/>
          <w:sz w:val="22"/>
          <w:szCs w:val="22"/>
        </w:rPr>
        <w:t>NRC, Commission Memorandum and Order CLI</w:t>
      </w:r>
      <w:r>
        <w:rPr>
          <w:rFonts w:ascii="Arial" w:hAnsi="Arial" w:cs="Arial"/>
          <w:color w:val="auto"/>
          <w:sz w:val="22"/>
          <w:szCs w:val="22"/>
        </w:rPr>
        <w:noBreakHyphen/>
        <w:t>22</w:t>
      </w:r>
      <w:r>
        <w:rPr>
          <w:rFonts w:ascii="Arial" w:hAnsi="Arial" w:cs="Arial"/>
          <w:color w:val="auto"/>
          <w:sz w:val="22"/>
          <w:szCs w:val="22"/>
        </w:rPr>
        <w:noBreakHyphen/>
        <w:t>03, February 24, 2022a (ML22055A521, ML22055A526, ML22055A527, ML22055A533,</w:t>
      </w:r>
      <w:r w:rsidRPr="00FC1CDF">
        <w:rPr>
          <w:rFonts w:ascii="Arial" w:hAnsi="Arial" w:cs="Arial"/>
          <w:color w:val="auto"/>
          <w:sz w:val="22"/>
          <w:szCs w:val="22"/>
        </w:rPr>
        <w:t xml:space="preserve"> </w:t>
      </w:r>
      <w:r>
        <w:rPr>
          <w:rFonts w:ascii="Arial" w:hAnsi="Arial" w:cs="Arial"/>
          <w:color w:val="auto"/>
          <w:sz w:val="22"/>
          <w:szCs w:val="22"/>
        </w:rPr>
        <w:t>ML22055A554).</w:t>
      </w:r>
    </w:p>
    <w:p w:rsidR="0078072B" w:rsidRPr="00B678A9" w:rsidP="0078072B" w14:paraId="2571D821" w14:textId="77777777"/>
    <w:p w:rsidR="0078072B" w:rsidP="0078072B" w14:paraId="1B7D245C" w14:textId="77777777">
      <w:pPr>
        <w:pStyle w:val="Default"/>
        <w:rPr>
          <w:rFonts w:ascii="Arial" w:hAnsi="Arial" w:cs="Arial"/>
          <w:color w:val="auto"/>
          <w:sz w:val="22"/>
          <w:szCs w:val="22"/>
        </w:rPr>
      </w:pPr>
      <w:r>
        <w:rPr>
          <w:rFonts w:ascii="Arial" w:hAnsi="Arial" w:cs="Arial"/>
          <w:color w:val="auto"/>
          <w:sz w:val="22"/>
          <w:szCs w:val="22"/>
        </w:rPr>
        <w:t>NRC, Commission Memorandum and Order CLI</w:t>
      </w:r>
      <w:r>
        <w:rPr>
          <w:rFonts w:ascii="Arial" w:hAnsi="Arial" w:cs="Arial"/>
          <w:color w:val="auto"/>
          <w:sz w:val="22"/>
          <w:szCs w:val="22"/>
        </w:rPr>
        <w:noBreakHyphen/>
        <w:t>22</w:t>
      </w:r>
      <w:r>
        <w:rPr>
          <w:rFonts w:ascii="Arial" w:hAnsi="Arial" w:cs="Arial"/>
          <w:color w:val="auto"/>
          <w:sz w:val="22"/>
          <w:szCs w:val="22"/>
        </w:rPr>
        <w:noBreakHyphen/>
        <w:t>02, February 24, 2022b (ML22055A496).</w:t>
      </w:r>
    </w:p>
    <w:p w:rsidR="0078072B" w:rsidP="0078072B" w14:paraId="2AE8A402" w14:textId="77777777">
      <w:pPr>
        <w:pStyle w:val="Default"/>
        <w:rPr>
          <w:rFonts w:ascii="Arial" w:hAnsi="Arial" w:cs="Arial"/>
          <w:color w:val="auto"/>
          <w:sz w:val="22"/>
          <w:szCs w:val="22"/>
        </w:rPr>
      </w:pPr>
    </w:p>
    <w:p w:rsidR="0078072B" w:rsidP="0078072B" w14:paraId="39E89840" w14:textId="77777777">
      <w:pPr>
        <w:pStyle w:val="Default"/>
        <w:rPr>
          <w:rFonts w:ascii="Arial" w:hAnsi="Arial" w:cs="Arial"/>
          <w:color w:val="auto"/>
          <w:sz w:val="22"/>
          <w:szCs w:val="22"/>
        </w:rPr>
      </w:pPr>
      <w:r>
        <w:rPr>
          <w:rFonts w:ascii="Arial" w:hAnsi="Arial" w:cs="Arial"/>
          <w:color w:val="auto"/>
          <w:sz w:val="22"/>
          <w:szCs w:val="22"/>
        </w:rPr>
        <w:t>NRC, Commission Memorandum and Order CLI</w:t>
      </w:r>
      <w:r>
        <w:rPr>
          <w:rFonts w:ascii="Arial" w:hAnsi="Arial" w:cs="Arial"/>
          <w:color w:val="auto"/>
          <w:sz w:val="22"/>
          <w:szCs w:val="22"/>
        </w:rPr>
        <w:noBreakHyphen/>
        <w:t>22</w:t>
      </w:r>
      <w:r>
        <w:rPr>
          <w:rFonts w:ascii="Arial" w:hAnsi="Arial" w:cs="Arial"/>
          <w:color w:val="auto"/>
          <w:sz w:val="22"/>
          <w:szCs w:val="22"/>
        </w:rPr>
        <w:noBreakHyphen/>
        <w:t>04, February 24, 2022c (ML22055A557).</w:t>
      </w:r>
    </w:p>
    <w:p w:rsidR="0078072B" w:rsidP="0078072B" w14:paraId="2B259995" w14:textId="77777777">
      <w:pPr>
        <w:pStyle w:val="Default"/>
        <w:rPr>
          <w:rFonts w:ascii="Arial" w:hAnsi="Arial" w:cs="Arial"/>
          <w:color w:val="auto"/>
          <w:sz w:val="22"/>
          <w:szCs w:val="22"/>
        </w:rPr>
      </w:pPr>
    </w:p>
    <w:p w:rsidR="0078072B" w:rsidP="0078072B" w14:paraId="5C81A3CC" w14:textId="41DC5351">
      <w:pPr>
        <w:pStyle w:val="Default"/>
        <w:rPr>
          <w:rFonts w:ascii="Arial" w:hAnsi="Arial" w:cs="Arial"/>
          <w:color w:val="auto"/>
          <w:sz w:val="22"/>
          <w:szCs w:val="22"/>
        </w:rPr>
      </w:pPr>
      <w:r w:rsidRPr="00B678A9">
        <w:rPr>
          <w:rFonts w:ascii="Arial" w:hAnsi="Arial" w:cs="Arial"/>
          <w:color w:val="auto"/>
          <w:sz w:val="22"/>
          <w:szCs w:val="22"/>
        </w:rPr>
        <w:t xml:space="preserve">NRC, </w:t>
      </w:r>
      <w:r>
        <w:rPr>
          <w:rFonts w:ascii="Arial" w:hAnsi="Arial" w:cs="Arial"/>
          <w:color w:val="auto"/>
          <w:sz w:val="22"/>
          <w:szCs w:val="22"/>
        </w:rPr>
        <w:t>“</w:t>
      </w:r>
      <w:r w:rsidRPr="00B678A9">
        <w:rPr>
          <w:rFonts w:ascii="Arial" w:hAnsi="Arial" w:cs="Arial"/>
          <w:color w:val="auto"/>
          <w:sz w:val="22"/>
          <w:szCs w:val="22"/>
        </w:rPr>
        <w:t>Staff Requirements</w:t>
      </w:r>
      <w:r>
        <w:rPr>
          <w:rFonts w:ascii="Arial" w:hAnsi="Arial" w:cs="Arial"/>
          <w:sz w:val="22"/>
          <w:szCs w:val="22"/>
        </w:rPr>
        <w:t>—</w:t>
      </w:r>
      <w:r w:rsidRPr="00B678A9">
        <w:rPr>
          <w:rFonts w:ascii="Arial" w:hAnsi="Arial" w:cs="Arial"/>
          <w:color w:val="auto"/>
          <w:sz w:val="22"/>
          <w:szCs w:val="22"/>
        </w:rPr>
        <w:t>SECY</w:t>
      </w:r>
      <w:r>
        <w:rPr>
          <w:rFonts w:ascii="Arial" w:hAnsi="Arial" w:cs="Arial"/>
          <w:color w:val="auto"/>
          <w:sz w:val="22"/>
          <w:szCs w:val="22"/>
        </w:rPr>
        <w:noBreakHyphen/>
      </w:r>
      <w:r w:rsidRPr="00B678A9">
        <w:rPr>
          <w:rFonts w:ascii="Arial" w:hAnsi="Arial" w:cs="Arial"/>
          <w:color w:val="auto"/>
          <w:sz w:val="22"/>
          <w:szCs w:val="22"/>
        </w:rPr>
        <w:t>21</w:t>
      </w:r>
      <w:r>
        <w:rPr>
          <w:rFonts w:ascii="Arial" w:hAnsi="Arial" w:cs="Arial"/>
          <w:color w:val="auto"/>
          <w:sz w:val="22"/>
          <w:szCs w:val="22"/>
        </w:rPr>
        <w:noBreakHyphen/>
      </w:r>
      <w:r w:rsidRPr="00B678A9">
        <w:rPr>
          <w:rFonts w:ascii="Arial" w:hAnsi="Arial" w:cs="Arial"/>
          <w:color w:val="auto"/>
          <w:sz w:val="22"/>
          <w:szCs w:val="22"/>
        </w:rPr>
        <w:t>0066</w:t>
      </w:r>
      <w:r>
        <w:rPr>
          <w:rFonts w:ascii="Arial" w:hAnsi="Arial" w:cs="Arial"/>
          <w:sz w:val="22"/>
          <w:szCs w:val="22"/>
        </w:rPr>
        <w:t>—</w:t>
      </w:r>
      <w:r w:rsidRPr="00B678A9">
        <w:rPr>
          <w:rFonts w:ascii="Arial" w:hAnsi="Arial" w:cs="Arial"/>
          <w:color w:val="auto"/>
          <w:sz w:val="22"/>
          <w:szCs w:val="22"/>
        </w:rPr>
        <w:t>Rulemaking Plan for Renewing Nuclear Power Plant Operating Licenses—Environmental Review (RIN 3150</w:t>
      </w:r>
      <w:r>
        <w:rPr>
          <w:rFonts w:ascii="Arial" w:hAnsi="Arial" w:cs="Arial"/>
          <w:color w:val="auto"/>
          <w:sz w:val="22"/>
          <w:szCs w:val="22"/>
        </w:rPr>
        <w:noBreakHyphen/>
      </w:r>
      <w:r w:rsidRPr="00B678A9">
        <w:rPr>
          <w:rFonts w:ascii="Arial" w:hAnsi="Arial" w:cs="Arial"/>
          <w:color w:val="auto"/>
          <w:sz w:val="22"/>
          <w:szCs w:val="22"/>
        </w:rPr>
        <w:t>AK32; NRC</w:t>
      </w:r>
      <w:r>
        <w:rPr>
          <w:rFonts w:ascii="Arial" w:hAnsi="Arial" w:cs="Arial"/>
          <w:color w:val="auto"/>
          <w:sz w:val="22"/>
          <w:szCs w:val="22"/>
        </w:rPr>
        <w:noBreakHyphen/>
      </w:r>
      <w:r w:rsidRPr="00B678A9">
        <w:rPr>
          <w:rFonts w:ascii="Arial" w:hAnsi="Arial" w:cs="Arial"/>
          <w:color w:val="auto"/>
          <w:sz w:val="22"/>
          <w:szCs w:val="22"/>
        </w:rPr>
        <w:t>2018</w:t>
      </w:r>
      <w:r>
        <w:rPr>
          <w:rFonts w:ascii="Arial" w:hAnsi="Arial" w:cs="Arial"/>
          <w:color w:val="auto"/>
          <w:sz w:val="22"/>
          <w:szCs w:val="22"/>
        </w:rPr>
        <w:noBreakHyphen/>
      </w:r>
      <w:r w:rsidRPr="00B678A9">
        <w:rPr>
          <w:rFonts w:ascii="Arial" w:hAnsi="Arial" w:cs="Arial"/>
          <w:color w:val="auto"/>
          <w:sz w:val="22"/>
          <w:szCs w:val="22"/>
        </w:rPr>
        <w:t xml:space="preserve">0296),” </w:t>
      </w:r>
      <w:r>
        <w:rPr>
          <w:rFonts w:ascii="Arial" w:hAnsi="Arial" w:cs="Arial"/>
          <w:color w:val="auto"/>
          <w:sz w:val="22"/>
          <w:szCs w:val="22"/>
        </w:rPr>
        <w:t>SRM</w:t>
      </w:r>
      <w:r>
        <w:rPr>
          <w:rFonts w:ascii="Arial" w:hAnsi="Arial" w:cs="Arial"/>
          <w:color w:val="auto"/>
          <w:sz w:val="22"/>
          <w:szCs w:val="22"/>
        </w:rPr>
        <w:noBreakHyphen/>
        <w:t>SECY</w:t>
      </w:r>
      <w:r>
        <w:rPr>
          <w:rFonts w:ascii="Arial" w:hAnsi="Arial" w:cs="Arial"/>
          <w:color w:val="auto"/>
          <w:sz w:val="22"/>
          <w:szCs w:val="22"/>
        </w:rPr>
        <w:noBreakHyphen/>
        <w:t>21</w:t>
      </w:r>
      <w:r>
        <w:rPr>
          <w:rFonts w:ascii="Arial" w:hAnsi="Arial" w:cs="Arial"/>
          <w:color w:val="auto"/>
          <w:sz w:val="22"/>
          <w:szCs w:val="22"/>
        </w:rPr>
        <w:noBreakHyphen/>
        <w:t xml:space="preserve">0066, </w:t>
      </w:r>
      <w:r w:rsidRPr="00B678A9">
        <w:rPr>
          <w:rFonts w:ascii="Arial" w:hAnsi="Arial" w:cs="Arial"/>
          <w:color w:val="auto"/>
          <w:sz w:val="22"/>
          <w:szCs w:val="22"/>
        </w:rPr>
        <w:t xml:space="preserve">February </w:t>
      </w:r>
      <w:r w:rsidR="008F5C19">
        <w:rPr>
          <w:rFonts w:ascii="Arial" w:hAnsi="Arial" w:cs="Arial"/>
          <w:color w:val="auto"/>
          <w:sz w:val="22"/>
          <w:szCs w:val="22"/>
        </w:rPr>
        <w:t xml:space="preserve">24, </w:t>
      </w:r>
      <w:r w:rsidRPr="00B678A9">
        <w:rPr>
          <w:rFonts w:ascii="Arial" w:hAnsi="Arial" w:cs="Arial"/>
          <w:color w:val="auto"/>
          <w:sz w:val="22"/>
          <w:szCs w:val="22"/>
        </w:rPr>
        <w:t>2022</w:t>
      </w:r>
      <w:r>
        <w:rPr>
          <w:rFonts w:ascii="Arial" w:hAnsi="Arial" w:cs="Arial"/>
          <w:color w:val="auto"/>
          <w:sz w:val="22"/>
          <w:szCs w:val="22"/>
        </w:rPr>
        <w:t>d (</w:t>
      </w:r>
      <w:r w:rsidRPr="00B678A9">
        <w:rPr>
          <w:rFonts w:ascii="Arial" w:hAnsi="Arial" w:cs="Arial"/>
          <w:color w:val="auto"/>
          <w:sz w:val="22"/>
          <w:szCs w:val="22"/>
        </w:rPr>
        <w:t>ML22053A308).</w:t>
      </w:r>
    </w:p>
    <w:p w:rsidR="0078072B" w:rsidP="0078072B" w14:paraId="7475AB90" w14:textId="77777777">
      <w:pPr>
        <w:pStyle w:val="Default"/>
        <w:rPr>
          <w:rFonts w:ascii="Arial" w:hAnsi="Arial" w:cs="Arial"/>
          <w:color w:val="auto"/>
          <w:sz w:val="22"/>
          <w:szCs w:val="22"/>
        </w:rPr>
      </w:pPr>
    </w:p>
    <w:p w:rsidR="0078072B" w:rsidP="0078072B" w14:paraId="6143A713" w14:textId="77777777">
      <w:pPr>
        <w:pStyle w:val="Default"/>
        <w:rPr>
          <w:rFonts w:ascii="Arial" w:hAnsi="Arial" w:cs="Arial"/>
          <w:sz w:val="22"/>
          <w:szCs w:val="22"/>
        </w:rPr>
      </w:pPr>
      <w:r>
        <w:rPr>
          <w:rFonts w:ascii="Arial" w:hAnsi="Arial" w:cs="Arial"/>
          <w:sz w:val="22"/>
          <w:szCs w:val="22"/>
        </w:rPr>
        <w:t xml:space="preserve">NRC, </w:t>
      </w:r>
      <w:r w:rsidRPr="005D4B5F">
        <w:rPr>
          <w:rFonts w:ascii="Arial" w:hAnsi="Arial" w:cs="Arial"/>
          <w:sz w:val="22"/>
          <w:szCs w:val="22"/>
        </w:rPr>
        <w:t>“Rulemaking Plan for Renewing Nuclear Power Plant Operating Licenses</w:t>
      </w:r>
      <w:r>
        <w:rPr>
          <w:rFonts w:ascii="Arial" w:hAnsi="Arial" w:cs="Arial"/>
          <w:sz w:val="22"/>
          <w:szCs w:val="22"/>
        </w:rPr>
        <w:t>—</w:t>
      </w:r>
      <w:r w:rsidRPr="005D4B5F">
        <w:rPr>
          <w:rFonts w:ascii="Arial" w:hAnsi="Arial" w:cs="Arial"/>
          <w:sz w:val="22"/>
          <w:szCs w:val="22"/>
        </w:rPr>
        <w:t>Environmental Review (RIN 3150-AK32; NRC-2018-0296),”</w:t>
      </w:r>
      <w:r>
        <w:rPr>
          <w:rFonts w:ascii="Arial" w:hAnsi="Arial" w:cs="Arial"/>
          <w:sz w:val="22"/>
          <w:szCs w:val="22"/>
        </w:rPr>
        <w:t xml:space="preserve"> </w:t>
      </w:r>
      <w:r w:rsidRPr="005D4B5F">
        <w:rPr>
          <w:rFonts w:ascii="Arial" w:hAnsi="Arial" w:cs="Arial"/>
          <w:sz w:val="22"/>
          <w:szCs w:val="22"/>
        </w:rPr>
        <w:t>SECY</w:t>
      </w:r>
      <w:r>
        <w:rPr>
          <w:rFonts w:ascii="Arial" w:hAnsi="Arial" w:cs="Arial"/>
          <w:sz w:val="22"/>
          <w:szCs w:val="22"/>
        </w:rPr>
        <w:noBreakHyphen/>
      </w:r>
      <w:r w:rsidRPr="005D4B5F">
        <w:rPr>
          <w:rFonts w:ascii="Arial" w:hAnsi="Arial" w:cs="Arial"/>
          <w:sz w:val="22"/>
          <w:szCs w:val="22"/>
        </w:rPr>
        <w:t>22</w:t>
      </w:r>
      <w:r>
        <w:rPr>
          <w:rFonts w:ascii="Arial" w:hAnsi="Arial" w:cs="Arial"/>
          <w:sz w:val="22"/>
          <w:szCs w:val="22"/>
        </w:rPr>
        <w:noBreakHyphen/>
      </w:r>
      <w:r w:rsidRPr="005D4B5F">
        <w:rPr>
          <w:rFonts w:ascii="Arial" w:hAnsi="Arial" w:cs="Arial"/>
          <w:sz w:val="22"/>
          <w:szCs w:val="22"/>
        </w:rPr>
        <w:t>0024</w:t>
      </w:r>
      <w:r>
        <w:rPr>
          <w:rFonts w:ascii="Arial" w:hAnsi="Arial" w:cs="Arial"/>
          <w:sz w:val="22"/>
          <w:szCs w:val="22"/>
        </w:rPr>
        <w:t>, March 25, 2022e (ML22062B643).</w:t>
      </w:r>
    </w:p>
    <w:p w:rsidR="0078072B" w:rsidP="0078072B" w14:paraId="7B6D762A" w14:textId="77777777">
      <w:pPr>
        <w:pStyle w:val="Default"/>
        <w:rPr>
          <w:rFonts w:ascii="Arial" w:hAnsi="Arial" w:cs="Arial"/>
          <w:sz w:val="22"/>
          <w:szCs w:val="22"/>
        </w:rPr>
      </w:pPr>
    </w:p>
    <w:p w:rsidR="0078072B" w:rsidRPr="00892A77" w:rsidP="0078072B" w14:paraId="315B2989" w14:textId="77777777">
      <w:pPr>
        <w:pStyle w:val="Default"/>
        <w:rPr>
          <w:rFonts w:ascii="Arial" w:hAnsi="Arial"/>
          <w:sz w:val="22"/>
        </w:rPr>
      </w:pPr>
      <w:r>
        <w:rPr>
          <w:rFonts w:ascii="Arial" w:hAnsi="Arial" w:cs="Arial"/>
          <w:color w:val="auto"/>
          <w:sz w:val="22"/>
          <w:szCs w:val="22"/>
        </w:rPr>
        <w:t>NRC, “</w:t>
      </w:r>
      <w:r w:rsidRPr="00B678A9">
        <w:rPr>
          <w:rFonts w:ascii="Arial" w:hAnsi="Arial" w:cs="Arial"/>
          <w:color w:val="auto"/>
          <w:sz w:val="22"/>
          <w:szCs w:val="22"/>
        </w:rPr>
        <w:t>Staff Requirements</w:t>
      </w:r>
      <w:r>
        <w:rPr>
          <w:rFonts w:ascii="Arial" w:hAnsi="Arial" w:cs="Arial"/>
          <w:sz w:val="22"/>
          <w:szCs w:val="22"/>
        </w:rPr>
        <w:t>—</w:t>
      </w:r>
      <w:r w:rsidRPr="005D4B5F">
        <w:rPr>
          <w:rFonts w:ascii="Arial" w:hAnsi="Arial" w:cs="Arial"/>
          <w:sz w:val="22"/>
          <w:szCs w:val="22"/>
        </w:rPr>
        <w:t>SECY-22-0024</w:t>
      </w:r>
      <w:r>
        <w:rPr>
          <w:rFonts w:ascii="Arial" w:hAnsi="Arial" w:cs="Arial"/>
          <w:sz w:val="22"/>
          <w:szCs w:val="22"/>
        </w:rPr>
        <w:t>—</w:t>
      </w:r>
      <w:r w:rsidRPr="00892A77">
        <w:rPr>
          <w:rFonts w:ascii="Arial" w:hAnsi="Arial"/>
          <w:sz w:val="22"/>
        </w:rPr>
        <w:t>Rulemaking Plan for Renewing Nuclear Power Plant Operating Licenses—Environmental Review (RIN 3150-AK32; NRC-2018-0296),” SRM</w:t>
      </w:r>
      <w:r w:rsidRPr="00892A77">
        <w:rPr>
          <w:rFonts w:ascii="Arial" w:hAnsi="Arial"/>
          <w:sz w:val="22"/>
        </w:rPr>
        <w:noBreakHyphen/>
        <w:t>SECY</w:t>
      </w:r>
      <w:r>
        <w:rPr>
          <w:rFonts w:ascii="Arial" w:hAnsi="Arial" w:cs="Arial"/>
          <w:sz w:val="22"/>
          <w:szCs w:val="22"/>
        </w:rPr>
        <w:noBreakHyphen/>
        <w:t>22</w:t>
      </w:r>
      <w:r>
        <w:rPr>
          <w:rFonts w:ascii="Arial" w:hAnsi="Arial" w:cs="Arial"/>
          <w:sz w:val="22"/>
          <w:szCs w:val="22"/>
        </w:rPr>
        <w:noBreakHyphen/>
        <w:t>0024, April 5, 2022f (ML22096A035</w:t>
      </w:r>
      <w:r w:rsidRPr="00892A77">
        <w:rPr>
          <w:rFonts w:ascii="Arial" w:hAnsi="Arial"/>
          <w:sz w:val="22"/>
        </w:rPr>
        <w:t>).</w:t>
      </w:r>
    </w:p>
    <w:p w:rsidR="0078072B" w:rsidRPr="00892A77" w:rsidP="0078072B" w14:paraId="1155456A" w14:textId="77777777">
      <w:pPr>
        <w:pStyle w:val="Default"/>
        <w:rPr>
          <w:rFonts w:ascii="Arial" w:hAnsi="Arial"/>
          <w:sz w:val="22"/>
        </w:rPr>
      </w:pPr>
    </w:p>
    <w:p w:rsidR="0078072B" w:rsidP="0078072B" w14:paraId="0F54A26B" w14:textId="77777777">
      <w:pPr>
        <w:pStyle w:val="Default"/>
        <w:rPr>
          <w:rFonts w:ascii="Arial" w:hAnsi="Arial" w:cs="Arial"/>
          <w:color w:val="auto"/>
          <w:sz w:val="22"/>
          <w:szCs w:val="22"/>
        </w:rPr>
      </w:pPr>
      <w:r>
        <w:rPr>
          <w:rFonts w:ascii="Arial" w:hAnsi="Arial" w:cs="Arial"/>
          <w:color w:val="auto"/>
          <w:sz w:val="22"/>
          <w:szCs w:val="22"/>
        </w:rPr>
        <w:t>NRC, Commission Memorandum and Order CLI</w:t>
      </w:r>
      <w:r>
        <w:rPr>
          <w:rFonts w:ascii="Arial" w:hAnsi="Arial" w:cs="Arial"/>
          <w:color w:val="auto"/>
          <w:sz w:val="22"/>
          <w:szCs w:val="22"/>
        </w:rPr>
        <w:noBreakHyphen/>
        <w:t>22</w:t>
      </w:r>
      <w:r>
        <w:rPr>
          <w:rFonts w:ascii="Arial" w:hAnsi="Arial" w:cs="Arial"/>
          <w:color w:val="auto"/>
          <w:sz w:val="22"/>
          <w:szCs w:val="22"/>
        </w:rPr>
        <w:noBreakHyphen/>
        <w:t>06, June 3, 2022g (ML22154A215).</w:t>
      </w:r>
    </w:p>
    <w:p w:rsidR="0078072B" w:rsidP="0078072B" w14:paraId="3CE78B1C" w14:textId="77777777">
      <w:pPr>
        <w:pStyle w:val="Default"/>
        <w:rPr>
          <w:rFonts w:ascii="Arial" w:hAnsi="Arial" w:cs="Arial"/>
          <w:color w:val="auto"/>
          <w:sz w:val="22"/>
          <w:szCs w:val="22"/>
        </w:rPr>
      </w:pPr>
    </w:p>
    <w:p w:rsidR="0078072B" w:rsidP="0078072B" w14:paraId="19D07968" w14:textId="77777777">
      <w:pPr>
        <w:pStyle w:val="Default"/>
        <w:rPr>
          <w:rFonts w:ascii="Arial" w:hAnsi="Arial" w:cs="Arial"/>
          <w:color w:val="auto"/>
          <w:sz w:val="22"/>
          <w:szCs w:val="22"/>
        </w:rPr>
      </w:pPr>
      <w:r>
        <w:rPr>
          <w:rFonts w:ascii="Arial" w:hAnsi="Arial" w:cs="Arial"/>
          <w:color w:val="auto"/>
          <w:sz w:val="22"/>
          <w:szCs w:val="22"/>
        </w:rPr>
        <w:t>NRC, Commission Memorandum and Order CLI</w:t>
      </w:r>
      <w:r>
        <w:rPr>
          <w:rFonts w:ascii="Arial" w:hAnsi="Arial" w:cs="Arial"/>
          <w:color w:val="auto"/>
          <w:sz w:val="22"/>
          <w:szCs w:val="22"/>
        </w:rPr>
        <w:noBreakHyphen/>
        <w:t>22</w:t>
      </w:r>
      <w:r>
        <w:rPr>
          <w:rFonts w:ascii="Arial" w:hAnsi="Arial" w:cs="Arial"/>
          <w:color w:val="auto"/>
          <w:sz w:val="22"/>
          <w:szCs w:val="22"/>
        </w:rPr>
        <w:noBreakHyphen/>
        <w:t>07, June 3, 2022h (ML22154A217).</w:t>
      </w:r>
    </w:p>
    <w:p w:rsidR="0078072B" w:rsidP="0078072B" w14:paraId="6DCE4227" w14:textId="77777777">
      <w:pPr>
        <w:pStyle w:val="Default"/>
        <w:rPr>
          <w:rFonts w:ascii="Arial" w:hAnsi="Arial" w:cs="Arial"/>
          <w:color w:val="auto"/>
          <w:sz w:val="22"/>
          <w:szCs w:val="22"/>
        </w:rPr>
      </w:pPr>
    </w:p>
    <w:p w:rsidR="0078072B" w:rsidP="0078072B" w14:paraId="1CCCB4ED" w14:textId="77777777">
      <w:pPr>
        <w:pStyle w:val="Default"/>
        <w:rPr>
          <w:rFonts w:ascii="Arial" w:hAnsi="Arial" w:cs="Arial"/>
          <w:color w:val="auto"/>
          <w:sz w:val="22"/>
          <w:szCs w:val="22"/>
        </w:rPr>
      </w:pPr>
      <w:r>
        <w:rPr>
          <w:rFonts w:ascii="Arial" w:hAnsi="Arial" w:cs="Arial"/>
          <w:color w:val="auto"/>
          <w:sz w:val="22"/>
          <w:szCs w:val="22"/>
        </w:rPr>
        <w:t>NRC, “</w:t>
      </w:r>
      <w:r w:rsidRPr="00B678A9">
        <w:rPr>
          <w:rFonts w:ascii="Arial" w:hAnsi="Arial" w:cs="Arial"/>
          <w:color w:val="auto"/>
          <w:sz w:val="22"/>
          <w:szCs w:val="22"/>
        </w:rPr>
        <w:t>Staff Requirements</w:t>
      </w:r>
      <w:r>
        <w:rPr>
          <w:rFonts w:ascii="Arial" w:hAnsi="Arial" w:cs="Arial"/>
          <w:sz w:val="22"/>
          <w:szCs w:val="22"/>
        </w:rPr>
        <w:t>—</w:t>
      </w:r>
      <w:r w:rsidRPr="00C3049E">
        <w:rPr>
          <w:rFonts w:ascii="Arial" w:hAnsi="Arial" w:cs="Arial"/>
          <w:color w:val="auto"/>
          <w:sz w:val="22"/>
          <w:szCs w:val="22"/>
        </w:rPr>
        <w:t>SECY</w:t>
      </w:r>
      <w:r>
        <w:rPr>
          <w:rFonts w:ascii="Arial" w:hAnsi="Arial" w:cs="Arial"/>
          <w:color w:val="auto"/>
          <w:sz w:val="22"/>
          <w:szCs w:val="22"/>
        </w:rPr>
        <w:noBreakHyphen/>
      </w:r>
      <w:r w:rsidRPr="00C3049E">
        <w:rPr>
          <w:rFonts w:ascii="Arial" w:hAnsi="Arial" w:cs="Arial"/>
          <w:color w:val="auto"/>
          <w:sz w:val="22"/>
          <w:szCs w:val="22"/>
        </w:rPr>
        <w:t>22</w:t>
      </w:r>
      <w:r>
        <w:rPr>
          <w:rFonts w:ascii="Arial" w:hAnsi="Arial" w:cs="Arial"/>
          <w:color w:val="auto"/>
          <w:sz w:val="22"/>
          <w:szCs w:val="22"/>
        </w:rPr>
        <w:noBreakHyphen/>
      </w:r>
      <w:r w:rsidRPr="00C3049E">
        <w:rPr>
          <w:rFonts w:ascii="Arial" w:hAnsi="Arial" w:cs="Arial"/>
          <w:color w:val="auto"/>
          <w:sz w:val="22"/>
          <w:szCs w:val="22"/>
        </w:rPr>
        <w:t>0036</w:t>
      </w:r>
      <w:r>
        <w:rPr>
          <w:rFonts w:ascii="Arial" w:hAnsi="Arial" w:cs="Arial"/>
          <w:color w:val="auto"/>
          <w:sz w:val="22"/>
          <w:szCs w:val="22"/>
        </w:rPr>
        <w:t>—</w:t>
      </w:r>
      <w:r w:rsidRPr="00C3049E">
        <w:rPr>
          <w:rFonts w:ascii="Arial" w:hAnsi="Arial" w:cs="Arial"/>
          <w:color w:val="auto"/>
          <w:sz w:val="22"/>
          <w:szCs w:val="22"/>
        </w:rPr>
        <w:t>Rulemaking Plan for Renewing Nuclear Power Plant Operating Licenses—10-Year Environmental Regulatory Update (NRC-2022-0087)</w:t>
      </w:r>
      <w:r>
        <w:rPr>
          <w:rFonts w:ascii="Arial" w:hAnsi="Arial" w:cs="Arial"/>
          <w:color w:val="auto"/>
          <w:sz w:val="22"/>
          <w:szCs w:val="22"/>
        </w:rPr>
        <w:t>,” SRM-SECY-22-0036, June 17, 2022i (ML22168A130).</w:t>
      </w:r>
    </w:p>
    <w:p w:rsidR="0078072B" w:rsidP="0078072B" w14:paraId="7445AB28" w14:textId="77777777"/>
    <w:p w:rsidR="0078072B" w:rsidRPr="00304548" w:rsidP="0078072B" w14:paraId="2FC40D2D" w14:textId="57C1A14B">
      <w:r w:rsidRPr="00304548">
        <w:t>NRC, “Generic Environmental Impact Statement for License Renewal of Nuclear Plants,” Draft NUREG-1437, Revision 2, Vol</w:t>
      </w:r>
      <w:r>
        <w:t>s.</w:t>
      </w:r>
      <w:r w:rsidRPr="00304548">
        <w:t xml:space="preserve"> 1</w:t>
      </w:r>
      <w:r w:rsidR="007D4418">
        <w:t>,</w:t>
      </w:r>
      <w:r w:rsidRPr="00304548">
        <w:t xml:space="preserve"> 2</w:t>
      </w:r>
      <w:r w:rsidR="007D4418">
        <w:t>,</w:t>
      </w:r>
      <w:r w:rsidR="00880C36">
        <w:t xml:space="preserve"> and 3</w:t>
      </w:r>
      <w:r w:rsidRPr="00304548">
        <w:t xml:space="preserve"> (</w:t>
      </w:r>
      <w:r w:rsidRPr="00D168D2" w:rsidR="00CB5FB0">
        <w:t>ML23202A170, package</w:t>
      </w:r>
      <w:r w:rsidRPr="00304548">
        <w:t>).</w:t>
      </w:r>
    </w:p>
    <w:p w:rsidR="0078072B" w:rsidRPr="00304548" w:rsidP="0078072B" w14:paraId="0F3A43B4" w14:textId="77777777"/>
    <w:p w:rsidR="0078072B" w:rsidRPr="00304548" w:rsidP="0078072B" w14:paraId="49440763" w14:textId="03CDB740">
      <w:r w:rsidRPr="00304548">
        <w:t>NRC, “Preparation of Environmental Reports for Nuclear Power Plant License Renewal Applications,” Draft Regulatory Guide 4.2, Supplement 1 (</w:t>
      </w:r>
      <w:r w:rsidRPr="00D168D2" w:rsidR="00FA08E8">
        <w:t>ML23201A144</w:t>
      </w:r>
      <w:r w:rsidRPr="00304548">
        <w:t>).</w:t>
      </w:r>
    </w:p>
    <w:p w:rsidR="0078072B" w:rsidRPr="00304548" w:rsidP="0078072B" w14:paraId="51DC473E" w14:textId="77777777"/>
    <w:p w:rsidR="0078072B" w:rsidP="0078072B" w14:paraId="0AA5ED0B" w14:textId="2573128A">
      <w:r w:rsidRPr="00304548">
        <w:t>NRC, “Standard Review Plans for Environmental Reviews for Nuclear Power Plants</w:t>
      </w:r>
      <w:r w:rsidR="005576DC">
        <w:t>, Supplement 1</w:t>
      </w:r>
      <w:r w:rsidRPr="00304548">
        <w:t>: Operating License Renewal,” NUREG-1555, Supplement 1, Revision 2 (</w:t>
      </w:r>
      <w:r w:rsidRPr="00D168D2" w:rsidR="00EC538F">
        <w:t>ML23201A227</w:t>
      </w:r>
      <w:r w:rsidRPr="00304548">
        <w:t>).</w:t>
      </w:r>
    </w:p>
    <w:p w:rsidR="0078072B" w:rsidRPr="007C5FC7" w:rsidP="0078072B" w14:paraId="1A837878" w14:textId="77777777"/>
    <w:p w:rsidR="0078072B" w:rsidP="0078072B" w14:paraId="40B15348" w14:textId="77777777">
      <w:pPr>
        <w:autoSpaceDE/>
        <w:autoSpaceDN/>
        <w:adjustRightInd/>
        <w:rPr>
          <w:highlight w:val="yellow"/>
        </w:rPr>
        <w:sectPr w:rsidSect="00AA7975">
          <w:type w:val="oddPage"/>
          <w:pgSz w:w="12240" w:h="15840"/>
          <w:pgMar w:top="1440" w:right="1440" w:bottom="1440" w:left="1440" w:header="720" w:footer="720" w:gutter="0"/>
          <w:cols w:space="720"/>
          <w:docGrid w:linePitch="360"/>
        </w:sectPr>
      </w:pPr>
    </w:p>
    <w:p w:rsidR="0078072B" w:rsidRPr="00935511" w:rsidP="0078072B" w14:paraId="6DD4DA21" w14:textId="77777777">
      <w:pPr>
        <w:pStyle w:val="Heading1"/>
        <w:jc w:val="center"/>
        <w:rPr>
          <w:sz w:val="28"/>
        </w:rPr>
      </w:pPr>
      <w:bookmarkStart w:id="64" w:name="_Toc147923004"/>
      <w:r w:rsidRPr="00935511">
        <w:rPr>
          <w:sz w:val="28"/>
        </w:rPr>
        <w:t>APPENDIX A</w:t>
      </w:r>
      <w:r>
        <w:rPr>
          <w:sz w:val="28"/>
        </w:rPr>
        <w:t xml:space="preserve">  SUPPORTING INFORMATION</w:t>
      </w:r>
      <w:bookmarkEnd w:id="64"/>
    </w:p>
    <w:p w:rsidR="0078072B" w:rsidP="0078072B" w14:paraId="19C11030" w14:textId="77777777">
      <w:pPr>
        <w:pStyle w:val="Caption"/>
        <w:jc w:val="center"/>
      </w:pPr>
    </w:p>
    <w:p w:rsidR="0078072B" w:rsidRPr="00443E1A" w:rsidP="0078072B" w14:paraId="1E96C001" w14:textId="4A9AFFB0">
      <w:pPr>
        <w:pStyle w:val="Caption"/>
        <w:jc w:val="center"/>
        <w:rPr>
          <w:b/>
        </w:rPr>
      </w:pPr>
      <w:bookmarkStart w:id="65" w:name="_Toc112274731"/>
      <w:bookmarkStart w:id="66" w:name="_Toc147923425"/>
      <w:r w:rsidRPr="00443E1A">
        <w:rPr>
          <w:b/>
        </w:rPr>
        <w:t>Table </w:t>
      </w:r>
      <w:bookmarkEnd w:id="65"/>
      <w:bookmarkEnd w:id="66"/>
      <w:r w:rsidRPr="468E4CEC">
        <w:rPr>
          <w:b/>
        </w:rPr>
        <w:t>A</w:t>
      </w:r>
      <w:r w:rsidRPr="00443E1A">
        <w:rPr>
          <w:b/>
        </w:rPr>
        <w:noBreakHyphen/>
      </w:r>
      <w:r w:rsidRPr="468E4CEC">
        <w:rPr>
          <w:b/>
        </w:rPr>
        <w:fldChar w:fldCharType="begin"/>
      </w:r>
      <w:r>
        <w:instrText>SEQ Table \* ARABIC \s 1</w:instrText>
      </w:r>
      <w:r w:rsidRPr="468E4CEC">
        <w:rPr>
          <w:b/>
        </w:rPr>
        <w:fldChar w:fldCharType="separate"/>
      </w:r>
      <w:r w:rsidRPr="468E4CEC">
        <w:rPr>
          <w:b/>
          <w:noProof/>
        </w:rPr>
        <w:t>1</w:t>
      </w:r>
      <w:r w:rsidRPr="468E4CEC">
        <w:rPr>
          <w:b/>
        </w:rPr>
        <w:fldChar w:fldCharType="end"/>
      </w:r>
      <w:r w:rsidRPr="468E4CEC">
        <w:rPr>
          <w:b/>
        </w:rPr>
        <w:t xml:space="preserve">  Changes to Table B-1</w:t>
      </w:r>
    </w:p>
    <w:tbl>
      <w:tblPr>
        <w:tblStyle w:val="TableGrid"/>
        <w:tblW w:w="0" w:type="auto"/>
        <w:jc w:val="center"/>
        <w:tblLook w:val="04A0"/>
      </w:tblPr>
      <w:tblGrid>
        <w:gridCol w:w="879"/>
        <w:gridCol w:w="3072"/>
        <w:gridCol w:w="1635"/>
        <w:gridCol w:w="3764"/>
      </w:tblGrid>
      <w:tr w14:paraId="17E7F7CB" w14:textId="77777777" w:rsidTr="0066072E">
        <w:tblPrEx>
          <w:tblW w:w="0" w:type="auto"/>
          <w:jc w:val="center"/>
          <w:tblLook w:val="04A0"/>
        </w:tblPrEx>
        <w:trPr>
          <w:trHeight w:val="512"/>
          <w:tblHeader/>
          <w:jc w:val="center"/>
        </w:trPr>
        <w:tc>
          <w:tcPr>
            <w:tcW w:w="879" w:type="dxa"/>
            <w:vAlign w:val="center"/>
          </w:tcPr>
          <w:p w:rsidR="0078072B" w:rsidRPr="00787450" w:rsidP="0066072E" w14:paraId="1850B38B" w14:textId="77777777">
            <w:pPr>
              <w:jc w:val="center"/>
              <w:rPr>
                <w:b/>
              </w:rPr>
            </w:pPr>
            <w:r>
              <w:rPr>
                <w:b/>
              </w:rPr>
              <w:t>Issue No.</w:t>
            </w:r>
          </w:p>
        </w:tc>
        <w:tc>
          <w:tcPr>
            <w:tcW w:w="3072" w:type="dxa"/>
            <w:shd w:val="clear" w:color="auto" w:fill="auto"/>
            <w:vAlign w:val="center"/>
          </w:tcPr>
          <w:p w:rsidR="0078072B" w:rsidRPr="00787450" w:rsidP="0066072E" w14:paraId="6B04926B" w14:textId="77777777">
            <w:pPr>
              <w:jc w:val="center"/>
              <w:rPr>
                <w:b/>
              </w:rPr>
            </w:pPr>
            <w:r w:rsidRPr="00787450">
              <w:rPr>
                <w:b/>
              </w:rPr>
              <w:t>Table B</w:t>
            </w:r>
            <w:r>
              <w:rPr>
                <w:b/>
              </w:rPr>
              <w:noBreakHyphen/>
            </w:r>
            <w:r w:rsidRPr="00787450">
              <w:rPr>
                <w:b/>
              </w:rPr>
              <w:t>1 Issues</w:t>
            </w:r>
          </w:p>
        </w:tc>
        <w:tc>
          <w:tcPr>
            <w:tcW w:w="1635" w:type="dxa"/>
            <w:vAlign w:val="center"/>
          </w:tcPr>
          <w:p w:rsidR="0078072B" w:rsidRPr="00787450" w:rsidP="0066072E" w14:paraId="2971F22E" w14:textId="77777777">
            <w:pPr>
              <w:jc w:val="center"/>
              <w:rPr>
                <w:b/>
              </w:rPr>
            </w:pPr>
            <w:r>
              <w:rPr>
                <w:b/>
              </w:rPr>
              <w:t>Category</w:t>
            </w:r>
          </w:p>
        </w:tc>
        <w:tc>
          <w:tcPr>
            <w:tcW w:w="3764" w:type="dxa"/>
            <w:vAlign w:val="center"/>
          </w:tcPr>
          <w:p w:rsidR="0078072B" w:rsidRPr="00787450" w:rsidP="0066072E" w14:paraId="1364AA5A" w14:textId="374FEEAF">
            <w:pPr>
              <w:jc w:val="center"/>
              <w:rPr>
                <w:b/>
              </w:rPr>
            </w:pPr>
            <w:r>
              <w:rPr>
                <w:b/>
              </w:rPr>
              <w:t>Changes to Table B</w:t>
            </w:r>
            <w:r>
              <w:rPr>
                <w:b/>
              </w:rPr>
              <w:noBreakHyphen/>
              <w:t>1</w:t>
            </w:r>
          </w:p>
        </w:tc>
      </w:tr>
      <w:tr w14:paraId="32313339" w14:textId="77777777" w:rsidTr="0066072E">
        <w:tblPrEx>
          <w:tblW w:w="0" w:type="auto"/>
          <w:jc w:val="center"/>
          <w:tblLook w:val="04A0"/>
        </w:tblPrEx>
        <w:trPr>
          <w:cantSplit/>
          <w:trHeight w:val="215"/>
          <w:jc w:val="center"/>
        </w:trPr>
        <w:tc>
          <w:tcPr>
            <w:tcW w:w="9350" w:type="dxa"/>
            <w:gridSpan w:val="4"/>
            <w:shd w:val="clear" w:color="auto" w:fill="D9D9D9" w:themeFill="background1" w:themeFillShade="D9"/>
            <w:vAlign w:val="center"/>
          </w:tcPr>
          <w:p w:rsidR="0078072B" w:rsidRPr="005621B3" w:rsidP="0066072E" w14:paraId="3919E9F5" w14:textId="77777777">
            <w:pPr>
              <w:rPr>
                <w:b/>
                <w:i/>
                <w:iCs/>
                <w:highlight w:val="lightGray"/>
              </w:rPr>
            </w:pPr>
            <w:r w:rsidRPr="005621B3">
              <w:rPr>
                <w:b/>
                <w:i/>
                <w:iCs/>
                <w:highlight w:val="lightGray"/>
              </w:rPr>
              <w:t>Land Use</w:t>
            </w:r>
          </w:p>
        </w:tc>
      </w:tr>
      <w:tr w14:paraId="034A4841" w14:textId="77777777" w:rsidTr="0066072E">
        <w:tblPrEx>
          <w:tblW w:w="0" w:type="auto"/>
          <w:jc w:val="center"/>
          <w:tblLook w:val="04A0"/>
        </w:tblPrEx>
        <w:trPr>
          <w:cantSplit/>
          <w:trHeight w:val="350"/>
          <w:jc w:val="center"/>
        </w:trPr>
        <w:tc>
          <w:tcPr>
            <w:tcW w:w="879" w:type="dxa"/>
            <w:shd w:val="clear" w:color="auto" w:fill="auto"/>
            <w:vAlign w:val="center"/>
          </w:tcPr>
          <w:p w:rsidR="0078072B" w:rsidRPr="00787450" w:rsidP="0066072E" w14:paraId="2486D5AB" w14:textId="77777777">
            <w:pPr>
              <w:jc w:val="center"/>
            </w:pPr>
            <w:r>
              <w:t>1</w:t>
            </w:r>
          </w:p>
        </w:tc>
        <w:tc>
          <w:tcPr>
            <w:tcW w:w="3072" w:type="dxa"/>
            <w:shd w:val="clear" w:color="auto" w:fill="auto"/>
            <w:vAlign w:val="center"/>
          </w:tcPr>
          <w:p w:rsidR="0078072B" w:rsidRPr="00787450" w:rsidP="0066072E" w14:paraId="63BFD14B" w14:textId="77777777">
            <w:r w:rsidRPr="00787450">
              <w:t>Onsite land use</w:t>
            </w:r>
          </w:p>
        </w:tc>
        <w:tc>
          <w:tcPr>
            <w:tcW w:w="1635" w:type="dxa"/>
            <w:shd w:val="clear" w:color="auto" w:fill="auto"/>
            <w:vAlign w:val="center"/>
          </w:tcPr>
          <w:p w:rsidR="0078072B" w:rsidRPr="00787450" w:rsidP="0066072E" w14:paraId="50CD11B9" w14:textId="77777777">
            <w:pPr>
              <w:jc w:val="center"/>
            </w:pPr>
            <w:r>
              <w:t>1</w:t>
            </w:r>
          </w:p>
        </w:tc>
        <w:tc>
          <w:tcPr>
            <w:tcW w:w="3764" w:type="dxa"/>
            <w:shd w:val="clear" w:color="auto" w:fill="auto"/>
            <w:vAlign w:val="center"/>
          </w:tcPr>
          <w:p w:rsidR="0078072B" w:rsidRPr="00787450" w:rsidP="0066072E" w14:paraId="662DBA20" w14:textId="77777777">
            <w:r>
              <w:t>No change</w:t>
            </w:r>
          </w:p>
        </w:tc>
      </w:tr>
      <w:tr w14:paraId="6B9A39A6" w14:textId="77777777" w:rsidTr="0066072E">
        <w:tblPrEx>
          <w:tblW w:w="0" w:type="auto"/>
          <w:jc w:val="center"/>
          <w:tblLook w:val="04A0"/>
        </w:tblPrEx>
        <w:trPr>
          <w:cantSplit/>
          <w:trHeight w:val="305"/>
          <w:jc w:val="center"/>
        </w:trPr>
        <w:tc>
          <w:tcPr>
            <w:tcW w:w="879" w:type="dxa"/>
            <w:shd w:val="clear" w:color="auto" w:fill="auto"/>
            <w:vAlign w:val="center"/>
          </w:tcPr>
          <w:p w:rsidR="0078072B" w:rsidRPr="00787450" w:rsidP="0066072E" w14:paraId="53C284EF" w14:textId="77777777">
            <w:pPr>
              <w:jc w:val="center"/>
            </w:pPr>
            <w:r>
              <w:t>2</w:t>
            </w:r>
          </w:p>
        </w:tc>
        <w:tc>
          <w:tcPr>
            <w:tcW w:w="3072" w:type="dxa"/>
            <w:shd w:val="clear" w:color="auto" w:fill="auto"/>
            <w:vAlign w:val="center"/>
          </w:tcPr>
          <w:p w:rsidR="0078072B" w:rsidRPr="00787450" w:rsidP="0066072E" w14:paraId="68729BD1" w14:textId="77777777">
            <w:r w:rsidRPr="00787450">
              <w:t>Offsite land use</w:t>
            </w:r>
          </w:p>
        </w:tc>
        <w:tc>
          <w:tcPr>
            <w:tcW w:w="1635" w:type="dxa"/>
            <w:shd w:val="clear" w:color="auto" w:fill="auto"/>
            <w:vAlign w:val="center"/>
          </w:tcPr>
          <w:p w:rsidR="0078072B" w:rsidRPr="00787450" w:rsidP="0066072E" w14:paraId="0FD08D5A" w14:textId="77777777">
            <w:pPr>
              <w:jc w:val="center"/>
            </w:pPr>
            <w:r>
              <w:t>1</w:t>
            </w:r>
          </w:p>
        </w:tc>
        <w:tc>
          <w:tcPr>
            <w:tcW w:w="3764" w:type="dxa"/>
            <w:shd w:val="clear" w:color="auto" w:fill="auto"/>
            <w:vAlign w:val="center"/>
          </w:tcPr>
          <w:p w:rsidR="0078072B" w:rsidRPr="00787450" w:rsidP="0066072E" w14:paraId="4ECB62CD" w14:textId="77777777">
            <w:r>
              <w:t>No change</w:t>
            </w:r>
          </w:p>
        </w:tc>
      </w:tr>
      <w:tr w14:paraId="7922003A" w14:textId="77777777" w:rsidTr="0066072E">
        <w:tblPrEx>
          <w:tblW w:w="0" w:type="auto"/>
          <w:jc w:val="center"/>
          <w:tblLook w:val="04A0"/>
        </w:tblPrEx>
        <w:trPr>
          <w:cantSplit/>
          <w:trHeight w:val="539"/>
          <w:jc w:val="center"/>
        </w:trPr>
        <w:tc>
          <w:tcPr>
            <w:tcW w:w="879" w:type="dxa"/>
            <w:shd w:val="clear" w:color="auto" w:fill="auto"/>
            <w:vAlign w:val="center"/>
          </w:tcPr>
          <w:p w:rsidR="0078072B" w:rsidRPr="00600F10" w:rsidP="0066072E" w14:paraId="16A273B8" w14:textId="77777777">
            <w:pPr>
              <w:jc w:val="center"/>
            </w:pPr>
            <w:r>
              <w:t>3</w:t>
            </w:r>
          </w:p>
        </w:tc>
        <w:tc>
          <w:tcPr>
            <w:tcW w:w="3072" w:type="dxa"/>
            <w:shd w:val="clear" w:color="auto" w:fill="auto"/>
            <w:vAlign w:val="center"/>
          </w:tcPr>
          <w:p w:rsidR="0078072B" w:rsidRPr="00787450" w:rsidP="0066072E" w14:paraId="713E0839" w14:textId="5D3C1C98">
            <w:r w:rsidRPr="00600F10">
              <w:t>Offsite land use in transmission line right</w:t>
            </w:r>
            <w:r w:rsidR="006757CC">
              <w:noBreakHyphen/>
            </w:r>
            <w:r w:rsidRPr="00600F10">
              <w:t>of</w:t>
            </w:r>
            <w:r w:rsidR="006757CC">
              <w:noBreakHyphen/>
            </w:r>
            <w:r w:rsidRPr="00600F10">
              <w:t>ways (ROW</w:t>
            </w:r>
            <w:r>
              <w:t>s)</w:t>
            </w:r>
          </w:p>
        </w:tc>
        <w:tc>
          <w:tcPr>
            <w:tcW w:w="1635" w:type="dxa"/>
            <w:shd w:val="clear" w:color="auto" w:fill="auto"/>
            <w:vAlign w:val="center"/>
          </w:tcPr>
          <w:p w:rsidR="0078072B" w:rsidRPr="00600F10" w:rsidP="0066072E" w14:paraId="73CE5D41" w14:textId="77777777">
            <w:pPr>
              <w:jc w:val="center"/>
            </w:pPr>
            <w:r>
              <w:t>1</w:t>
            </w:r>
          </w:p>
        </w:tc>
        <w:tc>
          <w:tcPr>
            <w:tcW w:w="3764" w:type="dxa"/>
            <w:shd w:val="clear" w:color="auto" w:fill="auto"/>
            <w:vAlign w:val="center"/>
          </w:tcPr>
          <w:p w:rsidR="0078072B" w:rsidRPr="00600F10" w:rsidP="0066072E" w14:paraId="4EDC6BD7" w14:textId="77777777">
            <w:r>
              <w:t>No change</w:t>
            </w:r>
          </w:p>
        </w:tc>
      </w:tr>
      <w:tr w14:paraId="5F07C6BA" w14:textId="77777777" w:rsidTr="0066072E">
        <w:tblPrEx>
          <w:tblW w:w="0" w:type="auto"/>
          <w:jc w:val="center"/>
          <w:tblLook w:val="04A0"/>
        </w:tblPrEx>
        <w:trPr>
          <w:cantSplit/>
          <w:trHeight w:val="251"/>
          <w:jc w:val="center"/>
        </w:trPr>
        <w:tc>
          <w:tcPr>
            <w:tcW w:w="9350" w:type="dxa"/>
            <w:gridSpan w:val="4"/>
            <w:shd w:val="clear" w:color="auto" w:fill="D9D9D9" w:themeFill="background1" w:themeFillShade="D9"/>
            <w:vAlign w:val="center"/>
          </w:tcPr>
          <w:p w:rsidR="0078072B" w:rsidRPr="005621B3" w:rsidP="0066072E" w14:paraId="286FAB35" w14:textId="77777777">
            <w:pPr>
              <w:rPr>
                <w:b/>
                <w:i/>
                <w:iCs/>
              </w:rPr>
            </w:pPr>
            <w:r w:rsidRPr="005621B3">
              <w:rPr>
                <w:b/>
                <w:i/>
                <w:iCs/>
              </w:rPr>
              <w:t>Visual Resources</w:t>
            </w:r>
          </w:p>
        </w:tc>
      </w:tr>
      <w:tr w14:paraId="5F5DF162" w14:textId="77777777" w:rsidTr="0066072E">
        <w:tblPrEx>
          <w:tblW w:w="0" w:type="auto"/>
          <w:jc w:val="center"/>
          <w:tblLook w:val="04A0"/>
        </w:tblPrEx>
        <w:trPr>
          <w:cantSplit/>
          <w:trHeight w:val="278"/>
          <w:jc w:val="center"/>
        </w:trPr>
        <w:tc>
          <w:tcPr>
            <w:tcW w:w="879" w:type="dxa"/>
            <w:shd w:val="clear" w:color="auto" w:fill="FFFFFF" w:themeFill="background1"/>
            <w:vAlign w:val="center"/>
          </w:tcPr>
          <w:p w:rsidR="0078072B" w:rsidRPr="00787450" w:rsidP="0066072E" w14:paraId="485FA96F" w14:textId="77777777">
            <w:pPr>
              <w:jc w:val="center"/>
            </w:pPr>
            <w:r>
              <w:t>4</w:t>
            </w:r>
          </w:p>
        </w:tc>
        <w:tc>
          <w:tcPr>
            <w:tcW w:w="3072" w:type="dxa"/>
            <w:shd w:val="clear" w:color="auto" w:fill="FFFFFF" w:themeFill="background1"/>
            <w:vAlign w:val="center"/>
          </w:tcPr>
          <w:p w:rsidR="0078072B" w:rsidRPr="00787450" w:rsidP="0066072E" w14:paraId="18F3D554" w14:textId="77777777">
            <w:r w:rsidRPr="00787450">
              <w:t>Aesthetic impacts</w:t>
            </w:r>
          </w:p>
        </w:tc>
        <w:tc>
          <w:tcPr>
            <w:tcW w:w="1635" w:type="dxa"/>
            <w:shd w:val="clear" w:color="auto" w:fill="FFFFFF" w:themeFill="background1"/>
            <w:vAlign w:val="center"/>
          </w:tcPr>
          <w:p w:rsidR="0078072B" w:rsidRPr="00787450" w:rsidP="0066072E" w14:paraId="5D4BAE5D" w14:textId="77777777">
            <w:pPr>
              <w:jc w:val="center"/>
            </w:pPr>
            <w:r>
              <w:t>1</w:t>
            </w:r>
          </w:p>
        </w:tc>
        <w:tc>
          <w:tcPr>
            <w:tcW w:w="3764" w:type="dxa"/>
            <w:shd w:val="clear" w:color="auto" w:fill="FFFFFF" w:themeFill="background1"/>
            <w:vAlign w:val="center"/>
          </w:tcPr>
          <w:p w:rsidR="0078072B" w:rsidRPr="00787450" w:rsidP="0066072E" w14:paraId="3B6CFE20" w14:textId="77777777">
            <w:r>
              <w:t>No change</w:t>
            </w:r>
          </w:p>
        </w:tc>
      </w:tr>
      <w:tr w14:paraId="15ECF5AC" w14:textId="77777777" w:rsidTr="0066072E">
        <w:tblPrEx>
          <w:tblW w:w="0" w:type="auto"/>
          <w:jc w:val="center"/>
          <w:tblLook w:val="04A0"/>
        </w:tblPrEx>
        <w:trPr>
          <w:cantSplit/>
          <w:jc w:val="center"/>
        </w:trPr>
        <w:tc>
          <w:tcPr>
            <w:tcW w:w="9350" w:type="dxa"/>
            <w:gridSpan w:val="4"/>
            <w:shd w:val="clear" w:color="auto" w:fill="D9D9D9" w:themeFill="background1" w:themeFillShade="D9"/>
            <w:vAlign w:val="center"/>
          </w:tcPr>
          <w:p w:rsidR="0078072B" w:rsidRPr="005621B3" w:rsidP="0066072E" w14:paraId="32021BB0" w14:textId="77777777">
            <w:pPr>
              <w:rPr>
                <w:b/>
                <w:i/>
                <w:iCs/>
              </w:rPr>
            </w:pPr>
            <w:r w:rsidRPr="005621B3">
              <w:rPr>
                <w:b/>
                <w:i/>
                <w:iCs/>
              </w:rPr>
              <w:t>Air Quality</w:t>
            </w:r>
          </w:p>
        </w:tc>
      </w:tr>
      <w:tr w14:paraId="1CA49418" w14:textId="77777777" w:rsidTr="0066072E">
        <w:tblPrEx>
          <w:tblW w:w="0" w:type="auto"/>
          <w:jc w:val="center"/>
          <w:tblLook w:val="04A0"/>
        </w:tblPrEx>
        <w:trPr>
          <w:cantSplit/>
          <w:trHeight w:val="278"/>
          <w:jc w:val="center"/>
        </w:trPr>
        <w:tc>
          <w:tcPr>
            <w:tcW w:w="879" w:type="dxa"/>
            <w:shd w:val="clear" w:color="auto" w:fill="FFFFFF" w:themeFill="background1"/>
            <w:vAlign w:val="center"/>
          </w:tcPr>
          <w:p w:rsidR="0078072B" w:rsidRPr="00787450" w:rsidP="0066072E" w14:paraId="3E998CF1" w14:textId="77777777">
            <w:pPr>
              <w:jc w:val="center"/>
            </w:pPr>
            <w:r>
              <w:t>5</w:t>
            </w:r>
          </w:p>
        </w:tc>
        <w:tc>
          <w:tcPr>
            <w:tcW w:w="3072" w:type="dxa"/>
            <w:shd w:val="clear" w:color="auto" w:fill="FFFFFF" w:themeFill="background1"/>
            <w:vAlign w:val="center"/>
          </w:tcPr>
          <w:p w:rsidR="0078072B" w:rsidRPr="00787450" w:rsidP="0066072E" w14:paraId="23C0E201" w14:textId="77777777">
            <w:r w:rsidRPr="00787450">
              <w:t xml:space="preserve">Air quality </w:t>
            </w:r>
            <w:r>
              <w:t>impacts</w:t>
            </w:r>
          </w:p>
        </w:tc>
        <w:tc>
          <w:tcPr>
            <w:tcW w:w="1635" w:type="dxa"/>
            <w:shd w:val="clear" w:color="auto" w:fill="FFFFFF" w:themeFill="background1"/>
            <w:vAlign w:val="center"/>
          </w:tcPr>
          <w:p w:rsidR="0078072B" w:rsidRPr="00787450" w:rsidP="0066072E" w14:paraId="39AAFBC8" w14:textId="77777777">
            <w:pPr>
              <w:jc w:val="center"/>
            </w:pPr>
            <w:r>
              <w:t>1</w:t>
            </w:r>
          </w:p>
        </w:tc>
        <w:tc>
          <w:tcPr>
            <w:tcW w:w="3764" w:type="dxa"/>
            <w:shd w:val="clear" w:color="auto" w:fill="FFFFFF" w:themeFill="background1"/>
            <w:vAlign w:val="center"/>
          </w:tcPr>
          <w:p w:rsidR="0078072B" w:rsidRPr="00461A3D" w:rsidP="0066072E" w14:paraId="6F8A0311" w14:textId="77777777">
            <w:r>
              <w:t xml:space="preserve">Revised issue title from </w:t>
            </w:r>
            <w:r>
              <w:rPr>
                <w:i/>
                <w:iCs/>
              </w:rPr>
              <w:t>Air quality impacts (all plants)</w:t>
            </w:r>
            <w:r>
              <w:t xml:space="preserve"> and the order of the topics discussed in the finding (operations aspects followed by refurbishment)</w:t>
            </w:r>
          </w:p>
        </w:tc>
      </w:tr>
      <w:tr w14:paraId="2860CC0B" w14:textId="77777777" w:rsidTr="0066072E">
        <w:tblPrEx>
          <w:tblW w:w="0" w:type="auto"/>
          <w:jc w:val="center"/>
          <w:tblLook w:val="04A0"/>
        </w:tblPrEx>
        <w:trPr>
          <w:cantSplit/>
          <w:trHeight w:val="350"/>
          <w:jc w:val="center"/>
        </w:trPr>
        <w:tc>
          <w:tcPr>
            <w:tcW w:w="879" w:type="dxa"/>
            <w:shd w:val="clear" w:color="auto" w:fill="FFFFFF" w:themeFill="background1"/>
            <w:vAlign w:val="center"/>
          </w:tcPr>
          <w:p w:rsidR="0078072B" w:rsidRPr="00787450" w:rsidP="0066072E" w14:paraId="70D22C5D" w14:textId="77777777">
            <w:pPr>
              <w:jc w:val="center"/>
            </w:pPr>
            <w:r>
              <w:t>6</w:t>
            </w:r>
          </w:p>
        </w:tc>
        <w:tc>
          <w:tcPr>
            <w:tcW w:w="3072" w:type="dxa"/>
            <w:shd w:val="clear" w:color="auto" w:fill="FFFFFF" w:themeFill="background1"/>
            <w:vAlign w:val="center"/>
          </w:tcPr>
          <w:p w:rsidR="0078072B" w:rsidRPr="00787450" w:rsidP="0066072E" w14:paraId="49FCEF36" w14:textId="77777777">
            <w:r w:rsidRPr="00787450">
              <w:t>Air quality effects of transmission lines</w:t>
            </w:r>
          </w:p>
        </w:tc>
        <w:tc>
          <w:tcPr>
            <w:tcW w:w="1635" w:type="dxa"/>
            <w:shd w:val="clear" w:color="auto" w:fill="FFFFFF" w:themeFill="background1"/>
            <w:vAlign w:val="center"/>
          </w:tcPr>
          <w:p w:rsidR="0078072B" w:rsidRPr="00787450" w:rsidP="0066072E" w14:paraId="0771B52D" w14:textId="77777777">
            <w:pPr>
              <w:jc w:val="center"/>
            </w:pPr>
            <w:r>
              <w:t>1</w:t>
            </w:r>
          </w:p>
        </w:tc>
        <w:tc>
          <w:tcPr>
            <w:tcW w:w="3764" w:type="dxa"/>
            <w:shd w:val="clear" w:color="auto" w:fill="FFFFFF" w:themeFill="background1"/>
            <w:vAlign w:val="center"/>
          </w:tcPr>
          <w:p w:rsidR="0078072B" w:rsidRPr="00787450" w:rsidP="0066072E" w14:paraId="3040288F" w14:textId="77777777">
            <w:r>
              <w:t>Revised issue finding by adding the phrase “from transmission lines”</w:t>
            </w:r>
          </w:p>
        </w:tc>
      </w:tr>
      <w:tr w14:paraId="733525F0" w14:textId="77777777" w:rsidTr="0066072E">
        <w:tblPrEx>
          <w:tblW w:w="0" w:type="auto"/>
          <w:jc w:val="center"/>
          <w:tblLook w:val="04A0"/>
        </w:tblPrEx>
        <w:trPr>
          <w:cantSplit/>
          <w:trHeight w:val="251"/>
          <w:jc w:val="center"/>
        </w:trPr>
        <w:tc>
          <w:tcPr>
            <w:tcW w:w="9350" w:type="dxa"/>
            <w:gridSpan w:val="4"/>
            <w:shd w:val="clear" w:color="auto" w:fill="D9D9D9" w:themeFill="background1" w:themeFillShade="D9"/>
            <w:vAlign w:val="center"/>
          </w:tcPr>
          <w:p w:rsidR="0078072B" w:rsidRPr="00B05231" w:rsidP="0066072E" w14:paraId="24809086" w14:textId="77777777">
            <w:pPr>
              <w:rPr>
                <w:b/>
                <w:i/>
                <w:iCs/>
              </w:rPr>
            </w:pPr>
            <w:r w:rsidRPr="00B05231">
              <w:rPr>
                <w:b/>
                <w:i/>
                <w:iCs/>
              </w:rPr>
              <w:t>Noise</w:t>
            </w:r>
          </w:p>
        </w:tc>
      </w:tr>
      <w:tr w14:paraId="2689693A" w14:textId="77777777" w:rsidTr="0066072E">
        <w:tblPrEx>
          <w:tblW w:w="0" w:type="auto"/>
          <w:jc w:val="center"/>
          <w:tblLook w:val="04A0"/>
        </w:tblPrEx>
        <w:trPr>
          <w:cantSplit/>
          <w:trHeight w:val="260"/>
          <w:jc w:val="center"/>
        </w:trPr>
        <w:tc>
          <w:tcPr>
            <w:tcW w:w="879" w:type="dxa"/>
            <w:shd w:val="clear" w:color="auto" w:fill="FFFFFF" w:themeFill="background1"/>
            <w:vAlign w:val="center"/>
          </w:tcPr>
          <w:p w:rsidR="0078072B" w:rsidRPr="00787450" w:rsidP="0066072E" w14:paraId="58FD7068" w14:textId="77777777">
            <w:pPr>
              <w:jc w:val="center"/>
            </w:pPr>
            <w:r>
              <w:t>7</w:t>
            </w:r>
          </w:p>
        </w:tc>
        <w:tc>
          <w:tcPr>
            <w:tcW w:w="3072" w:type="dxa"/>
            <w:shd w:val="clear" w:color="auto" w:fill="FFFFFF" w:themeFill="background1"/>
            <w:vAlign w:val="center"/>
          </w:tcPr>
          <w:p w:rsidR="0078072B" w:rsidRPr="00787450" w:rsidP="0066072E" w14:paraId="0DCE2851" w14:textId="77777777">
            <w:r w:rsidRPr="00787450">
              <w:t>Noise</w:t>
            </w:r>
            <w:r>
              <w:t xml:space="preserve"> impacts</w:t>
            </w:r>
          </w:p>
        </w:tc>
        <w:tc>
          <w:tcPr>
            <w:tcW w:w="1635" w:type="dxa"/>
            <w:shd w:val="clear" w:color="auto" w:fill="FFFFFF" w:themeFill="background1"/>
            <w:vAlign w:val="center"/>
          </w:tcPr>
          <w:p w:rsidR="0078072B" w:rsidRPr="00787450" w:rsidP="0066072E" w14:paraId="38ED596F" w14:textId="77777777">
            <w:pPr>
              <w:jc w:val="center"/>
            </w:pPr>
            <w:r>
              <w:t>1</w:t>
            </w:r>
          </w:p>
        </w:tc>
        <w:tc>
          <w:tcPr>
            <w:tcW w:w="3764" w:type="dxa"/>
            <w:shd w:val="clear" w:color="auto" w:fill="FFFFFF" w:themeFill="background1"/>
            <w:vAlign w:val="center"/>
          </w:tcPr>
          <w:p w:rsidR="0078072B" w:rsidRPr="00787450" w:rsidP="0066072E" w14:paraId="048CBF09" w14:textId="77777777">
            <w:r>
              <w:t>No change</w:t>
            </w:r>
          </w:p>
        </w:tc>
      </w:tr>
      <w:tr w14:paraId="2FD0505A" w14:textId="77777777" w:rsidTr="0066072E">
        <w:tblPrEx>
          <w:tblW w:w="0" w:type="auto"/>
          <w:jc w:val="center"/>
          <w:tblLook w:val="04A0"/>
        </w:tblPrEx>
        <w:trPr>
          <w:cantSplit/>
          <w:trHeight w:val="197"/>
          <w:jc w:val="center"/>
        </w:trPr>
        <w:tc>
          <w:tcPr>
            <w:tcW w:w="9350" w:type="dxa"/>
            <w:gridSpan w:val="4"/>
            <w:shd w:val="clear" w:color="auto" w:fill="D9D9D9" w:themeFill="background1" w:themeFillShade="D9"/>
            <w:vAlign w:val="center"/>
          </w:tcPr>
          <w:p w:rsidR="0078072B" w:rsidRPr="007420D2" w:rsidP="0066072E" w14:paraId="0096AF50" w14:textId="77777777">
            <w:pPr>
              <w:rPr>
                <w:b/>
                <w:i/>
                <w:iCs/>
              </w:rPr>
            </w:pPr>
            <w:r w:rsidRPr="007420D2">
              <w:rPr>
                <w:b/>
                <w:i/>
                <w:iCs/>
              </w:rPr>
              <w:t>Geologic Environment</w:t>
            </w:r>
          </w:p>
        </w:tc>
      </w:tr>
      <w:tr w14:paraId="63FD66F1" w14:textId="77777777" w:rsidTr="0066072E">
        <w:tblPrEx>
          <w:tblW w:w="0" w:type="auto"/>
          <w:jc w:val="center"/>
          <w:tblLook w:val="04A0"/>
        </w:tblPrEx>
        <w:trPr>
          <w:cantSplit/>
          <w:trHeight w:val="287"/>
          <w:jc w:val="center"/>
        </w:trPr>
        <w:tc>
          <w:tcPr>
            <w:tcW w:w="879" w:type="dxa"/>
            <w:shd w:val="clear" w:color="auto" w:fill="FFFFFF" w:themeFill="background1"/>
            <w:vAlign w:val="center"/>
          </w:tcPr>
          <w:p w:rsidR="0078072B" w:rsidP="0066072E" w14:paraId="65A760B0" w14:textId="77777777">
            <w:pPr>
              <w:jc w:val="center"/>
            </w:pPr>
            <w:r>
              <w:t>8</w:t>
            </w:r>
          </w:p>
        </w:tc>
        <w:tc>
          <w:tcPr>
            <w:tcW w:w="3072" w:type="dxa"/>
            <w:shd w:val="clear" w:color="auto" w:fill="FFFFFF" w:themeFill="background1"/>
            <w:vAlign w:val="center"/>
          </w:tcPr>
          <w:p w:rsidR="0078072B" w:rsidRPr="00787450" w:rsidP="0066072E" w14:paraId="61353D07" w14:textId="77777777">
            <w:r>
              <w:t>Geology and soils</w:t>
            </w:r>
          </w:p>
        </w:tc>
        <w:tc>
          <w:tcPr>
            <w:tcW w:w="1635" w:type="dxa"/>
            <w:shd w:val="clear" w:color="auto" w:fill="FFFFFF" w:themeFill="background1"/>
            <w:vAlign w:val="center"/>
          </w:tcPr>
          <w:p w:rsidR="0078072B" w:rsidP="0066072E" w14:paraId="52732C14" w14:textId="77777777">
            <w:pPr>
              <w:jc w:val="center"/>
            </w:pPr>
            <w:r>
              <w:t>1</w:t>
            </w:r>
          </w:p>
        </w:tc>
        <w:tc>
          <w:tcPr>
            <w:tcW w:w="3764" w:type="dxa"/>
            <w:shd w:val="clear" w:color="auto" w:fill="FFFFFF" w:themeFill="background1"/>
            <w:vAlign w:val="center"/>
          </w:tcPr>
          <w:p w:rsidR="0078072B" w:rsidP="0066072E" w14:paraId="276EE2BE" w14:textId="77777777">
            <w:r>
              <w:t>Revised issue finding (i.e., that the environmental review does not consider the impacts of geological hazards on nuclear power plants)</w:t>
            </w:r>
          </w:p>
        </w:tc>
      </w:tr>
      <w:tr w14:paraId="73568207" w14:textId="77777777" w:rsidTr="0066072E">
        <w:tblPrEx>
          <w:tblW w:w="0" w:type="auto"/>
          <w:jc w:val="center"/>
          <w:tblLook w:val="04A0"/>
        </w:tblPrEx>
        <w:trPr>
          <w:cantSplit/>
          <w:jc w:val="center"/>
        </w:trPr>
        <w:tc>
          <w:tcPr>
            <w:tcW w:w="9350" w:type="dxa"/>
            <w:gridSpan w:val="4"/>
            <w:shd w:val="clear" w:color="auto" w:fill="D9D9D9" w:themeFill="background1" w:themeFillShade="D9"/>
            <w:vAlign w:val="center"/>
          </w:tcPr>
          <w:p w:rsidR="0078072B" w:rsidRPr="00787450" w:rsidP="0066072E" w14:paraId="0B63162D" w14:textId="77777777">
            <w:pPr>
              <w:rPr>
                <w:b/>
              </w:rPr>
            </w:pPr>
            <w:r w:rsidRPr="00787450">
              <w:rPr>
                <w:b/>
              </w:rPr>
              <w:t>S</w:t>
            </w:r>
            <w:r w:rsidRPr="007420D2">
              <w:rPr>
                <w:b/>
                <w:i/>
                <w:iCs/>
              </w:rPr>
              <w:t>urface Water Resources</w:t>
            </w:r>
          </w:p>
        </w:tc>
      </w:tr>
      <w:tr w14:paraId="6F4841CF" w14:textId="77777777" w:rsidTr="0066072E">
        <w:tblPrEx>
          <w:tblW w:w="0" w:type="auto"/>
          <w:jc w:val="center"/>
          <w:tblLook w:val="04A0"/>
        </w:tblPrEx>
        <w:trPr>
          <w:cantSplit/>
          <w:trHeight w:val="449"/>
          <w:jc w:val="center"/>
        </w:trPr>
        <w:tc>
          <w:tcPr>
            <w:tcW w:w="879" w:type="dxa"/>
            <w:shd w:val="clear" w:color="auto" w:fill="FFFFFF" w:themeFill="background1"/>
            <w:vAlign w:val="center"/>
          </w:tcPr>
          <w:p w:rsidR="0078072B" w:rsidRPr="00EA242B" w:rsidP="0066072E" w14:paraId="58C743E6" w14:textId="77777777">
            <w:pPr>
              <w:jc w:val="center"/>
            </w:pPr>
            <w:r>
              <w:t>9</w:t>
            </w:r>
          </w:p>
        </w:tc>
        <w:tc>
          <w:tcPr>
            <w:tcW w:w="3072" w:type="dxa"/>
            <w:shd w:val="clear" w:color="auto" w:fill="FFFFFF" w:themeFill="background1"/>
            <w:vAlign w:val="center"/>
          </w:tcPr>
          <w:p w:rsidR="0078072B" w:rsidRPr="00787450" w:rsidP="0066072E" w14:paraId="6F84A40C" w14:textId="77777777">
            <w:r w:rsidRPr="00EA242B">
              <w:t>Surface water use and quality (non-cooling system impacts)</w:t>
            </w:r>
          </w:p>
        </w:tc>
        <w:tc>
          <w:tcPr>
            <w:tcW w:w="1635" w:type="dxa"/>
            <w:shd w:val="clear" w:color="auto" w:fill="FFFFFF" w:themeFill="background1"/>
            <w:vAlign w:val="center"/>
          </w:tcPr>
          <w:p w:rsidR="0078072B" w:rsidRPr="00EA242B" w:rsidP="0066072E" w14:paraId="4E9643DD" w14:textId="77777777">
            <w:pPr>
              <w:jc w:val="center"/>
            </w:pPr>
            <w:r>
              <w:t>1</w:t>
            </w:r>
          </w:p>
        </w:tc>
        <w:tc>
          <w:tcPr>
            <w:tcW w:w="3764" w:type="dxa"/>
            <w:shd w:val="clear" w:color="auto" w:fill="FFFFFF" w:themeFill="background1"/>
            <w:vAlign w:val="center"/>
          </w:tcPr>
          <w:p w:rsidR="0078072B" w:rsidRPr="00EA242B" w:rsidP="0066072E" w14:paraId="75B65783" w14:textId="77777777">
            <w:r>
              <w:t>No change</w:t>
            </w:r>
          </w:p>
        </w:tc>
      </w:tr>
      <w:tr w14:paraId="502CD29C" w14:textId="77777777" w:rsidTr="0066072E">
        <w:tblPrEx>
          <w:tblW w:w="0" w:type="auto"/>
          <w:jc w:val="center"/>
          <w:tblLook w:val="04A0"/>
        </w:tblPrEx>
        <w:trPr>
          <w:cantSplit/>
          <w:trHeight w:val="557"/>
          <w:jc w:val="center"/>
        </w:trPr>
        <w:tc>
          <w:tcPr>
            <w:tcW w:w="879" w:type="dxa"/>
            <w:shd w:val="clear" w:color="auto" w:fill="FFFFFF" w:themeFill="background1"/>
            <w:vAlign w:val="center"/>
          </w:tcPr>
          <w:p w:rsidR="0078072B" w:rsidRPr="00787450" w:rsidP="0066072E" w14:paraId="4211A0E7" w14:textId="77777777">
            <w:pPr>
              <w:jc w:val="center"/>
            </w:pPr>
            <w:r>
              <w:t>10</w:t>
            </w:r>
          </w:p>
        </w:tc>
        <w:tc>
          <w:tcPr>
            <w:tcW w:w="3072" w:type="dxa"/>
            <w:shd w:val="clear" w:color="auto" w:fill="FFFFFF" w:themeFill="background1"/>
            <w:vAlign w:val="center"/>
          </w:tcPr>
          <w:p w:rsidR="0078072B" w:rsidRPr="00787450" w:rsidP="0066072E" w14:paraId="39569DC1" w14:textId="77777777">
            <w:r w:rsidRPr="00787450">
              <w:t>Altered current patterns at intake and discharge structures</w:t>
            </w:r>
          </w:p>
        </w:tc>
        <w:tc>
          <w:tcPr>
            <w:tcW w:w="1635" w:type="dxa"/>
            <w:shd w:val="clear" w:color="auto" w:fill="FFFFFF" w:themeFill="background1"/>
            <w:vAlign w:val="center"/>
          </w:tcPr>
          <w:p w:rsidR="0078072B" w:rsidRPr="00787450" w:rsidP="0066072E" w14:paraId="4AEEB4CD" w14:textId="77777777">
            <w:pPr>
              <w:jc w:val="center"/>
            </w:pPr>
            <w:r>
              <w:t>1</w:t>
            </w:r>
          </w:p>
        </w:tc>
        <w:tc>
          <w:tcPr>
            <w:tcW w:w="3764" w:type="dxa"/>
            <w:shd w:val="clear" w:color="auto" w:fill="FFFFFF" w:themeFill="background1"/>
            <w:vAlign w:val="center"/>
          </w:tcPr>
          <w:p w:rsidR="0078072B" w:rsidRPr="00787450" w:rsidP="0066072E" w14:paraId="429B0573" w14:textId="77777777">
            <w:r>
              <w:t>No change</w:t>
            </w:r>
          </w:p>
        </w:tc>
      </w:tr>
      <w:tr w14:paraId="6B05B542" w14:textId="77777777" w:rsidTr="0066072E">
        <w:tblPrEx>
          <w:tblW w:w="0" w:type="auto"/>
          <w:jc w:val="center"/>
          <w:tblLook w:val="04A0"/>
        </w:tblPrEx>
        <w:trPr>
          <w:cantSplit/>
          <w:trHeight w:val="260"/>
          <w:jc w:val="center"/>
        </w:trPr>
        <w:tc>
          <w:tcPr>
            <w:tcW w:w="879" w:type="dxa"/>
            <w:shd w:val="clear" w:color="auto" w:fill="FFFFFF" w:themeFill="background1"/>
            <w:vAlign w:val="center"/>
          </w:tcPr>
          <w:p w:rsidR="0078072B" w:rsidRPr="00787450" w:rsidP="0066072E" w14:paraId="62988F99" w14:textId="77777777">
            <w:pPr>
              <w:jc w:val="center"/>
            </w:pPr>
            <w:r>
              <w:t>11</w:t>
            </w:r>
          </w:p>
        </w:tc>
        <w:tc>
          <w:tcPr>
            <w:tcW w:w="3072" w:type="dxa"/>
            <w:shd w:val="clear" w:color="auto" w:fill="FFFFFF" w:themeFill="background1"/>
            <w:vAlign w:val="center"/>
          </w:tcPr>
          <w:p w:rsidR="0078072B" w:rsidRPr="00787450" w:rsidP="0066072E" w14:paraId="11C9D420" w14:textId="77777777">
            <w:r w:rsidRPr="00787450">
              <w:t>Altered salinity gradients</w:t>
            </w:r>
          </w:p>
        </w:tc>
        <w:tc>
          <w:tcPr>
            <w:tcW w:w="1635" w:type="dxa"/>
            <w:shd w:val="clear" w:color="auto" w:fill="FFFFFF" w:themeFill="background1"/>
            <w:vAlign w:val="center"/>
          </w:tcPr>
          <w:p w:rsidR="0078072B" w:rsidRPr="00787450" w:rsidP="0066072E" w14:paraId="06DB868D" w14:textId="77777777">
            <w:pPr>
              <w:jc w:val="center"/>
            </w:pPr>
            <w:r>
              <w:t>1</w:t>
            </w:r>
          </w:p>
        </w:tc>
        <w:tc>
          <w:tcPr>
            <w:tcW w:w="3764" w:type="dxa"/>
            <w:shd w:val="clear" w:color="auto" w:fill="FFFFFF" w:themeFill="background1"/>
            <w:vAlign w:val="center"/>
          </w:tcPr>
          <w:p w:rsidR="0078072B" w:rsidRPr="00787450" w:rsidP="0066072E" w14:paraId="2EC5882B" w14:textId="77777777">
            <w:r>
              <w:t>No change</w:t>
            </w:r>
          </w:p>
        </w:tc>
      </w:tr>
      <w:tr w14:paraId="61D0A768" w14:textId="77777777" w:rsidTr="0066072E">
        <w:tblPrEx>
          <w:tblW w:w="0" w:type="auto"/>
          <w:jc w:val="center"/>
          <w:tblLook w:val="04A0"/>
        </w:tblPrEx>
        <w:trPr>
          <w:cantSplit/>
          <w:trHeight w:val="260"/>
          <w:jc w:val="center"/>
        </w:trPr>
        <w:tc>
          <w:tcPr>
            <w:tcW w:w="879" w:type="dxa"/>
            <w:shd w:val="clear" w:color="auto" w:fill="FFFFFF" w:themeFill="background1"/>
            <w:vAlign w:val="center"/>
          </w:tcPr>
          <w:p w:rsidR="0078072B" w:rsidRPr="00787450" w:rsidP="0066072E" w14:paraId="5507846F" w14:textId="77777777">
            <w:pPr>
              <w:jc w:val="center"/>
            </w:pPr>
            <w:r>
              <w:t>12</w:t>
            </w:r>
          </w:p>
        </w:tc>
        <w:tc>
          <w:tcPr>
            <w:tcW w:w="3072" w:type="dxa"/>
            <w:shd w:val="clear" w:color="auto" w:fill="FFFFFF" w:themeFill="background1"/>
            <w:vAlign w:val="center"/>
          </w:tcPr>
          <w:p w:rsidR="0078072B" w:rsidRPr="00787450" w:rsidP="0066072E" w14:paraId="1C70800D" w14:textId="77777777">
            <w:r w:rsidRPr="00787450">
              <w:t>Altered thermal stratification of lakes</w:t>
            </w:r>
          </w:p>
        </w:tc>
        <w:tc>
          <w:tcPr>
            <w:tcW w:w="1635" w:type="dxa"/>
            <w:shd w:val="clear" w:color="auto" w:fill="FFFFFF" w:themeFill="background1"/>
            <w:vAlign w:val="center"/>
          </w:tcPr>
          <w:p w:rsidR="0078072B" w:rsidRPr="00787450" w:rsidP="0066072E" w14:paraId="22ED3184" w14:textId="77777777">
            <w:pPr>
              <w:jc w:val="center"/>
            </w:pPr>
            <w:r>
              <w:t>1</w:t>
            </w:r>
          </w:p>
        </w:tc>
        <w:tc>
          <w:tcPr>
            <w:tcW w:w="3764" w:type="dxa"/>
            <w:shd w:val="clear" w:color="auto" w:fill="FFFFFF" w:themeFill="background1"/>
            <w:vAlign w:val="center"/>
          </w:tcPr>
          <w:p w:rsidR="0078072B" w:rsidRPr="00787450" w:rsidP="0066072E" w14:paraId="009150AD" w14:textId="77777777">
            <w:r>
              <w:t>No change</w:t>
            </w:r>
          </w:p>
        </w:tc>
      </w:tr>
      <w:tr w14:paraId="6988FB13" w14:textId="77777777" w:rsidTr="0066072E">
        <w:tblPrEx>
          <w:tblW w:w="0" w:type="auto"/>
          <w:jc w:val="center"/>
          <w:tblLook w:val="04A0"/>
        </w:tblPrEx>
        <w:trPr>
          <w:cantSplit/>
          <w:trHeight w:val="350"/>
          <w:jc w:val="center"/>
        </w:trPr>
        <w:tc>
          <w:tcPr>
            <w:tcW w:w="879" w:type="dxa"/>
            <w:shd w:val="clear" w:color="auto" w:fill="FFFFFF" w:themeFill="background1"/>
            <w:vAlign w:val="center"/>
          </w:tcPr>
          <w:p w:rsidR="0078072B" w:rsidRPr="00787450" w:rsidP="0066072E" w14:paraId="1CB32138" w14:textId="77777777">
            <w:pPr>
              <w:jc w:val="center"/>
            </w:pPr>
            <w:r>
              <w:t>13</w:t>
            </w:r>
          </w:p>
        </w:tc>
        <w:tc>
          <w:tcPr>
            <w:tcW w:w="3072" w:type="dxa"/>
            <w:shd w:val="clear" w:color="auto" w:fill="FFFFFF" w:themeFill="background1"/>
            <w:vAlign w:val="center"/>
          </w:tcPr>
          <w:p w:rsidR="0078072B" w:rsidRPr="00787450" w:rsidP="0066072E" w14:paraId="1F0E1785" w14:textId="77777777">
            <w:r w:rsidRPr="00787450">
              <w:t>Scouring caused by discharged cooling water</w:t>
            </w:r>
          </w:p>
        </w:tc>
        <w:tc>
          <w:tcPr>
            <w:tcW w:w="1635" w:type="dxa"/>
            <w:shd w:val="clear" w:color="auto" w:fill="FFFFFF" w:themeFill="background1"/>
            <w:vAlign w:val="center"/>
          </w:tcPr>
          <w:p w:rsidR="0078072B" w:rsidRPr="00787450" w:rsidP="0066072E" w14:paraId="7AA9094D" w14:textId="77777777">
            <w:pPr>
              <w:jc w:val="center"/>
            </w:pPr>
            <w:r>
              <w:t>1</w:t>
            </w:r>
          </w:p>
        </w:tc>
        <w:tc>
          <w:tcPr>
            <w:tcW w:w="3764" w:type="dxa"/>
            <w:shd w:val="clear" w:color="auto" w:fill="FFFFFF" w:themeFill="background1"/>
            <w:vAlign w:val="center"/>
          </w:tcPr>
          <w:p w:rsidR="0078072B" w:rsidRPr="00787450" w:rsidP="0066072E" w14:paraId="41D6D3D2" w14:textId="77777777">
            <w:r>
              <w:t>No change</w:t>
            </w:r>
          </w:p>
        </w:tc>
      </w:tr>
      <w:tr w14:paraId="37EFA020" w14:textId="77777777" w:rsidTr="0066072E">
        <w:tblPrEx>
          <w:tblW w:w="0" w:type="auto"/>
          <w:jc w:val="center"/>
          <w:tblLook w:val="04A0"/>
        </w:tblPrEx>
        <w:trPr>
          <w:cantSplit/>
          <w:trHeight w:val="458"/>
          <w:jc w:val="center"/>
        </w:trPr>
        <w:tc>
          <w:tcPr>
            <w:tcW w:w="879" w:type="dxa"/>
            <w:shd w:val="clear" w:color="auto" w:fill="FFFFFF" w:themeFill="background1"/>
            <w:vAlign w:val="center"/>
          </w:tcPr>
          <w:p w:rsidR="0078072B" w:rsidRPr="00787450" w:rsidP="0066072E" w14:paraId="4714F54C" w14:textId="77777777">
            <w:pPr>
              <w:jc w:val="center"/>
            </w:pPr>
            <w:r>
              <w:t>14</w:t>
            </w:r>
          </w:p>
        </w:tc>
        <w:tc>
          <w:tcPr>
            <w:tcW w:w="3072" w:type="dxa"/>
            <w:shd w:val="clear" w:color="auto" w:fill="FFFFFF" w:themeFill="background1"/>
            <w:vAlign w:val="center"/>
          </w:tcPr>
          <w:p w:rsidR="0078072B" w:rsidRPr="00787450" w:rsidP="0066072E" w14:paraId="0A1345F2" w14:textId="77777777">
            <w:r w:rsidRPr="00787450">
              <w:t xml:space="preserve">Discharge of metals in </w:t>
            </w:r>
            <w:r>
              <w:t>cooling system effluent</w:t>
            </w:r>
          </w:p>
        </w:tc>
        <w:tc>
          <w:tcPr>
            <w:tcW w:w="1635" w:type="dxa"/>
            <w:shd w:val="clear" w:color="auto" w:fill="FFFFFF" w:themeFill="background1"/>
            <w:vAlign w:val="center"/>
          </w:tcPr>
          <w:p w:rsidR="0078072B" w:rsidRPr="00787450" w:rsidP="0066072E" w14:paraId="206F0685" w14:textId="77777777">
            <w:pPr>
              <w:jc w:val="center"/>
            </w:pPr>
            <w:r>
              <w:t>1</w:t>
            </w:r>
          </w:p>
        </w:tc>
        <w:tc>
          <w:tcPr>
            <w:tcW w:w="3764" w:type="dxa"/>
            <w:shd w:val="clear" w:color="auto" w:fill="FFFFFF" w:themeFill="background1"/>
            <w:vAlign w:val="center"/>
          </w:tcPr>
          <w:p w:rsidR="0078072B" w:rsidRPr="00787450" w:rsidP="0066072E" w14:paraId="5E59D93B" w14:textId="77777777">
            <w:r>
              <w:t>No change</w:t>
            </w:r>
          </w:p>
        </w:tc>
      </w:tr>
      <w:tr w14:paraId="04A7AA77" w14:textId="77777777" w:rsidTr="0066072E">
        <w:tblPrEx>
          <w:tblW w:w="0" w:type="auto"/>
          <w:jc w:val="center"/>
          <w:tblLook w:val="04A0"/>
        </w:tblPrEx>
        <w:trPr>
          <w:cantSplit/>
          <w:trHeight w:val="395"/>
          <w:jc w:val="center"/>
        </w:trPr>
        <w:tc>
          <w:tcPr>
            <w:tcW w:w="879" w:type="dxa"/>
            <w:shd w:val="clear" w:color="auto" w:fill="FFFFFF" w:themeFill="background1"/>
            <w:vAlign w:val="center"/>
          </w:tcPr>
          <w:p w:rsidR="0078072B" w:rsidRPr="001B7D64" w:rsidP="0066072E" w14:paraId="7EDEB07B" w14:textId="77777777">
            <w:pPr>
              <w:jc w:val="center"/>
            </w:pPr>
            <w:r>
              <w:t>15</w:t>
            </w:r>
          </w:p>
        </w:tc>
        <w:tc>
          <w:tcPr>
            <w:tcW w:w="3072" w:type="dxa"/>
            <w:shd w:val="clear" w:color="auto" w:fill="FFFFFF" w:themeFill="background1"/>
            <w:vAlign w:val="center"/>
          </w:tcPr>
          <w:p w:rsidR="0078072B" w:rsidRPr="00787450" w:rsidP="0066072E" w14:paraId="40255C1D" w14:textId="77777777">
            <w:r w:rsidRPr="001B7D64">
              <w:t>Discharge of biocides, sanitary wastes, and minor chemical spills</w:t>
            </w:r>
          </w:p>
        </w:tc>
        <w:tc>
          <w:tcPr>
            <w:tcW w:w="1635" w:type="dxa"/>
            <w:shd w:val="clear" w:color="auto" w:fill="FFFFFF" w:themeFill="background1"/>
            <w:vAlign w:val="center"/>
          </w:tcPr>
          <w:p w:rsidR="0078072B" w:rsidRPr="001B7D64" w:rsidP="0066072E" w14:paraId="744BA112" w14:textId="77777777">
            <w:pPr>
              <w:jc w:val="center"/>
            </w:pPr>
            <w:r>
              <w:t>1</w:t>
            </w:r>
          </w:p>
        </w:tc>
        <w:tc>
          <w:tcPr>
            <w:tcW w:w="3764" w:type="dxa"/>
            <w:shd w:val="clear" w:color="auto" w:fill="FFFFFF" w:themeFill="background1"/>
            <w:vAlign w:val="center"/>
          </w:tcPr>
          <w:p w:rsidR="0078072B" w:rsidRPr="001B7D64" w:rsidP="0066072E" w14:paraId="146F15E5" w14:textId="77777777">
            <w:r>
              <w:t>No change</w:t>
            </w:r>
          </w:p>
        </w:tc>
      </w:tr>
      <w:tr w14:paraId="6904A253" w14:textId="77777777" w:rsidTr="0066072E">
        <w:tblPrEx>
          <w:tblW w:w="0" w:type="auto"/>
          <w:jc w:val="center"/>
          <w:tblLook w:val="04A0"/>
        </w:tblPrEx>
        <w:trPr>
          <w:cantSplit/>
          <w:trHeight w:val="512"/>
          <w:jc w:val="center"/>
        </w:trPr>
        <w:tc>
          <w:tcPr>
            <w:tcW w:w="879" w:type="dxa"/>
            <w:shd w:val="clear" w:color="auto" w:fill="FFFFFF" w:themeFill="background1"/>
            <w:vAlign w:val="center"/>
          </w:tcPr>
          <w:p w:rsidR="0078072B" w:rsidRPr="00ED34E2" w:rsidP="0066072E" w14:paraId="2F435A84" w14:textId="77777777">
            <w:pPr>
              <w:jc w:val="center"/>
            </w:pPr>
            <w:r>
              <w:t>16</w:t>
            </w:r>
          </w:p>
        </w:tc>
        <w:tc>
          <w:tcPr>
            <w:tcW w:w="3072" w:type="dxa"/>
            <w:shd w:val="clear" w:color="auto" w:fill="FFFFFF" w:themeFill="background1"/>
            <w:vAlign w:val="center"/>
          </w:tcPr>
          <w:p w:rsidR="0078072B" w:rsidRPr="00787450" w:rsidP="0066072E" w14:paraId="45F45823" w14:textId="77777777">
            <w:r w:rsidRPr="00ED34E2">
              <w:t>Surface water use conflicts (plants with once-through cooling systems)</w:t>
            </w:r>
          </w:p>
        </w:tc>
        <w:tc>
          <w:tcPr>
            <w:tcW w:w="1635" w:type="dxa"/>
            <w:shd w:val="clear" w:color="auto" w:fill="FFFFFF" w:themeFill="background1"/>
            <w:vAlign w:val="center"/>
          </w:tcPr>
          <w:p w:rsidR="0078072B" w:rsidRPr="00ED34E2" w:rsidP="0066072E" w14:paraId="49E61CEB" w14:textId="77777777">
            <w:pPr>
              <w:jc w:val="center"/>
            </w:pPr>
            <w:r>
              <w:t>1</w:t>
            </w:r>
          </w:p>
        </w:tc>
        <w:tc>
          <w:tcPr>
            <w:tcW w:w="3764" w:type="dxa"/>
            <w:shd w:val="clear" w:color="auto" w:fill="FFFFFF" w:themeFill="background1"/>
            <w:vAlign w:val="center"/>
          </w:tcPr>
          <w:p w:rsidR="0078072B" w:rsidRPr="00ED34E2" w:rsidP="0066072E" w14:paraId="1BF033EC" w14:textId="77777777">
            <w:r>
              <w:t>No change</w:t>
            </w:r>
          </w:p>
        </w:tc>
      </w:tr>
      <w:tr w14:paraId="4F08AF3D" w14:textId="77777777" w:rsidTr="0066072E">
        <w:tblPrEx>
          <w:tblW w:w="0" w:type="auto"/>
          <w:jc w:val="center"/>
          <w:tblLook w:val="04A0"/>
        </w:tblPrEx>
        <w:trPr>
          <w:cantSplit/>
          <w:trHeight w:val="620"/>
          <w:jc w:val="center"/>
        </w:trPr>
        <w:tc>
          <w:tcPr>
            <w:tcW w:w="879" w:type="dxa"/>
            <w:shd w:val="clear" w:color="auto" w:fill="FFFFFF" w:themeFill="background1"/>
            <w:vAlign w:val="center"/>
          </w:tcPr>
          <w:p w:rsidR="0078072B" w:rsidRPr="00680492" w:rsidP="0066072E" w14:paraId="71D42FD4" w14:textId="77777777">
            <w:pPr>
              <w:jc w:val="center"/>
            </w:pPr>
            <w:r>
              <w:t>17</w:t>
            </w:r>
          </w:p>
        </w:tc>
        <w:tc>
          <w:tcPr>
            <w:tcW w:w="3072" w:type="dxa"/>
            <w:shd w:val="clear" w:color="auto" w:fill="FFFFFF" w:themeFill="background1"/>
            <w:vAlign w:val="center"/>
          </w:tcPr>
          <w:p w:rsidR="0078072B" w:rsidRPr="00787450" w:rsidP="0066072E" w14:paraId="743BC482" w14:textId="77777777">
            <w:r w:rsidRPr="00680492">
              <w:t>Surface water use conflicts (plants with cooling ponds or cooling towers using makeup water from a river)</w:t>
            </w:r>
          </w:p>
        </w:tc>
        <w:tc>
          <w:tcPr>
            <w:tcW w:w="1635" w:type="dxa"/>
            <w:shd w:val="clear" w:color="auto" w:fill="FFFFFF" w:themeFill="background1"/>
            <w:vAlign w:val="center"/>
          </w:tcPr>
          <w:p w:rsidR="0078072B" w:rsidRPr="00680492" w:rsidP="0066072E" w14:paraId="33EEB008" w14:textId="77777777">
            <w:pPr>
              <w:jc w:val="center"/>
            </w:pPr>
            <w:r>
              <w:t>2</w:t>
            </w:r>
          </w:p>
        </w:tc>
        <w:tc>
          <w:tcPr>
            <w:tcW w:w="3764" w:type="dxa"/>
            <w:shd w:val="clear" w:color="auto" w:fill="FFFFFF" w:themeFill="background1"/>
            <w:vAlign w:val="center"/>
          </w:tcPr>
          <w:p w:rsidR="0078072B" w:rsidRPr="00680492" w:rsidP="0066072E" w14:paraId="66E3DFAC" w14:textId="77777777">
            <w:r>
              <w:t>No change</w:t>
            </w:r>
          </w:p>
        </w:tc>
      </w:tr>
      <w:tr w14:paraId="6D39AAF7" w14:textId="77777777" w:rsidTr="0066072E">
        <w:tblPrEx>
          <w:tblW w:w="0" w:type="auto"/>
          <w:jc w:val="center"/>
          <w:tblLook w:val="04A0"/>
        </w:tblPrEx>
        <w:trPr>
          <w:cantSplit/>
          <w:trHeight w:val="476"/>
          <w:jc w:val="center"/>
        </w:trPr>
        <w:tc>
          <w:tcPr>
            <w:tcW w:w="879" w:type="dxa"/>
            <w:shd w:val="clear" w:color="auto" w:fill="FFFFFF" w:themeFill="background1"/>
            <w:vAlign w:val="center"/>
          </w:tcPr>
          <w:p w:rsidR="0078072B" w:rsidRPr="007F58CD" w:rsidP="0066072E" w14:paraId="1B378444" w14:textId="77777777">
            <w:pPr>
              <w:jc w:val="center"/>
            </w:pPr>
            <w:r>
              <w:t>18</w:t>
            </w:r>
          </w:p>
        </w:tc>
        <w:tc>
          <w:tcPr>
            <w:tcW w:w="3072" w:type="dxa"/>
            <w:shd w:val="clear" w:color="auto" w:fill="FFFFFF" w:themeFill="background1"/>
            <w:vAlign w:val="center"/>
          </w:tcPr>
          <w:p w:rsidR="0078072B" w:rsidRPr="009A4C1D" w:rsidP="0066072E" w14:paraId="3BD9D4A8" w14:textId="77777777">
            <w:r w:rsidRPr="007F58CD">
              <w:t>Effects of dredging on surface water quality</w:t>
            </w:r>
          </w:p>
        </w:tc>
        <w:tc>
          <w:tcPr>
            <w:tcW w:w="1635" w:type="dxa"/>
            <w:shd w:val="clear" w:color="auto" w:fill="FFFFFF" w:themeFill="background1"/>
            <w:vAlign w:val="center"/>
          </w:tcPr>
          <w:p w:rsidR="0078072B" w:rsidRPr="007F58CD" w:rsidP="0066072E" w14:paraId="2EC01476" w14:textId="77777777">
            <w:pPr>
              <w:jc w:val="center"/>
            </w:pPr>
            <w:r>
              <w:t>1</w:t>
            </w:r>
          </w:p>
        </w:tc>
        <w:tc>
          <w:tcPr>
            <w:tcW w:w="3764" w:type="dxa"/>
            <w:shd w:val="clear" w:color="auto" w:fill="FFFFFF" w:themeFill="background1"/>
            <w:vAlign w:val="center"/>
          </w:tcPr>
          <w:p w:rsidR="0078072B" w:rsidRPr="007F58CD" w:rsidP="0066072E" w14:paraId="19DDCE22" w14:textId="77777777">
            <w:r>
              <w:t>No change</w:t>
            </w:r>
          </w:p>
        </w:tc>
      </w:tr>
      <w:tr w14:paraId="216258DC" w14:textId="77777777" w:rsidTr="0066072E">
        <w:tblPrEx>
          <w:tblW w:w="0" w:type="auto"/>
          <w:jc w:val="center"/>
          <w:tblLook w:val="04A0"/>
        </w:tblPrEx>
        <w:trPr>
          <w:cantSplit/>
          <w:trHeight w:val="413"/>
          <w:jc w:val="center"/>
        </w:trPr>
        <w:tc>
          <w:tcPr>
            <w:tcW w:w="879" w:type="dxa"/>
            <w:shd w:val="clear" w:color="auto" w:fill="FFFFFF" w:themeFill="background1"/>
            <w:vAlign w:val="center"/>
          </w:tcPr>
          <w:p w:rsidR="0078072B" w:rsidRPr="009A4C1D" w:rsidP="0066072E" w14:paraId="5860C3E9" w14:textId="77777777">
            <w:pPr>
              <w:jc w:val="center"/>
            </w:pPr>
            <w:r>
              <w:t>19</w:t>
            </w:r>
          </w:p>
        </w:tc>
        <w:tc>
          <w:tcPr>
            <w:tcW w:w="3072" w:type="dxa"/>
            <w:shd w:val="clear" w:color="auto" w:fill="FFFFFF" w:themeFill="background1"/>
            <w:vAlign w:val="center"/>
          </w:tcPr>
          <w:p w:rsidR="0078072B" w:rsidRPr="00787450" w:rsidP="0066072E" w14:paraId="134896FE" w14:textId="77777777">
            <w:r w:rsidRPr="009A4C1D">
              <w:t>Temperature effects on sediment transport capacity</w:t>
            </w:r>
          </w:p>
        </w:tc>
        <w:tc>
          <w:tcPr>
            <w:tcW w:w="1635" w:type="dxa"/>
            <w:shd w:val="clear" w:color="auto" w:fill="FFFFFF" w:themeFill="background1"/>
            <w:vAlign w:val="center"/>
          </w:tcPr>
          <w:p w:rsidR="0078072B" w:rsidRPr="009A4C1D" w:rsidP="0066072E" w14:paraId="62D53D7A" w14:textId="77777777">
            <w:pPr>
              <w:jc w:val="center"/>
            </w:pPr>
            <w:r>
              <w:t>1</w:t>
            </w:r>
          </w:p>
        </w:tc>
        <w:tc>
          <w:tcPr>
            <w:tcW w:w="3764" w:type="dxa"/>
            <w:shd w:val="clear" w:color="auto" w:fill="FFFFFF" w:themeFill="background1"/>
            <w:vAlign w:val="center"/>
          </w:tcPr>
          <w:p w:rsidR="0078072B" w:rsidRPr="009A4C1D" w:rsidP="0066072E" w14:paraId="29A45BCC" w14:textId="77777777">
            <w:r>
              <w:t>Revised issue finding by adding the phrase “during the license renewal term” for clarity</w:t>
            </w:r>
          </w:p>
        </w:tc>
      </w:tr>
      <w:tr w14:paraId="3C13486A" w14:textId="77777777" w:rsidTr="0066072E">
        <w:tblPrEx>
          <w:tblW w:w="0" w:type="auto"/>
          <w:jc w:val="center"/>
          <w:tblLook w:val="04A0"/>
        </w:tblPrEx>
        <w:trPr>
          <w:cantSplit/>
          <w:jc w:val="center"/>
        </w:trPr>
        <w:tc>
          <w:tcPr>
            <w:tcW w:w="9350" w:type="dxa"/>
            <w:gridSpan w:val="4"/>
            <w:shd w:val="clear" w:color="auto" w:fill="D9D9D9" w:themeFill="background1" w:themeFillShade="D9"/>
            <w:vAlign w:val="center"/>
          </w:tcPr>
          <w:p w:rsidR="0078072B" w:rsidRPr="007420D2" w:rsidP="0066072E" w14:paraId="54F7A8CB" w14:textId="77777777">
            <w:pPr>
              <w:rPr>
                <w:b/>
                <w:i/>
                <w:iCs/>
              </w:rPr>
            </w:pPr>
            <w:r w:rsidRPr="007420D2">
              <w:rPr>
                <w:b/>
                <w:i/>
                <w:iCs/>
              </w:rPr>
              <w:t>Groundwater Resources</w:t>
            </w:r>
          </w:p>
        </w:tc>
      </w:tr>
      <w:tr w14:paraId="7698E853" w14:textId="77777777" w:rsidTr="0066072E">
        <w:tblPrEx>
          <w:tblW w:w="0" w:type="auto"/>
          <w:jc w:val="center"/>
          <w:tblLook w:val="04A0"/>
        </w:tblPrEx>
        <w:trPr>
          <w:cantSplit/>
          <w:trHeight w:val="359"/>
          <w:jc w:val="center"/>
        </w:trPr>
        <w:tc>
          <w:tcPr>
            <w:tcW w:w="879" w:type="dxa"/>
            <w:shd w:val="clear" w:color="auto" w:fill="FFFFFF" w:themeFill="background1"/>
            <w:vAlign w:val="center"/>
          </w:tcPr>
          <w:p w:rsidR="0078072B" w:rsidRPr="009479B4" w:rsidP="0066072E" w14:paraId="4ACDEE16" w14:textId="77777777">
            <w:pPr>
              <w:jc w:val="center"/>
            </w:pPr>
            <w:r>
              <w:t>20</w:t>
            </w:r>
          </w:p>
        </w:tc>
        <w:tc>
          <w:tcPr>
            <w:tcW w:w="3072" w:type="dxa"/>
            <w:shd w:val="clear" w:color="auto" w:fill="FFFFFF" w:themeFill="background1"/>
            <w:vAlign w:val="center"/>
          </w:tcPr>
          <w:p w:rsidR="0078072B" w:rsidRPr="00787450" w:rsidP="0066072E" w14:paraId="5933AB31" w14:textId="77777777">
            <w:r w:rsidRPr="009479B4">
              <w:t>Groundwater contamination and use (non-cooling system impacts)</w:t>
            </w:r>
          </w:p>
        </w:tc>
        <w:tc>
          <w:tcPr>
            <w:tcW w:w="1635" w:type="dxa"/>
            <w:shd w:val="clear" w:color="auto" w:fill="FFFFFF" w:themeFill="background1"/>
            <w:vAlign w:val="center"/>
          </w:tcPr>
          <w:p w:rsidR="0078072B" w:rsidRPr="009479B4" w:rsidP="0066072E" w14:paraId="2E3B518A" w14:textId="77777777">
            <w:pPr>
              <w:jc w:val="center"/>
            </w:pPr>
            <w:r>
              <w:t>1</w:t>
            </w:r>
          </w:p>
        </w:tc>
        <w:tc>
          <w:tcPr>
            <w:tcW w:w="3764" w:type="dxa"/>
            <w:shd w:val="clear" w:color="auto" w:fill="FFFFFF" w:themeFill="background1"/>
            <w:vAlign w:val="center"/>
          </w:tcPr>
          <w:p w:rsidR="0078072B" w:rsidRPr="009479B4" w:rsidP="0066072E" w14:paraId="34B3F3B3" w14:textId="77777777">
            <w:r>
              <w:t>Revised issue finding by adding “U.S.” and adding the acronym “EPA” for clarity</w:t>
            </w:r>
          </w:p>
        </w:tc>
      </w:tr>
      <w:tr w14:paraId="0D6C81F1" w14:textId="77777777" w:rsidTr="0066072E">
        <w:tblPrEx>
          <w:tblW w:w="0" w:type="auto"/>
          <w:jc w:val="center"/>
          <w:tblLook w:val="04A0"/>
        </w:tblPrEx>
        <w:trPr>
          <w:cantSplit/>
          <w:trHeight w:val="827"/>
          <w:jc w:val="center"/>
        </w:trPr>
        <w:tc>
          <w:tcPr>
            <w:tcW w:w="879" w:type="dxa"/>
            <w:shd w:val="clear" w:color="auto" w:fill="FFFFFF" w:themeFill="background1"/>
            <w:vAlign w:val="center"/>
          </w:tcPr>
          <w:p w:rsidR="0078072B" w:rsidRPr="0046081C" w:rsidP="0066072E" w14:paraId="6315B13C" w14:textId="77777777">
            <w:pPr>
              <w:jc w:val="center"/>
            </w:pPr>
            <w:r>
              <w:t>21</w:t>
            </w:r>
          </w:p>
        </w:tc>
        <w:tc>
          <w:tcPr>
            <w:tcW w:w="3072" w:type="dxa"/>
            <w:shd w:val="clear" w:color="auto" w:fill="FFFFFF" w:themeFill="background1"/>
            <w:vAlign w:val="center"/>
          </w:tcPr>
          <w:p w:rsidR="0078072B" w:rsidRPr="00787450" w:rsidP="0066072E" w14:paraId="523D3904" w14:textId="77777777">
            <w:r w:rsidRPr="0046081C">
              <w:t>Groundwater use conflicts (plants that withdraw less than 100 gallons per minute [gpm])</w:t>
            </w:r>
          </w:p>
        </w:tc>
        <w:tc>
          <w:tcPr>
            <w:tcW w:w="1635" w:type="dxa"/>
            <w:shd w:val="clear" w:color="auto" w:fill="FFFFFF" w:themeFill="background1"/>
            <w:vAlign w:val="center"/>
          </w:tcPr>
          <w:p w:rsidR="0078072B" w:rsidRPr="0046081C" w:rsidP="0066072E" w14:paraId="11C12FB7" w14:textId="77777777">
            <w:pPr>
              <w:jc w:val="center"/>
            </w:pPr>
            <w:r>
              <w:t>1</w:t>
            </w:r>
          </w:p>
        </w:tc>
        <w:tc>
          <w:tcPr>
            <w:tcW w:w="3764" w:type="dxa"/>
            <w:shd w:val="clear" w:color="auto" w:fill="FFFFFF" w:themeFill="background1"/>
            <w:vAlign w:val="center"/>
          </w:tcPr>
          <w:p w:rsidR="0078072B" w:rsidRPr="0046081C" w:rsidP="0066072E" w14:paraId="3B502A1E" w14:textId="77777777">
            <w:r>
              <w:t>No change</w:t>
            </w:r>
          </w:p>
        </w:tc>
      </w:tr>
      <w:tr w14:paraId="19C77FF3" w14:textId="77777777" w:rsidTr="0066072E">
        <w:tblPrEx>
          <w:tblW w:w="0" w:type="auto"/>
          <w:jc w:val="center"/>
          <w:tblLook w:val="04A0"/>
        </w:tblPrEx>
        <w:trPr>
          <w:cantSplit/>
          <w:trHeight w:val="737"/>
          <w:jc w:val="center"/>
        </w:trPr>
        <w:tc>
          <w:tcPr>
            <w:tcW w:w="879" w:type="dxa"/>
            <w:shd w:val="clear" w:color="auto" w:fill="FFFFFF" w:themeFill="background1"/>
            <w:vAlign w:val="center"/>
          </w:tcPr>
          <w:p w:rsidR="0078072B" w:rsidRPr="00C83C00" w:rsidP="0066072E" w14:paraId="16C1A124" w14:textId="77777777">
            <w:pPr>
              <w:jc w:val="center"/>
            </w:pPr>
            <w:r>
              <w:t>22</w:t>
            </w:r>
          </w:p>
        </w:tc>
        <w:tc>
          <w:tcPr>
            <w:tcW w:w="3072" w:type="dxa"/>
            <w:shd w:val="clear" w:color="auto" w:fill="FFFFFF" w:themeFill="background1"/>
            <w:vAlign w:val="center"/>
          </w:tcPr>
          <w:p w:rsidR="0078072B" w:rsidRPr="00787450" w:rsidP="0066072E" w14:paraId="1D4FAA76" w14:textId="77777777">
            <w:r w:rsidRPr="00C83C00">
              <w:t xml:space="preserve">Groundwater use conflicts (plants that withdraw more than 100 </w:t>
            </w:r>
            <w:r>
              <w:t>gallons per minute [</w:t>
            </w:r>
            <w:r w:rsidRPr="00C83C00">
              <w:t>gpm</w:t>
            </w:r>
            <w:r>
              <w:t>]</w:t>
            </w:r>
            <w:r w:rsidRPr="00C83C00">
              <w:t>)</w:t>
            </w:r>
          </w:p>
        </w:tc>
        <w:tc>
          <w:tcPr>
            <w:tcW w:w="1635" w:type="dxa"/>
            <w:shd w:val="clear" w:color="auto" w:fill="FFFFFF" w:themeFill="background1"/>
            <w:vAlign w:val="center"/>
          </w:tcPr>
          <w:p w:rsidR="0078072B" w:rsidRPr="00C83C00" w:rsidP="0066072E" w14:paraId="144B362E" w14:textId="77777777">
            <w:pPr>
              <w:jc w:val="center"/>
            </w:pPr>
            <w:r>
              <w:t>2</w:t>
            </w:r>
          </w:p>
        </w:tc>
        <w:tc>
          <w:tcPr>
            <w:tcW w:w="3764" w:type="dxa"/>
            <w:shd w:val="clear" w:color="auto" w:fill="FFFFFF" w:themeFill="background1"/>
            <w:vAlign w:val="center"/>
          </w:tcPr>
          <w:p w:rsidR="0078072B" w:rsidRPr="00C83C00" w:rsidP="0066072E" w14:paraId="246A36DD" w14:textId="77777777">
            <w:r>
              <w:t>No change</w:t>
            </w:r>
          </w:p>
        </w:tc>
      </w:tr>
      <w:tr w14:paraId="40E41453" w14:textId="77777777" w:rsidTr="0066072E">
        <w:tblPrEx>
          <w:tblW w:w="0" w:type="auto"/>
          <w:jc w:val="center"/>
          <w:tblLook w:val="04A0"/>
        </w:tblPrEx>
        <w:trPr>
          <w:cantSplit/>
          <w:trHeight w:val="737"/>
          <w:jc w:val="center"/>
        </w:trPr>
        <w:tc>
          <w:tcPr>
            <w:tcW w:w="879" w:type="dxa"/>
            <w:shd w:val="clear" w:color="auto" w:fill="FFFFFF" w:themeFill="background1"/>
            <w:vAlign w:val="center"/>
          </w:tcPr>
          <w:p w:rsidR="0078072B" w:rsidRPr="001D19E5" w:rsidP="0066072E" w14:paraId="15844195" w14:textId="77777777">
            <w:pPr>
              <w:jc w:val="center"/>
            </w:pPr>
            <w:r>
              <w:t>23</w:t>
            </w:r>
          </w:p>
        </w:tc>
        <w:tc>
          <w:tcPr>
            <w:tcW w:w="3072" w:type="dxa"/>
            <w:shd w:val="clear" w:color="auto" w:fill="FFFFFF" w:themeFill="background1"/>
            <w:vAlign w:val="center"/>
          </w:tcPr>
          <w:p w:rsidR="0078072B" w:rsidRPr="00787450" w:rsidP="0066072E" w14:paraId="0DD49C5E" w14:textId="77777777">
            <w:r w:rsidRPr="001D19E5">
              <w:t>Groundwater use conflicts (plants with closed-cycle cooling systems that withdraw makeup water from a river)</w:t>
            </w:r>
          </w:p>
        </w:tc>
        <w:tc>
          <w:tcPr>
            <w:tcW w:w="1635" w:type="dxa"/>
            <w:shd w:val="clear" w:color="auto" w:fill="FFFFFF" w:themeFill="background1"/>
            <w:vAlign w:val="center"/>
          </w:tcPr>
          <w:p w:rsidR="0078072B" w:rsidRPr="001D19E5" w:rsidP="0066072E" w14:paraId="307F6E35" w14:textId="77777777">
            <w:pPr>
              <w:jc w:val="center"/>
            </w:pPr>
            <w:r>
              <w:t>2</w:t>
            </w:r>
          </w:p>
        </w:tc>
        <w:tc>
          <w:tcPr>
            <w:tcW w:w="3764" w:type="dxa"/>
            <w:shd w:val="clear" w:color="auto" w:fill="FFFFFF" w:themeFill="background1"/>
            <w:vAlign w:val="center"/>
          </w:tcPr>
          <w:p w:rsidR="0078072B" w:rsidRPr="001D19E5" w:rsidP="0066072E" w14:paraId="23B3B99A" w14:textId="77777777">
            <w:r>
              <w:t>No change</w:t>
            </w:r>
          </w:p>
        </w:tc>
      </w:tr>
      <w:tr w14:paraId="12A43418" w14:textId="77777777" w:rsidTr="0066072E">
        <w:tblPrEx>
          <w:tblW w:w="0" w:type="auto"/>
          <w:jc w:val="center"/>
          <w:tblLook w:val="04A0"/>
        </w:tblPrEx>
        <w:trPr>
          <w:cantSplit/>
          <w:trHeight w:val="503"/>
          <w:jc w:val="center"/>
        </w:trPr>
        <w:tc>
          <w:tcPr>
            <w:tcW w:w="879" w:type="dxa"/>
            <w:shd w:val="clear" w:color="auto" w:fill="FFFFFF" w:themeFill="background1"/>
            <w:vAlign w:val="center"/>
          </w:tcPr>
          <w:p w:rsidR="0078072B" w:rsidRPr="006B5F64" w:rsidP="0066072E" w14:paraId="08EC83A8" w14:textId="77777777">
            <w:pPr>
              <w:jc w:val="center"/>
            </w:pPr>
            <w:r>
              <w:t>24</w:t>
            </w:r>
          </w:p>
        </w:tc>
        <w:tc>
          <w:tcPr>
            <w:tcW w:w="3072" w:type="dxa"/>
            <w:shd w:val="clear" w:color="auto" w:fill="FFFFFF" w:themeFill="background1"/>
            <w:vAlign w:val="center"/>
          </w:tcPr>
          <w:p w:rsidR="0078072B" w:rsidRPr="00787450" w:rsidP="0066072E" w14:paraId="74836CCA" w14:textId="77777777">
            <w:r w:rsidRPr="006B5F64">
              <w:t>Groundwater quality degradation resulting from water withdrawals</w:t>
            </w:r>
          </w:p>
        </w:tc>
        <w:tc>
          <w:tcPr>
            <w:tcW w:w="1635" w:type="dxa"/>
            <w:shd w:val="clear" w:color="auto" w:fill="FFFFFF" w:themeFill="background1"/>
            <w:vAlign w:val="center"/>
          </w:tcPr>
          <w:p w:rsidR="0078072B" w:rsidRPr="006B5F64" w:rsidP="0066072E" w14:paraId="70F17A64" w14:textId="77777777">
            <w:pPr>
              <w:jc w:val="center"/>
            </w:pPr>
            <w:r>
              <w:t>1</w:t>
            </w:r>
          </w:p>
        </w:tc>
        <w:tc>
          <w:tcPr>
            <w:tcW w:w="3764" w:type="dxa"/>
            <w:shd w:val="clear" w:color="auto" w:fill="FFFFFF" w:themeFill="background1"/>
            <w:vAlign w:val="center"/>
          </w:tcPr>
          <w:p w:rsidR="0078072B" w:rsidRPr="006B5F64" w:rsidP="0066072E" w14:paraId="7AF135A7" w14:textId="77777777">
            <w:r>
              <w:t>No change</w:t>
            </w:r>
          </w:p>
        </w:tc>
      </w:tr>
      <w:tr w14:paraId="19F81A86" w14:textId="77777777" w:rsidTr="0066072E">
        <w:tblPrEx>
          <w:tblW w:w="0" w:type="auto"/>
          <w:jc w:val="center"/>
          <w:tblLook w:val="04A0"/>
        </w:tblPrEx>
        <w:trPr>
          <w:cantSplit/>
          <w:trHeight w:val="800"/>
          <w:jc w:val="center"/>
        </w:trPr>
        <w:tc>
          <w:tcPr>
            <w:tcW w:w="879" w:type="dxa"/>
            <w:shd w:val="clear" w:color="auto" w:fill="auto"/>
            <w:vAlign w:val="center"/>
          </w:tcPr>
          <w:p w:rsidR="0078072B" w:rsidRPr="00DA21B4" w:rsidP="0066072E" w14:paraId="406F29E7" w14:textId="77777777">
            <w:pPr>
              <w:jc w:val="center"/>
            </w:pPr>
            <w:r w:rsidRPr="00DA21B4">
              <w:t>2</w:t>
            </w:r>
            <w:r>
              <w:t>5</w:t>
            </w:r>
          </w:p>
        </w:tc>
        <w:tc>
          <w:tcPr>
            <w:tcW w:w="3072" w:type="dxa"/>
            <w:shd w:val="clear" w:color="auto" w:fill="auto"/>
            <w:vAlign w:val="center"/>
          </w:tcPr>
          <w:p w:rsidR="0078072B" w:rsidRPr="00D34AAD" w:rsidP="0066072E" w14:paraId="03A74AB4" w14:textId="77777777">
            <w:r w:rsidRPr="007420D2">
              <w:t>Groundwater quality degradation (plants with cooling ponds)</w:t>
            </w:r>
          </w:p>
        </w:tc>
        <w:tc>
          <w:tcPr>
            <w:tcW w:w="1635" w:type="dxa"/>
            <w:shd w:val="clear" w:color="auto" w:fill="auto"/>
            <w:vAlign w:val="center"/>
          </w:tcPr>
          <w:p w:rsidR="0078072B" w:rsidRPr="00DA21B4" w:rsidP="0066072E" w14:paraId="43E98F51" w14:textId="77777777">
            <w:pPr>
              <w:jc w:val="center"/>
            </w:pPr>
            <w:r w:rsidRPr="00DA21B4">
              <w:t>2</w:t>
            </w:r>
          </w:p>
        </w:tc>
        <w:tc>
          <w:tcPr>
            <w:tcW w:w="3764" w:type="dxa"/>
            <w:shd w:val="clear" w:color="auto" w:fill="auto"/>
            <w:vAlign w:val="center"/>
          </w:tcPr>
          <w:p w:rsidR="0078072B" w:rsidRPr="00424406" w:rsidP="0066072E" w14:paraId="722BEB8B" w14:textId="009FD40C">
            <w:r>
              <w:t xml:space="preserve">Consolidated Category 1 issue, </w:t>
            </w:r>
            <w:r w:rsidRPr="00F967FE">
              <w:rPr>
                <w:i/>
                <w:iCs/>
              </w:rPr>
              <w:t>Groundwater quality degradation (</w:t>
            </w:r>
            <w:r w:rsidR="00813C39">
              <w:rPr>
                <w:i/>
                <w:iCs/>
              </w:rPr>
              <w:t xml:space="preserve">plants with </w:t>
            </w:r>
            <w:r w:rsidRPr="00F967FE">
              <w:rPr>
                <w:i/>
                <w:iCs/>
              </w:rPr>
              <w:t>cooling ponds in salt marshes)</w:t>
            </w:r>
            <w:r>
              <w:t xml:space="preserve">, with Category 2 issue, </w:t>
            </w:r>
            <w:r w:rsidRPr="00F967FE">
              <w:rPr>
                <w:i/>
                <w:iCs/>
              </w:rPr>
              <w:t>Groundwater quality degradation (plants with cooling ponds at inland sites)</w:t>
            </w:r>
            <w:r>
              <w:t xml:space="preserve"> and includes saltwater intrusion and encroachment on adjacent surface water and groundwater quality as </w:t>
            </w:r>
            <w:r w:rsidR="007A5965">
              <w:t>potential</w:t>
            </w:r>
            <w:r>
              <w:t xml:space="preserve"> site-specific factors for cooling ponds</w:t>
            </w:r>
          </w:p>
        </w:tc>
      </w:tr>
      <w:tr w14:paraId="452E4C86" w14:textId="77777777" w:rsidTr="0066072E">
        <w:tblPrEx>
          <w:tblW w:w="0" w:type="auto"/>
          <w:jc w:val="center"/>
          <w:tblLook w:val="04A0"/>
        </w:tblPrEx>
        <w:trPr>
          <w:cantSplit/>
          <w:trHeight w:val="314"/>
          <w:jc w:val="center"/>
        </w:trPr>
        <w:tc>
          <w:tcPr>
            <w:tcW w:w="879" w:type="dxa"/>
            <w:shd w:val="clear" w:color="auto" w:fill="FFFFFF" w:themeFill="background1"/>
            <w:vAlign w:val="center"/>
          </w:tcPr>
          <w:p w:rsidR="0078072B" w:rsidRPr="00DC0E18" w:rsidP="0066072E" w14:paraId="5E1E573A" w14:textId="77777777">
            <w:pPr>
              <w:jc w:val="center"/>
            </w:pPr>
            <w:r>
              <w:t>26</w:t>
            </w:r>
          </w:p>
        </w:tc>
        <w:tc>
          <w:tcPr>
            <w:tcW w:w="3072" w:type="dxa"/>
            <w:shd w:val="clear" w:color="auto" w:fill="FFFFFF" w:themeFill="background1"/>
            <w:vAlign w:val="center"/>
          </w:tcPr>
          <w:p w:rsidR="0078072B" w:rsidRPr="00DC0E18" w:rsidP="0066072E" w14:paraId="4D053006" w14:textId="77777777">
            <w:r w:rsidRPr="00DC0E18">
              <w:t xml:space="preserve">Radionuclides released to groundwater </w:t>
            </w:r>
          </w:p>
        </w:tc>
        <w:tc>
          <w:tcPr>
            <w:tcW w:w="1635" w:type="dxa"/>
            <w:shd w:val="clear" w:color="auto" w:fill="FFFFFF" w:themeFill="background1"/>
            <w:vAlign w:val="center"/>
          </w:tcPr>
          <w:p w:rsidR="0078072B" w:rsidRPr="00DC0E18" w:rsidP="0066072E" w14:paraId="5B103BDB" w14:textId="77777777">
            <w:pPr>
              <w:jc w:val="center"/>
            </w:pPr>
            <w:r>
              <w:t>2</w:t>
            </w:r>
          </w:p>
        </w:tc>
        <w:tc>
          <w:tcPr>
            <w:tcW w:w="3764" w:type="dxa"/>
            <w:shd w:val="clear" w:color="auto" w:fill="FFFFFF" w:themeFill="background1"/>
            <w:vAlign w:val="center"/>
          </w:tcPr>
          <w:p w:rsidR="0078072B" w:rsidRPr="00DC0E18" w:rsidP="0066072E" w14:paraId="18D52D0F" w14:textId="77777777">
            <w:r>
              <w:t>No change</w:t>
            </w:r>
          </w:p>
        </w:tc>
      </w:tr>
      <w:tr w14:paraId="0E427216" w14:textId="77777777" w:rsidTr="0066072E">
        <w:tblPrEx>
          <w:tblW w:w="0" w:type="auto"/>
          <w:jc w:val="center"/>
          <w:tblLook w:val="04A0"/>
        </w:tblPrEx>
        <w:trPr>
          <w:cantSplit/>
          <w:trHeight w:val="251"/>
          <w:jc w:val="center"/>
        </w:trPr>
        <w:tc>
          <w:tcPr>
            <w:tcW w:w="9350" w:type="dxa"/>
            <w:gridSpan w:val="4"/>
            <w:shd w:val="clear" w:color="auto" w:fill="D9D9D9" w:themeFill="background1" w:themeFillShade="D9"/>
            <w:vAlign w:val="center"/>
          </w:tcPr>
          <w:p w:rsidR="0078072B" w:rsidRPr="00D34AAD" w:rsidP="0066072E" w14:paraId="1C3A93BD" w14:textId="77777777">
            <w:pPr>
              <w:keepNext/>
              <w:rPr>
                <w:b/>
                <w:i/>
                <w:iCs/>
              </w:rPr>
            </w:pPr>
            <w:r w:rsidRPr="00D34AAD">
              <w:rPr>
                <w:b/>
                <w:i/>
                <w:iCs/>
              </w:rPr>
              <w:t>Terrestrial Resources</w:t>
            </w:r>
          </w:p>
        </w:tc>
      </w:tr>
      <w:tr w14:paraId="1427F24F" w14:textId="77777777" w:rsidTr="0066072E">
        <w:tblPrEx>
          <w:tblW w:w="0" w:type="auto"/>
          <w:jc w:val="center"/>
          <w:tblLook w:val="04A0"/>
        </w:tblPrEx>
        <w:trPr>
          <w:cantSplit/>
          <w:trHeight w:val="539"/>
          <w:jc w:val="center"/>
        </w:trPr>
        <w:tc>
          <w:tcPr>
            <w:tcW w:w="879" w:type="dxa"/>
            <w:shd w:val="clear" w:color="auto" w:fill="FFFFFF" w:themeFill="background1"/>
            <w:vAlign w:val="center"/>
          </w:tcPr>
          <w:p w:rsidR="0078072B" w:rsidRPr="007578D8" w:rsidP="0066072E" w14:paraId="261F60DA" w14:textId="77777777">
            <w:pPr>
              <w:jc w:val="center"/>
            </w:pPr>
            <w:r>
              <w:t>27</w:t>
            </w:r>
          </w:p>
        </w:tc>
        <w:tc>
          <w:tcPr>
            <w:tcW w:w="3072" w:type="dxa"/>
            <w:shd w:val="clear" w:color="auto" w:fill="FFFFFF" w:themeFill="background1"/>
            <w:vAlign w:val="center"/>
          </w:tcPr>
          <w:p w:rsidR="0078072B" w:rsidRPr="007578D8" w:rsidP="0066072E" w14:paraId="1CD36124" w14:textId="77777777">
            <w:r w:rsidRPr="007578D8">
              <w:t>Non-cooling system impacts on terrestrial resources</w:t>
            </w:r>
          </w:p>
        </w:tc>
        <w:tc>
          <w:tcPr>
            <w:tcW w:w="1635" w:type="dxa"/>
            <w:shd w:val="clear" w:color="auto" w:fill="FFFFFF" w:themeFill="background1"/>
            <w:vAlign w:val="center"/>
          </w:tcPr>
          <w:p w:rsidR="0078072B" w:rsidRPr="007578D8" w:rsidP="0066072E" w14:paraId="744262AA" w14:textId="77777777">
            <w:pPr>
              <w:jc w:val="center"/>
            </w:pPr>
            <w:r>
              <w:t>2</w:t>
            </w:r>
          </w:p>
        </w:tc>
        <w:tc>
          <w:tcPr>
            <w:tcW w:w="3764" w:type="dxa"/>
            <w:shd w:val="clear" w:color="auto" w:fill="FFFFFF" w:themeFill="background1"/>
            <w:vAlign w:val="center"/>
          </w:tcPr>
          <w:p w:rsidR="0078072B" w:rsidRPr="007578D8" w:rsidP="0066072E" w14:paraId="31D003A0" w14:textId="77777777">
            <w:r>
              <w:t xml:space="preserve">Revised issue title from </w:t>
            </w:r>
            <w:r w:rsidRPr="00C16B05">
              <w:rPr>
                <w:i/>
                <w:iCs/>
              </w:rPr>
              <w:t>Effects on terrestrial resources (non-cooling system impacts)</w:t>
            </w:r>
            <w:r>
              <w:t xml:space="preserve"> and scope of issues and resources considered in the finding</w:t>
            </w:r>
          </w:p>
        </w:tc>
      </w:tr>
      <w:tr w14:paraId="78EB3C51" w14:textId="77777777" w:rsidTr="0066072E">
        <w:tblPrEx>
          <w:tblW w:w="0" w:type="auto"/>
          <w:jc w:val="center"/>
          <w:tblLook w:val="04A0"/>
        </w:tblPrEx>
        <w:trPr>
          <w:cantSplit/>
          <w:trHeight w:val="431"/>
          <w:jc w:val="center"/>
        </w:trPr>
        <w:tc>
          <w:tcPr>
            <w:tcW w:w="879" w:type="dxa"/>
            <w:shd w:val="clear" w:color="auto" w:fill="FFFFFF" w:themeFill="background1"/>
            <w:vAlign w:val="center"/>
          </w:tcPr>
          <w:p w:rsidR="0078072B" w:rsidRPr="00D578F9" w:rsidP="0066072E" w14:paraId="5B878ABA" w14:textId="77777777">
            <w:pPr>
              <w:jc w:val="center"/>
            </w:pPr>
            <w:r>
              <w:t>28</w:t>
            </w:r>
          </w:p>
        </w:tc>
        <w:tc>
          <w:tcPr>
            <w:tcW w:w="3072" w:type="dxa"/>
            <w:shd w:val="clear" w:color="auto" w:fill="FFFFFF" w:themeFill="background1"/>
            <w:vAlign w:val="center"/>
          </w:tcPr>
          <w:p w:rsidR="0078072B" w:rsidRPr="00787450" w:rsidP="0066072E" w14:paraId="79E1ED17" w14:textId="77777777">
            <w:r w:rsidRPr="00D578F9">
              <w:t>Exposure of terrestrial organisms to radionuclides</w:t>
            </w:r>
          </w:p>
        </w:tc>
        <w:tc>
          <w:tcPr>
            <w:tcW w:w="1635" w:type="dxa"/>
            <w:shd w:val="clear" w:color="auto" w:fill="FFFFFF" w:themeFill="background1"/>
            <w:vAlign w:val="center"/>
          </w:tcPr>
          <w:p w:rsidR="0078072B" w:rsidRPr="00D578F9" w:rsidP="0066072E" w14:paraId="6B517E4B" w14:textId="77777777">
            <w:pPr>
              <w:jc w:val="center"/>
            </w:pPr>
            <w:r>
              <w:t>1</w:t>
            </w:r>
          </w:p>
        </w:tc>
        <w:tc>
          <w:tcPr>
            <w:tcW w:w="3764" w:type="dxa"/>
            <w:shd w:val="clear" w:color="auto" w:fill="FFFFFF" w:themeFill="background1"/>
            <w:vAlign w:val="center"/>
          </w:tcPr>
          <w:p w:rsidR="0078072B" w:rsidRPr="00D578F9" w:rsidP="0066072E" w14:paraId="3066F5AA" w14:textId="77777777">
            <w:r>
              <w:t>Minor revisions to issue finding for clarity</w:t>
            </w:r>
          </w:p>
        </w:tc>
      </w:tr>
      <w:tr w14:paraId="4DC9FF42" w14:textId="77777777" w:rsidTr="0066072E">
        <w:tblPrEx>
          <w:tblW w:w="0" w:type="auto"/>
          <w:jc w:val="center"/>
          <w:tblLook w:val="04A0"/>
        </w:tblPrEx>
        <w:trPr>
          <w:cantSplit/>
          <w:trHeight w:val="638"/>
          <w:jc w:val="center"/>
        </w:trPr>
        <w:tc>
          <w:tcPr>
            <w:tcW w:w="879" w:type="dxa"/>
            <w:shd w:val="clear" w:color="auto" w:fill="FFFFFF" w:themeFill="background1"/>
            <w:vAlign w:val="center"/>
          </w:tcPr>
          <w:p w:rsidR="0078072B" w:rsidRPr="00281771" w:rsidP="0066072E" w14:paraId="7375ED27" w14:textId="77777777">
            <w:pPr>
              <w:jc w:val="center"/>
            </w:pPr>
            <w:r>
              <w:t>29</w:t>
            </w:r>
          </w:p>
        </w:tc>
        <w:tc>
          <w:tcPr>
            <w:tcW w:w="3072" w:type="dxa"/>
            <w:shd w:val="clear" w:color="auto" w:fill="FFFFFF" w:themeFill="background1"/>
            <w:vAlign w:val="center"/>
          </w:tcPr>
          <w:p w:rsidR="0078072B" w:rsidRPr="00787450" w:rsidP="0066072E" w14:paraId="0E17E995" w14:textId="77777777">
            <w:r w:rsidRPr="00281771">
              <w:t>Cooling system impacts on terrestrial resources (plants with once-through cooling systems or cooling ponds)</w:t>
            </w:r>
          </w:p>
        </w:tc>
        <w:tc>
          <w:tcPr>
            <w:tcW w:w="1635" w:type="dxa"/>
            <w:shd w:val="clear" w:color="auto" w:fill="FFFFFF" w:themeFill="background1"/>
            <w:vAlign w:val="center"/>
          </w:tcPr>
          <w:p w:rsidR="0078072B" w:rsidRPr="00281771" w:rsidP="0066072E" w14:paraId="4668A8B5" w14:textId="77777777">
            <w:pPr>
              <w:jc w:val="center"/>
            </w:pPr>
            <w:r>
              <w:t>1</w:t>
            </w:r>
          </w:p>
        </w:tc>
        <w:tc>
          <w:tcPr>
            <w:tcW w:w="3764" w:type="dxa"/>
            <w:shd w:val="clear" w:color="auto" w:fill="FFFFFF" w:themeFill="background1"/>
            <w:vAlign w:val="center"/>
          </w:tcPr>
          <w:p w:rsidR="0078072B" w:rsidRPr="00281771" w:rsidP="0066072E" w14:paraId="381D0EB5" w14:textId="77777777">
            <w:r>
              <w:t>Revised scope of issues and resources considered in the finding</w:t>
            </w:r>
          </w:p>
        </w:tc>
      </w:tr>
      <w:tr w14:paraId="4F1B0B1E" w14:textId="77777777" w:rsidTr="0066072E">
        <w:tblPrEx>
          <w:tblW w:w="0" w:type="auto"/>
          <w:jc w:val="center"/>
          <w:tblLook w:val="04A0"/>
        </w:tblPrEx>
        <w:trPr>
          <w:cantSplit/>
          <w:trHeight w:val="503"/>
          <w:jc w:val="center"/>
        </w:trPr>
        <w:tc>
          <w:tcPr>
            <w:tcW w:w="879" w:type="dxa"/>
            <w:shd w:val="clear" w:color="auto" w:fill="FFFFFF" w:themeFill="background1"/>
            <w:vAlign w:val="center"/>
          </w:tcPr>
          <w:p w:rsidR="0078072B" w:rsidRPr="00EA412C" w:rsidP="0066072E" w14:paraId="59526815" w14:textId="77777777">
            <w:pPr>
              <w:jc w:val="center"/>
            </w:pPr>
            <w:r>
              <w:t>30</w:t>
            </w:r>
          </w:p>
        </w:tc>
        <w:tc>
          <w:tcPr>
            <w:tcW w:w="3072" w:type="dxa"/>
            <w:shd w:val="clear" w:color="auto" w:fill="FFFFFF" w:themeFill="background1"/>
            <w:vAlign w:val="center"/>
          </w:tcPr>
          <w:p w:rsidR="0078072B" w:rsidRPr="00787450" w:rsidP="0066072E" w14:paraId="496FD70E" w14:textId="77777777">
            <w:r w:rsidRPr="00EA412C">
              <w:t xml:space="preserve">Cooling tower impacts on </w:t>
            </w:r>
            <w:r>
              <w:t>terrestrial plants</w:t>
            </w:r>
          </w:p>
        </w:tc>
        <w:tc>
          <w:tcPr>
            <w:tcW w:w="1635" w:type="dxa"/>
            <w:shd w:val="clear" w:color="auto" w:fill="FFFFFF" w:themeFill="background1"/>
            <w:vAlign w:val="center"/>
          </w:tcPr>
          <w:p w:rsidR="0078072B" w:rsidRPr="00EA412C" w:rsidP="0066072E" w14:paraId="6299FD5D" w14:textId="77777777">
            <w:pPr>
              <w:jc w:val="center"/>
            </w:pPr>
            <w:r>
              <w:t>1</w:t>
            </w:r>
          </w:p>
        </w:tc>
        <w:tc>
          <w:tcPr>
            <w:tcW w:w="3764" w:type="dxa"/>
            <w:shd w:val="clear" w:color="auto" w:fill="FFFFFF" w:themeFill="background1"/>
            <w:vAlign w:val="center"/>
          </w:tcPr>
          <w:p w:rsidR="0078072B" w:rsidRPr="00EA412C" w:rsidP="0066072E" w14:paraId="4899CB5A" w14:textId="77777777">
            <w:r>
              <w:t xml:space="preserve">Revised issue title from </w:t>
            </w:r>
            <w:r w:rsidRPr="008716E5">
              <w:rPr>
                <w:i/>
                <w:iCs/>
              </w:rPr>
              <w:t>Cooling tower impacts on vegetation (plants with cooling towers)</w:t>
            </w:r>
            <w:r>
              <w:t xml:space="preserve"> and scope of issues and resources considered in the finding</w:t>
            </w:r>
          </w:p>
        </w:tc>
      </w:tr>
      <w:tr w14:paraId="19D72CD8" w14:textId="77777777" w:rsidTr="0066072E">
        <w:tblPrEx>
          <w:tblW w:w="0" w:type="auto"/>
          <w:jc w:val="center"/>
          <w:tblLook w:val="04A0"/>
        </w:tblPrEx>
        <w:trPr>
          <w:cantSplit/>
          <w:trHeight w:val="440"/>
          <w:jc w:val="center"/>
        </w:trPr>
        <w:tc>
          <w:tcPr>
            <w:tcW w:w="879" w:type="dxa"/>
            <w:shd w:val="clear" w:color="auto" w:fill="FFFFFF" w:themeFill="background1"/>
            <w:vAlign w:val="center"/>
          </w:tcPr>
          <w:p w:rsidR="0078072B" w:rsidRPr="004954B9" w:rsidP="0066072E" w14:paraId="5B866C6B" w14:textId="77777777">
            <w:pPr>
              <w:jc w:val="center"/>
            </w:pPr>
            <w:r>
              <w:t>31</w:t>
            </w:r>
          </w:p>
        </w:tc>
        <w:tc>
          <w:tcPr>
            <w:tcW w:w="3072" w:type="dxa"/>
            <w:shd w:val="clear" w:color="auto" w:fill="FFFFFF" w:themeFill="background1"/>
            <w:vAlign w:val="center"/>
          </w:tcPr>
          <w:p w:rsidR="0078072B" w:rsidRPr="00787450" w:rsidP="0066072E" w14:paraId="4EFA1BA3" w14:textId="77777777">
            <w:r w:rsidRPr="004954B9">
              <w:t>Bird collisions with plant structures and transmission lines</w:t>
            </w:r>
          </w:p>
        </w:tc>
        <w:tc>
          <w:tcPr>
            <w:tcW w:w="1635" w:type="dxa"/>
            <w:shd w:val="clear" w:color="auto" w:fill="FFFFFF" w:themeFill="background1"/>
            <w:vAlign w:val="center"/>
          </w:tcPr>
          <w:p w:rsidR="0078072B" w:rsidRPr="004954B9" w:rsidP="0066072E" w14:paraId="6C032317" w14:textId="77777777">
            <w:pPr>
              <w:jc w:val="center"/>
            </w:pPr>
            <w:r>
              <w:t>1</w:t>
            </w:r>
          </w:p>
        </w:tc>
        <w:tc>
          <w:tcPr>
            <w:tcW w:w="3764" w:type="dxa"/>
            <w:shd w:val="clear" w:color="auto" w:fill="FFFFFF" w:themeFill="background1"/>
            <w:vAlign w:val="center"/>
          </w:tcPr>
          <w:p w:rsidR="0078072B" w:rsidRPr="004954B9" w:rsidP="0066072E" w14:paraId="4F661241" w14:textId="77777777">
            <w:r>
              <w:t>Minor revisions to issue finding for clarity</w:t>
            </w:r>
          </w:p>
        </w:tc>
      </w:tr>
      <w:tr w14:paraId="61ED4110" w14:textId="77777777" w:rsidTr="0066072E">
        <w:tblPrEx>
          <w:tblW w:w="0" w:type="auto"/>
          <w:jc w:val="center"/>
          <w:tblLook w:val="04A0"/>
        </w:tblPrEx>
        <w:trPr>
          <w:cantSplit/>
          <w:trHeight w:val="998"/>
          <w:jc w:val="center"/>
        </w:trPr>
        <w:tc>
          <w:tcPr>
            <w:tcW w:w="879" w:type="dxa"/>
            <w:shd w:val="clear" w:color="auto" w:fill="FFFFFF" w:themeFill="background1"/>
            <w:vAlign w:val="center"/>
          </w:tcPr>
          <w:p w:rsidR="0078072B" w:rsidRPr="002B2364" w:rsidP="0066072E" w14:paraId="6EE01D27" w14:textId="77777777">
            <w:pPr>
              <w:jc w:val="center"/>
            </w:pPr>
            <w:r>
              <w:t>32</w:t>
            </w:r>
          </w:p>
        </w:tc>
        <w:tc>
          <w:tcPr>
            <w:tcW w:w="3072" w:type="dxa"/>
            <w:shd w:val="clear" w:color="auto" w:fill="FFFFFF" w:themeFill="background1"/>
            <w:vAlign w:val="center"/>
          </w:tcPr>
          <w:p w:rsidR="0078072B" w:rsidRPr="00787450" w:rsidP="0066072E" w14:paraId="26CB5456" w14:textId="77777777">
            <w:r w:rsidRPr="002B2364">
              <w:t>Water use conflicts with terrestrial resources (plants with cooling ponds or cooling towers using makeup water from a river)</w:t>
            </w:r>
          </w:p>
        </w:tc>
        <w:tc>
          <w:tcPr>
            <w:tcW w:w="1635" w:type="dxa"/>
            <w:shd w:val="clear" w:color="auto" w:fill="FFFFFF" w:themeFill="background1"/>
            <w:vAlign w:val="center"/>
          </w:tcPr>
          <w:p w:rsidR="0078072B" w:rsidRPr="002B2364" w:rsidP="0066072E" w14:paraId="616F21C2" w14:textId="77777777">
            <w:pPr>
              <w:jc w:val="center"/>
            </w:pPr>
            <w:r>
              <w:t>2</w:t>
            </w:r>
          </w:p>
        </w:tc>
        <w:tc>
          <w:tcPr>
            <w:tcW w:w="3764" w:type="dxa"/>
            <w:shd w:val="clear" w:color="auto" w:fill="FFFFFF" w:themeFill="background1"/>
            <w:vAlign w:val="center"/>
          </w:tcPr>
          <w:p w:rsidR="0078072B" w:rsidRPr="002B2364" w:rsidP="0066072E" w14:paraId="7F6F0A5B" w14:textId="77777777">
            <w:r>
              <w:t>Revised scope of issues and resources considered in the finding</w:t>
            </w:r>
          </w:p>
        </w:tc>
      </w:tr>
      <w:tr w14:paraId="0BAE7CA5" w14:textId="77777777" w:rsidTr="0066072E">
        <w:tblPrEx>
          <w:tblW w:w="0" w:type="auto"/>
          <w:jc w:val="center"/>
          <w:tblLook w:val="04A0"/>
        </w:tblPrEx>
        <w:trPr>
          <w:cantSplit/>
          <w:trHeight w:val="557"/>
          <w:jc w:val="center"/>
        </w:trPr>
        <w:tc>
          <w:tcPr>
            <w:tcW w:w="879" w:type="dxa"/>
            <w:shd w:val="clear" w:color="auto" w:fill="FFFFFF" w:themeFill="background1"/>
            <w:vAlign w:val="center"/>
          </w:tcPr>
          <w:p w:rsidR="0078072B" w:rsidRPr="00A052ED" w:rsidP="0066072E" w14:paraId="65E5F454" w14:textId="77777777">
            <w:pPr>
              <w:jc w:val="center"/>
            </w:pPr>
            <w:r>
              <w:t>33</w:t>
            </w:r>
          </w:p>
        </w:tc>
        <w:tc>
          <w:tcPr>
            <w:tcW w:w="3072" w:type="dxa"/>
            <w:shd w:val="clear" w:color="auto" w:fill="FFFFFF" w:themeFill="background1"/>
            <w:vAlign w:val="center"/>
          </w:tcPr>
          <w:p w:rsidR="0078072B" w:rsidRPr="00787450" w:rsidP="0066072E" w14:paraId="41DB1B79" w14:textId="77777777">
            <w:r w:rsidRPr="00A052ED">
              <w:t xml:space="preserve">Transmission line </w:t>
            </w:r>
            <w:r w:rsidRPr="00916775">
              <w:t xml:space="preserve">right-of-way </w:t>
            </w:r>
            <w:r>
              <w:t>(</w:t>
            </w:r>
            <w:r w:rsidRPr="00A052ED">
              <w:t>ROW</w:t>
            </w:r>
            <w:r>
              <w:t>)</w:t>
            </w:r>
            <w:r w:rsidRPr="00A052ED">
              <w:t xml:space="preserve"> management impacts on terrestrial resources</w:t>
            </w:r>
          </w:p>
        </w:tc>
        <w:tc>
          <w:tcPr>
            <w:tcW w:w="1635" w:type="dxa"/>
            <w:shd w:val="clear" w:color="auto" w:fill="FFFFFF" w:themeFill="background1"/>
            <w:vAlign w:val="center"/>
          </w:tcPr>
          <w:p w:rsidR="0078072B" w:rsidRPr="00A052ED" w:rsidP="0066072E" w14:paraId="0DB9CC73" w14:textId="77777777">
            <w:pPr>
              <w:jc w:val="center"/>
            </w:pPr>
            <w:r>
              <w:t>1</w:t>
            </w:r>
          </w:p>
        </w:tc>
        <w:tc>
          <w:tcPr>
            <w:tcW w:w="3764" w:type="dxa"/>
            <w:shd w:val="clear" w:color="auto" w:fill="FFFFFF" w:themeFill="background1"/>
            <w:vAlign w:val="center"/>
          </w:tcPr>
          <w:p w:rsidR="0078072B" w:rsidRPr="00A052ED" w:rsidP="0066072E" w14:paraId="2BE502F0" w14:textId="77777777">
            <w:r>
              <w:t>Revised scope of issues and resources considered in the finding</w:t>
            </w:r>
          </w:p>
        </w:tc>
      </w:tr>
      <w:tr w14:paraId="551BA073" w14:textId="77777777" w:rsidTr="0066072E">
        <w:tblPrEx>
          <w:tblW w:w="0" w:type="auto"/>
          <w:jc w:val="center"/>
          <w:tblLook w:val="04A0"/>
        </w:tblPrEx>
        <w:trPr>
          <w:cantSplit/>
          <w:trHeight w:val="431"/>
          <w:jc w:val="center"/>
        </w:trPr>
        <w:tc>
          <w:tcPr>
            <w:tcW w:w="879" w:type="dxa"/>
            <w:shd w:val="clear" w:color="auto" w:fill="FFFFFF" w:themeFill="background1"/>
            <w:vAlign w:val="center"/>
          </w:tcPr>
          <w:p w:rsidR="0078072B" w:rsidRPr="00A052ED" w:rsidP="0066072E" w14:paraId="3FF0760C" w14:textId="77777777">
            <w:pPr>
              <w:jc w:val="center"/>
            </w:pPr>
            <w:r>
              <w:t>34</w:t>
            </w:r>
          </w:p>
        </w:tc>
        <w:tc>
          <w:tcPr>
            <w:tcW w:w="3072" w:type="dxa"/>
            <w:shd w:val="clear" w:color="auto" w:fill="FFFFFF" w:themeFill="background1"/>
            <w:vAlign w:val="center"/>
          </w:tcPr>
          <w:p w:rsidR="0078072B" w:rsidRPr="00787450" w:rsidP="0066072E" w14:paraId="06ED755E" w14:textId="77777777">
            <w:r w:rsidRPr="00A052ED">
              <w:t>Electromagnetic field</w:t>
            </w:r>
            <w:r>
              <w:t xml:space="preserve"> effect</w:t>
            </w:r>
            <w:r w:rsidRPr="00A052ED">
              <w:t xml:space="preserve">s on </w:t>
            </w:r>
            <w:r>
              <w:t>terrestrial plants and animals</w:t>
            </w:r>
          </w:p>
        </w:tc>
        <w:tc>
          <w:tcPr>
            <w:tcW w:w="1635" w:type="dxa"/>
            <w:shd w:val="clear" w:color="auto" w:fill="FFFFFF" w:themeFill="background1"/>
            <w:vAlign w:val="center"/>
          </w:tcPr>
          <w:p w:rsidR="0078072B" w:rsidRPr="00A052ED" w:rsidP="0066072E" w14:paraId="5EBC43CE" w14:textId="77777777">
            <w:pPr>
              <w:jc w:val="center"/>
            </w:pPr>
            <w:r>
              <w:t>1</w:t>
            </w:r>
          </w:p>
        </w:tc>
        <w:tc>
          <w:tcPr>
            <w:tcW w:w="3764" w:type="dxa"/>
            <w:shd w:val="clear" w:color="auto" w:fill="FFFFFF" w:themeFill="background1"/>
            <w:vAlign w:val="center"/>
          </w:tcPr>
          <w:p w:rsidR="0078072B" w:rsidRPr="00A052ED" w:rsidP="0066072E" w14:paraId="77821990" w14:textId="77777777">
            <w:r>
              <w:t xml:space="preserve">Revised issue title from </w:t>
            </w:r>
            <w:r>
              <w:rPr>
                <w:i/>
                <w:iCs/>
              </w:rPr>
              <w:t>Electromagnetic fields on flora and fauna (plants, agricultural crops, honeybees, wildlife, livestock)</w:t>
            </w:r>
            <w:r>
              <w:t xml:space="preserve"> and scope of issues and resources considered in the finding</w:t>
            </w:r>
          </w:p>
        </w:tc>
      </w:tr>
      <w:tr w14:paraId="02ECCC7D" w14:textId="77777777" w:rsidTr="0066072E">
        <w:tblPrEx>
          <w:tblW w:w="0" w:type="auto"/>
          <w:jc w:val="center"/>
          <w:tblLook w:val="04A0"/>
        </w:tblPrEx>
        <w:trPr>
          <w:cantSplit/>
          <w:trHeight w:val="332"/>
          <w:jc w:val="center"/>
        </w:trPr>
        <w:tc>
          <w:tcPr>
            <w:tcW w:w="9350" w:type="dxa"/>
            <w:gridSpan w:val="4"/>
            <w:shd w:val="clear" w:color="auto" w:fill="D9D9D9" w:themeFill="background1" w:themeFillShade="D9"/>
            <w:vAlign w:val="center"/>
          </w:tcPr>
          <w:p w:rsidR="0078072B" w:rsidRPr="00DB0B9E" w:rsidP="0066072E" w14:paraId="1FE72E6D" w14:textId="77777777">
            <w:pPr>
              <w:keepNext/>
              <w:rPr>
                <w:b/>
                <w:i/>
                <w:iCs/>
              </w:rPr>
            </w:pPr>
            <w:r w:rsidRPr="00DB0B9E">
              <w:rPr>
                <w:b/>
                <w:i/>
                <w:iCs/>
              </w:rPr>
              <w:t>Aquatic Resources</w:t>
            </w:r>
          </w:p>
        </w:tc>
      </w:tr>
      <w:tr w14:paraId="7EBC5205" w14:textId="77777777" w:rsidTr="0066072E">
        <w:tblPrEx>
          <w:tblW w:w="0" w:type="auto"/>
          <w:jc w:val="center"/>
          <w:tblLook w:val="04A0"/>
        </w:tblPrEx>
        <w:trPr>
          <w:cantSplit/>
          <w:trHeight w:val="827"/>
          <w:jc w:val="center"/>
        </w:trPr>
        <w:tc>
          <w:tcPr>
            <w:tcW w:w="879" w:type="dxa"/>
            <w:shd w:val="clear" w:color="auto" w:fill="auto"/>
            <w:vAlign w:val="center"/>
          </w:tcPr>
          <w:p w:rsidR="0078072B" w:rsidRPr="00082042" w:rsidP="0066072E" w14:paraId="516D966D" w14:textId="77777777">
            <w:pPr>
              <w:keepNext/>
              <w:jc w:val="center"/>
            </w:pPr>
            <w:r w:rsidRPr="00082042">
              <w:t>3</w:t>
            </w:r>
            <w:r>
              <w:t>5</w:t>
            </w:r>
          </w:p>
        </w:tc>
        <w:tc>
          <w:tcPr>
            <w:tcW w:w="3072" w:type="dxa"/>
            <w:shd w:val="clear" w:color="auto" w:fill="auto"/>
            <w:vAlign w:val="center"/>
          </w:tcPr>
          <w:p w:rsidR="0078072B" w:rsidRPr="00082042" w:rsidP="0066072E" w14:paraId="7430A438" w14:textId="77777777">
            <w:pPr>
              <w:keepNext/>
            </w:pPr>
            <w:r w:rsidRPr="00082042">
              <w:t>Impingement mortality and entrainment of aquatic organisms (plants with once</w:t>
            </w:r>
            <w:r>
              <w:noBreakHyphen/>
            </w:r>
            <w:r w:rsidRPr="00082042">
              <w:t>through cooling systems or cooling ponds)</w:t>
            </w:r>
          </w:p>
        </w:tc>
        <w:tc>
          <w:tcPr>
            <w:tcW w:w="1635" w:type="dxa"/>
            <w:shd w:val="clear" w:color="auto" w:fill="auto"/>
            <w:vAlign w:val="center"/>
          </w:tcPr>
          <w:p w:rsidR="0078072B" w:rsidRPr="00082042" w:rsidP="0066072E" w14:paraId="0918FA46" w14:textId="77777777">
            <w:pPr>
              <w:keepNext/>
              <w:jc w:val="center"/>
            </w:pPr>
            <w:r w:rsidRPr="00082042">
              <w:t>2</w:t>
            </w:r>
          </w:p>
        </w:tc>
        <w:tc>
          <w:tcPr>
            <w:tcW w:w="3764" w:type="dxa"/>
            <w:shd w:val="clear" w:color="auto" w:fill="auto"/>
            <w:vAlign w:val="center"/>
          </w:tcPr>
          <w:p w:rsidR="0078072B" w:rsidRPr="00082042" w:rsidP="0066072E" w14:paraId="1E4601B5" w14:textId="77777777">
            <w:pPr>
              <w:keepNext/>
            </w:pPr>
            <w:r>
              <w:rPr>
                <w:szCs w:val="20"/>
              </w:rPr>
              <w:t xml:space="preserve">Revised issue title </w:t>
            </w:r>
            <w:r w:rsidRPr="00082042">
              <w:rPr>
                <w:szCs w:val="20"/>
              </w:rPr>
              <w:t xml:space="preserve">from </w:t>
            </w:r>
            <w:r w:rsidRPr="00082042">
              <w:rPr>
                <w:i/>
                <w:iCs/>
                <w:szCs w:val="20"/>
              </w:rPr>
              <w:t>Impingement and entrainment of aquatic organisms (plants with once-through cooling systems or cooling ponds)</w:t>
            </w:r>
            <w:r w:rsidRPr="00082042">
              <w:rPr>
                <w:szCs w:val="20"/>
              </w:rPr>
              <w:t xml:space="preserve"> and </w:t>
            </w:r>
            <w:r>
              <w:rPr>
                <w:szCs w:val="20"/>
              </w:rPr>
              <w:t xml:space="preserve">issue </w:t>
            </w:r>
            <w:r w:rsidRPr="00082042">
              <w:rPr>
                <w:szCs w:val="20"/>
              </w:rPr>
              <w:t>findings to reflect revised C</w:t>
            </w:r>
            <w:r>
              <w:rPr>
                <w:szCs w:val="20"/>
              </w:rPr>
              <w:t xml:space="preserve">lean Water Act </w:t>
            </w:r>
            <w:r w:rsidRPr="00082042">
              <w:rPr>
                <w:szCs w:val="20"/>
              </w:rPr>
              <w:t xml:space="preserve">Section 316(b) requirements and to consolidate the impingement component of the Category 1 issue, </w:t>
            </w:r>
            <w:r w:rsidRPr="00082042">
              <w:rPr>
                <w:i/>
                <w:iCs/>
                <w:szCs w:val="20"/>
              </w:rPr>
              <w:t>Losses from predation, parasitism, and disease among organisms exposed to sublethal stresses</w:t>
            </w:r>
          </w:p>
        </w:tc>
      </w:tr>
      <w:tr w14:paraId="378E1EA2" w14:textId="77777777" w:rsidTr="0066072E">
        <w:tblPrEx>
          <w:tblW w:w="0" w:type="auto"/>
          <w:jc w:val="center"/>
          <w:tblLook w:val="04A0"/>
        </w:tblPrEx>
        <w:trPr>
          <w:cantSplit/>
          <w:trHeight w:val="962"/>
          <w:jc w:val="center"/>
        </w:trPr>
        <w:tc>
          <w:tcPr>
            <w:tcW w:w="879" w:type="dxa"/>
            <w:shd w:val="clear" w:color="auto" w:fill="auto"/>
            <w:vAlign w:val="center"/>
          </w:tcPr>
          <w:p w:rsidR="0078072B" w:rsidRPr="00E34A98" w:rsidP="0066072E" w14:paraId="19A37EC8" w14:textId="77777777">
            <w:pPr>
              <w:jc w:val="center"/>
            </w:pPr>
            <w:r w:rsidRPr="00E34A98">
              <w:t>3</w:t>
            </w:r>
            <w:r>
              <w:t>6</w:t>
            </w:r>
          </w:p>
        </w:tc>
        <w:tc>
          <w:tcPr>
            <w:tcW w:w="3072" w:type="dxa"/>
            <w:shd w:val="clear" w:color="auto" w:fill="auto"/>
            <w:vAlign w:val="center"/>
          </w:tcPr>
          <w:p w:rsidR="0078072B" w:rsidRPr="00EF577C" w:rsidP="0066072E" w14:paraId="304386F7" w14:textId="77777777">
            <w:r w:rsidRPr="00EF577C">
              <w:t>Impingement mortality and entrainment of aquatic organisms (plants with cooling towers)</w:t>
            </w:r>
          </w:p>
        </w:tc>
        <w:tc>
          <w:tcPr>
            <w:tcW w:w="1635" w:type="dxa"/>
            <w:shd w:val="clear" w:color="auto" w:fill="auto"/>
            <w:vAlign w:val="center"/>
          </w:tcPr>
          <w:p w:rsidR="0078072B" w:rsidRPr="00E34A98" w:rsidP="0066072E" w14:paraId="299D7013" w14:textId="77777777">
            <w:pPr>
              <w:jc w:val="center"/>
            </w:pPr>
            <w:r w:rsidRPr="00E34A98">
              <w:t>1</w:t>
            </w:r>
          </w:p>
        </w:tc>
        <w:tc>
          <w:tcPr>
            <w:tcW w:w="3764" w:type="dxa"/>
            <w:shd w:val="clear" w:color="auto" w:fill="auto"/>
            <w:vAlign w:val="center"/>
          </w:tcPr>
          <w:p w:rsidR="0078072B" w:rsidRPr="00525D39" w:rsidP="0066072E" w14:paraId="17E1412D" w14:textId="77777777">
            <w:pPr>
              <w:keepNext/>
              <w:rPr>
                <w:i/>
                <w:iCs/>
              </w:rPr>
            </w:pPr>
            <w:r w:rsidRPr="00645E42">
              <w:rPr>
                <w:szCs w:val="20"/>
              </w:rPr>
              <w:t xml:space="preserve">Revised </w:t>
            </w:r>
            <w:r>
              <w:rPr>
                <w:szCs w:val="20"/>
              </w:rPr>
              <w:t xml:space="preserve">issue </w:t>
            </w:r>
            <w:r w:rsidRPr="00645E42">
              <w:rPr>
                <w:szCs w:val="20"/>
              </w:rPr>
              <w:t>title from</w:t>
            </w:r>
            <w:r>
              <w:rPr>
                <w:i/>
                <w:iCs/>
                <w:szCs w:val="20"/>
              </w:rPr>
              <w:t xml:space="preserve"> Impingement and entrainment of aquatic organisms (plants with cooling towers)</w:t>
            </w:r>
            <w:r>
              <w:rPr>
                <w:szCs w:val="20"/>
              </w:rPr>
              <w:t xml:space="preserve"> </w:t>
            </w:r>
            <w:r w:rsidRPr="00082042">
              <w:rPr>
                <w:szCs w:val="20"/>
              </w:rPr>
              <w:t xml:space="preserve">and </w:t>
            </w:r>
            <w:r>
              <w:rPr>
                <w:szCs w:val="20"/>
              </w:rPr>
              <w:t xml:space="preserve">issue </w:t>
            </w:r>
            <w:r w:rsidRPr="00082042">
              <w:rPr>
                <w:szCs w:val="20"/>
              </w:rPr>
              <w:t>findings to reflect revised C</w:t>
            </w:r>
            <w:r>
              <w:rPr>
                <w:szCs w:val="20"/>
              </w:rPr>
              <w:t xml:space="preserve">lean Water Act </w:t>
            </w:r>
            <w:r w:rsidRPr="00082042">
              <w:rPr>
                <w:szCs w:val="20"/>
              </w:rPr>
              <w:t xml:space="preserve">Section 316(b) requirements and to consolidate the impingement component of the Category 1 issue, </w:t>
            </w:r>
            <w:r w:rsidRPr="00082042">
              <w:rPr>
                <w:i/>
                <w:iCs/>
                <w:szCs w:val="20"/>
              </w:rPr>
              <w:t>Losses from predation, parasitism, and disease among organisms exposed to sublethal stresses</w:t>
            </w:r>
          </w:p>
        </w:tc>
      </w:tr>
      <w:tr w14:paraId="7175C79A" w14:textId="77777777" w:rsidTr="0066072E">
        <w:tblPrEx>
          <w:tblW w:w="0" w:type="auto"/>
          <w:jc w:val="center"/>
          <w:tblLook w:val="04A0"/>
        </w:tblPrEx>
        <w:trPr>
          <w:cantSplit/>
          <w:trHeight w:val="557"/>
          <w:jc w:val="center"/>
        </w:trPr>
        <w:tc>
          <w:tcPr>
            <w:tcW w:w="879" w:type="dxa"/>
            <w:shd w:val="clear" w:color="auto" w:fill="FFFFFF" w:themeFill="background1"/>
            <w:vAlign w:val="center"/>
          </w:tcPr>
          <w:p w:rsidR="0078072B" w:rsidRPr="00DD14C1" w:rsidP="0066072E" w14:paraId="623A0B09" w14:textId="77777777">
            <w:pPr>
              <w:jc w:val="center"/>
            </w:pPr>
            <w:r>
              <w:t>37</w:t>
            </w:r>
          </w:p>
        </w:tc>
        <w:tc>
          <w:tcPr>
            <w:tcW w:w="3072" w:type="dxa"/>
            <w:shd w:val="clear" w:color="auto" w:fill="FFFFFF" w:themeFill="background1"/>
            <w:vAlign w:val="center"/>
          </w:tcPr>
          <w:p w:rsidR="0078072B" w:rsidRPr="00787450" w:rsidP="0066072E" w14:paraId="67C63E78" w14:textId="77777777">
            <w:r w:rsidRPr="00DD14C1">
              <w:t>Entrainment of phytoplankton and zooplankton</w:t>
            </w:r>
          </w:p>
        </w:tc>
        <w:tc>
          <w:tcPr>
            <w:tcW w:w="1635" w:type="dxa"/>
            <w:shd w:val="clear" w:color="auto" w:fill="FFFFFF" w:themeFill="background1"/>
            <w:vAlign w:val="center"/>
          </w:tcPr>
          <w:p w:rsidR="0078072B" w:rsidRPr="00DD14C1" w:rsidP="0066072E" w14:paraId="3B577881" w14:textId="77777777">
            <w:pPr>
              <w:jc w:val="center"/>
            </w:pPr>
            <w:r>
              <w:t>1</w:t>
            </w:r>
          </w:p>
        </w:tc>
        <w:tc>
          <w:tcPr>
            <w:tcW w:w="3764" w:type="dxa"/>
            <w:shd w:val="clear" w:color="auto" w:fill="FFFFFF" w:themeFill="background1"/>
            <w:vAlign w:val="center"/>
          </w:tcPr>
          <w:p w:rsidR="0078072B" w:rsidRPr="00DD14C1" w:rsidP="0066072E" w14:paraId="25B6D0D2" w14:textId="77777777">
            <w:r>
              <w:t xml:space="preserve">Revised issue title from </w:t>
            </w:r>
            <w:r w:rsidRPr="0088629C">
              <w:rPr>
                <w:i/>
                <w:iCs/>
              </w:rPr>
              <w:t>Entrainment of phytoplankton and zooplankton (all plants)</w:t>
            </w:r>
            <w:r>
              <w:t xml:space="preserve"> and scope of issues and resources considered in the finding</w:t>
            </w:r>
          </w:p>
        </w:tc>
      </w:tr>
      <w:tr w14:paraId="6F9404AC" w14:textId="77777777" w:rsidTr="0066072E">
        <w:tblPrEx>
          <w:tblW w:w="0" w:type="auto"/>
          <w:jc w:val="center"/>
          <w:tblLook w:val="04A0"/>
        </w:tblPrEx>
        <w:trPr>
          <w:cantSplit/>
          <w:trHeight w:val="791"/>
          <w:jc w:val="center"/>
        </w:trPr>
        <w:tc>
          <w:tcPr>
            <w:tcW w:w="879" w:type="dxa"/>
            <w:shd w:val="clear" w:color="auto" w:fill="FFFFFF" w:themeFill="background1"/>
            <w:vAlign w:val="center"/>
          </w:tcPr>
          <w:p w:rsidR="0078072B" w:rsidRPr="002167B8" w:rsidP="0066072E" w14:paraId="4E774B71" w14:textId="77777777">
            <w:pPr>
              <w:jc w:val="center"/>
            </w:pPr>
            <w:r>
              <w:t>38</w:t>
            </w:r>
          </w:p>
        </w:tc>
        <w:tc>
          <w:tcPr>
            <w:tcW w:w="3072" w:type="dxa"/>
            <w:shd w:val="clear" w:color="auto" w:fill="FFFFFF" w:themeFill="background1"/>
            <w:vAlign w:val="center"/>
          </w:tcPr>
          <w:p w:rsidR="0078072B" w:rsidRPr="00BF51EC" w:rsidP="0066072E" w14:paraId="5196087D" w14:textId="77777777">
            <w:r w:rsidRPr="002167B8">
              <w:t>Effects of thermal effluents on aquatic organisms (plants with once-through cooling systems or cooling ponds)</w:t>
            </w:r>
          </w:p>
        </w:tc>
        <w:tc>
          <w:tcPr>
            <w:tcW w:w="1635" w:type="dxa"/>
            <w:shd w:val="clear" w:color="auto" w:fill="FFFFFF" w:themeFill="background1"/>
            <w:vAlign w:val="center"/>
          </w:tcPr>
          <w:p w:rsidR="0078072B" w:rsidRPr="002167B8" w:rsidP="0066072E" w14:paraId="03D08678" w14:textId="77777777">
            <w:pPr>
              <w:jc w:val="center"/>
            </w:pPr>
            <w:r>
              <w:t>2</w:t>
            </w:r>
          </w:p>
        </w:tc>
        <w:tc>
          <w:tcPr>
            <w:tcW w:w="3764" w:type="dxa"/>
            <w:shd w:val="clear" w:color="auto" w:fill="FFFFFF" w:themeFill="background1"/>
            <w:vAlign w:val="center"/>
          </w:tcPr>
          <w:p w:rsidR="0078072B" w:rsidRPr="005567A5" w:rsidP="0066072E" w14:paraId="71C36203" w14:textId="77777777">
            <w:r>
              <w:t xml:space="preserve">Revised issue title from </w:t>
            </w:r>
            <w:r>
              <w:rPr>
                <w:i/>
                <w:iCs/>
              </w:rPr>
              <w:t>Thermal impacts on aquatic organisms (plants with once-through cooling systems or cooling ponds)</w:t>
            </w:r>
            <w:r>
              <w:t xml:space="preserve"> and scope of issues and resources considered in the finding</w:t>
            </w:r>
          </w:p>
        </w:tc>
      </w:tr>
      <w:tr w14:paraId="74859966" w14:textId="77777777" w:rsidTr="0066072E">
        <w:tblPrEx>
          <w:tblW w:w="0" w:type="auto"/>
          <w:jc w:val="center"/>
          <w:tblLook w:val="04A0"/>
        </w:tblPrEx>
        <w:trPr>
          <w:cantSplit/>
          <w:trHeight w:val="620"/>
          <w:jc w:val="center"/>
        </w:trPr>
        <w:tc>
          <w:tcPr>
            <w:tcW w:w="879" w:type="dxa"/>
            <w:shd w:val="clear" w:color="auto" w:fill="FFFFFF" w:themeFill="background1"/>
            <w:vAlign w:val="center"/>
          </w:tcPr>
          <w:p w:rsidR="0078072B" w:rsidP="0066072E" w14:paraId="1C8436CB" w14:textId="77777777">
            <w:pPr>
              <w:jc w:val="center"/>
            </w:pPr>
            <w:r>
              <w:t>39</w:t>
            </w:r>
          </w:p>
        </w:tc>
        <w:tc>
          <w:tcPr>
            <w:tcW w:w="3072" w:type="dxa"/>
            <w:shd w:val="clear" w:color="auto" w:fill="FFFFFF" w:themeFill="background1"/>
            <w:vAlign w:val="center"/>
          </w:tcPr>
          <w:p w:rsidR="0078072B" w:rsidRPr="00787450" w:rsidP="0066072E" w14:paraId="1736CA69" w14:textId="77777777">
            <w:r>
              <w:t>Effects of t</w:t>
            </w:r>
            <w:r w:rsidRPr="00D855F3">
              <w:t xml:space="preserve">hermal </w:t>
            </w:r>
            <w:r>
              <w:t xml:space="preserve">effluents </w:t>
            </w:r>
            <w:r w:rsidRPr="00D855F3">
              <w:t>on aquatic organisms (plants with cooling towers)</w:t>
            </w:r>
          </w:p>
        </w:tc>
        <w:tc>
          <w:tcPr>
            <w:tcW w:w="1635" w:type="dxa"/>
            <w:shd w:val="clear" w:color="auto" w:fill="FFFFFF" w:themeFill="background1"/>
            <w:vAlign w:val="center"/>
          </w:tcPr>
          <w:p w:rsidR="0078072B" w:rsidP="0066072E" w14:paraId="2BFFEE9E" w14:textId="77777777">
            <w:pPr>
              <w:jc w:val="center"/>
            </w:pPr>
            <w:r>
              <w:t>1</w:t>
            </w:r>
          </w:p>
        </w:tc>
        <w:tc>
          <w:tcPr>
            <w:tcW w:w="3764" w:type="dxa"/>
            <w:shd w:val="clear" w:color="auto" w:fill="FFFFFF" w:themeFill="background1"/>
            <w:vAlign w:val="center"/>
          </w:tcPr>
          <w:p w:rsidR="0078072B" w:rsidP="0066072E" w14:paraId="14720063" w14:textId="77777777">
            <w:r>
              <w:t xml:space="preserve">Revised issue title from </w:t>
            </w:r>
            <w:r>
              <w:rPr>
                <w:i/>
                <w:iCs/>
              </w:rPr>
              <w:t>Thermal impacts on aquatic organisms (plants with cooling towers)</w:t>
            </w:r>
            <w:r>
              <w:t xml:space="preserve"> and scope of issues and resources considered in the finding</w:t>
            </w:r>
          </w:p>
        </w:tc>
      </w:tr>
      <w:tr w14:paraId="2A1B29E5" w14:textId="77777777" w:rsidTr="0066072E">
        <w:tblPrEx>
          <w:tblW w:w="0" w:type="auto"/>
          <w:jc w:val="center"/>
          <w:tblLook w:val="04A0"/>
        </w:tblPrEx>
        <w:trPr>
          <w:cantSplit/>
          <w:trHeight w:val="1528"/>
          <w:jc w:val="center"/>
        </w:trPr>
        <w:tc>
          <w:tcPr>
            <w:tcW w:w="879" w:type="dxa"/>
            <w:shd w:val="clear" w:color="auto" w:fill="auto"/>
            <w:vAlign w:val="center"/>
          </w:tcPr>
          <w:p w:rsidR="0078072B" w:rsidRPr="004D7FD0" w:rsidP="0066072E" w14:paraId="445ACA2D" w14:textId="77777777">
            <w:pPr>
              <w:jc w:val="center"/>
            </w:pPr>
            <w:r w:rsidRPr="004D7FD0">
              <w:t>4</w:t>
            </w:r>
            <w:r>
              <w:t>0</w:t>
            </w:r>
          </w:p>
        </w:tc>
        <w:tc>
          <w:tcPr>
            <w:tcW w:w="3072" w:type="dxa"/>
            <w:shd w:val="clear" w:color="auto" w:fill="auto"/>
            <w:vAlign w:val="center"/>
          </w:tcPr>
          <w:p w:rsidR="0078072B" w:rsidRPr="00525D39" w:rsidP="0066072E" w14:paraId="6A0AFE61" w14:textId="77777777">
            <w:r w:rsidRPr="00525D39">
              <w:t>Infrequently reported effects of thermal effluents</w:t>
            </w:r>
          </w:p>
        </w:tc>
        <w:tc>
          <w:tcPr>
            <w:tcW w:w="1635" w:type="dxa"/>
            <w:shd w:val="clear" w:color="auto" w:fill="auto"/>
            <w:vAlign w:val="center"/>
          </w:tcPr>
          <w:p w:rsidR="0078072B" w:rsidRPr="004D7FD0" w:rsidP="0066072E" w14:paraId="42CDCDDE" w14:textId="77777777">
            <w:pPr>
              <w:jc w:val="center"/>
            </w:pPr>
            <w:r w:rsidRPr="004D7FD0">
              <w:t>1</w:t>
            </w:r>
          </w:p>
        </w:tc>
        <w:tc>
          <w:tcPr>
            <w:tcW w:w="3764" w:type="dxa"/>
            <w:shd w:val="clear" w:color="auto" w:fill="auto"/>
            <w:vAlign w:val="center"/>
          </w:tcPr>
          <w:p w:rsidR="0078072B" w:rsidRPr="00313825" w:rsidP="0066072E" w14:paraId="6C5F9670" w14:textId="4361B8D6">
            <w:r>
              <w:t xml:space="preserve">Revised issue title from </w:t>
            </w:r>
            <w:r>
              <w:rPr>
                <w:i/>
                <w:iCs/>
              </w:rPr>
              <w:t>Infrequently reported thermal impacts (all plants)</w:t>
            </w:r>
            <w:r>
              <w:t xml:space="preserve"> and consolidated </w:t>
            </w:r>
            <w:r w:rsidR="00EC538F">
              <w:t xml:space="preserve">the </w:t>
            </w:r>
            <w:r>
              <w:t xml:space="preserve">Category 1 issue </w:t>
            </w:r>
            <w:r w:rsidRPr="00A53040">
              <w:rPr>
                <w:i/>
                <w:iCs/>
              </w:rPr>
              <w:t xml:space="preserve">Effects of cooling water discharge on dissolved oxygen, gas supersaturation, and eutrophication </w:t>
            </w:r>
            <w:r>
              <w:t xml:space="preserve">and the thermal effluent component of the Category 1 issue, </w:t>
            </w:r>
            <w:r w:rsidRPr="00707DAC">
              <w:rPr>
                <w:i/>
                <w:iCs/>
                <w:szCs w:val="20"/>
              </w:rPr>
              <w:t>Losses from predation, parasitism, and disease among organisms exposed to sublethal stresses</w:t>
            </w:r>
          </w:p>
        </w:tc>
      </w:tr>
      <w:tr w14:paraId="5D99B512" w14:textId="77777777" w:rsidTr="0066072E">
        <w:tblPrEx>
          <w:tblW w:w="0" w:type="auto"/>
          <w:jc w:val="center"/>
          <w:tblLook w:val="04A0"/>
        </w:tblPrEx>
        <w:trPr>
          <w:cantSplit/>
          <w:trHeight w:val="602"/>
          <w:jc w:val="center"/>
        </w:trPr>
        <w:tc>
          <w:tcPr>
            <w:tcW w:w="879" w:type="dxa"/>
            <w:shd w:val="clear" w:color="auto" w:fill="FFFFFF" w:themeFill="background1"/>
            <w:vAlign w:val="center"/>
          </w:tcPr>
          <w:p w:rsidR="0078072B" w:rsidRPr="00E65FB1" w:rsidP="0066072E" w14:paraId="6F22FC8C" w14:textId="77777777">
            <w:pPr>
              <w:jc w:val="center"/>
            </w:pPr>
            <w:r>
              <w:t>41</w:t>
            </w:r>
          </w:p>
        </w:tc>
        <w:tc>
          <w:tcPr>
            <w:tcW w:w="3072" w:type="dxa"/>
            <w:shd w:val="clear" w:color="auto" w:fill="FFFFFF" w:themeFill="background1"/>
            <w:vAlign w:val="center"/>
          </w:tcPr>
          <w:p w:rsidR="0078072B" w:rsidRPr="00787450" w:rsidP="0066072E" w14:paraId="2C3F7634" w14:textId="77777777">
            <w:r w:rsidRPr="00E65FB1">
              <w:t>Effects of nonradiological contaminants on aquatic organisms</w:t>
            </w:r>
          </w:p>
        </w:tc>
        <w:tc>
          <w:tcPr>
            <w:tcW w:w="1635" w:type="dxa"/>
            <w:shd w:val="clear" w:color="auto" w:fill="FFFFFF" w:themeFill="background1"/>
            <w:vAlign w:val="center"/>
          </w:tcPr>
          <w:p w:rsidR="0078072B" w:rsidRPr="00E65FB1" w:rsidP="0066072E" w14:paraId="19A67FBC" w14:textId="77777777">
            <w:pPr>
              <w:jc w:val="center"/>
            </w:pPr>
            <w:r>
              <w:t>1</w:t>
            </w:r>
          </w:p>
        </w:tc>
        <w:tc>
          <w:tcPr>
            <w:tcW w:w="3764" w:type="dxa"/>
            <w:shd w:val="clear" w:color="auto" w:fill="FFFFFF" w:themeFill="background1"/>
            <w:vAlign w:val="center"/>
          </w:tcPr>
          <w:p w:rsidR="0078072B" w:rsidRPr="00E65FB1" w:rsidP="0066072E" w14:paraId="237F16C8" w14:textId="77777777">
            <w:r>
              <w:t>Revised scope of issues and resources considered in the finding</w:t>
            </w:r>
          </w:p>
        </w:tc>
      </w:tr>
      <w:tr w14:paraId="5B4400B6" w14:textId="77777777" w:rsidTr="0066072E">
        <w:tblPrEx>
          <w:tblW w:w="0" w:type="auto"/>
          <w:jc w:val="center"/>
          <w:tblLook w:val="04A0"/>
        </w:tblPrEx>
        <w:trPr>
          <w:cantSplit/>
          <w:trHeight w:val="449"/>
          <w:jc w:val="center"/>
        </w:trPr>
        <w:tc>
          <w:tcPr>
            <w:tcW w:w="879" w:type="dxa"/>
            <w:shd w:val="clear" w:color="auto" w:fill="FFFFFF" w:themeFill="background1"/>
            <w:vAlign w:val="center"/>
          </w:tcPr>
          <w:p w:rsidR="0078072B" w:rsidRPr="001C7F10" w:rsidP="0066072E" w14:paraId="6CC45924" w14:textId="77777777">
            <w:pPr>
              <w:jc w:val="center"/>
            </w:pPr>
            <w:r>
              <w:t>42</w:t>
            </w:r>
          </w:p>
        </w:tc>
        <w:tc>
          <w:tcPr>
            <w:tcW w:w="3072" w:type="dxa"/>
            <w:shd w:val="clear" w:color="auto" w:fill="FFFFFF" w:themeFill="background1"/>
            <w:vAlign w:val="center"/>
          </w:tcPr>
          <w:p w:rsidR="0078072B" w:rsidRPr="00787450" w:rsidP="0066072E" w14:paraId="439C9F9B" w14:textId="77777777">
            <w:r w:rsidRPr="001C7F10">
              <w:t>Exposure of aquatic organisms to radionuclides</w:t>
            </w:r>
          </w:p>
        </w:tc>
        <w:tc>
          <w:tcPr>
            <w:tcW w:w="1635" w:type="dxa"/>
            <w:shd w:val="clear" w:color="auto" w:fill="FFFFFF" w:themeFill="background1"/>
            <w:vAlign w:val="center"/>
          </w:tcPr>
          <w:p w:rsidR="0078072B" w:rsidRPr="001C7F10" w:rsidP="0066072E" w14:paraId="6AA3DBF1" w14:textId="77777777">
            <w:pPr>
              <w:jc w:val="center"/>
            </w:pPr>
            <w:r>
              <w:t>1</w:t>
            </w:r>
          </w:p>
        </w:tc>
        <w:tc>
          <w:tcPr>
            <w:tcW w:w="3764" w:type="dxa"/>
            <w:shd w:val="clear" w:color="auto" w:fill="FFFFFF" w:themeFill="background1"/>
            <w:vAlign w:val="center"/>
          </w:tcPr>
          <w:p w:rsidR="0078072B" w:rsidRPr="001C7F10" w:rsidP="0066072E" w14:paraId="2B399634" w14:textId="77777777">
            <w:r>
              <w:t>Revised scope of issues and resources considered in the finding</w:t>
            </w:r>
          </w:p>
        </w:tc>
      </w:tr>
      <w:tr w14:paraId="15B0C89B" w14:textId="77777777" w:rsidTr="0066072E">
        <w:tblPrEx>
          <w:tblW w:w="0" w:type="auto"/>
          <w:jc w:val="center"/>
          <w:tblLook w:val="04A0"/>
        </w:tblPrEx>
        <w:trPr>
          <w:cantSplit/>
          <w:trHeight w:val="377"/>
          <w:jc w:val="center"/>
        </w:trPr>
        <w:tc>
          <w:tcPr>
            <w:tcW w:w="879" w:type="dxa"/>
            <w:shd w:val="clear" w:color="auto" w:fill="FFFFFF" w:themeFill="background1"/>
            <w:vAlign w:val="center"/>
          </w:tcPr>
          <w:p w:rsidR="0078072B" w:rsidRPr="00A04793" w:rsidP="0066072E" w14:paraId="5ADC2C51" w14:textId="77777777">
            <w:pPr>
              <w:jc w:val="center"/>
            </w:pPr>
            <w:r>
              <w:t>43</w:t>
            </w:r>
          </w:p>
        </w:tc>
        <w:tc>
          <w:tcPr>
            <w:tcW w:w="3072" w:type="dxa"/>
            <w:shd w:val="clear" w:color="auto" w:fill="FFFFFF" w:themeFill="background1"/>
            <w:vAlign w:val="center"/>
          </w:tcPr>
          <w:p w:rsidR="0078072B" w:rsidRPr="00787450" w:rsidP="0066072E" w14:paraId="4B9D1656" w14:textId="77777777">
            <w:r w:rsidRPr="00A04793">
              <w:t xml:space="preserve">Effects of dredging on aquatic </w:t>
            </w:r>
            <w:r>
              <w:t>resources</w:t>
            </w:r>
          </w:p>
        </w:tc>
        <w:tc>
          <w:tcPr>
            <w:tcW w:w="1635" w:type="dxa"/>
            <w:shd w:val="clear" w:color="auto" w:fill="FFFFFF" w:themeFill="background1"/>
            <w:vAlign w:val="center"/>
          </w:tcPr>
          <w:p w:rsidR="0078072B" w:rsidRPr="00A04793" w:rsidP="0066072E" w14:paraId="646EC532" w14:textId="77777777">
            <w:pPr>
              <w:jc w:val="center"/>
            </w:pPr>
            <w:r>
              <w:t>1</w:t>
            </w:r>
          </w:p>
        </w:tc>
        <w:tc>
          <w:tcPr>
            <w:tcW w:w="3764" w:type="dxa"/>
            <w:shd w:val="clear" w:color="auto" w:fill="FFFFFF" w:themeFill="background1"/>
            <w:vAlign w:val="center"/>
          </w:tcPr>
          <w:p w:rsidR="0078072B" w:rsidRPr="00335A34" w:rsidP="0066072E" w14:paraId="088FF4D8" w14:textId="77777777">
            <w:r>
              <w:t xml:space="preserve">Revised issue title from </w:t>
            </w:r>
            <w:r>
              <w:rPr>
                <w:i/>
                <w:iCs/>
              </w:rPr>
              <w:t>Effects of dredging on aquatic organisms</w:t>
            </w:r>
            <w:r>
              <w:t xml:space="preserve"> and scope of issues and resources considered in the finding</w:t>
            </w:r>
          </w:p>
        </w:tc>
      </w:tr>
      <w:tr w14:paraId="3F8531BF" w14:textId="77777777" w:rsidTr="0066072E">
        <w:tblPrEx>
          <w:tblW w:w="0" w:type="auto"/>
          <w:jc w:val="center"/>
          <w:tblLook w:val="04A0"/>
        </w:tblPrEx>
        <w:trPr>
          <w:cantSplit/>
          <w:trHeight w:val="809"/>
          <w:jc w:val="center"/>
        </w:trPr>
        <w:tc>
          <w:tcPr>
            <w:tcW w:w="879" w:type="dxa"/>
            <w:shd w:val="clear" w:color="auto" w:fill="FFFFFF" w:themeFill="background1"/>
            <w:vAlign w:val="center"/>
          </w:tcPr>
          <w:p w:rsidR="0078072B" w:rsidRPr="00A04793" w:rsidP="0066072E" w14:paraId="3A0C9662" w14:textId="77777777">
            <w:pPr>
              <w:jc w:val="center"/>
            </w:pPr>
            <w:r>
              <w:t>44</w:t>
            </w:r>
          </w:p>
        </w:tc>
        <w:tc>
          <w:tcPr>
            <w:tcW w:w="3072" w:type="dxa"/>
            <w:shd w:val="clear" w:color="auto" w:fill="FFFFFF" w:themeFill="background1"/>
            <w:vAlign w:val="center"/>
          </w:tcPr>
          <w:p w:rsidR="0078072B" w:rsidRPr="00787450" w:rsidP="0066072E" w14:paraId="0FF210A9" w14:textId="77777777">
            <w:r w:rsidRPr="00A04793">
              <w:t>Water use conflicts with aquatic resources (plants with cooling ponds or cooling towers using makeup water from a river)</w:t>
            </w:r>
          </w:p>
        </w:tc>
        <w:tc>
          <w:tcPr>
            <w:tcW w:w="1635" w:type="dxa"/>
            <w:shd w:val="clear" w:color="auto" w:fill="FFFFFF" w:themeFill="background1"/>
            <w:vAlign w:val="center"/>
          </w:tcPr>
          <w:p w:rsidR="0078072B" w:rsidRPr="00A04793" w:rsidP="0066072E" w14:paraId="5475DBD1" w14:textId="77777777">
            <w:pPr>
              <w:jc w:val="center"/>
            </w:pPr>
            <w:r>
              <w:t>2</w:t>
            </w:r>
          </w:p>
        </w:tc>
        <w:tc>
          <w:tcPr>
            <w:tcW w:w="3764" w:type="dxa"/>
            <w:shd w:val="clear" w:color="auto" w:fill="FFFFFF" w:themeFill="background1"/>
            <w:vAlign w:val="center"/>
          </w:tcPr>
          <w:p w:rsidR="0078072B" w:rsidRPr="00A04793" w:rsidP="0066072E" w14:paraId="487EB226" w14:textId="77777777">
            <w:r>
              <w:t>Revised scope of issues and resources considered in the finding</w:t>
            </w:r>
          </w:p>
        </w:tc>
      </w:tr>
      <w:tr w14:paraId="13BA9D84" w14:textId="77777777" w:rsidTr="0066072E">
        <w:tblPrEx>
          <w:tblW w:w="0" w:type="auto"/>
          <w:jc w:val="center"/>
          <w:tblLook w:val="04A0"/>
        </w:tblPrEx>
        <w:trPr>
          <w:cantSplit/>
          <w:trHeight w:val="494"/>
          <w:jc w:val="center"/>
        </w:trPr>
        <w:tc>
          <w:tcPr>
            <w:tcW w:w="879" w:type="dxa"/>
            <w:shd w:val="clear" w:color="auto" w:fill="FFFFFF" w:themeFill="background1"/>
            <w:vAlign w:val="center"/>
          </w:tcPr>
          <w:p w:rsidR="0078072B" w:rsidP="0066072E" w14:paraId="73D25356" w14:textId="77777777">
            <w:pPr>
              <w:jc w:val="center"/>
            </w:pPr>
            <w:r>
              <w:t>45</w:t>
            </w:r>
          </w:p>
        </w:tc>
        <w:tc>
          <w:tcPr>
            <w:tcW w:w="3072" w:type="dxa"/>
            <w:shd w:val="clear" w:color="auto" w:fill="FFFFFF" w:themeFill="background1"/>
            <w:vAlign w:val="center"/>
          </w:tcPr>
          <w:p w:rsidR="0078072B" w:rsidRPr="00787450" w:rsidP="0066072E" w14:paraId="66D3FA1C" w14:textId="77777777">
            <w:r>
              <w:t>Non-cooling system impacts on aquatic resources</w:t>
            </w:r>
          </w:p>
        </w:tc>
        <w:tc>
          <w:tcPr>
            <w:tcW w:w="1635" w:type="dxa"/>
            <w:shd w:val="clear" w:color="auto" w:fill="FFFFFF" w:themeFill="background1"/>
            <w:vAlign w:val="center"/>
          </w:tcPr>
          <w:p w:rsidR="0078072B" w:rsidP="0066072E" w14:paraId="6D2EE55A" w14:textId="77777777">
            <w:pPr>
              <w:jc w:val="center"/>
            </w:pPr>
            <w:r>
              <w:t>1</w:t>
            </w:r>
          </w:p>
        </w:tc>
        <w:tc>
          <w:tcPr>
            <w:tcW w:w="3764" w:type="dxa"/>
            <w:shd w:val="clear" w:color="auto" w:fill="FFFFFF" w:themeFill="background1"/>
            <w:vAlign w:val="center"/>
          </w:tcPr>
          <w:p w:rsidR="0078072B" w:rsidP="0066072E" w14:paraId="3B219E17" w14:textId="77777777">
            <w:r>
              <w:t xml:space="preserve">Revised issue title from </w:t>
            </w:r>
            <w:r>
              <w:rPr>
                <w:i/>
                <w:iCs/>
              </w:rPr>
              <w:t>Effects on aquatic resources (non-cooling system impacts)</w:t>
            </w:r>
            <w:r>
              <w:t xml:space="preserve"> and scope of issues and resources considered in the finding</w:t>
            </w:r>
          </w:p>
        </w:tc>
      </w:tr>
      <w:tr w14:paraId="6C11ED01" w14:textId="77777777" w:rsidTr="0066072E">
        <w:tblPrEx>
          <w:tblW w:w="0" w:type="auto"/>
          <w:jc w:val="center"/>
          <w:tblLook w:val="04A0"/>
        </w:tblPrEx>
        <w:trPr>
          <w:cantSplit/>
          <w:trHeight w:val="521"/>
          <w:jc w:val="center"/>
        </w:trPr>
        <w:tc>
          <w:tcPr>
            <w:tcW w:w="879" w:type="dxa"/>
            <w:shd w:val="clear" w:color="auto" w:fill="FFFFFF" w:themeFill="background1"/>
            <w:vAlign w:val="center"/>
          </w:tcPr>
          <w:p w:rsidR="0078072B" w:rsidRPr="00541199" w:rsidP="0066072E" w14:paraId="79399D87" w14:textId="77777777">
            <w:pPr>
              <w:jc w:val="center"/>
            </w:pPr>
            <w:r>
              <w:t>46</w:t>
            </w:r>
          </w:p>
        </w:tc>
        <w:tc>
          <w:tcPr>
            <w:tcW w:w="3072" w:type="dxa"/>
            <w:shd w:val="clear" w:color="auto" w:fill="FFFFFF" w:themeFill="background1"/>
            <w:vAlign w:val="center"/>
          </w:tcPr>
          <w:p w:rsidR="0078072B" w:rsidRPr="00787450" w:rsidP="0066072E" w14:paraId="325D364F" w14:textId="77777777">
            <w:r w:rsidRPr="00541199">
              <w:t xml:space="preserve">Impacts of transmission line </w:t>
            </w:r>
            <w:r>
              <w:t xml:space="preserve">right-of-way (ROW) </w:t>
            </w:r>
            <w:r w:rsidRPr="00541199">
              <w:t>management on aquatic resources</w:t>
            </w:r>
          </w:p>
        </w:tc>
        <w:tc>
          <w:tcPr>
            <w:tcW w:w="1635" w:type="dxa"/>
            <w:shd w:val="clear" w:color="auto" w:fill="FFFFFF" w:themeFill="background1"/>
            <w:vAlign w:val="center"/>
          </w:tcPr>
          <w:p w:rsidR="0078072B" w:rsidRPr="00541199" w:rsidP="0066072E" w14:paraId="3CF94EB0" w14:textId="77777777">
            <w:pPr>
              <w:jc w:val="center"/>
            </w:pPr>
            <w:r>
              <w:t>1</w:t>
            </w:r>
          </w:p>
        </w:tc>
        <w:tc>
          <w:tcPr>
            <w:tcW w:w="3764" w:type="dxa"/>
            <w:shd w:val="clear" w:color="auto" w:fill="FFFFFF" w:themeFill="background1"/>
            <w:vAlign w:val="center"/>
          </w:tcPr>
          <w:p w:rsidR="0078072B" w:rsidRPr="00541199" w:rsidP="0066072E" w14:paraId="434C958C" w14:textId="77777777">
            <w:r>
              <w:t>Revised scope of issues and resources considered in the finding</w:t>
            </w:r>
          </w:p>
        </w:tc>
      </w:tr>
      <w:tr w14:paraId="49F8A240" w14:textId="77777777" w:rsidTr="0066072E">
        <w:tblPrEx>
          <w:tblW w:w="0" w:type="auto"/>
          <w:jc w:val="center"/>
          <w:tblLook w:val="04A0"/>
        </w:tblPrEx>
        <w:trPr>
          <w:cantSplit/>
          <w:trHeight w:val="368"/>
          <w:jc w:val="center"/>
        </w:trPr>
        <w:tc>
          <w:tcPr>
            <w:tcW w:w="9350" w:type="dxa"/>
            <w:gridSpan w:val="4"/>
            <w:shd w:val="clear" w:color="auto" w:fill="D9D9D9" w:themeFill="background1" w:themeFillShade="D9"/>
            <w:vAlign w:val="center"/>
          </w:tcPr>
          <w:p w:rsidR="0078072B" w:rsidRPr="0061672B" w:rsidP="0066072E" w14:paraId="06BE34B4" w14:textId="77777777">
            <w:pPr>
              <w:rPr>
                <w:b/>
                <w:i/>
                <w:iCs/>
              </w:rPr>
            </w:pPr>
            <w:r w:rsidRPr="0061672B">
              <w:rPr>
                <w:b/>
                <w:i/>
                <w:iCs/>
              </w:rPr>
              <w:t>Federally Protected Ecological Resources</w:t>
            </w:r>
            <w:r w:rsidRPr="00457FB2">
              <w:rPr>
                <w:b/>
                <w:i/>
                <w:iCs/>
                <w:vertAlign w:val="superscript"/>
              </w:rPr>
              <w:t>a</w:t>
            </w:r>
          </w:p>
        </w:tc>
      </w:tr>
      <w:tr w14:paraId="546DBCD2" w14:textId="77777777" w:rsidTr="0066072E">
        <w:tblPrEx>
          <w:tblW w:w="0" w:type="auto"/>
          <w:jc w:val="center"/>
          <w:tblLook w:val="04A0"/>
        </w:tblPrEx>
        <w:trPr>
          <w:cantSplit/>
          <w:trHeight w:val="1457"/>
          <w:jc w:val="center"/>
        </w:trPr>
        <w:tc>
          <w:tcPr>
            <w:tcW w:w="879" w:type="dxa"/>
            <w:shd w:val="clear" w:color="auto" w:fill="auto"/>
            <w:vAlign w:val="center"/>
          </w:tcPr>
          <w:p w:rsidR="0078072B" w:rsidRPr="008E3F33" w:rsidP="0066072E" w14:paraId="62754851" w14:textId="77777777">
            <w:pPr>
              <w:jc w:val="center"/>
            </w:pPr>
            <w:r w:rsidRPr="008E3F33">
              <w:t>4</w:t>
            </w:r>
            <w:r>
              <w:t>7</w:t>
            </w:r>
          </w:p>
        </w:tc>
        <w:tc>
          <w:tcPr>
            <w:tcW w:w="3072" w:type="dxa"/>
            <w:shd w:val="clear" w:color="auto" w:fill="auto"/>
            <w:vAlign w:val="center"/>
          </w:tcPr>
          <w:p w:rsidR="0078072B" w:rsidRPr="00EB07B7" w:rsidP="0066072E" w14:paraId="486427D0" w14:textId="09580ABF">
            <w:r w:rsidRPr="00EB07B7">
              <w:t xml:space="preserve">Endangered Species Act: </w:t>
            </w:r>
            <w:r w:rsidR="001F27D5">
              <w:t>f</w:t>
            </w:r>
            <w:r w:rsidRPr="00EB07B7">
              <w:t>ederally listed species and critical habitats under U.S.</w:t>
            </w:r>
            <w:r>
              <w:t> </w:t>
            </w:r>
            <w:r w:rsidRPr="00EB07B7">
              <w:t xml:space="preserve">Fish and Wildlife </w:t>
            </w:r>
            <w:r>
              <w:t xml:space="preserve">Service </w:t>
            </w:r>
            <w:r w:rsidRPr="00EB07B7">
              <w:t>jurisdiction</w:t>
            </w:r>
          </w:p>
        </w:tc>
        <w:tc>
          <w:tcPr>
            <w:tcW w:w="1635" w:type="dxa"/>
            <w:shd w:val="clear" w:color="auto" w:fill="auto"/>
            <w:vAlign w:val="center"/>
          </w:tcPr>
          <w:p w:rsidR="0078072B" w:rsidRPr="008E3F33" w:rsidP="0066072E" w14:paraId="45582EFA" w14:textId="77777777">
            <w:pPr>
              <w:jc w:val="center"/>
            </w:pPr>
            <w:r w:rsidRPr="008E3F33">
              <w:t>2</w:t>
            </w:r>
          </w:p>
        </w:tc>
        <w:tc>
          <w:tcPr>
            <w:tcW w:w="3764" w:type="dxa"/>
            <w:shd w:val="clear" w:color="auto" w:fill="auto"/>
            <w:vAlign w:val="center"/>
          </w:tcPr>
          <w:p w:rsidR="0078072B" w:rsidRPr="009909B5" w:rsidP="0066072E" w14:paraId="630F138C" w14:textId="77777777">
            <w:r>
              <w:t xml:space="preserve">Revised issue title from </w:t>
            </w:r>
            <w:r>
              <w:rPr>
                <w:i/>
                <w:iCs/>
              </w:rPr>
              <w:t>Threatened, endangered, and protected species and essential fish habitat</w:t>
            </w:r>
            <w:r>
              <w:t xml:space="preserve"> and divided issue into three issues for each Federal statute and interagency consultation requirement</w:t>
            </w:r>
          </w:p>
        </w:tc>
      </w:tr>
      <w:tr w14:paraId="61721951" w14:textId="77777777" w:rsidTr="0066072E">
        <w:tblPrEx>
          <w:tblW w:w="0" w:type="auto"/>
          <w:jc w:val="center"/>
          <w:tblLook w:val="04A0"/>
        </w:tblPrEx>
        <w:trPr>
          <w:cantSplit/>
          <w:trHeight w:val="1070"/>
          <w:jc w:val="center"/>
        </w:trPr>
        <w:tc>
          <w:tcPr>
            <w:tcW w:w="879" w:type="dxa"/>
            <w:shd w:val="clear" w:color="auto" w:fill="auto"/>
            <w:vAlign w:val="center"/>
          </w:tcPr>
          <w:p w:rsidR="0078072B" w:rsidRPr="008E3F33" w:rsidP="0066072E" w14:paraId="10F1B1C3" w14:textId="77777777">
            <w:pPr>
              <w:jc w:val="center"/>
            </w:pPr>
            <w:r>
              <w:t>48</w:t>
            </w:r>
          </w:p>
        </w:tc>
        <w:tc>
          <w:tcPr>
            <w:tcW w:w="3072" w:type="dxa"/>
            <w:shd w:val="clear" w:color="auto" w:fill="auto"/>
            <w:vAlign w:val="center"/>
          </w:tcPr>
          <w:p w:rsidR="0078072B" w:rsidRPr="00EB07B7" w:rsidP="0066072E" w14:paraId="233D47C7" w14:textId="11A0E761">
            <w:r w:rsidRPr="00EB07B7">
              <w:t xml:space="preserve">Endangered Species Act: </w:t>
            </w:r>
            <w:r w:rsidR="001F27D5">
              <w:t>f</w:t>
            </w:r>
            <w:r w:rsidRPr="00EB07B7">
              <w:t>ederally listed species and critical habitats under National Marine Fisheries Service jurisdiction</w:t>
            </w:r>
          </w:p>
        </w:tc>
        <w:tc>
          <w:tcPr>
            <w:tcW w:w="1635" w:type="dxa"/>
            <w:shd w:val="clear" w:color="auto" w:fill="auto"/>
            <w:vAlign w:val="center"/>
          </w:tcPr>
          <w:p w:rsidR="0078072B" w:rsidRPr="008E3F33" w:rsidP="0066072E" w14:paraId="00F77124" w14:textId="77777777">
            <w:pPr>
              <w:jc w:val="center"/>
            </w:pPr>
            <w:r w:rsidRPr="008E3F33">
              <w:t>2</w:t>
            </w:r>
          </w:p>
        </w:tc>
        <w:tc>
          <w:tcPr>
            <w:tcW w:w="3764" w:type="dxa"/>
            <w:shd w:val="clear" w:color="auto" w:fill="auto"/>
            <w:vAlign w:val="center"/>
          </w:tcPr>
          <w:p w:rsidR="0078072B" w:rsidRPr="00EB07B7" w:rsidP="0066072E" w14:paraId="2FBC2F5F" w14:textId="77777777">
            <w:r>
              <w:t>Subdivided Category 2 issue</w:t>
            </w:r>
          </w:p>
        </w:tc>
      </w:tr>
      <w:tr w14:paraId="6E72362A" w14:textId="77777777" w:rsidTr="0066072E">
        <w:tblPrEx>
          <w:tblW w:w="0" w:type="auto"/>
          <w:jc w:val="center"/>
          <w:tblLook w:val="04A0"/>
        </w:tblPrEx>
        <w:trPr>
          <w:cantSplit/>
          <w:trHeight w:val="818"/>
          <w:jc w:val="center"/>
        </w:trPr>
        <w:tc>
          <w:tcPr>
            <w:tcW w:w="879" w:type="dxa"/>
            <w:shd w:val="clear" w:color="auto" w:fill="auto"/>
            <w:vAlign w:val="center"/>
          </w:tcPr>
          <w:p w:rsidR="0078072B" w:rsidRPr="008E3F33" w:rsidP="0066072E" w14:paraId="71421A8B" w14:textId="77777777">
            <w:pPr>
              <w:jc w:val="center"/>
            </w:pPr>
            <w:r>
              <w:t>49</w:t>
            </w:r>
          </w:p>
        </w:tc>
        <w:tc>
          <w:tcPr>
            <w:tcW w:w="3072" w:type="dxa"/>
            <w:shd w:val="clear" w:color="auto" w:fill="auto"/>
            <w:vAlign w:val="center"/>
          </w:tcPr>
          <w:p w:rsidR="0078072B" w:rsidRPr="00EB07B7" w:rsidP="0066072E" w14:paraId="10012E0D" w14:textId="77777777">
            <w:r w:rsidRPr="00EB07B7">
              <w:t>Magnuson</w:t>
            </w:r>
            <w:r>
              <w:noBreakHyphen/>
            </w:r>
            <w:r w:rsidRPr="00EB07B7">
              <w:t>Stevens Act</w:t>
            </w:r>
            <w:r>
              <w:t>:</w:t>
            </w:r>
            <w:r w:rsidRPr="00EB07B7">
              <w:t xml:space="preserve"> essential fish habitat</w:t>
            </w:r>
          </w:p>
        </w:tc>
        <w:tc>
          <w:tcPr>
            <w:tcW w:w="1635" w:type="dxa"/>
            <w:shd w:val="clear" w:color="auto" w:fill="auto"/>
            <w:vAlign w:val="center"/>
          </w:tcPr>
          <w:p w:rsidR="0078072B" w:rsidRPr="008E3F33" w:rsidP="0066072E" w14:paraId="18505D66" w14:textId="77777777">
            <w:pPr>
              <w:jc w:val="center"/>
            </w:pPr>
            <w:r w:rsidRPr="008E3F33">
              <w:t>2</w:t>
            </w:r>
          </w:p>
        </w:tc>
        <w:tc>
          <w:tcPr>
            <w:tcW w:w="3764" w:type="dxa"/>
            <w:shd w:val="clear" w:color="auto" w:fill="auto"/>
            <w:vAlign w:val="center"/>
          </w:tcPr>
          <w:p w:rsidR="0078072B" w:rsidRPr="00EB07B7" w:rsidP="0066072E" w14:paraId="5E1BE021" w14:textId="77777777">
            <w:r>
              <w:t>Subdivided Category 2 issue</w:t>
            </w:r>
          </w:p>
        </w:tc>
      </w:tr>
      <w:tr w14:paraId="1A76495D" w14:textId="77777777" w:rsidTr="0066072E">
        <w:tblPrEx>
          <w:tblW w:w="0" w:type="auto"/>
          <w:jc w:val="center"/>
          <w:tblLook w:val="04A0"/>
        </w:tblPrEx>
        <w:trPr>
          <w:cantSplit/>
          <w:trHeight w:val="701"/>
          <w:jc w:val="center"/>
        </w:trPr>
        <w:tc>
          <w:tcPr>
            <w:tcW w:w="879" w:type="dxa"/>
            <w:shd w:val="clear" w:color="auto" w:fill="auto"/>
            <w:vAlign w:val="center"/>
          </w:tcPr>
          <w:p w:rsidR="0078072B" w:rsidRPr="008E3F33" w:rsidP="0066072E" w14:paraId="2E94E3D8" w14:textId="77777777">
            <w:pPr>
              <w:jc w:val="center"/>
            </w:pPr>
            <w:r w:rsidRPr="008E3F33">
              <w:t>5</w:t>
            </w:r>
            <w:r>
              <w:t>0</w:t>
            </w:r>
          </w:p>
        </w:tc>
        <w:tc>
          <w:tcPr>
            <w:tcW w:w="3072" w:type="dxa"/>
            <w:shd w:val="clear" w:color="auto" w:fill="auto"/>
            <w:vAlign w:val="center"/>
          </w:tcPr>
          <w:p w:rsidR="0078072B" w:rsidRPr="00EB07B7" w:rsidP="0066072E" w14:paraId="20F58F3E" w14:textId="77777777">
            <w:r w:rsidRPr="00EB07B7">
              <w:t>National Marine Sanctuaries Act</w:t>
            </w:r>
            <w:r>
              <w:t>:</w:t>
            </w:r>
            <w:r w:rsidRPr="00EB07B7">
              <w:t xml:space="preserve"> sanctuary resources</w:t>
            </w:r>
          </w:p>
        </w:tc>
        <w:tc>
          <w:tcPr>
            <w:tcW w:w="1635" w:type="dxa"/>
            <w:shd w:val="clear" w:color="auto" w:fill="auto"/>
            <w:vAlign w:val="center"/>
          </w:tcPr>
          <w:p w:rsidR="0078072B" w:rsidRPr="008E3F33" w:rsidP="0066072E" w14:paraId="0784F2BA" w14:textId="77777777">
            <w:pPr>
              <w:jc w:val="center"/>
            </w:pPr>
            <w:r w:rsidRPr="008E3F33">
              <w:t>2</w:t>
            </w:r>
          </w:p>
        </w:tc>
        <w:tc>
          <w:tcPr>
            <w:tcW w:w="3764" w:type="dxa"/>
            <w:shd w:val="clear" w:color="auto" w:fill="auto"/>
            <w:vAlign w:val="center"/>
          </w:tcPr>
          <w:p w:rsidR="0078072B" w:rsidRPr="00EB07B7" w:rsidP="0066072E" w14:paraId="12607BB3" w14:textId="77777777">
            <w:r>
              <w:t>New Category 2 issue</w:t>
            </w:r>
          </w:p>
        </w:tc>
      </w:tr>
      <w:tr w14:paraId="7947692E" w14:textId="77777777" w:rsidTr="0066072E">
        <w:tblPrEx>
          <w:tblW w:w="0" w:type="auto"/>
          <w:jc w:val="center"/>
          <w:tblLook w:val="04A0"/>
        </w:tblPrEx>
        <w:trPr>
          <w:cantSplit/>
          <w:trHeight w:val="332"/>
          <w:jc w:val="center"/>
        </w:trPr>
        <w:tc>
          <w:tcPr>
            <w:tcW w:w="9350" w:type="dxa"/>
            <w:gridSpan w:val="4"/>
            <w:shd w:val="clear" w:color="auto" w:fill="D9D9D9" w:themeFill="background1" w:themeFillShade="D9"/>
            <w:vAlign w:val="center"/>
          </w:tcPr>
          <w:p w:rsidR="0078072B" w:rsidRPr="0070158C" w:rsidP="0066072E" w14:paraId="46E92543" w14:textId="77777777">
            <w:pPr>
              <w:rPr>
                <w:b/>
                <w:i/>
                <w:iCs/>
              </w:rPr>
            </w:pPr>
            <w:r w:rsidRPr="0070158C">
              <w:rPr>
                <w:b/>
                <w:i/>
                <w:iCs/>
              </w:rPr>
              <w:t>Historic and Cultural Resources</w:t>
            </w:r>
          </w:p>
        </w:tc>
      </w:tr>
      <w:tr w14:paraId="202BB0D1" w14:textId="77777777" w:rsidTr="0066072E">
        <w:tblPrEx>
          <w:tblW w:w="0" w:type="auto"/>
          <w:jc w:val="center"/>
          <w:tblLook w:val="04A0"/>
        </w:tblPrEx>
        <w:trPr>
          <w:cantSplit/>
          <w:trHeight w:val="548"/>
          <w:jc w:val="center"/>
        </w:trPr>
        <w:tc>
          <w:tcPr>
            <w:tcW w:w="879" w:type="dxa"/>
            <w:shd w:val="clear" w:color="auto" w:fill="FFFFFF" w:themeFill="background1"/>
            <w:vAlign w:val="center"/>
          </w:tcPr>
          <w:p w:rsidR="0078072B" w:rsidRPr="00787450" w:rsidP="0066072E" w14:paraId="439B14DA" w14:textId="77777777">
            <w:pPr>
              <w:jc w:val="center"/>
            </w:pPr>
            <w:r>
              <w:t>51</w:t>
            </w:r>
          </w:p>
        </w:tc>
        <w:tc>
          <w:tcPr>
            <w:tcW w:w="3072" w:type="dxa"/>
            <w:shd w:val="clear" w:color="auto" w:fill="FFFFFF" w:themeFill="background1"/>
            <w:vAlign w:val="center"/>
          </w:tcPr>
          <w:p w:rsidR="0078072B" w:rsidRPr="00787450" w:rsidP="0066072E" w14:paraId="2F7BD4E0" w14:textId="77777777">
            <w:r w:rsidRPr="00787450">
              <w:t xml:space="preserve">Historic and </w:t>
            </w:r>
            <w:r>
              <w:t>cultural</w:t>
            </w:r>
            <w:r w:rsidRPr="00787450">
              <w:t xml:space="preserve"> resources</w:t>
            </w:r>
          </w:p>
        </w:tc>
        <w:tc>
          <w:tcPr>
            <w:tcW w:w="1635" w:type="dxa"/>
            <w:shd w:val="clear" w:color="auto" w:fill="FFFFFF" w:themeFill="background1"/>
            <w:vAlign w:val="center"/>
          </w:tcPr>
          <w:p w:rsidR="0078072B" w:rsidRPr="00787450" w:rsidP="0066072E" w14:paraId="3CA25B82" w14:textId="77777777">
            <w:pPr>
              <w:jc w:val="center"/>
            </w:pPr>
            <w:r>
              <w:t>2</w:t>
            </w:r>
          </w:p>
        </w:tc>
        <w:tc>
          <w:tcPr>
            <w:tcW w:w="3764" w:type="dxa"/>
            <w:shd w:val="clear" w:color="auto" w:fill="FFFFFF" w:themeFill="background1"/>
            <w:vAlign w:val="center"/>
          </w:tcPr>
          <w:p w:rsidR="0078072B" w:rsidRPr="00787450" w:rsidP="0066072E" w14:paraId="3B9D64AA" w14:textId="77777777">
            <w:r>
              <w:t>Revised scope of issues and resources considered in the finding</w:t>
            </w:r>
          </w:p>
        </w:tc>
      </w:tr>
      <w:tr w14:paraId="56D2F98E" w14:textId="77777777" w:rsidTr="0066072E">
        <w:tblPrEx>
          <w:tblW w:w="0" w:type="auto"/>
          <w:jc w:val="center"/>
          <w:tblLook w:val="04A0"/>
        </w:tblPrEx>
        <w:trPr>
          <w:cantSplit/>
          <w:trHeight w:val="359"/>
          <w:jc w:val="center"/>
        </w:trPr>
        <w:tc>
          <w:tcPr>
            <w:tcW w:w="9350" w:type="dxa"/>
            <w:gridSpan w:val="4"/>
            <w:shd w:val="clear" w:color="auto" w:fill="D9D9D9" w:themeFill="background1" w:themeFillShade="D9"/>
            <w:vAlign w:val="center"/>
          </w:tcPr>
          <w:p w:rsidR="0078072B" w:rsidRPr="0070158C" w:rsidP="0066072E" w14:paraId="472AFA59" w14:textId="77777777">
            <w:pPr>
              <w:rPr>
                <w:b/>
                <w:i/>
                <w:iCs/>
              </w:rPr>
            </w:pPr>
            <w:r w:rsidRPr="0070158C">
              <w:rPr>
                <w:b/>
                <w:i/>
                <w:iCs/>
              </w:rPr>
              <w:t>Socioeconomics</w:t>
            </w:r>
          </w:p>
        </w:tc>
      </w:tr>
      <w:tr w14:paraId="30D20D48" w14:textId="77777777" w:rsidTr="0066072E">
        <w:tblPrEx>
          <w:tblW w:w="0" w:type="auto"/>
          <w:jc w:val="center"/>
          <w:tblLook w:val="04A0"/>
        </w:tblPrEx>
        <w:trPr>
          <w:cantSplit/>
          <w:trHeight w:val="341"/>
          <w:jc w:val="center"/>
        </w:trPr>
        <w:tc>
          <w:tcPr>
            <w:tcW w:w="879" w:type="dxa"/>
            <w:shd w:val="clear" w:color="auto" w:fill="FFFFFF" w:themeFill="background1"/>
            <w:vAlign w:val="center"/>
          </w:tcPr>
          <w:p w:rsidR="0078072B" w:rsidRPr="00A76281" w:rsidP="0066072E" w14:paraId="76BC9287" w14:textId="77777777">
            <w:pPr>
              <w:jc w:val="center"/>
            </w:pPr>
            <w:r>
              <w:t>52</w:t>
            </w:r>
          </w:p>
        </w:tc>
        <w:tc>
          <w:tcPr>
            <w:tcW w:w="3072" w:type="dxa"/>
            <w:shd w:val="clear" w:color="auto" w:fill="FFFFFF" w:themeFill="background1"/>
            <w:vAlign w:val="center"/>
          </w:tcPr>
          <w:p w:rsidR="0078072B" w:rsidRPr="00787450" w:rsidP="0066072E" w14:paraId="3B4E2BFF" w14:textId="77777777">
            <w:r w:rsidRPr="00A76281">
              <w:t>Employment and income, recreation and tourism</w:t>
            </w:r>
          </w:p>
        </w:tc>
        <w:tc>
          <w:tcPr>
            <w:tcW w:w="1635" w:type="dxa"/>
            <w:shd w:val="clear" w:color="auto" w:fill="FFFFFF" w:themeFill="background1"/>
            <w:vAlign w:val="center"/>
          </w:tcPr>
          <w:p w:rsidR="0078072B" w:rsidRPr="00A76281" w:rsidP="0066072E" w14:paraId="40FA9F4B" w14:textId="77777777">
            <w:pPr>
              <w:jc w:val="center"/>
            </w:pPr>
            <w:r>
              <w:t>1</w:t>
            </w:r>
          </w:p>
        </w:tc>
        <w:tc>
          <w:tcPr>
            <w:tcW w:w="3764" w:type="dxa"/>
            <w:shd w:val="clear" w:color="auto" w:fill="FFFFFF" w:themeFill="background1"/>
            <w:vAlign w:val="center"/>
          </w:tcPr>
          <w:p w:rsidR="0078072B" w:rsidRPr="00A76281" w:rsidP="0066072E" w14:paraId="69BDC8ED" w14:textId="77777777">
            <w:r>
              <w:t>No change</w:t>
            </w:r>
          </w:p>
        </w:tc>
      </w:tr>
      <w:tr w14:paraId="7C6D5105" w14:textId="77777777" w:rsidTr="0066072E">
        <w:tblPrEx>
          <w:tblW w:w="0" w:type="auto"/>
          <w:jc w:val="center"/>
          <w:tblLook w:val="04A0"/>
        </w:tblPrEx>
        <w:trPr>
          <w:cantSplit/>
          <w:trHeight w:val="368"/>
          <w:jc w:val="center"/>
        </w:trPr>
        <w:tc>
          <w:tcPr>
            <w:tcW w:w="879" w:type="dxa"/>
            <w:shd w:val="clear" w:color="auto" w:fill="FFFFFF" w:themeFill="background1"/>
            <w:vAlign w:val="center"/>
          </w:tcPr>
          <w:p w:rsidR="0078072B" w:rsidRPr="003B0611" w:rsidP="0066072E" w14:paraId="05544D30" w14:textId="77777777">
            <w:pPr>
              <w:jc w:val="center"/>
            </w:pPr>
            <w:r>
              <w:t>53</w:t>
            </w:r>
          </w:p>
        </w:tc>
        <w:tc>
          <w:tcPr>
            <w:tcW w:w="3072" w:type="dxa"/>
            <w:shd w:val="clear" w:color="auto" w:fill="FFFFFF" w:themeFill="background1"/>
            <w:vAlign w:val="center"/>
          </w:tcPr>
          <w:p w:rsidR="0078072B" w:rsidRPr="00787450" w:rsidP="0066072E" w14:paraId="0E21EF9A" w14:textId="77777777">
            <w:r w:rsidRPr="003B0611">
              <w:t>Tax revenue</w:t>
            </w:r>
          </w:p>
        </w:tc>
        <w:tc>
          <w:tcPr>
            <w:tcW w:w="1635" w:type="dxa"/>
            <w:shd w:val="clear" w:color="auto" w:fill="FFFFFF" w:themeFill="background1"/>
            <w:vAlign w:val="center"/>
          </w:tcPr>
          <w:p w:rsidR="0078072B" w:rsidRPr="003B0611" w:rsidP="0066072E" w14:paraId="46F18D29" w14:textId="77777777">
            <w:pPr>
              <w:jc w:val="center"/>
            </w:pPr>
            <w:r>
              <w:t>1</w:t>
            </w:r>
          </w:p>
        </w:tc>
        <w:tc>
          <w:tcPr>
            <w:tcW w:w="3764" w:type="dxa"/>
            <w:shd w:val="clear" w:color="auto" w:fill="FFFFFF" w:themeFill="background1"/>
            <w:vAlign w:val="center"/>
          </w:tcPr>
          <w:p w:rsidR="0078072B" w:rsidRPr="00E56820" w:rsidP="0066072E" w14:paraId="3BC129CC" w14:textId="77777777">
            <w:r>
              <w:t xml:space="preserve">Revised issue title from </w:t>
            </w:r>
            <w:r>
              <w:rPr>
                <w:i/>
                <w:iCs/>
              </w:rPr>
              <w:t>Tax revenues</w:t>
            </w:r>
          </w:p>
        </w:tc>
      </w:tr>
      <w:tr w14:paraId="59DEED14" w14:textId="77777777" w:rsidTr="0066072E">
        <w:tblPrEx>
          <w:tblW w:w="0" w:type="auto"/>
          <w:jc w:val="center"/>
          <w:tblLook w:val="04A0"/>
        </w:tblPrEx>
        <w:trPr>
          <w:cantSplit/>
          <w:trHeight w:val="377"/>
          <w:jc w:val="center"/>
        </w:trPr>
        <w:tc>
          <w:tcPr>
            <w:tcW w:w="879" w:type="dxa"/>
            <w:shd w:val="clear" w:color="auto" w:fill="FFFFFF" w:themeFill="background1"/>
            <w:vAlign w:val="center"/>
          </w:tcPr>
          <w:p w:rsidR="0078072B" w:rsidRPr="003B0611" w:rsidP="0066072E" w14:paraId="08CA2BD3" w14:textId="77777777">
            <w:pPr>
              <w:jc w:val="center"/>
            </w:pPr>
            <w:r>
              <w:t>54</w:t>
            </w:r>
          </w:p>
        </w:tc>
        <w:tc>
          <w:tcPr>
            <w:tcW w:w="3072" w:type="dxa"/>
            <w:shd w:val="clear" w:color="auto" w:fill="FFFFFF" w:themeFill="background1"/>
            <w:vAlign w:val="center"/>
          </w:tcPr>
          <w:p w:rsidR="0078072B" w:rsidRPr="00787450" w:rsidP="0066072E" w14:paraId="4EFFECA2" w14:textId="77777777">
            <w:r w:rsidRPr="003B0611">
              <w:t>Community services and education</w:t>
            </w:r>
          </w:p>
        </w:tc>
        <w:tc>
          <w:tcPr>
            <w:tcW w:w="1635" w:type="dxa"/>
            <w:shd w:val="clear" w:color="auto" w:fill="FFFFFF" w:themeFill="background1"/>
            <w:vAlign w:val="center"/>
          </w:tcPr>
          <w:p w:rsidR="0078072B" w:rsidRPr="003B0611" w:rsidP="0066072E" w14:paraId="4B25D86B" w14:textId="77777777">
            <w:pPr>
              <w:jc w:val="center"/>
            </w:pPr>
            <w:r>
              <w:t>1</w:t>
            </w:r>
          </w:p>
        </w:tc>
        <w:tc>
          <w:tcPr>
            <w:tcW w:w="3764" w:type="dxa"/>
            <w:shd w:val="clear" w:color="auto" w:fill="FFFFFF" w:themeFill="background1"/>
            <w:vAlign w:val="center"/>
          </w:tcPr>
          <w:p w:rsidR="0078072B" w:rsidRPr="003B0611" w:rsidP="0066072E" w14:paraId="05EC6B59" w14:textId="77777777">
            <w:r>
              <w:t>No change</w:t>
            </w:r>
          </w:p>
        </w:tc>
      </w:tr>
      <w:tr w14:paraId="2E28664F" w14:textId="77777777" w:rsidTr="0066072E">
        <w:tblPrEx>
          <w:tblW w:w="0" w:type="auto"/>
          <w:jc w:val="center"/>
          <w:tblLook w:val="04A0"/>
        </w:tblPrEx>
        <w:trPr>
          <w:cantSplit/>
          <w:trHeight w:val="197"/>
          <w:jc w:val="center"/>
        </w:trPr>
        <w:tc>
          <w:tcPr>
            <w:tcW w:w="879" w:type="dxa"/>
            <w:shd w:val="clear" w:color="auto" w:fill="FFFFFF" w:themeFill="background1"/>
            <w:vAlign w:val="center"/>
          </w:tcPr>
          <w:p w:rsidR="0078072B" w:rsidRPr="003D15D9" w:rsidP="0066072E" w14:paraId="5839F780" w14:textId="77777777">
            <w:pPr>
              <w:jc w:val="center"/>
            </w:pPr>
            <w:r>
              <w:t>55</w:t>
            </w:r>
          </w:p>
        </w:tc>
        <w:tc>
          <w:tcPr>
            <w:tcW w:w="3072" w:type="dxa"/>
            <w:shd w:val="clear" w:color="auto" w:fill="FFFFFF" w:themeFill="background1"/>
            <w:vAlign w:val="center"/>
          </w:tcPr>
          <w:p w:rsidR="0078072B" w:rsidRPr="00787450" w:rsidP="0066072E" w14:paraId="42D8BE2B" w14:textId="77777777">
            <w:r w:rsidRPr="003D15D9">
              <w:t>Population and housing</w:t>
            </w:r>
          </w:p>
        </w:tc>
        <w:tc>
          <w:tcPr>
            <w:tcW w:w="1635" w:type="dxa"/>
            <w:shd w:val="clear" w:color="auto" w:fill="FFFFFF" w:themeFill="background1"/>
            <w:vAlign w:val="center"/>
          </w:tcPr>
          <w:p w:rsidR="0078072B" w:rsidRPr="003D15D9" w:rsidP="0066072E" w14:paraId="10045B34" w14:textId="77777777">
            <w:pPr>
              <w:jc w:val="center"/>
            </w:pPr>
            <w:r>
              <w:t>1</w:t>
            </w:r>
          </w:p>
        </w:tc>
        <w:tc>
          <w:tcPr>
            <w:tcW w:w="3764" w:type="dxa"/>
            <w:shd w:val="clear" w:color="auto" w:fill="FFFFFF" w:themeFill="background1"/>
            <w:vAlign w:val="center"/>
          </w:tcPr>
          <w:p w:rsidR="0078072B" w:rsidRPr="003D15D9" w:rsidP="0066072E" w14:paraId="122B9CBB" w14:textId="77777777">
            <w:r>
              <w:t>No change</w:t>
            </w:r>
          </w:p>
        </w:tc>
      </w:tr>
      <w:tr w14:paraId="3E64162A" w14:textId="77777777" w:rsidTr="0066072E">
        <w:tblPrEx>
          <w:tblW w:w="0" w:type="auto"/>
          <w:jc w:val="center"/>
          <w:tblLook w:val="04A0"/>
        </w:tblPrEx>
        <w:trPr>
          <w:cantSplit/>
          <w:trHeight w:val="287"/>
          <w:jc w:val="center"/>
        </w:trPr>
        <w:tc>
          <w:tcPr>
            <w:tcW w:w="879" w:type="dxa"/>
            <w:shd w:val="clear" w:color="auto" w:fill="FFFFFF" w:themeFill="background1"/>
            <w:vAlign w:val="center"/>
          </w:tcPr>
          <w:p w:rsidR="0078072B" w:rsidP="0066072E" w14:paraId="5EE9BD43" w14:textId="77777777">
            <w:pPr>
              <w:jc w:val="center"/>
            </w:pPr>
            <w:r>
              <w:t>56</w:t>
            </w:r>
          </w:p>
        </w:tc>
        <w:tc>
          <w:tcPr>
            <w:tcW w:w="3072" w:type="dxa"/>
            <w:shd w:val="clear" w:color="auto" w:fill="FFFFFF" w:themeFill="background1"/>
            <w:vAlign w:val="center"/>
          </w:tcPr>
          <w:p w:rsidR="0078072B" w:rsidRPr="00787450" w:rsidP="0066072E" w14:paraId="480EA801" w14:textId="77777777">
            <w:r>
              <w:t>T</w:t>
            </w:r>
            <w:r w:rsidRPr="00787450">
              <w:t>ransportation</w:t>
            </w:r>
          </w:p>
        </w:tc>
        <w:tc>
          <w:tcPr>
            <w:tcW w:w="1635" w:type="dxa"/>
            <w:shd w:val="clear" w:color="auto" w:fill="FFFFFF" w:themeFill="background1"/>
            <w:vAlign w:val="center"/>
          </w:tcPr>
          <w:p w:rsidR="0078072B" w:rsidP="0066072E" w14:paraId="75500115" w14:textId="77777777">
            <w:pPr>
              <w:jc w:val="center"/>
            </w:pPr>
            <w:r>
              <w:t>1</w:t>
            </w:r>
          </w:p>
        </w:tc>
        <w:tc>
          <w:tcPr>
            <w:tcW w:w="3764" w:type="dxa"/>
            <w:shd w:val="clear" w:color="auto" w:fill="FFFFFF" w:themeFill="background1"/>
            <w:vAlign w:val="center"/>
          </w:tcPr>
          <w:p w:rsidR="0078072B" w:rsidP="0066072E" w14:paraId="194670DA" w14:textId="77777777">
            <w:r>
              <w:t>No change</w:t>
            </w:r>
          </w:p>
        </w:tc>
      </w:tr>
      <w:tr w14:paraId="130E6AFD" w14:textId="77777777" w:rsidTr="0066072E">
        <w:tblPrEx>
          <w:tblW w:w="0" w:type="auto"/>
          <w:jc w:val="center"/>
          <w:tblLook w:val="04A0"/>
        </w:tblPrEx>
        <w:trPr>
          <w:cantSplit/>
          <w:trHeight w:val="359"/>
          <w:jc w:val="center"/>
        </w:trPr>
        <w:tc>
          <w:tcPr>
            <w:tcW w:w="9350" w:type="dxa"/>
            <w:gridSpan w:val="4"/>
            <w:shd w:val="clear" w:color="auto" w:fill="D9D9D9" w:themeFill="background1" w:themeFillShade="D9"/>
            <w:vAlign w:val="center"/>
          </w:tcPr>
          <w:p w:rsidR="0078072B" w:rsidRPr="00E56820" w:rsidP="0066072E" w14:paraId="20B3213A" w14:textId="77777777">
            <w:pPr>
              <w:rPr>
                <w:b/>
                <w:i/>
                <w:iCs/>
              </w:rPr>
            </w:pPr>
            <w:r w:rsidRPr="00E56820">
              <w:rPr>
                <w:b/>
                <w:i/>
                <w:iCs/>
              </w:rPr>
              <w:t>Human Health</w:t>
            </w:r>
          </w:p>
        </w:tc>
      </w:tr>
      <w:tr w14:paraId="0CCC01D4" w14:textId="77777777" w:rsidTr="0066072E">
        <w:tblPrEx>
          <w:tblW w:w="0" w:type="auto"/>
          <w:jc w:val="center"/>
          <w:tblLook w:val="04A0"/>
        </w:tblPrEx>
        <w:trPr>
          <w:cantSplit/>
          <w:trHeight w:val="251"/>
          <w:jc w:val="center"/>
        </w:trPr>
        <w:tc>
          <w:tcPr>
            <w:tcW w:w="879" w:type="dxa"/>
            <w:shd w:val="clear" w:color="auto" w:fill="FFFFFF" w:themeFill="background1"/>
            <w:vAlign w:val="center"/>
          </w:tcPr>
          <w:p w:rsidR="0078072B" w:rsidRPr="00825D75" w:rsidP="0066072E" w14:paraId="2B2B393D" w14:textId="77777777">
            <w:pPr>
              <w:jc w:val="center"/>
            </w:pPr>
            <w:r>
              <w:t>57</w:t>
            </w:r>
          </w:p>
        </w:tc>
        <w:tc>
          <w:tcPr>
            <w:tcW w:w="3072" w:type="dxa"/>
            <w:shd w:val="clear" w:color="auto" w:fill="FFFFFF" w:themeFill="background1"/>
            <w:vAlign w:val="center"/>
          </w:tcPr>
          <w:p w:rsidR="0078072B" w:rsidP="0066072E" w14:paraId="343F9E05" w14:textId="77777777">
            <w:r w:rsidRPr="00825D75">
              <w:t xml:space="preserve">Radiation exposures to </w:t>
            </w:r>
            <w:r>
              <w:t>plant workers</w:t>
            </w:r>
          </w:p>
        </w:tc>
        <w:tc>
          <w:tcPr>
            <w:tcW w:w="1635" w:type="dxa"/>
            <w:shd w:val="clear" w:color="auto" w:fill="FFFFFF" w:themeFill="background1"/>
            <w:vAlign w:val="center"/>
          </w:tcPr>
          <w:p w:rsidR="0078072B" w:rsidRPr="00825D75" w:rsidP="0066072E" w14:paraId="079DFCE3" w14:textId="77777777">
            <w:pPr>
              <w:jc w:val="center"/>
            </w:pPr>
            <w:r>
              <w:t>1</w:t>
            </w:r>
          </w:p>
        </w:tc>
        <w:tc>
          <w:tcPr>
            <w:tcW w:w="3764" w:type="dxa"/>
            <w:shd w:val="clear" w:color="auto" w:fill="FFFFFF" w:themeFill="background1"/>
            <w:vAlign w:val="center"/>
          </w:tcPr>
          <w:p w:rsidR="0078072B" w:rsidRPr="00825D75" w:rsidP="0066072E" w14:paraId="52FB467D" w14:textId="77777777">
            <w:r>
              <w:t>No change</w:t>
            </w:r>
          </w:p>
        </w:tc>
      </w:tr>
      <w:tr w14:paraId="1E89DFE8" w14:textId="77777777" w:rsidTr="0066072E">
        <w:tblPrEx>
          <w:tblW w:w="0" w:type="auto"/>
          <w:jc w:val="center"/>
          <w:tblLook w:val="04A0"/>
        </w:tblPrEx>
        <w:trPr>
          <w:cantSplit/>
          <w:trHeight w:val="350"/>
          <w:jc w:val="center"/>
        </w:trPr>
        <w:tc>
          <w:tcPr>
            <w:tcW w:w="879" w:type="dxa"/>
            <w:shd w:val="clear" w:color="auto" w:fill="FFFFFF" w:themeFill="background1"/>
            <w:vAlign w:val="center"/>
          </w:tcPr>
          <w:p w:rsidR="0078072B" w:rsidRPr="00092943" w:rsidP="0066072E" w14:paraId="096EE262" w14:textId="77777777">
            <w:pPr>
              <w:jc w:val="center"/>
            </w:pPr>
            <w:r>
              <w:t>58</w:t>
            </w:r>
          </w:p>
        </w:tc>
        <w:tc>
          <w:tcPr>
            <w:tcW w:w="3072" w:type="dxa"/>
            <w:shd w:val="clear" w:color="auto" w:fill="FFFFFF" w:themeFill="background1"/>
            <w:vAlign w:val="center"/>
          </w:tcPr>
          <w:p w:rsidR="0078072B" w:rsidP="0066072E" w14:paraId="7DEF7E33" w14:textId="77777777">
            <w:r w:rsidRPr="00092943">
              <w:t xml:space="preserve">Radiation exposures to </w:t>
            </w:r>
            <w:r>
              <w:t>the public</w:t>
            </w:r>
          </w:p>
        </w:tc>
        <w:tc>
          <w:tcPr>
            <w:tcW w:w="1635" w:type="dxa"/>
            <w:shd w:val="clear" w:color="auto" w:fill="FFFFFF" w:themeFill="background1"/>
            <w:vAlign w:val="center"/>
          </w:tcPr>
          <w:p w:rsidR="0078072B" w:rsidRPr="00092943" w:rsidP="0066072E" w14:paraId="67C957FF" w14:textId="77777777">
            <w:pPr>
              <w:jc w:val="center"/>
            </w:pPr>
            <w:r>
              <w:t>1</w:t>
            </w:r>
          </w:p>
        </w:tc>
        <w:tc>
          <w:tcPr>
            <w:tcW w:w="3764" w:type="dxa"/>
            <w:shd w:val="clear" w:color="auto" w:fill="FFFFFF" w:themeFill="background1"/>
            <w:vAlign w:val="center"/>
          </w:tcPr>
          <w:p w:rsidR="0078072B" w:rsidRPr="00092943" w:rsidP="0066072E" w14:paraId="3241BA03" w14:textId="77777777">
            <w:r>
              <w:t>No change</w:t>
            </w:r>
          </w:p>
        </w:tc>
      </w:tr>
      <w:tr w14:paraId="03AB8521" w14:textId="77777777" w:rsidTr="0066072E">
        <w:tblPrEx>
          <w:tblW w:w="0" w:type="auto"/>
          <w:jc w:val="center"/>
          <w:tblLook w:val="04A0"/>
        </w:tblPrEx>
        <w:trPr>
          <w:cantSplit/>
          <w:trHeight w:val="548"/>
          <w:jc w:val="center"/>
        </w:trPr>
        <w:tc>
          <w:tcPr>
            <w:tcW w:w="879" w:type="dxa"/>
            <w:shd w:val="clear" w:color="auto" w:fill="FFFFFF" w:themeFill="background1"/>
            <w:vAlign w:val="center"/>
          </w:tcPr>
          <w:p w:rsidR="0078072B" w:rsidP="0066072E" w14:paraId="2A5F8074" w14:textId="77777777">
            <w:pPr>
              <w:jc w:val="center"/>
            </w:pPr>
            <w:r>
              <w:t>59</w:t>
            </w:r>
          </w:p>
        </w:tc>
        <w:tc>
          <w:tcPr>
            <w:tcW w:w="3072" w:type="dxa"/>
            <w:shd w:val="clear" w:color="auto" w:fill="FFFFFF" w:themeFill="background1"/>
            <w:vAlign w:val="center"/>
          </w:tcPr>
          <w:p w:rsidR="0078072B" w:rsidP="0066072E" w14:paraId="2CCFAC52" w14:textId="77777777">
            <w:r>
              <w:t>Chemical hazards</w:t>
            </w:r>
          </w:p>
        </w:tc>
        <w:tc>
          <w:tcPr>
            <w:tcW w:w="1635" w:type="dxa"/>
            <w:shd w:val="clear" w:color="auto" w:fill="FFFFFF" w:themeFill="background1"/>
            <w:vAlign w:val="center"/>
          </w:tcPr>
          <w:p w:rsidR="0078072B" w:rsidP="0066072E" w14:paraId="361298E3" w14:textId="77777777">
            <w:pPr>
              <w:jc w:val="center"/>
            </w:pPr>
            <w:r>
              <w:t>1</w:t>
            </w:r>
          </w:p>
        </w:tc>
        <w:tc>
          <w:tcPr>
            <w:tcW w:w="3764" w:type="dxa"/>
            <w:shd w:val="clear" w:color="auto" w:fill="FFFFFF" w:themeFill="background1"/>
            <w:vAlign w:val="center"/>
          </w:tcPr>
          <w:p w:rsidR="0078072B" w:rsidRPr="003E48F4" w:rsidP="0066072E" w14:paraId="028000CE" w14:textId="77777777">
            <w:pPr>
              <w:rPr>
                <w:i/>
                <w:iCs/>
              </w:rPr>
            </w:pPr>
            <w:r>
              <w:t xml:space="preserve">Revised issue title from </w:t>
            </w:r>
            <w:r w:rsidRPr="00D93D6F">
              <w:rPr>
                <w:i/>
                <w:iCs/>
              </w:rPr>
              <w:t>Human health impact from chemicals</w:t>
            </w:r>
          </w:p>
        </w:tc>
      </w:tr>
      <w:tr w14:paraId="3977660D" w14:textId="77777777" w:rsidTr="0066072E">
        <w:tblPrEx>
          <w:tblW w:w="0" w:type="auto"/>
          <w:jc w:val="center"/>
          <w:tblLook w:val="04A0"/>
        </w:tblPrEx>
        <w:trPr>
          <w:cantSplit/>
          <w:trHeight w:val="548"/>
          <w:jc w:val="center"/>
        </w:trPr>
        <w:tc>
          <w:tcPr>
            <w:tcW w:w="879" w:type="dxa"/>
            <w:shd w:val="clear" w:color="auto" w:fill="FFFFFF" w:themeFill="background1"/>
            <w:vAlign w:val="center"/>
          </w:tcPr>
          <w:p w:rsidR="0078072B" w:rsidP="0066072E" w14:paraId="661EEF7F" w14:textId="77777777">
            <w:pPr>
              <w:jc w:val="center"/>
            </w:pPr>
            <w:r>
              <w:t>60</w:t>
            </w:r>
          </w:p>
        </w:tc>
        <w:tc>
          <w:tcPr>
            <w:tcW w:w="3072" w:type="dxa"/>
            <w:shd w:val="clear" w:color="auto" w:fill="FFFFFF" w:themeFill="background1"/>
            <w:vAlign w:val="center"/>
          </w:tcPr>
          <w:p w:rsidR="0078072B" w:rsidP="0066072E" w14:paraId="4BD6C7EC" w14:textId="77777777">
            <w:r w:rsidRPr="005F4706">
              <w:t>Microbiological hazards to plant workers</w:t>
            </w:r>
          </w:p>
        </w:tc>
        <w:tc>
          <w:tcPr>
            <w:tcW w:w="1635" w:type="dxa"/>
            <w:shd w:val="clear" w:color="auto" w:fill="FFFFFF" w:themeFill="background1"/>
            <w:vAlign w:val="center"/>
          </w:tcPr>
          <w:p w:rsidR="0078072B" w:rsidP="0066072E" w14:paraId="09C08FC4" w14:textId="77777777">
            <w:pPr>
              <w:jc w:val="center"/>
            </w:pPr>
            <w:r>
              <w:t>1</w:t>
            </w:r>
          </w:p>
        </w:tc>
        <w:tc>
          <w:tcPr>
            <w:tcW w:w="3764" w:type="dxa"/>
            <w:shd w:val="clear" w:color="auto" w:fill="FFFFFF" w:themeFill="background1"/>
            <w:vAlign w:val="center"/>
          </w:tcPr>
          <w:p w:rsidR="0078072B" w:rsidP="0066072E" w14:paraId="3B57FC50" w14:textId="77777777">
            <w:r>
              <w:t>No change</w:t>
            </w:r>
          </w:p>
        </w:tc>
      </w:tr>
      <w:tr w14:paraId="7E52E2AB" w14:textId="77777777" w:rsidTr="0066072E">
        <w:tblPrEx>
          <w:tblW w:w="0" w:type="auto"/>
          <w:jc w:val="center"/>
          <w:tblLook w:val="04A0"/>
        </w:tblPrEx>
        <w:trPr>
          <w:cantSplit/>
          <w:trHeight w:val="2285"/>
          <w:jc w:val="center"/>
        </w:trPr>
        <w:tc>
          <w:tcPr>
            <w:tcW w:w="879" w:type="dxa"/>
            <w:shd w:val="clear" w:color="auto" w:fill="FFFFFF" w:themeFill="background1"/>
            <w:vAlign w:val="center"/>
          </w:tcPr>
          <w:p w:rsidR="0078072B" w:rsidRPr="00B42E09" w:rsidP="0066072E" w14:paraId="3492C429" w14:textId="77777777">
            <w:pPr>
              <w:jc w:val="center"/>
            </w:pPr>
            <w:r>
              <w:t>61</w:t>
            </w:r>
          </w:p>
        </w:tc>
        <w:tc>
          <w:tcPr>
            <w:tcW w:w="3072" w:type="dxa"/>
            <w:shd w:val="clear" w:color="auto" w:fill="FFFFFF" w:themeFill="background1"/>
            <w:vAlign w:val="center"/>
          </w:tcPr>
          <w:p w:rsidR="0078072B" w:rsidP="0066072E" w14:paraId="7D7C1EA6" w14:textId="77777777">
            <w:r w:rsidRPr="00B42E09">
              <w:t>Microbiological hazards to the public</w:t>
            </w:r>
          </w:p>
        </w:tc>
        <w:tc>
          <w:tcPr>
            <w:tcW w:w="1635" w:type="dxa"/>
            <w:shd w:val="clear" w:color="auto" w:fill="FFFFFF" w:themeFill="background1"/>
            <w:vAlign w:val="center"/>
          </w:tcPr>
          <w:p w:rsidR="0078072B" w:rsidRPr="00B42E09" w:rsidP="0066072E" w14:paraId="1DB0CAA1" w14:textId="77777777">
            <w:pPr>
              <w:jc w:val="center"/>
            </w:pPr>
            <w:r>
              <w:t>2</w:t>
            </w:r>
          </w:p>
        </w:tc>
        <w:tc>
          <w:tcPr>
            <w:tcW w:w="3764" w:type="dxa"/>
            <w:shd w:val="clear" w:color="auto" w:fill="FFFFFF" w:themeFill="background1"/>
            <w:vAlign w:val="center"/>
          </w:tcPr>
          <w:p w:rsidR="0078072B" w:rsidRPr="00BA34EE" w:rsidP="0066072E" w14:paraId="225A53F0" w14:textId="3EE4AF5A">
            <w:r>
              <w:t xml:space="preserve">Revised issue title from </w:t>
            </w:r>
            <w:r w:rsidRPr="00BA34EE">
              <w:rPr>
                <w:i/>
                <w:iCs/>
              </w:rPr>
              <w:t>Microbiological hazards to the public (plants with cooling ponds or canals or cooling towers that discharge to a river)</w:t>
            </w:r>
            <w:r>
              <w:t xml:space="preserve"> and issue findings to reflect </w:t>
            </w:r>
            <w:r w:rsidRPr="00671045">
              <w:t xml:space="preserve">the fact that microbiological organisms are a concern wherever </w:t>
            </w:r>
            <w:r w:rsidR="00B53A6D">
              <w:t xml:space="preserve">plants discharge </w:t>
            </w:r>
            <w:r w:rsidRPr="00671045">
              <w:t xml:space="preserve">thermal effluents </w:t>
            </w:r>
            <w:r w:rsidR="006D5AFA">
              <w:t xml:space="preserve">to </w:t>
            </w:r>
            <w:r w:rsidR="00CB38CE">
              <w:rPr>
                <w:rStyle w:val="ui-provider"/>
              </w:rPr>
              <w:t>publicly</w:t>
            </w:r>
            <w:r w:rsidR="006D5AFA">
              <w:rPr>
                <w:rStyle w:val="ui-provider"/>
              </w:rPr>
              <w:noBreakHyphen/>
            </w:r>
            <w:r w:rsidR="00CB38CE">
              <w:rPr>
                <w:rStyle w:val="ui-provider"/>
              </w:rPr>
              <w:t>accessible surface waters.</w:t>
            </w:r>
          </w:p>
        </w:tc>
      </w:tr>
      <w:tr w14:paraId="03868B5B" w14:textId="77777777" w:rsidTr="0066072E">
        <w:tblPrEx>
          <w:tblW w:w="0" w:type="auto"/>
          <w:jc w:val="center"/>
          <w:tblLook w:val="04A0"/>
        </w:tblPrEx>
        <w:trPr>
          <w:cantSplit/>
          <w:trHeight w:val="161"/>
          <w:jc w:val="center"/>
        </w:trPr>
        <w:tc>
          <w:tcPr>
            <w:tcW w:w="879" w:type="dxa"/>
            <w:shd w:val="clear" w:color="auto" w:fill="FFFFFF" w:themeFill="background1"/>
            <w:vAlign w:val="center"/>
          </w:tcPr>
          <w:p w:rsidR="0078072B" w:rsidP="0066072E" w14:paraId="4CCEBB12" w14:textId="77777777">
            <w:pPr>
              <w:jc w:val="center"/>
            </w:pPr>
            <w:r>
              <w:t>62</w:t>
            </w:r>
          </w:p>
        </w:tc>
        <w:tc>
          <w:tcPr>
            <w:tcW w:w="3072" w:type="dxa"/>
            <w:shd w:val="clear" w:color="auto" w:fill="FFFFFF" w:themeFill="background1"/>
            <w:vAlign w:val="center"/>
          </w:tcPr>
          <w:p w:rsidR="0078072B" w:rsidP="0066072E" w14:paraId="31EB929B" w14:textId="77777777">
            <w:r>
              <w:t>E</w:t>
            </w:r>
            <w:r w:rsidRPr="005F4706">
              <w:t>lectromagnetic fields (EMFs)</w:t>
            </w:r>
          </w:p>
        </w:tc>
        <w:tc>
          <w:tcPr>
            <w:tcW w:w="1635" w:type="dxa"/>
            <w:shd w:val="clear" w:color="auto" w:fill="FFFFFF" w:themeFill="background1"/>
            <w:vAlign w:val="center"/>
          </w:tcPr>
          <w:p w:rsidR="0078072B" w:rsidP="0066072E" w14:paraId="356421D2" w14:textId="77777777">
            <w:pPr>
              <w:jc w:val="center"/>
            </w:pPr>
            <w:r>
              <w:t>Uncategorized</w:t>
            </w:r>
          </w:p>
        </w:tc>
        <w:tc>
          <w:tcPr>
            <w:tcW w:w="3764" w:type="dxa"/>
            <w:shd w:val="clear" w:color="auto" w:fill="FFFFFF" w:themeFill="background1"/>
            <w:vAlign w:val="center"/>
          </w:tcPr>
          <w:p w:rsidR="0078072B" w:rsidRPr="00671045" w:rsidP="0066072E" w14:paraId="5D724323" w14:textId="77777777">
            <w:pPr>
              <w:rPr>
                <w:i/>
                <w:iCs/>
              </w:rPr>
            </w:pPr>
            <w:r>
              <w:t xml:space="preserve">Revised issue title from </w:t>
            </w:r>
            <w:r>
              <w:rPr>
                <w:i/>
                <w:iCs/>
              </w:rPr>
              <w:t>Chronic effects of</w:t>
            </w:r>
            <w:r>
              <w:t xml:space="preserve"> </w:t>
            </w:r>
            <w:r w:rsidRPr="0026163C">
              <w:rPr>
                <w:i/>
                <w:iCs/>
              </w:rPr>
              <w:t>electromagnetic fields</w:t>
            </w:r>
            <w:r>
              <w:rPr>
                <w:i/>
                <w:iCs/>
              </w:rPr>
              <w:t xml:space="preserve"> (EMFs)</w:t>
            </w:r>
          </w:p>
        </w:tc>
      </w:tr>
      <w:tr w14:paraId="277479C2" w14:textId="77777777" w:rsidTr="0066072E">
        <w:tblPrEx>
          <w:tblW w:w="0" w:type="auto"/>
          <w:jc w:val="center"/>
          <w:tblLook w:val="04A0"/>
        </w:tblPrEx>
        <w:trPr>
          <w:cantSplit/>
          <w:trHeight w:val="368"/>
          <w:jc w:val="center"/>
        </w:trPr>
        <w:tc>
          <w:tcPr>
            <w:tcW w:w="879" w:type="dxa"/>
            <w:shd w:val="clear" w:color="auto" w:fill="FFFFFF" w:themeFill="background1"/>
            <w:vAlign w:val="center"/>
          </w:tcPr>
          <w:p w:rsidR="0078072B" w:rsidRPr="009C3513" w:rsidP="0066072E" w14:paraId="5B9CDC47" w14:textId="77777777">
            <w:pPr>
              <w:jc w:val="center"/>
            </w:pPr>
            <w:r>
              <w:t>63</w:t>
            </w:r>
          </w:p>
        </w:tc>
        <w:tc>
          <w:tcPr>
            <w:tcW w:w="3072" w:type="dxa"/>
            <w:shd w:val="clear" w:color="auto" w:fill="FFFFFF" w:themeFill="background1"/>
            <w:vAlign w:val="center"/>
          </w:tcPr>
          <w:p w:rsidR="0078072B" w:rsidP="0066072E" w14:paraId="2BBB6ECE" w14:textId="77777777">
            <w:r w:rsidRPr="009C3513">
              <w:t>Physical occupational hazards</w:t>
            </w:r>
          </w:p>
        </w:tc>
        <w:tc>
          <w:tcPr>
            <w:tcW w:w="1635" w:type="dxa"/>
            <w:shd w:val="clear" w:color="auto" w:fill="FFFFFF" w:themeFill="background1"/>
            <w:vAlign w:val="center"/>
          </w:tcPr>
          <w:p w:rsidR="0078072B" w:rsidRPr="009C3513" w:rsidP="0066072E" w14:paraId="50969499" w14:textId="77777777">
            <w:pPr>
              <w:jc w:val="center"/>
            </w:pPr>
            <w:r>
              <w:t>1</w:t>
            </w:r>
          </w:p>
        </w:tc>
        <w:tc>
          <w:tcPr>
            <w:tcW w:w="3764" w:type="dxa"/>
            <w:shd w:val="clear" w:color="auto" w:fill="FFFFFF" w:themeFill="background1"/>
            <w:vAlign w:val="center"/>
          </w:tcPr>
          <w:p w:rsidR="0078072B" w:rsidRPr="009C3513" w:rsidP="0066072E" w14:paraId="3BCFA187" w14:textId="77777777">
            <w:r>
              <w:t>No change</w:t>
            </w:r>
          </w:p>
        </w:tc>
      </w:tr>
      <w:tr w14:paraId="786A9318" w14:textId="77777777" w:rsidTr="0066072E">
        <w:tblPrEx>
          <w:tblW w:w="0" w:type="auto"/>
          <w:jc w:val="center"/>
          <w:tblLook w:val="04A0"/>
        </w:tblPrEx>
        <w:trPr>
          <w:cantSplit/>
          <w:trHeight w:val="341"/>
          <w:jc w:val="center"/>
        </w:trPr>
        <w:tc>
          <w:tcPr>
            <w:tcW w:w="879" w:type="dxa"/>
            <w:shd w:val="clear" w:color="auto" w:fill="FFFFFF" w:themeFill="background1"/>
            <w:vAlign w:val="center"/>
          </w:tcPr>
          <w:p w:rsidR="0078072B" w:rsidRPr="009C3513" w:rsidP="0066072E" w14:paraId="3A6FC66B" w14:textId="77777777">
            <w:pPr>
              <w:jc w:val="center"/>
            </w:pPr>
            <w:r>
              <w:t>64</w:t>
            </w:r>
          </w:p>
        </w:tc>
        <w:tc>
          <w:tcPr>
            <w:tcW w:w="3072" w:type="dxa"/>
            <w:shd w:val="clear" w:color="auto" w:fill="FFFFFF" w:themeFill="background1"/>
            <w:vAlign w:val="center"/>
          </w:tcPr>
          <w:p w:rsidR="0078072B" w:rsidP="0066072E" w14:paraId="6D1BC086" w14:textId="77777777">
            <w:r w:rsidRPr="009C3513">
              <w:t>Electric shock hazards</w:t>
            </w:r>
          </w:p>
        </w:tc>
        <w:tc>
          <w:tcPr>
            <w:tcW w:w="1635" w:type="dxa"/>
            <w:shd w:val="clear" w:color="auto" w:fill="FFFFFF" w:themeFill="background1"/>
            <w:vAlign w:val="center"/>
          </w:tcPr>
          <w:p w:rsidR="0078072B" w:rsidRPr="009C3513" w:rsidP="0066072E" w14:paraId="5CB5C3B9" w14:textId="77777777">
            <w:pPr>
              <w:jc w:val="center"/>
            </w:pPr>
            <w:r>
              <w:t>2</w:t>
            </w:r>
          </w:p>
        </w:tc>
        <w:tc>
          <w:tcPr>
            <w:tcW w:w="3764" w:type="dxa"/>
            <w:shd w:val="clear" w:color="auto" w:fill="FFFFFF" w:themeFill="background1"/>
            <w:vAlign w:val="center"/>
          </w:tcPr>
          <w:p w:rsidR="0078072B" w:rsidRPr="009C3513" w:rsidP="0066072E" w14:paraId="4422718A" w14:textId="77777777">
            <w:r>
              <w:t>No change</w:t>
            </w:r>
          </w:p>
        </w:tc>
      </w:tr>
      <w:tr w14:paraId="4F66022F" w14:textId="77777777" w:rsidTr="0066072E">
        <w:tblPrEx>
          <w:tblW w:w="0" w:type="auto"/>
          <w:jc w:val="center"/>
          <w:tblLook w:val="04A0"/>
        </w:tblPrEx>
        <w:trPr>
          <w:cantSplit/>
          <w:trHeight w:val="359"/>
          <w:jc w:val="center"/>
        </w:trPr>
        <w:tc>
          <w:tcPr>
            <w:tcW w:w="9350" w:type="dxa"/>
            <w:gridSpan w:val="4"/>
            <w:shd w:val="clear" w:color="auto" w:fill="D9D9D9" w:themeFill="background1" w:themeFillShade="D9"/>
            <w:vAlign w:val="center"/>
          </w:tcPr>
          <w:p w:rsidR="0078072B" w:rsidRPr="004820C4" w:rsidP="0066072E" w14:paraId="2B9A095D" w14:textId="77777777">
            <w:pPr>
              <w:rPr>
                <w:b/>
                <w:i/>
                <w:iCs/>
              </w:rPr>
            </w:pPr>
            <w:r w:rsidRPr="004820C4">
              <w:rPr>
                <w:b/>
                <w:i/>
                <w:iCs/>
              </w:rPr>
              <w:t>Postulated Accidents</w:t>
            </w:r>
          </w:p>
        </w:tc>
      </w:tr>
      <w:tr w14:paraId="70059CA8" w14:textId="77777777" w:rsidTr="0066072E">
        <w:tblPrEx>
          <w:tblW w:w="0" w:type="auto"/>
          <w:jc w:val="center"/>
          <w:tblLook w:val="04A0"/>
        </w:tblPrEx>
        <w:trPr>
          <w:cantSplit/>
          <w:trHeight w:val="350"/>
          <w:jc w:val="center"/>
        </w:trPr>
        <w:tc>
          <w:tcPr>
            <w:tcW w:w="879" w:type="dxa"/>
            <w:shd w:val="clear" w:color="auto" w:fill="FFFFFF" w:themeFill="background1"/>
            <w:vAlign w:val="center"/>
          </w:tcPr>
          <w:p w:rsidR="0078072B" w:rsidP="0066072E" w14:paraId="176EB745" w14:textId="77777777">
            <w:pPr>
              <w:jc w:val="center"/>
            </w:pPr>
            <w:r>
              <w:t>65</w:t>
            </w:r>
          </w:p>
        </w:tc>
        <w:tc>
          <w:tcPr>
            <w:tcW w:w="3072" w:type="dxa"/>
            <w:shd w:val="clear" w:color="auto" w:fill="FFFFFF" w:themeFill="background1"/>
            <w:vAlign w:val="center"/>
          </w:tcPr>
          <w:p w:rsidR="0078072B" w:rsidP="0066072E" w14:paraId="0D797EA7" w14:textId="77777777">
            <w:r>
              <w:t>Design-basis accidents</w:t>
            </w:r>
          </w:p>
        </w:tc>
        <w:tc>
          <w:tcPr>
            <w:tcW w:w="1635" w:type="dxa"/>
            <w:shd w:val="clear" w:color="auto" w:fill="FFFFFF" w:themeFill="background1"/>
            <w:vAlign w:val="center"/>
          </w:tcPr>
          <w:p w:rsidR="0078072B" w:rsidP="0066072E" w14:paraId="08FC8312" w14:textId="77777777">
            <w:pPr>
              <w:jc w:val="center"/>
            </w:pPr>
            <w:r>
              <w:t>1</w:t>
            </w:r>
          </w:p>
        </w:tc>
        <w:tc>
          <w:tcPr>
            <w:tcW w:w="3764" w:type="dxa"/>
            <w:shd w:val="clear" w:color="auto" w:fill="FFFFFF" w:themeFill="background1"/>
            <w:vAlign w:val="center"/>
          </w:tcPr>
          <w:p w:rsidR="0078072B" w:rsidP="0066072E" w14:paraId="5A3CF811" w14:textId="77777777">
            <w:r>
              <w:t>No change</w:t>
            </w:r>
          </w:p>
        </w:tc>
      </w:tr>
      <w:tr w14:paraId="7461C3A4" w14:textId="77777777" w:rsidTr="0066072E">
        <w:tblPrEx>
          <w:tblW w:w="0" w:type="auto"/>
          <w:jc w:val="center"/>
          <w:tblLook w:val="04A0"/>
        </w:tblPrEx>
        <w:trPr>
          <w:cantSplit/>
          <w:trHeight w:val="1979"/>
          <w:jc w:val="center"/>
        </w:trPr>
        <w:tc>
          <w:tcPr>
            <w:tcW w:w="879" w:type="dxa"/>
            <w:shd w:val="clear" w:color="auto" w:fill="auto"/>
            <w:vAlign w:val="center"/>
          </w:tcPr>
          <w:p w:rsidR="0078072B" w:rsidRPr="00664940" w:rsidP="0066072E" w14:paraId="2257DC3C" w14:textId="77777777">
            <w:pPr>
              <w:jc w:val="center"/>
            </w:pPr>
            <w:r w:rsidRPr="00664940">
              <w:t>6</w:t>
            </w:r>
            <w:r>
              <w:t>6</w:t>
            </w:r>
          </w:p>
        </w:tc>
        <w:tc>
          <w:tcPr>
            <w:tcW w:w="3072" w:type="dxa"/>
            <w:shd w:val="clear" w:color="auto" w:fill="auto"/>
            <w:vAlign w:val="center"/>
          </w:tcPr>
          <w:p w:rsidR="0078072B" w:rsidRPr="004162D7" w:rsidP="0066072E" w14:paraId="1FA89F5F" w14:textId="77777777">
            <w:r w:rsidRPr="004162D7">
              <w:t>Severe accidents</w:t>
            </w:r>
          </w:p>
        </w:tc>
        <w:tc>
          <w:tcPr>
            <w:tcW w:w="1635" w:type="dxa"/>
            <w:shd w:val="clear" w:color="auto" w:fill="auto"/>
            <w:vAlign w:val="center"/>
          </w:tcPr>
          <w:p w:rsidR="0078072B" w:rsidRPr="00664940" w:rsidP="0066072E" w14:paraId="22F6D47C" w14:textId="77777777">
            <w:pPr>
              <w:jc w:val="center"/>
            </w:pPr>
            <w:r w:rsidRPr="00664940">
              <w:t>1</w:t>
            </w:r>
          </w:p>
        </w:tc>
        <w:tc>
          <w:tcPr>
            <w:tcW w:w="3764" w:type="dxa"/>
            <w:shd w:val="clear" w:color="auto" w:fill="auto"/>
            <w:vAlign w:val="center"/>
          </w:tcPr>
          <w:p w:rsidR="0078072B" w:rsidRPr="004820C4" w:rsidP="0066072E" w14:paraId="72424BC5" w14:textId="6627F3DF">
            <w:r>
              <w:t>Revised from a Category 2 issue to a Category 1 issue and</w:t>
            </w:r>
            <w:r w:rsidR="006D5AFA">
              <w:t xml:space="preserve"> revised</w:t>
            </w:r>
            <w:r>
              <w:t xml:space="preserve"> issue finding to </w:t>
            </w:r>
            <w:r w:rsidRPr="004162D7">
              <w:t xml:space="preserve">reflect the fact that the probability-weighted consequences of severe accidents </w:t>
            </w:r>
            <w:r>
              <w:t>are</w:t>
            </w:r>
            <w:r w:rsidRPr="004162D7">
              <w:t xml:space="preserve"> small and to reflect knowledge gained that </w:t>
            </w:r>
            <w:r>
              <w:t>s</w:t>
            </w:r>
            <w:r w:rsidRPr="001047E0">
              <w:t>evere accident mitigation alternatives do not warrant further plant-specific analysis</w:t>
            </w:r>
          </w:p>
        </w:tc>
      </w:tr>
      <w:tr w14:paraId="16B84844" w14:textId="77777777" w:rsidTr="0066072E">
        <w:tblPrEx>
          <w:tblW w:w="0" w:type="auto"/>
          <w:jc w:val="center"/>
          <w:tblLook w:val="04A0"/>
        </w:tblPrEx>
        <w:trPr>
          <w:cantSplit/>
          <w:trHeight w:val="359"/>
          <w:jc w:val="center"/>
        </w:trPr>
        <w:tc>
          <w:tcPr>
            <w:tcW w:w="9350" w:type="dxa"/>
            <w:gridSpan w:val="4"/>
            <w:shd w:val="clear" w:color="auto" w:fill="D9D9D9" w:themeFill="background1" w:themeFillShade="D9"/>
            <w:vAlign w:val="center"/>
          </w:tcPr>
          <w:p w:rsidR="0078072B" w:rsidRPr="003049BD" w:rsidP="0066072E" w14:paraId="659B6D2D" w14:textId="77777777">
            <w:pPr>
              <w:rPr>
                <w:b/>
                <w:i/>
                <w:iCs/>
              </w:rPr>
            </w:pPr>
            <w:r w:rsidRPr="003049BD">
              <w:rPr>
                <w:b/>
                <w:i/>
                <w:iCs/>
              </w:rPr>
              <w:t>Environmental Justice</w:t>
            </w:r>
          </w:p>
        </w:tc>
      </w:tr>
      <w:tr w14:paraId="63A93DB3" w14:textId="77777777" w:rsidTr="0066072E">
        <w:tblPrEx>
          <w:tblW w:w="0" w:type="auto"/>
          <w:jc w:val="center"/>
          <w:tblLook w:val="04A0"/>
        </w:tblPrEx>
        <w:trPr>
          <w:cantSplit/>
          <w:trHeight w:val="548"/>
          <w:jc w:val="center"/>
        </w:trPr>
        <w:tc>
          <w:tcPr>
            <w:tcW w:w="879" w:type="dxa"/>
            <w:shd w:val="clear" w:color="auto" w:fill="FFFFFF" w:themeFill="background1"/>
            <w:vAlign w:val="center"/>
          </w:tcPr>
          <w:p w:rsidR="0078072B" w:rsidP="0066072E" w14:paraId="36B92847" w14:textId="77777777">
            <w:pPr>
              <w:jc w:val="center"/>
            </w:pPr>
            <w:r>
              <w:t>67</w:t>
            </w:r>
          </w:p>
        </w:tc>
        <w:tc>
          <w:tcPr>
            <w:tcW w:w="3072" w:type="dxa"/>
            <w:shd w:val="clear" w:color="auto" w:fill="FFFFFF" w:themeFill="background1"/>
            <w:vAlign w:val="center"/>
          </w:tcPr>
          <w:p w:rsidR="0078072B" w:rsidP="0066072E" w14:paraId="784B01E2" w14:textId="77777777">
            <w:r>
              <w:t>Impacts on m</w:t>
            </w:r>
            <w:r w:rsidRPr="00CE4927">
              <w:t>inority</w:t>
            </w:r>
            <w:r>
              <w:t xml:space="preserve"> populations,</w:t>
            </w:r>
            <w:r w:rsidRPr="00CE4927">
              <w:t xml:space="preserve"> low-income populations</w:t>
            </w:r>
            <w:r>
              <w:t>, and Indian Tribes</w:t>
            </w:r>
          </w:p>
        </w:tc>
        <w:tc>
          <w:tcPr>
            <w:tcW w:w="1635" w:type="dxa"/>
            <w:shd w:val="clear" w:color="auto" w:fill="FFFFFF" w:themeFill="background1"/>
            <w:vAlign w:val="center"/>
          </w:tcPr>
          <w:p w:rsidR="0078072B" w:rsidP="0066072E" w14:paraId="70942FFD" w14:textId="77777777">
            <w:pPr>
              <w:jc w:val="center"/>
            </w:pPr>
            <w:r>
              <w:t>2</w:t>
            </w:r>
          </w:p>
        </w:tc>
        <w:tc>
          <w:tcPr>
            <w:tcW w:w="3764" w:type="dxa"/>
            <w:shd w:val="clear" w:color="auto" w:fill="FFFFFF" w:themeFill="background1"/>
            <w:vAlign w:val="center"/>
          </w:tcPr>
          <w:p w:rsidR="0078072B" w:rsidRPr="00E03A66" w:rsidP="0066072E" w14:paraId="0001E48A" w14:textId="25C3AC99">
            <w:r>
              <w:t xml:space="preserve">Renamed issue title from </w:t>
            </w:r>
            <w:r>
              <w:rPr>
                <w:i/>
                <w:iCs/>
              </w:rPr>
              <w:t xml:space="preserve">Minority and low-income populations </w:t>
            </w:r>
            <w:r>
              <w:t xml:space="preserve">and </w:t>
            </w:r>
            <w:r w:rsidR="005C7F7C">
              <w:t xml:space="preserve">revised </w:t>
            </w:r>
            <w:r>
              <w:t xml:space="preserve">issue finding to consider Indian Tribes and subsistence consumption </w:t>
            </w:r>
          </w:p>
        </w:tc>
      </w:tr>
      <w:tr w14:paraId="135C8A6A" w14:textId="77777777" w:rsidTr="0066072E">
        <w:tblPrEx>
          <w:tblW w:w="0" w:type="auto"/>
          <w:jc w:val="center"/>
          <w:tblLook w:val="04A0"/>
        </w:tblPrEx>
        <w:trPr>
          <w:cantSplit/>
          <w:trHeight w:val="359"/>
          <w:jc w:val="center"/>
        </w:trPr>
        <w:tc>
          <w:tcPr>
            <w:tcW w:w="9350" w:type="dxa"/>
            <w:gridSpan w:val="4"/>
            <w:shd w:val="clear" w:color="auto" w:fill="D9D9D9" w:themeFill="background1" w:themeFillShade="D9"/>
            <w:vAlign w:val="center"/>
          </w:tcPr>
          <w:p w:rsidR="0078072B" w:rsidRPr="003049BD" w:rsidP="0066072E" w14:paraId="6EB0E560" w14:textId="77777777">
            <w:pPr>
              <w:rPr>
                <w:b/>
                <w:i/>
                <w:iCs/>
              </w:rPr>
            </w:pPr>
            <w:r w:rsidRPr="003049BD">
              <w:rPr>
                <w:b/>
                <w:i/>
                <w:iCs/>
              </w:rPr>
              <w:t>Waste Management</w:t>
            </w:r>
          </w:p>
        </w:tc>
      </w:tr>
      <w:tr w14:paraId="1221B355" w14:textId="77777777" w:rsidTr="0066072E">
        <w:tblPrEx>
          <w:tblW w:w="0" w:type="auto"/>
          <w:jc w:val="center"/>
          <w:tblLook w:val="04A0"/>
        </w:tblPrEx>
        <w:trPr>
          <w:cantSplit/>
          <w:trHeight w:val="287"/>
          <w:jc w:val="center"/>
        </w:trPr>
        <w:tc>
          <w:tcPr>
            <w:tcW w:w="879" w:type="dxa"/>
            <w:shd w:val="clear" w:color="auto" w:fill="FFFFFF" w:themeFill="background1"/>
            <w:vAlign w:val="center"/>
          </w:tcPr>
          <w:p w:rsidR="0078072B" w:rsidRPr="00740821" w:rsidP="0066072E" w14:paraId="6036C5C5" w14:textId="77777777">
            <w:pPr>
              <w:jc w:val="center"/>
            </w:pPr>
            <w:r>
              <w:t>68</w:t>
            </w:r>
          </w:p>
        </w:tc>
        <w:tc>
          <w:tcPr>
            <w:tcW w:w="3072" w:type="dxa"/>
            <w:shd w:val="clear" w:color="auto" w:fill="FFFFFF" w:themeFill="background1"/>
            <w:vAlign w:val="center"/>
          </w:tcPr>
          <w:p w:rsidR="0078072B" w:rsidP="0066072E" w14:paraId="304DF86D" w14:textId="77777777">
            <w:r w:rsidRPr="00740821">
              <w:t>Low-level waste storage and disposal</w:t>
            </w:r>
          </w:p>
        </w:tc>
        <w:tc>
          <w:tcPr>
            <w:tcW w:w="1635" w:type="dxa"/>
            <w:shd w:val="clear" w:color="auto" w:fill="FFFFFF" w:themeFill="background1"/>
            <w:vAlign w:val="center"/>
          </w:tcPr>
          <w:p w:rsidR="0078072B" w:rsidRPr="00740821" w:rsidP="0066072E" w14:paraId="3A40299E" w14:textId="77777777">
            <w:pPr>
              <w:jc w:val="center"/>
            </w:pPr>
            <w:r>
              <w:t>1</w:t>
            </w:r>
          </w:p>
        </w:tc>
        <w:tc>
          <w:tcPr>
            <w:tcW w:w="3764" w:type="dxa"/>
            <w:shd w:val="clear" w:color="auto" w:fill="FFFFFF" w:themeFill="background1"/>
            <w:vAlign w:val="center"/>
          </w:tcPr>
          <w:p w:rsidR="0078072B" w:rsidRPr="00740821" w:rsidP="0066072E" w14:paraId="4A8958D5" w14:textId="77777777">
            <w:r>
              <w:t>No change</w:t>
            </w:r>
          </w:p>
        </w:tc>
      </w:tr>
      <w:tr w14:paraId="6CE2C245" w14:textId="77777777" w:rsidTr="0066072E">
        <w:tblPrEx>
          <w:tblW w:w="0" w:type="auto"/>
          <w:jc w:val="center"/>
          <w:tblLook w:val="04A0"/>
        </w:tblPrEx>
        <w:trPr>
          <w:cantSplit/>
          <w:trHeight w:val="350"/>
          <w:jc w:val="center"/>
        </w:trPr>
        <w:tc>
          <w:tcPr>
            <w:tcW w:w="879" w:type="dxa"/>
            <w:shd w:val="clear" w:color="auto" w:fill="FFFFFF" w:themeFill="background1"/>
            <w:vAlign w:val="center"/>
          </w:tcPr>
          <w:p w:rsidR="0078072B" w:rsidP="0066072E" w14:paraId="31E97016" w14:textId="77777777">
            <w:pPr>
              <w:jc w:val="center"/>
            </w:pPr>
            <w:r>
              <w:t>69</w:t>
            </w:r>
          </w:p>
        </w:tc>
        <w:tc>
          <w:tcPr>
            <w:tcW w:w="3072" w:type="dxa"/>
            <w:shd w:val="clear" w:color="auto" w:fill="FFFFFF" w:themeFill="background1"/>
            <w:vAlign w:val="center"/>
          </w:tcPr>
          <w:p w:rsidR="0078072B" w:rsidP="0066072E" w14:paraId="637DDC46" w14:textId="77777777">
            <w:r>
              <w:t>Onsite storage of spent nuclear fuel</w:t>
            </w:r>
          </w:p>
        </w:tc>
        <w:tc>
          <w:tcPr>
            <w:tcW w:w="1635" w:type="dxa"/>
            <w:shd w:val="clear" w:color="auto" w:fill="auto"/>
            <w:vAlign w:val="center"/>
          </w:tcPr>
          <w:p w:rsidR="0078072B" w:rsidP="0066072E" w14:paraId="6E7852ED" w14:textId="77777777">
            <w:pPr>
              <w:jc w:val="center"/>
            </w:pPr>
            <w:r>
              <w:t>1</w:t>
            </w:r>
          </w:p>
        </w:tc>
        <w:tc>
          <w:tcPr>
            <w:tcW w:w="3764" w:type="dxa"/>
            <w:shd w:val="clear" w:color="auto" w:fill="auto"/>
            <w:vAlign w:val="center"/>
          </w:tcPr>
          <w:p w:rsidR="0078072B" w:rsidP="0066072E" w14:paraId="191244B6" w14:textId="77777777">
            <w:r>
              <w:t>No change</w:t>
            </w:r>
          </w:p>
        </w:tc>
      </w:tr>
      <w:tr w14:paraId="4CDB0D4E" w14:textId="77777777" w:rsidTr="0066072E">
        <w:tblPrEx>
          <w:tblW w:w="0" w:type="auto"/>
          <w:jc w:val="center"/>
          <w:tblLook w:val="04A0"/>
        </w:tblPrEx>
        <w:trPr>
          <w:cantSplit/>
          <w:trHeight w:val="350"/>
          <w:jc w:val="center"/>
        </w:trPr>
        <w:tc>
          <w:tcPr>
            <w:tcW w:w="879" w:type="dxa"/>
            <w:shd w:val="clear" w:color="auto" w:fill="FFFFFF" w:themeFill="background1"/>
            <w:vAlign w:val="center"/>
          </w:tcPr>
          <w:p w:rsidR="0078072B" w:rsidRPr="006C4149" w:rsidP="0066072E" w14:paraId="5243CE32" w14:textId="77777777">
            <w:pPr>
              <w:jc w:val="center"/>
            </w:pPr>
            <w:r>
              <w:t>70</w:t>
            </w:r>
          </w:p>
        </w:tc>
        <w:tc>
          <w:tcPr>
            <w:tcW w:w="3072" w:type="dxa"/>
            <w:shd w:val="clear" w:color="auto" w:fill="FFFFFF" w:themeFill="background1"/>
            <w:vAlign w:val="center"/>
          </w:tcPr>
          <w:p w:rsidR="0078072B" w:rsidP="0066072E" w14:paraId="0E4A3B32" w14:textId="77777777">
            <w:r w:rsidRPr="006C4149">
              <w:t>Offsite radiological impacts of spent nuclear fuel and high-level waste disposal</w:t>
            </w:r>
          </w:p>
        </w:tc>
        <w:tc>
          <w:tcPr>
            <w:tcW w:w="1635" w:type="dxa"/>
            <w:shd w:val="clear" w:color="auto" w:fill="auto"/>
            <w:vAlign w:val="center"/>
          </w:tcPr>
          <w:p w:rsidR="0078072B" w:rsidRPr="006C4149" w:rsidP="0066072E" w14:paraId="50CD9746" w14:textId="77777777">
            <w:pPr>
              <w:jc w:val="center"/>
            </w:pPr>
            <w:r>
              <w:t>1</w:t>
            </w:r>
          </w:p>
        </w:tc>
        <w:tc>
          <w:tcPr>
            <w:tcW w:w="3764" w:type="dxa"/>
            <w:shd w:val="clear" w:color="auto" w:fill="auto"/>
            <w:vAlign w:val="center"/>
          </w:tcPr>
          <w:p w:rsidR="0078072B" w:rsidRPr="006C4149" w:rsidP="0066072E" w14:paraId="7A31356A" w14:textId="77777777">
            <w:r>
              <w:t>No change</w:t>
            </w:r>
          </w:p>
        </w:tc>
      </w:tr>
      <w:tr w14:paraId="5EB98778" w14:textId="77777777" w:rsidTr="0066072E">
        <w:tblPrEx>
          <w:tblW w:w="0" w:type="auto"/>
          <w:jc w:val="center"/>
          <w:tblLook w:val="04A0"/>
        </w:tblPrEx>
        <w:trPr>
          <w:cantSplit/>
          <w:trHeight w:val="287"/>
          <w:jc w:val="center"/>
        </w:trPr>
        <w:tc>
          <w:tcPr>
            <w:tcW w:w="879" w:type="dxa"/>
            <w:shd w:val="clear" w:color="auto" w:fill="FFFFFF" w:themeFill="background1"/>
            <w:vAlign w:val="center"/>
          </w:tcPr>
          <w:p w:rsidR="0078072B" w:rsidRPr="00193643" w:rsidP="0066072E" w14:paraId="0A9A5576" w14:textId="77777777">
            <w:pPr>
              <w:jc w:val="center"/>
            </w:pPr>
            <w:r>
              <w:t>71</w:t>
            </w:r>
          </w:p>
        </w:tc>
        <w:tc>
          <w:tcPr>
            <w:tcW w:w="3072" w:type="dxa"/>
            <w:shd w:val="clear" w:color="auto" w:fill="FFFFFF" w:themeFill="background1"/>
            <w:vAlign w:val="center"/>
          </w:tcPr>
          <w:p w:rsidR="0078072B" w:rsidP="0066072E" w14:paraId="5DCD4776" w14:textId="77777777">
            <w:r w:rsidRPr="00193643">
              <w:t>Mixed-waste storage and disposal</w:t>
            </w:r>
          </w:p>
        </w:tc>
        <w:tc>
          <w:tcPr>
            <w:tcW w:w="1635" w:type="dxa"/>
            <w:shd w:val="clear" w:color="auto" w:fill="FFFFFF" w:themeFill="background1"/>
            <w:vAlign w:val="center"/>
          </w:tcPr>
          <w:p w:rsidR="0078072B" w:rsidRPr="00193643" w:rsidP="0066072E" w14:paraId="273B7188" w14:textId="77777777">
            <w:pPr>
              <w:jc w:val="center"/>
            </w:pPr>
            <w:r>
              <w:t>1</w:t>
            </w:r>
          </w:p>
        </w:tc>
        <w:tc>
          <w:tcPr>
            <w:tcW w:w="3764" w:type="dxa"/>
            <w:shd w:val="clear" w:color="auto" w:fill="FFFFFF" w:themeFill="background1"/>
            <w:vAlign w:val="center"/>
          </w:tcPr>
          <w:p w:rsidR="0078072B" w:rsidRPr="00193643" w:rsidP="0066072E" w14:paraId="2E7F24F5" w14:textId="77777777">
            <w:r>
              <w:t>No change</w:t>
            </w:r>
          </w:p>
        </w:tc>
      </w:tr>
      <w:tr w14:paraId="6A81BDA5" w14:textId="77777777" w:rsidTr="0066072E">
        <w:tblPrEx>
          <w:tblW w:w="0" w:type="auto"/>
          <w:jc w:val="center"/>
          <w:tblLook w:val="04A0"/>
        </w:tblPrEx>
        <w:trPr>
          <w:cantSplit/>
          <w:trHeight w:val="350"/>
          <w:jc w:val="center"/>
        </w:trPr>
        <w:tc>
          <w:tcPr>
            <w:tcW w:w="879" w:type="dxa"/>
            <w:shd w:val="clear" w:color="auto" w:fill="FFFFFF" w:themeFill="background1"/>
            <w:vAlign w:val="center"/>
          </w:tcPr>
          <w:p w:rsidR="0078072B" w:rsidRPr="00193643" w:rsidP="0066072E" w14:paraId="0E8EF6D7" w14:textId="77777777">
            <w:pPr>
              <w:jc w:val="center"/>
            </w:pPr>
            <w:r>
              <w:t>72</w:t>
            </w:r>
          </w:p>
        </w:tc>
        <w:tc>
          <w:tcPr>
            <w:tcW w:w="3072" w:type="dxa"/>
            <w:shd w:val="clear" w:color="auto" w:fill="FFFFFF" w:themeFill="background1"/>
            <w:vAlign w:val="center"/>
          </w:tcPr>
          <w:p w:rsidR="0078072B" w:rsidP="0066072E" w14:paraId="1DA04D54" w14:textId="77777777">
            <w:r w:rsidRPr="00193643">
              <w:t>Nonradioactive waste storage and disposal</w:t>
            </w:r>
          </w:p>
        </w:tc>
        <w:tc>
          <w:tcPr>
            <w:tcW w:w="1635" w:type="dxa"/>
            <w:shd w:val="clear" w:color="auto" w:fill="FFFFFF" w:themeFill="background1"/>
            <w:vAlign w:val="center"/>
          </w:tcPr>
          <w:p w:rsidR="0078072B" w:rsidRPr="00193643" w:rsidP="0066072E" w14:paraId="29C36456" w14:textId="77777777">
            <w:pPr>
              <w:jc w:val="center"/>
            </w:pPr>
            <w:r>
              <w:t>1</w:t>
            </w:r>
          </w:p>
        </w:tc>
        <w:tc>
          <w:tcPr>
            <w:tcW w:w="3764" w:type="dxa"/>
            <w:shd w:val="clear" w:color="auto" w:fill="FFFFFF" w:themeFill="background1"/>
            <w:vAlign w:val="center"/>
          </w:tcPr>
          <w:p w:rsidR="0078072B" w:rsidRPr="00193643" w:rsidP="0066072E" w14:paraId="47ED0265" w14:textId="77777777">
            <w:r>
              <w:t>No change</w:t>
            </w:r>
          </w:p>
        </w:tc>
      </w:tr>
      <w:tr w14:paraId="7D089144" w14:textId="77777777" w:rsidTr="0066072E">
        <w:tblPrEx>
          <w:tblW w:w="0" w:type="auto"/>
          <w:jc w:val="center"/>
          <w:tblLook w:val="04A0"/>
        </w:tblPrEx>
        <w:trPr>
          <w:cantSplit/>
          <w:trHeight w:val="350"/>
          <w:jc w:val="center"/>
        </w:trPr>
        <w:tc>
          <w:tcPr>
            <w:tcW w:w="9350" w:type="dxa"/>
            <w:gridSpan w:val="4"/>
            <w:shd w:val="clear" w:color="auto" w:fill="D9D9D9" w:themeFill="background1" w:themeFillShade="D9"/>
            <w:vAlign w:val="center"/>
          </w:tcPr>
          <w:p w:rsidR="0078072B" w:rsidRPr="003870DC" w:rsidP="0066072E" w14:paraId="0E5564CC" w14:textId="77777777">
            <w:pPr>
              <w:rPr>
                <w:b/>
                <w:i/>
                <w:iCs/>
              </w:rPr>
            </w:pPr>
            <w:r w:rsidRPr="00A30B86">
              <w:rPr>
                <w:b/>
                <w:bCs/>
                <w:i/>
                <w:iCs/>
              </w:rPr>
              <w:t>Greenhouse Gas Emissions and Climate Change</w:t>
            </w:r>
          </w:p>
        </w:tc>
      </w:tr>
      <w:tr w14:paraId="08059A77" w14:textId="77777777" w:rsidTr="0066072E">
        <w:tblPrEx>
          <w:tblW w:w="0" w:type="auto"/>
          <w:jc w:val="center"/>
          <w:tblLook w:val="04A0"/>
        </w:tblPrEx>
        <w:trPr>
          <w:cantSplit/>
          <w:trHeight w:val="350"/>
          <w:jc w:val="center"/>
        </w:trPr>
        <w:tc>
          <w:tcPr>
            <w:tcW w:w="879" w:type="dxa"/>
            <w:shd w:val="clear" w:color="auto" w:fill="FFFFFF" w:themeFill="background1"/>
          </w:tcPr>
          <w:p w:rsidR="0078072B" w:rsidP="0066072E" w14:paraId="4CB9CF85" w14:textId="77777777">
            <w:pPr>
              <w:jc w:val="center"/>
            </w:pPr>
            <w:r w:rsidRPr="00061992">
              <w:t>7</w:t>
            </w:r>
            <w:r>
              <w:t>3</w:t>
            </w:r>
          </w:p>
        </w:tc>
        <w:tc>
          <w:tcPr>
            <w:tcW w:w="3072" w:type="dxa"/>
            <w:shd w:val="clear" w:color="auto" w:fill="FFFFFF" w:themeFill="background1"/>
          </w:tcPr>
          <w:p w:rsidR="0078072B" w:rsidRPr="00193643" w:rsidP="0066072E" w14:paraId="0F5AF7DD" w14:textId="77777777">
            <w:r w:rsidRPr="00061992">
              <w:t>Greenhouse gas impacts on climate change</w:t>
            </w:r>
          </w:p>
        </w:tc>
        <w:tc>
          <w:tcPr>
            <w:tcW w:w="1635" w:type="dxa"/>
            <w:shd w:val="clear" w:color="auto" w:fill="FFFFFF" w:themeFill="background1"/>
          </w:tcPr>
          <w:p w:rsidR="0078072B" w:rsidP="0066072E" w14:paraId="2FE384E5" w14:textId="77777777">
            <w:pPr>
              <w:jc w:val="center"/>
            </w:pPr>
            <w:r w:rsidRPr="00061992">
              <w:t>1</w:t>
            </w:r>
          </w:p>
        </w:tc>
        <w:tc>
          <w:tcPr>
            <w:tcW w:w="3764" w:type="dxa"/>
            <w:shd w:val="clear" w:color="auto" w:fill="FFFFFF" w:themeFill="background1"/>
          </w:tcPr>
          <w:p w:rsidR="0078072B" w:rsidP="0066072E" w14:paraId="466E1417" w14:textId="77777777">
            <w:r w:rsidRPr="00061992">
              <w:t>New Category 1</w:t>
            </w:r>
            <w:r>
              <w:t xml:space="preserve"> issue</w:t>
            </w:r>
          </w:p>
        </w:tc>
      </w:tr>
      <w:tr w14:paraId="531CF97A" w14:textId="77777777" w:rsidTr="0066072E">
        <w:tblPrEx>
          <w:tblW w:w="0" w:type="auto"/>
          <w:jc w:val="center"/>
          <w:tblLook w:val="04A0"/>
        </w:tblPrEx>
        <w:trPr>
          <w:cantSplit/>
          <w:trHeight w:val="350"/>
          <w:jc w:val="center"/>
        </w:trPr>
        <w:tc>
          <w:tcPr>
            <w:tcW w:w="879" w:type="dxa"/>
            <w:shd w:val="clear" w:color="auto" w:fill="FFFFFF" w:themeFill="background1"/>
          </w:tcPr>
          <w:p w:rsidR="0078072B" w:rsidP="0066072E" w14:paraId="5A036E1E" w14:textId="77777777">
            <w:pPr>
              <w:jc w:val="center"/>
            </w:pPr>
            <w:r>
              <w:t>74</w:t>
            </w:r>
          </w:p>
        </w:tc>
        <w:tc>
          <w:tcPr>
            <w:tcW w:w="3072" w:type="dxa"/>
            <w:shd w:val="clear" w:color="auto" w:fill="FFFFFF" w:themeFill="background1"/>
          </w:tcPr>
          <w:p w:rsidR="0078072B" w:rsidRPr="00193643" w:rsidP="0066072E" w14:paraId="50A45927" w14:textId="77777777">
            <w:r w:rsidRPr="00973C7E">
              <w:t>Climate change impacts on environmental resources</w:t>
            </w:r>
          </w:p>
        </w:tc>
        <w:tc>
          <w:tcPr>
            <w:tcW w:w="1635" w:type="dxa"/>
            <w:shd w:val="clear" w:color="auto" w:fill="FFFFFF" w:themeFill="background1"/>
          </w:tcPr>
          <w:p w:rsidR="0078072B" w:rsidP="0066072E" w14:paraId="4BFD085B" w14:textId="77777777">
            <w:pPr>
              <w:jc w:val="center"/>
            </w:pPr>
            <w:r w:rsidRPr="00973C7E">
              <w:t>2</w:t>
            </w:r>
          </w:p>
        </w:tc>
        <w:tc>
          <w:tcPr>
            <w:tcW w:w="3764" w:type="dxa"/>
            <w:shd w:val="clear" w:color="auto" w:fill="FFFFFF" w:themeFill="background1"/>
          </w:tcPr>
          <w:p w:rsidR="0078072B" w:rsidP="0066072E" w14:paraId="45366712" w14:textId="77777777">
            <w:r w:rsidRPr="00973C7E">
              <w:t>New Category 2</w:t>
            </w:r>
            <w:r>
              <w:t xml:space="preserve"> issue</w:t>
            </w:r>
          </w:p>
        </w:tc>
      </w:tr>
      <w:tr w14:paraId="0047F9FA" w14:textId="77777777" w:rsidTr="0066072E">
        <w:tblPrEx>
          <w:tblW w:w="0" w:type="auto"/>
          <w:jc w:val="center"/>
          <w:tblLook w:val="04A0"/>
        </w:tblPrEx>
        <w:trPr>
          <w:cantSplit/>
          <w:trHeight w:val="359"/>
          <w:jc w:val="center"/>
        </w:trPr>
        <w:tc>
          <w:tcPr>
            <w:tcW w:w="9350" w:type="dxa"/>
            <w:gridSpan w:val="4"/>
            <w:shd w:val="clear" w:color="auto" w:fill="D9D9D9" w:themeFill="background1" w:themeFillShade="D9"/>
            <w:vAlign w:val="center"/>
          </w:tcPr>
          <w:p w:rsidR="0078072B" w:rsidRPr="003049BD" w:rsidP="0066072E" w14:paraId="199B924B" w14:textId="77777777">
            <w:pPr>
              <w:rPr>
                <w:b/>
                <w:i/>
                <w:iCs/>
              </w:rPr>
            </w:pPr>
            <w:r w:rsidRPr="003049BD">
              <w:rPr>
                <w:b/>
                <w:i/>
                <w:iCs/>
              </w:rPr>
              <w:t xml:space="preserve">Cumulative </w:t>
            </w:r>
            <w:r>
              <w:rPr>
                <w:b/>
                <w:i/>
                <w:iCs/>
              </w:rPr>
              <w:t>Effects</w:t>
            </w:r>
          </w:p>
        </w:tc>
      </w:tr>
      <w:tr w14:paraId="3FADBC38" w14:textId="77777777" w:rsidTr="0066072E">
        <w:tblPrEx>
          <w:tblW w:w="0" w:type="auto"/>
          <w:jc w:val="center"/>
          <w:tblLook w:val="04A0"/>
        </w:tblPrEx>
        <w:trPr>
          <w:cantSplit/>
          <w:trHeight w:val="548"/>
          <w:jc w:val="center"/>
        </w:trPr>
        <w:tc>
          <w:tcPr>
            <w:tcW w:w="879" w:type="dxa"/>
            <w:shd w:val="clear" w:color="auto" w:fill="FFFFFF" w:themeFill="background1"/>
            <w:vAlign w:val="center"/>
          </w:tcPr>
          <w:p w:rsidR="0078072B" w:rsidP="0066072E" w14:paraId="644D9E2C" w14:textId="77777777">
            <w:pPr>
              <w:jc w:val="center"/>
            </w:pPr>
            <w:r>
              <w:t>75</w:t>
            </w:r>
          </w:p>
        </w:tc>
        <w:tc>
          <w:tcPr>
            <w:tcW w:w="3072" w:type="dxa"/>
            <w:shd w:val="clear" w:color="auto" w:fill="FFFFFF" w:themeFill="background1"/>
            <w:vAlign w:val="center"/>
          </w:tcPr>
          <w:p w:rsidR="0078072B" w:rsidP="0066072E" w14:paraId="10B9DA3A" w14:textId="77777777">
            <w:r>
              <w:t>Cumulative effects</w:t>
            </w:r>
          </w:p>
        </w:tc>
        <w:tc>
          <w:tcPr>
            <w:tcW w:w="1635" w:type="dxa"/>
            <w:shd w:val="clear" w:color="auto" w:fill="FFFFFF" w:themeFill="background1"/>
            <w:vAlign w:val="center"/>
          </w:tcPr>
          <w:p w:rsidR="0078072B" w:rsidP="0066072E" w14:paraId="44F59592" w14:textId="77777777">
            <w:pPr>
              <w:jc w:val="center"/>
            </w:pPr>
            <w:r>
              <w:t>2</w:t>
            </w:r>
          </w:p>
        </w:tc>
        <w:tc>
          <w:tcPr>
            <w:tcW w:w="3764" w:type="dxa"/>
            <w:shd w:val="clear" w:color="auto" w:fill="FFFFFF" w:themeFill="background1"/>
            <w:vAlign w:val="center"/>
          </w:tcPr>
          <w:p w:rsidR="0078072B" w:rsidP="0066072E" w14:paraId="1C77EC37" w14:textId="64D92B3C">
            <w:r>
              <w:t xml:space="preserve">Revised issue title from </w:t>
            </w:r>
            <w:r w:rsidRPr="00F64C94">
              <w:rPr>
                <w:i/>
                <w:iCs/>
              </w:rPr>
              <w:t>Cumulative impacts</w:t>
            </w:r>
            <w:r>
              <w:t xml:space="preserve"> and </w:t>
            </w:r>
            <w:r w:rsidR="005C7F7C">
              <w:t xml:space="preserve">revised </w:t>
            </w:r>
            <w:r>
              <w:t>issue finding to reflect changes to Council on Environmental Quality definition at 40 CFR 1508.1(</w:t>
            </w:r>
            <w:r w:rsidR="006D4A2E">
              <w:t>i</w:t>
            </w:r>
            <w:r>
              <w:t>)(3)</w:t>
            </w:r>
          </w:p>
        </w:tc>
      </w:tr>
      <w:tr w14:paraId="1DBB9B33" w14:textId="77777777" w:rsidTr="0066072E">
        <w:tblPrEx>
          <w:tblW w:w="0" w:type="auto"/>
          <w:jc w:val="center"/>
          <w:tblLook w:val="04A0"/>
        </w:tblPrEx>
        <w:trPr>
          <w:cantSplit/>
          <w:trHeight w:val="359"/>
          <w:jc w:val="center"/>
        </w:trPr>
        <w:tc>
          <w:tcPr>
            <w:tcW w:w="9350" w:type="dxa"/>
            <w:gridSpan w:val="4"/>
            <w:shd w:val="clear" w:color="auto" w:fill="D9D9D9" w:themeFill="background1" w:themeFillShade="D9"/>
            <w:vAlign w:val="center"/>
          </w:tcPr>
          <w:p w:rsidR="0078072B" w:rsidRPr="003049BD" w:rsidP="0066072E" w14:paraId="071A79B4" w14:textId="77777777">
            <w:pPr>
              <w:rPr>
                <w:b/>
                <w:i/>
                <w:iCs/>
              </w:rPr>
            </w:pPr>
            <w:r w:rsidRPr="003049BD">
              <w:rPr>
                <w:b/>
                <w:i/>
                <w:iCs/>
              </w:rPr>
              <w:t>Uranium Fuel Cycle</w:t>
            </w:r>
          </w:p>
        </w:tc>
      </w:tr>
      <w:tr w14:paraId="664974B9" w14:textId="77777777" w:rsidTr="0066072E">
        <w:tblPrEx>
          <w:tblW w:w="0" w:type="auto"/>
          <w:jc w:val="center"/>
          <w:tblLook w:val="04A0"/>
        </w:tblPrEx>
        <w:trPr>
          <w:cantSplit/>
          <w:trHeight w:val="548"/>
          <w:jc w:val="center"/>
        </w:trPr>
        <w:tc>
          <w:tcPr>
            <w:tcW w:w="879" w:type="dxa"/>
            <w:shd w:val="clear" w:color="auto" w:fill="FFFFFF" w:themeFill="background1"/>
            <w:vAlign w:val="center"/>
          </w:tcPr>
          <w:p w:rsidR="0078072B" w:rsidRPr="00483B6C" w:rsidP="0066072E" w14:paraId="413DBED5" w14:textId="77777777">
            <w:pPr>
              <w:jc w:val="center"/>
            </w:pPr>
            <w:r>
              <w:t>76</w:t>
            </w:r>
          </w:p>
        </w:tc>
        <w:tc>
          <w:tcPr>
            <w:tcW w:w="3072" w:type="dxa"/>
            <w:shd w:val="clear" w:color="auto" w:fill="FFFFFF" w:themeFill="background1"/>
            <w:vAlign w:val="center"/>
          </w:tcPr>
          <w:p w:rsidR="0078072B" w:rsidP="0066072E" w14:paraId="78CEB9E8" w14:textId="77777777">
            <w:r w:rsidRPr="00483B6C">
              <w:t>Offsite radiological impacts—individual impacts from other than the disposal of spent fuel and high-level waste</w:t>
            </w:r>
          </w:p>
        </w:tc>
        <w:tc>
          <w:tcPr>
            <w:tcW w:w="1635" w:type="dxa"/>
            <w:shd w:val="clear" w:color="auto" w:fill="FFFFFF" w:themeFill="background1"/>
            <w:vAlign w:val="center"/>
          </w:tcPr>
          <w:p w:rsidR="0078072B" w:rsidRPr="00483B6C" w:rsidP="0066072E" w14:paraId="2DBEF2E4" w14:textId="77777777">
            <w:pPr>
              <w:jc w:val="center"/>
            </w:pPr>
            <w:r>
              <w:t>1</w:t>
            </w:r>
          </w:p>
        </w:tc>
        <w:tc>
          <w:tcPr>
            <w:tcW w:w="3764" w:type="dxa"/>
            <w:shd w:val="clear" w:color="auto" w:fill="FFFFFF" w:themeFill="background1"/>
            <w:vAlign w:val="center"/>
          </w:tcPr>
          <w:p w:rsidR="0078072B" w:rsidRPr="00483B6C" w:rsidP="0066072E" w14:paraId="1178E72D" w14:textId="77777777">
            <w:r>
              <w:t>No change</w:t>
            </w:r>
          </w:p>
        </w:tc>
      </w:tr>
      <w:tr w14:paraId="51493780" w14:textId="77777777" w:rsidTr="0066072E">
        <w:tblPrEx>
          <w:tblW w:w="0" w:type="auto"/>
          <w:jc w:val="center"/>
          <w:tblLook w:val="04A0"/>
        </w:tblPrEx>
        <w:trPr>
          <w:cantSplit/>
          <w:trHeight w:val="548"/>
          <w:jc w:val="center"/>
        </w:trPr>
        <w:tc>
          <w:tcPr>
            <w:tcW w:w="879" w:type="dxa"/>
            <w:shd w:val="clear" w:color="auto" w:fill="FFFFFF" w:themeFill="background1"/>
            <w:vAlign w:val="center"/>
          </w:tcPr>
          <w:p w:rsidR="0078072B" w:rsidRPr="00114767" w:rsidP="0066072E" w14:paraId="2B0FD312" w14:textId="77777777">
            <w:pPr>
              <w:jc w:val="center"/>
            </w:pPr>
            <w:r>
              <w:t>77</w:t>
            </w:r>
          </w:p>
        </w:tc>
        <w:tc>
          <w:tcPr>
            <w:tcW w:w="3072" w:type="dxa"/>
            <w:shd w:val="clear" w:color="auto" w:fill="FFFFFF" w:themeFill="background1"/>
            <w:vAlign w:val="center"/>
          </w:tcPr>
          <w:p w:rsidR="0078072B" w:rsidP="0066072E" w14:paraId="192128AB" w14:textId="77777777">
            <w:r w:rsidRPr="00114767">
              <w:t>Offsite radiological impacts—collective impacts from other than the disposal of spent fuel and high-level waste</w:t>
            </w:r>
          </w:p>
        </w:tc>
        <w:tc>
          <w:tcPr>
            <w:tcW w:w="1635" w:type="dxa"/>
            <w:shd w:val="clear" w:color="auto" w:fill="FFFFFF" w:themeFill="background1"/>
            <w:vAlign w:val="center"/>
          </w:tcPr>
          <w:p w:rsidR="0078072B" w:rsidRPr="00114767" w:rsidP="0066072E" w14:paraId="2821D468" w14:textId="77777777">
            <w:pPr>
              <w:jc w:val="center"/>
            </w:pPr>
            <w:r>
              <w:t>1</w:t>
            </w:r>
          </w:p>
        </w:tc>
        <w:tc>
          <w:tcPr>
            <w:tcW w:w="3764" w:type="dxa"/>
            <w:shd w:val="clear" w:color="auto" w:fill="FFFFFF" w:themeFill="background1"/>
            <w:vAlign w:val="center"/>
          </w:tcPr>
          <w:p w:rsidR="0078072B" w:rsidRPr="00114767" w:rsidP="0066072E" w14:paraId="34DE5AAC" w14:textId="77777777">
            <w:r>
              <w:t>No change</w:t>
            </w:r>
          </w:p>
        </w:tc>
      </w:tr>
      <w:tr w14:paraId="40D3CB86" w14:textId="77777777" w:rsidTr="0066072E">
        <w:tblPrEx>
          <w:tblW w:w="0" w:type="auto"/>
          <w:jc w:val="center"/>
          <w:tblLook w:val="04A0"/>
        </w:tblPrEx>
        <w:trPr>
          <w:cantSplit/>
          <w:trHeight w:val="548"/>
          <w:jc w:val="center"/>
        </w:trPr>
        <w:tc>
          <w:tcPr>
            <w:tcW w:w="879" w:type="dxa"/>
            <w:shd w:val="clear" w:color="auto" w:fill="FFFFFF" w:themeFill="background1"/>
            <w:vAlign w:val="center"/>
          </w:tcPr>
          <w:p w:rsidR="0078072B" w:rsidRPr="00114767" w:rsidP="0066072E" w14:paraId="00E2FA21" w14:textId="77777777">
            <w:pPr>
              <w:jc w:val="center"/>
            </w:pPr>
            <w:r>
              <w:t>78</w:t>
            </w:r>
          </w:p>
        </w:tc>
        <w:tc>
          <w:tcPr>
            <w:tcW w:w="3072" w:type="dxa"/>
            <w:shd w:val="clear" w:color="auto" w:fill="FFFFFF" w:themeFill="background1"/>
            <w:vAlign w:val="center"/>
          </w:tcPr>
          <w:p w:rsidR="0078072B" w:rsidP="0066072E" w14:paraId="1EA26230" w14:textId="77777777">
            <w:r w:rsidRPr="00114767">
              <w:t>Nonradiological impacts of the uranium fuel cycle</w:t>
            </w:r>
          </w:p>
        </w:tc>
        <w:tc>
          <w:tcPr>
            <w:tcW w:w="1635" w:type="dxa"/>
            <w:shd w:val="clear" w:color="auto" w:fill="FFFFFF" w:themeFill="background1"/>
            <w:vAlign w:val="center"/>
          </w:tcPr>
          <w:p w:rsidR="0078072B" w:rsidRPr="00114767" w:rsidP="0066072E" w14:paraId="569D86A2" w14:textId="77777777">
            <w:pPr>
              <w:jc w:val="center"/>
            </w:pPr>
            <w:r>
              <w:t>1</w:t>
            </w:r>
          </w:p>
        </w:tc>
        <w:tc>
          <w:tcPr>
            <w:tcW w:w="3764" w:type="dxa"/>
            <w:shd w:val="clear" w:color="auto" w:fill="FFFFFF" w:themeFill="background1"/>
            <w:vAlign w:val="center"/>
          </w:tcPr>
          <w:p w:rsidR="0078072B" w:rsidRPr="00114767" w:rsidP="0066072E" w14:paraId="7442C6DC" w14:textId="77777777">
            <w:r>
              <w:t>No change</w:t>
            </w:r>
          </w:p>
        </w:tc>
      </w:tr>
      <w:tr w14:paraId="2278B8D8" w14:textId="77777777" w:rsidTr="0066072E">
        <w:tblPrEx>
          <w:tblW w:w="0" w:type="auto"/>
          <w:jc w:val="center"/>
          <w:tblLook w:val="04A0"/>
        </w:tblPrEx>
        <w:trPr>
          <w:cantSplit/>
          <w:trHeight w:val="332"/>
          <w:jc w:val="center"/>
        </w:trPr>
        <w:tc>
          <w:tcPr>
            <w:tcW w:w="879" w:type="dxa"/>
            <w:shd w:val="clear" w:color="auto" w:fill="FFFFFF" w:themeFill="background1"/>
            <w:vAlign w:val="center"/>
          </w:tcPr>
          <w:p w:rsidR="0078072B" w:rsidRPr="003673E7" w:rsidP="0066072E" w14:paraId="1833B936" w14:textId="77777777">
            <w:pPr>
              <w:jc w:val="center"/>
            </w:pPr>
            <w:r>
              <w:t>79</w:t>
            </w:r>
          </w:p>
        </w:tc>
        <w:tc>
          <w:tcPr>
            <w:tcW w:w="3072" w:type="dxa"/>
            <w:shd w:val="clear" w:color="auto" w:fill="FFFFFF" w:themeFill="background1"/>
            <w:vAlign w:val="center"/>
          </w:tcPr>
          <w:p w:rsidR="0078072B" w:rsidP="0066072E" w14:paraId="135504D1" w14:textId="77777777">
            <w:r w:rsidRPr="003673E7">
              <w:t>Transportation</w:t>
            </w:r>
          </w:p>
        </w:tc>
        <w:tc>
          <w:tcPr>
            <w:tcW w:w="1635" w:type="dxa"/>
            <w:shd w:val="clear" w:color="auto" w:fill="FFFFFF" w:themeFill="background1"/>
            <w:vAlign w:val="center"/>
          </w:tcPr>
          <w:p w:rsidR="0078072B" w:rsidRPr="003673E7" w:rsidP="0066072E" w14:paraId="3FA6823E" w14:textId="77777777">
            <w:pPr>
              <w:jc w:val="center"/>
            </w:pPr>
            <w:r>
              <w:t>1</w:t>
            </w:r>
          </w:p>
        </w:tc>
        <w:tc>
          <w:tcPr>
            <w:tcW w:w="3764" w:type="dxa"/>
            <w:shd w:val="clear" w:color="auto" w:fill="FFFFFF" w:themeFill="background1"/>
            <w:vAlign w:val="center"/>
          </w:tcPr>
          <w:p w:rsidR="0078072B" w:rsidRPr="003673E7" w:rsidP="0066072E" w14:paraId="71DF66D4" w14:textId="77777777">
            <w:r>
              <w:t>No change</w:t>
            </w:r>
          </w:p>
        </w:tc>
      </w:tr>
      <w:tr w14:paraId="289C0234" w14:textId="77777777" w:rsidTr="0066072E">
        <w:tblPrEx>
          <w:tblW w:w="0" w:type="auto"/>
          <w:jc w:val="center"/>
          <w:tblLook w:val="04A0"/>
        </w:tblPrEx>
        <w:trPr>
          <w:cantSplit/>
          <w:trHeight w:val="359"/>
          <w:jc w:val="center"/>
        </w:trPr>
        <w:tc>
          <w:tcPr>
            <w:tcW w:w="9350" w:type="dxa"/>
            <w:gridSpan w:val="4"/>
            <w:shd w:val="clear" w:color="auto" w:fill="D9D9D9" w:themeFill="background1" w:themeFillShade="D9"/>
            <w:vAlign w:val="center"/>
          </w:tcPr>
          <w:p w:rsidR="0078072B" w:rsidRPr="005B3DC0" w:rsidP="0066072E" w14:paraId="0C580A9E" w14:textId="77777777">
            <w:pPr>
              <w:rPr>
                <w:b/>
                <w:i/>
                <w:iCs/>
              </w:rPr>
            </w:pPr>
            <w:r w:rsidRPr="005B3DC0">
              <w:rPr>
                <w:b/>
                <w:i/>
                <w:iCs/>
              </w:rPr>
              <w:t>Termination of Nuclear Power Plant Operations and Decommissioning</w:t>
            </w:r>
          </w:p>
        </w:tc>
      </w:tr>
      <w:tr w14:paraId="508EC439" w14:textId="77777777" w:rsidTr="0066072E">
        <w:tblPrEx>
          <w:tblW w:w="0" w:type="auto"/>
          <w:jc w:val="center"/>
          <w:tblLook w:val="04A0"/>
        </w:tblPrEx>
        <w:trPr>
          <w:cantSplit/>
          <w:trHeight w:val="548"/>
          <w:jc w:val="center"/>
        </w:trPr>
        <w:tc>
          <w:tcPr>
            <w:tcW w:w="879" w:type="dxa"/>
            <w:shd w:val="clear" w:color="auto" w:fill="FFFFFF" w:themeFill="background1"/>
            <w:vAlign w:val="center"/>
          </w:tcPr>
          <w:p w:rsidR="0078072B" w:rsidRPr="003F033A" w:rsidP="0066072E" w14:paraId="040D3E37" w14:textId="77777777">
            <w:pPr>
              <w:jc w:val="center"/>
            </w:pPr>
            <w:r>
              <w:t>80</w:t>
            </w:r>
          </w:p>
        </w:tc>
        <w:tc>
          <w:tcPr>
            <w:tcW w:w="3072" w:type="dxa"/>
            <w:shd w:val="clear" w:color="auto" w:fill="FFFFFF" w:themeFill="background1"/>
            <w:vAlign w:val="center"/>
          </w:tcPr>
          <w:p w:rsidR="0078072B" w:rsidP="0066072E" w14:paraId="0B1875BD" w14:textId="77777777">
            <w:r w:rsidRPr="003F033A">
              <w:t>Termination of plant operations and decommissioning</w:t>
            </w:r>
          </w:p>
        </w:tc>
        <w:tc>
          <w:tcPr>
            <w:tcW w:w="1635" w:type="dxa"/>
            <w:shd w:val="clear" w:color="auto" w:fill="FFFFFF" w:themeFill="background1"/>
            <w:vAlign w:val="center"/>
          </w:tcPr>
          <w:p w:rsidR="0078072B" w:rsidRPr="003F033A" w:rsidP="0066072E" w14:paraId="44697826" w14:textId="77777777">
            <w:pPr>
              <w:jc w:val="center"/>
            </w:pPr>
            <w:r>
              <w:t>1</w:t>
            </w:r>
          </w:p>
        </w:tc>
        <w:tc>
          <w:tcPr>
            <w:tcW w:w="3764" w:type="dxa"/>
            <w:shd w:val="clear" w:color="auto" w:fill="FFFFFF" w:themeFill="background1"/>
            <w:vAlign w:val="center"/>
          </w:tcPr>
          <w:p w:rsidR="0078072B" w:rsidRPr="003F033A" w:rsidP="0066072E" w14:paraId="1D333541" w14:textId="77777777">
            <w:r>
              <w:t>No change</w:t>
            </w:r>
          </w:p>
        </w:tc>
      </w:tr>
    </w:tbl>
    <w:p w:rsidR="0078072B" w:rsidRPr="00A800AE" w:rsidP="0078072B" w14:paraId="100A8EBC" w14:textId="32760F42">
      <w:pPr>
        <w:spacing w:before="60" w:after="60"/>
        <w:rPr>
          <w:sz w:val="18"/>
          <w:szCs w:val="18"/>
        </w:rPr>
      </w:pPr>
      <w:r w:rsidRPr="00834685">
        <w:rPr>
          <w:sz w:val="18"/>
          <w:vertAlign w:val="superscript"/>
        </w:rPr>
        <w:t>a</w:t>
      </w:r>
      <w:r>
        <w:rPr>
          <w:sz w:val="18"/>
          <w:szCs w:val="18"/>
        </w:rPr>
        <w:t xml:space="preserve"> </w:t>
      </w:r>
      <w:r w:rsidRPr="00A800AE">
        <w:rPr>
          <w:sz w:val="18"/>
          <w:szCs w:val="18"/>
        </w:rPr>
        <w:t>Th</w:t>
      </w:r>
      <w:r>
        <w:rPr>
          <w:sz w:val="18"/>
          <w:szCs w:val="18"/>
        </w:rPr>
        <w:t>r</w:t>
      </w:r>
      <w:r w:rsidRPr="00A800AE">
        <w:rPr>
          <w:sz w:val="18"/>
          <w:szCs w:val="18"/>
        </w:rPr>
        <w:t>e</w:t>
      </w:r>
      <w:r>
        <w:rPr>
          <w:sz w:val="18"/>
          <w:szCs w:val="18"/>
        </w:rPr>
        <w:t>e of the four</w:t>
      </w:r>
      <w:r w:rsidRPr="00A800AE">
        <w:rPr>
          <w:sz w:val="18"/>
          <w:szCs w:val="18"/>
        </w:rPr>
        <w:t xml:space="preserve"> </w:t>
      </w:r>
      <w:r w:rsidR="005C7F7C">
        <w:rPr>
          <w:sz w:val="18"/>
          <w:szCs w:val="18"/>
        </w:rPr>
        <w:t>f</w:t>
      </w:r>
      <w:r w:rsidRPr="00A800AE">
        <w:rPr>
          <w:sz w:val="18"/>
          <w:szCs w:val="18"/>
        </w:rPr>
        <w:t xml:space="preserve">ederally </w:t>
      </w:r>
      <w:r>
        <w:rPr>
          <w:sz w:val="18"/>
          <w:szCs w:val="18"/>
        </w:rPr>
        <w:t>p</w:t>
      </w:r>
      <w:r w:rsidRPr="00A800AE">
        <w:rPr>
          <w:sz w:val="18"/>
          <w:szCs w:val="18"/>
        </w:rPr>
        <w:t xml:space="preserve">rotected </w:t>
      </w:r>
      <w:r>
        <w:rPr>
          <w:sz w:val="18"/>
          <w:szCs w:val="18"/>
        </w:rPr>
        <w:t>e</w:t>
      </w:r>
      <w:r w:rsidRPr="00A800AE">
        <w:rPr>
          <w:sz w:val="18"/>
          <w:szCs w:val="18"/>
        </w:rPr>
        <w:t xml:space="preserve">cological </w:t>
      </w:r>
      <w:r>
        <w:rPr>
          <w:sz w:val="18"/>
          <w:szCs w:val="18"/>
        </w:rPr>
        <w:t>r</w:t>
      </w:r>
      <w:r w:rsidRPr="00A800AE">
        <w:rPr>
          <w:sz w:val="18"/>
          <w:szCs w:val="18"/>
        </w:rPr>
        <w:t xml:space="preserve">esources issues are not new issues. </w:t>
      </w:r>
      <w:r>
        <w:rPr>
          <w:sz w:val="18"/>
          <w:szCs w:val="18"/>
        </w:rPr>
        <w:t xml:space="preserve">Issues 47–49 were subdivided from </w:t>
      </w:r>
      <w:r w:rsidRPr="00A800AE">
        <w:rPr>
          <w:sz w:val="18"/>
          <w:szCs w:val="18"/>
        </w:rPr>
        <w:t xml:space="preserve">an existing issue </w:t>
      </w:r>
      <w:r>
        <w:rPr>
          <w:sz w:val="18"/>
          <w:szCs w:val="18"/>
        </w:rPr>
        <w:t xml:space="preserve">in accordance with applicable </w:t>
      </w:r>
      <w:r w:rsidRPr="00A800AE">
        <w:rPr>
          <w:sz w:val="18"/>
          <w:szCs w:val="18"/>
        </w:rPr>
        <w:t>Federal statu</w:t>
      </w:r>
      <w:r>
        <w:rPr>
          <w:sz w:val="18"/>
          <w:szCs w:val="18"/>
        </w:rPr>
        <w:t>t</w:t>
      </w:r>
      <w:r w:rsidRPr="00A800AE">
        <w:rPr>
          <w:sz w:val="18"/>
          <w:szCs w:val="18"/>
        </w:rPr>
        <w:t>e and interagency consultation requirement</w:t>
      </w:r>
      <w:r>
        <w:rPr>
          <w:sz w:val="18"/>
          <w:szCs w:val="18"/>
        </w:rPr>
        <w:t>s. Issue 50 specifically addresses a newly identified Federal statute</w:t>
      </w:r>
      <w:r w:rsidRPr="00A800AE">
        <w:rPr>
          <w:sz w:val="18"/>
          <w:szCs w:val="18"/>
        </w:rPr>
        <w:t xml:space="preserve"> and interagency consultation requirement.</w:t>
      </w:r>
    </w:p>
    <w:p w:rsidR="0078072B" w:rsidRPr="00F85420" w:rsidP="0078072B" w14:paraId="0012757A" w14:textId="76342F77">
      <w:pPr>
        <w:spacing w:before="60" w:after="60"/>
        <w:rPr>
          <w:sz w:val="18"/>
          <w:highlight w:val="yellow"/>
        </w:rPr>
      </w:pPr>
      <w:r w:rsidRPr="00834685">
        <w:rPr>
          <w:sz w:val="18"/>
        </w:rPr>
        <w:t>Note: All issues in Table B</w:t>
      </w:r>
      <w:r>
        <w:rPr>
          <w:sz w:val="18"/>
          <w:szCs w:val="18"/>
        </w:rPr>
        <w:noBreakHyphen/>
      </w:r>
      <w:r w:rsidRPr="00834685">
        <w:rPr>
          <w:sz w:val="18"/>
        </w:rPr>
        <w:t xml:space="preserve">1 fully account for </w:t>
      </w:r>
      <w:r w:rsidR="00AC72E2">
        <w:rPr>
          <w:sz w:val="18"/>
        </w:rPr>
        <w:t>subsequent license renewal</w:t>
      </w:r>
      <w:r w:rsidRPr="00834685">
        <w:rPr>
          <w:sz w:val="18"/>
        </w:rPr>
        <w:t xml:space="preserve"> and are based on the findings described in the revised </w:t>
      </w:r>
      <w:r w:rsidRPr="00A84229">
        <w:rPr>
          <w:sz w:val="18"/>
          <w:szCs w:val="18"/>
        </w:rPr>
        <w:t>NUREG</w:t>
      </w:r>
      <w:r>
        <w:rPr>
          <w:sz w:val="18"/>
          <w:szCs w:val="18"/>
        </w:rPr>
        <w:noBreakHyphen/>
      </w:r>
      <w:r w:rsidRPr="00A84229">
        <w:rPr>
          <w:sz w:val="18"/>
          <w:szCs w:val="18"/>
        </w:rPr>
        <w:t xml:space="preserve">1437, “Generic Environmental Impact Statement for License Renewal of Nuclear Plants” </w:t>
      </w:r>
      <w:r>
        <w:rPr>
          <w:sz w:val="18"/>
          <w:szCs w:val="18"/>
        </w:rPr>
        <w:t>(</w:t>
      </w:r>
      <w:r w:rsidRPr="00C558F8">
        <w:rPr>
          <w:sz w:val="18"/>
          <w:szCs w:val="18"/>
        </w:rPr>
        <w:t>LR</w:t>
      </w:r>
      <w:r w:rsidRPr="00F85420">
        <w:rPr>
          <w:sz w:val="18"/>
        </w:rPr>
        <w:t> GEIS</w:t>
      </w:r>
      <w:r>
        <w:rPr>
          <w:sz w:val="18"/>
          <w:szCs w:val="18"/>
        </w:rPr>
        <w:t>)</w:t>
      </w:r>
      <w:r w:rsidRPr="00C558F8">
        <w:rPr>
          <w:sz w:val="18"/>
          <w:szCs w:val="18"/>
        </w:rPr>
        <w:t>.</w:t>
      </w:r>
    </w:p>
    <w:p w:rsidR="0078072B" w:rsidP="0078072B" w14:paraId="5F317F1E" w14:textId="77777777">
      <w:pPr>
        <w:spacing w:before="60" w:after="60"/>
        <w:rPr>
          <w:highlight w:val="yellow"/>
        </w:rPr>
      </w:pPr>
    </w:p>
    <w:p w:rsidR="0078072B" w:rsidRPr="00DF381F" w:rsidP="0078072B" w14:paraId="08E68BC7" w14:textId="4654464F">
      <w:pPr>
        <w:pStyle w:val="Caption"/>
        <w:jc w:val="center"/>
        <w:rPr>
          <w:b/>
        </w:rPr>
      </w:pPr>
      <w:bookmarkStart w:id="67" w:name="_Toc112274732"/>
      <w:bookmarkStart w:id="68" w:name="_Toc147923426"/>
      <w:r w:rsidRPr="00DF381F">
        <w:rPr>
          <w:b/>
        </w:rPr>
        <w:t>Table A</w:t>
      </w:r>
      <w:r w:rsidRPr="00DF381F">
        <w:rPr>
          <w:b/>
        </w:rPr>
        <w:noBreakHyphen/>
      </w:r>
      <w:r w:rsidRPr="00DF381F">
        <w:rPr>
          <w:b/>
        </w:rPr>
        <w:fldChar w:fldCharType="begin"/>
      </w:r>
      <w:r>
        <w:instrText>SEQ Table \* ARABIC</w:instrText>
      </w:r>
      <w:r w:rsidRPr="00DF381F">
        <w:rPr>
          <w:b/>
        </w:rPr>
        <w:fldChar w:fldCharType="separate"/>
      </w:r>
      <w:r w:rsidRPr="00DF381F">
        <w:rPr>
          <w:b/>
          <w:noProof/>
        </w:rPr>
        <w:t>2</w:t>
      </w:r>
      <w:r w:rsidRPr="00DF381F">
        <w:rPr>
          <w:b/>
        </w:rPr>
        <w:fldChar w:fldCharType="end"/>
      </w:r>
      <w:r w:rsidRPr="00C558F8">
        <w:rPr>
          <w:b/>
          <w:bCs w:val="0"/>
        </w:rPr>
        <w:t xml:space="preserve">  </w:t>
      </w:r>
      <w:r w:rsidRPr="00DF381F">
        <w:rPr>
          <w:b/>
        </w:rPr>
        <w:t>Major Assumptions and Input Data</w:t>
      </w:r>
      <w:bookmarkEnd w:id="67"/>
      <w:bookmarkEnd w:id="68"/>
    </w:p>
    <w:tbl>
      <w:tblPr>
        <w:tblW w:w="10260" w:type="dxa"/>
        <w:jc w:val="center"/>
        <w:tblLook w:val="04A0"/>
      </w:tblPr>
      <w:tblGrid>
        <w:gridCol w:w="1895"/>
        <w:gridCol w:w="1260"/>
        <w:gridCol w:w="1339"/>
        <w:gridCol w:w="1217"/>
        <w:gridCol w:w="1314"/>
        <w:gridCol w:w="1217"/>
        <w:gridCol w:w="2018"/>
      </w:tblGrid>
      <w:tr w14:paraId="21E81708" w14:textId="77777777" w:rsidTr="0066072E">
        <w:tblPrEx>
          <w:tblW w:w="10260" w:type="dxa"/>
          <w:jc w:val="center"/>
          <w:tblLook w:val="04A0"/>
        </w:tblPrEx>
        <w:trPr>
          <w:trHeight w:val="520"/>
          <w:tblHeader/>
          <w:jc w:val="center"/>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72B" w:rsidRPr="00BB2EEC" w:rsidP="0066072E" w14:paraId="0F8D054C" w14:textId="77777777">
            <w:pPr>
              <w:autoSpaceDE/>
              <w:autoSpaceDN/>
              <w:adjustRightInd/>
              <w:spacing w:line="240" w:lineRule="auto"/>
              <w:rPr>
                <w:rFonts w:eastAsia="Times New Roman"/>
                <w:b/>
                <w:bCs/>
                <w:color w:val="000000"/>
                <w:sz w:val="18"/>
                <w:szCs w:val="18"/>
              </w:rPr>
            </w:pPr>
            <w:r w:rsidRPr="00BB2EEC">
              <w:rPr>
                <w:rFonts w:eastAsia="Times New Roman"/>
                <w:b/>
                <w:bCs/>
                <w:color w:val="000000"/>
                <w:sz w:val="18"/>
                <w:szCs w:val="18"/>
              </w:rPr>
              <w:t>Description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8072B" w:rsidRPr="00BB2EEC" w:rsidP="0066072E" w14:paraId="3010EA56" w14:textId="77777777">
            <w:pPr>
              <w:autoSpaceDE/>
              <w:autoSpaceDN/>
              <w:adjustRightInd/>
              <w:spacing w:line="240" w:lineRule="auto"/>
              <w:jc w:val="center"/>
              <w:rPr>
                <w:rFonts w:eastAsia="Times New Roman"/>
                <w:b/>
                <w:bCs/>
                <w:color w:val="000000"/>
                <w:sz w:val="18"/>
                <w:szCs w:val="18"/>
              </w:rPr>
            </w:pPr>
            <w:r w:rsidRPr="00BB2EEC">
              <w:rPr>
                <w:rFonts w:eastAsia="Times New Roman"/>
                <w:b/>
                <w:bCs/>
                <w:color w:val="000000"/>
                <w:sz w:val="18"/>
                <w:szCs w:val="18"/>
              </w:rPr>
              <w:t>Mean Estimate</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rsidR="0078072B" w:rsidRPr="00BB2EEC" w:rsidP="0066072E" w14:paraId="13FAA1CA" w14:textId="77777777">
            <w:pPr>
              <w:autoSpaceDE/>
              <w:autoSpaceDN/>
              <w:adjustRightInd/>
              <w:spacing w:line="240" w:lineRule="auto"/>
              <w:jc w:val="center"/>
              <w:rPr>
                <w:rFonts w:eastAsia="Times New Roman"/>
                <w:b/>
                <w:bCs/>
                <w:color w:val="000000"/>
                <w:sz w:val="18"/>
                <w:szCs w:val="18"/>
              </w:rPr>
            </w:pPr>
            <w:r w:rsidRPr="00BB2EEC">
              <w:rPr>
                <w:rFonts w:eastAsia="Times New Roman"/>
                <w:b/>
                <w:bCs/>
                <w:color w:val="000000"/>
                <w:sz w:val="18"/>
                <w:szCs w:val="18"/>
              </w:rPr>
              <w:t>Distribution</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78072B" w:rsidRPr="00BB2EEC" w:rsidP="0066072E" w14:paraId="111D6CDF" w14:textId="77777777">
            <w:pPr>
              <w:autoSpaceDE/>
              <w:autoSpaceDN/>
              <w:adjustRightInd/>
              <w:spacing w:line="240" w:lineRule="auto"/>
              <w:jc w:val="center"/>
              <w:rPr>
                <w:rFonts w:eastAsia="Times New Roman"/>
                <w:b/>
                <w:bCs/>
                <w:color w:val="000000"/>
                <w:sz w:val="18"/>
                <w:szCs w:val="18"/>
              </w:rPr>
            </w:pPr>
            <w:r w:rsidRPr="00BB2EEC">
              <w:rPr>
                <w:rFonts w:eastAsia="Times New Roman"/>
                <w:b/>
                <w:bCs/>
                <w:color w:val="000000"/>
                <w:sz w:val="18"/>
                <w:szCs w:val="18"/>
              </w:rPr>
              <w:t>Low Estimate</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78072B" w:rsidRPr="00BB2EEC" w:rsidP="0066072E" w14:paraId="30E65A1D" w14:textId="77777777">
            <w:pPr>
              <w:autoSpaceDE/>
              <w:autoSpaceDN/>
              <w:adjustRightInd/>
              <w:spacing w:line="240" w:lineRule="auto"/>
              <w:jc w:val="center"/>
              <w:rPr>
                <w:rFonts w:eastAsia="Times New Roman"/>
                <w:b/>
                <w:bCs/>
                <w:color w:val="000000"/>
                <w:sz w:val="18"/>
                <w:szCs w:val="18"/>
              </w:rPr>
            </w:pPr>
            <w:r w:rsidRPr="00BB2EEC">
              <w:rPr>
                <w:rFonts w:eastAsia="Times New Roman"/>
                <w:b/>
                <w:bCs/>
                <w:color w:val="000000"/>
                <w:sz w:val="18"/>
                <w:szCs w:val="18"/>
              </w:rPr>
              <w:t>Most Likely Estimate</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78072B" w:rsidRPr="00BB2EEC" w:rsidP="0066072E" w14:paraId="101BDFBB" w14:textId="77777777">
            <w:pPr>
              <w:autoSpaceDE/>
              <w:autoSpaceDN/>
              <w:adjustRightInd/>
              <w:spacing w:line="240" w:lineRule="auto"/>
              <w:jc w:val="center"/>
              <w:rPr>
                <w:rFonts w:eastAsia="Times New Roman"/>
                <w:b/>
                <w:bCs/>
                <w:color w:val="000000"/>
                <w:sz w:val="18"/>
                <w:szCs w:val="18"/>
              </w:rPr>
            </w:pPr>
            <w:r w:rsidRPr="00BB2EEC">
              <w:rPr>
                <w:rFonts w:eastAsia="Times New Roman"/>
                <w:b/>
                <w:bCs/>
                <w:color w:val="000000"/>
                <w:sz w:val="18"/>
                <w:szCs w:val="18"/>
              </w:rPr>
              <w:t>High Estimate</w:t>
            </w:r>
          </w:p>
        </w:tc>
        <w:tc>
          <w:tcPr>
            <w:tcW w:w="2018" w:type="dxa"/>
            <w:tcBorders>
              <w:top w:val="single" w:sz="4" w:space="0" w:color="auto"/>
              <w:left w:val="nil"/>
              <w:bottom w:val="single" w:sz="4" w:space="0" w:color="auto"/>
              <w:right w:val="single" w:sz="4" w:space="0" w:color="auto"/>
            </w:tcBorders>
            <w:shd w:val="clear" w:color="auto" w:fill="auto"/>
            <w:noWrap/>
            <w:vAlign w:val="center"/>
            <w:hideMark/>
          </w:tcPr>
          <w:p w:rsidR="0078072B" w:rsidRPr="00BB2EEC" w:rsidP="0066072E" w14:paraId="1862D091" w14:textId="77777777">
            <w:pPr>
              <w:autoSpaceDE/>
              <w:autoSpaceDN/>
              <w:adjustRightInd/>
              <w:spacing w:line="240" w:lineRule="auto"/>
              <w:jc w:val="center"/>
              <w:rPr>
                <w:rFonts w:eastAsia="Times New Roman"/>
                <w:b/>
                <w:bCs/>
                <w:color w:val="000000"/>
                <w:sz w:val="18"/>
                <w:szCs w:val="18"/>
              </w:rPr>
            </w:pPr>
            <w:r w:rsidRPr="00BB2EEC">
              <w:rPr>
                <w:rFonts w:eastAsia="Times New Roman"/>
                <w:b/>
                <w:bCs/>
                <w:color w:val="000000"/>
                <w:sz w:val="18"/>
                <w:szCs w:val="18"/>
              </w:rPr>
              <w:t>Source or Basis of Estimate</w:t>
            </w:r>
          </w:p>
        </w:tc>
      </w:tr>
      <w:tr w14:paraId="5360ADAE" w14:textId="77777777" w:rsidTr="0066072E">
        <w:tblPrEx>
          <w:tblW w:w="10260" w:type="dxa"/>
          <w:jc w:val="center"/>
          <w:tblLook w:val="04A0"/>
        </w:tblPrEx>
        <w:trPr>
          <w:trHeight w:val="208"/>
          <w:jc w:val="center"/>
        </w:trPr>
        <w:tc>
          <w:tcPr>
            <w:tcW w:w="8242" w:type="dxa"/>
            <w:gridSpan w:val="6"/>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78072B" w:rsidRPr="00BB2EEC" w:rsidP="0066072E" w14:paraId="5FC844E7"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General Input</w:t>
            </w:r>
          </w:p>
        </w:tc>
        <w:tc>
          <w:tcPr>
            <w:tcW w:w="2018" w:type="dxa"/>
            <w:tcBorders>
              <w:top w:val="nil"/>
              <w:left w:val="nil"/>
              <w:bottom w:val="single" w:sz="4" w:space="0" w:color="auto"/>
              <w:right w:val="single" w:sz="4" w:space="0" w:color="auto"/>
            </w:tcBorders>
            <w:shd w:val="clear" w:color="000000" w:fill="A9D08E"/>
            <w:noWrap/>
            <w:vAlign w:val="center"/>
            <w:hideMark/>
          </w:tcPr>
          <w:p w:rsidR="0078072B" w:rsidRPr="00BB2EEC" w:rsidP="0066072E" w14:paraId="21083833"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 </w:t>
            </w:r>
          </w:p>
        </w:tc>
      </w:tr>
      <w:tr w14:paraId="2C6B87D5" w14:textId="77777777" w:rsidTr="0066072E">
        <w:tblPrEx>
          <w:tblW w:w="10260" w:type="dxa"/>
          <w:jc w:val="center"/>
          <w:tblLook w:val="04A0"/>
        </w:tblPrEx>
        <w:trPr>
          <w:trHeight w:val="300"/>
          <w:jc w:val="center"/>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72B" w:rsidRPr="00BB2EEC" w:rsidP="0066072E" w14:paraId="3EF3CC0B"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Analysis base year</w:t>
            </w:r>
          </w:p>
        </w:tc>
        <w:tc>
          <w:tcPr>
            <w:tcW w:w="1260" w:type="dxa"/>
            <w:tcBorders>
              <w:top w:val="single" w:sz="4" w:space="0" w:color="auto"/>
              <w:left w:val="nil"/>
              <w:bottom w:val="single" w:sz="4" w:space="0" w:color="auto"/>
              <w:right w:val="nil"/>
            </w:tcBorders>
            <w:shd w:val="clear" w:color="auto" w:fill="auto"/>
            <w:vAlign w:val="center"/>
            <w:hideMark/>
          </w:tcPr>
          <w:p w:rsidR="0078072B" w:rsidRPr="00BB2EEC" w:rsidP="0066072E" w14:paraId="29E7A80D" w14:textId="4B0DD5ED">
            <w:pPr>
              <w:autoSpaceDE/>
              <w:autoSpaceDN/>
              <w:adjustRightInd/>
              <w:spacing w:line="240" w:lineRule="auto"/>
              <w:jc w:val="center"/>
              <w:rPr>
                <w:rFonts w:eastAsia="Times New Roman"/>
                <w:color w:val="000000"/>
                <w:sz w:val="18"/>
                <w:szCs w:val="18"/>
              </w:rPr>
            </w:pPr>
            <w:r w:rsidRPr="006E0B89">
              <w:rPr>
                <w:rFonts w:eastAsia="Times New Roman"/>
                <w:color w:val="000000"/>
                <w:sz w:val="18"/>
                <w:szCs w:val="18"/>
              </w:rPr>
              <w:t>202</w:t>
            </w:r>
            <w:r w:rsidR="007A5965">
              <w:rPr>
                <w:rFonts w:eastAsia="Times New Roman"/>
                <w:color w:val="000000"/>
                <w:sz w:val="18"/>
                <w:szCs w:val="18"/>
              </w:rPr>
              <w:t>3</w:t>
            </w:r>
          </w:p>
        </w:tc>
        <w:tc>
          <w:tcPr>
            <w:tcW w:w="5087" w:type="dxa"/>
            <w:gridSpan w:val="4"/>
            <w:vMerge w:val="restart"/>
            <w:tcBorders>
              <w:top w:val="single" w:sz="4" w:space="0" w:color="auto"/>
              <w:left w:val="single" w:sz="4" w:space="0" w:color="auto"/>
              <w:right w:val="single" w:sz="4" w:space="0" w:color="auto"/>
            </w:tcBorders>
            <w:shd w:val="clear" w:color="000000" w:fill="E7E6E6"/>
            <w:noWrap/>
            <w:vAlign w:val="center"/>
          </w:tcPr>
          <w:p w:rsidR="0078072B" w:rsidRPr="00BB2EEC" w:rsidP="0066072E" w14:paraId="3726BD56" w14:textId="77777777">
            <w:pPr>
              <w:autoSpaceDE/>
              <w:autoSpaceDN/>
              <w:adjustRightInd/>
              <w:spacing w:line="240" w:lineRule="auto"/>
              <w:jc w:val="center"/>
              <w:rPr>
                <w:rFonts w:eastAsia="Times New Roman"/>
                <w:color w:val="000000"/>
                <w:sz w:val="18"/>
                <w:szCs w:val="18"/>
              </w:rPr>
            </w:pPr>
          </w:p>
        </w:tc>
        <w:tc>
          <w:tcPr>
            <w:tcW w:w="2018" w:type="dxa"/>
            <w:tcBorders>
              <w:top w:val="nil"/>
              <w:left w:val="single" w:sz="4" w:space="0" w:color="auto"/>
              <w:bottom w:val="single" w:sz="4" w:space="0" w:color="auto"/>
              <w:right w:val="single" w:sz="4" w:space="0" w:color="auto"/>
            </w:tcBorders>
            <w:shd w:val="clear" w:color="auto" w:fill="auto"/>
            <w:noWrap/>
            <w:vAlign w:val="center"/>
            <w:hideMark/>
          </w:tcPr>
          <w:p w:rsidR="0078072B" w:rsidRPr="00BB2EEC" w:rsidP="0066072E" w14:paraId="643A5213"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NRC assumption</w:t>
            </w:r>
          </w:p>
        </w:tc>
      </w:tr>
      <w:tr w14:paraId="4EBCA70E"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auto" w:fill="auto"/>
            <w:noWrap/>
            <w:vAlign w:val="center"/>
            <w:hideMark/>
          </w:tcPr>
          <w:p w:rsidR="0078072B" w:rsidRPr="00BB2EEC" w:rsidP="0066072E" w14:paraId="3446C38E"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Year NRC rule is effective</w:t>
            </w:r>
          </w:p>
        </w:tc>
        <w:tc>
          <w:tcPr>
            <w:tcW w:w="1260" w:type="dxa"/>
            <w:tcBorders>
              <w:top w:val="nil"/>
              <w:left w:val="nil"/>
              <w:bottom w:val="single" w:sz="4" w:space="0" w:color="auto"/>
              <w:right w:val="nil"/>
            </w:tcBorders>
            <w:shd w:val="clear" w:color="000000" w:fill="FFFFFF"/>
            <w:vAlign w:val="center"/>
            <w:hideMark/>
          </w:tcPr>
          <w:p w:rsidR="0078072B" w:rsidRPr="00BB2EEC" w:rsidP="0066072E" w14:paraId="19C8FBE0" w14:textId="77777777">
            <w:pPr>
              <w:autoSpaceDE/>
              <w:autoSpaceDN/>
              <w:adjustRightInd/>
              <w:spacing w:line="240" w:lineRule="auto"/>
              <w:jc w:val="center"/>
              <w:rPr>
                <w:rFonts w:eastAsia="Times New Roman"/>
                <w:color w:val="000000"/>
                <w:sz w:val="18"/>
                <w:szCs w:val="18"/>
              </w:rPr>
            </w:pPr>
            <w:r w:rsidRPr="00BB2EEC">
              <w:rPr>
                <w:rFonts w:eastAsia="Times New Roman"/>
                <w:color w:val="000000"/>
                <w:sz w:val="18"/>
                <w:szCs w:val="18"/>
              </w:rPr>
              <w:t>2024</w:t>
            </w:r>
          </w:p>
        </w:tc>
        <w:tc>
          <w:tcPr>
            <w:tcW w:w="5087" w:type="dxa"/>
            <w:gridSpan w:val="4"/>
            <w:vMerge/>
            <w:tcBorders>
              <w:left w:val="single" w:sz="4" w:space="0" w:color="auto"/>
              <w:right w:val="single" w:sz="4" w:space="0" w:color="auto"/>
            </w:tcBorders>
            <w:shd w:val="clear" w:color="000000" w:fill="E7E6E6"/>
            <w:noWrap/>
            <w:vAlign w:val="center"/>
          </w:tcPr>
          <w:p w:rsidR="0078072B" w:rsidRPr="00BB2EEC" w:rsidP="0066072E" w14:paraId="4E737952" w14:textId="77777777">
            <w:pPr>
              <w:spacing w:line="240" w:lineRule="auto"/>
              <w:jc w:val="center"/>
              <w:rPr>
                <w:rFonts w:eastAsia="Times New Roman"/>
                <w:color w:val="000000"/>
                <w:sz w:val="18"/>
                <w:szCs w:val="18"/>
              </w:rPr>
            </w:pPr>
          </w:p>
        </w:tc>
        <w:tc>
          <w:tcPr>
            <w:tcW w:w="2018" w:type="dxa"/>
            <w:tcBorders>
              <w:top w:val="nil"/>
              <w:left w:val="single" w:sz="4" w:space="0" w:color="auto"/>
              <w:bottom w:val="single" w:sz="4" w:space="0" w:color="auto"/>
              <w:right w:val="single" w:sz="4" w:space="0" w:color="auto"/>
            </w:tcBorders>
            <w:shd w:val="clear" w:color="000000" w:fill="FFFFFF"/>
            <w:noWrap/>
            <w:vAlign w:val="center"/>
            <w:hideMark/>
          </w:tcPr>
          <w:p w:rsidR="0078072B" w:rsidRPr="00BB2EEC" w:rsidP="0066072E" w14:paraId="3F021A6D"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NRC assumption</w:t>
            </w:r>
          </w:p>
        </w:tc>
      </w:tr>
      <w:tr w14:paraId="28A143AD"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hideMark/>
          </w:tcPr>
          <w:p w:rsidR="0078072B" w:rsidRPr="00BB2EEC" w:rsidP="0066072E" w14:paraId="3661ADA9"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Compliance Effective Date</w:t>
            </w:r>
          </w:p>
        </w:tc>
        <w:tc>
          <w:tcPr>
            <w:tcW w:w="1260" w:type="dxa"/>
            <w:tcBorders>
              <w:top w:val="nil"/>
              <w:left w:val="nil"/>
              <w:bottom w:val="single" w:sz="4" w:space="0" w:color="auto"/>
              <w:right w:val="nil"/>
            </w:tcBorders>
            <w:shd w:val="clear" w:color="000000" w:fill="FFFFFF"/>
            <w:vAlign w:val="center"/>
            <w:hideMark/>
          </w:tcPr>
          <w:p w:rsidR="0078072B" w:rsidRPr="00BB2EEC" w:rsidP="0066072E" w14:paraId="5C50039C" w14:textId="77777777">
            <w:pPr>
              <w:autoSpaceDE/>
              <w:autoSpaceDN/>
              <w:adjustRightInd/>
              <w:spacing w:line="240" w:lineRule="auto"/>
              <w:jc w:val="center"/>
              <w:rPr>
                <w:rFonts w:eastAsia="Times New Roman"/>
                <w:color w:val="000000"/>
                <w:sz w:val="18"/>
                <w:szCs w:val="18"/>
              </w:rPr>
            </w:pPr>
            <w:r w:rsidRPr="00BB2EEC">
              <w:rPr>
                <w:rFonts w:eastAsia="Times New Roman"/>
                <w:color w:val="000000"/>
                <w:sz w:val="18"/>
                <w:szCs w:val="18"/>
              </w:rPr>
              <w:t>2025</w:t>
            </w:r>
          </w:p>
        </w:tc>
        <w:tc>
          <w:tcPr>
            <w:tcW w:w="5087" w:type="dxa"/>
            <w:gridSpan w:val="4"/>
            <w:vMerge/>
            <w:tcBorders>
              <w:left w:val="single" w:sz="4" w:space="0" w:color="auto"/>
              <w:right w:val="single" w:sz="4" w:space="0" w:color="auto"/>
            </w:tcBorders>
            <w:shd w:val="clear" w:color="000000" w:fill="D9D9D9"/>
            <w:noWrap/>
            <w:vAlign w:val="center"/>
          </w:tcPr>
          <w:p w:rsidR="0078072B" w:rsidRPr="00BB2EEC" w:rsidP="0066072E" w14:paraId="04A76200" w14:textId="77777777">
            <w:pPr>
              <w:spacing w:line="240" w:lineRule="auto"/>
              <w:jc w:val="center"/>
              <w:rPr>
                <w:rFonts w:eastAsia="Times New Roman"/>
                <w:color w:val="000000"/>
                <w:sz w:val="18"/>
                <w:szCs w:val="18"/>
              </w:rPr>
            </w:pPr>
          </w:p>
        </w:tc>
        <w:tc>
          <w:tcPr>
            <w:tcW w:w="2018" w:type="dxa"/>
            <w:tcBorders>
              <w:top w:val="nil"/>
              <w:left w:val="single" w:sz="4" w:space="0" w:color="auto"/>
              <w:bottom w:val="single" w:sz="4" w:space="0" w:color="auto"/>
              <w:right w:val="single" w:sz="4" w:space="0" w:color="auto"/>
            </w:tcBorders>
            <w:shd w:val="clear" w:color="000000" w:fill="FFFFFF"/>
            <w:noWrap/>
            <w:vAlign w:val="center"/>
            <w:hideMark/>
          </w:tcPr>
          <w:p w:rsidR="0078072B" w:rsidRPr="00BB2EEC" w:rsidP="0066072E" w14:paraId="246743D0"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Calculated value. (NRC rule year + 1 year)</w:t>
            </w:r>
          </w:p>
        </w:tc>
      </w:tr>
      <w:tr w14:paraId="1BC9E550"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auto" w:fill="auto"/>
            <w:noWrap/>
            <w:vAlign w:val="center"/>
            <w:hideMark/>
          </w:tcPr>
          <w:p w:rsidR="0078072B" w:rsidRPr="00BB2EEC" w:rsidP="0066072E" w14:paraId="4DAE17C4" w14:textId="77777777">
            <w:pPr>
              <w:autoSpaceDE/>
              <w:autoSpaceDN/>
              <w:adjustRightInd/>
              <w:spacing w:line="240" w:lineRule="auto"/>
              <w:rPr>
                <w:rFonts w:eastAsia="Times New Roman"/>
                <w:color w:val="auto"/>
                <w:sz w:val="18"/>
                <w:szCs w:val="18"/>
              </w:rPr>
            </w:pPr>
            <w:r w:rsidRPr="00BB2EEC">
              <w:rPr>
                <w:rFonts w:eastAsia="Times New Roman"/>
                <w:color w:val="auto"/>
                <w:sz w:val="18"/>
                <w:szCs w:val="18"/>
              </w:rPr>
              <w:t>Timeframe of analysis (years)</w:t>
            </w:r>
          </w:p>
        </w:tc>
        <w:tc>
          <w:tcPr>
            <w:tcW w:w="1260" w:type="dxa"/>
            <w:tcBorders>
              <w:top w:val="nil"/>
              <w:left w:val="nil"/>
              <w:bottom w:val="single" w:sz="4" w:space="0" w:color="auto"/>
              <w:right w:val="nil"/>
            </w:tcBorders>
            <w:shd w:val="clear" w:color="000000" w:fill="FFFFFF"/>
            <w:vAlign w:val="center"/>
            <w:hideMark/>
          </w:tcPr>
          <w:p w:rsidR="0078072B" w:rsidRPr="00BB2EEC" w:rsidP="0066072E" w14:paraId="2AD2A4D4" w14:textId="77777777">
            <w:pPr>
              <w:autoSpaceDE/>
              <w:autoSpaceDN/>
              <w:adjustRightInd/>
              <w:spacing w:line="240" w:lineRule="auto"/>
              <w:jc w:val="center"/>
              <w:rPr>
                <w:rFonts w:eastAsia="Times New Roman"/>
                <w:color w:val="000000"/>
                <w:sz w:val="18"/>
                <w:szCs w:val="18"/>
              </w:rPr>
            </w:pPr>
            <w:r w:rsidRPr="00BB2EEC">
              <w:rPr>
                <w:rFonts w:eastAsia="Times New Roman"/>
                <w:color w:val="000000"/>
                <w:sz w:val="18"/>
                <w:szCs w:val="18"/>
              </w:rPr>
              <w:t>10</w:t>
            </w:r>
          </w:p>
        </w:tc>
        <w:tc>
          <w:tcPr>
            <w:tcW w:w="5087" w:type="dxa"/>
            <w:gridSpan w:val="4"/>
            <w:vMerge/>
            <w:tcBorders>
              <w:left w:val="single" w:sz="4" w:space="0" w:color="auto"/>
              <w:right w:val="single" w:sz="4" w:space="0" w:color="auto"/>
            </w:tcBorders>
            <w:shd w:val="clear" w:color="000000" w:fill="D9D9D9"/>
            <w:noWrap/>
            <w:vAlign w:val="center"/>
          </w:tcPr>
          <w:p w:rsidR="0078072B" w:rsidRPr="00BB2EEC" w:rsidP="0066072E" w14:paraId="6E0A1EB2" w14:textId="77777777">
            <w:pPr>
              <w:spacing w:line="240" w:lineRule="auto"/>
              <w:jc w:val="center"/>
              <w:rPr>
                <w:rFonts w:eastAsia="Times New Roman"/>
                <w:color w:val="000000"/>
                <w:sz w:val="18"/>
                <w:szCs w:val="18"/>
              </w:rPr>
            </w:pPr>
          </w:p>
        </w:tc>
        <w:tc>
          <w:tcPr>
            <w:tcW w:w="2018" w:type="dxa"/>
            <w:tcBorders>
              <w:top w:val="nil"/>
              <w:left w:val="single" w:sz="4" w:space="0" w:color="auto"/>
              <w:bottom w:val="single" w:sz="4" w:space="0" w:color="auto"/>
              <w:right w:val="single" w:sz="4" w:space="0" w:color="auto"/>
            </w:tcBorders>
            <w:shd w:val="clear" w:color="000000" w:fill="FFFFFF"/>
            <w:noWrap/>
            <w:vAlign w:val="center"/>
            <w:hideMark/>
          </w:tcPr>
          <w:p w:rsidR="0078072B" w:rsidRPr="00BB2EEC" w:rsidP="0066072E" w14:paraId="15489006"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Timeframe is consistent with next LR GEIS update</w:t>
            </w:r>
          </w:p>
        </w:tc>
      </w:tr>
      <w:tr w14:paraId="6FE57CF6"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auto" w:fill="auto"/>
            <w:noWrap/>
            <w:vAlign w:val="center"/>
            <w:hideMark/>
          </w:tcPr>
          <w:p w:rsidR="0078072B" w:rsidRPr="00BB2EEC" w:rsidP="0066072E" w14:paraId="2B6EEB35"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Alternative discount factor</w:t>
            </w:r>
          </w:p>
        </w:tc>
        <w:tc>
          <w:tcPr>
            <w:tcW w:w="1260" w:type="dxa"/>
            <w:tcBorders>
              <w:top w:val="nil"/>
              <w:left w:val="nil"/>
              <w:bottom w:val="single" w:sz="4" w:space="0" w:color="auto"/>
              <w:right w:val="nil"/>
            </w:tcBorders>
            <w:shd w:val="clear" w:color="auto" w:fill="auto"/>
            <w:vAlign w:val="center"/>
            <w:hideMark/>
          </w:tcPr>
          <w:p w:rsidR="0078072B" w:rsidRPr="00BB2EEC" w:rsidP="0066072E" w14:paraId="59420C1F" w14:textId="77777777">
            <w:pPr>
              <w:autoSpaceDE/>
              <w:autoSpaceDN/>
              <w:adjustRightInd/>
              <w:spacing w:line="240" w:lineRule="auto"/>
              <w:jc w:val="center"/>
              <w:rPr>
                <w:rFonts w:eastAsia="Times New Roman"/>
                <w:color w:val="000000"/>
                <w:sz w:val="18"/>
                <w:szCs w:val="18"/>
              </w:rPr>
            </w:pPr>
            <w:r w:rsidRPr="00BB2EEC">
              <w:rPr>
                <w:rFonts w:eastAsia="Times New Roman"/>
                <w:color w:val="000000"/>
                <w:sz w:val="18"/>
                <w:szCs w:val="18"/>
              </w:rPr>
              <w:t>3%</w:t>
            </w:r>
          </w:p>
        </w:tc>
        <w:tc>
          <w:tcPr>
            <w:tcW w:w="5087" w:type="dxa"/>
            <w:gridSpan w:val="4"/>
            <w:vMerge/>
            <w:tcBorders>
              <w:left w:val="single" w:sz="4" w:space="0" w:color="auto"/>
              <w:right w:val="single" w:sz="4" w:space="0" w:color="auto"/>
            </w:tcBorders>
            <w:shd w:val="clear" w:color="000000" w:fill="E7E6E6"/>
            <w:noWrap/>
            <w:vAlign w:val="center"/>
          </w:tcPr>
          <w:p w:rsidR="0078072B" w:rsidRPr="00BB2EEC" w:rsidP="0066072E" w14:paraId="55D7E01F" w14:textId="77777777">
            <w:pPr>
              <w:spacing w:line="240" w:lineRule="auto"/>
              <w:jc w:val="center"/>
              <w:rPr>
                <w:rFonts w:eastAsia="Times New Roman"/>
                <w:color w:val="000000"/>
                <w:sz w:val="18"/>
                <w:szCs w:val="18"/>
              </w:rPr>
            </w:pPr>
          </w:p>
        </w:tc>
        <w:tc>
          <w:tcPr>
            <w:tcW w:w="2018" w:type="dxa"/>
            <w:tcBorders>
              <w:top w:val="nil"/>
              <w:left w:val="single" w:sz="4" w:space="0" w:color="auto"/>
              <w:bottom w:val="single" w:sz="4" w:space="0" w:color="auto"/>
              <w:right w:val="single" w:sz="4" w:space="0" w:color="auto"/>
            </w:tcBorders>
            <w:shd w:val="clear" w:color="auto" w:fill="auto"/>
            <w:noWrap/>
            <w:vAlign w:val="center"/>
            <w:hideMark/>
          </w:tcPr>
          <w:p w:rsidR="0078072B" w:rsidRPr="00BB2EEC" w:rsidP="0066072E" w14:paraId="55BDDD74"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NUREG/BR</w:t>
            </w:r>
            <w:r>
              <w:rPr>
                <w:rFonts w:eastAsia="Times New Roman"/>
                <w:color w:val="000000"/>
                <w:sz w:val="18"/>
                <w:szCs w:val="18"/>
              </w:rPr>
              <w:noBreakHyphen/>
            </w:r>
            <w:r w:rsidRPr="00BB2EEC">
              <w:rPr>
                <w:rFonts w:eastAsia="Times New Roman"/>
                <w:color w:val="000000"/>
                <w:sz w:val="18"/>
                <w:szCs w:val="18"/>
              </w:rPr>
              <w:t>0058, OMB guidance</w:t>
            </w:r>
          </w:p>
        </w:tc>
      </w:tr>
      <w:tr w14:paraId="60A8BE96"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auto" w:fill="auto"/>
            <w:noWrap/>
            <w:vAlign w:val="center"/>
            <w:hideMark/>
          </w:tcPr>
          <w:p w:rsidR="0078072B" w:rsidRPr="00BB2EEC" w:rsidP="0066072E" w14:paraId="51F7D0B1"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Principal discount factor</w:t>
            </w:r>
          </w:p>
        </w:tc>
        <w:tc>
          <w:tcPr>
            <w:tcW w:w="1260" w:type="dxa"/>
            <w:tcBorders>
              <w:top w:val="nil"/>
              <w:left w:val="nil"/>
              <w:bottom w:val="single" w:sz="4" w:space="0" w:color="auto"/>
              <w:right w:val="nil"/>
            </w:tcBorders>
            <w:shd w:val="clear" w:color="auto" w:fill="auto"/>
            <w:vAlign w:val="center"/>
            <w:hideMark/>
          </w:tcPr>
          <w:p w:rsidR="0078072B" w:rsidRPr="00BB2EEC" w:rsidP="0066072E" w14:paraId="2B0E02B9" w14:textId="77777777">
            <w:pPr>
              <w:autoSpaceDE/>
              <w:autoSpaceDN/>
              <w:adjustRightInd/>
              <w:spacing w:line="240" w:lineRule="auto"/>
              <w:jc w:val="center"/>
              <w:rPr>
                <w:rFonts w:eastAsia="Times New Roman"/>
                <w:color w:val="000000"/>
                <w:sz w:val="18"/>
                <w:szCs w:val="18"/>
              </w:rPr>
            </w:pPr>
            <w:r w:rsidRPr="00BB2EEC">
              <w:rPr>
                <w:rFonts w:eastAsia="Times New Roman"/>
                <w:color w:val="000000"/>
                <w:sz w:val="18"/>
                <w:szCs w:val="18"/>
              </w:rPr>
              <w:t>7%</w:t>
            </w:r>
          </w:p>
        </w:tc>
        <w:tc>
          <w:tcPr>
            <w:tcW w:w="5087" w:type="dxa"/>
            <w:gridSpan w:val="4"/>
            <w:vMerge/>
            <w:tcBorders>
              <w:left w:val="single" w:sz="4" w:space="0" w:color="auto"/>
              <w:right w:val="single" w:sz="4" w:space="0" w:color="auto"/>
            </w:tcBorders>
            <w:shd w:val="clear" w:color="000000" w:fill="E7E6E6"/>
            <w:noWrap/>
            <w:vAlign w:val="center"/>
          </w:tcPr>
          <w:p w:rsidR="0078072B" w:rsidRPr="00BB2EEC" w:rsidP="0066072E" w14:paraId="538B46AD" w14:textId="77777777">
            <w:pPr>
              <w:spacing w:line="240" w:lineRule="auto"/>
              <w:jc w:val="center"/>
              <w:rPr>
                <w:rFonts w:eastAsia="Times New Roman"/>
                <w:color w:val="000000"/>
                <w:sz w:val="18"/>
                <w:szCs w:val="18"/>
              </w:rPr>
            </w:pPr>
          </w:p>
        </w:tc>
        <w:tc>
          <w:tcPr>
            <w:tcW w:w="2018" w:type="dxa"/>
            <w:tcBorders>
              <w:top w:val="nil"/>
              <w:left w:val="single" w:sz="4" w:space="0" w:color="auto"/>
              <w:bottom w:val="single" w:sz="4" w:space="0" w:color="auto"/>
              <w:right w:val="single" w:sz="4" w:space="0" w:color="auto"/>
            </w:tcBorders>
            <w:shd w:val="clear" w:color="auto" w:fill="auto"/>
            <w:noWrap/>
            <w:vAlign w:val="center"/>
            <w:hideMark/>
          </w:tcPr>
          <w:p w:rsidR="0078072B" w:rsidRPr="00BB2EEC" w:rsidP="0066072E" w14:paraId="21234207"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NUREG/BR</w:t>
            </w:r>
            <w:r>
              <w:rPr>
                <w:rFonts w:eastAsia="Times New Roman"/>
                <w:color w:val="000000"/>
                <w:sz w:val="18"/>
                <w:szCs w:val="18"/>
              </w:rPr>
              <w:noBreakHyphen/>
            </w:r>
            <w:r w:rsidRPr="00BB2EEC">
              <w:rPr>
                <w:rFonts w:eastAsia="Times New Roman"/>
                <w:color w:val="000000"/>
                <w:sz w:val="18"/>
                <w:szCs w:val="18"/>
              </w:rPr>
              <w:t>0058, OMB guidance</w:t>
            </w:r>
          </w:p>
        </w:tc>
      </w:tr>
      <w:tr w14:paraId="36F2A8CC"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auto" w:fill="auto"/>
            <w:noWrap/>
            <w:vAlign w:val="center"/>
            <w:hideMark/>
          </w:tcPr>
          <w:p w:rsidR="0078072B" w:rsidRPr="00BB2EEC" w:rsidP="0066072E" w14:paraId="44A47B99"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NRC staff hourly labor rate</w:t>
            </w:r>
          </w:p>
        </w:tc>
        <w:tc>
          <w:tcPr>
            <w:tcW w:w="1260" w:type="dxa"/>
            <w:tcBorders>
              <w:top w:val="nil"/>
              <w:left w:val="nil"/>
              <w:bottom w:val="single" w:sz="4" w:space="0" w:color="auto"/>
              <w:right w:val="nil"/>
            </w:tcBorders>
            <w:shd w:val="clear" w:color="auto" w:fill="auto"/>
            <w:vAlign w:val="center"/>
            <w:hideMark/>
          </w:tcPr>
          <w:p w:rsidR="0078072B" w:rsidRPr="00BB2EEC" w:rsidP="0066072E" w14:paraId="75268721" w14:textId="77777777">
            <w:pPr>
              <w:autoSpaceDE/>
              <w:autoSpaceDN/>
              <w:adjustRightInd/>
              <w:spacing w:line="240" w:lineRule="auto"/>
              <w:jc w:val="center"/>
              <w:rPr>
                <w:rFonts w:eastAsia="Times New Roman"/>
                <w:color w:val="000000"/>
                <w:sz w:val="18"/>
                <w:szCs w:val="18"/>
              </w:rPr>
            </w:pPr>
            <w:r w:rsidRPr="00BB2EEC">
              <w:rPr>
                <w:rFonts w:eastAsia="Times New Roman"/>
                <w:color w:val="000000"/>
                <w:sz w:val="18"/>
                <w:szCs w:val="18"/>
              </w:rPr>
              <w:t>$143</w:t>
            </w:r>
          </w:p>
        </w:tc>
        <w:tc>
          <w:tcPr>
            <w:tcW w:w="5087" w:type="dxa"/>
            <w:gridSpan w:val="4"/>
            <w:vMerge/>
            <w:tcBorders>
              <w:left w:val="single" w:sz="4" w:space="0" w:color="auto"/>
              <w:bottom w:val="single" w:sz="4" w:space="0" w:color="auto"/>
              <w:right w:val="single" w:sz="4" w:space="0" w:color="auto"/>
            </w:tcBorders>
            <w:shd w:val="clear" w:color="000000" w:fill="E7E6E6"/>
            <w:noWrap/>
            <w:vAlign w:val="center"/>
          </w:tcPr>
          <w:p w:rsidR="0078072B" w:rsidRPr="00BB2EEC" w:rsidP="0066072E" w14:paraId="621AE211" w14:textId="77777777">
            <w:pPr>
              <w:autoSpaceDE/>
              <w:autoSpaceDN/>
              <w:adjustRightInd/>
              <w:spacing w:line="240" w:lineRule="auto"/>
              <w:jc w:val="center"/>
              <w:rPr>
                <w:rFonts w:eastAsia="Times New Roman"/>
                <w:color w:val="000000"/>
                <w:sz w:val="18"/>
                <w:szCs w:val="18"/>
              </w:rPr>
            </w:pPr>
          </w:p>
        </w:tc>
        <w:tc>
          <w:tcPr>
            <w:tcW w:w="2018" w:type="dxa"/>
            <w:tcBorders>
              <w:top w:val="nil"/>
              <w:left w:val="single" w:sz="4" w:space="0" w:color="auto"/>
              <w:bottom w:val="single" w:sz="4" w:space="0" w:color="auto"/>
              <w:right w:val="single" w:sz="4" w:space="0" w:color="auto"/>
            </w:tcBorders>
            <w:shd w:val="clear" w:color="auto" w:fill="auto"/>
            <w:vAlign w:val="center"/>
            <w:hideMark/>
          </w:tcPr>
          <w:p w:rsidR="0078072B" w:rsidRPr="00BB2EEC" w:rsidP="0066072E" w14:paraId="3C5F815D"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NRC calculation</w:t>
            </w:r>
          </w:p>
        </w:tc>
      </w:tr>
      <w:tr w14:paraId="4CD4E17A" w14:textId="77777777" w:rsidTr="0066072E">
        <w:tblPrEx>
          <w:tblW w:w="10260" w:type="dxa"/>
          <w:jc w:val="center"/>
          <w:tblLook w:val="04A0"/>
        </w:tblPrEx>
        <w:trPr>
          <w:trHeight w:val="1790"/>
          <w:jc w:val="center"/>
        </w:trPr>
        <w:tc>
          <w:tcPr>
            <w:tcW w:w="1895" w:type="dxa"/>
            <w:tcBorders>
              <w:top w:val="nil"/>
              <w:left w:val="single" w:sz="4" w:space="0" w:color="auto"/>
              <w:bottom w:val="single" w:sz="4" w:space="0" w:color="auto"/>
              <w:right w:val="single" w:sz="4" w:space="0" w:color="auto"/>
            </w:tcBorders>
            <w:shd w:val="clear" w:color="auto" w:fill="auto"/>
            <w:noWrap/>
            <w:vAlign w:val="center"/>
            <w:hideMark/>
          </w:tcPr>
          <w:p w:rsidR="0078072B" w:rsidRPr="00BB2EEC" w:rsidP="0066072E" w14:paraId="1642760D"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Licensee average labor rate</w:t>
            </w:r>
          </w:p>
        </w:tc>
        <w:tc>
          <w:tcPr>
            <w:tcW w:w="1260" w:type="dxa"/>
            <w:tcBorders>
              <w:top w:val="nil"/>
              <w:left w:val="nil"/>
              <w:bottom w:val="single" w:sz="4" w:space="0" w:color="auto"/>
              <w:right w:val="nil"/>
            </w:tcBorders>
            <w:shd w:val="clear" w:color="auto" w:fill="auto"/>
            <w:vAlign w:val="center"/>
            <w:hideMark/>
          </w:tcPr>
          <w:p w:rsidR="0078072B" w:rsidRPr="00BB2EEC" w:rsidP="0066072E" w14:paraId="0EB77F55" w14:textId="6CD4BBF0">
            <w:pPr>
              <w:autoSpaceDE/>
              <w:autoSpaceDN/>
              <w:adjustRightInd/>
              <w:spacing w:line="240" w:lineRule="auto"/>
              <w:jc w:val="center"/>
              <w:rPr>
                <w:rFonts w:eastAsia="Times New Roman"/>
                <w:color w:val="000000"/>
                <w:sz w:val="18"/>
                <w:szCs w:val="18"/>
              </w:rPr>
            </w:pPr>
            <w:r w:rsidRPr="006E0B89">
              <w:rPr>
                <w:rFonts w:eastAsia="Times New Roman"/>
                <w:color w:val="000000"/>
                <w:sz w:val="18"/>
                <w:szCs w:val="18"/>
              </w:rPr>
              <w:t>$16</w:t>
            </w:r>
            <w:r w:rsidR="007A5965">
              <w:rPr>
                <w:rFonts w:eastAsia="Times New Roman"/>
                <w:color w:val="000000"/>
                <w:sz w:val="18"/>
                <w:szCs w:val="18"/>
              </w:rPr>
              <w:t>4</w:t>
            </w:r>
          </w:p>
        </w:tc>
        <w:tc>
          <w:tcPr>
            <w:tcW w:w="1339" w:type="dxa"/>
            <w:tcBorders>
              <w:top w:val="nil"/>
              <w:left w:val="single" w:sz="4" w:space="0" w:color="auto"/>
              <w:bottom w:val="single" w:sz="4" w:space="0" w:color="auto"/>
              <w:right w:val="single" w:sz="4" w:space="0" w:color="auto"/>
            </w:tcBorders>
            <w:shd w:val="clear" w:color="000000" w:fill="FFFFFF"/>
            <w:noWrap/>
            <w:vAlign w:val="center"/>
            <w:hideMark/>
          </w:tcPr>
          <w:p w:rsidR="0078072B" w:rsidRPr="00BB2EEC" w:rsidP="0066072E" w14:paraId="309C929B" w14:textId="5A59CA06">
            <w:pPr>
              <w:autoSpaceDE/>
              <w:autoSpaceDN/>
              <w:adjustRightInd/>
              <w:spacing w:line="240" w:lineRule="auto"/>
              <w:jc w:val="center"/>
              <w:rPr>
                <w:rFonts w:eastAsia="Times New Roman"/>
                <w:color w:val="000000"/>
                <w:sz w:val="18"/>
                <w:szCs w:val="18"/>
              </w:rPr>
            </w:pPr>
            <w:r w:rsidRPr="00BB2EEC">
              <w:rPr>
                <w:rFonts w:eastAsia="Times New Roman"/>
                <w:color w:val="000000"/>
                <w:sz w:val="18"/>
                <w:szCs w:val="18"/>
              </w:rPr>
              <w:t>PERT</w:t>
            </w:r>
          </w:p>
        </w:tc>
        <w:tc>
          <w:tcPr>
            <w:tcW w:w="1217" w:type="dxa"/>
            <w:tcBorders>
              <w:top w:val="nil"/>
              <w:left w:val="nil"/>
              <w:bottom w:val="single" w:sz="4" w:space="0" w:color="auto"/>
              <w:right w:val="single" w:sz="4" w:space="0" w:color="auto"/>
            </w:tcBorders>
            <w:shd w:val="clear" w:color="000000" w:fill="FFFFFF"/>
            <w:noWrap/>
            <w:vAlign w:val="center"/>
            <w:hideMark/>
          </w:tcPr>
          <w:p w:rsidR="0078072B" w:rsidRPr="00BB2EEC" w:rsidP="0066072E" w14:paraId="01B11D07" w14:textId="77777777">
            <w:pPr>
              <w:autoSpaceDE/>
              <w:autoSpaceDN/>
              <w:adjustRightInd/>
              <w:spacing w:line="240" w:lineRule="auto"/>
              <w:jc w:val="center"/>
              <w:rPr>
                <w:rFonts w:eastAsia="Times New Roman"/>
                <w:color w:val="000000"/>
                <w:sz w:val="18"/>
                <w:szCs w:val="18"/>
              </w:rPr>
            </w:pPr>
            <w:r w:rsidRPr="00BB2EEC">
              <w:rPr>
                <w:rFonts w:eastAsia="Times New Roman"/>
                <w:color w:val="000000"/>
                <w:sz w:val="18"/>
                <w:szCs w:val="18"/>
              </w:rPr>
              <w:t>$1</w:t>
            </w:r>
            <w:r>
              <w:rPr>
                <w:rFonts w:eastAsia="Times New Roman"/>
                <w:color w:val="000000"/>
                <w:sz w:val="18"/>
                <w:szCs w:val="18"/>
              </w:rPr>
              <w:t>31.88</w:t>
            </w:r>
          </w:p>
        </w:tc>
        <w:tc>
          <w:tcPr>
            <w:tcW w:w="1314" w:type="dxa"/>
            <w:tcBorders>
              <w:top w:val="nil"/>
              <w:left w:val="nil"/>
              <w:bottom w:val="single" w:sz="4" w:space="0" w:color="auto"/>
              <w:right w:val="single" w:sz="4" w:space="0" w:color="auto"/>
            </w:tcBorders>
            <w:shd w:val="clear" w:color="000000" w:fill="FFFFFF"/>
            <w:noWrap/>
            <w:vAlign w:val="center"/>
            <w:hideMark/>
          </w:tcPr>
          <w:p w:rsidR="0078072B" w:rsidRPr="00BB2EEC" w:rsidP="0066072E" w14:paraId="02B34B6C" w14:textId="77777777">
            <w:pPr>
              <w:autoSpaceDE/>
              <w:autoSpaceDN/>
              <w:adjustRightInd/>
              <w:spacing w:line="240" w:lineRule="auto"/>
              <w:jc w:val="center"/>
              <w:rPr>
                <w:rFonts w:eastAsia="Times New Roman"/>
                <w:color w:val="000000"/>
                <w:sz w:val="18"/>
                <w:szCs w:val="18"/>
              </w:rPr>
            </w:pPr>
            <w:r w:rsidRPr="00BB2EEC">
              <w:rPr>
                <w:rFonts w:eastAsia="Times New Roman"/>
                <w:color w:val="000000"/>
                <w:sz w:val="18"/>
                <w:szCs w:val="18"/>
              </w:rPr>
              <w:t>$</w:t>
            </w:r>
            <w:r>
              <w:rPr>
                <w:rFonts w:eastAsia="Times New Roman"/>
                <w:color w:val="000000"/>
                <w:sz w:val="18"/>
                <w:szCs w:val="18"/>
              </w:rPr>
              <w:t>169.57</w:t>
            </w:r>
          </w:p>
        </w:tc>
        <w:tc>
          <w:tcPr>
            <w:tcW w:w="1217" w:type="dxa"/>
            <w:tcBorders>
              <w:top w:val="nil"/>
              <w:left w:val="nil"/>
              <w:bottom w:val="single" w:sz="4" w:space="0" w:color="auto"/>
              <w:right w:val="single" w:sz="4" w:space="0" w:color="auto"/>
            </w:tcBorders>
            <w:shd w:val="clear" w:color="000000" w:fill="FFFFFF"/>
            <w:noWrap/>
            <w:vAlign w:val="center"/>
            <w:hideMark/>
          </w:tcPr>
          <w:p w:rsidR="0078072B" w:rsidRPr="00BB2EEC" w:rsidP="0066072E" w14:paraId="3361125A" w14:textId="77777777">
            <w:pPr>
              <w:autoSpaceDE/>
              <w:autoSpaceDN/>
              <w:adjustRightInd/>
              <w:spacing w:line="240" w:lineRule="auto"/>
              <w:jc w:val="center"/>
              <w:rPr>
                <w:rFonts w:eastAsia="Times New Roman"/>
                <w:color w:val="000000"/>
                <w:sz w:val="18"/>
                <w:szCs w:val="18"/>
              </w:rPr>
            </w:pPr>
            <w:r w:rsidRPr="00BB2EEC">
              <w:rPr>
                <w:rFonts w:eastAsia="Times New Roman"/>
                <w:color w:val="000000"/>
                <w:sz w:val="18"/>
                <w:szCs w:val="18"/>
              </w:rPr>
              <w:t>$</w:t>
            </w:r>
            <w:r>
              <w:rPr>
                <w:rFonts w:eastAsia="Times New Roman"/>
                <w:color w:val="000000"/>
                <w:sz w:val="18"/>
                <w:szCs w:val="18"/>
              </w:rPr>
              <w:t>191.31</w:t>
            </w:r>
          </w:p>
        </w:tc>
        <w:tc>
          <w:tcPr>
            <w:tcW w:w="2018" w:type="dxa"/>
            <w:tcBorders>
              <w:top w:val="nil"/>
              <w:left w:val="nil"/>
              <w:bottom w:val="single" w:sz="4" w:space="0" w:color="auto"/>
              <w:right w:val="single" w:sz="4" w:space="0" w:color="auto"/>
            </w:tcBorders>
            <w:shd w:val="clear" w:color="auto" w:fill="auto"/>
            <w:vAlign w:val="center"/>
            <w:hideMark/>
          </w:tcPr>
          <w:p w:rsidR="0078072B" w:rsidRPr="00BB2EEC" w:rsidP="0066072E" w14:paraId="2E09E64D" w14:textId="383AD408">
            <w:pPr>
              <w:autoSpaceDE/>
              <w:autoSpaceDN/>
              <w:adjustRightInd/>
              <w:spacing w:line="240" w:lineRule="auto"/>
              <w:rPr>
                <w:rFonts w:eastAsia="Times New Roman"/>
                <w:color w:val="000000"/>
                <w:sz w:val="18"/>
                <w:szCs w:val="18"/>
              </w:rPr>
            </w:pPr>
            <w:r w:rsidRPr="00BB2EEC">
              <w:rPr>
                <w:rFonts w:eastAsia="Times New Roman"/>
                <w:color w:val="000000"/>
                <w:sz w:val="18"/>
                <w:szCs w:val="18"/>
              </w:rPr>
              <w:t xml:space="preserve">BLS.gov table </w:t>
            </w:r>
            <w:r>
              <w:rPr>
                <w:rFonts w:eastAsia="Times New Roman"/>
                <w:color w:val="000000"/>
                <w:sz w:val="18"/>
                <w:szCs w:val="18"/>
              </w:rPr>
              <w:t>h</w:t>
            </w:r>
            <w:r w:rsidRPr="00BB2EEC">
              <w:rPr>
                <w:rFonts w:eastAsia="Times New Roman"/>
                <w:color w:val="000000"/>
                <w:sz w:val="18"/>
                <w:szCs w:val="18"/>
              </w:rPr>
              <w:t xml:space="preserve">ourly rate was inflated to </w:t>
            </w:r>
            <w:r w:rsidRPr="006E0B89">
              <w:rPr>
                <w:rFonts w:eastAsia="Times New Roman"/>
                <w:color w:val="000000"/>
                <w:sz w:val="18"/>
                <w:szCs w:val="18"/>
              </w:rPr>
              <w:t>202</w:t>
            </w:r>
            <w:r w:rsidR="007A5965">
              <w:rPr>
                <w:rFonts w:eastAsia="Times New Roman"/>
                <w:color w:val="000000"/>
                <w:sz w:val="18"/>
                <w:szCs w:val="18"/>
              </w:rPr>
              <w:t>3</w:t>
            </w:r>
            <w:r w:rsidRPr="00BB2EEC">
              <w:rPr>
                <w:rFonts w:eastAsia="Times New Roman"/>
                <w:color w:val="000000"/>
                <w:sz w:val="18"/>
                <w:szCs w:val="18"/>
              </w:rPr>
              <w:t xml:space="preserve"> dollars using </w:t>
            </w:r>
            <w:r>
              <w:rPr>
                <w:rFonts w:eastAsia="Times New Roman"/>
                <w:color w:val="000000"/>
                <w:sz w:val="18"/>
                <w:szCs w:val="18"/>
              </w:rPr>
              <w:t>CPI</w:t>
            </w:r>
            <w:r>
              <w:rPr>
                <w:rFonts w:eastAsia="Times New Roman"/>
                <w:color w:val="000000"/>
                <w:sz w:val="18"/>
                <w:szCs w:val="18"/>
              </w:rPr>
              <w:noBreakHyphen/>
              <w:t xml:space="preserve">U </w:t>
            </w:r>
            <w:r w:rsidRPr="00BB2EEC">
              <w:rPr>
                <w:rFonts w:eastAsia="Times New Roman"/>
                <w:color w:val="000000"/>
                <w:sz w:val="18"/>
                <w:szCs w:val="18"/>
              </w:rPr>
              <w:t xml:space="preserve">values </w:t>
            </w:r>
            <w:r>
              <w:rPr>
                <w:rFonts w:eastAsia="Times New Roman"/>
                <w:color w:val="000000"/>
                <w:sz w:val="18"/>
                <w:szCs w:val="18"/>
              </w:rPr>
              <w:t>and</w:t>
            </w:r>
            <w:r w:rsidRPr="00BB2EEC">
              <w:rPr>
                <w:rFonts w:eastAsia="Times New Roman"/>
                <w:color w:val="000000"/>
                <w:sz w:val="18"/>
                <w:szCs w:val="18"/>
              </w:rPr>
              <w:t xml:space="preserve"> a </w:t>
            </w:r>
            <w:r>
              <w:rPr>
                <w:rFonts w:eastAsia="Times New Roman"/>
                <w:color w:val="000000"/>
                <w:sz w:val="18"/>
                <w:szCs w:val="18"/>
              </w:rPr>
              <w:t xml:space="preserve">2.4 </w:t>
            </w:r>
            <w:r w:rsidRPr="00BB2EEC">
              <w:rPr>
                <w:rFonts w:eastAsia="Times New Roman"/>
                <w:color w:val="000000"/>
                <w:sz w:val="18"/>
                <w:szCs w:val="18"/>
              </w:rPr>
              <w:t xml:space="preserve">multiplier </w:t>
            </w:r>
            <w:r>
              <w:rPr>
                <w:rFonts w:eastAsia="Times New Roman"/>
                <w:color w:val="000000"/>
                <w:sz w:val="18"/>
                <w:szCs w:val="18"/>
              </w:rPr>
              <w:t>was applied to account for</w:t>
            </w:r>
            <w:r w:rsidRPr="00BB2EEC">
              <w:rPr>
                <w:rFonts w:eastAsia="Times New Roman"/>
                <w:color w:val="000000"/>
                <w:sz w:val="18"/>
                <w:szCs w:val="18"/>
              </w:rPr>
              <w:t xml:space="preserve"> fringe and indirect management costs</w:t>
            </w:r>
          </w:p>
        </w:tc>
      </w:tr>
      <w:tr w14:paraId="646558C7"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auto" w:fill="auto"/>
            <w:noWrap/>
            <w:vAlign w:val="center"/>
            <w:hideMark/>
          </w:tcPr>
          <w:p w:rsidR="0078072B" w:rsidRPr="00BB2EEC" w:rsidP="0066072E" w14:paraId="1DDAE66E"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No. of parent companies</w:t>
            </w:r>
          </w:p>
        </w:tc>
        <w:tc>
          <w:tcPr>
            <w:tcW w:w="1260" w:type="dxa"/>
            <w:tcBorders>
              <w:top w:val="nil"/>
              <w:left w:val="nil"/>
              <w:bottom w:val="single" w:sz="4" w:space="0" w:color="auto"/>
              <w:right w:val="nil"/>
            </w:tcBorders>
            <w:shd w:val="clear" w:color="auto" w:fill="auto"/>
            <w:vAlign w:val="center"/>
            <w:hideMark/>
          </w:tcPr>
          <w:p w:rsidR="0078072B" w:rsidRPr="00BB2EEC" w:rsidP="0066072E" w14:paraId="71C6CD05" w14:textId="77777777">
            <w:pPr>
              <w:autoSpaceDE/>
              <w:autoSpaceDN/>
              <w:adjustRightInd/>
              <w:spacing w:line="240" w:lineRule="auto"/>
              <w:jc w:val="center"/>
              <w:rPr>
                <w:rFonts w:eastAsia="Times New Roman"/>
                <w:color w:val="000000"/>
                <w:sz w:val="18"/>
                <w:szCs w:val="18"/>
              </w:rPr>
            </w:pPr>
            <w:r w:rsidRPr="00BB2EEC">
              <w:rPr>
                <w:rFonts w:eastAsia="Times New Roman"/>
                <w:color w:val="000000"/>
                <w:sz w:val="18"/>
                <w:szCs w:val="18"/>
              </w:rPr>
              <w:t>18</w:t>
            </w:r>
          </w:p>
        </w:tc>
        <w:tc>
          <w:tcPr>
            <w:tcW w:w="5087" w:type="dxa"/>
            <w:gridSpan w:val="4"/>
            <w:vMerge w:val="restart"/>
            <w:tcBorders>
              <w:top w:val="single" w:sz="4" w:space="0" w:color="auto"/>
              <w:left w:val="single" w:sz="4" w:space="0" w:color="auto"/>
              <w:right w:val="single" w:sz="4" w:space="0" w:color="auto"/>
            </w:tcBorders>
            <w:shd w:val="clear" w:color="000000" w:fill="D9D9D9"/>
            <w:noWrap/>
            <w:vAlign w:val="center"/>
            <w:hideMark/>
          </w:tcPr>
          <w:p w:rsidR="0078072B" w:rsidRPr="00BB2EEC" w:rsidP="0066072E" w14:paraId="72B42875" w14:textId="77777777">
            <w:pPr>
              <w:autoSpaceDE/>
              <w:autoSpaceDN/>
              <w:adjustRightInd/>
              <w:spacing w:line="240" w:lineRule="auto"/>
              <w:jc w:val="center"/>
              <w:rPr>
                <w:rFonts w:eastAsia="Times New Roman"/>
                <w:color w:val="000000"/>
                <w:sz w:val="18"/>
                <w:szCs w:val="18"/>
              </w:rPr>
            </w:pPr>
          </w:p>
        </w:tc>
        <w:tc>
          <w:tcPr>
            <w:tcW w:w="2018" w:type="dxa"/>
            <w:tcBorders>
              <w:top w:val="nil"/>
              <w:left w:val="single" w:sz="4" w:space="0" w:color="auto"/>
              <w:bottom w:val="single" w:sz="4" w:space="0" w:color="auto"/>
              <w:right w:val="single" w:sz="4" w:space="0" w:color="auto"/>
            </w:tcBorders>
            <w:shd w:val="clear" w:color="auto" w:fill="auto"/>
            <w:noWrap/>
            <w:vAlign w:val="center"/>
            <w:hideMark/>
          </w:tcPr>
          <w:p w:rsidR="0078072B" w:rsidRPr="00BB2EEC" w:rsidP="0066072E" w14:paraId="04810339"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NRC estimate</w:t>
            </w:r>
          </w:p>
        </w:tc>
      </w:tr>
      <w:tr w14:paraId="21D8E11A"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hideMark/>
          </w:tcPr>
          <w:p w:rsidR="0078072B" w:rsidRPr="00BB2EEC" w:rsidP="0066072E" w14:paraId="1F0BB78A"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 xml:space="preserve">No. of licensees yet to request an initial </w:t>
            </w:r>
            <w:r>
              <w:rPr>
                <w:rFonts w:eastAsia="Times New Roman"/>
                <w:color w:val="000000"/>
                <w:sz w:val="18"/>
                <w:szCs w:val="18"/>
              </w:rPr>
              <w:t>license renewal</w:t>
            </w:r>
          </w:p>
        </w:tc>
        <w:tc>
          <w:tcPr>
            <w:tcW w:w="1260" w:type="dxa"/>
            <w:tcBorders>
              <w:top w:val="nil"/>
              <w:left w:val="nil"/>
              <w:bottom w:val="single" w:sz="4" w:space="0" w:color="auto"/>
              <w:right w:val="nil"/>
            </w:tcBorders>
            <w:shd w:val="clear" w:color="000000" w:fill="FFFFFF"/>
            <w:vAlign w:val="center"/>
            <w:hideMark/>
          </w:tcPr>
          <w:p w:rsidR="0078072B" w:rsidRPr="00BB2EEC" w:rsidP="0066072E" w14:paraId="1F8CFC88" w14:textId="77777777">
            <w:pPr>
              <w:autoSpaceDE/>
              <w:autoSpaceDN/>
              <w:adjustRightInd/>
              <w:spacing w:line="240" w:lineRule="auto"/>
              <w:jc w:val="center"/>
              <w:rPr>
                <w:rFonts w:eastAsia="Times New Roman"/>
                <w:color w:val="000000"/>
                <w:sz w:val="18"/>
                <w:szCs w:val="18"/>
              </w:rPr>
            </w:pPr>
            <w:r w:rsidRPr="00BB2EEC">
              <w:rPr>
                <w:rFonts w:eastAsia="Times New Roman"/>
                <w:color w:val="000000"/>
                <w:sz w:val="18"/>
                <w:szCs w:val="18"/>
              </w:rPr>
              <w:t>1</w:t>
            </w:r>
          </w:p>
        </w:tc>
        <w:tc>
          <w:tcPr>
            <w:tcW w:w="5087" w:type="dxa"/>
            <w:gridSpan w:val="4"/>
            <w:vMerge/>
            <w:tcBorders>
              <w:left w:val="single" w:sz="4" w:space="0" w:color="auto"/>
              <w:right w:val="single" w:sz="4" w:space="0" w:color="auto"/>
            </w:tcBorders>
            <w:shd w:val="clear" w:color="000000" w:fill="D9D9D9"/>
            <w:noWrap/>
            <w:vAlign w:val="center"/>
            <w:hideMark/>
          </w:tcPr>
          <w:p w:rsidR="0078072B" w:rsidRPr="00BB2EEC" w:rsidP="0066072E" w14:paraId="7EC0A73F" w14:textId="77777777">
            <w:pPr>
              <w:spacing w:line="240" w:lineRule="auto"/>
              <w:jc w:val="center"/>
              <w:rPr>
                <w:rFonts w:eastAsia="Times New Roman"/>
                <w:color w:val="000000"/>
                <w:sz w:val="18"/>
                <w:szCs w:val="18"/>
              </w:rPr>
            </w:pPr>
          </w:p>
        </w:tc>
        <w:tc>
          <w:tcPr>
            <w:tcW w:w="2018" w:type="dxa"/>
            <w:tcBorders>
              <w:top w:val="nil"/>
              <w:left w:val="single" w:sz="4" w:space="0" w:color="auto"/>
              <w:bottom w:val="single" w:sz="4" w:space="0" w:color="auto"/>
              <w:right w:val="single" w:sz="4" w:space="0" w:color="auto"/>
            </w:tcBorders>
            <w:shd w:val="clear" w:color="auto" w:fill="auto"/>
            <w:noWrap/>
            <w:vAlign w:val="center"/>
            <w:hideMark/>
          </w:tcPr>
          <w:p w:rsidR="0078072B" w:rsidRPr="00BB2EEC" w:rsidP="0066072E" w14:paraId="3FDD24C8"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NRC estimate</w:t>
            </w:r>
          </w:p>
        </w:tc>
      </w:tr>
      <w:tr w14:paraId="08FDCB65"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auto" w:fill="auto"/>
            <w:noWrap/>
            <w:vAlign w:val="center"/>
            <w:hideMark/>
          </w:tcPr>
          <w:p w:rsidR="0078072B" w:rsidRPr="00BB2EEC" w:rsidP="0066072E" w14:paraId="1840711F" w14:textId="02838A01">
            <w:pPr>
              <w:autoSpaceDE/>
              <w:autoSpaceDN/>
              <w:adjustRightInd/>
              <w:spacing w:line="240" w:lineRule="auto"/>
              <w:rPr>
                <w:rFonts w:eastAsia="Times New Roman"/>
                <w:color w:val="000000"/>
                <w:sz w:val="18"/>
                <w:szCs w:val="18"/>
              </w:rPr>
            </w:pPr>
            <w:r w:rsidRPr="00BB2EEC">
              <w:rPr>
                <w:rFonts w:eastAsia="Times New Roman"/>
                <w:color w:val="000000"/>
                <w:sz w:val="18"/>
                <w:szCs w:val="18"/>
              </w:rPr>
              <w:t>No. of licensees with near-term</w:t>
            </w:r>
            <w:r w:rsidR="00DB4B91">
              <w:rPr>
                <w:rFonts w:eastAsia="Times New Roman"/>
                <w:color w:val="000000"/>
                <w:sz w:val="18"/>
                <w:szCs w:val="18"/>
              </w:rPr>
              <w:t xml:space="preserve"> and</w:t>
            </w:r>
            <w:r w:rsidRPr="00BB2EEC">
              <w:rPr>
                <w:rFonts w:eastAsia="Times New Roman"/>
                <w:color w:val="000000"/>
                <w:sz w:val="18"/>
                <w:szCs w:val="18"/>
              </w:rPr>
              <w:t xml:space="preserve"> submitted</w:t>
            </w:r>
            <w:r w:rsidR="00DB4B91">
              <w:rPr>
                <w:rFonts w:eastAsia="Times New Roman"/>
                <w:color w:val="000000"/>
                <w:sz w:val="18"/>
                <w:szCs w:val="18"/>
              </w:rPr>
              <w:t xml:space="preserve"> applications, and</w:t>
            </w:r>
            <w:r w:rsidRPr="00BB2EEC">
              <w:rPr>
                <w:rFonts w:eastAsia="Times New Roman"/>
                <w:color w:val="000000"/>
                <w:sz w:val="18"/>
                <w:szCs w:val="18"/>
              </w:rPr>
              <w:t xml:space="preserve"> </w:t>
            </w:r>
            <w:r w:rsidR="00DB4B91">
              <w:rPr>
                <w:rFonts w:eastAsia="Times New Roman"/>
                <w:color w:val="000000"/>
                <w:sz w:val="18"/>
                <w:szCs w:val="18"/>
              </w:rPr>
              <w:t xml:space="preserve">issued </w:t>
            </w:r>
            <w:r>
              <w:rPr>
                <w:rFonts w:eastAsia="Times New Roman"/>
                <w:color w:val="000000"/>
                <w:sz w:val="18"/>
                <w:szCs w:val="18"/>
              </w:rPr>
              <w:t>subsequently renewed licenses</w:t>
            </w:r>
          </w:p>
        </w:tc>
        <w:tc>
          <w:tcPr>
            <w:tcW w:w="1260" w:type="dxa"/>
            <w:tcBorders>
              <w:top w:val="nil"/>
              <w:left w:val="nil"/>
              <w:bottom w:val="single" w:sz="4" w:space="0" w:color="auto"/>
              <w:right w:val="nil"/>
            </w:tcBorders>
            <w:shd w:val="clear" w:color="000000" w:fill="FFFFFF"/>
            <w:vAlign w:val="center"/>
            <w:hideMark/>
          </w:tcPr>
          <w:p w:rsidR="0078072B" w:rsidRPr="00BB2EEC" w:rsidP="0066072E" w14:paraId="7B408175" w14:textId="77777777">
            <w:pPr>
              <w:autoSpaceDE/>
              <w:autoSpaceDN/>
              <w:adjustRightInd/>
              <w:spacing w:line="240" w:lineRule="auto"/>
              <w:jc w:val="center"/>
              <w:rPr>
                <w:rFonts w:eastAsia="Times New Roman"/>
                <w:color w:val="000000"/>
                <w:sz w:val="18"/>
                <w:szCs w:val="18"/>
              </w:rPr>
            </w:pPr>
            <w:r w:rsidRPr="00BB2EEC">
              <w:rPr>
                <w:rFonts w:eastAsia="Times New Roman"/>
                <w:color w:val="000000"/>
                <w:sz w:val="18"/>
                <w:szCs w:val="18"/>
              </w:rPr>
              <w:t>1</w:t>
            </w:r>
            <w:r>
              <w:rPr>
                <w:rFonts w:eastAsia="Times New Roman"/>
                <w:color w:val="000000"/>
                <w:sz w:val="18"/>
                <w:szCs w:val="18"/>
              </w:rPr>
              <w:t>0</w:t>
            </w:r>
          </w:p>
        </w:tc>
        <w:tc>
          <w:tcPr>
            <w:tcW w:w="5087" w:type="dxa"/>
            <w:gridSpan w:val="4"/>
            <w:vMerge/>
            <w:tcBorders>
              <w:left w:val="single" w:sz="4" w:space="0" w:color="auto"/>
              <w:right w:val="single" w:sz="4" w:space="0" w:color="auto"/>
            </w:tcBorders>
            <w:shd w:val="clear" w:color="000000" w:fill="D9D9D9"/>
            <w:noWrap/>
            <w:vAlign w:val="center"/>
            <w:hideMark/>
          </w:tcPr>
          <w:p w:rsidR="0078072B" w:rsidRPr="00BB2EEC" w:rsidP="0066072E" w14:paraId="74B3657B" w14:textId="77777777">
            <w:pPr>
              <w:spacing w:line="240" w:lineRule="auto"/>
              <w:jc w:val="center"/>
              <w:rPr>
                <w:rFonts w:eastAsia="Times New Roman"/>
                <w:color w:val="000000"/>
                <w:sz w:val="18"/>
                <w:szCs w:val="18"/>
              </w:rPr>
            </w:pPr>
          </w:p>
        </w:tc>
        <w:tc>
          <w:tcPr>
            <w:tcW w:w="2018" w:type="dxa"/>
            <w:tcBorders>
              <w:top w:val="nil"/>
              <w:left w:val="single" w:sz="4" w:space="0" w:color="auto"/>
              <w:bottom w:val="single" w:sz="4" w:space="0" w:color="auto"/>
              <w:right w:val="single" w:sz="4" w:space="0" w:color="auto"/>
            </w:tcBorders>
            <w:shd w:val="clear" w:color="auto" w:fill="auto"/>
            <w:noWrap/>
            <w:vAlign w:val="center"/>
            <w:hideMark/>
          </w:tcPr>
          <w:p w:rsidR="0078072B" w:rsidRPr="00BB2EEC" w:rsidP="0066072E" w14:paraId="214902D1"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NRC estimate</w:t>
            </w:r>
          </w:p>
        </w:tc>
      </w:tr>
      <w:tr w14:paraId="07C19C65"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auto" w:fill="auto"/>
            <w:noWrap/>
            <w:vAlign w:val="center"/>
            <w:hideMark/>
          </w:tcPr>
          <w:p w:rsidR="0078072B" w:rsidRPr="00BB2EEC" w:rsidP="0066072E" w14:paraId="0B708F67"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 xml:space="preserve">No. of licensees with future </w:t>
            </w:r>
            <w:r>
              <w:rPr>
                <w:rFonts w:eastAsia="Times New Roman"/>
                <w:color w:val="000000"/>
                <w:sz w:val="18"/>
                <w:szCs w:val="18"/>
              </w:rPr>
              <w:t>subsequently renewed licenses</w:t>
            </w:r>
          </w:p>
        </w:tc>
        <w:tc>
          <w:tcPr>
            <w:tcW w:w="1260" w:type="dxa"/>
            <w:tcBorders>
              <w:top w:val="nil"/>
              <w:left w:val="nil"/>
              <w:bottom w:val="single" w:sz="4" w:space="0" w:color="auto"/>
              <w:right w:val="nil"/>
            </w:tcBorders>
            <w:shd w:val="clear" w:color="000000" w:fill="FFFFFF"/>
            <w:vAlign w:val="center"/>
            <w:hideMark/>
          </w:tcPr>
          <w:p w:rsidR="0078072B" w:rsidRPr="00BB2EEC" w:rsidP="0066072E" w14:paraId="783A0E3F" w14:textId="77777777">
            <w:pPr>
              <w:autoSpaceDE/>
              <w:autoSpaceDN/>
              <w:adjustRightInd/>
              <w:spacing w:line="240" w:lineRule="auto"/>
              <w:jc w:val="center"/>
              <w:rPr>
                <w:rFonts w:eastAsia="Times New Roman"/>
                <w:color w:val="000000"/>
                <w:sz w:val="18"/>
                <w:szCs w:val="18"/>
              </w:rPr>
            </w:pPr>
            <w:r w:rsidRPr="00BB2EEC">
              <w:rPr>
                <w:rFonts w:eastAsia="Times New Roman"/>
                <w:color w:val="000000"/>
                <w:sz w:val="18"/>
                <w:szCs w:val="18"/>
              </w:rPr>
              <w:t>4</w:t>
            </w:r>
            <w:r>
              <w:rPr>
                <w:rFonts w:eastAsia="Times New Roman"/>
                <w:color w:val="000000"/>
                <w:sz w:val="18"/>
                <w:szCs w:val="18"/>
              </w:rPr>
              <w:t>4</w:t>
            </w:r>
          </w:p>
        </w:tc>
        <w:tc>
          <w:tcPr>
            <w:tcW w:w="5087" w:type="dxa"/>
            <w:gridSpan w:val="4"/>
            <w:vMerge/>
            <w:tcBorders>
              <w:left w:val="single" w:sz="4" w:space="0" w:color="auto"/>
              <w:bottom w:val="single" w:sz="4" w:space="0" w:color="auto"/>
              <w:right w:val="single" w:sz="4" w:space="0" w:color="auto"/>
            </w:tcBorders>
            <w:shd w:val="clear" w:color="000000" w:fill="D9D9D9"/>
            <w:noWrap/>
            <w:vAlign w:val="center"/>
            <w:hideMark/>
          </w:tcPr>
          <w:p w:rsidR="0078072B" w:rsidRPr="00BB2EEC" w:rsidP="0066072E" w14:paraId="6641910D" w14:textId="77777777">
            <w:pPr>
              <w:autoSpaceDE/>
              <w:autoSpaceDN/>
              <w:adjustRightInd/>
              <w:spacing w:line="240" w:lineRule="auto"/>
              <w:jc w:val="center"/>
              <w:rPr>
                <w:rFonts w:eastAsia="Times New Roman"/>
                <w:color w:val="000000"/>
                <w:sz w:val="18"/>
                <w:szCs w:val="18"/>
              </w:rPr>
            </w:pPr>
          </w:p>
        </w:tc>
        <w:tc>
          <w:tcPr>
            <w:tcW w:w="2018" w:type="dxa"/>
            <w:tcBorders>
              <w:top w:val="nil"/>
              <w:left w:val="single" w:sz="4" w:space="0" w:color="auto"/>
              <w:bottom w:val="single" w:sz="4" w:space="0" w:color="auto"/>
              <w:right w:val="single" w:sz="4" w:space="0" w:color="auto"/>
            </w:tcBorders>
            <w:shd w:val="clear" w:color="auto" w:fill="auto"/>
            <w:noWrap/>
            <w:vAlign w:val="center"/>
            <w:hideMark/>
          </w:tcPr>
          <w:p w:rsidR="0078072B" w:rsidRPr="00BB2EEC" w:rsidP="0066072E" w14:paraId="7C669DD3" w14:textId="77777777">
            <w:pPr>
              <w:autoSpaceDE/>
              <w:autoSpaceDN/>
              <w:adjustRightInd/>
              <w:spacing w:line="240" w:lineRule="auto"/>
              <w:rPr>
                <w:rFonts w:eastAsia="Times New Roman"/>
                <w:color w:val="000000"/>
                <w:sz w:val="18"/>
                <w:szCs w:val="18"/>
              </w:rPr>
            </w:pPr>
            <w:r w:rsidRPr="00BB2EEC">
              <w:rPr>
                <w:rFonts w:eastAsia="Times New Roman"/>
                <w:color w:val="000000"/>
                <w:sz w:val="18"/>
                <w:szCs w:val="18"/>
              </w:rPr>
              <w:t>NRC estimate</w:t>
            </w:r>
          </w:p>
        </w:tc>
      </w:tr>
      <w:tr w14:paraId="498A7FA3" w14:textId="77777777" w:rsidTr="0066072E">
        <w:tblPrEx>
          <w:tblW w:w="10260" w:type="dxa"/>
          <w:jc w:val="center"/>
          <w:tblLook w:val="04A0"/>
        </w:tblPrEx>
        <w:trPr>
          <w:trHeight w:val="260"/>
          <w:jc w:val="center"/>
        </w:trPr>
        <w:tc>
          <w:tcPr>
            <w:tcW w:w="82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72B" w:rsidRPr="00BB2EEC" w:rsidP="0066072E" w14:paraId="2999822B" w14:textId="77777777">
            <w:pPr>
              <w:autoSpaceDE/>
              <w:autoSpaceDN/>
              <w:adjustRightInd/>
              <w:spacing w:line="240" w:lineRule="auto"/>
              <w:jc w:val="center"/>
              <w:rPr>
                <w:rFonts w:eastAsia="Times New Roman"/>
                <w:b/>
                <w:bCs/>
                <w:color w:val="000000"/>
                <w:sz w:val="18"/>
                <w:szCs w:val="18"/>
              </w:rPr>
            </w:pPr>
            <w:r w:rsidRPr="00BB2EEC">
              <w:rPr>
                <w:rFonts w:eastAsia="Times New Roman"/>
                <w:b/>
                <w:bCs/>
                <w:color w:val="000000"/>
                <w:sz w:val="18"/>
                <w:szCs w:val="18"/>
              </w:rPr>
              <w:t>Alternative 1 Input Data for Alternative 2 Averted Costs</w:t>
            </w:r>
          </w:p>
        </w:tc>
        <w:tc>
          <w:tcPr>
            <w:tcW w:w="2018" w:type="dxa"/>
            <w:tcBorders>
              <w:top w:val="nil"/>
              <w:left w:val="nil"/>
              <w:bottom w:val="single" w:sz="4" w:space="0" w:color="auto"/>
              <w:right w:val="single" w:sz="4" w:space="0" w:color="auto"/>
            </w:tcBorders>
            <w:shd w:val="clear" w:color="auto" w:fill="auto"/>
            <w:noWrap/>
            <w:vAlign w:val="center"/>
            <w:hideMark/>
          </w:tcPr>
          <w:p w:rsidR="0078072B" w:rsidRPr="00DF101F" w:rsidP="0066072E" w14:paraId="01237D4C" w14:textId="77777777">
            <w:pPr>
              <w:autoSpaceDE/>
              <w:autoSpaceDN/>
              <w:adjustRightInd/>
              <w:spacing w:line="240" w:lineRule="auto"/>
              <w:rPr>
                <w:rFonts w:eastAsia="Times New Roman"/>
                <w:color w:val="000000"/>
                <w:sz w:val="18"/>
                <w:szCs w:val="18"/>
                <w:highlight w:val="yellow"/>
              </w:rPr>
            </w:pPr>
          </w:p>
        </w:tc>
      </w:tr>
      <w:tr w14:paraId="0202D708" w14:textId="77777777" w:rsidTr="0066072E">
        <w:tblPrEx>
          <w:tblW w:w="10260" w:type="dxa"/>
          <w:jc w:val="center"/>
          <w:tblLook w:val="04A0"/>
        </w:tblPrEx>
        <w:trPr>
          <w:trHeight w:val="250"/>
          <w:jc w:val="center"/>
        </w:trPr>
        <w:tc>
          <w:tcPr>
            <w:tcW w:w="8242" w:type="dxa"/>
            <w:gridSpan w:val="6"/>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78072B" w:rsidRPr="0019644F" w:rsidP="0066072E" w14:paraId="614F5E70"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Inputs</w:t>
            </w:r>
          </w:p>
        </w:tc>
        <w:tc>
          <w:tcPr>
            <w:tcW w:w="2018" w:type="dxa"/>
            <w:tcBorders>
              <w:top w:val="nil"/>
              <w:left w:val="nil"/>
              <w:bottom w:val="single" w:sz="4" w:space="0" w:color="auto"/>
              <w:right w:val="single" w:sz="4" w:space="0" w:color="auto"/>
            </w:tcBorders>
            <w:shd w:val="clear" w:color="000000" w:fill="A9D08E"/>
            <w:noWrap/>
            <w:vAlign w:val="center"/>
            <w:hideMark/>
          </w:tcPr>
          <w:p w:rsidR="0078072B" w:rsidRPr="0019644F" w:rsidP="0066072E" w14:paraId="3CE6EC45" w14:textId="77777777">
            <w:pPr>
              <w:autoSpaceDE/>
              <w:autoSpaceDN/>
              <w:adjustRightInd/>
              <w:spacing w:line="240" w:lineRule="auto"/>
              <w:rPr>
                <w:rFonts w:eastAsia="Times New Roman"/>
                <w:color w:val="000000"/>
                <w:sz w:val="18"/>
                <w:szCs w:val="18"/>
              </w:rPr>
            </w:pPr>
          </w:p>
        </w:tc>
      </w:tr>
      <w:tr w14:paraId="2719A1A5"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hideMark/>
          </w:tcPr>
          <w:p w:rsidR="0078072B" w:rsidRPr="0019644F" w:rsidP="0066072E" w14:paraId="41FFF7B7" w14:textId="43E51BD6">
            <w:pPr>
              <w:autoSpaceDE/>
              <w:autoSpaceDN/>
              <w:adjustRightInd/>
              <w:spacing w:line="240" w:lineRule="auto"/>
              <w:rPr>
                <w:rFonts w:eastAsia="Times New Roman"/>
                <w:color w:val="000000"/>
                <w:sz w:val="18"/>
                <w:szCs w:val="18"/>
              </w:rPr>
            </w:pPr>
            <w:r w:rsidRPr="0019644F">
              <w:rPr>
                <w:rFonts w:eastAsia="Times New Roman"/>
                <w:color w:val="000000"/>
                <w:sz w:val="18"/>
                <w:szCs w:val="18"/>
              </w:rPr>
              <w:t>Hours per Cat</w:t>
            </w:r>
            <w:r w:rsidR="00E14AAB">
              <w:rPr>
                <w:rFonts w:eastAsia="Times New Roman"/>
                <w:color w:val="000000"/>
                <w:sz w:val="18"/>
                <w:szCs w:val="18"/>
              </w:rPr>
              <w:t>egory</w:t>
            </w:r>
            <w:r w:rsidR="00AA282B">
              <w:rPr>
                <w:rFonts w:eastAsia="Times New Roman"/>
                <w:color w:val="000000"/>
                <w:sz w:val="18"/>
                <w:szCs w:val="18"/>
              </w:rPr>
              <w:t> </w:t>
            </w:r>
            <w:r w:rsidRPr="0019644F">
              <w:rPr>
                <w:rFonts w:eastAsia="Times New Roman"/>
                <w:color w:val="000000"/>
                <w:sz w:val="18"/>
                <w:szCs w:val="18"/>
              </w:rPr>
              <w:t>1 issue</w:t>
            </w:r>
          </w:p>
        </w:tc>
        <w:tc>
          <w:tcPr>
            <w:tcW w:w="1260"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13CF0EF6"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43</w:t>
            </w:r>
          </w:p>
        </w:tc>
        <w:tc>
          <w:tcPr>
            <w:tcW w:w="1339"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097DB7EE"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PERT</w:t>
            </w:r>
          </w:p>
        </w:tc>
        <w:tc>
          <w:tcPr>
            <w:tcW w:w="1217"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3705E0A8"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39</w:t>
            </w:r>
          </w:p>
        </w:tc>
        <w:tc>
          <w:tcPr>
            <w:tcW w:w="1314"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77885389"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43</w:t>
            </w:r>
          </w:p>
        </w:tc>
        <w:tc>
          <w:tcPr>
            <w:tcW w:w="1217"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43F9AC0D"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48</w:t>
            </w:r>
          </w:p>
        </w:tc>
        <w:tc>
          <w:tcPr>
            <w:tcW w:w="2018" w:type="dxa"/>
            <w:tcBorders>
              <w:top w:val="nil"/>
              <w:left w:val="nil"/>
              <w:bottom w:val="single" w:sz="4" w:space="0" w:color="auto"/>
              <w:right w:val="single" w:sz="4" w:space="0" w:color="auto"/>
            </w:tcBorders>
            <w:shd w:val="clear" w:color="auto" w:fill="auto"/>
            <w:noWrap/>
            <w:vAlign w:val="center"/>
            <w:hideMark/>
          </w:tcPr>
          <w:p w:rsidR="0078072B" w:rsidRPr="0019644F" w:rsidP="0066072E" w14:paraId="5C4A3D2C"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estimate</w:t>
            </w:r>
          </w:p>
        </w:tc>
      </w:tr>
      <w:tr w14:paraId="2927DABA"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hideMark/>
          </w:tcPr>
          <w:p w:rsidR="0078072B" w:rsidRPr="0019644F" w:rsidP="0066072E" w14:paraId="1D5AF68F" w14:textId="4769ADEB">
            <w:pPr>
              <w:autoSpaceDE/>
              <w:autoSpaceDN/>
              <w:adjustRightInd/>
              <w:spacing w:line="240" w:lineRule="auto"/>
              <w:rPr>
                <w:rFonts w:eastAsia="Times New Roman"/>
                <w:color w:val="000000"/>
                <w:sz w:val="18"/>
                <w:szCs w:val="18"/>
              </w:rPr>
            </w:pPr>
            <w:r w:rsidRPr="0019644F">
              <w:rPr>
                <w:rFonts w:eastAsia="Times New Roman"/>
                <w:color w:val="000000"/>
                <w:sz w:val="18"/>
                <w:szCs w:val="18"/>
              </w:rPr>
              <w:t>Hours per Cat</w:t>
            </w:r>
            <w:r w:rsidR="00E14AAB">
              <w:rPr>
                <w:rFonts w:eastAsia="Times New Roman"/>
                <w:color w:val="000000"/>
                <w:sz w:val="18"/>
                <w:szCs w:val="18"/>
              </w:rPr>
              <w:t>egory</w:t>
            </w:r>
            <w:r w:rsidR="005D3E6C">
              <w:rPr>
                <w:rFonts w:eastAsia="Times New Roman"/>
                <w:color w:val="000000"/>
                <w:sz w:val="18"/>
                <w:szCs w:val="18"/>
              </w:rPr>
              <w:t> </w:t>
            </w:r>
            <w:r w:rsidRPr="0019644F">
              <w:rPr>
                <w:rFonts w:eastAsia="Times New Roman"/>
                <w:color w:val="000000"/>
                <w:sz w:val="18"/>
                <w:szCs w:val="18"/>
              </w:rPr>
              <w:t>2 issue</w:t>
            </w:r>
          </w:p>
        </w:tc>
        <w:tc>
          <w:tcPr>
            <w:tcW w:w="1260"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45B18798"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174</w:t>
            </w:r>
          </w:p>
        </w:tc>
        <w:tc>
          <w:tcPr>
            <w:tcW w:w="1339"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46AB9C2C"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PERT</w:t>
            </w:r>
          </w:p>
        </w:tc>
        <w:tc>
          <w:tcPr>
            <w:tcW w:w="1217"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4093288A"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156</w:t>
            </w:r>
          </w:p>
        </w:tc>
        <w:tc>
          <w:tcPr>
            <w:tcW w:w="1314"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688706D4"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174</w:t>
            </w:r>
          </w:p>
        </w:tc>
        <w:tc>
          <w:tcPr>
            <w:tcW w:w="1217"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1F1DE4E9"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191</w:t>
            </w:r>
          </w:p>
        </w:tc>
        <w:tc>
          <w:tcPr>
            <w:tcW w:w="2018" w:type="dxa"/>
            <w:tcBorders>
              <w:top w:val="nil"/>
              <w:left w:val="nil"/>
              <w:bottom w:val="single" w:sz="4" w:space="0" w:color="auto"/>
              <w:right w:val="single" w:sz="4" w:space="0" w:color="auto"/>
            </w:tcBorders>
            <w:shd w:val="clear" w:color="auto" w:fill="auto"/>
            <w:noWrap/>
            <w:vAlign w:val="center"/>
            <w:hideMark/>
          </w:tcPr>
          <w:p w:rsidR="0078072B" w:rsidRPr="0019644F" w:rsidP="0066072E" w14:paraId="58E375B7"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estimate</w:t>
            </w:r>
          </w:p>
        </w:tc>
      </w:tr>
      <w:tr w14:paraId="3FBACCB5"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tcPr>
          <w:p w:rsidR="0078072B" w:rsidRPr="0019644F" w:rsidP="0066072E" w14:paraId="78FEE4F6"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Hours per uncategorized issue</w:t>
            </w:r>
          </w:p>
        </w:tc>
        <w:tc>
          <w:tcPr>
            <w:tcW w:w="1260" w:type="dxa"/>
            <w:tcBorders>
              <w:top w:val="nil"/>
              <w:left w:val="nil"/>
              <w:bottom w:val="single" w:sz="4" w:space="0" w:color="auto"/>
              <w:right w:val="single" w:sz="4" w:space="0" w:color="auto"/>
            </w:tcBorders>
            <w:shd w:val="clear" w:color="000000" w:fill="FFFFFF"/>
            <w:noWrap/>
            <w:vAlign w:val="center"/>
          </w:tcPr>
          <w:p w:rsidR="0078072B" w:rsidRPr="0019644F" w:rsidP="0066072E" w14:paraId="65A2B7F0"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43</w:t>
            </w:r>
          </w:p>
        </w:tc>
        <w:tc>
          <w:tcPr>
            <w:tcW w:w="1339" w:type="dxa"/>
            <w:tcBorders>
              <w:top w:val="nil"/>
              <w:left w:val="nil"/>
              <w:bottom w:val="single" w:sz="4" w:space="0" w:color="auto"/>
              <w:right w:val="single" w:sz="4" w:space="0" w:color="auto"/>
            </w:tcBorders>
            <w:shd w:val="clear" w:color="000000" w:fill="FFFFFF"/>
            <w:noWrap/>
            <w:vAlign w:val="center"/>
          </w:tcPr>
          <w:p w:rsidR="0078072B" w:rsidRPr="0019644F" w:rsidP="0066072E" w14:paraId="2E7754B8"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PERT</w:t>
            </w:r>
          </w:p>
        </w:tc>
        <w:tc>
          <w:tcPr>
            <w:tcW w:w="1217" w:type="dxa"/>
            <w:tcBorders>
              <w:top w:val="nil"/>
              <w:left w:val="nil"/>
              <w:bottom w:val="single" w:sz="4" w:space="0" w:color="auto"/>
              <w:right w:val="single" w:sz="4" w:space="0" w:color="auto"/>
            </w:tcBorders>
            <w:shd w:val="clear" w:color="000000" w:fill="FFFFFF"/>
            <w:noWrap/>
            <w:vAlign w:val="center"/>
          </w:tcPr>
          <w:p w:rsidR="0078072B" w:rsidRPr="0019644F" w:rsidP="0066072E" w14:paraId="32F9EB37"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39</w:t>
            </w:r>
          </w:p>
        </w:tc>
        <w:tc>
          <w:tcPr>
            <w:tcW w:w="1314" w:type="dxa"/>
            <w:tcBorders>
              <w:top w:val="nil"/>
              <w:left w:val="nil"/>
              <w:bottom w:val="single" w:sz="4" w:space="0" w:color="auto"/>
              <w:right w:val="single" w:sz="4" w:space="0" w:color="auto"/>
            </w:tcBorders>
            <w:shd w:val="clear" w:color="000000" w:fill="FFFFFF"/>
            <w:noWrap/>
            <w:vAlign w:val="center"/>
          </w:tcPr>
          <w:p w:rsidR="0078072B" w:rsidRPr="0019644F" w:rsidP="0066072E" w14:paraId="38C164B0"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43</w:t>
            </w:r>
          </w:p>
        </w:tc>
        <w:tc>
          <w:tcPr>
            <w:tcW w:w="1217" w:type="dxa"/>
            <w:tcBorders>
              <w:top w:val="nil"/>
              <w:left w:val="nil"/>
              <w:bottom w:val="single" w:sz="4" w:space="0" w:color="auto"/>
              <w:right w:val="single" w:sz="4" w:space="0" w:color="auto"/>
            </w:tcBorders>
            <w:shd w:val="clear" w:color="000000" w:fill="FFFFFF"/>
            <w:noWrap/>
            <w:vAlign w:val="center"/>
          </w:tcPr>
          <w:p w:rsidR="0078072B" w:rsidRPr="0019644F" w:rsidP="0066072E" w14:paraId="6E408741"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48</w:t>
            </w:r>
          </w:p>
        </w:tc>
        <w:tc>
          <w:tcPr>
            <w:tcW w:w="2018" w:type="dxa"/>
            <w:tcBorders>
              <w:top w:val="nil"/>
              <w:left w:val="nil"/>
              <w:bottom w:val="single" w:sz="4" w:space="0" w:color="auto"/>
              <w:right w:val="single" w:sz="4" w:space="0" w:color="auto"/>
            </w:tcBorders>
            <w:shd w:val="clear" w:color="auto" w:fill="auto"/>
            <w:noWrap/>
            <w:vAlign w:val="center"/>
          </w:tcPr>
          <w:p w:rsidR="0078072B" w:rsidRPr="0019644F" w:rsidP="0066072E" w14:paraId="3C91C837"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estimate</w:t>
            </w:r>
          </w:p>
        </w:tc>
      </w:tr>
      <w:tr w14:paraId="59293FA0"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tcPr>
          <w:p w:rsidR="0078072B" w:rsidRPr="0019644F" w:rsidP="0066072E" w14:paraId="7C4C16B7"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Savings from consolidated issues</w:t>
            </w:r>
          </w:p>
        </w:tc>
        <w:tc>
          <w:tcPr>
            <w:tcW w:w="1260" w:type="dxa"/>
            <w:tcBorders>
              <w:top w:val="nil"/>
              <w:left w:val="nil"/>
              <w:bottom w:val="single" w:sz="4" w:space="0" w:color="auto"/>
              <w:right w:val="single" w:sz="4" w:space="0" w:color="auto"/>
            </w:tcBorders>
            <w:shd w:val="clear" w:color="000000" w:fill="FFFFFF"/>
            <w:noWrap/>
            <w:vAlign w:val="center"/>
          </w:tcPr>
          <w:p w:rsidR="0078072B" w:rsidRPr="0019644F" w:rsidP="0066072E" w14:paraId="0E1057F4"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70%</w:t>
            </w:r>
          </w:p>
        </w:tc>
        <w:tc>
          <w:tcPr>
            <w:tcW w:w="1339" w:type="dxa"/>
            <w:tcBorders>
              <w:top w:val="nil"/>
              <w:left w:val="nil"/>
              <w:bottom w:val="single" w:sz="4" w:space="0" w:color="auto"/>
              <w:right w:val="single" w:sz="4" w:space="0" w:color="auto"/>
            </w:tcBorders>
            <w:shd w:val="clear" w:color="000000" w:fill="FFFFFF"/>
            <w:noWrap/>
            <w:vAlign w:val="center"/>
          </w:tcPr>
          <w:p w:rsidR="0078072B" w:rsidRPr="0019644F" w:rsidP="0066072E" w14:paraId="240AEDA8"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PERT</w:t>
            </w:r>
          </w:p>
        </w:tc>
        <w:tc>
          <w:tcPr>
            <w:tcW w:w="1217" w:type="dxa"/>
            <w:tcBorders>
              <w:top w:val="nil"/>
              <w:left w:val="nil"/>
              <w:bottom w:val="single" w:sz="4" w:space="0" w:color="auto"/>
              <w:right w:val="single" w:sz="4" w:space="0" w:color="auto"/>
            </w:tcBorders>
            <w:shd w:val="clear" w:color="000000" w:fill="FFFFFF"/>
            <w:noWrap/>
            <w:vAlign w:val="center"/>
          </w:tcPr>
          <w:p w:rsidR="0078072B" w:rsidRPr="0019644F" w:rsidP="0066072E" w14:paraId="524BFA7B"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60%</w:t>
            </w:r>
          </w:p>
        </w:tc>
        <w:tc>
          <w:tcPr>
            <w:tcW w:w="1314" w:type="dxa"/>
            <w:tcBorders>
              <w:top w:val="nil"/>
              <w:left w:val="nil"/>
              <w:bottom w:val="single" w:sz="4" w:space="0" w:color="auto"/>
              <w:right w:val="single" w:sz="4" w:space="0" w:color="auto"/>
            </w:tcBorders>
            <w:shd w:val="clear" w:color="000000" w:fill="FFFFFF"/>
            <w:noWrap/>
            <w:vAlign w:val="center"/>
          </w:tcPr>
          <w:p w:rsidR="0078072B" w:rsidRPr="0019644F" w:rsidP="0066072E" w14:paraId="47D52038"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70%</w:t>
            </w:r>
          </w:p>
        </w:tc>
        <w:tc>
          <w:tcPr>
            <w:tcW w:w="1217" w:type="dxa"/>
            <w:tcBorders>
              <w:top w:val="nil"/>
              <w:left w:val="nil"/>
              <w:bottom w:val="single" w:sz="4" w:space="0" w:color="auto"/>
              <w:right w:val="single" w:sz="4" w:space="0" w:color="auto"/>
            </w:tcBorders>
            <w:shd w:val="clear" w:color="000000" w:fill="FFFFFF"/>
            <w:noWrap/>
            <w:vAlign w:val="center"/>
          </w:tcPr>
          <w:p w:rsidR="0078072B" w:rsidRPr="0019644F" w:rsidP="0066072E" w14:paraId="5641CE86"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80%</w:t>
            </w:r>
          </w:p>
        </w:tc>
        <w:tc>
          <w:tcPr>
            <w:tcW w:w="2018" w:type="dxa"/>
            <w:tcBorders>
              <w:top w:val="nil"/>
              <w:left w:val="nil"/>
              <w:bottom w:val="single" w:sz="4" w:space="0" w:color="auto"/>
              <w:right w:val="single" w:sz="4" w:space="0" w:color="auto"/>
            </w:tcBorders>
            <w:shd w:val="clear" w:color="auto" w:fill="auto"/>
            <w:noWrap/>
            <w:vAlign w:val="center"/>
          </w:tcPr>
          <w:p w:rsidR="0078072B" w:rsidRPr="0019644F" w:rsidP="0066072E" w14:paraId="359CBDC7"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estimate</w:t>
            </w:r>
          </w:p>
        </w:tc>
      </w:tr>
      <w:tr w14:paraId="4AFCD720"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tcPr>
          <w:p w:rsidR="0078072B" w:rsidRPr="0019644F" w:rsidP="0066072E" w14:paraId="1E7AD024"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Increased percentage cost from subdividing issues</w:t>
            </w:r>
          </w:p>
        </w:tc>
        <w:tc>
          <w:tcPr>
            <w:tcW w:w="1260" w:type="dxa"/>
            <w:tcBorders>
              <w:top w:val="nil"/>
              <w:left w:val="nil"/>
              <w:bottom w:val="single" w:sz="4" w:space="0" w:color="auto"/>
              <w:right w:val="single" w:sz="4" w:space="0" w:color="auto"/>
            </w:tcBorders>
            <w:shd w:val="clear" w:color="000000" w:fill="FFFFFF"/>
            <w:noWrap/>
            <w:vAlign w:val="center"/>
          </w:tcPr>
          <w:p w:rsidR="0078072B" w:rsidRPr="0019644F" w:rsidP="0066072E" w14:paraId="688FC7F2"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50%</w:t>
            </w:r>
          </w:p>
        </w:tc>
        <w:tc>
          <w:tcPr>
            <w:tcW w:w="1339" w:type="dxa"/>
            <w:tcBorders>
              <w:top w:val="nil"/>
              <w:left w:val="nil"/>
              <w:bottom w:val="single" w:sz="4" w:space="0" w:color="auto"/>
              <w:right w:val="single" w:sz="4" w:space="0" w:color="auto"/>
            </w:tcBorders>
            <w:shd w:val="clear" w:color="000000" w:fill="FFFFFF"/>
            <w:noWrap/>
            <w:vAlign w:val="center"/>
          </w:tcPr>
          <w:p w:rsidR="0078072B" w:rsidRPr="0019644F" w:rsidP="0066072E" w14:paraId="6EF68B11"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PERT</w:t>
            </w:r>
          </w:p>
        </w:tc>
        <w:tc>
          <w:tcPr>
            <w:tcW w:w="1217" w:type="dxa"/>
            <w:tcBorders>
              <w:top w:val="nil"/>
              <w:left w:val="nil"/>
              <w:bottom w:val="single" w:sz="4" w:space="0" w:color="auto"/>
              <w:right w:val="single" w:sz="4" w:space="0" w:color="auto"/>
            </w:tcBorders>
            <w:shd w:val="clear" w:color="000000" w:fill="FFFFFF"/>
            <w:noWrap/>
            <w:vAlign w:val="center"/>
          </w:tcPr>
          <w:p w:rsidR="0078072B" w:rsidRPr="0019644F" w:rsidP="0066072E" w14:paraId="03420A8F"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40%</w:t>
            </w:r>
          </w:p>
        </w:tc>
        <w:tc>
          <w:tcPr>
            <w:tcW w:w="1314" w:type="dxa"/>
            <w:tcBorders>
              <w:top w:val="nil"/>
              <w:left w:val="nil"/>
              <w:bottom w:val="single" w:sz="4" w:space="0" w:color="auto"/>
              <w:right w:val="single" w:sz="4" w:space="0" w:color="auto"/>
            </w:tcBorders>
            <w:shd w:val="clear" w:color="000000" w:fill="FFFFFF"/>
            <w:noWrap/>
            <w:vAlign w:val="center"/>
          </w:tcPr>
          <w:p w:rsidR="0078072B" w:rsidRPr="0019644F" w:rsidP="0066072E" w14:paraId="179BBB56"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50%</w:t>
            </w:r>
          </w:p>
        </w:tc>
        <w:tc>
          <w:tcPr>
            <w:tcW w:w="1217" w:type="dxa"/>
            <w:tcBorders>
              <w:top w:val="nil"/>
              <w:left w:val="nil"/>
              <w:bottom w:val="single" w:sz="4" w:space="0" w:color="auto"/>
              <w:right w:val="single" w:sz="4" w:space="0" w:color="auto"/>
            </w:tcBorders>
            <w:shd w:val="clear" w:color="000000" w:fill="FFFFFF"/>
            <w:noWrap/>
            <w:vAlign w:val="center"/>
          </w:tcPr>
          <w:p w:rsidR="0078072B" w:rsidRPr="0019644F" w:rsidP="0066072E" w14:paraId="4C6E8C3D"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60%</w:t>
            </w:r>
          </w:p>
        </w:tc>
        <w:tc>
          <w:tcPr>
            <w:tcW w:w="2018" w:type="dxa"/>
            <w:tcBorders>
              <w:top w:val="nil"/>
              <w:left w:val="nil"/>
              <w:bottom w:val="single" w:sz="4" w:space="0" w:color="auto"/>
              <w:right w:val="single" w:sz="4" w:space="0" w:color="auto"/>
            </w:tcBorders>
            <w:shd w:val="clear" w:color="auto" w:fill="auto"/>
            <w:noWrap/>
            <w:vAlign w:val="center"/>
          </w:tcPr>
          <w:p w:rsidR="0078072B" w:rsidRPr="0019644F" w:rsidP="0066072E" w14:paraId="4806E144"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estimate based on historical data and expert opinion</w:t>
            </w:r>
          </w:p>
        </w:tc>
      </w:tr>
      <w:tr w14:paraId="7293E37D" w14:textId="77777777" w:rsidTr="0066072E">
        <w:tblPrEx>
          <w:tblW w:w="10260" w:type="dxa"/>
          <w:jc w:val="center"/>
          <w:tblLook w:val="04A0"/>
        </w:tblPrEx>
        <w:trPr>
          <w:trHeight w:val="250"/>
          <w:jc w:val="center"/>
        </w:trPr>
        <w:tc>
          <w:tcPr>
            <w:tcW w:w="8242" w:type="dxa"/>
            <w:gridSpan w:val="6"/>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78072B" w:rsidRPr="0019644F" w:rsidP="0066072E" w14:paraId="60D5D644"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Industry Inputs</w:t>
            </w:r>
          </w:p>
        </w:tc>
        <w:tc>
          <w:tcPr>
            <w:tcW w:w="2018" w:type="dxa"/>
            <w:tcBorders>
              <w:top w:val="nil"/>
              <w:left w:val="nil"/>
              <w:bottom w:val="single" w:sz="4" w:space="0" w:color="auto"/>
              <w:right w:val="single" w:sz="4" w:space="0" w:color="auto"/>
            </w:tcBorders>
            <w:shd w:val="clear" w:color="000000" w:fill="A9D08E"/>
            <w:noWrap/>
            <w:vAlign w:val="center"/>
            <w:hideMark/>
          </w:tcPr>
          <w:p w:rsidR="0078072B" w:rsidRPr="0019644F" w:rsidP="0066072E" w14:paraId="0689E146"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 </w:t>
            </w:r>
          </w:p>
        </w:tc>
      </w:tr>
      <w:tr w14:paraId="5C1B1D96"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hideMark/>
          </w:tcPr>
          <w:p w:rsidR="0078072B" w:rsidRPr="0019644F" w:rsidP="0066072E" w14:paraId="2E8B20EE" w14:textId="3C41EDA8">
            <w:pPr>
              <w:autoSpaceDE/>
              <w:autoSpaceDN/>
              <w:adjustRightInd/>
              <w:spacing w:line="240" w:lineRule="auto"/>
              <w:rPr>
                <w:rFonts w:eastAsia="Times New Roman"/>
                <w:color w:val="000000"/>
                <w:sz w:val="18"/>
                <w:szCs w:val="18"/>
              </w:rPr>
            </w:pPr>
            <w:r w:rsidRPr="0019644F">
              <w:rPr>
                <w:rFonts w:eastAsia="Times New Roman"/>
                <w:color w:val="000000"/>
                <w:sz w:val="18"/>
                <w:szCs w:val="18"/>
              </w:rPr>
              <w:t>Hours per Cat</w:t>
            </w:r>
            <w:r w:rsidR="002772C3">
              <w:rPr>
                <w:rFonts w:eastAsia="Times New Roman"/>
                <w:color w:val="000000"/>
                <w:sz w:val="18"/>
                <w:szCs w:val="18"/>
              </w:rPr>
              <w:t>egor</w:t>
            </w:r>
            <w:r w:rsidR="00AA282B">
              <w:rPr>
                <w:rFonts w:eastAsia="Times New Roman"/>
                <w:color w:val="000000"/>
                <w:sz w:val="18"/>
                <w:szCs w:val="18"/>
              </w:rPr>
              <w:t>y </w:t>
            </w:r>
            <w:r w:rsidRPr="0019644F">
              <w:rPr>
                <w:rFonts w:eastAsia="Times New Roman"/>
                <w:color w:val="000000"/>
                <w:sz w:val="18"/>
                <w:szCs w:val="18"/>
              </w:rPr>
              <w:t>1 issue</w:t>
            </w:r>
          </w:p>
        </w:tc>
        <w:tc>
          <w:tcPr>
            <w:tcW w:w="1260" w:type="dxa"/>
            <w:tcBorders>
              <w:top w:val="nil"/>
              <w:left w:val="nil"/>
              <w:bottom w:val="single" w:sz="4" w:space="0" w:color="auto"/>
              <w:right w:val="single" w:sz="4" w:space="0" w:color="auto"/>
            </w:tcBorders>
            <w:shd w:val="clear" w:color="auto" w:fill="auto"/>
            <w:noWrap/>
            <w:vAlign w:val="center"/>
            <w:hideMark/>
          </w:tcPr>
          <w:p w:rsidR="0078072B" w:rsidRPr="0019644F" w:rsidP="0066072E" w14:paraId="2A7B214E"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95</w:t>
            </w:r>
          </w:p>
        </w:tc>
        <w:tc>
          <w:tcPr>
            <w:tcW w:w="1339"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50B974D1"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PERT</w:t>
            </w:r>
          </w:p>
        </w:tc>
        <w:tc>
          <w:tcPr>
            <w:tcW w:w="1217" w:type="dxa"/>
            <w:tcBorders>
              <w:top w:val="nil"/>
              <w:left w:val="nil"/>
              <w:bottom w:val="single" w:sz="4" w:space="0" w:color="auto"/>
              <w:right w:val="single" w:sz="4" w:space="0" w:color="auto"/>
            </w:tcBorders>
            <w:shd w:val="clear" w:color="auto" w:fill="auto"/>
            <w:noWrap/>
            <w:vAlign w:val="center"/>
            <w:hideMark/>
          </w:tcPr>
          <w:p w:rsidR="0078072B" w:rsidRPr="0019644F" w:rsidP="0066072E" w14:paraId="75C35AB4"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86</w:t>
            </w:r>
          </w:p>
        </w:tc>
        <w:tc>
          <w:tcPr>
            <w:tcW w:w="1314" w:type="dxa"/>
            <w:tcBorders>
              <w:top w:val="nil"/>
              <w:left w:val="nil"/>
              <w:bottom w:val="single" w:sz="4" w:space="0" w:color="auto"/>
              <w:right w:val="single" w:sz="4" w:space="0" w:color="auto"/>
            </w:tcBorders>
            <w:shd w:val="clear" w:color="auto" w:fill="auto"/>
            <w:noWrap/>
            <w:vAlign w:val="center"/>
            <w:hideMark/>
          </w:tcPr>
          <w:p w:rsidR="0078072B" w:rsidRPr="0019644F" w:rsidP="0066072E" w14:paraId="627B90FE"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95</w:t>
            </w:r>
          </w:p>
        </w:tc>
        <w:tc>
          <w:tcPr>
            <w:tcW w:w="1217" w:type="dxa"/>
            <w:tcBorders>
              <w:top w:val="nil"/>
              <w:left w:val="nil"/>
              <w:bottom w:val="single" w:sz="4" w:space="0" w:color="auto"/>
              <w:right w:val="single" w:sz="4" w:space="0" w:color="auto"/>
            </w:tcBorders>
            <w:shd w:val="clear" w:color="auto" w:fill="auto"/>
            <w:noWrap/>
            <w:vAlign w:val="center"/>
            <w:hideMark/>
          </w:tcPr>
          <w:p w:rsidR="0078072B" w:rsidRPr="0019644F" w:rsidP="0066072E" w14:paraId="397645CD"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105</w:t>
            </w:r>
          </w:p>
        </w:tc>
        <w:tc>
          <w:tcPr>
            <w:tcW w:w="2018" w:type="dxa"/>
            <w:tcBorders>
              <w:top w:val="nil"/>
              <w:left w:val="nil"/>
              <w:bottom w:val="single" w:sz="4" w:space="0" w:color="auto"/>
              <w:right w:val="single" w:sz="4" w:space="0" w:color="auto"/>
            </w:tcBorders>
            <w:shd w:val="clear" w:color="auto" w:fill="auto"/>
            <w:noWrap/>
            <w:vAlign w:val="center"/>
            <w:hideMark/>
          </w:tcPr>
          <w:p w:rsidR="0078072B" w:rsidRPr="0019644F" w:rsidP="0066072E" w14:paraId="0960A809"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estimate</w:t>
            </w:r>
          </w:p>
        </w:tc>
      </w:tr>
      <w:tr w14:paraId="46CFC48F"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hideMark/>
          </w:tcPr>
          <w:p w:rsidR="0078072B" w:rsidRPr="0019644F" w:rsidP="0066072E" w14:paraId="174AE5CD" w14:textId="48472557">
            <w:pPr>
              <w:autoSpaceDE/>
              <w:autoSpaceDN/>
              <w:adjustRightInd/>
              <w:spacing w:line="240" w:lineRule="auto"/>
              <w:rPr>
                <w:rFonts w:eastAsia="Times New Roman"/>
                <w:color w:val="000000"/>
                <w:sz w:val="18"/>
                <w:szCs w:val="18"/>
              </w:rPr>
            </w:pPr>
            <w:r w:rsidRPr="0019644F">
              <w:rPr>
                <w:rFonts w:eastAsia="Times New Roman"/>
                <w:color w:val="000000"/>
                <w:sz w:val="18"/>
                <w:szCs w:val="18"/>
              </w:rPr>
              <w:t>Hours per Cat</w:t>
            </w:r>
            <w:r w:rsidR="005D3E6C">
              <w:rPr>
                <w:rFonts w:eastAsia="Times New Roman"/>
                <w:color w:val="000000"/>
                <w:sz w:val="18"/>
                <w:szCs w:val="18"/>
              </w:rPr>
              <w:t>egory</w:t>
            </w:r>
            <w:r w:rsidR="00AA282B">
              <w:rPr>
                <w:rFonts w:eastAsia="Times New Roman"/>
                <w:color w:val="000000"/>
                <w:sz w:val="18"/>
                <w:szCs w:val="18"/>
              </w:rPr>
              <w:t> </w:t>
            </w:r>
            <w:r w:rsidRPr="0019644F">
              <w:rPr>
                <w:rFonts w:eastAsia="Times New Roman"/>
                <w:color w:val="000000"/>
                <w:sz w:val="18"/>
                <w:szCs w:val="18"/>
              </w:rPr>
              <w:t>2 issue</w:t>
            </w:r>
          </w:p>
        </w:tc>
        <w:tc>
          <w:tcPr>
            <w:tcW w:w="1260" w:type="dxa"/>
            <w:tcBorders>
              <w:top w:val="nil"/>
              <w:left w:val="nil"/>
              <w:bottom w:val="single" w:sz="4" w:space="0" w:color="auto"/>
              <w:right w:val="single" w:sz="4" w:space="0" w:color="auto"/>
            </w:tcBorders>
            <w:shd w:val="clear" w:color="auto" w:fill="auto"/>
            <w:noWrap/>
            <w:vAlign w:val="center"/>
            <w:hideMark/>
          </w:tcPr>
          <w:p w:rsidR="0078072B" w:rsidRPr="0019644F" w:rsidP="0066072E" w14:paraId="2F5EA8F0"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381</w:t>
            </w:r>
          </w:p>
        </w:tc>
        <w:tc>
          <w:tcPr>
            <w:tcW w:w="1339"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5D83D341"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PERT</w:t>
            </w:r>
          </w:p>
        </w:tc>
        <w:tc>
          <w:tcPr>
            <w:tcW w:w="1217" w:type="dxa"/>
            <w:tcBorders>
              <w:top w:val="nil"/>
              <w:left w:val="nil"/>
              <w:bottom w:val="single" w:sz="4" w:space="0" w:color="auto"/>
              <w:right w:val="single" w:sz="4" w:space="0" w:color="auto"/>
            </w:tcBorders>
            <w:shd w:val="clear" w:color="auto" w:fill="auto"/>
            <w:noWrap/>
            <w:vAlign w:val="center"/>
            <w:hideMark/>
          </w:tcPr>
          <w:p w:rsidR="0078072B" w:rsidRPr="0019644F" w:rsidP="0066072E" w14:paraId="254C5D2D"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343</w:t>
            </w:r>
          </w:p>
        </w:tc>
        <w:tc>
          <w:tcPr>
            <w:tcW w:w="1314" w:type="dxa"/>
            <w:tcBorders>
              <w:top w:val="nil"/>
              <w:left w:val="nil"/>
              <w:bottom w:val="single" w:sz="4" w:space="0" w:color="auto"/>
              <w:right w:val="single" w:sz="4" w:space="0" w:color="auto"/>
            </w:tcBorders>
            <w:shd w:val="clear" w:color="auto" w:fill="auto"/>
            <w:noWrap/>
            <w:vAlign w:val="center"/>
            <w:hideMark/>
          </w:tcPr>
          <w:p w:rsidR="0078072B" w:rsidRPr="0019644F" w:rsidP="0066072E" w14:paraId="7D9F44C9"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381</w:t>
            </w:r>
          </w:p>
        </w:tc>
        <w:tc>
          <w:tcPr>
            <w:tcW w:w="1217" w:type="dxa"/>
            <w:tcBorders>
              <w:top w:val="nil"/>
              <w:left w:val="nil"/>
              <w:bottom w:val="single" w:sz="4" w:space="0" w:color="auto"/>
              <w:right w:val="single" w:sz="4" w:space="0" w:color="auto"/>
            </w:tcBorders>
            <w:shd w:val="clear" w:color="auto" w:fill="auto"/>
            <w:noWrap/>
            <w:vAlign w:val="center"/>
            <w:hideMark/>
          </w:tcPr>
          <w:p w:rsidR="0078072B" w:rsidRPr="0019644F" w:rsidP="0066072E" w14:paraId="621ED11F"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420</w:t>
            </w:r>
          </w:p>
        </w:tc>
        <w:tc>
          <w:tcPr>
            <w:tcW w:w="2018" w:type="dxa"/>
            <w:tcBorders>
              <w:top w:val="nil"/>
              <w:left w:val="nil"/>
              <w:bottom w:val="single" w:sz="4" w:space="0" w:color="auto"/>
              <w:right w:val="single" w:sz="4" w:space="0" w:color="auto"/>
            </w:tcBorders>
            <w:shd w:val="clear" w:color="auto" w:fill="auto"/>
            <w:noWrap/>
            <w:vAlign w:val="center"/>
            <w:hideMark/>
          </w:tcPr>
          <w:p w:rsidR="0078072B" w:rsidRPr="0019644F" w:rsidP="0066072E" w14:paraId="53498713"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estimate</w:t>
            </w:r>
          </w:p>
        </w:tc>
      </w:tr>
      <w:tr w14:paraId="677B78AA"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tcPr>
          <w:p w:rsidR="0078072B" w:rsidRPr="0019644F" w:rsidP="0066072E" w14:paraId="2BB487EE"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Hours per uncategorized issue</w:t>
            </w:r>
          </w:p>
        </w:tc>
        <w:tc>
          <w:tcPr>
            <w:tcW w:w="1260" w:type="dxa"/>
            <w:tcBorders>
              <w:top w:val="nil"/>
              <w:left w:val="nil"/>
              <w:bottom w:val="single" w:sz="4" w:space="0" w:color="auto"/>
              <w:right w:val="single" w:sz="4" w:space="0" w:color="auto"/>
            </w:tcBorders>
            <w:shd w:val="clear" w:color="auto" w:fill="auto"/>
            <w:noWrap/>
            <w:vAlign w:val="center"/>
          </w:tcPr>
          <w:p w:rsidR="0078072B" w:rsidRPr="0019644F" w:rsidP="0066072E" w14:paraId="47CF711B"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95</w:t>
            </w:r>
          </w:p>
        </w:tc>
        <w:tc>
          <w:tcPr>
            <w:tcW w:w="1339" w:type="dxa"/>
            <w:tcBorders>
              <w:top w:val="single" w:sz="4" w:space="0" w:color="auto"/>
              <w:left w:val="nil"/>
              <w:bottom w:val="single" w:sz="4" w:space="0" w:color="auto"/>
              <w:right w:val="single" w:sz="4" w:space="0" w:color="auto"/>
            </w:tcBorders>
            <w:shd w:val="clear" w:color="000000" w:fill="FFFFFF"/>
            <w:noWrap/>
            <w:vAlign w:val="center"/>
          </w:tcPr>
          <w:p w:rsidR="0078072B" w:rsidRPr="0019644F" w:rsidP="0066072E" w14:paraId="7C32E2C2"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PERT</w:t>
            </w: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78072B" w:rsidRPr="0019644F" w:rsidP="0066072E" w14:paraId="47323765"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86</w:t>
            </w:r>
          </w:p>
        </w:tc>
        <w:tc>
          <w:tcPr>
            <w:tcW w:w="1314" w:type="dxa"/>
            <w:tcBorders>
              <w:top w:val="single" w:sz="4" w:space="0" w:color="auto"/>
              <w:left w:val="nil"/>
              <w:bottom w:val="single" w:sz="4" w:space="0" w:color="auto"/>
              <w:right w:val="single" w:sz="4" w:space="0" w:color="auto"/>
            </w:tcBorders>
            <w:shd w:val="clear" w:color="auto" w:fill="auto"/>
            <w:noWrap/>
            <w:vAlign w:val="center"/>
          </w:tcPr>
          <w:p w:rsidR="0078072B" w:rsidRPr="0019644F" w:rsidP="0066072E" w14:paraId="6C83EE89"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95</w:t>
            </w: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78072B" w:rsidRPr="0019644F" w:rsidP="0066072E" w14:paraId="1C62FD9A"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105</w:t>
            </w:r>
          </w:p>
        </w:tc>
        <w:tc>
          <w:tcPr>
            <w:tcW w:w="2018" w:type="dxa"/>
            <w:tcBorders>
              <w:top w:val="nil"/>
              <w:left w:val="nil"/>
              <w:bottom w:val="single" w:sz="4" w:space="0" w:color="auto"/>
              <w:right w:val="single" w:sz="4" w:space="0" w:color="auto"/>
            </w:tcBorders>
            <w:shd w:val="clear" w:color="auto" w:fill="auto"/>
            <w:noWrap/>
            <w:vAlign w:val="center"/>
          </w:tcPr>
          <w:p w:rsidR="0078072B" w:rsidRPr="0019644F" w:rsidP="0066072E" w14:paraId="1CA7ABEE"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estimate</w:t>
            </w:r>
          </w:p>
        </w:tc>
      </w:tr>
      <w:tr w14:paraId="46DFACE3"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tcPr>
          <w:p w:rsidR="0078072B" w:rsidRPr="0019644F" w:rsidP="0066072E" w14:paraId="06D0FC3C"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Savings from consolidated issues</w:t>
            </w:r>
          </w:p>
        </w:tc>
        <w:tc>
          <w:tcPr>
            <w:tcW w:w="1260" w:type="dxa"/>
            <w:tcBorders>
              <w:top w:val="nil"/>
              <w:left w:val="nil"/>
              <w:bottom w:val="single" w:sz="4" w:space="0" w:color="auto"/>
              <w:right w:val="single" w:sz="4" w:space="0" w:color="auto"/>
            </w:tcBorders>
            <w:shd w:val="clear" w:color="auto" w:fill="auto"/>
            <w:noWrap/>
            <w:vAlign w:val="center"/>
          </w:tcPr>
          <w:p w:rsidR="0078072B" w:rsidRPr="0019644F" w:rsidP="0066072E" w14:paraId="1A69418C"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70%</w:t>
            </w:r>
          </w:p>
        </w:tc>
        <w:tc>
          <w:tcPr>
            <w:tcW w:w="1339" w:type="dxa"/>
            <w:tcBorders>
              <w:top w:val="single" w:sz="4" w:space="0" w:color="auto"/>
              <w:left w:val="nil"/>
              <w:bottom w:val="single" w:sz="4" w:space="0" w:color="auto"/>
              <w:right w:val="single" w:sz="4" w:space="0" w:color="auto"/>
            </w:tcBorders>
            <w:shd w:val="clear" w:color="000000" w:fill="FFFFFF"/>
            <w:noWrap/>
            <w:vAlign w:val="center"/>
          </w:tcPr>
          <w:p w:rsidR="0078072B" w:rsidRPr="0019644F" w:rsidP="0066072E" w14:paraId="530450BB"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PERT</w:t>
            </w: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78072B" w:rsidRPr="0019644F" w:rsidP="0066072E" w14:paraId="6799EA9A"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60%</w:t>
            </w:r>
          </w:p>
        </w:tc>
        <w:tc>
          <w:tcPr>
            <w:tcW w:w="1314" w:type="dxa"/>
            <w:tcBorders>
              <w:top w:val="single" w:sz="4" w:space="0" w:color="auto"/>
              <w:left w:val="nil"/>
              <w:bottom w:val="single" w:sz="4" w:space="0" w:color="auto"/>
              <w:right w:val="single" w:sz="4" w:space="0" w:color="auto"/>
            </w:tcBorders>
            <w:shd w:val="clear" w:color="auto" w:fill="auto"/>
            <w:noWrap/>
            <w:vAlign w:val="center"/>
          </w:tcPr>
          <w:p w:rsidR="0078072B" w:rsidRPr="0019644F" w:rsidP="0066072E" w14:paraId="16C9F987"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70%</w:t>
            </w: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78072B" w:rsidRPr="0019644F" w:rsidP="0066072E" w14:paraId="5D7672E1"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80%</w:t>
            </w:r>
          </w:p>
        </w:tc>
        <w:tc>
          <w:tcPr>
            <w:tcW w:w="2018" w:type="dxa"/>
            <w:tcBorders>
              <w:top w:val="nil"/>
              <w:left w:val="nil"/>
              <w:bottom w:val="single" w:sz="4" w:space="0" w:color="auto"/>
              <w:right w:val="single" w:sz="4" w:space="0" w:color="auto"/>
            </w:tcBorders>
            <w:shd w:val="clear" w:color="auto" w:fill="auto"/>
            <w:noWrap/>
            <w:vAlign w:val="center"/>
          </w:tcPr>
          <w:p w:rsidR="0078072B" w:rsidRPr="0019644F" w:rsidP="0066072E" w14:paraId="2421FC7A"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estimate</w:t>
            </w:r>
          </w:p>
        </w:tc>
      </w:tr>
      <w:tr w14:paraId="20BFA1A6"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tcPr>
          <w:p w:rsidR="0078072B" w:rsidRPr="0019644F" w:rsidP="0066072E" w14:paraId="0DF84EC5"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Increased percentage cost from subdividing issues</w:t>
            </w:r>
          </w:p>
        </w:tc>
        <w:tc>
          <w:tcPr>
            <w:tcW w:w="1260" w:type="dxa"/>
            <w:tcBorders>
              <w:top w:val="nil"/>
              <w:left w:val="nil"/>
              <w:bottom w:val="single" w:sz="4" w:space="0" w:color="auto"/>
              <w:right w:val="single" w:sz="4" w:space="0" w:color="auto"/>
            </w:tcBorders>
            <w:shd w:val="clear" w:color="auto" w:fill="auto"/>
            <w:noWrap/>
            <w:vAlign w:val="center"/>
          </w:tcPr>
          <w:p w:rsidR="0078072B" w:rsidRPr="0019644F" w:rsidP="0066072E" w14:paraId="09F287ED"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50%</w:t>
            </w:r>
          </w:p>
        </w:tc>
        <w:tc>
          <w:tcPr>
            <w:tcW w:w="1339" w:type="dxa"/>
            <w:tcBorders>
              <w:top w:val="single" w:sz="4" w:space="0" w:color="auto"/>
              <w:left w:val="nil"/>
              <w:bottom w:val="single" w:sz="4" w:space="0" w:color="auto"/>
              <w:right w:val="single" w:sz="4" w:space="0" w:color="auto"/>
            </w:tcBorders>
            <w:shd w:val="clear" w:color="000000" w:fill="FFFFFF"/>
            <w:noWrap/>
            <w:vAlign w:val="center"/>
          </w:tcPr>
          <w:p w:rsidR="0078072B" w:rsidRPr="0019644F" w:rsidP="0066072E" w14:paraId="385556F4"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PERT</w:t>
            </w: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78072B" w:rsidRPr="0019644F" w:rsidP="0066072E" w14:paraId="3CF5AFE6"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40%</w:t>
            </w:r>
          </w:p>
        </w:tc>
        <w:tc>
          <w:tcPr>
            <w:tcW w:w="1314" w:type="dxa"/>
            <w:tcBorders>
              <w:top w:val="single" w:sz="4" w:space="0" w:color="auto"/>
              <w:left w:val="nil"/>
              <w:bottom w:val="single" w:sz="4" w:space="0" w:color="auto"/>
              <w:right w:val="single" w:sz="4" w:space="0" w:color="auto"/>
            </w:tcBorders>
            <w:shd w:val="clear" w:color="auto" w:fill="auto"/>
            <w:noWrap/>
            <w:vAlign w:val="center"/>
          </w:tcPr>
          <w:p w:rsidR="0078072B" w:rsidRPr="0019644F" w:rsidP="0066072E" w14:paraId="3869DB8E"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50%</w:t>
            </w: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78072B" w:rsidRPr="0019644F" w:rsidP="0066072E" w14:paraId="5018979F"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60%</w:t>
            </w:r>
          </w:p>
        </w:tc>
        <w:tc>
          <w:tcPr>
            <w:tcW w:w="2018" w:type="dxa"/>
            <w:tcBorders>
              <w:top w:val="nil"/>
              <w:left w:val="nil"/>
              <w:bottom w:val="single" w:sz="4" w:space="0" w:color="auto"/>
              <w:right w:val="single" w:sz="4" w:space="0" w:color="auto"/>
            </w:tcBorders>
            <w:shd w:val="clear" w:color="auto" w:fill="auto"/>
            <w:noWrap/>
            <w:vAlign w:val="center"/>
          </w:tcPr>
          <w:p w:rsidR="0078072B" w:rsidRPr="0019644F" w:rsidP="0066072E" w14:paraId="5A7DA213"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estimate based on historical data and expert opinion</w:t>
            </w:r>
          </w:p>
        </w:tc>
      </w:tr>
      <w:tr w14:paraId="20A4D3E3" w14:textId="77777777" w:rsidTr="0066072E">
        <w:tblPrEx>
          <w:tblW w:w="10260" w:type="dxa"/>
          <w:jc w:val="center"/>
          <w:tblLook w:val="04A0"/>
        </w:tblPrEx>
        <w:trPr>
          <w:trHeight w:val="260"/>
          <w:jc w:val="center"/>
        </w:trPr>
        <w:tc>
          <w:tcPr>
            <w:tcW w:w="82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72B" w:rsidRPr="0019644F" w:rsidP="0066072E" w14:paraId="72A9229C" w14:textId="77777777">
            <w:pPr>
              <w:autoSpaceDE/>
              <w:autoSpaceDN/>
              <w:adjustRightInd/>
              <w:spacing w:line="240" w:lineRule="auto"/>
              <w:jc w:val="center"/>
              <w:rPr>
                <w:rFonts w:eastAsia="Times New Roman"/>
                <w:b/>
                <w:color w:val="000000"/>
                <w:sz w:val="18"/>
                <w:szCs w:val="18"/>
              </w:rPr>
            </w:pPr>
            <w:r w:rsidRPr="0019644F">
              <w:rPr>
                <w:rFonts w:eastAsia="Times New Roman"/>
                <w:b/>
                <w:color w:val="000000"/>
                <w:sz w:val="18"/>
                <w:szCs w:val="18"/>
              </w:rPr>
              <w:t>Alternative 2 Input Data</w:t>
            </w:r>
          </w:p>
        </w:tc>
        <w:tc>
          <w:tcPr>
            <w:tcW w:w="2018" w:type="dxa"/>
            <w:tcBorders>
              <w:top w:val="nil"/>
              <w:left w:val="nil"/>
              <w:bottom w:val="single" w:sz="4" w:space="0" w:color="auto"/>
              <w:right w:val="single" w:sz="4" w:space="0" w:color="auto"/>
            </w:tcBorders>
            <w:shd w:val="clear" w:color="auto" w:fill="auto"/>
            <w:noWrap/>
            <w:vAlign w:val="center"/>
            <w:hideMark/>
          </w:tcPr>
          <w:p w:rsidR="0078072B" w:rsidRPr="0019644F" w:rsidP="0066072E" w14:paraId="5DA1BB8C" w14:textId="77777777">
            <w:pPr>
              <w:autoSpaceDE/>
              <w:autoSpaceDN/>
              <w:adjustRightInd/>
              <w:spacing w:line="240" w:lineRule="auto"/>
              <w:rPr>
                <w:rFonts w:eastAsia="Times New Roman"/>
                <w:color w:val="000000"/>
                <w:sz w:val="18"/>
                <w:szCs w:val="18"/>
              </w:rPr>
            </w:pPr>
          </w:p>
        </w:tc>
      </w:tr>
      <w:tr w14:paraId="2B3591F8" w14:textId="77777777" w:rsidTr="0066072E">
        <w:tblPrEx>
          <w:tblW w:w="10260" w:type="dxa"/>
          <w:jc w:val="center"/>
          <w:tblLook w:val="04A0"/>
        </w:tblPrEx>
        <w:trPr>
          <w:trHeight w:val="250"/>
          <w:jc w:val="center"/>
        </w:trPr>
        <w:tc>
          <w:tcPr>
            <w:tcW w:w="8242" w:type="dxa"/>
            <w:gridSpan w:val="6"/>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78072B" w:rsidRPr="0019644F" w:rsidP="0066072E" w14:paraId="6E615FC3"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Inputs</w:t>
            </w:r>
          </w:p>
        </w:tc>
        <w:tc>
          <w:tcPr>
            <w:tcW w:w="2018" w:type="dxa"/>
            <w:tcBorders>
              <w:top w:val="nil"/>
              <w:left w:val="nil"/>
              <w:bottom w:val="single" w:sz="4" w:space="0" w:color="auto"/>
              <w:right w:val="single" w:sz="4" w:space="0" w:color="auto"/>
            </w:tcBorders>
            <w:shd w:val="clear" w:color="000000" w:fill="A9D08E"/>
            <w:noWrap/>
            <w:vAlign w:val="center"/>
            <w:hideMark/>
          </w:tcPr>
          <w:p w:rsidR="0078072B" w:rsidRPr="0019644F" w:rsidP="0066072E" w14:paraId="28A3B3CD" w14:textId="77777777">
            <w:pPr>
              <w:autoSpaceDE/>
              <w:autoSpaceDN/>
              <w:adjustRightInd/>
              <w:spacing w:line="240" w:lineRule="auto"/>
              <w:rPr>
                <w:rFonts w:eastAsia="Times New Roman"/>
                <w:color w:val="000000"/>
                <w:sz w:val="18"/>
                <w:szCs w:val="18"/>
              </w:rPr>
            </w:pPr>
          </w:p>
        </w:tc>
      </w:tr>
      <w:tr w14:paraId="7D5BB78C" w14:textId="77777777" w:rsidTr="0066072E">
        <w:tblPrEx>
          <w:tblW w:w="10260" w:type="dxa"/>
          <w:jc w:val="center"/>
          <w:tblLook w:val="04A0"/>
        </w:tblPrEx>
        <w:trPr>
          <w:trHeight w:val="290"/>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78072B" w:rsidRPr="0019644F" w:rsidP="0066072E" w14:paraId="412DB069" w14:textId="77777777">
            <w:pPr>
              <w:autoSpaceDE/>
              <w:autoSpaceDN/>
              <w:adjustRightInd/>
              <w:spacing w:line="240" w:lineRule="auto"/>
              <w:rPr>
                <w:rFonts w:eastAsia="Times New Roman"/>
                <w:color w:val="auto"/>
                <w:sz w:val="18"/>
                <w:szCs w:val="18"/>
              </w:rPr>
            </w:pPr>
            <w:r w:rsidRPr="0019644F">
              <w:rPr>
                <w:rFonts w:eastAsia="Times New Roman"/>
                <w:color w:val="auto"/>
                <w:sz w:val="18"/>
                <w:szCs w:val="18"/>
              </w:rPr>
              <w:t>Hours to prepare and issue final rule</w:t>
            </w:r>
          </w:p>
        </w:tc>
        <w:tc>
          <w:tcPr>
            <w:tcW w:w="1260"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10D57368" w14:textId="77777777">
            <w:pPr>
              <w:autoSpaceDE/>
              <w:autoSpaceDN/>
              <w:adjustRightInd/>
              <w:spacing w:line="240" w:lineRule="auto"/>
              <w:jc w:val="center"/>
              <w:rPr>
                <w:rFonts w:eastAsia="Times New Roman"/>
                <w:color w:val="auto"/>
                <w:sz w:val="18"/>
                <w:szCs w:val="18"/>
              </w:rPr>
            </w:pPr>
            <w:r w:rsidRPr="0019644F">
              <w:rPr>
                <w:rFonts w:eastAsia="Times New Roman"/>
                <w:color w:val="auto"/>
                <w:sz w:val="18"/>
                <w:szCs w:val="18"/>
              </w:rPr>
              <w:t>17,710</w:t>
            </w:r>
          </w:p>
        </w:tc>
        <w:tc>
          <w:tcPr>
            <w:tcW w:w="1339"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67B9064A"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PERT</w:t>
            </w:r>
          </w:p>
        </w:tc>
        <w:tc>
          <w:tcPr>
            <w:tcW w:w="1217"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403336D9" w14:textId="77777777">
            <w:pPr>
              <w:autoSpaceDE/>
              <w:autoSpaceDN/>
              <w:adjustRightInd/>
              <w:spacing w:line="240" w:lineRule="auto"/>
              <w:jc w:val="center"/>
              <w:rPr>
                <w:rFonts w:eastAsia="Times New Roman"/>
                <w:color w:val="auto"/>
                <w:sz w:val="18"/>
                <w:szCs w:val="18"/>
              </w:rPr>
            </w:pPr>
            <w:r w:rsidRPr="0019644F">
              <w:rPr>
                <w:rFonts w:eastAsia="Times New Roman"/>
                <w:color w:val="auto"/>
                <w:sz w:val="18"/>
                <w:szCs w:val="18"/>
              </w:rPr>
              <w:t>15,939</w:t>
            </w:r>
          </w:p>
        </w:tc>
        <w:tc>
          <w:tcPr>
            <w:tcW w:w="1314"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07CC073D" w14:textId="77777777">
            <w:pPr>
              <w:autoSpaceDE/>
              <w:autoSpaceDN/>
              <w:adjustRightInd/>
              <w:spacing w:line="240" w:lineRule="auto"/>
              <w:jc w:val="center"/>
              <w:rPr>
                <w:rFonts w:eastAsia="Times New Roman"/>
                <w:color w:val="auto"/>
                <w:sz w:val="18"/>
                <w:szCs w:val="18"/>
              </w:rPr>
            </w:pPr>
            <w:r w:rsidRPr="0019644F">
              <w:rPr>
                <w:rFonts w:eastAsia="Times New Roman"/>
                <w:color w:val="auto"/>
                <w:sz w:val="18"/>
                <w:szCs w:val="18"/>
              </w:rPr>
              <w:t>17,710</w:t>
            </w:r>
          </w:p>
        </w:tc>
        <w:tc>
          <w:tcPr>
            <w:tcW w:w="1217"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393E71EC" w14:textId="77777777">
            <w:pPr>
              <w:autoSpaceDE/>
              <w:autoSpaceDN/>
              <w:adjustRightInd/>
              <w:spacing w:line="240" w:lineRule="auto"/>
              <w:jc w:val="center"/>
              <w:rPr>
                <w:rFonts w:eastAsia="Times New Roman"/>
                <w:color w:val="auto"/>
                <w:sz w:val="18"/>
                <w:szCs w:val="18"/>
              </w:rPr>
            </w:pPr>
            <w:r w:rsidRPr="0019644F">
              <w:rPr>
                <w:rFonts w:eastAsia="Times New Roman"/>
                <w:color w:val="auto"/>
                <w:sz w:val="18"/>
                <w:szCs w:val="18"/>
              </w:rPr>
              <w:t>19,481</w:t>
            </w:r>
          </w:p>
        </w:tc>
        <w:tc>
          <w:tcPr>
            <w:tcW w:w="2018" w:type="dxa"/>
            <w:tcBorders>
              <w:top w:val="nil"/>
              <w:left w:val="nil"/>
              <w:bottom w:val="single" w:sz="4" w:space="0" w:color="auto"/>
              <w:right w:val="single" w:sz="4" w:space="0" w:color="auto"/>
            </w:tcBorders>
            <w:shd w:val="clear" w:color="auto" w:fill="auto"/>
            <w:noWrap/>
            <w:vAlign w:val="center"/>
            <w:hideMark/>
          </w:tcPr>
          <w:p w:rsidR="0078072B" w:rsidRPr="0019644F" w:rsidP="0066072E" w14:paraId="2BA53E81"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estimate</w:t>
            </w:r>
          </w:p>
        </w:tc>
      </w:tr>
      <w:tr w14:paraId="618D65F2"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9644F" w:rsidP="0066072E" w14:paraId="429D6A26" w14:textId="77777777">
            <w:pPr>
              <w:autoSpaceDE/>
              <w:autoSpaceDN/>
              <w:adjustRightInd/>
              <w:spacing w:line="240" w:lineRule="auto"/>
              <w:rPr>
                <w:rFonts w:eastAsia="Times New Roman"/>
                <w:color w:val="auto"/>
                <w:sz w:val="18"/>
                <w:szCs w:val="18"/>
              </w:rPr>
            </w:pPr>
            <w:r w:rsidRPr="0019644F">
              <w:rPr>
                <w:rFonts w:eastAsia="Times New Roman"/>
                <w:color w:val="auto"/>
                <w:sz w:val="18"/>
                <w:szCs w:val="18"/>
              </w:rPr>
              <w:t>Hours to prepare and issue final guidance</w:t>
            </w:r>
          </w:p>
        </w:tc>
        <w:tc>
          <w:tcPr>
            <w:tcW w:w="1260"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2BFE0A0C" w14:textId="77777777">
            <w:pPr>
              <w:autoSpaceDE/>
              <w:autoSpaceDN/>
              <w:adjustRightInd/>
              <w:spacing w:line="240" w:lineRule="auto"/>
              <w:jc w:val="center"/>
              <w:rPr>
                <w:rFonts w:eastAsia="Times New Roman"/>
                <w:color w:val="auto"/>
                <w:sz w:val="18"/>
                <w:szCs w:val="18"/>
              </w:rPr>
            </w:pPr>
            <w:r w:rsidRPr="0019644F">
              <w:rPr>
                <w:rFonts w:eastAsia="Times New Roman"/>
                <w:color w:val="auto"/>
                <w:sz w:val="18"/>
                <w:szCs w:val="18"/>
              </w:rPr>
              <w:t>1,678</w:t>
            </w:r>
          </w:p>
        </w:tc>
        <w:tc>
          <w:tcPr>
            <w:tcW w:w="1339"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4BD44AD2"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PERT</w:t>
            </w:r>
          </w:p>
        </w:tc>
        <w:tc>
          <w:tcPr>
            <w:tcW w:w="1217"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2A4739AD" w14:textId="77777777">
            <w:pPr>
              <w:autoSpaceDE/>
              <w:autoSpaceDN/>
              <w:adjustRightInd/>
              <w:spacing w:line="240" w:lineRule="auto"/>
              <w:jc w:val="center"/>
              <w:rPr>
                <w:rFonts w:eastAsia="Times New Roman"/>
                <w:color w:val="auto"/>
                <w:sz w:val="18"/>
                <w:szCs w:val="18"/>
              </w:rPr>
            </w:pPr>
            <w:r w:rsidRPr="0019644F">
              <w:rPr>
                <w:rFonts w:eastAsia="Times New Roman"/>
                <w:color w:val="auto"/>
                <w:sz w:val="18"/>
                <w:szCs w:val="18"/>
              </w:rPr>
              <w:t>1,510</w:t>
            </w:r>
          </w:p>
        </w:tc>
        <w:tc>
          <w:tcPr>
            <w:tcW w:w="1314"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097C5E18" w14:textId="77777777">
            <w:pPr>
              <w:autoSpaceDE/>
              <w:autoSpaceDN/>
              <w:adjustRightInd/>
              <w:spacing w:line="240" w:lineRule="auto"/>
              <w:jc w:val="center"/>
              <w:rPr>
                <w:rFonts w:eastAsia="Times New Roman"/>
                <w:color w:val="auto"/>
                <w:sz w:val="18"/>
                <w:szCs w:val="18"/>
              </w:rPr>
            </w:pPr>
            <w:r w:rsidRPr="0019644F">
              <w:rPr>
                <w:rFonts w:eastAsia="Times New Roman"/>
                <w:color w:val="auto"/>
                <w:sz w:val="18"/>
                <w:szCs w:val="18"/>
              </w:rPr>
              <w:t>1,678</w:t>
            </w:r>
          </w:p>
        </w:tc>
        <w:tc>
          <w:tcPr>
            <w:tcW w:w="1217"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033273B2" w14:textId="77777777">
            <w:pPr>
              <w:autoSpaceDE/>
              <w:autoSpaceDN/>
              <w:adjustRightInd/>
              <w:spacing w:line="240" w:lineRule="auto"/>
              <w:jc w:val="center"/>
              <w:rPr>
                <w:rFonts w:eastAsia="Times New Roman"/>
                <w:color w:val="auto"/>
                <w:sz w:val="18"/>
                <w:szCs w:val="18"/>
              </w:rPr>
            </w:pPr>
            <w:r w:rsidRPr="0019644F">
              <w:rPr>
                <w:rFonts w:eastAsia="Times New Roman"/>
                <w:color w:val="auto"/>
                <w:sz w:val="18"/>
                <w:szCs w:val="18"/>
              </w:rPr>
              <w:t>1,846</w:t>
            </w:r>
          </w:p>
        </w:tc>
        <w:tc>
          <w:tcPr>
            <w:tcW w:w="2018" w:type="dxa"/>
            <w:tcBorders>
              <w:top w:val="nil"/>
              <w:left w:val="nil"/>
              <w:bottom w:val="single" w:sz="4" w:space="0" w:color="auto"/>
              <w:right w:val="single" w:sz="4" w:space="0" w:color="auto"/>
            </w:tcBorders>
            <w:shd w:val="clear" w:color="auto" w:fill="auto"/>
            <w:noWrap/>
            <w:vAlign w:val="center"/>
            <w:hideMark/>
          </w:tcPr>
          <w:p w:rsidR="0078072B" w:rsidRPr="0019644F" w:rsidP="0066072E" w14:paraId="418D3740"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estimate</w:t>
            </w:r>
          </w:p>
        </w:tc>
      </w:tr>
      <w:tr w14:paraId="2E38EAF0"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9644F" w:rsidP="0066072E" w14:paraId="088CE1A4" w14:textId="77777777">
            <w:pPr>
              <w:autoSpaceDE/>
              <w:autoSpaceDN/>
              <w:adjustRightInd/>
              <w:spacing w:line="240" w:lineRule="auto"/>
              <w:rPr>
                <w:rFonts w:eastAsia="Times New Roman"/>
                <w:color w:val="auto"/>
                <w:sz w:val="18"/>
                <w:szCs w:val="18"/>
              </w:rPr>
            </w:pPr>
            <w:r w:rsidRPr="0019644F">
              <w:rPr>
                <w:rFonts w:eastAsia="Times New Roman"/>
                <w:color w:val="auto"/>
                <w:sz w:val="18"/>
                <w:szCs w:val="18"/>
              </w:rPr>
              <w:t>NRC contractor support to prepare and issue final guidance</w:t>
            </w:r>
          </w:p>
        </w:tc>
        <w:tc>
          <w:tcPr>
            <w:tcW w:w="1260" w:type="dxa"/>
            <w:tcBorders>
              <w:top w:val="nil"/>
              <w:left w:val="nil"/>
              <w:bottom w:val="single" w:sz="4" w:space="0" w:color="auto"/>
              <w:right w:val="single" w:sz="4" w:space="0" w:color="auto"/>
            </w:tcBorders>
            <w:shd w:val="clear" w:color="auto" w:fill="auto"/>
            <w:vAlign w:val="center"/>
            <w:hideMark/>
          </w:tcPr>
          <w:p w:rsidR="0078072B" w:rsidRPr="0019644F" w:rsidP="0066072E" w14:paraId="1FB8F333"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$1,500,000</w:t>
            </w:r>
          </w:p>
        </w:tc>
        <w:tc>
          <w:tcPr>
            <w:tcW w:w="1339"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15569BDC"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PERT</w:t>
            </w:r>
          </w:p>
        </w:tc>
        <w:tc>
          <w:tcPr>
            <w:tcW w:w="1217"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36A60078" w14:textId="77777777">
            <w:pPr>
              <w:autoSpaceDE/>
              <w:autoSpaceDN/>
              <w:adjustRightInd/>
              <w:spacing w:line="240" w:lineRule="auto"/>
              <w:jc w:val="center"/>
              <w:rPr>
                <w:rFonts w:eastAsia="Times New Roman"/>
                <w:color w:val="auto"/>
                <w:sz w:val="18"/>
                <w:szCs w:val="18"/>
              </w:rPr>
            </w:pPr>
            <w:r w:rsidRPr="0019644F">
              <w:rPr>
                <w:rFonts w:eastAsia="Times New Roman"/>
                <w:color w:val="auto"/>
                <w:sz w:val="18"/>
                <w:szCs w:val="18"/>
              </w:rPr>
              <w:t>$1,350,000</w:t>
            </w:r>
          </w:p>
        </w:tc>
        <w:tc>
          <w:tcPr>
            <w:tcW w:w="1314"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196CC241" w14:textId="77777777">
            <w:pPr>
              <w:autoSpaceDE/>
              <w:autoSpaceDN/>
              <w:adjustRightInd/>
              <w:spacing w:line="240" w:lineRule="auto"/>
              <w:jc w:val="center"/>
              <w:rPr>
                <w:rFonts w:eastAsia="Times New Roman"/>
                <w:color w:val="auto"/>
                <w:sz w:val="18"/>
                <w:szCs w:val="18"/>
              </w:rPr>
            </w:pPr>
            <w:r w:rsidRPr="0019644F">
              <w:rPr>
                <w:rFonts w:eastAsia="Times New Roman"/>
                <w:color w:val="auto"/>
                <w:sz w:val="18"/>
                <w:szCs w:val="18"/>
              </w:rPr>
              <w:t>$1,500,000</w:t>
            </w:r>
          </w:p>
        </w:tc>
        <w:tc>
          <w:tcPr>
            <w:tcW w:w="1217" w:type="dxa"/>
            <w:tcBorders>
              <w:top w:val="nil"/>
              <w:left w:val="nil"/>
              <w:bottom w:val="single" w:sz="4" w:space="0" w:color="auto"/>
              <w:right w:val="single" w:sz="4" w:space="0" w:color="auto"/>
            </w:tcBorders>
            <w:shd w:val="clear" w:color="000000" w:fill="FFFFFF"/>
            <w:noWrap/>
            <w:vAlign w:val="center"/>
            <w:hideMark/>
          </w:tcPr>
          <w:p w:rsidR="0078072B" w:rsidRPr="0019644F" w:rsidP="0066072E" w14:paraId="7C64F61A" w14:textId="77777777">
            <w:pPr>
              <w:autoSpaceDE/>
              <w:autoSpaceDN/>
              <w:adjustRightInd/>
              <w:spacing w:line="240" w:lineRule="auto"/>
              <w:jc w:val="center"/>
              <w:rPr>
                <w:rFonts w:eastAsia="Times New Roman"/>
                <w:color w:val="auto"/>
                <w:sz w:val="18"/>
                <w:szCs w:val="18"/>
              </w:rPr>
            </w:pPr>
            <w:r w:rsidRPr="0019644F">
              <w:rPr>
                <w:rFonts w:eastAsia="Times New Roman"/>
                <w:color w:val="auto"/>
                <w:sz w:val="18"/>
                <w:szCs w:val="18"/>
              </w:rPr>
              <w:t>$1,650,000</w:t>
            </w:r>
          </w:p>
        </w:tc>
        <w:tc>
          <w:tcPr>
            <w:tcW w:w="2018" w:type="dxa"/>
            <w:tcBorders>
              <w:top w:val="nil"/>
              <w:left w:val="nil"/>
              <w:bottom w:val="single" w:sz="4" w:space="0" w:color="auto"/>
              <w:right w:val="single" w:sz="4" w:space="0" w:color="auto"/>
            </w:tcBorders>
            <w:shd w:val="clear" w:color="auto" w:fill="auto"/>
            <w:noWrap/>
            <w:vAlign w:val="center"/>
            <w:hideMark/>
          </w:tcPr>
          <w:p w:rsidR="0078072B" w:rsidRPr="0019644F" w:rsidP="0066072E" w14:paraId="48423004"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estimate</w:t>
            </w:r>
          </w:p>
        </w:tc>
      </w:tr>
      <w:tr w14:paraId="4FAA1DE5"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9644F" w:rsidP="0066072E" w14:paraId="5899B8BA"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Category 2 to Category 1 (hours saved)</w:t>
            </w:r>
          </w:p>
        </w:tc>
        <w:tc>
          <w:tcPr>
            <w:tcW w:w="1260" w:type="dxa"/>
            <w:tcBorders>
              <w:top w:val="nil"/>
              <w:left w:val="nil"/>
              <w:bottom w:val="single" w:sz="4" w:space="0" w:color="auto"/>
              <w:right w:val="nil"/>
            </w:tcBorders>
            <w:shd w:val="clear" w:color="auto" w:fill="auto"/>
            <w:noWrap/>
            <w:vAlign w:val="center"/>
            <w:hideMark/>
          </w:tcPr>
          <w:p w:rsidR="0078072B" w:rsidRPr="0019644F" w:rsidP="0066072E" w14:paraId="1C50929C"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131</w:t>
            </w:r>
          </w:p>
        </w:tc>
        <w:tc>
          <w:tcPr>
            <w:tcW w:w="5087" w:type="dxa"/>
            <w:gridSpan w:val="4"/>
            <w:vMerge w:val="restart"/>
            <w:tcBorders>
              <w:top w:val="nil"/>
              <w:left w:val="single" w:sz="4" w:space="0" w:color="auto"/>
              <w:right w:val="single" w:sz="4" w:space="0" w:color="auto"/>
            </w:tcBorders>
            <w:shd w:val="clear" w:color="000000" w:fill="D9D9D9"/>
            <w:noWrap/>
            <w:vAlign w:val="center"/>
            <w:hideMark/>
          </w:tcPr>
          <w:p w:rsidR="0078072B" w:rsidRPr="0019644F" w:rsidP="0066072E" w14:paraId="5A1538BF" w14:textId="77777777">
            <w:pPr>
              <w:autoSpaceDE/>
              <w:autoSpaceDN/>
              <w:adjustRightInd/>
              <w:spacing w:line="240" w:lineRule="auto"/>
              <w:jc w:val="center"/>
              <w:rPr>
                <w:rFonts w:eastAsia="Times New Roman"/>
                <w:color w:val="000000"/>
                <w:sz w:val="18"/>
                <w:szCs w:val="18"/>
              </w:rPr>
            </w:pPr>
          </w:p>
        </w:tc>
        <w:tc>
          <w:tcPr>
            <w:tcW w:w="2018" w:type="dxa"/>
            <w:tcBorders>
              <w:top w:val="nil"/>
              <w:left w:val="single" w:sz="4" w:space="0" w:color="auto"/>
              <w:bottom w:val="single" w:sz="4" w:space="0" w:color="auto"/>
              <w:right w:val="single" w:sz="4" w:space="0" w:color="auto"/>
            </w:tcBorders>
            <w:shd w:val="clear" w:color="auto" w:fill="auto"/>
            <w:noWrap/>
            <w:vAlign w:val="center"/>
            <w:hideMark/>
          </w:tcPr>
          <w:p w:rsidR="0078072B" w:rsidRPr="0019644F" w:rsidP="0066072E" w14:paraId="7B2EDB90"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calculation</w:t>
            </w:r>
          </w:p>
        </w:tc>
      </w:tr>
      <w:tr w14:paraId="01B62C3B"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auto" w:fill="auto"/>
            <w:noWrap/>
            <w:vAlign w:val="center"/>
            <w:hideMark/>
          </w:tcPr>
          <w:p w:rsidR="0078072B" w:rsidRPr="0019644F" w:rsidP="0066072E" w14:paraId="4C49BA53"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Category 1 to Category 2 (hours added)</w:t>
            </w:r>
          </w:p>
        </w:tc>
        <w:tc>
          <w:tcPr>
            <w:tcW w:w="1260" w:type="dxa"/>
            <w:tcBorders>
              <w:top w:val="nil"/>
              <w:left w:val="nil"/>
              <w:bottom w:val="single" w:sz="4" w:space="0" w:color="auto"/>
              <w:right w:val="nil"/>
            </w:tcBorders>
            <w:shd w:val="clear" w:color="auto" w:fill="auto"/>
            <w:noWrap/>
            <w:vAlign w:val="center"/>
            <w:hideMark/>
          </w:tcPr>
          <w:p w:rsidR="0078072B" w:rsidRPr="0019644F" w:rsidP="0066072E" w14:paraId="437DDDB7"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131</w:t>
            </w:r>
          </w:p>
        </w:tc>
        <w:tc>
          <w:tcPr>
            <w:tcW w:w="5087" w:type="dxa"/>
            <w:gridSpan w:val="4"/>
            <w:vMerge/>
            <w:tcBorders>
              <w:left w:val="single" w:sz="4" w:space="0" w:color="auto"/>
              <w:right w:val="single" w:sz="4" w:space="0" w:color="auto"/>
            </w:tcBorders>
            <w:shd w:val="clear" w:color="000000" w:fill="D9D9D9"/>
            <w:noWrap/>
            <w:vAlign w:val="center"/>
            <w:hideMark/>
          </w:tcPr>
          <w:p w:rsidR="0078072B" w:rsidRPr="0019644F" w:rsidP="0066072E" w14:paraId="4EAF8DF8" w14:textId="77777777">
            <w:pPr>
              <w:spacing w:line="240" w:lineRule="auto"/>
              <w:jc w:val="center"/>
              <w:rPr>
                <w:rFonts w:eastAsia="Times New Roman"/>
                <w:color w:val="000000"/>
                <w:sz w:val="18"/>
                <w:szCs w:val="18"/>
              </w:rPr>
            </w:pPr>
          </w:p>
        </w:tc>
        <w:tc>
          <w:tcPr>
            <w:tcW w:w="2018" w:type="dxa"/>
            <w:tcBorders>
              <w:top w:val="nil"/>
              <w:left w:val="single" w:sz="4" w:space="0" w:color="auto"/>
              <w:bottom w:val="single" w:sz="4" w:space="0" w:color="auto"/>
              <w:right w:val="single" w:sz="4" w:space="0" w:color="auto"/>
            </w:tcBorders>
            <w:shd w:val="clear" w:color="auto" w:fill="auto"/>
            <w:noWrap/>
            <w:vAlign w:val="center"/>
            <w:hideMark/>
          </w:tcPr>
          <w:p w:rsidR="0078072B" w:rsidRPr="0019644F" w:rsidP="0066072E" w14:paraId="3FE650CA"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calculation</w:t>
            </w:r>
          </w:p>
        </w:tc>
      </w:tr>
      <w:tr w14:paraId="3DE810F3"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hideMark/>
          </w:tcPr>
          <w:p w:rsidR="0078072B" w:rsidRPr="0019644F" w:rsidP="0066072E" w14:paraId="44CB748D" w14:textId="02F071BF">
            <w:pPr>
              <w:autoSpaceDE/>
              <w:autoSpaceDN/>
              <w:adjustRightInd/>
              <w:spacing w:line="240" w:lineRule="auto"/>
              <w:rPr>
                <w:rFonts w:eastAsia="Times New Roman"/>
                <w:color w:val="000000"/>
                <w:sz w:val="18"/>
                <w:szCs w:val="18"/>
              </w:rPr>
            </w:pPr>
            <w:r w:rsidRPr="0019644F">
              <w:rPr>
                <w:rFonts w:eastAsia="Times New Roman"/>
                <w:color w:val="000000"/>
                <w:sz w:val="18"/>
                <w:szCs w:val="18"/>
              </w:rPr>
              <w:t>Cat</w:t>
            </w:r>
            <w:r w:rsidR="00AA282B">
              <w:rPr>
                <w:rFonts w:eastAsia="Times New Roman"/>
                <w:color w:val="000000"/>
                <w:sz w:val="18"/>
                <w:szCs w:val="18"/>
              </w:rPr>
              <w:t>egory</w:t>
            </w:r>
            <w:r w:rsidRPr="0019644F">
              <w:rPr>
                <w:rFonts w:eastAsia="Times New Roman"/>
                <w:color w:val="000000"/>
                <w:sz w:val="18"/>
                <w:szCs w:val="18"/>
              </w:rPr>
              <w:t xml:space="preserve"> 1 consolidation (hours saved)</w:t>
            </w:r>
          </w:p>
        </w:tc>
        <w:tc>
          <w:tcPr>
            <w:tcW w:w="1260" w:type="dxa"/>
            <w:tcBorders>
              <w:top w:val="nil"/>
              <w:left w:val="nil"/>
              <w:bottom w:val="single" w:sz="4" w:space="0" w:color="auto"/>
              <w:right w:val="nil"/>
            </w:tcBorders>
            <w:shd w:val="clear" w:color="000000" w:fill="FFFFFF"/>
            <w:noWrap/>
            <w:vAlign w:val="center"/>
            <w:hideMark/>
          </w:tcPr>
          <w:p w:rsidR="0078072B" w:rsidRPr="0019644F" w:rsidP="0066072E" w14:paraId="4C432A01"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30</w:t>
            </w:r>
          </w:p>
        </w:tc>
        <w:tc>
          <w:tcPr>
            <w:tcW w:w="5087" w:type="dxa"/>
            <w:gridSpan w:val="4"/>
            <w:vMerge/>
            <w:tcBorders>
              <w:left w:val="single" w:sz="4" w:space="0" w:color="auto"/>
              <w:right w:val="single" w:sz="4" w:space="0" w:color="auto"/>
            </w:tcBorders>
            <w:shd w:val="clear" w:color="000000" w:fill="D9D9D9"/>
            <w:noWrap/>
            <w:vAlign w:val="center"/>
            <w:hideMark/>
          </w:tcPr>
          <w:p w:rsidR="0078072B" w:rsidRPr="0019644F" w:rsidP="0066072E" w14:paraId="47AF3E9B" w14:textId="77777777">
            <w:pPr>
              <w:spacing w:line="240" w:lineRule="auto"/>
              <w:jc w:val="center"/>
              <w:rPr>
                <w:rFonts w:eastAsia="Times New Roman"/>
                <w:color w:val="000000"/>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72B" w:rsidRPr="0019644F" w:rsidP="0066072E" w14:paraId="29019CC6"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calculation based on consolidated issues savings</w:t>
            </w:r>
          </w:p>
        </w:tc>
      </w:tr>
      <w:tr w14:paraId="2BCE3B5D"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hideMark/>
          </w:tcPr>
          <w:p w:rsidR="0078072B" w:rsidRPr="0019644F" w:rsidP="0066072E" w14:paraId="0ADF1CE3" w14:textId="304FBA02">
            <w:pPr>
              <w:autoSpaceDE/>
              <w:autoSpaceDN/>
              <w:adjustRightInd/>
              <w:spacing w:line="240" w:lineRule="auto"/>
              <w:rPr>
                <w:rFonts w:eastAsia="Times New Roman"/>
                <w:color w:val="000000"/>
                <w:sz w:val="18"/>
                <w:szCs w:val="18"/>
              </w:rPr>
            </w:pPr>
            <w:r w:rsidRPr="0019644F">
              <w:rPr>
                <w:rFonts w:eastAsia="Times New Roman"/>
                <w:color w:val="000000"/>
                <w:sz w:val="18"/>
                <w:szCs w:val="18"/>
              </w:rPr>
              <w:t>Cat</w:t>
            </w:r>
            <w:r w:rsidR="00AA282B">
              <w:rPr>
                <w:rFonts w:eastAsia="Times New Roman"/>
                <w:color w:val="000000"/>
                <w:sz w:val="18"/>
                <w:szCs w:val="18"/>
              </w:rPr>
              <w:t>egory</w:t>
            </w:r>
            <w:r w:rsidRPr="0019644F">
              <w:rPr>
                <w:rFonts w:eastAsia="Times New Roman"/>
                <w:color w:val="000000"/>
                <w:sz w:val="18"/>
                <w:szCs w:val="18"/>
              </w:rPr>
              <w:t xml:space="preserve"> 2 consolidation (hours saved)</w:t>
            </w:r>
          </w:p>
        </w:tc>
        <w:tc>
          <w:tcPr>
            <w:tcW w:w="1260" w:type="dxa"/>
            <w:tcBorders>
              <w:top w:val="nil"/>
              <w:left w:val="nil"/>
              <w:bottom w:val="single" w:sz="4" w:space="0" w:color="auto"/>
              <w:right w:val="nil"/>
            </w:tcBorders>
            <w:shd w:val="clear" w:color="000000" w:fill="FFFFFF"/>
            <w:noWrap/>
            <w:vAlign w:val="center"/>
            <w:hideMark/>
          </w:tcPr>
          <w:p w:rsidR="0078072B" w:rsidRPr="0019644F" w:rsidP="0066072E" w14:paraId="2C63E571" w14:textId="77777777">
            <w:pPr>
              <w:autoSpaceDE/>
              <w:autoSpaceDN/>
              <w:adjustRightInd/>
              <w:spacing w:line="240" w:lineRule="auto"/>
              <w:jc w:val="center"/>
              <w:rPr>
                <w:rFonts w:eastAsia="Times New Roman"/>
                <w:color w:val="000000"/>
                <w:sz w:val="18"/>
                <w:szCs w:val="18"/>
              </w:rPr>
            </w:pPr>
            <w:r w:rsidRPr="0019644F">
              <w:rPr>
                <w:rFonts w:eastAsia="Times New Roman"/>
                <w:color w:val="000000"/>
                <w:sz w:val="18"/>
                <w:szCs w:val="18"/>
              </w:rPr>
              <w:t>122</w:t>
            </w:r>
          </w:p>
        </w:tc>
        <w:tc>
          <w:tcPr>
            <w:tcW w:w="5087" w:type="dxa"/>
            <w:gridSpan w:val="4"/>
            <w:vMerge/>
            <w:tcBorders>
              <w:left w:val="single" w:sz="4" w:space="0" w:color="auto"/>
              <w:bottom w:val="nil"/>
              <w:right w:val="single" w:sz="4" w:space="0" w:color="auto"/>
            </w:tcBorders>
            <w:shd w:val="clear" w:color="000000" w:fill="D9D9D9"/>
            <w:noWrap/>
            <w:vAlign w:val="center"/>
            <w:hideMark/>
          </w:tcPr>
          <w:p w:rsidR="0078072B" w:rsidRPr="0019644F" w:rsidP="0066072E" w14:paraId="0F65E3A4" w14:textId="77777777">
            <w:pPr>
              <w:autoSpaceDE/>
              <w:autoSpaceDN/>
              <w:adjustRightInd/>
              <w:spacing w:line="240" w:lineRule="auto"/>
              <w:jc w:val="center"/>
              <w:rPr>
                <w:rFonts w:eastAsia="Times New Roman"/>
                <w:color w:val="000000"/>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72B" w:rsidRPr="0019644F" w:rsidP="0066072E" w14:paraId="52DAB7E9" w14:textId="77777777">
            <w:pPr>
              <w:autoSpaceDE/>
              <w:autoSpaceDN/>
              <w:adjustRightInd/>
              <w:spacing w:line="240" w:lineRule="auto"/>
              <w:rPr>
                <w:rFonts w:eastAsia="Times New Roman"/>
                <w:color w:val="000000"/>
                <w:sz w:val="18"/>
                <w:szCs w:val="18"/>
              </w:rPr>
            </w:pPr>
            <w:r w:rsidRPr="0019644F">
              <w:rPr>
                <w:rFonts w:eastAsia="Times New Roman"/>
                <w:color w:val="000000"/>
                <w:sz w:val="18"/>
                <w:szCs w:val="18"/>
              </w:rPr>
              <w:t>NRC calculation based on consolidated issues savings</w:t>
            </w:r>
          </w:p>
        </w:tc>
      </w:tr>
      <w:tr w14:paraId="409C1DDF" w14:textId="77777777" w:rsidTr="0066072E">
        <w:tblPrEx>
          <w:tblW w:w="10260" w:type="dxa"/>
          <w:jc w:val="center"/>
          <w:tblLook w:val="04A0"/>
        </w:tblPrEx>
        <w:trPr>
          <w:trHeight w:val="250"/>
          <w:jc w:val="center"/>
        </w:trPr>
        <w:tc>
          <w:tcPr>
            <w:tcW w:w="8242" w:type="dxa"/>
            <w:gridSpan w:val="6"/>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78072B" w:rsidRPr="00DC5E70" w:rsidP="0066072E" w14:paraId="21C830D5"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Industry Inputs</w:t>
            </w:r>
          </w:p>
        </w:tc>
        <w:tc>
          <w:tcPr>
            <w:tcW w:w="2018" w:type="dxa"/>
            <w:tcBorders>
              <w:top w:val="nil"/>
              <w:left w:val="nil"/>
              <w:bottom w:val="single" w:sz="4" w:space="0" w:color="auto"/>
              <w:right w:val="single" w:sz="4" w:space="0" w:color="auto"/>
            </w:tcBorders>
            <w:shd w:val="clear" w:color="000000" w:fill="A9D08E"/>
            <w:noWrap/>
            <w:vAlign w:val="center"/>
            <w:hideMark/>
          </w:tcPr>
          <w:p w:rsidR="0078072B" w:rsidRPr="00DC5E70" w:rsidP="0066072E" w14:paraId="18063140" w14:textId="77777777">
            <w:pPr>
              <w:autoSpaceDE/>
              <w:autoSpaceDN/>
              <w:adjustRightInd/>
              <w:spacing w:line="240" w:lineRule="auto"/>
              <w:rPr>
                <w:rFonts w:eastAsia="Times New Roman"/>
                <w:color w:val="000000"/>
                <w:sz w:val="18"/>
                <w:szCs w:val="18"/>
              </w:rPr>
            </w:pPr>
          </w:p>
        </w:tc>
      </w:tr>
      <w:tr w14:paraId="64E7EA8F" w14:textId="77777777" w:rsidTr="0066072E">
        <w:tblPrEx>
          <w:tblW w:w="10260" w:type="dxa"/>
          <w:jc w:val="center"/>
          <w:tblLook w:val="04A0"/>
        </w:tblPrEx>
        <w:trPr>
          <w:trHeight w:val="330"/>
          <w:jc w:val="center"/>
        </w:trPr>
        <w:tc>
          <w:tcPr>
            <w:tcW w:w="1895" w:type="dxa"/>
            <w:tcBorders>
              <w:top w:val="nil"/>
              <w:left w:val="single" w:sz="4" w:space="0" w:color="auto"/>
              <w:bottom w:val="single" w:sz="4" w:space="0" w:color="auto"/>
              <w:right w:val="single" w:sz="4" w:space="0" w:color="auto"/>
            </w:tcBorders>
            <w:shd w:val="clear" w:color="auto" w:fill="auto"/>
            <w:noWrap/>
            <w:vAlign w:val="center"/>
            <w:hideMark/>
          </w:tcPr>
          <w:p w:rsidR="0078072B" w:rsidRPr="00DC5E70" w:rsidP="0066072E" w14:paraId="4032C1A3"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Parent company to review regulations and update procedures</w:t>
            </w:r>
          </w:p>
        </w:tc>
        <w:tc>
          <w:tcPr>
            <w:tcW w:w="1260" w:type="dxa"/>
            <w:tcBorders>
              <w:top w:val="nil"/>
              <w:left w:val="nil"/>
              <w:bottom w:val="single" w:sz="4" w:space="0" w:color="auto"/>
              <w:right w:val="single" w:sz="4" w:space="0" w:color="auto"/>
            </w:tcBorders>
            <w:shd w:val="clear" w:color="auto" w:fill="auto"/>
            <w:noWrap/>
            <w:vAlign w:val="center"/>
            <w:hideMark/>
          </w:tcPr>
          <w:p w:rsidR="0078072B" w:rsidRPr="00DC5E70" w:rsidP="0066072E" w14:paraId="763B6AF2" w14:textId="77777777">
            <w:pPr>
              <w:autoSpaceDE/>
              <w:autoSpaceDN/>
              <w:adjustRightInd/>
              <w:spacing w:line="240" w:lineRule="auto"/>
              <w:jc w:val="center"/>
              <w:rPr>
                <w:rFonts w:eastAsia="Times New Roman"/>
                <w:color w:val="000000"/>
                <w:sz w:val="18"/>
                <w:szCs w:val="18"/>
              </w:rPr>
            </w:pPr>
            <w:r w:rsidRPr="00DC5E70">
              <w:rPr>
                <w:rFonts w:eastAsia="Times New Roman"/>
                <w:color w:val="000000"/>
                <w:sz w:val="18"/>
                <w:szCs w:val="18"/>
              </w:rPr>
              <w:t>$50,000</w:t>
            </w:r>
          </w:p>
        </w:tc>
        <w:tc>
          <w:tcPr>
            <w:tcW w:w="1339" w:type="dxa"/>
            <w:tcBorders>
              <w:top w:val="nil"/>
              <w:left w:val="nil"/>
              <w:bottom w:val="single" w:sz="4" w:space="0" w:color="auto"/>
              <w:right w:val="single" w:sz="4" w:space="0" w:color="auto"/>
            </w:tcBorders>
            <w:shd w:val="clear" w:color="000000" w:fill="FFFFFF"/>
            <w:noWrap/>
            <w:vAlign w:val="center"/>
            <w:hideMark/>
          </w:tcPr>
          <w:p w:rsidR="0078072B" w:rsidRPr="00DC5E70" w:rsidP="0066072E" w14:paraId="6082B2DC" w14:textId="77777777">
            <w:pPr>
              <w:autoSpaceDE/>
              <w:autoSpaceDN/>
              <w:adjustRightInd/>
              <w:spacing w:line="240" w:lineRule="auto"/>
              <w:jc w:val="center"/>
              <w:rPr>
                <w:rFonts w:eastAsia="Times New Roman"/>
                <w:color w:val="000000"/>
                <w:sz w:val="18"/>
                <w:szCs w:val="18"/>
              </w:rPr>
            </w:pPr>
            <w:r w:rsidRPr="00DC5E70">
              <w:rPr>
                <w:rFonts w:eastAsia="Times New Roman"/>
                <w:color w:val="000000"/>
                <w:sz w:val="18"/>
                <w:szCs w:val="18"/>
              </w:rPr>
              <w:t>PERT</w:t>
            </w:r>
          </w:p>
        </w:tc>
        <w:tc>
          <w:tcPr>
            <w:tcW w:w="1217" w:type="dxa"/>
            <w:tcBorders>
              <w:top w:val="nil"/>
              <w:left w:val="nil"/>
              <w:bottom w:val="single" w:sz="4" w:space="0" w:color="auto"/>
              <w:right w:val="single" w:sz="4" w:space="0" w:color="auto"/>
            </w:tcBorders>
            <w:shd w:val="clear" w:color="auto" w:fill="auto"/>
            <w:noWrap/>
            <w:vAlign w:val="center"/>
            <w:hideMark/>
          </w:tcPr>
          <w:p w:rsidR="0078072B" w:rsidRPr="00DC5E70" w:rsidP="0066072E" w14:paraId="11147FF6" w14:textId="77777777">
            <w:pPr>
              <w:autoSpaceDE/>
              <w:autoSpaceDN/>
              <w:adjustRightInd/>
              <w:spacing w:line="240" w:lineRule="auto"/>
              <w:jc w:val="center"/>
              <w:rPr>
                <w:rFonts w:eastAsia="Times New Roman"/>
                <w:color w:val="000000"/>
                <w:sz w:val="18"/>
                <w:szCs w:val="18"/>
              </w:rPr>
            </w:pPr>
            <w:r w:rsidRPr="00DC5E70">
              <w:rPr>
                <w:rFonts w:eastAsia="Times New Roman"/>
                <w:color w:val="000000"/>
                <w:sz w:val="18"/>
                <w:szCs w:val="18"/>
              </w:rPr>
              <w:t>$45,000</w:t>
            </w:r>
          </w:p>
        </w:tc>
        <w:tc>
          <w:tcPr>
            <w:tcW w:w="1314" w:type="dxa"/>
            <w:tcBorders>
              <w:top w:val="nil"/>
              <w:left w:val="nil"/>
              <w:bottom w:val="single" w:sz="4" w:space="0" w:color="auto"/>
              <w:right w:val="single" w:sz="4" w:space="0" w:color="auto"/>
            </w:tcBorders>
            <w:shd w:val="clear" w:color="auto" w:fill="auto"/>
            <w:noWrap/>
            <w:vAlign w:val="center"/>
            <w:hideMark/>
          </w:tcPr>
          <w:p w:rsidR="0078072B" w:rsidRPr="00DC5E70" w:rsidP="0066072E" w14:paraId="5A7DB245" w14:textId="77777777">
            <w:pPr>
              <w:autoSpaceDE/>
              <w:autoSpaceDN/>
              <w:adjustRightInd/>
              <w:spacing w:line="240" w:lineRule="auto"/>
              <w:jc w:val="center"/>
              <w:rPr>
                <w:rFonts w:eastAsia="Times New Roman"/>
                <w:color w:val="000000"/>
                <w:sz w:val="18"/>
                <w:szCs w:val="18"/>
              </w:rPr>
            </w:pPr>
            <w:r w:rsidRPr="00DC5E70">
              <w:rPr>
                <w:rFonts w:eastAsia="Times New Roman"/>
                <w:color w:val="000000"/>
                <w:sz w:val="18"/>
                <w:szCs w:val="18"/>
              </w:rPr>
              <w:t>$50,000</w:t>
            </w:r>
          </w:p>
        </w:tc>
        <w:tc>
          <w:tcPr>
            <w:tcW w:w="1217" w:type="dxa"/>
            <w:tcBorders>
              <w:top w:val="nil"/>
              <w:left w:val="nil"/>
              <w:bottom w:val="single" w:sz="4" w:space="0" w:color="auto"/>
              <w:right w:val="single" w:sz="4" w:space="0" w:color="auto"/>
            </w:tcBorders>
            <w:shd w:val="clear" w:color="auto" w:fill="auto"/>
            <w:noWrap/>
            <w:vAlign w:val="center"/>
            <w:hideMark/>
          </w:tcPr>
          <w:p w:rsidR="0078072B" w:rsidRPr="00DC5E70" w:rsidP="0066072E" w14:paraId="232CD9DC" w14:textId="77777777">
            <w:pPr>
              <w:autoSpaceDE/>
              <w:autoSpaceDN/>
              <w:adjustRightInd/>
              <w:spacing w:line="240" w:lineRule="auto"/>
              <w:jc w:val="center"/>
              <w:rPr>
                <w:rFonts w:eastAsia="Times New Roman"/>
                <w:color w:val="000000"/>
                <w:sz w:val="18"/>
                <w:szCs w:val="18"/>
              </w:rPr>
            </w:pPr>
            <w:r w:rsidRPr="00DC5E70">
              <w:rPr>
                <w:rFonts w:eastAsia="Times New Roman"/>
                <w:color w:val="000000"/>
                <w:sz w:val="18"/>
                <w:szCs w:val="18"/>
              </w:rPr>
              <w:t>$55,000</w:t>
            </w:r>
          </w:p>
        </w:tc>
        <w:tc>
          <w:tcPr>
            <w:tcW w:w="2018" w:type="dxa"/>
            <w:tcBorders>
              <w:top w:val="nil"/>
              <w:left w:val="nil"/>
              <w:bottom w:val="single" w:sz="4" w:space="0" w:color="auto"/>
              <w:right w:val="single" w:sz="4" w:space="0" w:color="auto"/>
            </w:tcBorders>
            <w:shd w:val="clear" w:color="auto" w:fill="auto"/>
            <w:noWrap/>
            <w:vAlign w:val="center"/>
            <w:hideMark/>
          </w:tcPr>
          <w:p w:rsidR="0078072B" w:rsidRPr="00DC5E70" w:rsidP="0066072E" w14:paraId="0AAE89C4"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NRC estimate</w:t>
            </w:r>
          </w:p>
        </w:tc>
      </w:tr>
      <w:tr w14:paraId="675141B0"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hideMark/>
          </w:tcPr>
          <w:p w:rsidR="0078072B" w:rsidRPr="00DC5E70" w:rsidP="0066072E" w14:paraId="301E5F4B"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Category 2 to Category 1 (hours saved)</w:t>
            </w:r>
          </w:p>
        </w:tc>
        <w:tc>
          <w:tcPr>
            <w:tcW w:w="1260" w:type="dxa"/>
            <w:tcBorders>
              <w:top w:val="nil"/>
              <w:left w:val="nil"/>
              <w:bottom w:val="single" w:sz="4" w:space="0" w:color="auto"/>
              <w:right w:val="nil"/>
            </w:tcBorders>
            <w:shd w:val="clear" w:color="auto" w:fill="auto"/>
            <w:noWrap/>
            <w:vAlign w:val="center"/>
            <w:hideMark/>
          </w:tcPr>
          <w:p w:rsidR="0078072B" w:rsidRPr="00DC5E70" w:rsidP="0066072E" w14:paraId="183A96F1" w14:textId="77777777">
            <w:pPr>
              <w:autoSpaceDE/>
              <w:autoSpaceDN/>
              <w:adjustRightInd/>
              <w:spacing w:line="240" w:lineRule="auto"/>
              <w:jc w:val="center"/>
              <w:rPr>
                <w:rFonts w:eastAsia="Times New Roman"/>
                <w:color w:val="000000"/>
                <w:sz w:val="18"/>
                <w:szCs w:val="18"/>
              </w:rPr>
            </w:pPr>
            <w:r w:rsidRPr="00DC5E70">
              <w:rPr>
                <w:rFonts w:eastAsia="Times New Roman"/>
                <w:color w:val="000000"/>
                <w:sz w:val="18"/>
                <w:szCs w:val="18"/>
              </w:rPr>
              <w:t>286</w:t>
            </w:r>
          </w:p>
        </w:tc>
        <w:tc>
          <w:tcPr>
            <w:tcW w:w="1339" w:type="dxa"/>
            <w:tcBorders>
              <w:top w:val="nil"/>
              <w:left w:val="single" w:sz="4" w:space="0" w:color="auto"/>
              <w:bottom w:val="nil"/>
              <w:right w:val="nil"/>
            </w:tcBorders>
            <w:shd w:val="clear" w:color="000000" w:fill="D9D9D9"/>
            <w:noWrap/>
            <w:vAlign w:val="center"/>
            <w:hideMark/>
          </w:tcPr>
          <w:p w:rsidR="0078072B" w:rsidRPr="00DC5E70" w:rsidP="0066072E" w14:paraId="1ABD5519"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 </w:t>
            </w:r>
          </w:p>
        </w:tc>
        <w:tc>
          <w:tcPr>
            <w:tcW w:w="1217" w:type="dxa"/>
            <w:tcBorders>
              <w:top w:val="nil"/>
              <w:left w:val="nil"/>
              <w:bottom w:val="nil"/>
              <w:right w:val="nil"/>
            </w:tcBorders>
            <w:shd w:val="clear" w:color="000000" w:fill="D9D9D9"/>
            <w:noWrap/>
            <w:vAlign w:val="center"/>
            <w:hideMark/>
          </w:tcPr>
          <w:p w:rsidR="0078072B" w:rsidRPr="00DC5E70" w:rsidP="0066072E" w14:paraId="6C7666BD"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 </w:t>
            </w:r>
          </w:p>
        </w:tc>
        <w:tc>
          <w:tcPr>
            <w:tcW w:w="1314" w:type="dxa"/>
            <w:tcBorders>
              <w:top w:val="nil"/>
              <w:left w:val="nil"/>
              <w:bottom w:val="nil"/>
              <w:right w:val="nil"/>
            </w:tcBorders>
            <w:shd w:val="clear" w:color="000000" w:fill="D9D9D9"/>
            <w:noWrap/>
            <w:vAlign w:val="center"/>
            <w:hideMark/>
          </w:tcPr>
          <w:p w:rsidR="0078072B" w:rsidRPr="00DC5E70" w:rsidP="0066072E" w14:paraId="15504584"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 </w:t>
            </w:r>
          </w:p>
        </w:tc>
        <w:tc>
          <w:tcPr>
            <w:tcW w:w="1217" w:type="dxa"/>
            <w:tcBorders>
              <w:top w:val="nil"/>
              <w:left w:val="nil"/>
              <w:bottom w:val="nil"/>
              <w:right w:val="single" w:sz="4" w:space="0" w:color="auto"/>
            </w:tcBorders>
            <w:shd w:val="clear" w:color="000000" w:fill="D9D9D9"/>
            <w:noWrap/>
            <w:vAlign w:val="center"/>
            <w:hideMark/>
          </w:tcPr>
          <w:p w:rsidR="0078072B" w:rsidRPr="00DC5E70" w:rsidP="0066072E" w14:paraId="43879F50"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 </w:t>
            </w:r>
          </w:p>
        </w:tc>
        <w:tc>
          <w:tcPr>
            <w:tcW w:w="2018" w:type="dxa"/>
            <w:tcBorders>
              <w:top w:val="nil"/>
              <w:left w:val="nil"/>
              <w:bottom w:val="single" w:sz="4" w:space="0" w:color="auto"/>
              <w:right w:val="single" w:sz="4" w:space="0" w:color="auto"/>
            </w:tcBorders>
            <w:shd w:val="clear" w:color="auto" w:fill="auto"/>
            <w:noWrap/>
            <w:vAlign w:val="center"/>
            <w:hideMark/>
          </w:tcPr>
          <w:p w:rsidR="0078072B" w:rsidRPr="00DC5E70" w:rsidP="0066072E" w14:paraId="44F7890B"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NRC calculation</w:t>
            </w:r>
          </w:p>
        </w:tc>
      </w:tr>
      <w:tr w14:paraId="5366CB5F"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auto" w:fill="auto"/>
            <w:noWrap/>
            <w:vAlign w:val="center"/>
            <w:hideMark/>
          </w:tcPr>
          <w:p w:rsidR="0078072B" w:rsidRPr="00DC5E70" w:rsidP="0066072E" w14:paraId="3351DCD9"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Category 1 to Category 2 (hours added)</w:t>
            </w:r>
          </w:p>
        </w:tc>
        <w:tc>
          <w:tcPr>
            <w:tcW w:w="1260" w:type="dxa"/>
            <w:tcBorders>
              <w:top w:val="nil"/>
              <w:left w:val="nil"/>
              <w:bottom w:val="single" w:sz="4" w:space="0" w:color="auto"/>
              <w:right w:val="nil"/>
            </w:tcBorders>
            <w:shd w:val="clear" w:color="auto" w:fill="auto"/>
            <w:noWrap/>
            <w:vAlign w:val="center"/>
            <w:hideMark/>
          </w:tcPr>
          <w:p w:rsidR="0078072B" w:rsidRPr="00DC5E70" w:rsidP="0066072E" w14:paraId="6692377D" w14:textId="77777777">
            <w:pPr>
              <w:autoSpaceDE/>
              <w:autoSpaceDN/>
              <w:adjustRightInd/>
              <w:spacing w:line="240" w:lineRule="auto"/>
              <w:jc w:val="center"/>
              <w:rPr>
                <w:rFonts w:eastAsia="Times New Roman"/>
                <w:color w:val="000000"/>
                <w:sz w:val="18"/>
                <w:szCs w:val="18"/>
              </w:rPr>
            </w:pPr>
            <w:r w:rsidRPr="00DC5E70">
              <w:rPr>
                <w:rFonts w:eastAsia="Times New Roman"/>
                <w:color w:val="000000"/>
                <w:sz w:val="18"/>
                <w:szCs w:val="18"/>
              </w:rPr>
              <w:t>286</w:t>
            </w:r>
          </w:p>
        </w:tc>
        <w:tc>
          <w:tcPr>
            <w:tcW w:w="1339" w:type="dxa"/>
            <w:tcBorders>
              <w:top w:val="nil"/>
              <w:left w:val="single" w:sz="4" w:space="0" w:color="auto"/>
              <w:bottom w:val="nil"/>
              <w:right w:val="nil"/>
            </w:tcBorders>
            <w:shd w:val="clear" w:color="000000" w:fill="D9D9D9"/>
            <w:noWrap/>
            <w:vAlign w:val="center"/>
            <w:hideMark/>
          </w:tcPr>
          <w:p w:rsidR="0078072B" w:rsidRPr="00DC5E70" w:rsidP="0066072E" w14:paraId="12679B44"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 </w:t>
            </w:r>
          </w:p>
        </w:tc>
        <w:tc>
          <w:tcPr>
            <w:tcW w:w="1217" w:type="dxa"/>
            <w:tcBorders>
              <w:top w:val="nil"/>
              <w:left w:val="nil"/>
              <w:bottom w:val="nil"/>
              <w:right w:val="nil"/>
            </w:tcBorders>
            <w:shd w:val="clear" w:color="000000" w:fill="D9D9D9"/>
            <w:noWrap/>
            <w:vAlign w:val="center"/>
            <w:hideMark/>
          </w:tcPr>
          <w:p w:rsidR="0078072B" w:rsidRPr="00DC5E70" w:rsidP="0066072E" w14:paraId="2BBC45EA"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 </w:t>
            </w:r>
          </w:p>
        </w:tc>
        <w:tc>
          <w:tcPr>
            <w:tcW w:w="1314" w:type="dxa"/>
            <w:tcBorders>
              <w:top w:val="nil"/>
              <w:left w:val="nil"/>
              <w:bottom w:val="nil"/>
              <w:right w:val="nil"/>
            </w:tcBorders>
            <w:shd w:val="clear" w:color="000000" w:fill="D9D9D9"/>
            <w:noWrap/>
            <w:vAlign w:val="center"/>
            <w:hideMark/>
          </w:tcPr>
          <w:p w:rsidR="0078072B" w:rsidRPr="00DC5E70" w:rsidP="0066072E" w14:paraId="70D2DD0C"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 </w:t>
            </w:r>
          </w:p>
        </w:tc>
        <w:tc>
          <w:tcPr>
            <w:tcW w:w="1217" w:type="dxa"/>
            <w:tcBorders>
              <w:top w:val="nil"/>
              <w:left w:val="nil"/>
              <w:bottom w:val="nil"/>
              <w:right w:val="single" w:sz="4" w:space="0" w:color="auto"/>
            </w:tcBorders>
            <w:shd w:val="clear" w:color="000000" w:fill="D9D9D9"/>
            <w:noWrap/>
            <w:vAlign w:val="center"/>
            <w:hideMark/>
          </w:tcPr>
          <w:p w:rsidR="0078072B" w:rsidRPr="00DC5E70" w:rsidP="0066072E" w14:paraId="64771AA8"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 </w:t>
            </w:r>
          </w:p>
        </w:tc>
        <w:tc>
          <w:tcPr>
            <w:tcW w:w="2018" w:type="dxa"/>
            <w:tcBorders>
              <w:top w:val="nil"/>
              <w:left w:val="nil"/>
              <w:bottom w:val="single" w:sz="4" w:space="0" w:color="auto"/>
              <w:right w:val="single" w:sz="4" w:space="0" w:color="auto"/>
            </w:tcBorders>
            <w:shd w:val="clear" w:color="auto" w:fill="auto"/>
            <w:noWrap/>
            <w:vAlign w:val="center"/>
            <w:hideMark/>
          </w:tcPr>
          <w:p w:rsidR="0078072B" w:rsidRPr="00DC5E70" w:rsidP="0066072E" w14:paraId="48467E44"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NRC calculation</w:t>
            </w:r>
          </w:p>
        </w:tc>
      </w:tr>
      <w:tr w14:paraId="65F243CA"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hideMark/>
          </w:tcPr>
          <w:p w:rsidR="0078072B" w:rsidRPr="00DC5E70" w:rsidP="0066072E" w14:paraId="2994DF18" w14:textId="0D1CFCB3">
            <w:pPr>
              <w:autoSpaceDE/>
              <w:autoSpaceDN/>
              <w:adjustRightInd/>
              <w:spacing w:line="240" w:lineRule="auto"/>
              <w:rPr>
                <w:rFonts w:eastAsia="Times New Roman"/>
                <w:color w:val="000000"/>
                <w:sz w:val="18"/>
                <w:szCs w:val="18"/>
              </w:rPr>
            </w:pPr>
            <w:r w:rsidRPr="00DC5E70">
              <w:rPr>
                <w:rFonts w:eastAsia="Times New Roman"/>
                <w:color w:val="000000"/>
                <w:sz w:val="18"/>
                <w:szCs w:val="18"/>
              </w:rPr>
              <w:t>Cat</w:t>
            </w:r>
            <w:r w:rsidR="00AA282B">
              <w:rPr>
                <w:rFonts w:eastAsia="Times New Roman"/>
                <w:color w:val="000000"/>
                <w:sz w:val="18"/>
                <w:szCs w:val="18"/>
              </w:rPr>
              <w:t>egory</w:t>
            </w:r>
            <w:r w:rsidRPr="00DC5E70">
              <w:rPr>
                <w:rFonts w:eastAsia="Times New Roman"/>
                <w:color w:val="000000"/>
                <w:sz w:val="18"/>
                <w:szCs w:val="18"/>
              </w:rPr>
              <w:t xml:space="preserve"> 1 consolidation (hours saved)</w:t>
            </w:r>
          </w:p>
        </w:tc>
        <w:tc>
          <w:tcPr>
            <w:tcW w:w="1260" w:type="dxa"/>
            <w:tcBorders>
              <w:top w:val="nil"/>
              <w:left w:val="nil"/>
              <w:bottom w:val="single" w:sz="4" w:space="0" w:color="auto"/>
              <w:right w:val="nil"/>
            </w:tcBorders>
            <w:shd w:val="clear" w:color="auto" w:fill="auto"/>
            <w:noWrap/>
            <w:vAlign w:val="center"/>
            <w:hideMark/>
          </w:tcPr>
          <w:p w:rsidR="0078072B" w:rsidRPr="00DC5E70" w:rsidP="0066072E" w14:paraId="4F3F5E8E" w14:textId="77777777">
            <w:pPr>
              <w:autoSpaceDE/>
              <w:autoSpaceDN/>
              <w:adjustRightInd/>
              <w:spacing w:line="240" w:lineRule="auto"/>
              <w:jc w:val="center"/>
              <w:rPr>
                <w:rFonts w:eastAsia="Times New Roman"/>
                <w:color w:val="000000"/>
                <w:sz w:val="18"/>
                <w:szCs w:val="18"/>
              </w:rPr>
            </w:pPr>
            <w:r w:rsidRPr="00DC5E70">
              <w:rPr>
                <w:rFonts w:eastAsia="Times New Roman"/>
                <w:color w:val="000000"/>
                <w:sz w:val="18"/>
                <w:szCs w:val="18"/>
              </w:rPr>
              <w:t>67</w:t>
            </w:r>
          </w:p>
        </w:tc>
        <w:tc>
          <w:tcPr>
            <w:tcW w:w="1339" w:type="dxa"/>
            <w:tcBorders>
              <w:top w:val="nil"/>
              <w:left w:val="single" w:sz="4" w:space="0" w:color="auto"/>
              <w:bottom w:val="nil"/>
              <w:right w:val="nil"/>
            </w:tcBorders>
            <w:shd w:val="clear" w:color="000000" w:fill="D9D9D9"/>
            <w:noWrap/>
            <w:vAlign w:val="center"/>
            <w:hideMark/>
          </w:tcPr>
          <w:p w:rsidR="0078072B" w:rsidRPr="00DC5E70" w:rsidP="0066072E" w14:paraId="4D1B4853"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 </w:t>
            </w:r>
          </w:p>
        </w:tc>
        <w:tc>
          <w:tcPr>
            <w:tcW w:w="1217" w:type="dxa"/>
            <w:tcBorders>
              <w:top w:val="nil"/>
              <w:left w:val="nil"/>
              <w:bottom w:val="nil"/>
              <w:right w:val="nil"/>
            </w:tcBorders>
            <w:shd w:val="clear" w:color="000000" w:fill="D9D9D9"/>
            <w:noWrap/>
            <w:vAlign w:val="center"/>
            <w:hideMark/>
          </w:tcPr>
          <w:p w:rsidR="0078072B" w:rsidRPr="00DC5E70" w:rsidP="0066072E" w14:paraId="2AB270B8"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 </w:t>
            </w:r>
          </w:p>
        </w:tc>
        <w:tc>
          <w:tcPr>
            <w:tcW w:w="1314" w:type="dxa"/>
            <w:tcBorders>
              <w:top w:val="nil"/>
              <w:left w:val="nil"/>
              <w:bottom w:val="nil"/>
              <w:right w:val="nil"/>
            </w:tcBorders>
            <w:shd w:val="clear" w:color="000000" w:fill="D9D9D9"/>
            <w:noWrap/>
            <w:vAlign w:val="center"/>
            <w:hideMark/>
          </w:tcPr>
          <w:p w:rsidR="0078072B" w:rsidRPr="00DC5E70" w:rsidP="0066072E" w14:paraId="1A9B1125"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 </w:t>
            </w:r>
          </w:p>
        </w:tc>
        <w:tc>
          <w:tcPr>
            <w:tcW w:w="1217" w:type="dxa"/>
            <w:tcBorders>
              <w:top w:val="nil"/>
              <w:left w:val="nil"/>
              <w:bottom w:val="nil"/>
              <w:right w:val="single" w:sz="4" w:space="0" w:color="auto"/>
            </w:tcBorders>
            <w:shd w:val="clear" w:color="000000" w:fill="D9D9D9"/>
            <w:noWrap/>
            <w:vAlign w:val="center"/>
            <w:hideMark/>
          </w:tcPr>
          <w:p w:rsidR="0078072B" w:rsidRPr="00DC5E70" w:rsidP="0066072E" w14:paraId="49ED8B29"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 </w:t>
            </w:r>
          </w:p>
        </w:tc>
        <w:tc>
          <w:tcPr>
            <w:tcW w:w="2018" w:type="dxa"/>
            <w:tcBorders>
              <w:top w:val="single" w:sz="4" w:space="0" w:color="auto"/>
              <w:left w:val="nil"/>
              <w:bottom w:val="single" w:sz="4" w:space="0" w:color="auto"/>
              <w:right w:val="single" w:sz="4" w:space="0" w:color="auto"/>
            </w:tcBorders>
            <w:shd w:val="clear" w:color="auto" w:fill="auto"/>
            <w:noWrap/>
            <w:vAlign w:val="center"/>
            <w:hideMark/>
          </w:tcPr>
          <w:p w:rsidR="0078072B" w:rsidRPr="00DC5E70" w:rsidP="0066072E" w14:paraId="3900921D"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NRC calculation based on consolidated issues savings</w:t>
            </w:r>
          </w:p>
        </w:tc>
      </w:tr>
      <w:tr w14:paraId="77A09AC8" w14:textId="77777777" w:rsidTr="0066072E">
        <w:tblPrEx>
          <w:tblW w:w="10260" w:type="dxa"/>
          <w:jc w:val="center"/>
          <w:tblLook w:val="04A0"/>
        </w:tblPrEx>
        <w:trPr>
          <w:trHeight w:val="250"/>
          <w:jc w:val="center"/>
        </w:trPr>
        <w:tc>
          <w:tcPr>
            <w:tcW w:w="1895" w:type="dxa"/>
            <w:tcBorders>
              <w:top w:val="nil"/>
              <w:left w:val="single" w:sz="4" w:space="0" w:color="auto"/>
              <w:bottom w:val="single" w:sz="4" w:space="0" w:color="auto"/>
              <w:right w:val="single" w:sz="4" w:space="0" w:color="auto"/>
            </w:tcBorders>
            <w:shd w:val="clear" w:color="000000" w:fill="FFFFFF"/>
            <w:noWrap/>
            <w:vAlign w:val="center"/>
            <w:hideMark/>
          </w:tcPr>
          <w:p w:rsidR="0078072B" w:rsidRPr="00DC5E70" w:rsidP="0066072E" w14:paraId="1A1F93BF" w14:textId="1A00B219">
            <w:pPr>
              <w:autoSpaceDE/>
              <w:autoSpaceDN/>
              <w:adjustRightInd/>
              <w:spacing w:line="240" w:lineRule="auto"/>
              <w:rPr>
                <w:rFonts w:eastAsia="Times New Roman"/>
                <w:color w:val="000000"/>
                <w:sz w:val="18"/>
                <w:szCs w:val="18"/>
              </w:rPr>
            </w:pPr>
            <w:r w:rsidRPr="00DC5E70">
              <w:rPr>
                <w:rFonts w:eastAsia="Times New Roman"/>
                <w:color w:val="000000"/>
                <w:sz w:val="18"/>
                <w:szCs w:val="18"/>
              </w:rPr>
              <w:t>Cat</w:t>
            </w:r>
            <w:r w:rsidR="00AA282B">
              <w:rPr>
                <w:rFonts w:eastAsia="Times New Roman"/>
                <w:color w:val="000000"/>
                <w:sz w:val="18"/>
                <w:szCs w:val="18"/>
              </w:rPr>
              <w:t>egor</w:t>
            </w:r>
            <w:r w:rsidR="00D05737">
              <w:rPr>
                <w:rFonts w:eastAsia="Times New Roman"/>
                <w:color w:val="000000"/>
                <w:sz w:val="18"/>
                <w:szCs w:val="18"/>
              </w:rPr>
              <w:t>y</w:t>
            </w:r>
            <w:r w:rsidRPr="00DC5E70">
              <w:rPr>
                <w:rFonts w:eastAsia="Times New Roman"/>
                <w:color w:val="000000"/>
                <w:sz w:val="18"/>
                <w:szCs w:val="18"/>
              </w:rPr>
              <w:t xml:space="preserve"> 2 consolidation (hours saved)</w:t>
            </w:r>
          </w:p>
        </w:tc>
        <w:tc>
          <w:tcPr>
            <w:tcW w:w="1260" w:type="dxa"/>
            <w:tcBorders>
              <w:top w:val="nil"/>
              <w:left w:val="nil"/>
              <w:bottom w:val="single" w:sz="4" w:space="0" w:color="auto"/>
              <w:right w:val="nil"/>
            </w:tcBorders>
            <w:shd w:val="clear" w:color="auto" w:fill="auto"/>
            <w:noWrap/>
            <w:vAlign w:val="center"/>
            <w:hideMark/>
          </w:tcPr>
          <w:p w:rsidR="0078072B" w:rsidRPr="00DC5E70" w:rsidP="0066072E" w14:paraId="4873C76D" w14:textId="77777777">
            <w:pPr>
              <w:autoSpaceDE/>
              <w:autoSpaceDN/>
              <w:adjustRightInd/>
              <w:spacing w:line="240" w:lineRule="auto"/>
              <w:jc w:val="center"/>
              <w:rPr>
                <w:rFonts w:eastAsia="Times New Roman"/>
                <w:color w:val="000000"/>
                <w:sz w:val="18"/>
                <w:szCs w:val="18"/>
              </w:rPr>
            </w:pPr>
            <w:r w:rsidRPr="00DC5E70">
              <w:rPr>
                <w:rFonts w:eastAsia="Times New Roman"/>
                <w:color w:val="000000"/>
                <w:sz w:val="18"/>
                <w:szCs w:val="18"/>
              </w:rPr>
              <w:t>267</w:t>
            </w:r>
          </w:p>
        </w:tc>
        <w:tc>
          <w:tcPr>
            <w:tcW w:w="1339" w:type="dxa"/>
            <w:tcBorders>
              <w:top w:val="nil"/>
              <w:left w:val="single" w:sz="4" w:space="0" w:color="auto"/>
              <w:bottom w:val="single" w:sz="4" w:space="0" w:color="auto"/>
              <w:right w:val="nil"/>
            </w:tcBorders>
            <w:shd w:val="clear" w:color="000000" w:fill="D9D9D9"/>
            <w:noWrap/>
            <w:vAlign w:val="center"/>
            <w:hideMark/>
          </w:tcPr>
          <w:p w:rsidR="0078072B" w:rsidRPr="00DC5E70" w:rsidP="0066072E" w14:paraId="1CB66D8D"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 </w:t>
            </w:r>
          </w:p>
        </w:tc>
        <w:tc>
          <w:tcPr>
            <w:tcW w:w="1217" w:type="dxa"/>
            <w:tcBorders>
              <w:top w:val="nil"/>
              <w:left w:val="nil"/>
              <w:bottom w:val="single" w:sz="4" w:space="0" w:color="auto"/>
              <w:right w:val="nil"/>
            </w:tcBorders>
            <w:shd w:val="clear" w:color="000000" w:fill="D9D9D9"/>
            <w:noWrap/>
            <w:vAlign w:val="center"/>
            <w:hideMark/>
          </w:tcPr>
          <w:p w:rsidR="0078072B" w:rsidRPr="00DC5E70" w:rsidP="0066072E" w14:paraId="1D95829B"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 </w:t>
            </w:r>
          </w:p>
        </w:tc>
        <w:tc>
          <w:tcPr>
            <w:tcW w:w="1314" w:type="dxa"/>
            <w:tcBorders>
              <w:top w:val="nil"/>
              <w:left w:val="nil"/>
              <w:bottom w:val="single" w:sz="4" w:space="0" w:color="auto"/>
              <w:right w:val="nil"/>
            </w:tcBorders>
            <w:shd w:val="clear" w:color="000000" w:fill="D9D9D9"/>
            <w:noWrap/>
            <w:vAlign w:val="center"/>
            <w:hideMark/>
          </w:tcPr>
          <w:p w:rsidR="0078072B" w:rsidRPr="00DC5E70" w:rsidP="0066072E" w14:paraId="0BC0399F"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 </w:t>
            </w:r>
          </w:p>
        </w:tc>
        <w:tc>
          <w:tcPr>
            <w:tcW w:w="1217" w:type="dxa"/>
            <w:tcBorders>
              <w:top w:val="nil"/>
              <w:left w:val="nil"/>
              <w:bottom w:val="single" w:sz="4" w:space="0" w:color="auto"/>
              <w:right w:val="single" w:sz="4" w:space="0" w:color="auto"/>
            </w:tcBorders>
            <w:shd w:val="clear" w:color="000000" w:fill="D9D9D9"/>
            <w:noWrap/>
            <w:vAlign w:val="center"/>
            <w:hideMark/>
          </w:tcPr>
          <w:p w:rsidR="0078072B" w:rsidRPr="00DC5E70" w:rsidP="0066072E" w14:paraId="686F3CE9"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 </w:t>
            </w:r>
          </w:p>
        </w:tc>
        <w:tc>
          <w:tcPr>
            <w:tcW w:w="2018" w:type="dxa"/>
            <w:tcBorders>
              <w:top w:val="single" w:sz="4" w:space="0" w:color="auto"/>
              <w:left w:val="nil"/>
              <w:bottom w:val="single" w:sz="4" w:space="0" w:color="auto"/>
              <w:right w:val="single" w:sz="4" w:space="0" w:color="auto"/>
            </w:tcBorders>
            <w:shd w:val="clear" w:color="auto" w:fill="auto"/>
            <w:noWrap/>
            <w:vAlign w:val="center"/>
            <w:hideMark/>
          </w:tcPr>
          <w:p w:rsidR="0078072B" w:rsidRPr="00DC5E70" w:rsidP="0066072E" w14:paraId="0E80A0AC" w14:textId="77777777">
            <w:pPr>
              <w:autoSpaceDE/>
              <w:autoSpaceDN/>
              <w:adjustRightInd/>
              <w:spacing w:line="240" w:lineRule="auto"/>
              <w:rPr>
                <w:rFonts w:eastAsia="Times New Roman"/>
                <w:color w:val="000000"/>
                <w:sz w:val="18"/>
                <w:szCs w:val="18"/>
              </w:rPr>
            </w:pPr>
            <w:r w:rsidRPr="00DC5E70">
              <w:rPr>
                <w:rFonts w:eastAsia="Times New Roman"/>
                <w:color w:val="000000"/>
                <w:sz w:val="18"/>
                <w:szCs w:val="18"/>
              </w:rPr>
              <w:t>NRC calculation based on consolidated issues savings</w:t>
            </w:r>
          </w:p>
        </w:tc>
      </w:tr>
    </w:tbl>
    <w:p w:rsidR="0078072B" w:rsidRPr="00DF101F" w:rsidP="0078072B" w14:paraId="675EE29D" w14:textId="77777777">
      <w:pPr>
        <w:spacing w:before="60" w:after="60"/>
      </w:pPr>
    </w:p>
    <w:p w:rsidR="0078072B" w:rsidRPr="00DC5E70" w:rsidP="0078072B" w14:paraId="3E2899E5" w14:textId="2C50414D">
      <w:pPr>
        <w:pStyle w:val="Caption"/>
        <w:jc w:val="center"/>
        <w:rPr>
          <w:b/>
        </w:rPr>
      </w:pPr>
      <w:r w:rsidRPr="00DC5E70">
        <w:rPr>
          <w:b/>
        </w:rPr>
        <w:t>Table A</w:t>
      </w:r>
      <w:r w:rsidRPr="00DC5E70">
        <w:rPr>
          <w:b/>
        </w:rPr>
        <w:noBreakHyphen/>
        <w:t>3  Operating Nuclear Power Plants by Licensee Group</w:t>
      </w:r>
      <w:r>
        <w:rPr>
          <w:rStyle w:val="FootnoteReference"/>
          <w:b/>
          <w:vertAlign w:val="superscript"/>
        </w:rPr>
        <w:footnoteReference w:id="14"/>
      </w:r>
    </w:p>
    <w:tbl>
      <w:tblPr>
        <w:tblW w:w="9445" w:type="dxa"/>
        <w:tblLook w:val="04A0"/>
      </w:tblPr>
      <w:tblGrid>
        <w:gridCol w:w="1158"/>
        <w:gridCol w:w="1897"/>
        <w:gridCol w:w="2970"/>
        <w:gridCol w:w="3420"/>
      </w:tblGrid>
      <w:tr w14:paraId="1CB269A6" w14:textId="77777777" w:rsidTr="0066072E">
        <w:tblPrEx>
          <w:tblW w:w="9445" w:type="dxa"/>
          <w:tblLook w:val="04A0"/>
        </w:tblPrEx>
        <w:trPr>
          <w:trHeight w:val="701"/>
          <w:tblHeader/>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72B" w:rsidRPr="00610DEE" w:rsidP="0066072E" w14:paraId="36A4BF82" w14:textId="77777777">
            <w:pPr>
              <w:autoSpaceDE/>
              <w:autoSpaceDN/>
              <w:adjustRightInd/>
              <w:spacing w:line="240" w:lineRule="auto"/>
              <w:jc w:val="center"/>
              <w:rPr>
                <w:rFonts w:eastAsia="Times New Roman"/>
                <w:b/>
                <w:color w:val="000000"/>
                <w:sz w:val="20"/>
                <w:szCs w:val="20"/>
              </w:rPr>
            </w:pPr>
            <w:r w:rsidRPr="00610DEE">
              <w:rPr>
                <w:rFonts w:eastAsia="Times New Roman"/>
                <w:b/>
                <w:color w:val="000000"/>
                <w:sz w:val="20"/>
                <w:szCs w:val="20"/>
              </w:rPr>
              <w:t>Calendar Year</w:t>
            </w:r>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78072B" w:rsidRPr="00610DEE" w:rsidP="0066072E" w14:paraId="6953A57B" w14:textId="77777777">
            <w:pPr>
              <w:autoSpaceDE/>
              <w:autoSpaceDN/>
              <w:adjustRightInd/>
              <w:spacing w:line="240" w:lineRule="auto"/>
              <w:jc w:val="center"/>
              <w:rPr>
                <w:rFonts w:eastAsia="Times New Roman"/>
                <w:b/>
                <w:color w:val="000000"/>
                <w:sz w:val="20"/>
                <w:szCs w:val="20"/>
              </w:rPr>
            </w:pPr>
            <w:r w:rsidRPr="00610DEE">
              <w:rPr>
                <w:rFonts w:eastAsia="Times New Roman"/>
                <w:b/>
                <w:color w:val="000000"/>
                <w:sz w:val="20"/>
                <w:szCs w:val="20"/>
              </w:rPr>
              <w:t>Initial LR</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78072B" w:rsidRPr="00610DEE" w:rsidP="0066072E" w14:paraId="490055EC" w14:textId="27708DD6">
            <w:pPr>
              <w:autoSpaceDE/>
              <w:autoSpaceDN/>
              <w:adjustRightInd/>
              <w:spacing w:line="240" w:lineRule="auto"/>
              <w:jc w:val="center"/>
              <w:rPr>
                <w:rFonts w:eastAsia="Times New Roman"/>
                <w:b/>
                <w:color w:val="000000"/>
                <w:sz w:val="20"/>
                <w:szCs w:val="20"/>
              </w:rPr>
            </w:pPr>
            <w:r w:rsidRPr="00610DEE">
              <w:rPr>
                <w:rFonts w:eastAsia="Times New Roman"/>
                <w:b/>
                <w:sz w:val="20"/>
                <w:szCs w:val="20"/>
              </w:rPr>
              <w:t>Future SLR</w:t>
            </w:r>
            <w:r w:rsidRPr="00610DEE" w:rsidR="002F2CDF">
              <w:rPr>
                <w:rFonts w:eastAsia="Times New Roman"/>
                <w:b/>
                <w:sz w:val="20"/>
                <w:szCs w:val="20"/>
                <w:vertAlign w:val="superscript"/>
              </w:rPr>
              <w:t>a</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rsidR="0078072B" w:rsidRPr="00610DEE" w:rsidP="0066072E" w14:paraId="2CED0A57" w14:textId="23B8BB02">
            <w:pPr>
              <w:autoSpaceDE/>
              <w:autoSpaceDN/>
              <w:adjustRightInd/>
              <w:spacing w:line="240" w:lineRule="auto"/>
              <w:jc w:val="center"/>
              <w:rPr>
                <w:rFonts w:eastAsia="Times New Roman"/>
                <w:b/>
                <w:color w:val="000000"/>
                <w:sz w:val="20"/>
                <w:szCs w:val="20"/>
              </w:rPr>
            </w:pPr>
            <w:r w:rsidRPr="00610DEE">
              <w:rPr>
                <w:rFonts w:eastAsia="Times New Roman"/>
                <w:b/>
                <w:color w:val="000000"/>
                <w:sz w:val="20"/>
                <w:szCs w:val="20"/>
              </w:rPr>
              <w:t>Near-Term</w:t>
            </w:r>
            <w:r w:rsidRPr="00610DEE" w:rsidR="002209D8">
              <w:rPr>
                <w:rFonts w:eastAsia="Times New Roman"/>
                <w:b/>
                <w:color w:val="000000"/>
                <w:sz w:val="20"/>
                <w:szCs w:val="20"/>
              </w:rPr>
              <w:t xml:space="preserve"> and</w:t>
            </w:r>
            <w:r w:rsidRPr="00610DEE">
              <w:rPr>
                <w:rFonts w:eastAsia="Times New Roman"/>
                <w:b/>
                <w:color w:val="000000"/>
                <w:sz w:val="20"/>
                <w:szCs w:val="20"/>
              </w:rPr>
              <w:t xml:space="preserve"> Submitted</w:t>
            </w:r>
            <w:r w:rsidRPr="00610DEE" w:rsidR="002209D8">
              <w:rPr>
                <w:rFonts w:eastAsia="Times New Roman"/>
                <w:b/>
                <w:color w:val="000000"/>
                <w:sz w:val="20"/>
                <w:szCs w:val="20"/>
              </w:rPr>
              <w:t xml:space="preserve"> Applications</w:t>
            </w:r>
            <w:r w:rsidRPr="00610DEE">
              <w:rPr>
                <w:rFonts w:eastAsia="Times New Roman"/>
                <w:b/>
                <w:color w:val="000000"/>
                <w:sz w:val="20"/>
                <w:szCs w:val="20"/>
              </w:rPr>
              <w:t xml:space="preserve">, </w:t>
            </w:r>
            <w:r w:rsidRPr="00610DEE" w:rsidR="002209D8">
              <w:rPr>
                <w:rFonts w:eastAsia="Times New Roman"/>
                <w:b/>
                <w:color w:val="000000"/>
                <w:sz w:val="20"/>
                <w:szCs w:val="20"/>
              </w:rPr>
              <w:t>and Issued</w:t>
            </w:r>
            <w:r w:rsidRPr="00610DEE">
              <w:rPr>
                <w:rFonts w:eastAsia="Times New Roman"/>
                <w:b/>
                <w:color w:val="000000"/>
                <w:sz w:val="20"/>
                <w:szCs w:val="20"/>
              </w:rPr>
              <w:t xml:space="preserve"> Subsequently Renewed Licenses</w:t>
            </w:r>
          </w:p>
        </w:tc>
      </w:tr>
      <w:tr w14:paraId="02317514" w14:textId="77777777" w:rsidTr="0066072E">
        <w:tblPrEx>
          <w:tblW w:w="9445" w:type="dxa"/>
          <w:tblLook w:val="04A0"/>
        </w:tblPrEx>
        <w:trPr>
          <w:trHeight w:val="280"/>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78072B" w:rsidRPr="00610DEE" w:rsidP="0066072E" w14:paraId="038BC812"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2025</w:t>
            </w:r>
          </w:p>
        </w:tc>
        <w:tc>
          <w:tcPr>
            <w:tcW w:w="1897" w:type="dxa"/>
            <w:vMerge w:val="restart"/>
            <w:tcBorders>
              <w:top w:val="nil"/>
              <w:left w:val="nil"/>
              <w:right w:val="single" w:sz="4" w:space="0" w:color="auto"/>
            </w:tcBorders>
            <w:shd w:val="clear" w:color="auto" w:fill="D9D9D9" w:themeFill="background1" w:themeFillShade="D9"/>
            <w:noWrap/>
            <w:vAlign w:val="center"/>
            <w:hideMark/>
          </w:tcPr>
          <w:p w:rsidR="0078072B" w:rsidRPr="00DF101F" w:rsidP="0066072E" w14:paraId="248707F3" w14:textId="77777777">
            <w:pPr>
              <w:autoSpaceDE/>
              <w:autoSpaceDN/>
              <w:adjustRightInd/>
              <w:spacing w:line="240" w:lineRule="auto"/>
              <w:jc w:val="center"/>
              <w:rPr>
                <w:rFonts w:eastAsia="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hideMark/>
          </w:tcPr>
          <w:p w:rsidR="0078072B" w:rsidRPr="00610DEE" w:rsidP="0066072E" w14:paraId="6B48AB99" w14:textId="5EF54D76">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 xml:space="preserve">Arkansas Nuclear </w:t>
            </w:r>
            <w:r w:rsidR="00D05737">
              <w:rPr>
                <w:rFonts w:eastAsia="Times New Roman"/>
                <w:color w:val="000000"/>
                <w:sz w:val="20"/>
                <w:szCs w:val="20"/>
              </w:rPr>
              <w:t xml:space="preserve">One </w:t>
            </w:r>
            <w:r w:rsidRPr="00610DEE">
              <w:rPr>
                <w:rFonts w:eastAsia="Times New Roman"/>
                <w:color w:val="000000"/>
                <w:sz w:val="20"/>
                <w:szCs w:val="20"/>
              </w:rPr>
              <w:t>Unit 1</w:t>
            </w:r>
            <w:r w:rsidRPr="00610DEE" w:rsidR="00597BD2">
              <w:rPr>
                <w:rFonts w:eastAsia="Times New Roman"/>
                <w:color w:val="000000"/>
                <w:sz w:val="20"/>
                <w:szCs w:val="20"/>
                <w:vertAlign w:val="superscript"/>
              </w:rPr>
              <w:t>b</w:t>
            </w:r>
          </w:p>
          <w:p w:rsidR="0078072B" w:rsidRPr="00610DEE" w:rsidP="0066072E" w14:paraId="5DEC00DF"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Brunswick Unit 1 and 2</w:t>
            </w:r>
          </w:p>
          <w:p w:rsidR="0078072B" w:rsidRPr="00610DEE" w:rsidP="0066072E" w14:paraId="41EA4141"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Calvert Cliffs Unit 1 and 2</w:t>
            </w:r>
          </w:p>
          <w:p w:rsidR="0078072B" w:rsidRPr="00610DEE" w:rsidP="0066072E" w14:paraId="52D63713"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Cooper Unit 1</w:t>
            </w:r>
          </w:p>
          <w:p w:rsidR="0078072B" w:rsidRPr="00610DEE" w:rsidP="0066072E" w14:paraId="7F0BB348"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D.C. Cook Unit 1 and 2</w:t>
            </w:r>
          </w:p>
          <w:p w:rsidR="007A5965" w:rsidRPr="00036017" w:rsidP="007A5965" w14:paraId="664DE041" w14:textId="77777777">
            <w:pPr>
              <w:autoSpaceDE/>
              <w:autoSpaceDN/>
              <w:adjustRightInd/>
              <w:spacing w:line="240" w:lineRule="auto"/>
              <w:jc w:val="center"/>
              <w:rPr>
                <w:rFonts w:eastAsia="Times New Roman"/>
                <w:color w:val="000000"/>
                <w:sz w:val="20"/>
                <w:szCs w:val="20"/>
              </w:rPr>
            </w:pPr>
            <w:r w:rsidRPr="00036017">
              <w:rPr>
                <w:rFonts w:eastAsia="Times New Roman"/>
                <w:color w:val="000000"/>
                <w:sz w:val="20"/>
                <w:szCs w:val="20"/>
              </w:rPr>
              <w:t>H.B. Robinson Unit 2</w:t>
            </w:r>
          </w:p>
          <w:p w:rsidR="0078072B" w:rsidRPr="00610DEE" w:rsidP="0066072E" w14:paraId="6C61D8F6"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Edwin I. Hatch Unit 1 and 2</w:t>
            </w:r>
          </w:p>
          <w:p w:rsidR="0078072B" w:rsidRPr="00610DEE" w:rsidP="0066072E" w14:paraId="00CD3F65"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James A. FitzPatrick</w:t>
            </w:r>
          </w:p>
          <w:p w:rsidR="0078072B" w:rsidRPr="00610DEE" w:rsidP="0066072E" w14:paraId="5D05BA11"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Millstone Unit 2 and 3</w:t>
            </w:r>
          </w:p>
          <w:p w:rsidR="0078072B" w:rsidRPr="00610DEE" w:rsidP="0066072E" w14:paraId="3FBFF6BE"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Nine Mile Point Unit 1 and 2</w:t>
            </w:r>
          </w:p>
          <w:p w:rsidR="0078072B" w:rsidRPr="00610DEE" w:rsidP="0066072E" w14:paraId="4269B0CA"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Prairie Island Units 1 and 2</w:t>
            </w:r>
          </w:p>
          <w:p w:rsidR="0078072B" w:rsidRPr="00610DEE" w:rsidP="0066072E" w14:paraId="6BB00015"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Quad Cities Units 1 and 2</w:t>
            </w:r>
          </w:p>
          <w:p w:rsidR="0078072B" w:rsidRPr="00610DEE" w:rsidP="0066072E" w14:paraId="5A002980"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R.E. Ginna</w:t>
            </w:r>
          </w:p>
        </w:tc>
        <w:tc>
          <w:tcPr>
            <w:tcW w:w="3420" w:type="dxa"/>
            <w:tcBorders>
              <w:top w:val="nil"/>
              <w:left w:val="nil"/>
              <w:bottom w:val="single" w:sz="4" w:space="0" w:color="auto"/>
              <w:right w:val="single" w:sz="4" w:space="0" w:color="auto"/>
            </w:tcBorders>
            <w:shd w:val="clear" w:color="auto" w:fill="auto"/>
            <w:noWrap/>
            <w:vAlign w:val="center"/>
            <w:hideMark/>
          </w:tcPr>
          <w:p w:rsidR="0078072B" w:rsidRPr="00610DEE" w:rsidP="0066072E" w14:paraId="534507B7"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Browns Ferry Units 1, 2, and 3</w:t>
            </w:r>
          </w:p>
          <w:p w:rsidR="007A5965" w:rsidRPr="00036017" w:rsidP="007A5965" w14:paraId="00F9C8F5" w14:textId="77777777">
            <w:pPr>
              <w:autoSpaceDE/>
              <w:autoSpaceDN/>
              <w:adjustRightInd/>
              <w:spacing w:line="240" w:lineRule="auto"/>
              <w:jc w:val="center"/>
              <w:rPr>
                <w:rFonts w:eastAsia="Times New Roman"/>
                <w:color w:val="000000"/>
                <w:sz w:val="20"/>
                <w:szCs w:val="20"/>
              </w:rPr>
            </w:pPr>
            <w:r w:rsidRPr="00036017">
              <w:rPr>
                <w:rFonts w:eastAsia="Times New Roman"/>
                <w:color w:val="000000"/>
                <w:sz w:val="20"/>
                <w:szCs w:val="20"/>
              </w:rPr>
              <w:t>Dresden Units 2 and 3</w:t>
            </w:r>
          </w:p>
          <w:p w:rsidR="0078072B" w:rsidRPr="00610DEE" w:rsidP="0066072E" w14:paraId="01E6BAB3"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Monticello</w:t>
            </w:r>
          </w:p>
          <w:p w:rsidR="0078072B" w:rsidRPr="00610DEE" w:rsidP="0066072E" w14:paraId="0B951DAD"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Oconee Units 1, 2, and 3</w:t>
            </w:r>
          </w:p>
          <w:p w:rsidR="0078072B" w:rsidRPr="00610DEE" w:rsidP="0066072E" w14:paraId="72A0359C"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North Anna Units 1 and 2</w:t>
            </w:r>
          </w:p>
          <w:p w:rsidR="0078072B" w:rsidRPr="00610DEE" w:rsidP="0066072E" w14:paraId="0735A89D"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Peach Bottom Units 2 and 3</w:t>
            </w:r>
          </w:p>
          <w:p w:rsidR="0078072B" w:rsidRPr="00610DEE" w:rsidP="0066072E" w14:paraId="30923879"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Point Beach Units 1 and 2</w:t>
            </w:r>
          </w:p>
          <w:p w:rsidR="0078072B" w:rsidRPr="00610DEE" w:rsidP="0066072E" w14:paraId="748D3E97"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St. Lucie Units 1 and 2</w:t>
            </w:r>
          </w:p>
          <w:p w:rsidR="0078072B" w:rsidRPr="00610DEE" w:rsidP="0066072E" w14:paraId="69A70F61"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Turkey Point Units 3 and 4</w:t>
            </w:r>
          </w:p>
          <w:p w:rsidR="0078072B" w:rsidRPr="00610DEE" w:rsidP="0066072E" w14:paraId="4905E510"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V.C. Summer Unit 1</w:t>
            </w:r>
          </w:p>
        </w:tc>
      </w:tr>
      <w:tr w14:paraId="7B410FC9" w14:textId="77777777" w:rsidTr="3A19EE9D">
        <w:tblPrEx>
          <w:tblW w:w="9445" w:type="dxa"/>
          <w:tblLook w:val="04A0"/>
        </w:tblPrEx>
        <w:trPr>
          <w:trHeight w:val="280"/>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78072B" w:rsidRPr="00610DEE" w:rsidP="0066072E" w14:paraId="3E6520B6"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2026</w:t>
            </w:r>
          </w:p>
        </w:tc>
        <w:tc>
          <w:tcPr>
            <w:tcW w:w="1897" w:type="dxa"/>
            <w:vMerge/>
            <w:noWrap/>
            <w:vAlign w:val="center"/>
          </w:tcPr>
          <w:p w:rsidR="0078072B" w:rsidRPr="00610DEE" w:rsidP="0066072E" w14:paraId="48A4B28C" w14:textId="77777777">
            <w:pPr>
              <w:autoSpaceDE/>
              <w:autoSpaceDN/>
              <w:adjustRightInd/>
              <w:spacing w:line="240" w:lineRule="auto"/>
              <w:jc w:val="center"/>
              <w:rPr>
                <w:rFonts w:eastAsia="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hideMark/>
          </w:tcPr>
          <w:p w:rsidR="0078072B" w:rsidRPr="00610DEE" w:rsidP="0066072E" w14:paraId="716279D3"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Beaver Valley Unit 1 and 2</w:t>
            </w:r>
          </w:p>
          <w:p w:rsidR="0078072B" w:rsidRPr="00610DEE" w:rsidP="0066072E" w14:paraId="69E8931A"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Salem Unit 1 and 2</w:t>
            </w:r>
          </w:p>
        </w:tc>
        <w:tc>
          <w:tcPr>
            <w:tcW w:w="3420" w:type="dxa"/>
            <w:vMerge w:val="restart"/>
            <w:tcBorders>
              <w:top w:val="nil"/>
              <w:left w:val="nil"/>
              <w:right w:val="single" w:sz="4" w:space="0" w:color="auto"/>
            </w:tcBorders>
            <w:shd w:val="clear" w:color="auto" w:fill="D9D9D9" w:themeFill="background1" w:themeFillShade="D9"/>
            <w:noWrap/>
            <w:vAlign w:val="center"/>
          </w:tcPr>
          <w:p w:rsidR="0078072B" w:rsidRPr="00610DEE" w:rsidP="0066072E" w14:paraId="1A604B9A" w14:textId="77777777">
            <w:pPr>
              <w:spacing w:line="240" w:lineRule="auto"/>
              <w:jc w:val="center"/>
              <w:rPr>
                <w:rFonts w:eastAsia="Times New Roman"/>
                <w:color w:val="000000"/>
                <w:sz w:val="20"/>
                <w:szCs w:val="20"/>
              </w:rPr>
            </w:pPr>
          </w:p>
        </w:tc>
      </w:tr>
      <w:tr w14:paraId="10432A7A" w14:textId="77777777" w:rsidTr="3A19EE9D">
        <w:tblPrEx>
          <w:tblW w:w="9445" w:type="dxa"/>
          <w:tblLook w:val="04A0"/>
        </w:tblPrEx>
        <w:trPr>
          <w:trHeight w:val="280"/>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78072B" w:rsidRPr="00610DEE" w:rsidP="0066072E" w14:paraId="0A077EBE"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2027</w:t>
            </w:r>
          </w:p>
        </w:tc>
        <w:tc>
          <w:tcPr>
            <w:tcW w:w="1897" w:type="dxa"/>
            <w:vMerge/>
            <w:noWrap/>
            <w:vAlign w:val="center"/>
          </w:tcPr>
          <w:p w:rsidR="0078072B" w:rsidRPr="00610DEE" w:rsidP="0066072E" w14:paraId="5C960814" w14:textId="77777777">
            <w:pPr>
              <w:autoSpaceDE/>
              <w:autoSpaceDN/>
              <w:adjustRightInd/>
              <w:spacing w:line="240" w:lineRule="auto"/>
              <w:jc w:val="center"/>
              <w:rPr>
                <w:rFonts w:eastAsia="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hideMark/>
          </w:tcPr>
          <w:p w:rsidR="0078072B" w:rsidRPr="00610DEE" w:rsidP="0066072E" w14:paraId="02C0C4EE"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Davis-Besse</w:t>
            </w:r>
          </w:p>
          <w:p w:rsidR="0078072B" w:rsidRPr="00610DEE" w:rsidP="0066072E" w14:paraId="384F93E3"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Joseph M. Farley Unit 1 and 2</w:t>
            </w:r>
          </w:p>
        </w:tc>
        <w:tc>
          <w:tcPr>
            <w:tcW w:w="3420" w:type="dxa"/>
            <w:vMerge/>
            <w:noWrap/>
            <w:vAlign w:val="center"/>
            <w:hideMark/>
          </w:tcPr>
          <w:p w:rsidR="0078072B" w:rsidRPr="00610DEE" w:rsidP="0066072E" w14:paraId="5FE9327F" w14:textId="77777777">
            <w:pPr>
              <w:spacing w:line="240" w:lineRule="auto"/>
              <w:jc w:val="center"/>
              <w:rPr>
                <w:rFonts w:eastAsia="Times New Roman"/>
                <w:color w:val="000000"/>
                <w:sz w:val="20"/>
                <w:szCs w:val="20"/>
              </w:rPr>
            </w:pPr>
          </w:p>
        </w:tc>
      </w:tr>
      <w:tr w14:paraId="60BA025F" w14:textId="77777777" w:rsidTr="3A19EE9D">
        <w:tblPrEx>
          <w:tblW w:w="9445" w:type="dxa"/>
          <w:tblLook w:val="04A0"/>
        </w:tblPrEx>
        <w:trPr>
          <w:trHeight w:val="280"/>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78072B" w:rsidRPr="00610DEE" w:rsidP="0066072E" w14:paraId="7BC132DA"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2028</w:t>
            </w:r>
          </w:p>
        </w:tc>
        <w:tc>
          <w:tcPr>
            <w:tcW w:w="1897" w:type="dxa"/>
            <w:vMerge/>
            <w:noWrap/>
            <w:vAlign w:val="center"/>
          </w:tcPr>
          <w:p w:rsidR="0078072B" w:rsidRPr="00610DEE" w:rsidP="0066072E" w14:paraId="3DC8DFAA" w14:textId="77777777">
            <w:pPr>
              <w:autoSpaceDE/>
              <w:autoSpaceDN/>
              <w:adjustRightInd/>
              <w:spacing w:line="240" w:lineRule="auto"/>
              <w:jc w:val="center"/>
              <w:rPr>
                <w:rFonts w:eastAsia="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hideMark/>
          </w:tcPr>
          <w:p w:rsidR="0078072B" w:rsidRPr="00610DEE" w:rsidP="0066072E" w14:paraId="5E394A02"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Arkansas Nuclear Unit 2</w:t>
            </w:r>
          </w:p>
        </w:tc>
        <w:tc>
          <w:tcPr>
            <w:tcW w:w="3420" w:type="dxa"/>
            <w:vMerge/>
            <w:noWrap/>
            <w:vAlign w:val="center"/>
            <w:hideMark/>
          </w:tcPr>
          <w:p w:rsidR="0078072B" w:rsidRPr="00610DEE" w:rsidP="0066072E" w14:paraId="56D912FB" w14:textId="77777777">
            <w:pPr>
              <w:spacing w:line="240" w:lineRule="auto"/>
              <w:jc w:val="center"/>
              <w:rPr>
                <w:rFonts w:eastAsia="Times New Roman"/>
                <w:color w:val="000000"/>
                <w:sz w:val="20"/>
                <w:szCs w:val="20"/>
              </w:rPr>
            </w:pPr>
          </w:p>
        </w:tc>
      </w:tr>
      <w:tr w14:paraId="519403E0" w14:textId="77777777" w:rsidTr="3A19EE9D">
        <w:tblPrEx>
          <w:tblW w:w="9445" w:type="dxa"/>
          <w:tblLook w:val="04A0"/>
        </w:tblPrEx>
        <w:trPr>
          <w:trHeight w:val="280"/>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78072B" w:rsidRPr="00610DEE" w:rsidP="0066072E" w14:paraId="5AF9D286"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2029</w:t>
            </w:r>
          </w:p>
        </w:tc>
        <w:tc>
          <w:tcPr>
            <w:tcW w:w="1897" w:type="dxa"/>
            <w:vMerge/>
            <w:noWrap/>
            <w:vAlign w:val="center"/>
          </w:tcPr>
          <w:p w:rsidR="0078072B" w:rsidRPr="00610DEE" w:rsidP="0066072E" w14:paraId="3D0E3A9E" w14:textId="77777777">
            <w:pPr>
              <w:autoSpaceDE/>
              <w:autoSpaceDN/>
              <w:adjustRightInd/>
              <w:spacing w:line="240" w:lineRule="auto"/>
              <w:jc w:val="center"/>
              <w:rPr>
                <w:rFonts w:eastAsia="Times New Roman"/>
                <w:color w:val="000000"/>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hideMark/>
          </w:tcPr>
          <w:p w:rsidR="0078072B" w:rsidRPr="00610DEE" w:rsidP="0066072E" w14:paraId="65EB945D" w14:textId="77777777">
            <w:pPr>
              <w:autoSpaceDE/>
              <w:autoSpaceDN/>
              <w:adjustRightInd/>
              <w:spacing w:line="240" w:lineRule="auto"/>
              <w:jc w:val="center"/>
              <w:rPr>
                <w:rFonts w:eastAsia="Times New Roman"/>
                <w:color w:val="000000"/>
                <w:sz w:val="20"/>
                <w:szCs w:val="20"/>
              </w:rPr>
            </w:pPr>
          </w:p>
        </w:tc>
        <w:tc>
          <w:tcPr>
            <w:tcW w:w="3420" w:type="dxa"/>
            <w:vMerge/>
            <w:noWrap/>
            <w:vAlign w:val="center"/>
            <w:hideMark/>
          </w:tcPr>
          <w:p w:rsidR="0078072B" w:rsidRPr="00610DEE" w:rsidP="0066072E" w14:paraId="19A7B33E" w14:textId="77777777">
            <w:pPr>
              <w:spacing w:line="240" w:lineRule="auto"/>
              <w:jc w:val="center"/>
              <w:rPr>
                <w:rFonts w:eastAsia="Times New Roman"/>
                <w:color w:val="000000"/>
                <w:sz w:val="20"/>
                <w:szCs w:val="20"/>
              </w:rPr>
            </w:pPr>
          </w:p>
        </w:tc>
      </w:tr>
      <w:tr w14:paraId="3F158A5B" w14:textId="77777777" w:rsidTr="3A19EE9D">
        <w:tblPrEx>
          <w:tblW w:w="9445" w:type="dxa"/>
          <w:tblLook w:val="04A0"/>
        </w:tblPrEx>
        <w:trPr>
          <w:trHeight w:val="290"/>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78072B" w:rsidRPr="00610DEE" w:rsidP="0066072E" w14:paraId="3665849D"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2030</w:t>
            </w:r>
          </w:p>
        </w:tc>
        <w:tc>
          <w:tcPr>
            <w:tcW w:w="1897" w:type="dxa"/>
            <w:vMerge/>
            <w:noWrap/>
            <w:vAlign w:val="center"/>
          </w:tcPr>
          <w:p w:rsidR="0078072B" w:rsidRPr="00610DEE" w:rsidP="0066072E" w14:paraId="6F9D4583" w14:textId="77777777">
            <w:pPr>
              <w:autoSpaceDE/>
              <w:autoSpaceDN/>
              <w:adjustRightInd/>
              <w:spacing w:line="240" w:lineRule="auto"/>
              <w:jc w:val="center"/>
              <w:rPr>
                <w:rFonts w:eastAsia="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hideMark/>
          </w:tcPr>
          <w:p w:rsidR="0078072B" w:rsidRPr="00610DEE" w:rsidP="0066072E" w14:paraId="7F80A18E"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Sequoyah Unit 1 and 2</w:t>
            </w:r>
          </w:p>
        </w:tc>
        <w:tc>
          <w:tcPr>
            <w:tcW w:w="3420" w:type="dxa"/>
            <w:vMerge/>
            <w:noWrap/>
            <w:vAlign w:val="center"/>
            <w:hideMark/>
          </w:tcPr>
          <w:p w:rsidR="0078072B" w:rsidRPr="00610DEE" w:rsidP="0066072E" w14:paraId="04C2C53E" w14:textId="77777777">
            <w:pPr>
              <w:spacing w:line="240" w:lineRule="auto"/>
              <w:jc w:val="center"/>
              <w:rPr>
                <w:rFonts w:eastAsia="Times New Roman"/>
                <w:color w:val="000000"/>
                <w:sz w:val="20"/>
                <w:szCs w:val="20"/>
              </w:rPr>
            </w:pPr>
          </w:p>
        </w:tc>
      </w:tr>
      <w:tr w14:paraId="429123E1" w14:textId="77777777" w:rsidTr="3A19EE9D">
        <w:tblPrEx>
          <w:tblW w:w="9445" w:type="dxa"/>
          <w:tblLook w:val="04A0"/>
        </w:tblPrEx>
        <w:trPr>
          <w:trHeight w:val="280"/>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78072B" w:rsidRPr="00610DEE" w:rsidP="0066072E" w14:paraId="38698CB1"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2031</w:t>
            </w:r>
          </w:p>
        </w:tc>
        <w:tc>
          <w:tcPr>
            <w:tcW w:w="1897" w:type="dxa"/>
            <w:vMerge/>
            <w:noWrap/>
            <w:vAlign w:val="center"/>
          </w:tcPr>
          <w:p w:rsidR="0078072B" w:rsidRPr="00610DEE" w:rsidP="0066072E" w14:paraId="44472EA7" w14:textId="77777777">
            <w:pPr>
              <w:autoSpaceDE/>
              <w:autoSpaceDN/>
              <w:adjustRightInd/>
              <w:spacing w:line="240" w:lineRule="auto"/>
              <w:jc w:val="center"/>
              <w:rPr>
                <w:rFonts w:eastAsia="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hideMark/>
          </w:tcPr>
          <w:p w:rsidR="0078072B" w:rsidRPr="00610DEE" w:rsidP="0066072E" w14:paraId="79D59A07"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McGuire Unit 1 and 2</w:t>
            </w:r>
          </w:p>
        </w:tc>
        <w:tc>
          <w:tcPr>
            <w:tcW w:w="3420" w:type="dxa"/>
            <w:vMerge/>
            <w:noWrap/>
            <w:vAlign w:val="center"/>
            <w:hideMark/>
          </w:tcPr>
          <w:p w:rsidR="0078072B" w:rsidRPr="00610DEE" w:rsidP="0066072E" w14:paraId="1282E4D3" w14:textId="77777777">
            <w:pPr>
              <w:spacing w:line="240" w:lineRule="auto"/>
              <w:jc w:val="center"/>
              <w:rPr>
                <w:rFonts w:eastAsia="Times New Roman"/>
                <w:color w:val="000000"/>
                <w:sz w:val="20"/>
                <w:szCs w:val="20"/>
              </w:rPr>
            </w:pPr>
          </w:p>
        </w:tc>
      </w:tr>
      <w:tr w14:paraId="263DE09E" w14:textId="77777777" w:rsidTr="3A19EE9D">
        <w:tblPrEx>
          <w:tblW w:w="9445" w:type="dxa"/>
          <w:tblLook w:val="04A0"/>
        </w:tblPrEx>
        <w:trPr>
          <w:trHeight w:val="280"/>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78072B" w:rsidRPr="00610DEE" w:rsidP="0066072E" w14:paraId="551A558A"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2032</w:t>
            </w:r>
          </w:p>
        </w:tc>
        <w:tc>
          <w:tcPr>
            <w:tcW w:w="1897" w:type="dxa"/>
            <w:vMerge/>
            <w:noWrap/>
            <w:vAlign w:val="center"/>
          </w:tcPr>
          <w:p w:rsidR="0078072B" w:rsidRPr="00610DEE" w:rsidP="0066072E" w14:paraId="6E507110" w14:textId="77777777">
            <w:pPr>
              <w:autoSpaceDE/>
              <w:autoSpaceDN/>
              <w:adjustRightInd/>
              <w:spacing w:line="240" w:lineRule="auto"/>
              <w:jc w:val="center"/>
              <w:rPr>
                <w:rFonts w:eastAsia="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hideMark/>
          </w:tcPr>
          <w:p w:rsidR="0078072B" w:rsidRPr="00610DEE" w:rsidP="0066072E" w14:paraId="1F0E5C2A"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LaSalle County Unit 1 and 2</w:t>
            </w:r>
          </w:p>
          <w:p w:rsidR="0078072B" w:rsidRPr="00610DEE" w:rsidP="0066072E" w14:paraId="04F279B9"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Susquehanna Unit 1 and 2</w:t>
            </w:r>
          </w:p>
        </w:tc>
        <w:tc>
          <w:tcPr>
            <w:tcW w:w="3420" w:type="dxa"/>
            <w:vMerge/>
            <w:noWrap/>
            <w:vAlign w:val="center"/>
            <w:hideMark/>
          </w:tcPr>
          <w:p w:rsidR="0078072B" w:rsidRPr="00610DEE" w:rsidP="0066072E" w14:paraId="6534661A" w14:textId="77777777">
            <w:pPr>
              <w:spacing w:line="240" w:lineRule="auto"/>
              <w:jc w:val="center"/>
              <w:rPr>
                <w:rFonts w:eastAsia="Times New Roman"/>
                <w:color w:val="000000"/>
                <w:sz w:val="20"/>
                <w:szCs w:val="20"/>
              </w:rPr>
            </w:pPr>
          </w:p>
        </w:tc>
      </w:tr>
      <w:tr w14:paraId="2F020B73" w14:textId="77777777" w:rsidTr="3A19EE9D">
        <w:tblPrEx>
          <w:tblW w:w="9445" w:type="dxa"/>
          <w:tblLook w:val="04A0"/>
        </w:tblPrEx>
        <w:trPr>
          <w:trHeight w:val="290"/>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78072B" w:rsidRPr="00610DEE" w:rsidP="0066072E" w14:paraId="2EDED9D4"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2033</w:t>
            </w:r>
          </w:p>
        </w:tc>
        <w:tc>
          <w:tcPr>
            <w:tcW w:w="1897" w:type="dxa"/>
            <w:vMerge/>
            <w:noWrap/>
            <w:vAlign w:val="center"/>
          </w:tcPr>
          <w:p w:rsidR="0078072B" w:rsidRPr="00610DEE" w:rsidP="0066072E" w14:paraId="365757FB" w14:textId="77777777">
            <w:pPr>
              <w:autoSpaceDE/>
              <w:autoSpaceDN/>
              <w:adjustRightInd/>
              <w:spacing w:line="240" w:lineRule="auto"/>
              <w:jc w:val="center"/>
              <w:rPr>
                <w:rFonts w:eastAsia="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hideMark/>
          </w:tcPr>
          <w:p w:rsidR="0078072B" w:rsidRPr="00610DEE" w:rsidP="0066072E" w14:paraId="4FD71A57"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Catawba Units 1 and 2 Columbia</w:t>
            </w:r>
          </w:p>
        </w:tc>
        <w:tc>
          <w:tcPr>
            <w:tcW w:w="3420" w:type="dxa"/>
            <w:vMerge/>
            <w:noWrap/>
            <w:vAlign w:val="center"/>
            <w:hideMark/>
          </w:tcPr>
          <w:p w:rsidR="0078072B" w:rsidRPr="00610DEE" w:rsidP="0066072E" w14:paraId="0A1A5380" w14:textId="77777777">
            <w:pPr>
              <w:spacing w:line="240" w:lineRule="auto"/>
              <w:jc w:val="center"/>
              <w:rPr>
                <w:rFonts w:eastAsia="Times New Roman"/>
                <w:color w:val="000000"/>
                <w:sz w:val="20"/>
                <w:szCs w:val="20"/>
              </w:rPr>
            </w:pPr>
          </w:p>
        </w:tc>
      </w:tr>
      <w:tr w14:paraId="352E02BF" w14:textId="77777777" w:rsidTr="3A19EE9D">
        <w:tblPrEx>
          <w:tblW w:w="9445" w:type="dxa"/>
          <w:tblLook w:val="04A0"/>
        </w:tblPrEx>
        <w:trPr>
          <w:trHeight w:val="280"/>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78072B" w:rsidRPr="00610DEE" w:rsidP="0066072E" w14:paraId="7C7E0C39"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2034</w:t>
            </w:r>
          </w:p>
        </w:tc>
        <w:tc>
          <w:tcPr>
            <w:tcW w:w="1897" w:type="dxa"/>
            <w:vMerge/>
            <w:noWrap/>
            <w:vAlign w:val="center"/>
          </w:tcPr>
          <w:p w:rsidR="0078072B" w:rsidRPr="00610DEE" w:rsidP="0066072E" w14:paraId="0AA7D18F" w14:textId="77777777">
            <w:pPr>
              <w:autoSpaceDE/>
              <w:autoSpaceDN/>
              <w:adjustRightInd/>
              <w:spacing w:line="240" w:lineRule="auto"/>
              <w:jc w:val="center"/>
              <w:rPr>
                <w:rFonts w:eastAsia="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hideMark/>
          </w:tcPr>
          <w:p w:rsidR="0078072B" w:rsidRPr="00610DEE" w:rsidP="0066072E" w14:paraId="631F0F53"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Byron Unit 1 and 2</w:t>
            </w:r>
          </w:p>
          <w:p w:rsidR="0078072B" w:rsidRPr="00610DEE" w:rsidP="0066072E" w14:paraId="399BBBB8"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Callaway Unit 1</w:t>
            </w:r>
          </w:p>
          <w:p w:rsidR="0078072B" w:rsidRPr="00610DEE" w:rsidP="0066072E" w14:paraId="267D5025"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Grand Gulf Unit 1</w:t>
            </w:r>
          </w:p>
          <w:p w:rsidR="0078072B" w:rsidRPr="00610DEE" w:rsidP="0066072E" w14:paraId="30786E2A"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Limerick Unit 1 and 2</w:t>
            </w:r>
          </w:p>
          <w:p w:rsidR="0078072B" w:rsidRPr="00610DEE" w:rsidP="0066072E" w14:paraId="1727091E"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Waterford Unit 3</w:t>
            </w:r>
          </w:p>
        </w:tc>
        <w:tc>
          <w:tcPr>
            <w:tcW w:w="3420" w:type="dxa"/>
            <w:vMerge/>
            <w:noWrap/>
            <w:vAlign w:val="center"/>
            <w:hideMark/>
          </w:tcPr>
          <w:p w:rsidR="0078072B" w:rsidRPr="00610DEE" w:rsidP="0066072E" w14:paraId="4F957ECB" w14:textId="77777777">
            <w:pPr>
              <w:spacing w:line="240" w:lineRule="auto"/>
              <w:jc w:val="center"/>
              <w:rPr>
                <w:rFonts w:eastAsia="Times New Roman"/>
                <w:color w:val="000000"/>
                <w:sz w:val="20"/>
                <w:szCs w:val="20"/>
              </w:rPr>
            </w:pPr>
          </w:p>
        </w:tc>
      </w:tr>
      <w:tr w14:paraId="301ABFFC" w14:textId="77777777" w:rsidTr="3A19EE9D">
        <w:tblPrEx>
          <w:tblW w:w="9445" w:type="dxa"/>
          <w:tblLook w:val="04A0"/>
        </w:tblPrEx>
        <w:trPr>
          <w:trHeight w:val="280"/>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78072B" w:rsidRPr="00610DEE" w:rsidP="0066072E" w14:paraId="412C1A6D"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2035</w:t>
            </w:r>
          </w:p>
        </w:tc>
        <w:tc>
          <w:tcPr>
            <w:tcW w:w="1897" w:type="dxa"/>
            <w:tcBorders>
              <w:top w:val="nil"/>
              <w:left w:val="nil"/>
              <w:bottom w:val="single" w:sz="4" w:space="0" w:color="auto"/>
              <w:right w:val="single" w:sz="4" w:space="0" w:color="auto"/>
            </w:tcBorders>
            <w:shd w:val="clear" w:color="auto" w:fill="auto"/>
            <w:noWrap/>
            <w:vAlign w:val="center"/>
            <w:hideMark/>
          </w:tcPr>
          <w:p w:rsidR="0078072B" w:rsidRPr="00610DEE" w:rsidP="0066072E" w14:paraId="53FE948C"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Watts Bar Unit 1</w:t>
            </w:r>
          </w:p>
        </w:tc>
        <w:tc>
          <w:tcPr>
            <w:tcW w:w="2970" w:type="dxa"/>
            <w:tcBorders>
              <w:top w:val="nil"/>
              <w:left w:val="nil"/>
              <w:bottom w:val="single" w:sz="4" w:space="0" w:color="auto"/>
              <w:right w:val="single" w:sz="4" w:space="0" w:color="auto"/>
            </w:tcBorders>
            <w:shd w:val="clear" w:color="auto" w:fill="auto"/>
            <w:noWrap/>
            <w:vAlign w:val="center"/>
            <w:hideMark/>
          </w:tcPr>
          <w:p w:rsidR="0078072B" w:rsidRPr="00610DEE" w:rsidP="0066072E" w14:paraId="6895AD9A" w14:textId="77777777">
            <w:pPr>
              <w:autoSpaceDE/>
              <w:autoSpaceDN/>
              <w:adjustRightInd/>
              <w:spacing w:line="240" w:lineRule="auto"/>
              <w:jc w:val="center"/>
              <w:rPr>
                <w:color w:val="000000"/>
                <w:sz w:val="20"/>
                <w:lang w:val="it-IT"/>
              </w:rPr>
            </w:pPr>
            <w:r w:rsidRPr="00610DEE">
              <w:rPr>
                <w:color w:val="000000"/>
                <w:sz w:val="20"/>
                <w:lang w:val="it-IT"/>
              </w:rPr>
              <w:t>Fermi Unit 2</w:t>
            </w:r>
          </w:p>
          <w:p w:rsidR="0078072B" w:rsidRPr="00610DEE" w:rsidP="0066072E" w14:paraId="5131D89E" w14:textId="77777777">
            <w:pPr>
              <w:autoSpaceDE/>
              <w:autoSpaceDN/>
              <w:adjustRightInd/>
              <w:spacing w:line="240" w:lineRule="auto"/>
              <w:jc w:val="center"/>
              <w:rPr>
                <w:color w:val="000000"/>
                <w:sz w:val="20"/>
                <w:lang w:val="it-IT"/>
              </w:rPr>
            </w:pPr>
            <w:r w:rsidRPr="00610DEE">
              <w:rPr>
                <w:color w:val="000000"/>
                <w:sz w:val="20"/>
                <w:lang w:val="it-IT"/>
              </w:rPr>
              <w:t>Palo Verde Unit 1, 2, and 3</w:t>
            </w:r>
          </w:p>
          <w:p w:rsidR="0078072B" w:rsidRPr="00610DEE" w:rsidP="0066072E" w14:paraId="004FFFEB"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River Bend Unit 1</w:t>
            </w:r>
          </w:p>
          <w:p w:rsidR="0078072B" w:rsidRPr="00610DEE" w:rsidP="0066072E" w14:paraId="181977AC" w14:textId="77777777">
            <w:pPr>
              <w:autoSpaceDE/>
              <w:autoSpaceDN/>
              <w:adjustRightInd/>
              <w:spacing w:line="240" w:lineRule="auto"/>
              <w:jc w:val="center"/>
              <w:rPr>
                <w:rFonts w:eastAsia="Times New Roman"/>
                <w:color w:val="000000"/>
                <w:sz w:val="20"/>
                <w:szCs w:val="20"/>
              </w:rPr>
            </w:pPr>
            <w:r w:rsidRPr="00610DEE">
              <w:rPr>
                <w:rFonts w:eastAsia="Times New Roman"/>
                <w:color w:val="000000"/>
                <w:sz w:val="20"/>
                <w:szCs w:val="20"/>
              </w:rPr>
              <w:t>Wolf Creek Unit 1</w:t>
            </w:r>
          </w:p>
        </w:tc>
        <w:tc>
          <w:tcPr>
            <w:tcW w:w="3420" w:type="dxa"/>
            <w:vMerge/>
            <w:noWrap/>
            <w:vAlign w:val="center"/>
            <w:hideMark/>
          </w:tcPr>
          <w:p w:rsidR="0078072B" w:rsidRPr="00610DEE" w:rsidP="0066072E" w14:paraId="2410B5CA" w14:textId="77777777">
            <w:pPr>
              <w:autoSpaceDE/>
              <w:autoSpaceDN/>
              <w:adjustRightInd/>
              <w:spacing w:line="240" w:lineRule="auto"/>
              <w:jc w:val="center"/>
              <w:rPr>
                <w:rFonts w:eastAsia="Times New Roman"/>
                <w:color w:val="000000"/>
                <w:sz w:val="20"/>
                <w:szCs w:val="20"/>
              </w:rPr>
            </w:pPr>
          </w:p>
        </w:tc>
      </w:tr>
    </w:tbl>
    <w:p w:rsidR="0078072B" w:rsidRPr="00610DEE" w:rsidP="001B1CA8" w14:paraId="0D43FC0B" w14:textId="0EECF0C8">
      <w:pPr>
        <w:spacing w:line="240" w:lineRule="auto"/>
        <w:rPr>
          <w:sz w:val="18"/>
          <w:szCs w:val="18"/>
        </w:rPr>
      </w:pPr>
      <w:r w:rsidRPr="00610DEE">
        <w:rPr>
          <w:sz w:val="18"/>
          <w:szCs w:val="18"/>
          <w:vertAlign w:val="superscript"/>
        </w:rPr>
        <w:t>a.</w:t>
      </w:r>
      <w:r w:rsidRPr="00610DEE" w:rsidR="000A67FF">
        <w:rPr>
          <w:sz w:val="18"/>
          <w:szCs w:val="18"/>
        </w:rPr>
        <w:t>Future SLRs are estimated based on the current license expiration date</w:t>
      </w:r>
      <w:r w:rsidRPr="00610DEE">
        <w:rPr>
          <w:sz w:val="18"/>
          <w:szCs w:val="18"/>
        </w:rPr>
        <w:t>.</w:t>
      </w:r>
    </w:p>
    <w:p w:rsidR="00AC7761" w:rsidRPr="00610DEE" w:rsidP="001B1CA8" w14:paraId="65CCEF0D" w14:textId="777B366E">
      <w:pPr>
        <w:spacing w:line="240" w:lineRule="auto"/>
        <w:rPr>
          <w:sz w:val="18"/>
          <w:szCs w:val="18"/>
        </w:rPr>
      </w:pPr>
      <w:r w:rsidRPr="00610DEE">
        <w:rPr>
          <w:sz w:val="18"/>
          <w:szCs w:val="18"/>
          <w:vertAlign w:val="superscript"/>
        </w:rPr>
        <w:t>b.</w:t>
      </w:r>
      <w:r w:rsidRPr="00610DEE">
        <w:rPr>
          <w:sz w:val="18"/>
          <w:szCs w:val="18"/>
        </w:rPr>
        <w:t>Arkansas Nuclear One intends to submit separate applications for Unit</w:t>
      </w:r>
      <w:r w:rsidR="001C2C77">
        <w:rPr>
          <w:sz w:val="18"/>
          <w:szCs w:val="18"/>
        </w:rPr>
        <w:t>s</w:t>
      </w:r>
      <w:r w:rsidRPr="00610DEE">
        <w:rPr>
          <w:sz w:val="18"/>
          <w:szCs w:val="18"/>
        </w:rPr>
        <w:t xml:space="preserve"> 1 and 2.</w:t>
      </w:r>
    </w:p>
    <w:p w:rsidR="00AC7761" w:rsidRPr="00DF101F" w:rsidP="00EC7079" w14:paraId="0446DFB8" w14:textId="77777777">
      <w:pPr>
        <w:spacing w:line="240" w:lineRule="auto"/>
        <w:rPr>
          <w:sz w:val="18"/>
          <w:szCs w:val="18"/>
          <w:highlight w:val="yellow"/>
        </w:rPr>
      </w:pPr>
    </w:p>
    <w:p w:rsidR="0078072B" w:rsidP="0078072B" w14:paraId="316AF3F2" w14:textId="77777777">
      <w:pPr>
        <w:spacing w:before="60" w:after="60"/>
        <w:rPr>
          <w:highlight w:val="yellow"/>
        </w:rPr>
      </w:pPr>
    </w:p>
    <w:p w:rsidR="0078072B" w:rsidRPr="00E10389" w:rsidP="0078072B" w14:paraId="6F1D69C5" w14:textId="77777777">
      <w:pPr>
        <w:spacing w:before="60" w:after="60"/>
        <w:rPr>
          <w:highlight w:val="yellow"/>
        </w:rPr>
        <w:sectPr w:rsidSect="00AA7975">
          <w:footerReference w:type="even" r:id="rId19"/>
          <w:footerReference w:type="default" r:id="rId20"/>
          <w:pgSz w:w="12240" w:h="15840"/>
          <w:pgMar w:top="1440" w:right="1440" w:bottom="1440" w:left="1440" w:header="720" w:footer="720" w:gutter="0"/>
          <w:pgNumType w:start="1"/>
          <w:cols w:space="720"/>
          <w:docGrid w:linePitch="360"/>
        </w:sectPr>
      </w:pPr>
    </w:p>
    <w:p w:rsidR="0078072B" w:rsidRPr="006B64B1" w:rsidP="0078072B" w14:paraId="566FA91F" w14:textId="4CE4228E">
      <w:pPr>
        <w:ind w:left="1166" w:hanging="1166"/>
        <w:rPr>
          <w:rFonts w:eastAsia="Times New Roman"/>
          <w:caps/>
          <w:color w:val="auto"/>
        </w:rPr>
      </w:pPr>
      <w:r w:rsidRPr="006B64B1">
        <w:rPr>
          <w:rFonts w:eastAsia="Times New Roman"/>
          <w:color w:val="auto"/>
        </w:rPr>
        <w:t xml:space="preserve">SUBJECT:  REGULATORY ANALYSIS FOR </w:t>
      </w:r>
      <w:r w:rsidRPr="006B64B1">
        <w:rPr>
          <w:rFonts w:eastAsia="Times New Roman"/>
          <w:caps/>
          <w:color w:val="auto"/>
        </w:rPr>
        <w:t xml:space="preserve">the </w:t>
      </w:r>
      <w:r w:rsidR="001C2C77">
        <w:rPr>
          <w:rFonts w:eastAsia="Times New Roman"/>
          <w:caps/>
          <w:color w:val="auto"/>
        </w:rPr>
        <w:t xml:space="preserve">FINAL </w:t>
      </w:r>
      <w:r w:rsidRPr="006B64B1">
        <w:rPr>
          <w:rFonts w:eastAsia="Times New Roman"/>
          <w:caps/>
          <w:color w:val="auto"/>
        </w:rPr>
        <w:t>Rule:</w:t>
      </w:r>
      <w:r>
        <w:rPr>
          <w:rFonts w:eastAsia="Times New Roman"/>
          <w:caps/>
          <w:color w:val="auto"/>
        </w:rPr>
        <w:t> </w:t>
      </w:r>
      <w:r w:rsidRPr="007651D6">
        <w:rPr>
          <w:rFonts w:eastAsia="Times New Roman"/>
          <w:caps/>
          <w:color w:val="auto"/>
        </w:rPr>
        <w:t>10 CFR Part 51, Renewing Nuclear Power Plant Operating Licenses</w:t>
      </w:r>
      <w:r w:rsidRPr="468E4CEC" w:rsidR="5370C7FD">
        <w:rPr>
          <w:rFonts w:eastAsia="Times New Roman"/>
          <w:caps/>
          <w:color w:val="auto"/>
        </w:rPr>
        <w:t>—</w:t>
      </w:r>
      <w:r w:rsidRPr="007651D6">
        <w:rPr>
          <w:rFonts w:eastAsia="Times New Roman"/>
          <w:caps/>
          <w:color w:val="auto"/>
        </w:rPr>
        <w:t>Environmental Review</w:t>
      </w:r>
      <w:r>
        <w:rPr>
          <w:rFonts w:eastAsia="Times New Roman"/>
          <w:caps/>
          <w:color w:val="auto"/>
        </w:rPr>
        <w:t>,</w:t>
      </w:r>
      <w:r w:rsidRPr="007651D6">
        <w:rPr>
          <w:rFonts w:eastAsia="Times New Roman"/>
          <w:caps/>
          <w:color w:val="auto"/>
        </w:rPr>
        <w:t xml:space="preserve"> </w:t>
      </w:r>
      <w:r w:rsidRPr="000E1104">
        <w:rPr>
          <w:rFonts w:eastAsia="Times New Roman"/>
          <w:color w:val="auto"/>
        </w:rPr>
        <w:t xml:space="preserve">DATED: </w:t>
      </w:r>
      <w:r w:rsidRPr="00BB2EEC">
        <w:rPr>
          <w:rFonts w:eastAsia="Times New Roman"/>
          <w:color w:val="auto"/>
          <w:highlight w:val="yellow"/>
        </w:rPr>
        <w:t>xxxxx</w:t>
      </w:r>
    </w:p>
    <w:p w:rsidR="0078072B" w:rsidRPr="00E10389" w:rsidP="0078072B" w14:paraId="14B7DC29" w14:textId="77777777">
      <w:pPr>
        <w:rPr>
          <w:sz w:val="20"/>
          <w:highlight w:val="yellow"/>
        </w:rPr>
      </w:pPr>
    </w:p>
    <w:p w:rsidR="0078072B" w:rsidRPr="00E10389" w:rsidP="0078072B" w14:paraId="6C85D8D3" w14:textId="77777777">
      <w:pPr>
        <w:rPr>
          <w:sz w:val="20"/>
          <w:highlight w:val="yellow"/>
        </w:rPr>
      </w:pPr>
    </w:p>
    <w:p w:rsidR="0078072B" w:rsidRPr="00E10389" w:rsidP="0078072B" w14:paraId="65DBFEE0" w14:textId="77777777">
      <w:pPr>
        <w:rPr>
          <w:sz w:val="20"/>
          <w:highlight w:val="yellow"/>
        </w:rPr>
      </w:pPr>
    </w:p>
    <w:p w:rsidR="0078072B" w:rsidRPr="00E10389" w:rsidP="0078072B" w14:paraId="43CDCAB1" w14:textId="77777777">
      <w:pPr>
        <w:rPr>
          <w:sz w:val="20"/>
          <w:highlight w:val="yellow"/>
        </w:rPr>
      </w:pPr>
    </w:p>
    <w:p w:rsidR="0078072B" w:rsidRPr="00E10389" w:rsidP="0078072B" w14:paraId="48E5B0AE" w14:textId="77777777">
      <w:pPr>
        <w:rPr>
          <w:sz w:val="20"/>
          <w:highlight w:val="yellow"/>
        </w:rPr>
      </w:pPr>
    </w:p>
    <w:p w:rsidR="0078072B" w:rsidRPr="00E10389" w:rsidP="0078072B" w14:paraId="2EB7EEE2" w14:textId="77777777">
      <w:pPr>
        <w:rPr>
          <w:sz w:val="20"/>
          <w:highlight w:val="yellow"/>
        </w:rPr>
      </w:pPr>
    </w:p>
    <w:p w:rsidR="0078072B" w:rsidRPr="00E10389" w:rsidP="0078072B" w14:paraId="61542E9D" w14:textId="77777777">
      <w:pPr>
        <w:rPr>
          <w:sz w:val="20"/>
          <w:highlight w:val="yellow"/>
        </w:rPr>
      </w:pPr>
    </w:p>
    <w:p w:rsidR="0078072B" w:rsidRPr="00E10389" w:rsidP="0078072B" w14:paraId="758D270E" w14:textId="77777777">
      <w:pPr>
        <w:rPr>
          <w:sz w:val="20"/>
          <w:highlight w:val="yellow"/>
        </w:rPr>
      </w:pPr>
    </w:p>
    <w:p w:rsidR="0078072B" w:rsidRPr="00E10389" w:rsidP="0078072B" w14:paraId="4320451D" w14:textId="77777777">
      <w:pPr>
        <w:rPr>
          <w:sz w:val="20"/>
          <w:highlight w:val="yellow"/>
        </w:rPr>
      </w:pPr>
    </w:p>
    <w:p w:rsidR="0078072B" w:rsidRPr="00E10389" w:rsidP="0078072B" w14:paraId="48083B48" w14:textId="77777777">
      <w:pPr>
        <w:rPr>
          <w:sz w:val="20"/>
          <w:highlight w:val="yellow"/>
        </w:rPr>
      </w:pPr>
    </w:p>
    <w:p w:rsidR="0078072B" w:rsidRPr="00E10389" w:rsidP="0078072B" w14:paraId="7ED71983" w14:textId="77777777">
      <w:pPr>
        <w:rPr>
          <w:sz w:val="20"/>
          <w:highlight w:val="yellow"/>
        </w:rPr>
      </w:pPr>
    </w:p>
    <w:p w:rsidR="0078072B" w:rsidRPr="00E10389" w:rsidP="0078072B" w14:paraId="1CFAA70F" w14:textId="77777777">
      <w:pPr>
        <w:rPr>
          <w:sz w:val="20"/>
          <w:highlight w:val="yellow"/>
        </w:rPr>
      </w:pPr>
    </w:p>
    <w:p w:rsidR="0078072B" w:rsidRPr="00E10389" w:rsidP="0078072B" w14:paraId="56E7B6A6" w14:textId="77777777">
      <w:pPr>
        <w:rPr>
          <w:sz w:val="20"/>
          <w:highlight w:val="yellow"/>
        </w:rPr>
      </w:pPr>
    </w:p>
    <w:p w:rsidR="0078072B" w:rsidRPr="00E10389" w:rsidP="0078072B" w14:paraId="1256F418" w14:textId="77777777">
      <w:pPr>
        <w:rPr>
          <w:sz w:val="20"/>
          <w:highlight w:val="yellow"/>
        </w:rPr>
      </w:pPr>
    </w:p>
    <w:p w:rsidR="0078072B" w:rsidRPr="00E10389" w:rsidP="0078072B" w14:paraId="2CDF04E0" w14:textId="77777777">
      <w:pPr>
        <w:rPr>
          <w:sz w:val="20"/>
          <w:highlight w:val="yellow"/>
        </w:rPr>
      </w:pPr>
    </w:p>
    <w:p w:rsidR="0078072B" w:rsidRPr="00E10389" w:rsidP="0078072B" w14:paraId="02CADC25" w14:textId="77777777">
      <w:pPr>
        <w:rPr>
          <w:sz w:val="20"/>
          <w:highlight w:val="yellow"/>
        </w:rPr>
      </w:pPr>
    </w:p>
    <w:p w:rsidR="0078072B" w:rsidRPr="00E10389" w:rsidP="0078072B" w14:paraId="3B6C37F5" w14:textId="77777777">
      <w:pPr>
        <w:rPr>
          <w:sz w:val="20"/>
          <w:highlight w:val="yellow"/>
        </w:rPr>
      </w:pPr>
    </w:p>
    <w:p w:rsidR="0078072B" w:rsidRPr="00E10389" w:rsidP="0078072B" w14:paraId="41AB748B" w14:textId="77777777">
      <w:pPr>
        <w:rPr>
          <w:sz w:val="20"/>
          <w:highlight w:val="yellow"/>
        </w:rPr>
      </w:pPr>
    </w:p>
    <w:p w:rsidR="0078072B" w:rsidRPr="00E10389" w:rsidP="0078072B" w14:paraId="69A2CE5D" w14:textId="77777777">
      <w:pPr>
        <w:rPr>
          <w:sz w:val="20"/>
          <w:highlight w:val="yellow"/>
        </w:rPr>
      </w:pPr>
    </w:p>
    <w:p w:rsidR="0078072B" w:rsidRPr="00E10389" w:rsidP="0078072B" w14:paraId="25D3A5C5" w14:textId="77777777">
      <w:pPr>
        <w:rPr>
          <w:sz w:val="20"/>
          <w:highlight w:val="yellow"/>
        </w:rPr>
      </w:pPr>
    </w:p>
    <w:p w:rsidR="0078072B" w:rsidRPr="00E10389" w:rsidP="0078072B" w14:paraId="438B4431" w14:textId="77777777">
      <w:pPr>
        <w:rPr>
          <w:sz w:val="20"/>
          <w:highlight w:val="yellow"/>
        </w:rPr>
      </w:pPr>
    </w:p>
    <w:p w:rsidR="0078072B" w:rsidRPr="00E10389" w:rsidP="0078072B" w14:paraId="50C3EC88" w14:textId="77777777">
      <w:pPr>
        <w:rPr>
          <w:sz w:val="20"/>
          <w:highlight w:val="yellow"/>
        </w:rPr>
      </w:pPr>
    </w:p>
    <w:p w:rsidR="0078072B" w:rsidRPr="00E10389" w:rsidP="0078072B" w14:paraId="07560A5B" w14:textId="77777777">
      <w:pPr>
        <w:rPr>
          <w:sz w:val="20"/>
          <w:highlight w:val="yellow"/>
        </w:rPr>
      </w:pPr>
    </w:p>
    <w:p w:rsidR="0078072B" w:rsidRPr="00E10389" w:rsidP="0078072B" w14:paraId="0AD7FC96" w14:textId="77777777">
      <w:pPr>
        <w:rPr>
          <w:sz w:val="20"/>
          <w:highlight w:val="yellow"/>
        </w:rPr>
      </w:pPr>
    </w:p>
    <w:p w:rsidR="0078072B" w:rsidRPr="00E10389" w:rsidP="0078072B" w14:paraId="1B01AA76" w14:textId="77777777">
      <w:pPr>
        <w:rPr>
          <w:sz w:val="20"/>
          <w:highlight w:val="yellow"/>
        </w:rPr>
      </w:pPr>
    </w:p>
    <w:p w:rsidR="0078072B" w:rsidRPr="00E10389" w:rsidP="0078072B" w14:paraId="29F52B8A" w14:textId="77777777">
      <w:pPr>
        <w:rPr>
          <w:sz w:val="20"/>
          <w:highlight w:val="yellow"/>
        </w:rPr>
      </w:pPr>
    </w:p>
    <w:p w:rsidR="0078072B" w:rsidRPr="00E10389" w:rsidP="0078072B" w14:paraId="3D94093A" w14:textId="77777777">
      <w:pPr>
        <w:rPr>
          <w:sz w:val="20"/>
          <w:highlight w:val="yellow"/>
        </w:rPr>
      </w:pPr>
    </w:p>
    <w:p w:rsidR="0078072B" w:rsidRPr="00E10389" w:rsidP="0078072B" w14:paraId="7332C378" w14:textId="77777777">
      <w:pPr>
        <w:rPr>
          <w:sz w:val="20"/>
          <w:highlight w:val="yellow"/>
        </w:rPr>
      </w:pPr>
    </w:p>
    <w:p w:rsidR="00D67ECE" w:rsidRPr="0064332A" w:rsidP="00D67ECE" w14:paraId="7533850F" w14:textId="77777777">
      <w:pPr>
        <w:contextualSpacing/>
        <w:rPr>
          <w:rFonts w:eastAsia="Times New Roman"/>
          <w:b/>
          <w:color w:val="auto"/>
          <w:sz w:val="18"/>
          <w:szCs w:val="18"/>
        </w:rPr>
      </w:pPr>
      <w:r w:rsidRPr="0064332A">
        <w:rPr>
          <w:rFonts w:eastAsia="Times New Roman"/>
          <w:b/>
          <w:color w:val="auto"/>
          <w:sz w:val="18"/>
          <w:szCs w:val="18"/>
        </w:rPr>
        <w:t>ADAMS Accession Nos.:  PKG:  ML22165A003; Regulatory Analysis:  ML22165A008</w:t>
      </w:r>
      <w:r w:rsidRPr="0064332A">
        <w:rPr>
          <w:rFonts w:eastAsia="Times New Roman"/>
          <w:b/>
          <w:color w:val="auto"/>
          <w:sz w:val="18"/>
          <w:szCs w:val="18"/>
        </w:rPr>
        <w:tab/>
      </w:r>
    </w:p>
    <w:tbl>
      <w:tblPr>
        <w:tblStyle w:val="TableGrid1"/>
        <w:tblW w:w="9124" w:type="dxa"/>
        <w:jc w:val="center"/>
        <w:tblLayout w:type="fixed"/>
        <w:tblLook w:val="01E0"/>
      </w:tblPr>
      <w:tblGrid>
        <w:gridCol w:w="1186"/>
        <w:gridCol w:w="1879"/>
        <w:gridCol w:w="1929"/>
        <w:gridCol w:w="2150"/>
        <w:gridCol w:w="1980"/>
      </w:tblGrid>
      <w:tr w14:paraId="6082DDD8" w14:textId="77777777">
        <w:tblPrEx>
          <w:tblW w:w="9124" w:type="dxa"/>
          <w:jc w:val="center"/>
          <w:tblLayout w:type="fixed"/>
          <w:tblLook w:val="01E0"/>
        </w:tblPrEx>
        <w:trPr>
          <w:trHeight w:val="50"/>
          <w:jc w:val="center"/>
        </w:trPr>
        <w:tc>
          <w:tcPr>
            <w:tcW w:w="1186" w:type="dxa"/>
            <w:tcBorders>
              <w:top w:val="double" w:sz="4" w:space="0" w:color="auto"/>
              <w:left w:val="double" w:sz="4" w:space="0" w:color="auto"/>
            </w:tcBorders>
          </w:tcPr>
          <w:p w:rsidR="00D67ECE" w:rsidRPr="001876DB" w14:paraId="5484815D" w14:textId="77777777">
            <w:pPr>
              <w:spacing w:line="276" w:lineRule="auto"/>
              <w:contextualSpacing/>
              <w:rPr>
                <w:rFonts w:ascii="Arial" w:hAnsi="Arial" w:cs="Arial"/>
                <w:b/>
                <w:color w:val="auto"/>
                <w:sz w:val="16"/>
                <w:szCs w:val="16"/>
              </w:rPr>
            </w:pPr>
            <w:r w:rsidRPr="001876DB">
              <w:rPr>
                <w:rFonts w:ascii="Arial" w:hAnsi="Arial" w:cs="Arial"/>
                <w:b/>
                <w:color w:val="auto"/>
                <w:sz w:val="16"/>
                <w:szCs w:val="16"/>
              </w:rPr>
              <w:t>OFFICE</w:t>
            </w:r>
          </w:p>
        </w:tc>
        <w:tc>
          <w:tcPr>
            <w:tcW w:w="1879" w:type="dxa"/>
            <w:tcBorders>
              <w:top w:val="double" w:sz="4" w:space="0" w:color="auto"/>
            </w:tcBorders>
          </w:tcPr>
          <w:p w:rsidR="00D67ECE" w:rsidRPr="00381543" w14:paraId="7A63C2CB" w14:textId="77777777">
            <w:pPr>
              <w:spacing w:line="276" w:lineRule="auto"/>
              <w:contextualSpacing/>
              <w:rPr>
                <w:rFonts w:ascii="Arial" w:hAnsi="Arial" w:cs="Arial"/>
                <w:color w:val="auto"/>
                <w:sz w:val="16"/>
                <w:szCs w:val="16"/>
              </w:rPr>
            </w:pPr>
            <w:r w:rsidRPr="00381543">
              <w:rPr>
                <w:rFonts w:ascii="Arial" w:hAnsi="Arial" w:cs="Arial"/>
                <w:sz w:val="16"/>
                <w:szCs w:val="16"/>
              </w:rPr>
              <w:t>NMSS/REFS/RASB</w:t>
            </w:r>
          </w:p>
        </w:tc>
        <w:tc>
          <w:tcPr>
            <w:tcW w:w="1929" w:type="dxa"/>
            <w:tcBorders>
              <w:top w:val="double" w:sz="4" w:space="0" w:color="auto"/>
            </w:tcBorders>
          </w:tcPr>
          <w:p w:rsidR="00D67ECE" w:rsidRPr="00381543" w14:paraId="6034E92B" w14:textId="77777777">
            <w:pPr>
              <w:spacing w:line="276" w:lineRule="auto"/>
              <w:contextualSpacing/>
              <w:rPr>
                <w:rFonts w:ascii="Arial" w:hAnsi="Arial" w:cs="Arial"/>
                <w:color w:val="auto"/>
                <w:sz w:val="16"/>
                <w:szCs w:val="16"/>
              </w:rPr>
            </w:pPr>
            <w:r w:rsidRPr="00381543">
              <w:rPr>
                <w:rFonts w:ascii="Arial" w:hAnsi="Arial" w:cs="Arial"/>
                <w:sz w:val="16"/>
                <w:szCs w:val="16"/>
              </w:rPr>
              <w:t>QTE</w:t>
            </w:r>
          </w:p>
        </w:tc>
        <w:tc>
          <w:tcPr>
            <w:tcW w:w="2150" w:type="dxa"/>
            <w:tcBorders>
              <w:top w:val="double" w:sz="4" w:space="0" w:color="auto"/>
            </w:tcBorders>
          </w:tcPr>
          <w:p w:rsidR="00D67ECE" w:rsidRPr="00381543" w14:paraId="68E20789" w14:textId="77777777">
            <w:pPr>
              <w:spacing w:line="276" w:lineRule="auto"/>
              <w:contextualSpacing/>
              <w:rPr>
                <w:rFonts w:ascii="Arial" w:hAnsi="Arial" w:cs="Arial"/>
                <w:color w:val="auto"/>
                <w:sz w:val="16"/>
                <w:szCs w:val="16"/>
              </w:rPr>
            </w:pPr>
            <w:r w:rsidRPr="00381543">
              <w:rPr>
                <w:rFonts w:ascii="Arial" w:hAnsi="Arial" w:cs="Arial"/>
                <w:sz w:val="16"/>
                <w:szCs w:val="16"/>
              </w:rPr>
              <w:t>NMSS/REFS/RASB/BC</w:t>
            </w:r>
          </w:p>
        </w:tc>
        <w:tc>
          <w:tcPr>
            <w:tcW w:w="1980" w:type="dxa"/>
            <w:tcBorders>
              <w:top w:val="double" w:sz="4" w:space="0" w:color="auto"/>
              <w:right w:val="double" w:sz="4" w:space="0" w:color="auto"/>
            </w:tcBorders>
          </w:tcPr>
          <w:p w:rsidR="00D67ECE" w:rsidRPr="001876DB" w14:paraId="424808B5" w14:textId="77777777">
            <w:pPr>
              <w:contextualSpacing/>
              <w:rPr>
                <w:rFonts w:ascii="Arial" w:hAnsi="Arial" w:cs="Arial"/>
                <w:sz w:val="16"/>
                <w:szCs w:val="16"/>
              </w:rPr>
            </w:pPr>
            <w:r w:rsidRPr="00381543">
              <w:rPr>
                <w:rFonts w:ascii="Arial" w:hAnsi="Arial" w:cs="Arial"/>
                <w:sz w:val="16"/>
                <w:szCs w:val="16"/>
              </w:rPr>
              <w:t>NMSS/SLED/D</w:t>
            </w:r>
          </w:p>
        </w:tc>
      </w:tr>
      <w:tr w14:paraId="165DDC27" w14:textId="77777777">
        <w:tblPrEx>
          <w:tblW w:w="9124" w:type="dxa"/>
          <w:jc w:val="center"/>
          <w:tblLayout w:type="fixed"/>
          <w:tblLook w:val="01E0"/>
        </w:tblPrEx>
        <w:trPr>
          <w:jc w:val="center"/>
        </w:trPr>
        <w:tc>
          <w:tcPr>
            <w:tcW w:w="1186" w:type="dxa"/>
            <w:tcBorders>
              <w:left w:val="double" w:sz="4" w:space="0" w:color="auto"/>
            </w:tcBorders>
          </w:tcPr>
          <w:p w:rsidR="00D67ECE" w:rsidRPr="001876DB" w14:paraId="17859C5C" w14:textId="77777777">
            <w:pPr>
              <w:spacing w:line="276" w:lineRule="auto"/>
              <w:contextualSpacing/>
              <w:rPr>
                <w:rFonts w:ascii="Arial" w:hAnsi="Arial" w:cs="Arial"/>
                <w:b/>
                <w:color w:val="auto"/>
                <w:sz w:val="16"/>
                <w:szCs w:val="16"/>
              </w:rPr>
            </w:pPr>
            <w:r w:rsidRPr="001876DB">
              <w:rPr>
                <w:rFonts w:ascii="Arial" w:hAnsi="Arial" w:cs="Arial"/>
                <w:b/>
                <w:color w:val="auto"/>
                <w:sz w:val="16"/>
                <w:szCs w:val="16"/>
              </w:rPr>
              <w:t>NAME</w:t>
            </w:r>
          </w:p>
        </w:tc>
        <w:tc>
          <w:tcPr>
            <w:tcW w:w="1879" w:type="dxa"/>
          </w:tcPr>
          <w:p w:rsidR="00D67ECE" w:rsidRPr="00381543" w14:paraId="7BCC36AE" w14:textId="77777777">
            <w:pPr>
              <w:spacing w:line="276" w:lineRule="auto"/>
              <w:contextualSpacing/>
              <w:rPr>
                <w:rFonts w:ascii="Arial" w:hAnsi="Arial" w:cs="Arial"/>
                <w:color w:val="auto"/>
                <w:sz w:val="16"/>
                <w:szCs w:val="16"/>
              </w:rPr>
            </w:pPr>
            <w:r w:rsidRPr="00381543">
              <w:rPr>
                <w:rFonts w:ascii="Arial" w:hAnsi="Arial" w:cs="Arial"/>
                <w:sz w:val="16"/>
                <w:szCs w:val="16"/>
              </w:rPr>
              <w:t>PNoto</w:t>
            </w:r>
          </w:p>
        </w:tc>
        <w:tc>
          <w:tcPr>
            <w:tcW w:w="1929" w:type="dxa"/>
          </w:tcPr>
          <w:p w:rsidR="00D67ECE" w:rsidRPr="00381543" w14:paraId="645AB96E" w14:textId="77777777">
            <w:pPr>
              <w:spacing w:line="276" w:lineRule="auto"/>
              <w:contextualSpacing/>
              <w:rPr>
                <w:rFonts w:ascii="Arial" w:hAnsi="Arial" w:cs="Arial"/>
                <w:color w:val="auto"/>
                <w:sz w:val="16"/>
                <w:szCs w:val="16"/>
              </w:rPr>
            </w:pPr>
            <w:r w:rsidRPr="00381543">
              <w:rPr>
                <w:rFonts w:ascii="Arial" w:hAnsi="Arial" w:cs="Arial"/>
                <w:color w:val="auto"/>
                <w:sz w:val="16"/>
                <w:szCs w:val="16"/>
              </w:rPr>
              <w:t>JDaughtery</w:t>
            </w:r>
          </w:p>
        </w:tc>
        <w:tc>
          <w:tcPr>
            <w:tcW w:w="2150" w:type="dxa"/>
          </w:tcPr>
          <w:p w:rsidR="00D67ECE" w:rsidRPr="00381543" w14:paraId="0788937F" w14:textId="77777777">
            <w:pPr>
              <w:spacing w:line="276" w:lineRule="auto"/>
              <w:contextualSpacing/>
              <w:rPr>
                <w:rFonts w:ascii="Arial" w:hAnsi="Arial" w:cs="Arial"/>
                <w:color w:val="auto"/>
                <w:sz w:val="16"/>
                <w:szCs w:val="16"/>
              </w:rPr>
            </w:pPr>
            <w:r w:rsidRPr="00381543">
              <w:rPr>
                <w:rFonts w:ascii="Arial" w:hAnsi="Arial" w:cs="Arial"/>
                <w:sz w:val="16"/>
                <w:szCs w:val="16"/>
              </w:rPr>
              <w:t>CBladey</w:t>
            </w:r>
          </w:p>
        </w:tc>
        <w:tc>
          <w:tcPr>
            <w:tcW w:w="1980" w:type="dxa"/>
            <w:tcBorders>
              <w:right w:val="double" w:sz="4" w:space="0" w:color="auto"/>
            </w:tcBorders>
          </w:tcPr>
          <w:p w:rsidR="00D67ECE" w:rsidRPr="001876DB" w14:paraId="1D8F1D25" w14:textId="77777777">
            <w:pPr>
              <w:contextualSpacing/>
              <w:rPr>
                <w:rFonts w:ascii="Arial" w:hAnsi="Arial" w:cs="Arial"/>
                <w:color w:val="auto"/>
                <w:sz w:val="16"/>
                <w:szCs w:val="16"/>
              </w:rPr>
            </w:pPr>
            <w:r w:rsidRPr="00381543">
              <w:rPr>
                <w:rFonts w:ascii="Arial" w:hAnsi="Arial" w:cs="Arial"/>
                <w:color w:val="auto"/>
                <w:sz w:val="16"/>
                <w:szCs w:val="16"/>
              </w:rPr>
              <w:t>THolahan</w:t>
            </w:r>
          </w:p>
        </w:tc>
      </w:tr>
      <w:tr w14:paraId="7E6427E5" w14:textId="77777777">
        <w:tblPrEx>
          <w:tblW w:w="9124" w:type="dxa"/>
          <w:jc w:val="center"/>
          <w:tblLayout w:type="fixed"/>
          <w:tblLook w:val="01E0"/>
        </w:tblPrEx>
        <w:trPr>
          <w:trHeight w:val="20"/>
          <w:jc w:val="center"/>
        </w:trPr>
        <w:tc>
          <w:tcPr>
            <w:tcW w:w="1186" w:type="dxa"/>
            <w:tcBorders>
              <w:left w:val="double" w:sz="4" w:space="0" w:color="auto"/>
              <w:bottom w:val="double" w:sz="4" w:space="0" w:color="auto"/>
            </w:tcBorders>
          </w:tcPr>
          <w:p w:rsidR="00D67ECE" w:rsidRPr="001876DB" w14:paraId="29D37120" w14:textId="77777777">
            <w:pPr>
              <w:spacing w:line="276" w:lineRule="auto"/>
              <w:contextualSpacing/>
              <w:rPr>
                <w:rFonts w:ascii="Arial" w:hAnsi="Arial" w:cs="Arial"/>
                <w:b/>
                <w:color w:val="auto"/>
                <w:sz w:val="16"/>
                <w:szCs w:val="16"/>
              </w:rPr>
            </w:pPr>
            <w:r w:rsidRPr="001876DB">
              <w:rPr>
                <w:rFonts w:ascii="Arial" w:hAnsi="Arial" w:cs="Arial"/>
                <w:b/>
                <w:color w:val="auto"/>
                <w:sz w:val="16"/>
                <w:szCs w:val="16"/>
              </w:rPr>
              <w:t>DATE</w:t>
            </w:r>
          </w:p>
        </w:tc>
        <w:tc>
          <w:tcPr>
            <w:tcW w:w="1879" w:type="dxa"/>
            <w:tcBorders>
              <w:bottom w:val="double" w:sz="4" w:space="0" w:color="auto"/>
            </w:tcBorders>
          </w:tcPr>
          <w:p w:rsidR="00D67ECE" w:rsidRPr="00381543" w14:paraId="2FA7B1DE" w14:textId="77777777">
            <w:pPr>
              <w:spacing w:line="276" w:lineRule="auto"/>
              <w:contextualSpacing/>
              <w:rPr>
                <w:rFonts w:ascii="Arial" w:hAnsi="Arial" w:cs="Arial"/>
                <w:color w:val="auto"/>
                <w:sz w:val="16"/>
                <w:szCs w:val="16"/>
              </w:rPr>
            </w:pPr>
            <w:r w:rsidRPr="00381543">
              <w:rPr>
                <w:rFonts w:ascii="Arial" w:hAnsi="Arial" w:cs="Arial"/>
                <w:color w:val="auto"/>
                <w:sz w:val="16"/>
                <w:szCs w:val="16"/>
              </w:rPr>
              <w:t>10/27/223</w:t>
            </w:r>
          </w:p>
        </w:tc>
        <w:tc>
          <w:tcPr>
            <w:tcW w:w="1929" w:type="dxa"/>
            <w:tcBorders>
              <w:bottom w:val="double" w:sz="4" w:space="0" w:color="auto"/>
            </w:tcBorders>
          </w:tcPr>
          <w:p w:rsidR="00D67ECE" w:rsidRPr="00381543" w14:paraId="4F5F51F0" w14:textId="77777777">
            <w:pPr>
              <w:spacing w:line="276" w:lineRule="auto"/>
              <w:contextualSpacing/>
              <w:rPr>
                <w:rFonts w:ascii="Arial" w:hAnsi="Arial" w:cs="Arial"/>
                <w:color w:val="auto"/>
                <w:sz w:val="16"/>
                <w:szCs w:val="16"/>
              </w:rPr>
            </w:pPr>
            <w:r w:rsidRPr="00381543">
              <w:rPr>
                <w:rFonts w:ascii="Arial" w:hAnsi="Arial" w:cs="Arial"/>
                <w:color w:val="auto"/>
                <w:sz w:val="16"/>
                <w:szCs w:val="16"/>
              </w:rPr>
              <w:t>11/14/2023</w:t>
            </w:r>
          </w:p>
        </w:tc>
        <w:tc>
          <w:tcPr>
            <w:tcW w:w="2150" w:type="dxa"/>
            <w:tcBorders>
              <w:bottom w:val="double" w:sz="4" w:space="0" w:color="auto"/>
            </w:tcBorders>
          </w:tcPr>
          <w:p w:rsidR="00D67ECE" w:rsidRPr="00381543" w14:paraId="16D7382F" w14:textId="77777777">
            <w:pPr>
              <w:spacing w:line="276" w:lineRule="auto"/>
              <w:rPr>
                <w:rFonts w:ascii="Arial" w:hAnsi="Arial" w:cs="Arial"/>
                <w:color w:val="auto"/>
                <w:sz w:val="16"/>
                <w:szCs w:val="16"/>
              </w:rPr>
            </w:pPr>
            <w:r w:rsidRPr="00381543">
              <w:rPr>
                <w:rFonts w:ascii="Arial" w:hAnsi="Arial" w:cs="Arial"/>
                <w:color w:val="auto"/>
                <w:sz w:val="16"/>
                <w:szCs w:val="16"/>
              </w:rPr>
              <w:t>12/15/2023</w:t>
            </w:r>
          </w:p>
        </w:tc>
        <w:tc>
          <w:tcPr>
            <w:tcW w:w="1980" w:type="dxa"/>
            <w:tcBorders>
              <w:bottom w:val="double" w:sz="4" w:space="0" w:color="auto"/>
              <w:right w:val="double" w:sz="4" w:space="0" w:color="auto"/>
            </w:tcBorders>
          </w:tcPr>
          <w:p w:rsidR="00D67ECE" w:rsidRPr="001876DB" w14:paraId="59932E4D" w14:textId="77777777">
            <w:pPr>
              <w:rPr>
                <w:rFonts w:ascii="Arial" w:hAnsi="Arial" w:cs="Arial"/>
                <w:color w:val="auto"/>
                <w:sz w:val="16"/>
                <w:szCs w:val="16"/>
              </w:rPr>
            </w:pPr>
            <w:r w:rsidRPr="001876DB">
              <w:rPr>
                <w:rFonts w:ascii="Arial" w:hAnsi="Arial" w:cs="Arial"/>
                <w:color w:val="auto"/>
                <w:sz w:val="16"/>
                <w:szCs w:val="16"/>
              </w:rPr>
              <w:t>1212/2024</w:t>
            </w:r>
          </w:p>
        </w:tc>
      </w:tr>
      <w:tr w14:paraId="72243947" w14:textId="77777777">
        <w:tblPrEx>
          <w:tblW w:w="9124" w:type="dxa"/>
          <w:jc w:val="center"/>
          <w:tblLayout w:type="fixed"/>
          <w:tblLook w:val="01E0"/>
        </w:tblPrEx>
        <w:trPr>
          <w:jc w:val="center"/>
        </w:trPr>
        <w:tc>
          <w:tcPr>
            <w:tcW w:w="1186" w:type="dxa"/>
            <w:tcBorders>
              <w:top w:val="double" w:sz="4" w:space="0" w:color="auto"/>
              <w:left w:val="double" w:sz="4" w:space="0" w:color="auto"/>
            </w:tcBorders>
          </w:tcPr>
          <w:p w:rsidR="00D67ECE" w:rsidRPr="001876DB" w14:paraId="635B79EB" w14:textId="77777777">
            <w:pPr>
              <w:spacing w:line="276" w:lineRule="auto"/>
              <w:contextualSpacing/>
              <w:rPr>
                <w:rFonts w:ascii="Arial" w:hAnsi="Arial" w:cs="Arial"/>
                <w:b/>
                <w:color w:val="auto"/>
                <w:sz w:val="16"/>
                <w:szCs w:val="16"/>
              </w:rPr>
            </w:pPr>
            <w:r w:rsidRPr="001876DB">
              <w:rPr>
                <w:rFonts w:ascii="Arial" w:hAnsi="Arial" w:cs="Arial"/>
                <w:b/>
                <w:color w:val="auto"/>
                <w:sz w:val="16"/>
                <w:szCs w:val="16"/>
              </w:rPr>
              <w:t>OFFICE</w:t>
            </w:r>
          </w:p>
        </w:tc>
        <w:tc>
          <w:tcPr>
            <w:tcW w:w="1879" w:type="dxa"/>
            <w:tcBorders>
              <w:top w:val="double" w:sz="4" w:space="0" w:color="auto"/>
            </w:tcBorders>
          </w:tcPr>
          <w:p w:rsidR="00D67ECE" w:rsidRPr="00381543" w14:paraId="476124C8" w14:textId="77777777">
            <w:pPr>
              <w:spacing w:line="276" w:lineRule="auto"/>
              <w:contextualSpacing/>
              <w:rPr>
                <w:rFonts w:ascii="Arial" w:hAnsi="Arial" w:cs="Arial"/>
                <w:color w:val="auto"/>
                <w:sz w:val="16"/>
                <w:szCs w:val="16"/>
              </w:rPr>
            </w:pPr>
            <w:r w:rsidRPr="00381543">
              <w:rPr>
                <w:rFonts w:ascii="Arial" w:hAnsi="Arial" w:cs="Arial"/>
                <w:color w:val="auto"/>
                <w:sz w:val="16"/>
                <w:szCs w:val="16"/>
              </w:rPr>
              <w:t>NMSS/D</w:t>
            </w:r>
          </w:p>
        </w:tc>
        <w:tc>
          <w:tcPr>
            <w:tcW w:w="1929" w:type="dxa"/>
            <w:tcBorders>
              <w:top w:val="double" w:sz="4" w:space="0" w:color="auto"/>
            </w:tcBorders>
          </w:tcPr>
          <w:p w:rsidR="00D67ECE" w:rsidRPr="00381543" w14:paraId="74CCE285" w14:textId="77777777">
            <w:pPr>
              <w:spacing w:line="276" w:lineRule="auto"/>
              <w:contextualSpacing/>
              <w:rPr>
                <w:rFonts w:ascii="Arial" w:hAnsi="Arial" w:cs="Arial"/>
                <w:color w:val="auto"/>
                <w:sz w:val="16"/>
                <w:szCs w:val="16"/>
              </w:rPr>
            </w:pPr>
            <w:r w:rsidRPr="00381543">
              <w:rPr>
                <w:rFonts w:ascii="Arial" w:hAnsi="Arial" w:cs="Arial"/>
                <w:color w:val="auto"/>
                <w:sz w:val="16"/>
                <w:szCs w:val="16"/>
              </w:rPr>
              <w:t>OGC</w:t>
            </w:r>
          </w:p>
        </w:tc>
        <w:tc>
          <w:tcPr>
            <w:tcW w:w="2150" w:type="dxa"/>
            <w:tcBorders>
              <w:top w:val="double" w:sz="4" w:space="0" w:color="auto"/>
            </w:tcBorders>
          </w:tcPr>
          <w:p w:rsidR="00D67ECE" w:rsidRPr="00381543" w14:paraId="731B0EA9" w14:textId="77777777">
            <w:pPr>
              <w:spacing w:line="276" w:lineRule="auto"/>
              <w:contextualSpacing/>
              <w:rPr>
                <w:rFonts w:ascii="Arial" w:hAnsi="Arial" w:cs="Arial"/>
                <w:color w:val="auto"/>
                <w:sz w:val="16"/>
                <w:szCs w:val="16"/>
              </w:rPr>
            </w:pPr>
            <w:r w:rsidRPr="00381543">
              <w:rPr>
                <w:rFonts w:ascii="Arial" w:hAnsi="Arial" w:cs="Arial"/>
                <w:color w:val="auto"/>
                <w:sz w:val="16"/>
                <w:szCs w:val="16"/>
              </w:rPr>
              <w:t>NRR/D</w:t>
            </w:r>
          </w:p>
        </w:tc>
        <w:tc>
          <w:tcPr>
            <w:tcW w:w="1980" w:type="dxa"/>
            <w:tcBorders>
              <w:top w:val="double" w:sz="4" w:space="0" w:color="auto"/>
              <w:right w:val="double" w:sz="4" w:space="0" w:color="auto"/>
            </w:tcBorders>
          </w:tcPr>
          <w:p w:rsidR="00D67ECE" w:rsidRPr="001876DB" w14:paraId="700E5D75" w14:textId="77777777">
            <w:pPr>
              <w:contextualSpacing/>
              <w:rPr>
                <w:rFonts w:ascii="Arial" w:hAnsi="Arial" w:cs="Arial"/>
                <w:color w:val="auto"/>
                <w:sz w:val="16"/>
                <w:szCs w:val="16"/>
              </w:rPr>
            </w:pPr>
            <w:r w:rsidRPr="00381543">
              <w:rPr>
                <w:rFonts w:ascii="Arial" w:hAnsi="Arial" w:cs="Arial"/>
                <w:color w:val="auto"/>
                <w:sz w:val="16"/>
                <w:szCs w:val="16"/>
              </w:rPr>
              <w:t>EDO</w:t>
            </w:r>
          </w:p>
        </w:tc>
      </w:tr>
      <w:tr w14:paraId="18B1D8E9" w14:textId="77777777">
        <w:tblPrEx>
          <w:tblW w:w="9124" w:type="dxa"/>
          <w:jc w:val="center"/>
          <w:tblLayout w:type="fixed"/>
          <w:tblLook w:val="01E0"/>
        </w:tblPrEx>
        <w:trPr>
          <w:jc w:val="center"/>
        </w:trPr>
        <w:tc>
          <w:tcPr>
            <w:tcW w:w="1186" w:type="dxa"/>
            <w:tcBorders>
              <w:left w:val="double" w:sz="4" w:space="0" w:color="auto"/>
              <w:bottom w:val="single" w:sz="4" w:space="0" w:color="auto"/>
            </w:tcBorders>
          </w:tcPr>
          <w:p w:rsidR="00D67ECE" w:rsidRPr="001876DB" w14:paraId="72B648A8" w14:textId="77777777">
            <w:pPr>
              <w:spacing w:line="276" w:lineRule="auto"/>
              <w:contextualSpacing/>
              <w:rPr>
                <w:rFonts w:ascii="Arial" w:hAnsi="Arial" w:cs="Arial"/>
                <w:b/>
                <w:color w:val="auto"/>
                <w:sz w:val="16"/>
                <w:szCs w:val="16"/>
              </w:rPr>
            </w:pPr>
            <w:r w:rsidRPr="001876DB">
              <w:rPr>
                <w:rFonts w:ascii="Arial" w:hAnsi="Arial" w:cs="Arial"/>
                <w:b/>
                <w:color w:val="auto"/>
                <w:sz w:val="16"/>
                <w:szCs w:val="16"/>
              </w:rPr>
              <w:t>NAME</w:t>
            </w:r>
          </w:p>
        </w:tc>
        <w:tc>
          <w:tcPr>
            <w:tcW w:w="1879" w:type="dxa"/>
            <w:tcBorders>
              <w:bottom w:val="single" w:sz="4" w:space="0" w:color="auto"/>
            </w:tcBorders>
          </w:tcPr>
          <w:p w:rsidR="00D67ECE" w:rsidRPr="00381543" w14:paraId="560E5C93" w14:textId="77777777">
            <w:pPr>
              <w:spacing w:line="276" w:lineRule="auto"/>
              <w:contextualSpacing/>
              <w:rPr>
                <w:rFonts w:ascii="Arial" w:hAnsi="Arial" w:cs="Arial"/>
                <w:color w:val="auto"/>
                <w:sz w:val="16"/>
                <w:szCs w:val="16"/>
              </w:rPr>
            </w:pPr>
            <w:r w:rsidRPr="00381543">
              <w:rPr>
                <w:rFonts w:ascii="Arial" w:hAnsi="Arial" w:cs="Arial"/>
                <w:color w:val="auto"/>
                <w:sz w:val="16"/>
                <w:szCs w:val="16"/>
              </w:rPr>
              <w:t>JLubinski</w:t>
            </w:r>
            <w:r>
              <w:rPr>
                <w:rFonts w:ascii="Arial" w:hAnsi="Arial" w:cs="Arial"/>
                <w:color w:val="auto"/>
                <w:sz w:val="16"/>
                <w:szCs w:val="16"/>
              </w:rPr>
              <w:t xml:space="preserve"> (RLewis for)</w:t>
            </w:r>
          </w:p>
        </w:tc>
        <w:tc>
          <w:tcPr>
            <w:tcW w:w="1929" w:type="dxa"/>
            <w:tcBorders>
              <w:top w:val="single" w:sz="4" w:space="0" w:color="auto"/>
              <w:left w:val="single" w:sz="4" w:space="0" w:color="auto"/>
              <w:bottom w:val="single" w:sz="4" w:space="0" w:color="auto"/>
              <w:right w:val="single" w:sz="4" w:space="0" w:color="auto"/>
            </w:tcBorders>
          </w:tcPr>
          <w:p w:rsidR="00D67ECE" w:rsidRPr="00381543" w14:paraId="000263E0" w14:textId="77777777">
            <w:pPr>
              <w:spacing w:line="276" w:lineRule="auto"/>
              <w:contextualSpacing/>
              <w:rPr>
                <w:rFonts w:ascii="Arial" w:hAnsi="Arial" w:cs="Arial"/>
                <w:color w:val="auto"/>
                <w:sz w:val="16"/>
                <w:szCs w:val="16"/>
              </w:rPr>
            </w:pPr>
            <w:r>
              <w:rPr>
                <w:rFonts w:ascii="Arial" w:hAnsi="Arial" w:cs="Arial"/>
                <w:color w:val="auto"/>
                <w:sz w:val="16"/>
                <w:szCs w:val="16"/>
              </w:rPr>
              <w:t>MSmith</w:t>
            </w:r>
          </w:p>
        </w:tc>
        <w:tc>
          <w:tcPr>
            <w:tcW w:w="2150" w:type="dxa"/>
            <w:tcBorders>
              <w:top w:val="single" w:sz="4" w:space="0" w:color="auto"/>
              <w:left w:val="single" w:sz="4" w:space="0" w:color="auto"/>
              <w:bottom w:val="single" w:sz="4" w:space="0" w:color="auto"/>
              <w:right w:val="single" w:sz="4" w:space="0" w:color="auto"/>
            </w:tcBorders>
          </w:tcPr>
          <w:p w:rsidR="00D67ECE" w:rsidRPr="00381543" w14:paraId="76BE2E23" w14:textId="77777777">
            <w:pPr>
              <w:spacing w:line="276" w:lineRule="auto"/>
              <w:contextualSpacing/>
              <w:rPr>
                <w:rFonts w:ascii="Arial" w:hAnsi="Arial" w:cs="Arial"/>
                <w:color w:val="auto"/>
                <w:sz w:val="16"/>
                <w:szCs w:val="16"/>
              </w:rPr>
            </w:pPr>
            <w:r>
              <w:rPr>
                <w:rFonts w:ascii="Arial" w:hAnsi="Arial" w:cs="Arial"/>
                <w:color w:val="auto"/>
                <w:sz w:val="16"/>
                <w:szCs w:val="16"/>
              </w:rPr>
              <w:t>AVeil (RTayor for)</w:t>
            </w:r>
          </w:p>
        </w:tc>
        <w:tc>
          <w:tcPr>
            <w:tcW w:w="1980" w:type="dxa"/>
            <w:tcBorders>
              <w:bottom w:val="single" w:sz="4" w:space="0" w:color="auto"/>
              <w:right w:val="double" w:sz="4" w:space="0" w:color="auto"/>
            </w:tcBorders>
          </w:tcPr>
          <w:p w:rsidR="00D67ECE" w:rsidRPr="001876DB" w14:paraId="78FCE388" w14:textId="77777777">
            <w:pPr>
              <w:contextualSpacing/>
              <w:rPr>
                <w:rFonts w:ascii="Arial" w:hAnsi="Arial" w:cs="Arial"/>
                <w:color w:val="auto"/>
                <w:sz w:val="16"/>
                <w:szCs w:val="16"/>
              </w:rPr>
            </w:pPr>
            <w:r w:rsidRPr="00381543">
              <w:rPr>
                <w:rFonts w:ascii="Arial" w:hAnsi="Arial" w:cs="Arial"/>
                <w:color w:val="auto"/>
                <w:sz w:val="16"/>
                <w:szCs w:val="16"/>
              </w:rPr>
              <w:t>DDorman</w:t>
            </w:r>
          </w:p>
        </w:tc>
      </w:tr>
      <w:tr w14:paraId="298DD37D" w14:textId="77777777">
        <w:tblPrEx>
          <w:tblW w:w="9124" w:type="dxa"/>
          <w:jc w:val="center"/>
          <w:tblLayout w:type="fixed"/>
          <w:tblLook w:val="01E0"/>
        </w:tblPrEx>
        <w:trPr>
          <w:jc w:val="center"/>
        </w:trPr>
        <w:tc>
          <w:tcPr>
            <w:tcW w:w="1186" w:type="dxa"/>
            <w:tcBorders>
              <w:left w:val="double" w:sz="4" w:space="0" w:color="auto"/>
              <w:bottom w:val="double" w:sz="4" w:space="0" w:color="auto"/>
            </w:tcBorders>
          </w:tcPr>
          <w:p w:rsidR="00D67ECE" w:rsidRPr="001876DB" w14:paraId="79DB29E6" w14:textId="77777777">
            <w:pPr>
              <w:spacing w:line="276" w:lineRule="auto"/>
              <w:contextualSpacing/>
              <w:rPr>
                <w:rFonts w:ascii="Arial" w:hAnsi="Arial" w:cs="Arial"/>
                <w:b/>
                <w:color w:val="auto"/>
                <w:sz w:val="16"/>
                <w:szCs w:val="16"/>
              </w:rPr>
            </w:pPr>
            <w:r w:rsidRPr="001876DB">
              <w:rPr>
                <w:rFonts w:ascii="Arial" w:hAnsi="Arial" w:cs="Arial"/>
                <w:b/>
                <w:color w:val="auto"/>
                <w:sz w:val="16"/>
                <w:szCs w:val="16"/>
              </w:rPr>
              <w:t>DATE</w:t>
            </w:r>
          </w:p>
        </w:tc>
        <w:tc>
          <w:tcPr>
            <w:tcW w:w="1879" w:type="dxa"/>
            <w:tcBorders>
              <w:bottom w:val="double" w:sz="4" w:space="0" w:color="auto"/>
            </w:tcBorders>
          </w:tcPr>
          <w:p w:rsidR="00D67ECE" w:rsidRPr="00381543" w14:paraId="67E352CA" w14:textId="77777777">
            <w:pPr>
              <w:spacing w:line="276" w:lineRule="auto"/>
              <w:rPr>
                <w:rFonts w:ascii="Arial" w:hAnsi="Arial" w:cs="Arial"/>
                <w:color w:val="auto"/>
                <w:sz w:val="16"/>
                <w:szCs w:val="16"/>
              </w:rPr>
            </w:pPr>
            <w:r>
              <w:rPr>
                <w:rFonts w:ascii="Arial" w:hAnsi="Arial" w:cs="Arial"/>
                <w:color w:val="auto"/>
                <w:sz w:val="16"/>
                <w:szCs w:val="16"/>
              </w:rPr>
              <w:t>12/18/2024</w:t>
            </w:r>
          </w:p>
        </w:tc>
        <w:tc>
          <w:tcPr>
            <w:tcW w:w="1929" w:type="dxa"/>
            <w:tcBorders>
              <w:top w:val="single" w:sz="4" w:space="0" w:color="auto"/>
              <w:left w:val="single" w:sz="4" w:space="0" w:color="auto"/>
              <w:bottom w:val="double" w:sz="4" w:space="0" w:color="auto"/>
              <w:right w:val="single" w:sz="4" w:space="0" w:color="auto"/>
            </w:tcBorders>
          </w:tcPr>
          <w:p w:rsidR="00D67ECE" w:rsidRPr="00381543" w14:paraId="16EC0180" w14:textId="77777777">
            <w:pPr>
              <w:spacing w:line="276" w:lineRule="auto"/>
              <w:rPr>
                <w:rFonts w:ascii="Arial" w:eastAsia="Calibri" w:hAnsi="Arial" w:cs="Arial"/>
                <w:color w:val="auto"/>
                <w:sz w:val="16"/>
                <w:szCs w:val="16"/>
              </w:rPr>
            </w:pPr>
            <w:r>
              <w:rPr>
                <w:rFonts w:ascii="Arial" w:eastAsia="Calibri" w:hAnsi="Arial" w:cs="Arial"/>
                <w:color w:val="auto"/>
                <w:sz w:val="16"/>
                <w:szCs w:val="16"/>
              </w:rPr>
              <w:t>01/18/2024</w:t>
            </w:r>
          </w:p>
        </w:tc>
        <w:tc>
          <w:tcPr>
            <w:tcW w:w="2150" w:type="dxa"/>
            <w:tcBorders>
              <w:top w:val="single" w:sz="4" w:space="0" w:color="auto"/>
              <w:left w:val="single" w:sz="4" w:space="0" w:color="auto"/>
              <w:bottom w:val="double" w:sz="4" w:space="0" w:color="auto"/>
              <w:right w:val="single" w:sz="4" w:space="0" w:color="auto"/>
            </w:tcBorders>
          </w:tcPr>
          <w:p w:rsidR="00D67ECE" w:rsidRPr="00381543" w14:paraId="77025779" w14:textId="77777777">
            <w:pPr>
              <w:spacing w:line="276" w:lineRule="auto"/>
              <w:rPr>
                <w:rFonts w:ascii="Arial" w:hAnsi="Arial" w:cs="Arial"/>
                <w:color w:val="auto"/>
                <w:sz w:val="16"/>
                <w:szCs w:val="16"/>
              </w:rPr>
            </w:pPr>
            <w:r>
              <w:rPr>
                <w:rFonts w:ascii="Arial" w:hAnsi="Arial" w:cs="Arial"/>
                <w:color w:val="auto"/>
                <w:sz w:val="16"/>
                <w:szCs w:val="16"/>
              </w:rPr>
              <w:t>12/18/2024</w:t>
            </w:r>
          </w:p>
        </w:tc>
        <w:tc>
          <w:tcPr>
            <w:tcW w:w="1980" w:type="dxa"/>
            <w:tcBorders>
              <w:bottom w:val="double" w:sz="4" w:space="0" w:color="auto"/>
              <w:right w:val="double" w:sz="4" w:space="0" w:color="auto"/>
            </w:tcBorders>
          </w:tcPr>
          <w:p w:rsidR="00D67ECE" w:rsidRPr="001876DB" w14:paraId="2FE2C434" w14:textId="77777777">
            <w:pPr>
              <w:rPr>
                <w:rFonts w:ascii="Arial" w:hAnsi="Arial" w:cs="Arial"/>
                <w:color w:val="auto"/>
                <w:sz w:val="16"/>
                <w:szCs w:val="16"/>
              </w:rPr>
            </w:pPr>
            <w:r>
              <w:rPr>
                <w:rFonts w:ascii="Arial" w:hAnsi="Arial" w:cs="Arial"/>
                <w:color w:val="auto"/>
                <w:sz w:val="16"/>
                <w:szCs w:val="16"/>
              </w:rPr>
              <w:t>01/25/2024</w:t>
            </w:r>
          </w:p>
        </w:tc>
      </w:tr>
    </w:tbl>
    <w:p w:rsidR="00D67ECE" w:rsidRPr="00723E0C" w:rsidP="00D67ECE" w14:paraId="40F718A9" w14:textId="77777777">
      <w:pPr>
        <w:contextualSpacing/>
        <w:jc w:val="center"/>
        <w:rPr>
          <w:sz w:val="18"/>
          <w:szCs w:val="18"/>
        </w:rPr>
      </w:pPr>
      <w:r w:rsidRPr="00723E0C">
        <w:rPr>
          <w:rFonts w:eastAsia="Times New Roman"/>
          <w:b/>
          <w:color w:val="auto"/>
          <w:sz w:val="18"/>
          <w:szCs w:val="18"/>
        </w:rPr>
        <w:t>OFFICIAL RECORD COPY</w:t>
      </w:r>
    </w:p>
    <w:p w:rsidR="00CA74E3" w:rsidRPr="00723E0C" w:rsidP="001B0E03" w14:paraId="404A2629" w14:textId="228096D1">
      <w:pPr>
        <w:contextualSpacing/>
        <w:jc w:val="center"/>
        <w:rPr>
          <w:sz w:val="18"/>
          <w:szCs w:val="18"/>
        </w:rPr>
      </w:pPr>
      <w:bookmarkStart w:id="69" w:name="_Hlk70933708"/>
      <w:bookmarkStart w:id="70" w:name="_Hlk70934086"/>
      <w:bookmarkStart w:id="71" w:name="_Hlk72231052"/>
      <w:bookmarkStart w:id="72" w:name="_Hlk72243954"/>
      <w:bookmarkStart w:id="73" w:name="RANGE!A1:F234"/>
      <w:bookmarkStart w:id="74" w:name="_Toc71129990"/>
      <w:bookmarkStart w:id="75" w:name="_Toc71198263"/>
      <w:bookmarkEnd w:id="69"/>
      <w:bookmarkEnd w:id="70"/>
      <w:bookmarkEnd w:id="71"/>
      <w:bookmarkEnd w:id="72"/>
      <w:bookmarkEnd w:id="73"/>
      <w:bookmarkEnd w:id="74"/>
      <w:bookmarkEnd w:id="75"/>
    </w:p>
    <w:sectPr w:rsidSect="00AA7975">
      <w:footerReference w:type="default" r:id="rId21"/>
      <w:type w:val="oddPag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72B" w14:paraId="2E02A12D" w14:textId="77777777">
    <w:pPr>
      <w:pStyle w:val="Footer"/>
      <w:jc w:val="center"/>
    </w:pPr>
  </w:p>
  <w:p w:rsidR="0078072B" w14:paraId="35EE0E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72B" w:rsidRPr="0075644E" w:rsidP="004A1802" w14:paraId="10E991A0" w14:textId="41D7E4C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72B" w14:paraId="7BA5FF4E" w14:textId="772CD7EE">
    <w:pPr>
      <w:pStyle w:val="Footer"/>
      <w:jc w:val="center"/>
    </w:pPr>
    <w:r>
      <w:t>vi</w:t>
    </w:r>
  </w:p>
  <w:p w:rsidR="0078072B" w14:paraId="2A40526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6115818"/>
      <w:docPartObj>
        <w:docPartGallery w:val="Page Numbers (Bottom of Page)"/>
        <w:docPartUnique/>
      </w:docPartObj>
    </w:sdtPr>
    <w:sdtEndPr>
      <w:rPr>
        <w:noProof/>
      </w:rPr>
    </w:sdtEndPr>
    <w:sdtContent>
      <w:p w:rsidR="00F73D2B" w14:paraId="2B1F0932" w14:textId="1E10EA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C50EE" w:rsidRPr="0075644E" w:rsidP="00AC1E6C" w14:paraId="6D09E4B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72B" w:rsidP="0066072E" w14:paraId="48BE8708" w14:textId="77777777">
    <w:pPr>
      <w:pStyle w:val="Footer"/>
      <w:jc w:val="center"/>
    </w:pPr>
    <w:r>
      <w:t>A-</w:t>
    </w:r>
    <w:r>
      <w:fldChar w:fldCharType="begin"/>
    </w:r>
    <w:r>
      <w:instrText xml:space="preserve"> PAGE   \* MERGEFORMAT </w:instrText>
    </w:r>
    <w:r>
      <w:fldChar w:fldCharType="separate"/>
    </w:r>
    <w:r>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2725758"/>
      <w:docPartObj>
        <w:docPartGallery w:val="Page Numbers (Bottom of Page)"/>
        <w:docPartUnique/>
      </w:docPartObj>
    </w:sdtPr>
    <w:sdtEndPr>
      <w:rPr>
        <w:noProof/>
      </w:rPr>
    </w:sdtEndPr>
    <w:sdtContent>
      <w:p w:rsidR="0078072B" w:rsidRPr="00892A3E" w:rsidP="0066072E" w14:paraId="080F0C61" w14:textId="77777777">
        <w:pPr>
          <w:pStyle w:val="Footer"/>
          <w:jc w:val="center"/>
        </w:pPr>
        <w:r>
          <w:t>A-</w:t>
        </w: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B57" w:rsidRPr="00892A3E" w:rsidP="00135BE3" w14:paraId="40C93F41" w14:textId="11385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1D0D" w:rsidP="00891C71" w14:paraId="43B22CB6" w14:textId="77777777">
      <w:r>
        <w:separator/>
      </w:r>
    </w:p>
  </w:footnote>
  <w:footnote w:type="continuationSeparator" w:id="1">
    <w:p w:rsidR="00461D0D" w:rsidP="00891C71" w14:paraId="72FBB4F5" w14:textId="77777777">
      <w:r>
        <w:continuationSeparator/>
      </w:r>
    </w:p>
  </w:footnote>
  <w:footnote w:type="continuationNotice" w:id="2">
    <w:p w:rsidR="00461D0D" w:rsidP="00891C71" w14:paraId="4348C3CB" w14:textId="77777777"/>
  </w:footnote>
  <w:footnote w:id="3">
    <w:p w:rsidR="0078072B" w:rsidRPr="008E1AEF" w:rsidP="0078072B" w14:paraId="7652D97D" w14:textId="573B4226">
      <w:pPr>
        <w:pStyle w:val="FootnoteText"/>
        <w:tabs>
          <w:tab w:val="left" w:pos="720"/>
        </w:tabs>
        <w:rPr>
          <w:sz w:val="18"/>
          <w:szCs w:val="18"/>
        </w:rPr>
      </w:pPr>
      <w:r w:rsidRPr="00986572">
        <w:rPr>
          <w:rStyle w:val="FootnoteReference"/>
          <w:sz w:val="18"/>
          <w:szCs w:val="18"/>
          <w:vertAlign w:val="superscript"/>
        </w:rPr>
        <w:footnoteRef/>
      </w:r>
      <w:r>
        <w:rPr>
          <w:sz w:val="18"/>
          <w:szCs w:val="18"/>
        </w:rPr>
        <w:tab/>
      </w:r>
      <w:r w:rsidRPr="008E1AEF">
        <w:rPr>
          <w:sz w:val="18"/>
          <w:szCs w:val="18"/>
        </w:rPr>
        <w:t>This rule would also remove the word “initial” from 10 CFR 51.53(c).</w:t>
      </w:r>
    </w:p>
  </w:footnote>
  <w:footnote w:id="4">
    <w:p w:rsidR="0078072B" w:rsidRPr="00D55677" w:rsidP="0078072B" w14:paraId="636E8286" w14:textId="5A93128B">
      <w:pPr>
        <w:pStyle w:val="FootnoteText"/>
        <w:ind w:left="720" w:hanging="720"/>
        <w:rPr>
          <w:rFonts w:cs="Arial"/>
          <w:sz w:val="18"/>
          <w:szCs w:val="18"/>
        </w:rPr>
      </w:pPr>
      <w:r w:rsidRPr="00986572">
        <w:rPr>
          <w:rFonts w:cs="Arial"/>
          <w:sz w:val="18"/>
          <w:szCs w:val="18"/>
          <w:vertAlign w:val="superscript"/>
        </w:rPr>
        <w:t>2</w:t>
      </w:r>
      <w:r>
        <w:rPr>
          <w:rFonts w:cs="Arial"/>
          <w:sz w:val="18"/>
          <w:szCs w:val="18"/>
          <w:vertAlign w:val="superscript"/>
        </w:rPr>
        <w:tab/>
      </w:r>
      <w:r w:rsidRPr="00436940">
        <w:rPr>
          <w:rFonts w:cs="Arial"/>
          <w:sz w:val="18"/>
          <w:szCs w:val="18"/>
        </w:rPr>
        <w:t>NEPA requires Federal agencies to a</w:t>
      </w:r>
      <w:r>
        <w:rPr>
          <w:rFonts w:cs="Arial"/>
          <w:sz w:val="18"/>
          <w:szCs w:val="18"/>
        </w:rPr>
        <w:t>nalyze</w:t>
      </w:r>
      <w:r w:rsidRPr="00436940">
        <w:rPr>
          <w:rFonts w:cs="Arial"/>
          <w:sz w:val="18"/>
          <w:szCs w:val="18"/>
        </w:rPr>
        <w:t xml:space="preserve"> the environmental effects of their proposed</w:t>
      </w:r>
      <w:r>
        <w:rPr>
          <w:rFonts w:cs="Arial"/>
          <w:sz w:val="18"/>
          <w:szCs w:val="18"/>
        </w:rPr>
        <w:t xml:space="preserve"> </w:t>
      </w:r>
      <w:r w:rsidRPr="00436940">
        <w:rPr>
          <w:rFonts w:cs="Arial"/>
          <w:sz w:val="18"/>
          <w:szCs w:val="18"/>
        </w:rPr>
        <w:t xml:space="preserve">actions </w:t>
      </w:r>
      <w:r>
        <w:rPr>
          <w:rFonts w:cs="Arial"/>
          <w:sz w:val="18"/>
          <w:szCs w:val="18"/>
        </w:rPr>
        <w:t>before</w:t>
      </w:r>
      <w:r w:rsidRPr="00436940">
        <w:rPr>
          <w:rFonts w:cs="Arial"/>
          <w:sz w:val="18"/>
          <w:szCs w:val="18"/>
        </w:rPr>
        <w:t xml:space="preserve"> deciding whether to approve or disapprove the proposed action.</w:t>
      </w:r>
    </w:p>
  </w:footnote>
  <w:footnote w:id="5">
    <w:p w:rsidR="0078072B" w:rsidRPr="00DC6F35" w:rsidP="0078072B" w14:paraId="21924119" w14:textId="14933FAC">
      <w:pPr>
        <w:pStyle w:val="FootnoteText"/>
        <w:rPr>
          <w:sz w:val="18"/>
        </w:rPr>
      </w:pPr>
      <w:r w:rsidRPr="00986572">
        <w:rPr>
          <w:rStyle w:val="FootnoteReference"/>
          <w:sz w:val="18"/>
          <w:szCs w:val="18"/>
          <w:vertAlign w:val="superscript"/>
        </w:rPr>
        <w:footnoteRef/>
      </w:r>
      <w:r>
        <w:rPr>
          <w:vertAlign w:val="superscript"/>
        </w:rPr>
        <w:tab/>
      </w:r>
      <w:r w:rsidRPr="009B10CE">
        <w:rPr>
          <w:sz w:val="18"/>
          <w:szCs w:val="18"/>
        </w:rPr>
        <w:t>Future SLR refers to SLR applications submitted after the rule becomes effective.</w:t>
      </w:r>
    </w:p>
  </w:footnote>
  <w:footnote w:id="6">
    <w:p w:rsidR="0078072B" w:rsidRPr="009B10CE" w:rsidP="0078072B" w14:paraId="02D81D93" w14:textId="6FFE6B0B">
      <w:pPr>
        <w:pStyle w:val="FootnoteText"/>
        <w:rPr>
          <w:sz w:val="18"/>
          <w:szCs w:val="18"/>
        </w:rPr>
      </w:pPr>
      <w:r w:rsidRPr="009B10CE">
        <w:rPr>
          <w:rStyle w:val="FootnoteReference"/>
          <w:sz w:val="18"/>
          <w:szCs w:val="18"/>
          <w:vertAlign w:val="superscript"/>
        </w:rPr>
        <w:footnoteRef/>
      </w:r>
      <w:r w:rsidRPr="00084B80">
        <w:rPr>
          <w:vertAlign w:val="superscript"/>
        </w:rPr>
        <w:t xml:space="preserve"> </w:t>
      </w:r>
      <w:r w:rsidRPr="009B10CE">
        <w:rPr>
          <w:sz w:val="18"/>
          <w:szCs w:val="18"/>
        </w:rPr>
        <w:tab/>
        <w:t>Near</w:t>
      </w:r>
      <w:r>
        <w:rPr>
          <w:sz w:val="18"/>
          <w:szCs w:val="18"/>
        </w:rPr>
        <w:noBreakHyphen/>
      </w:r>
      <w:r w:rsidRPr="009B10CE">
        <w:rPr>
          <w:sz w:val="18"/>
          <w:szCs w:val="18"/>
        </w:rPr>
        <w:t xml:space="preserve">term SLR refers to SLR applications submitted </w:t>
      </w:r>
      <w:r>
        <w:rPr>
          <w:sz w:val="18"/>
          <w:szCs w:val="18"/>
        </w:rPr>
        <w:t>before</w:t>
      </w:r>
      <w:r w:rsidRPr="009B10CE">
        <w:rPr>
          <w:sz w:val="18"/>
          <w:szCs w:val="18"/>
        </w:rPr>
        <w:t xml:space="preserve"> the effective date of the rule.</w:t>
      </w:r>
    </w:p>
  </w:footnote>
  <w:footnote w:id="7">
    <w:p w:rsidR="0078072B" w:rsidP="0078072B" w14:paraId="37F33A70" w14:textId="47CC421F">
      <w:pPr>
        <w:pStyle w:val="FootnoteText"/>
        <w:ind w:left="720" w:hanging="720"/>
      </w:pPr>
      <w:r w:rsidRPr="002C4BEB">
        <w:rPr>
          <w:rStyle w:val="FootnoteReference"/>
          <w:sz w:val="18"/>
          <w:szCs w:val="18"/>
          <w:vertAlign w:val="superscript"/>
        </w:rPr>
        <w:footnoteRef/>
      </w:r>
      <w:r>
        <w:t xml:space="preserve"> </w:t>
      </w:r>
      <w:r>
        <w:tab/>
      </w:r>
      <w:r>
        <w:rPr>
          <w:sz w:val="18"/>
          <w:szCs w:val="18"/>
        </w:rPr>
        <w:t>At present,</w:t>
      </w:r>
      <w:r w:rsidRPr="009B10CE">
        <w:rPr>
          <w:sz w:val="18"/>
          <w:szCs w:val="18"/>
        </w:rPr>
        <w:t xml:space="preserve"> three operating nuclear power plants have received subsequently renewed licenses. </w:t>
      </w:r>
      <w:r>
        <w:rPr>
          <w:sz w:val="18"/>
          <w:szCs w:val="18"/>
        </w:rPr>
        <w:t>In accordance with</w:t>
      </w:r>
      <w:r w:rsidRPr="009B10CE">
        <w:rPr>
          <w:sz w:val="18"/>
          <w:szCs w:val="18"/>
        </w:rPr>
        <w:t xml:space="preserve"> </w:t>
      </w:r>
      <w:r w:rsidR="0082154D">
        <w:rPr>
          <w:sz w:val="18"/>
          <w:szCs w:val="18"/>
        </w:rPr>
        <w:t xml:space="preserve">the Commission </w:t>
      </w:r>
      <w:r w:rsidRPr="009B10CE">
        <w:rPr>
          <w:sz w:val="18"/>
          <w:szCs w:val="18"/>
        </w:rPr>
        <w:t>Orders CLI</w:t>
      </w:r>
      <w:r>
        <w:rPr>
          <w:sz w:val="18"/>
          <w:szCs w:val="18"/>
        </w:rPr>
        <w:noBreakHyphen/>
      </w:r>
      <w:r w:rsidRPr="009B10CE">
        <w:rPr>
          <w:sz w:val="18"/>
          <w:szCs w:val="18"/>
        </w:rPr>
        <w:t>22</w:t>
      </w:r>
      <w:r>
        <w:rPr>
          <w:sz w:val="18"/>
          <w:szCs w:val="18"/>
        </w:rPr>
        <w:noBreakHyphen/>
      </w:r>
      <w:r w:rsidRPr="009B10CE">
        <w:rPr>
          <w:sz w:val="18"/>
          <w:szCs w:val="18"/>
        </w:rPr>
        <w:t>02 and CLI</w:t>
      </w:r>
      <w:r>
        <w:rPr>
          <w:sz w:val="18"/>
          <w:szCs w:val="18"/>
        </w:rPr>
        <w:noBreakHyphen/>
      </w:r>
      <w:r w:rsidRPr="009B10CE">
        <w:rPr>
          <w:sz w:val="18"/>
          <w:szCs w:val="18"/>
        </w:rPr>
        <w:t>22</w:t>
      </w:r>
      <w:r>
        <w:rPr>
          <w:sz w:val="18"/>
          <w:szCs w:val="18"/>
        </w:rPr>
        <w:noBreakHyphen/>
      </w:r>
      <w:r w:rsidRPr="009B10CE">
        <w:rPr>
          <w:sz w:val="18"/>
          <w:szCs w:val="18"/>
        </w:rPr>
        <w:t>04</w:t>
      </w:r>
      <w:r w:rsidR="00470111">
        <w:rPr>
          <w:sz w:val="18"/>
          <w:szCs w:val="18"/>
        </w:rPr>
        <w:t>,</w:t>
      </w:r>
      <w:r w:rsidRPr="009B10CE">
        <w:rPr>
          <w:sz w:val="18"/>
          <w:szCs w:val="18"/>
        </w:rPr>
        <w:t xml:space="preserve"> </w:t>
      </w:r>
      <w:r w:rsidR="00470111">
        <w:rPr>
          <w:sz w:val="18"/>
          <w:szCs w:val="18"/>
        </w:rPr>
        <w:t xml:space="preserve">licenses for </w:t>
      </w:r>
      <w:r w:rsidRPr="009B10CE">
        <w:rPr>
          <w:sz w:val="18"/>
          <w:szCs w:val="18"/>
        </w:rPr>
        <w:t>two of the three operating nuclear power plants with subsequently renewed licenses are reset to expire at the end of the initial period of extended operation</w:t>
      </w:r>
      <w:r w:rsidR="00470111">
        <w:rPr>
          <w:sz w:val="18"/>
          <w:szCs w:val="18"/>
        </w:rPr>
        <w:t>.</w:t>
      </w:r>
      <w:r w:rsidRPr="009B10CE">
        <w:rPr>
          <w:sz w:val="18"/>
          <w:szCs w:val="18"/>
        </w:rPr>
        <w:t xml:space="preserve"> </w:t>
      </w:r>
      <w:r w:rsidR="00D35F08">
        <w:rPr>
          <w:sz w:val="18"/>
          <w:szCs w:val="18"/>
        </w:rPr>
        <w:t xml:space="preserve">This was </w:t>
      </w:r>
      <w:r w:rsidRPr="009B10CE">
        <w:rPr>
          <w:sz w:val="18"/>
          <w:szCs w:val="18"/>
        </w:rPr>
        <w:t xml:space="preserve">affirmed by </w:t>
      </w:r>
      <w:r w:rsidR="0082154D">
        <w:rPr>
          <w:sz w:val="18"/>
          <w:szCs w:val="18"/>
        </w:rPr>
        <w:t xml:space="preserve">the Commission </w:t>
      </w:r>
      <w:r w:rsidRPr="009B10CE">
        <w:rPr>
          <w:sz w:val="18"/>
          <w:szCs w:val="18"/>
        </w:rPr>
        <w:t>Orders CLI</w:t>
      </w:r>
      <w:r w:rsidRPr="009B10CE">
        <w:rPr>
          <w:sz w:val="18"/>
          <w:szCs w:val="18"/>
        </w:rPr>
        <w:noBreakHyphen/>
        <w:t>22</w:t>
      </w:r>
      <w:r>
        <w:rPr>
          <w:sz w:val="18"/>
          <w:szCs w:val="18"/>
        </w:rPr>
        <w:noBreakHyphen/>
      </w:r>
      <w:r w:rsidRPr="009B10CE">
        <w:rPr>
          <w:sz w:val="18"/>
          <w:szCs w:val="18"/>
        </w:rPr>
        <w:t>06 (NRC, 2022g) and CLI</w:t>
      </w:r>
      <w:r>
        <w:rPr>
          <w:sz w:val="18"/>
          <w:szCs w:val="18"/>
        </w:rPr>
        <w:noBreakHyphen/>
      </w:r>
      <w:r w:rsidRPr="009B10CE">
        <w:rPr>
          <w:sz w:val="18"/>
          <w:szCs w:val="18"/>
        </w:rPr>
        <w:t>22</w:t>
      </w:r>
      <w:r>
        <w:rPr>
          <w:sz w:val="18"/>
          <w:szCs w:val="18"/>
        </w:rPr>
        <w:noBreakHyphen/>
      </w:r>
      <w:r w:rsidRPr="009B10CE">
        <w:rPr>
          <w:sz w:val="18"/>
          <w:szCs w:val="18"/>
        </w:rPr>
        <w:t xml:space="preserve">07 (NRC, 2022h). This direction will hold </w:t>
      </w:r>
      <w:r w:rsidR="00D35F08">
        <w:rPr>
          <w:sz w:val="18"/>
          <w:szCs w:val="18"/>
        </w:rPr>
        <w:t xml:space="preserve">until </w:t>
      </w:r>
      <w:r w:rsidR="002A4131">
        <w:rPr>
          <w:sz w:val="18"/>
          <w:szCs w:val="18"/>
        </w:rPr>
        <w:t xml:space="preserve">either (1) </w:t>
      </w:r>
      <w:r>
        <w:rPr>
          <w:sz w:val="18"/>
          <w:szCs w:val="18"/>
        </w:rPr>
        <w:t xml:space="preserve">the NRC issues </w:t>
      </w:r>
      <w:r w:rsidRPr="009B10CE">
        <w:rPr>
          <w:sz w:val="18"/>
          <w:szCs w:val="18"/>
        </w:rPr>
        <w:t>the revised LR</w:t>
      </w:r>
      <w:r>
        <w:rPr>
          <w:sz w:val="18"/>
          <w:szCs w:val="18"/>
        </w:rPr>
        <w:t> </w:t>
      </w:r>
      <w:r w:rsidRPr="009B10CE">
        <w:rPr>
          <w:sz w:val="18"/>
          <w:szCs w:val="18"/>
        </w:rPr>
        <w:t>GEIS and rule</w:t>
      </w:r>
      <w:r w:rsidR="002A4131">
        <w:rPr>
          <w:sz w:val="18"/>
          <w:szCs w:val="18"/>
        </w:rPr>
        <w:t xml:space="preserve"> or (2) the staff completes </w:t>
      </w:r>
      <w:r w:rsidR="00DF3D0B">
        <w:rPr>
          <w:sz w:val="18"/>
          <w:szCs w:val="18"/>
        </w:rPr>
        <w:t xml:space="preserve">a </w:t>
      </w:r>
      <w:r w:rsidR="00AF5F7F">
        <w:rPr>
          <w:sz w:val="18"/>
          <w:szCs w:val="18"/>
        </w:rPr>
        <w:t>plant</w:t>
      </w:r>
      <w:r w:rsidR="002A4131">
        <w:rPr>
          <w:sz w:val="18"/>
          <w:szCs w:val="18"/>
        </w:rPr>
        <w:t xml:space="preserve">-specific </w:t>
      </w:r>
      <w:r w:rsidR="00D35F08">
        <w:rPr>
          <w:sz w:val="18"/>
          <w:szCs w:val="18"/>
        </w:rPr>
        <w:t>EIS</w:t>
      </w:r>
      <w:r w:rsidR="003145A1">
        <w:rPr>
          <w:sz w:val="18"/>
          <w:szCs w:val="18"/>
        </w:rPr>
        <w:t xml:space="preserve"> that </w:t>
      </w:r>
      <w:r w:rsidR="00A47193">
        <w:rPr>
          <w:sz w:val="18"/>
          <w:szCs w:val="18"/>
        </w:rPr>
        <w:t xml:space="preserve">considers the impacts of </w:t>
      </w:r>
      <w:r w:rsidR="00AF42E1">
        <w:rPr>
          <w:sz w:val="18"/>
          <w:szCs w:val="18"/>
        </w:rPr>
        <w:t xml:space="preserve">nuclear power plant operations during the SLR </w:t>
      </w:r>
      <w:r w:rsidR="00203C33">
        <w:rPr>
          <w:sz w:val="18"/>
          <w:szCs w:val="18"/>
        </w:rPr>
        <w:t>period</w:t>
      </w:r>
      <w:r w:rsidR="007B1C9B">
        <w:rPr>
          <w:sz w:val="18"/>
          <w:szCs w:val="18"/>
        </w:rPr>
        <w:t xml:space="preserve">, which </w:t>
      </w:r>
      <w:r w:rsidR="003D039E">
        <w:rPr>
          <w:sz w:val="18"/>
          <w:szCs w:val="18"/>
        </w:rPr>
        <w:t>include</w:t>
      </w:r>
      <w:r w:rsidR="00F97CE9">
        <w:rPr>
          <w:sz w:val="18"/>
          <w:szCs w:val="18"/>
        </w:rPr>
        <w:t>s</w:t>
      </w:r>
      <w:r w:rsidR="003D039E">
        <w:rPr>
          <w:sz w:val="18"/>
          <w:szCs w:val="18"/>
        </w:rPr>
        <w:t xml:space="preserve"> consideration of an</w:t>
      </w:r>
      <w:r w:rsidR="00FD2A30">
        <w:rPr>
          <w:sz w:val="18"/>
          <w:szCs w:val="18"/>
        </w:rPr>
        <w:t xml:space="preserve"> applicant’s </w:t>
      </w:r>
      <w:r w:rsidRPr="003D039E" w:rsidR="003D039E">
        <w:rPr>
          <w:sz w:val="18"/>
          <w:szCs w:val="18"/>
        </w:rPr>
        <w:t xml:space="preserve">revised environmental report </w:t>
      </w:r>
      <w:r w:rsidR="00350842">
        <w:rPr>
          <w:sz w:val="18"/>
          <w:szCs w:val="18"/>
        </w:rPr>
        <w:t>that addresses</w:t>
      </w:r>
      <w:r w:rsidR="004A2D40">
        <w:rPr>
          <w:sz w:val="18"/>
          <w:szCs w:val="18"/>
        </w:rPr>
        <w:t xml:space="preserve"> environmental impacts during the SLR period</w:t>
      </w:r>
      <w:r w:rsidRPr="009B10CE">
        <w:rPr>
          <w:sz w:val="18"/>
          <w:szCs w:val="18"/>
        </w:rPr>
        <w:t>. The remaining operating nuclear power plant require</w:t>
      </w:r>
      <w:r>
        <w:rPr>
          <w:sz w:val="18"/>
          <w:szCs w:val="18"/>
        </w:rPr>
        <w:t>s</w:t>
      </w:r>
      <w:r w:rsidRPr="009B10CE">
        <w:rPr>
          <w:sz w:val="18"/>
          <w:szCs w:val="18"/>
        </w:rPr>
        <w:t xml:space="preserve"> no additional action at present and is</w:t>
      </w:r>
      <w:r w:rsidRPr="009B10CE">
        <w:rPr>
          <w:sz w:val="18"/>
          <w:szCs w:val="18"/>
        </w:rPr>
        <w:t xml:space="preserve"> </w:t>
      </w:r>
      <w:r w:rsidRPr="009B10CE">
        <w:rPr>
          <w:sz w:val="18"/>
          <w:szCs w:val="18"/>
        </w:rPr>
        <w:t>unaffected by the rule.</w:t>
      </w:r>
    </w:p>
  </w:footnote>
  <w:footnote w:id="8">
    <w:p w:rsidR="004A6BCA" w:rsidRPr="0020325F" w:rsidP="0020325F" w14:paraId="45143030" w14:textId="477D5B14">
      <w:pPr>
        <w:pStyle w:val="FootnoteText"/>
        <w:ind w:left="720" w:hanging="720"/>
        <w:rPr>
          <w:sz w:val="18"/>
          <w:szCs w:val="18"/>
        </w:rPr>
      </w:pPr>
      <w:r w:rsidRPr="0020325F">
        <w:rPr>
          <w:rStyle w:val="FootnoteReference"/>
          <w:sz w:val="18"/>
          <w:szCs w:val="18"/>
          <w:vertAlign w:val="superscript"/>
        </w:rPr>
        <w:footnoteRef/>
      </w:r>
      <w:r w:rsidR="00086A1A">
        <w:rPr>
          <w:rFonts w:cs="Arial"/>
          <w:sz w:val="18"/>
          <w:szCs w:val="18"/>
        </w:rPr>
        <w:tab/>
      </w:r>
      <w:r w:rsidRPr="0020325F" w:rsidR="00AA5CE3">
        <w:rPr>
          <w:sz w:val="18"/>
          <w:szCs w:val="18"/>
        </w:rPr>
        <w:t>Data in Table 1</w:t>
      </w:r>
      <w:r w:rsidRPr="0020325F" w:rsidR="0020325F">
        <w:rPr>
          <w:sz w:val="18"/>
          <w:szCs w:val="18"/>
        </w:rPr>
        <w:t xml:space="preserve"> </w:t>
      </w:r>
      <w:r w:rsidR="006A69F6">
        <w:rPr>
          <w:sz w:val="18"/>
          <w:szCs w:val="18"/>
        </w:rPr>
        <w:t>are</w:t>
      </w:r>
      <w:r w:rsidRPr="0020325F" w:rsidR="0020325F">
        <w:rPr>
          <w:sz w:val="18"/>
          <w:szCs w:val="18"/>
        </w:rPr>
        <w:t xml:space="preserve"> current as of </w:t>
      </w:r>
      <w:r w:rsidR="006A69F6">
        <w:rPr>
          <w:sz w:val="18"/>
          <w:szCs w:val="18"/>
        </w:rPr>
        <w:t>September 28</w:t>
      </w:r>
      <w:r w:rsidRPr="00C92E07" w:rsidR="052668B5">
        <w:rPr>
          <w:sz w:val="18"/>
          <w:szCs w:val="18"/>
        </w:rPr>
        <w:t>, 202</w:t>
      </w:r>
      <w:r w:rsidR="006A69F6">
        <w:rPr>
          <w:sz w:val="18"/>
          <w:szCs w:val="18"/>
        </w:rPr>
        <w:t>3</w:t>
      </w:r>
      <w:r w:rsidRPr="00C92E07" w:rsidR="0020325F">
        <w:rPr>
          <w:sz w:val="18"/>
          <w:szCs w:val="18"/>
        </w:rPr>
        <w:t>.</w:t>
      </w:r>
    </w:p>
  </w:footnote>
  <w:footnote w:id="9">
    <w:p w:rsidR="0078072B" w:rsidRPr="00D55677" w:rsidP="0078072B" w14:paraId="0915B0B6" w14:textId="53ED884F">
      <w:pPr>
        <w:pStyle w:val="FootnoteText"/>
        <w:ind w:left="720" w:hanging="720"/>
        <w:rPr>
          <w:rFonts w:cs="Arial"/>
          <w:sz w:val="18"/>
          <w:szCs w:val="18"/>
        </w:rPr>
      </w:pPr>
      <w:r w:rsidRPr="00986572">
        <w:rPr>
          <w:rStyle w:val="FootnoteReference"/>
          <w:rFonts w:cs="Arial"/>
          <w:sz w:val="18"/>
          <w:szCs w:val="18"/>
          <w:vertAlign w:val="superscript"/>
        </w:rPr>
        <w:footnoteRef/>
      </w:r>
      <w:r>
        <w:rPr>
          <w:rFonts w:cs="Arial"/>
          <w:sz w:val="18"/>
          <w:szCs w:val="18"/>
        </w:rPr>
        <w:tab/>
      </w:r>
      <w:r w:rsidRPr="00D55677">
        <w:rPr>
          <w:rFonts w:cs="Arial"/>
          <w:sz w:val="18"/>
          <w:szCs w:val="18"/>
        </w:rPr>
        <w:t>The</w:t>
      </w:r>
      <w:r w:rsidRPr="00D55677">
        <w:rPr>
          <w:rFonts w:cs="Arial"/>
          <w:i/>
          <w:sz w:val="18"/>
          <w:szCs w:val="18"/>
        </w:rPr>
        <w:t xml:space="preserve"> </w:t>
      </w:r>
      <w:r w:rsidRPr="00D55677">
        <w:rPr>
          <w:rFonts w:cs="Arial"/>
          <w:sz w:val="18"/>
          <w:szCs w:val="18"/>
        </w:rPr>
        <w:t>“social rate of time preference” discounting concept refers to the rate at which society is willing to postpone a marginal unit of current consumption in exchange for more future consumption.</w:t>
      </w:r>
    </w:p>
  </w:footnote>
  <w:footnote w:id="10">
    <w:p w:rsidR="0078072B" w:rsidRPr="00D55677" w:rsidP="0078072B" w14:paraId="2028EE51" w14:textId="20DCDBEB">
      <w:pPr>
        <w:pStyle w:val="FootnoteText"/>
        <w:ind w:left="720" w:hanging="720"/>
        <w:rPr>
          <w:rFonts w:cs="Arial"/>
          <w:sz w:val="18"/>
          <w:szCs w:val="18"/>
        </w:rPr>
      </w:pPr>
      <w:r w:rsidRPr="00986572">
        <w:rPr>
          <w:rStyle w:val="FootnoteReference"/>
          <w:rFonts w:cs="Arial"/>
          <w:sz w:val="18"/>
          <w:szCs w:val="18"/>
          <w:vertAlign w:val="superscript"/>
        </w:rPr>
        <w:footnoteRef/>
      </w:r>
      <w:r>
        <w:rPr>
          <w:rFonts w:cs="Arial"/>
          <w:sz w:val="18"/>
          <w:szCs w:val="18"/>
        </w:rPr>
        <w:tab/>
      </w:r>
      <w:r w:rsidRPr="00D55677">
        <w:rPr>
          <w:rFonts w:cs="Arial"/>
          <w:sz w:val="18"/>
          <w:szCs w:val="18"/>
        </w:rPr>
        <w:t>“Opportunity cost” represents what is foregone by undertaking a given action.</w:t>
      </w:r>
      <w:r>
        <w:rPr>
          <w:rFonts w:cs="Arial"/>
          <w:sz w:val="18"/>
          <w:szCs w:val="18"/>
        </w:rPr>
        <w:t xml:space="preserve"> </w:t>
      </w:r>
      <w:r w:rsidRPr="00D55677">
        <w:rPr>
          <w:rFonts w:cs="Arial"/>
          <w:sz w:val="18"/>
          <w:szCs w:val="18"/>
        </w:rPr>
        <w:t xml:space="preserve">If the licensee personnel were not engaged in revising procedures, they would </w:t>
      </w:r>
      <w:r>
        <w:rPr>
          <w:rFonts w:cs="Arial"/>
          <w:sz w:val="18"/>
          <w:szCs w:val="18"/>
        </w:rPr>
        <w:t>be performing</w:t>
      </w:r>
      <w:r w:rsidRPr="00D55677">
        <w:rPr>
          <w:rFonts w:cs="Arial"/>
          <w:sz w:val="18"/>
          <w:szCs w:val="18"/>
        </w:rPr>
        <w:t xml:space="preserve"> other work activities.</w:t>
      </w:r>
      <w:r>
        <w:rPr>
          <w:rFonts w:cs="Arial"/>
          <w:sz w:val="18"/>
          <w:szCs w:val="18"/>
        </w:rPr>
        <w:t xml:space="preserve"> </w:t>
      </w:r>
      <w:r w:rsidRPr="00D55677">
        <w:rPr>
          <w:rFonts w:cs="Arial"/>
          <w:sz w:val="18"/>
          <w:szCs w:val="18"/>
        </w:rPr>
        <w:t>Throughout the analysis, the NRC estimates the opportunity cost of performing these incremental tasks as the industry personnel’s pay for the designated unit of time.</w:t>
      </w:r>
    </w:p>
  </w:footnote>
  <w:footnote w:id="11">
    <w:p w:rsidR="0078072B" w:rsidRPr="00150095" w:rsidP="0078072B" w14:paraId="5D4B55BE" w14:textId="19099D1B">
      <w:pPr>
        <w:tabs>
          <w:tab w:val="left" w:pos="0"/>
        </w:tabs>
        <w:ind w:left="720" w:hanging="720"/>
        <w:rPr>
          <w:sz w:val="20"/>
          <w:szCs w:val="18"/>
        </w:rPr>
      </w:pPr>
      <w:r w:rsidRPr="00986572">
        <w:rPr>
          <w:rStyle w:val="FootnoteReference"/>
          <w:sz w:val="18"/>
          <w:szCs w:val="18"/>
          <w:vertAlign w:val="superscript"/>
        </w:rPr>
        <w:footnoteRef/>
      </w:r>
      <w:r>
        <w:rPr>
          <w:sz w:val="18"/>
          <w:szCs w:val="18"/>
        </w:rPr>
        <w:tab/>
      </w:r>
      <w:r w:rsidRPr="00DC08A0">
        <w:rPr>
          <w:sz w:val="18"/>
        </w:rPr>
        <w:t>The NRC labor rates presented here</w:t>
      </w:r>
      <w:r>
        <w:rPr>
          <w:sz w:val="18"/>
        </w:rPr>
        <w:t>in</w:t>
      </w:r>
      <w:r w:rsidRPr="00DC08A0">
        <w:rPr>
          <w:sz w:val="18"/>
        </w:rPr>
        <w:t xml:space="preserve"> differ from those developed under the NRC’s license fee recovery program (</w:t>
      </w:r>
      <w:r w:rsidRPr="0040608C">
        <w:rPr>
          <w:sz w:val="18"/>
        </w:rPr>
        <w:t>10 CFR</w:t>
      </w:r>
      <w:r w:rsidRPr="0040608C">
        <w:rPr>
          <w:sz w:val="18"/>
          <w:szCs w:val="18"/>
        </w:rPr>
        <w:t> </w:t>
      </w:r>
      <w:r w:rsidRPr="0040608C">
        <w:rPr>
          <w:sz w:val="18"/>
        </w:rPr>
        <w:t>Part</w:t>
      </w:r>
      <w:r w:rsidRPr="0040608C">
        <w:rPr>
          <w:sz w:val="18"/>
          <w:szCs w:val="18"/>
        </w:rPr>
        <w:t> </w:t>
      </w:r>
      <w:r w:rsidRPr="0040608C">
        <w:rPr>
          <w:sz w:val="18"/>
        </w:rPr>
        <w:t>170</w:t>
      </w:r>
      <w:r w:rsidRPr="0040608C">
        <w:rPr>
          <w:sz w:val="18"/>
          <w:szCs w:val="18"/>
        </w:rPr>
        <w:t xml:space="preserve">, “Fees for </w:t>
      </w:r>
      <w:r>
        <w:rPr>
          <w:sz w:val="18"/>
          <w:szCs w:val="18"/>
        </w:rPr>
        <w:t>F</w:t>
      </w:r>
      <w:r w:rsidRPr="0040608C">
        <w:rPr>
          <w:sz w:val="18"/>
          <w:szCs w:val="18"/>
        </w:rPr>
        <w:t xml:space="preserve">acilities, </w:t>
      </w:r>
      <w:r>
        <w:rPr>
          <w:sz w:val="18"/>
          <w:szCs w:val="18"/>
        </w:rPr>
        <w:t>M</w:t>
      </w:r>
      <w:r w:rsidRPr="0040608C">
        <w:rPr>
          <w:sz w:val="18"/>
          <w:szCs w:val="18"/>
        </w:rPr>
        <w:t xml:space="preserve">aterials, </w:t>
      </w:r>
      <w:r>
        <w:rPr>
          <w:sz w:val="18"/>
          <w:szCs w:val="18"/>
        </w:rPr>
        <w:t>I</w:t>
      </w:r>
      <w:r w:rsidRPr="0040608C">
        <w:rPr>
          <w:sz w:val="18"/>
          <w:szCs w:val="18"/>
        </w:rPr>
        <w:t xml:space="preserve">mport and </w:t>
      </w:r>
      <w:r>
        <w:rPr>
          <w:sz w:val="18"/>
          <w:szCs w:val="18"/>
        </w:rPr>
        <w:t>E</w:t>
      </w:r>
      <w:r w:rsidRPr="0040608C">
        <w:rPr>
          <w:sz w:val="18"/>
          <w:szCs w:val="18"/>
        </w:rPr>
        <w:t xml:space="preserve">xport </w:t>
      </w:r>
      <w:r>
        <w:rPr>
          <w:sz w:val="18"/>
          <w:szCs w:val="18"/>
        </w:rPr>
        <w:t>L</w:t>
      </w:r>
      <w:r w:rsidRPr="0040608C">
        <w:rPr>
          <w:sz w:val="18"/>
          <w:szCs w:val="18"/>
        </w:rPr>
        <w:t xml:space="preserve">icenses, and </w:t>
      </w:r>
      <w:r>
        <w:rPr>
          <w:sz w:val="18"/>
          <w:szCs w:val="18"/>
        </w:rPr>
        <w:t>O</w:t>
      </w:r>
      <w:r w:rsidRPr="0040608C">
        <w:rPr>
          <w:sz w:val="18"/>
          <w:szCs w:val="18"/>
        </w:rPr>
        <w:t xml:space="preserve">ther </w:t>
      </w:r>
      <w:r>
        <w:rPr>
          <w:sz w:val="18"/>
          <w:szCs w:val="18"/>
        </w:rPr>
        <w:t>R</w:t>
      </w:r>
      <w:r w:rsidRPr="0040608C">
        <w:rPr>
          <w:sz w:val="18"/>
          <w:szCs w:val="18"/>
        </w:rPr>
        <w:t xml:space="preserve">egulatory </w:t>
      </w:r>
      <w:r>
        <w:rPr>
          <w:sz w:val="18"/>
          <w:szCs w:val="18"/>
        </w:rPr>
        <w:t>S</w:t>
      </w:r>
      <w:r w:rsidRPr="0040608C">
        <w:rPr>
          <w:sz w:val="18"/>
          <w:szCs w:val="18"/>
        </w:rPr>
        <w:t xml:space="preserve">ervices </w:t>
      </w:r>
      <w:r>
        <w:rPr>
          <w:sz w:val="18"/>
          <w:szCs w:val="18"/>
        </w:rPr>
        <w:t>U</w:t>
      </w:r>
      <w:r w:rsidRPr="0040608C">
        <w:rPr>
          <w:sz w:val="18"/>
          <w:szCs w:val="18"/>
        </w:rPr>
        <w:t xml:space="preserve">nder the Atomic Energy Act of 1954, as </w:t>
      </w:r>
      <w:r>
        <w:rPr>
          <w:sz w:val="18"/>
          <w:szCs w:val="18"/>
        </w:rPr>
        <w:t>A</w:t>
      </w:r>
      <w:r w:rsidRPr="0040608C">
        <w:rPr>
          <w:sz w:val="18"/>
          <w:szCs w:val="18"/>
        </w:rPr>
        <w:t>mended”</w:t>
      </w:r>
      <w:r w:rsidRPr="00AD3DA5">
        <w:rPr>
          <w:sz w:val="18"/>
          <w:szCs w:val="18"/>
        </w:rPr>
        <w:t>).</w:t>
      </w:r>
      <w:r>
        <w:rPr>
          <w:sz w:val="18"/>
        </w:rPr>
        <w:t xml:space="preserve"> </w:t>
      </w:r>
      <w:r w:rsidRPr="00DC08A0">
        <w:rPr>
          <w:sz w:val="18"/>
        </w:rPr>
        <w:t>NRC labor rates for fee recovery purposes are appropriately designed for full</w:t>
      </w:r>
      <w:r w:rsidRPr="00AD3DA5">
        <w:rPr>
          <w:sz w:val="18"/>
          <w:szCs w:val="18"/>
        </w:rPr>
        <w:t>-</w:t>
      </w:r>
      <w:r w:rsidRPr="00DC08A0">
        <w:rPr>
          <w:sz w:val="18"/>
        </w:rPr>
        <w:t>cost recovery of the services rendered and as such include nonincremental costs (e.g.,</w:t>
      </w:r>
      <w:r>
        <w:rPr>
          <w:sz w:val="18"/>
          <w:szCs w:val="18"/>
        </w:rPr>
        <w:t> </w:t>
      </w:r>
      <w:r w:rsidRPr="00DC08A0">
        <w:rPr>
          <w:sz w:val="18"/>
        </w:rPr>
        <w:t>overhead, administrative, and logistical support costs).</w:t>
      </w:r>
    </w:p>
  </w:footnote>
  <w:footnote w:id="12">
    <w:p w:rsidR="0078072B" w:rsidRPr="00986572" w:rsidP="0078072B" w14:paraId="2E253C55" w14:textId="70F6B359">
      <w:pPr>
        <w:pStyle w:val="FootnoteText"/>
        <w:ind w:left="720" w:hanging="720"/>
        <w:rPr>
          <w:sz w:val="18"/>
          <w:szCs w:val="18"/>
        </w:rPr>
      </w:pPr>
      <w:r w:rsidRPr="00986572">
        <w:rPr>
          <w:rStyle w:val="FootnoteReference"/>
          <w:sz w:val="18"/>
          <w:szCs w:val="18"/>
          <w:vertAlign w:val="superscript"/>
        </w:rPr>
        <w:footnoteRef/>
      </w:r>
      <w:r w:rsidRPr="00986572">
        <w:rPr>
          <w:sz w:val="18"/>
          <w:szCs w:val="18"/>
        </w:rPr>
        <w:t xml:space="preserve"> </w:t>
      </w:r>
      <w:r>
        <w:rPr>
          <w:sz w:val="18"/>
          <w:szCs w:val="18"/>
        </w:rPr>
        <w:tab/>
      </w:r>
      <w:r w:rsidR="00B446D8">
        <w:rPr>
          <w:sz w:val="18"/>
          <w:szCs w:val="18"/>
        </w:rPr>
        <w:t>A</w:t>
      </w:r>
      <w:r w:rsidR="002C1E0D">
        <w:rPr>
          <w:sz w:val="18"/>
          <w:szCs w:val="18"/>
        </w:rPr>
        <w:t xml:space="preserve">n amended SLR environmental report has been submitted for </w:t>
      </w:r>
      <w:r w:rsidRPr="00986572">
        <w:rPr>
          <w:sz w:val="18"/>
          <w:szCs w:val="18"/>
        </w:rPr>
        <w:t xml:space="preserve">Turkey Point Units 3 and 4 </w:t>
      </w:r>
      <w:r w:rsidR="00952631">
        <w:rPr>
          <w:sz w:val="18"/>
          <w:szCs w:val="18"/>
        </w:rPr>
        <w:t>that evaluates all environmental impacts as plant</w:t>
      </w:r>
      <w:r w:rsidR="00E37C46">
        <w:rPr>
          <w:sz w:val="18"/>
          <w:szCs w:val="18"/>
        </w:rPr>
        <w:noBreakHyphen/>
      </w:r>
      <w:r w:rsidR="00517F14">
        <w:rPr>
          <w:sz w:val="18"/>
          <w:szCs w:val="18"/>
        </w:rPr>
        <w:t>s</w:t>
      </w:r>
      <w:r w:rsidR="00B04EEE">
        <w:rPr>
          <w:sz w:val="18"/>
          <w:szCs w:val="18"/>
        </w:rPr>
        <w:t>pecific</w:t>
      </w:r>
      <w:r w:rsidR="002C1E0D">
        <w:rPr>
          <w:sz w:val="18"/>
          <w:szCs w:val="18"/>
        </w:rPr>
        <w:t xml:space="preserve">. </w:t>
      </w:r>
      <w:r w:rsidR="00B16E14">
        <w:rPr>
          <w:sz w:val="18"/>
          <w:szCs w:val="18"/>
        </w:rPr>
        <w:t>O</w:t>
      </w:r>
      <w:r w:rsidR="002C1E0D">
        <w:rPr>
          <w:sz w:val="18"/>
          <w:szCs w:val="18"/>
        </w:rPr>
        <w:t xml:space="preserve">ther SLR applicants </w:t>
      </w:r>
      <w:r w:rsidR="00DE316A">
        <w:rPr>
          <w:sz w:val="18"/>
          <w:szCs w:val="18"/>
        </w:rPr>
        <w:t xml:space="preserve">also </w:t>
      </w:r>
      <w:r w:rsidR="002C1E0D">
        <w:rPr>
          <w:sz w:val="18"/>
          <w:szCs w:val="18"/>
        </w:rPr>
        <w:t>could cho</w:t>
      </w:r>
      <w:r w:rsidR="00DB0DB1">
        <w:rPr>
          <w:sz w:val="18"/>
          <w:szCs w:val="18"/>
        </w:rPr>
        <w:t>o</w:t>
      </w:r>
      <w:r w:rsidR="002C1E0D">
        <w:rPr>
          <w:sz w:val="18"/>
          <w:szCs w:val="18"/>
        </w:rPr>
        <w:t>se to submit amended environmental reports</w:t>
      </w:r>
      <w:r w:rsidR="00CC1A53">
        <w:rPr>
          <w:sz w:val="18"/>
          <w:szCs w:val="18"/>
        </w:rPr>
        <w:t>;</w:t>
      </w:r>
      <w:r w:rsidR="00B16E14">
        <w:rPr>
          <w:sz w:val="18"/>
          <w:szCs w:val="18"/>
        </w:rPr>
        <w:t xml:space="preserve"> however, this alternative is more expensive </w:t>
      </w:r>
      <w:r w:rsidR="00582015">
        <w:rPr>
          <w:sz w:val="18"/>
          <w:szCs w:val="18"/>
        </w:rPr>
        <w:t>than</w:t>
      </w:r>
      <w:r w:rsidR="00854247">
        <w:rPr>
          <w:sz w:val="18"/>
          <w:szCs w:val="18"/>
        </w:rPr>
        <w:t xml:space="preserve"> </w:t>
      </w:r>
      <w:r w:rsidR="00582015">
        <w:rPr>
          <w:sz w:val="18"/>
          <w:szCs w:val="18"/>
        </w:rPr>
        <w:t xml:space="preserve">Alternative 2 </w:t>
      </w:r>
      <w:r w:rsidR="00B16E14">
        <w:rPr>
          <w:sz w:val="18"/>
          <w:szCs w:val="18"/>
        </w:rPr>
        <w:t xml:space="preserve">and </w:t>
      </w:r>
      <w:r w:rsidR="002F2783">
        <w:rPr>
          <w:sz w:val="18"/>
          <w:szCs w:val="18"/>
        </w:rPr>
        <w:t xml:space="preserve">was </w:t>
      </w:r>
      <w:r w:rsidR="00474AC3">
        <w:rPr>
          <w:sz w:val="18"/>
          <w:szCs w:val="18"/>
        </w:rPr>
        <w:t xml:space="preserve">not </w:t>
      </w:r>
      <w:r w:rsidR="00517F14">
        <w:rPr>
          <w:sz w:val="18"/>
          <w:szCs w:val="18"/>
        </w:rPr>
        <w:t>analyzed.</w:t>
      </w:r>
    </w:p>
  </w:footnote>
  <w:footnote w:id="13">
    <w:p w:rsidR="0078072B" w:rsidRPr="0042645B" w:rsidP="0078072B" w14:paraId="65884857" w14:textId="1422E075">
      <w:pPr>
        <w:pStyle w:val="FootnoteText"/>
        <w:ind w:left="720" w:hanging="720"/>
        <w:rPr>
          <w:sz w:val="18"/>
          <w:szCs w:val="18"/>
        </w:rPr>
      </w:pPr>
      <w:r w:rsidRPr="0042645B">
        <w:rPr>
          <w:rStyle w:val="FootnoteReference"/>
          <w:sz w:val="18"/>
          <w:szCs w:val="18"/>
          <w:vertAlign w:val="superscript"/>
        </w:rPr>
        <w:footnoteRef/>
      </w:r>
      <w:r w:rsidRPr="0042645B">
        <w:rPr>
          <w:rFonts w:eastAsiaTheme="majorEastAsia"/>
          <w:sz w:val="18"/>
          <w:szCs w:val="18"/>
        </w:rPr>
        <w:t xml:space="preserve"> </w:t>
      </w:r>
      <w:r>
        <w:rPr>
          <w:rFonts w:eastAsiaTheme="majorEastAsia"/>
          <w:sz w:val="18"/>
          <w:szCs w:val="18"/>
        </w:rPr>
        <w:tab/>
      </w:r>
      <w:r w:rsidRPr="0042645B">
        <w:rPr>
          <w:sz w:val="18"/>
          <w:szCs w:val="18"/>
        </w:rPr>
        <w:t xml:space="preserve">A PERT distribution is a special form of the beta distribution with </w:t>
      </w:r>
      <w:r w:rsidRPr="0042645B">
        <w:rPr>
          <w:rFonts w:cs="Arial"/>
          <w:sz w:val="18"/>
          <w:szCs w:val="18"/>
        </w:rPr>
        <w:t>specified</w:t>
      </w:r>
      <w:r w:rsidRPr="0042645B">
        <w:rPr>
          <w:sz w:val="18"/>
          <w:szCs w:val="18"/>
        </w:rPr>
        <w:t xml:space="preserve"> minimum and maximum </w:t>
      </w:r>
      <w:r w:rsidRPr="0042645B">
        <w:rPr>
          <w:rFonts w:cs="Arial"/>
          <w:sz w:val="18"/>
          <w:szCs w:val="18"/>
        </w:rPr>
        <w:t>values</w:t>
      </w:r>
      <w:r w:rsidRPr="0042645B">
        <w:rPr>
          <w:sz w:val="18"/>
          <w:szCs w:val="18"/>
        </w:rPr>
        <w:t xml:space="preserve">. The shape parameter is calculated from the defined “most likely” value. The PERT distribution is similar to a triangular distribution in that it has the same set of three parameters. Technically, it is a special case of a scaled beta (or beta general) distribution. The PERT distribution is generally considered superior to the triangular distribution when the parameters result in a skewed distribution because the smooth shape of the curve places less emphasis in the direction of skew. Similar to the triangular distribution, the PERT distribution is bounded on both sides and therefore may not be adequate for some modeling purposes </w:t>
      </w:r>
      <w:r w:rsidRPr="0042645B">
        <w:rPr>
          <w:rFonts w:cs="Arial"/>
          <w:sz w:val="18"/>
          <w:szCs w:val="18"/>
        </w:rPr>
        <w:t>if</w:t>
      </w:r>
      <w:r w:rsidRPr="0042645B">
        <w:rPr>
          <w:sz w:val="18"/>
          <w:szCs w:val="18"/>
        </w:rPr>
        <w:t xml:space="preserve"> the capture of tail or extreme events is desired.</w:t>
      </w:r>
    </w:p>
  </w:footnote>
  <w:footnote w:id="14">
    <w:p w:rsidR="00AB32A2" w14:paraId="1DE5FAEF" w14:textId="30ED9C6D">
      <w:pPr>
        <w:pStyle w:val="FootnoteText"/>
      </w:pPr>
      <w:r w:rsidRPr="00DE5627">
        <w:rPr>
          <w:rStyle w:val="FootnoteReference"/>
          <w:sz w:val="18"/>
          <w:szCs w:val="18"/>
          <w:vertAlign w:val="superscript"/>
        </w:rPr>
        <w:footnoteRef/>
      </w:r>
      <w:r>
        <w:t xml:space="preserve"> </w:t>
      </w:r>
      <w:r w:rsidRPr="00DE5627" w:rsidR="00D1580F">
        <w:rPr>
          <w:sz w:val="18"/>
          <w:szCs w:val="18"/>
        </w:rPr>
        <w:t xml:space="preserve">Data in Table A-3 </w:t>
      </w:r>
      <w:r w:rsidR="00D05737">
        <w:rPr>
          <w:sz w:val="18"/>
          <w:szCs w:val="18"/>
        </w:rPr>
        <w:t>are</w:t>
      </w:r>
      <w:r w:rsidRPr="00DE5627" w:rsidR="00D1580F">
        <w:rPr>
          <w:sz w:val="18"/>
          <w:szCs w:val="18"/>
        </w:rPr>
        <w:t xml:space="preserve"> current as of </w:t>
      </w:r>
      <w:r w:rsidR="007A5965">
        <w:rPr>
          <w:sz w:val="18"/>
          <w:szCs w:val="18"/>
        </w:rPr>
        <w:t>September 28</w:t>
      </w:r>
      <w:r w:rsidRPr="00DE5627" w:rsidR="00D1580F">
        <w:rPr>
          <w:sz w:val="18"/>
          <w:szCs w:val="18"/>
        </w:rPr>
        <w:t>, 202</w:t>
      </w:r>
      <w:r w:rsidR="007A5965">
        <w:rPr>
          <w:sz w:val="18"/>
          <w:szCs w:val="18"/>
        </w:rPr>
        <w:t>3</w:t>
      </w:r>
      <w:r w:rsidRPr="00DE5627" w:rsidR="00D1580F">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nsid w:val="FFFFFF7D"/>
    <w:multiLevelType w:val="hybridMultilevel"/>
    <w:tmpl w:val="0406B9D2"/>
    <w:lvl w:ilvl="0">
      <w:start w:val="1"/>
      <w:numFmt w:val="decimal"/>
      <w:pStyle w:val="ListNumber4"/>
      <w:lvlText w:val="%1."/>
      <w:lvlJc w:val="left"/>
      <w:pPr>
        <w:tabs>
          <w:tab w:val="num" w:pos="1209"/>
        </w:tabs>
        <w:ind w:left="1209"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hybridMultilevel"/>
    <w:tmpl w:val="A7560AF2"/>
    <w:lvl w:ilvl="0">
      <w:start w:val="1"/>
      <w:numFmt w:val="decimal"/>
      <w:pStyle w:val="ListNumber3"/>
      <w:lvlText w:val="%1."/>
      <w:lvlJc w:val="left"/>
      <w:pPr>
        <w:tabs>
          <w:tab w:val="num" w:pos="926"/>
        </w:tabs>
        <w:ind w:left="926"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multilevel"/>
    <w:tmpl w:val="D94AAC70"/>
    <w:lvl w:ilvl="0">
      <w:start w:val="1"/>
      <w:numFmt w:val="decimal"/>
      <w:pStyle w:val="ListNumber2"/>
      <w:lvlText w:val="%1."/>
      <w:lvlJc w:val="left"/>
      <w:pPr>
        <w:tabs>
          <w:tab w:val="num" w:pos="643"/>
        </w:tabs>
        <w:ind w:left="643"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multilevel"/>
    <w:tmpl w:val="6BC857D8"/>
    <w:lvl w:ilvl="0">
      <w:start w:val="1"/>
      <w:numFmt w:val="bullet"/>
      <w:pStyle w:val="ListBullet5"/>
      <w:lvlText w:val=""/>
      <w:lvlJc w:val="left"/>
      <w:pPr>
        <w:tabs>
          <w:tab w:val="num" w:pos="1492"/>
        </w:tabs>
        <w:ind w:left="1492"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hybridMultilevel"/>
    <w:tmpl w:val="00786354"/>
    <w:lvl w:ilvl="0">
      <w:start w:val="1"/>
      <w:numFmt w:val="bullet"/>
      <w:pStyle w:val="ListBullet4"/>
      <w:lvlText w:val=""/>
      <w:lvlJc w:val="left"/>
      <w:pPr>
        <w:tabs>
          <w:tab w:val="num" w:pos="1209"/>
        </w:tabs>
        <w:ind w:left="1209"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3"/>
    <w:multiLevelType w:val="hybridMultilevel"/>
    <w:tmpl w:val="E6CE340A"/>
    <w:lvl w:ilvl="0">
      <w:start w:val="1"/>
      <w:numFmt w:val="bullet"/>
      <w:pStyle w:val="ListBullet2"/>
      <w:lvlText w:val="–"/>
      <w:lvlJc w:val="left"/>
      <w:pPr>
        <w:tabs>
          <w:tab w:val="num" w:pos="720"/>
        </w:tabs>
        <w:ind w:left="720" w:hanging="360"/>
      </w:pPr>
      <w:rPr>
        <w:rFonts w:ascii="Times New Roman" w:hAnsi="Times New Roman"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8"/>
    <w:multiLevelType w:val="hybridMultilevel"/>
    <w:tmpl w:val="930A86DE"/>
    <w:lvl w:ilvl="0">
      <w:start w:val="1"/>
      <w:numFmt w:val="decimal"/>
      <w:pStyle w:val="ListNumber"/>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000000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8CF0D05"/>
    <w:multiLevelType w:val="hybridMultilevel"/>
    <w:tmpl w:val="4A203B52"/>
    <w:styleLink w:val="NUREGListStyle"/>
    <w:lvl w:ilvl="0">
      <w:start w:val="0"/>
      <w:numFmt w:val="bullet"/>
      <w:lvlText w:val="o"/>
      <w:lvlJc w:val="left"/>
      <w:pPr>
        <w:ind w:left="1660" w:hanging="360"/>
      </w:pPr>
      <w:rPr>
        <w:rFonts w:ascii="Courier New" w:eastAsia="Courier New" w:hAnsi="Courier New" w:cs="Courier New" w:hint="default"/>
        <w:w w:val="99"/>
        <w:sz w:val="18"/>
        <w:szCs w:val="18"/>
      </w:rPr>
    </w:lvl>
    <w:lvl w:ilvl="1">
      <w:start w:val="0"/>
      <w:numFmt w:val="bullet"/>
      <w:lvlText w:val="•"/>
      <w:lvlJc w:val="left"/>
      <w:pPr>
        <w:ind w:left="2380" w:hanging="360"/>
      </w:pPr>
      <w:rPr>
        <w:rFonts w:hint="default"/>
      </w:rPr>
    </w:lvl>
    <w:lvl w:ilvl="2">
      <w:start w:val="0"/>
      <w:numFmt w:val="bullet"/>
      <w:lvlText w:val="•"/>
      <w:lvlJc w:val="left"/>
      <w:pPr>
        <w:ind w:left="3204" w:hanging="360"/>
      </w:pPr>
      <w:rPr>
        <w:rFonts w:hint="default"/>
      </w:rPr>
    </w:lvl>
    <w:lvl w:ilvl="3">
      <w:start w:val="0"/>
      <w:numFmt w:val="bullet"/>
      <w:lvlText w:val="•"/>
      <w:lvlJc w:val="left"/>
      <w:pPr>
        <w:ind w:left="4028" w:hanging="360"/>
      </w:pPr>
      <w:rPr>
        <w:rFonts w:hint="default"/>
      </w:rPr>
    </w:lvl>
    <w:lvl w:ilvl="4">
      <w:start w:val="0"/>
      <w:numFmt w:val="bullet"/>
      <w:lvlText w:val="•"/>
      <w:lvlJc w:val="left"/>
      <w:pPr>
        <w:ind w:left="4853" w:hanging="360"/>
      </w:pPr>
      <w:rPr>
        <w:rFonts w:hint="default"/>
      </w:rPr>
    </w:lvl>
    <w:lvl w:ilvl="5">
      <w:start w:val="0"/>
      <w:numFmt w:val="bullet"/>
      <w:lvlText w:val="•"/>
      <w:lvlJc w:val="left"/>
      <w:pPr>
        <w:ind w:left="5677" w:hanging="360"/>
      </w:pPr>
      <w:rPr>
        <w:rFonts w:hint="default"/>
      </w:rPr>
    </w:lvl>
    <w:lvl w:ilvl="6">
      <w:start w:val="0"/>
      <w:numFmt w:val="bullet"/>
      <w:lvlText w:val="•"/>
      <w:lvlJc w:val="left"/>
      <w:pPr>
        <w:ind w:left="6502" w:hanging="360"/>
      </w:pPr>
      <w:rPr>
        <w:rFonts w:hint="default"/>
      </w:rPr>
    </w:lvl>
    <w:lvl w:ilvl="7">
      <w:start w:val="0"/>
      <w:numFmt w:val="bullet"/>
      <w:lvlText w:val="•"/>
      <w:lvlJc w:val="left"/>
      <w:pPr>
        <w:ind w:left="7326" w:hanging="360"/>
      </w:pPr>
      <w:rPr>
        <w:rFonts w:hint="default"/>
      </w:rPr>
    </w:lvl>
    <w:lvl w:ilvl="8">
      <w:start w:val="0"/>
      <w:numFmt w:val="bullet"/>
      <w:lvlText w:val="•"/>
      <w:lvlJc w:val="left"/>
      <w:pPr>
        <w:ind w:left="8151" w:hanging="360"/>
      </w:pPr>
      <w:rPr>
        <w:rFonts w:hint="default"/>
      </w:rPr>
    </w:lvl>
  </w:abstractNum>
  <w:abstractNum w:abstractNumId="10">
    <w:nsid w:val="09176686"/>
    <w:multiLevelType w:val="hybridMultilevel"/>
    <w:tmpl w:val="DDDCC7B0"/>
    <w:lvl w:ilvl="0">
      <w:start w:val="1"/>
      <w:numFmt w:val="bullet"/>
      <w:pStyle w:val="ListBullet"/>
      <w:lvlText w:val=""/>
      <w:lvlJc w:val="left"/>
      <w:pPr>
        <w:tabs>
          <w:tab w:val="num" w:pos="360"/>
        </w:tabs>
        <w:ind w:left="360" w:hanging="21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1F514DB"/>
    <w:multiLevelType w:val="hybridMultilevel"/>
    <w:tmpl w:val="9780A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5F7623E"/>
    <w:multiLevelType w:val="hybridMultilevel"/>
    <w:tmpl w:val="5D561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377F8A"/>
    <w:multiLevelType w:val="hybridMultilevel"/>
    <w:tmpl w:val="4CC21132"/>
    <w:lvl w:ilvl="0">
      <w:start w:val="1"/>
      <w:numFmt w:val="bullet"/>
      <w:lvlText w:val=""/>
      <w:lvlJc w:val="left"/>
      <w:pPr>
        <w:ind w:left="720" w:hanging="360"/>
      </w:pPr>
      <w:rPr>
        <w:rFonts w:ascii="Symbol" w:hAnsi="Symbol" w:hint="default"/>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7022A4"/>
    <w:multiLevelType w:val="hybridMultilevel"/>
    <w:tmpl w:val="65283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1CBC46"/>
    <w:multiLevelType w:val="hybridMultilevel"/>
    <w:tmpl w:val="6106C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7B31B85"/>
    <w:multiLevelType w:val="hybridMultilevel"/>
    <w:tmpl w:val="CDDC0B26"/>
    <w:lvl w:ilvl="0">
      <w:start w:val="1"/>
      <w:numFmt w:val="decimal"/>
      <w:pStyle w:val="References"/>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9E549CD"/>
    <w:multiLevelType w:val="multilevel"/>
    <w:tmpl w:val="B17C6A6E"/>
    <w:styleLink w:val="StyleBulleted"/>
    <w:lvl w:ilvl="0">
      <w:start w:val="1"/>
      <w:numFmt w:val="bullet"/>
      <w:lvlText w:val=""/>
      <w:lvlJc w:val="left"/>
      <w:pPr>
        <w:tabs>
          <w:tab w:val="num" w:pos="720"/>
        </w:tabs>
        <w:ind w:left="720" w:hanging="360"/>
      </w:pPr>
      <w:rPr>
        <w:rFonts w:ascii="Arial" w:hAnsi="Aria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A765937"/>
    <w:multiLevelType w:val="hybridMultilevel"/>
    <w:tmpl w:val="5B1E1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EC122C"/>
    <w:multiLevelType w:val="hybridMultilevel"/>
    <w:tmpl w:val="91E699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F3C055B"/>
    <w:multiLevelType w:val="hybridMultilevel"/>
    <w:tmpl w:val="5FFA5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26B24AD"/>
    <w:multiLevelType w:val="hybridMultilevel"/>
    <w:tmpl w:val="80D016E6"/>
    <w:lvl w:ilvl="0">
      <w:start w:val="1"/>
      <w:numFmt w:val="bullet"/>
      <w:pStyle w:val="ListBullet3"/>
      <w:lvlText w:val="○"/>
      <w:lvlJc w:val="left"/>
      <w:pPr>
        <w:tabs>
          <w:tab w:val="num" w:pos="1080"/>
        </w:tabs>
        <w:ind w:left="108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461585E"/>
    <w:multiLevelType w:val="hybridMultilevel"/>
    <w:tmpl w:val="6422D096"/>
    <w:lvl w:ilvl="0">
      <w:start w:val="1"/>
      <w:numFmt w:val="bullet"/>
      <w:lvlText w:val=""/>
      <w:lvlJc w:val="left"/>
      <w:pPr>
        <w:ind w:left="720" w:hanging="360"/>
      </w:pPr>
      <w:rPr>
        <w:rFonts w:ascii="Symbol" w:hAnsi="Symbol" w:hint="default"/>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663672"/>
    <w:multiLevelType w:val="hybridMultilevel"/>
    <w:tmpl w:val="BE8CB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FD1B63"/>
    <w:multiLevelType w:val="multilevel"/>
    <w:tmpl w:val="3628F7B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nsid w:val="6110626A"/>
    <w:multiLevelType w:val="hybridMultilevel"/>
    <w:tmpl w:val="AE6037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CD13CC"/>
    <w:multiLevelType w:val="hybridMultilevel"/>
    <w:tmpl w:val="7A30F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A50113"/>
    <w:multiLevelType w:val="hybridMultilevel"/>
    <w:tmpl w:val="D526B7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FD80F8B"/>
    <w:multiLevelType w:val="hybridMultilevel"/>
    <w:tmpl w:val="190E885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69F103D"/>
    <w:multiLevelType w:val="hybridMultilevel"/>
    <w:tmpl w:val="BAE431BA"/>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sz w:val="18"/>
        <w:szCs w:val="18"/>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D295F9A"/>
    <w:multiLevelType w:val="hybridMultilevel"/>
    <w:tmpl w:val="D0665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4342817">
    <w:abstractNumId w:val="15"/>
  </w:num>
  <w:num w:numId="2" w16cid:durableId="1440493992">
    <w:abstractNumId w:val="24"/>
  </w:num>
  <w:num w:numId="3" w16cid:durableId="1097603914">
    <w:abstractNumId w:val="18"/>
  </w:num>
  <w:num w:numId="4" w16cid:durableId="688915288">
    <w:abstractNumId w:val="11"/>
  </w:num>
  <w:num w:numId="5" w16cid:durableId="726223443">
    <w:abstractNumId w:val="19"/>
  </w:num>
  <w:num w:numId="6" w16cid:durableId="606275367">
    <w:abstractNumId w:val="26"/>
  </w:num>
  <w:num w:numId="7" w16cid:durableId="1200050906">
    <w:abstractNumId w:val="12"/>
  </w:num>
  <w:num w:numId="8" w16cid:durableId="1187014041">
    <w:abstractNumId w:val="10"/>
  </w:num>
  <w:num w:numId="9" w16cid:durableId="991251337">
    <w:abstractNumId w:val="7"/>
  </w:num>
  <w:num w:numId="10" w16cid:durableId="434834952">
    <w:abstractNumId w:val="6"/>
  </w:num>
  <w:num w:numId="11" w16cid:durableId="1793477475">
    <w:abstractNumId w:val="5"/>
  </w:num>
  <w:num w:numId="12" w16cid:durableId="1306621386">
    <w:abstractNumId w:val="4"/>
  </w:num>
  <w:num w:numId="13" w16cid:durableId="1081833276">
    <w:abstractNumId w:val="3"/>
  </w:num>
  <w:num w:numId="14" w16cid:durableId="1685789682">
    <w:abstractNumId w:val="2"/>
  </w:num>
  <w:num w:numId="15" w16cid:durableId="1750810757">
    <w:abstractNumId w:val="1"/>
  </w:num>
  <w:num w:numId="16" w16cid:durableId="306009365">
    <w:abstractNumId w:val="0"/>
  </w:num>
  <w:num w:numId="17" w16cid:durableId="1734159889">
    <w:abstractNumId w:val="21"/>
  </w:num>
  <w:num w:numId="18" w16cid:durableId="1624538277">
    <w:abstractNumId w:val="9"/>
  </w:num>
  <w:num w:numId="19" w16cid:durableId="633564388">
    <w:abstractNumId w:val="16"/>
  </w:num>
  <w:num w:numId="20" w16cid:durableId="606353325">
    <w:abstractNumId w:val="17"/>
  </w:num>
  <w:num w:numId="21" w16cid:durableId="836386105">
    <w:abstractNumId w:val="13"/>
  </w:num>
  <w:num w:numId="22" w16cid:durableId="499546852">
    <w:abstractNumId w:val="22"/>
  </w:num>
  <w:num w:numId="23" w16cid:durableId="922027290">
    <w:abstractNumId w:val="29"/>
  </w:num>
  <w:num w:numId="24" w16cid:durableId="4793718">
    <w:abstractNumId w:val="20"/>
  </w:num>
  <w:num w:numId="25" w16cid:durableId="1859730586">
    <w:abstractNumId w:val="28"/>
  </w:num>
  <w:num w:numId="26" w16cid:durableId="1119295709">
    <w:abstractNumId w:val="23"/>
  </w:num>
  <w:num w:numId="27" w16cid:durableId="150874747">
    <w:abstractNumId w:val="25"/>
  </w:num>
  <w:num w:numId="28" w16cid:durableId="1804230846">
    <w:abstractNumId w:val="14"/>
  </w:num>
  <w:num w:numId="29" w16cid:durableId="16778179">
    <w:abstractNumId w:val="27"/>
  </w:num>
  <w:num w:numId="30" w16cid:durableId="5706261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A58"/>
    <w:rsid w:val="00000011"/>
    <w:rsid w:val="000000F2"/>
    <w:rsid w:val="00000634"/>
    <w:rsid w:val="000006A9"/>
    <w:rsid w:val="00000874"/>
    <w:rsid w:val="00000D58"/>
    <w:rsid w:val="00000E17"/>
    <w:rsid w:val="00000F88"/>
    <w:rsid w:val="00000FB1"/>
    <w:rsid w:val="00000FFB"/>
    <w:rsid w:val="000012A5"/>
    <w:rsid w:val="00001488"/>
    <w:rsid w:val="000014A9"/>
    <w:rsid w:val="00001690"/>
    <w:rsid w:val="000016AA"/>
    <w:rsid w:val="000017D7"/>
    <w:rsid w:val="000017E6"/>
    <w:rsid w:val="000018CC"/>
    <w:rsid w:val="00001A4B"/>
    <w:rsid w:val="00001AC8"/>
    <w:rsid w:val="00001B60"/>
    <w:rsid w:val="00001C23"/>
    <w:rsid w:val="00001D2B"/>
    <w:rsid w:val="00001E10"/>
    <w:rsid w:val="00001F5D"/>
    <w:rsid w:val="00001FD1"/>
    <w:rsid w:val="00002439"/>
    <w:rsid w:val="00002BFD"/>
    <w:rsid w:val="00002E0B"/>
    <w:rsid w:val="00002E67"/>
    <w:rsid w:val="000030E2"/>
    <w:rsid w:val="00003363"/>
    <w:rsid w:val="0000362D"/>
    <w:rsid w:val="000036CE"/>
    <w:rsid w:val="00003A5B"/>
    <w:rsid w:val="00003CC8"/>
    <w:rsid w:val="00003D0D"/>
    <w:rsid w:val="00004072"/>
    <w:rsid w:val="000041E8"/>
    <w:rsid w:val="00004596"/>
    <w:rsid w:val="00004821"/>
    <w:rsid w:val="000049DA"/>
    <w:rsid w:val="00004B7A"/>
    <w:rsid w:val="000050E6"/>
    <w:rsid w:val="00005230"/>
    <w:rsid w:val="000052F0"/>
    <w:rsid w:val="00005450"/>
    <w:rsid w:val="00005826"/>
    <w:rsid w:val="000058AE"/>
    <w:rsid w:val="00005D51"/>
    <w:rsid w:val="0000654B"/>
    <w:rsid w:val="00006558"/>
    <w:rsid w:val="00006B4E"/>
    <w:rsid w:val="00006B7F"/>
    <w:rsid w:val="00006BCA"/>
    <w:rsid w:val="00006DE2"/>
    <w:rsid w:val="00006DF8"/>
    <w:rsid w:val="00007206"/>
    <w:rsid w:val="000076D4"/>
    <w:rsid w:val="0000774F"/>
    <w:rsid w:val="00007B1F"/>
    <w:rsid w:val="0001013B"/>
    <w:rsid w:val="00010528"/>
    <w:rsid w:val="0001063B"/>
    <w:rsid w:val="000108A0"/>
    <w:rsid w:val="000108B4"/>
    <w:rsid w:val="00010AF4"/>
    <w:rsid w:val="00010C11"/>
    <w:rsid w:val="00010CA7"/>
    <w:rsid w:val="000116A7"/>
    <w:rsid w:val="000118F7"/>
    <w:rsid w:val="0001192A"/>
    <w:rsid w:val="00011A59"/>
    <w:rsid w:val="00011B17"/>
    <w:rsid w:val="00011CBD"/>
    <w:rsid w:val="00012442"/>
    <w:rsid w:val="0001260B"/>
    <w:rsid w:val="00012685"/>
    <w:rsid w:val="00012865"/>
    <w:rsid w:val="00012C3C"/>
    <w:rsid w:val="00012D04"/>
    <w:rsid w:val="00012EB5"/>
    <w:rsid w:val="00013148"/>
    <w:rsid w:val="00013287"/>
    <w:rsid w:val="0001329C"/>
    <w:rsid w:val="00013421"/>
    <w:rsid w:val="00013628"/>
    <w:rsid w:val="00013823"/>
    <w:rsid w:val="00013EE5"/>
    <w:rsid w:val="00013F77"/>
    <w:rsid w:val="0001401D"/>
    <w:rsid w:val="000140AC"/>
    <w:rsid w:val="000143BA"/>
    <w:rsid w:val="00014521"/>
    <w:rsid w:val="000145C8"/>
    <w:rsid w:val="00014618"/>
    <w:rsid w:val="000146D9"/>
    <w:rsid w:val="000146DC"/>
    <w:rsid w:val="000147F6"/>
    <w:rsid w:val="000149C8"/>
    <w:rsid w:val="00014A0B"/>
    <w:rsid w:val="0001503F"/>
    <w:rsid w:val="0001537D"/>
    <w:rsid w:val="000155FD"/>
    <w:rsid w:val="0001567D"/>
    <w:rsid w:val="00015A1B"/>
    <w:rsid w:val="00015A8D"/>
    <w:rsid w:val="00015C36"/>
    <w:rsid w:val="00016CCB"/>
    <w:rsid w:val="00016CEC"/>
    <w:rsid w:val="00016ED8"/>
    <w:rsid w:val="000171A2"/>
    <w:rsid w:val="000171AE"/>
    <w:rsid w:val="000174B4"/>
    <w:rsid w:val="00017704"/>
    <w:rsid w:val="0001779A"/>
    <w:rsid w:val="0001790C"/>
    <w:rsid w:val="00017918"/>
    <w:rsid w:val="00017B01"/>
    <w:rsid w:val="00017CDE"/>
    <w:rsid w:val="00017DB5"/>
    <w:rsid w:val="00017E9F"/>
    <w:rsid w:val="000205B5"/>
    <w:rsid w:val="000208ED"/>
    <w:rsid w:val="00020AFB"/>
    <w:rsid w:val="00020C6A"/>
    <w:rsid w:val="00020E1F"/>
    <w:rsid w:val="00020E20"/>
    <w:rsid w:val="0002143E"/>
    <w:rsid w:val="00021480"/>
    <w:rsid w:val="000214CC"/>
    <w:rsid w:val="00021795"/>
    <w:rsid w:val="00021852"/>
    <w:rsid w:val="0002193D"/>
    <w:rsid w:val="00021BE3"/>
    <w:rsid w:val="00022327"/>
    <w:rsid w:val="000228D4"/>
    <w:rsid w:val="00022CA5"/>
    <w:rsid w:val="00022F90"/>
    <w:rsid w:val="00022FC8"/>
    <w:rsid w:val="0002303A"/>
    <w:rsid w:val="00023626"/>
    <w:rsid w:val="0002378A"/>
    <w:rsid w:val="000238A7"/>
    <w:rsid w:val="00023B33"/>
    <w:rsid w:val="00023B9A"/>
    <w:rsid w:val="000241FB"/>
    <w:rsid w:val="0002425E"/>
    <w:rsid w:val="000243D0"/>
    <w:rsid w:val="000244DF"/>
    <w:rsid w:val="0002460A"/>
    <w:rsid w:val="00024932"/>
    <w:rsid w:val="00024AD5"/>
    <w:rsid w:val="00024B63"/>
    <w:rsid w:val="00024BDB"/>
    <w:rsid w:val="00025000"/>
    <w:rsid w:val="0002547F"/>
    <w:rsid w:val="00025AA0"/>
    <w:rsid w:val="00025E4D"/>
    <w:rsid w:val="00025F4E"/>
    <w:rsid w:val="000261AD"/>
    <w:rsid w:val="000261D1"/>
    <w:rsid w:val="0002637A"/>
    <w:rsid w:val="00026441"/>
    <w:rsid w:val="000266EC"/>
    <w:rsid w:val="00026706"/>
    <w:rsid w:val="00026EF4"/>
    <w:rsid w:val="00026F5C"/>
    <w:rsid w:val="00027076"/>
    <w:rsid w:val="0002779E"/>
    <w:rsid w:val="00027A8A"/>
    <w:rsid w:val="0003007E"/>
    <w:rsid w:val="000302EA"/>
    <w:rsid w:val="0003089F"/>
    <w:rsid w:val="000309C8"/>
    <w:rsid w:val="00030C47"/>
    <w:rsid w:val="00030C66"/>
    <w:rsid w:val="00030FA5"/>
    <w:rsid w:val="00031046"/>
    <w:rsid w:val="000310AF"/>
    <w:rsid w:val="0003161E"/>
    <w:rsid w:val="00031901"/>
    <w:rsid w:val="00031AB8"/>
    <w:rsid w:val="00031E83"/>
    <w:rsid w:val="00031EA9"/>
    <w:rsid w:val="00032075"/>
    <w:rsid w:val="0003224A"/>
    <w:rsid w:val="000324AC"/>
    <w:rsid w:val="000327A1"/>
    <w:rsid w:val="00032C49"/>
    <w:rsid w:val="00032F7B"/>
    <w:rsid w:val="0003334B"/>
    <w:rsid w:val="00033413"/>
    <w:rsid w:val="000335AA"/>
    <w:rsid w:val="00033ADF"/>
    <w:rsid w:val="00033D22"/>
    <w:rsid w:val="00033D70"/>
    <w:rsid w:val="0003408F"/>
    <w:rsid w:val="0003428B"/>
    <w:rsid w:val="000347AC"/>
    <w:rsid w:val="000347C4"/>
    <w:rsid w:val="00034B90"/>
    <w:rsid w:val="00034E37"/>
    <w:rsid w:val="0003536A"/>
    <w:rsid w:val="000353AD"/>
    <w:rsid w:val="0003552F"/>
    <w:rsid w:val="00035858"/>
    <w:rsid w:val="000359B4"/>
    <w:rsid w:val="000359C1"/>
    <w:rsid w:val="00035ADB"/>
    <w:rsid w:val="00035B72"/>
    <w:rsid w:val="00035C27"/>
    <w:rsid w:val="00035EB5"/>
    <w:rsid w:val="00036017"/>
    <w:rsid w:val="00036047"/>
    <w:rsid w:val="00036069"/>
    <w:rsid w:val="0003650A"/>
    <w:rsid w:val="00036A3A"/>
    <w:rsid w:val="00036B38"/>
    <w:rsid w:val="00036C0D"/>
    <w:rsid w:val="000372B8"/>
    <w:rsid w:val="0003752F"/>
    <w:rsid w:val="0003754A"/>
    <w:rsid w:val="000377A4"/>
    <w:rsid w:val="000379D4"/>
    <w:rsid w:val="00037A0C"/>
    <w:rsid w:val="00037BCE"/>
    <w:rsid w:val="00037E34"/>
    <w:rsid w:val="00037E4D"/>
    <w:rsid w:val="00040042"/>
    <w:rsid w:val="0004011B"/>
    <w:rsid w:val="000402D0"/>
    <w:rsid w:val="000404E8"/>
    <w:rsid w:val="000407C3"/>
    <w:rsid w:val="0004088F"/>
    <w:rsid w:val="00040906"/>
    <w:rsid w:val="00040997"/>
    <w:rsid w:val="00040A0C"/>
    <w:rsid w:val="00040A30"/>
    <w:rsid w:val="00040BF4"/>
    <w:rsid w:val="00040EC4"/>
    <w:rsid w:val="00040EFD"/>
    <w:rsid w:val="00041A1E"/>
    <w:rsid w:val="00041A9C"/>
    <w:rsid w:val="00041B32"/>
    <w:rsid w:val="00041BC7"/>
    <w:rsid w:val="00042505"/>
    <w:rsid w:val="00042586"/>
    <w:rsid w:val="00042AB0"/>
    <w:rsid w:val="00043124"/>
    <w:rsid w:val="000432AE"/>
    <w:rsid w:val="00043443"/>
    <w:rsid w:val="000435F9"/>
    <w:rsid w:val="00043683"/>
    <w:rsid w:val="00043697"/>
    <w:rsid w:val="000438AA"/>
    <w:rsid w:val="000438E0"/>
    <w:rsid w:val="000439DF"/>
    <w:rsid w:val="00043AC8"/>
    <w:rsid w:val="00043B27"/>
    <w:rsid w:val="00044329"/>
    <w:rsid w:val="0004486D"/>
    <w:rsid w:val="00044B76"/>
    <w:rsid w:val="00044C03"/>
    <w:rsid w:val="000451B3"/>
    <w:rsid w:val="000452D0"/>
    <w:rsid w:val="0004556A"/>
    <w:rsid w:val="000456DB"/>
    <w:rsid w:val="000459DD"/>
    <w:rsid w:val="00045ABD"/>
    <w:rsid w:val="00045B5A"/>
    <w:rsid w:val="00045CB8"/>
    <w:rsid w:val="00045E42"/>
    <w:rsid w:val="00045FBB"/>
    <w:rsid w:val="000466F1"/>
    <w:rsid w:val="00046BE2"/>
    <w:rsid w:val="00046FFB"/>
    <w:rsid w:val="00047050"/>
    <w:rsid w:val="000471AC"/>
    <w:rsid w:val="00047DBD"/>
    <w:rsid w:val="00047DE7"/>
    <w:rsid w:val="00047E83"/>
    <w:rsid w:val="0005056E"/>
    <w:rsid w:val="000505ED"/>
    <w:rsid w:val="00050948"/>
    <w:rsid w:val="00050B36"/>
    <w:rsid w:val="00050E01"/>
    <w:rsid w:val="00050E74"/>
    <w:rsid w:val="00050F3B"/>
    <w:rsid w:val="000513C0"/>
    <w:rsid w:val="000515DA"/>
    <w:rsid w:val="0005171B"/>
    <w:rsid w:val="00051982"/>
    <w:rsid w:val="000519C5"/>
    <w:rsid w:val="00051A03"/>
    <w:rsid w:val="00051C5C"/>
    <w:rsid w:val="0005203B"/>
    <w:rsid w:val="000521BE"/>
    <w:rsid w:val="000522D0"/>
    <w:rsid w:val="0005271C"/>
    <w:rsid w:val="000527E0"/>
    <w:rsid w:val="00052A81"/>
    <w:rsid w:val="00052DA5"/>
    <w:rsid w:val="00052F29"/>
    <w:rsid w:val="00052F6B"/>
    <w:rsid w:val="00052FCC"/>
    <w:rsid w:val="0005335D"/>
    <w:rsid w:val="00053476"/>
    <w:rsid w:val="000534AE"/>
    <w:rsid w:val="0005367C"/>
    <w:rsid w:val="00053940"/>
    <w:rsid w:val="00053CB9"/>
    <w:rsid w:val="00053D9F"/>
    <w:rsid w:val="00053DAD"/>
    <w:rsid w:val="000542BF"/>
    <w:rsid w:val="000544B5"/>
    <w:rsid w:val="000544CB"/>
    <w:rsid w:val="00054509"/>
    <w:rsid w:val="00054CD8"/>
    <w:rsid w:val="00054E67"/>
    <w:rsid w:val="00055144"/>
    <w:rsid w:val="00055196"/>
    <w:rsid w:val="00055465"/>
    <w:rsid w:val="00055678"/>
    <w:rsid w:val="00055842"/>
    <w:rsid w:val="0005588F"/>
    <w:rsid w:val="000558D4"/>
    <w:rsid w:val="00055B7B"/>
    <w:rsid w:val="00055CA9"/>
    <w:rsid w:val="00055D69"/>
    <w:rsid w:val="00055E2B"/>
    <w:rsid w:val="00056097"/>
    <w:rsid w:val="0005609A"/>
    <w:rsid w:val="000560B5"/>
    <w:rsid w:val="000560E4"/>
    <w:rsid w:val="000562E1"/>
    <w:rsid w:val="0005656C"/>
    <w:rsid w:val="00056660"/>
    <w:rsid w:val="000566C4"/>
    <w:rsid w:val="0005677C"/>
    <w:rsid w:val="000568DA"/>
    <w:rsid w:val="00056A9A"/>
    <w:rsid w:val="00056ADE"/>
    <w:rsid w:val="00056CEE"/>
    <w:rsid w:val="00056D69"/>
    <w:rsid w:val="00056E15"/>
    <w:rsid w:val="00057933"/>
    <w:rsid w:val="0005797B"/>
    <w:rsid w:val="00057E31"/>
    <w:rsid w:val="0006013E"/>
    <w:rsid w:val="000601E7"/>
    <w:rsid w:val="0006023C"/>
    <w:rsid w:val="000602D2"/>
    <w:rsid w:val="000603A8"/>
    <w:rsid w:val="000603DC"/>
    <w:rsid w:val="00060494"/>
    <w:rsid w:val="0006077E"/>
    <w:rsid w:val="0006082E"/>
    <w:rsid w:val="0006098C"/>
    <w:rsid w:val="00060B19"/>
    <w:rsid w:val="00060C41"/>
    <w:rsid w:val="0006111C"/>
    <w:rsid w:val="00061244"/>
    <w:rsid w:val="000613FB"/>
    <w:rsid w:val="000614E1"/>
    <w:rsid w:val="00061924"/>
    <w:rsid w:val="00061992"/>
    <w:rsid w:val="00061B1D"/>
    <w:rsid w:val="00061BB6"/>
    <w:rsid w:val="00061C6D"/>
    <w:rsid w:val="00061C74"/>
    <w:rsid w:val="00061C8B"/>
    <w:rsid w:val="00061D35"/>
    <w:rsid w:val="00062229"/>
    <w:rsid w:val="00062CB0"/>
    <w:rsid w:val="00063277"/>
    <w:rsid w:val="00063428"/>
    <w:rsid w:val="00063815"/>
    <w:rsid w:val="000638B2"/>
    <w:rsid w:val="00063AB8"/>
    <w:rsid w:val="00063F62"/>
    <w:rsid w:val="0006451A"/>
    <w:rsid w:val="000646B2"/>
    <w:rsid w:val="00064736"/>
    <w:rsid w:val="00064750"/>
    <w:rsid w:val="000649CD"/>
    <w:rsid w:val="00064B41"/>
    <w:rsid w:val="00064CAF"/>
    <w:rsid w:val="00064DCF"/>
    <w:rsid w:val="00064E3D"/>
    <w:rsid w:val="00065043"/>
    <w:rsid w:val="00065126"/>
    <w:rsid w:val="00065358"/>
    <w:rsid w:val="0006561F"/>
    <w:rsid w:val="0006562A"/>
    <w:rsid w:val="00065DE6"/>
    <w:rsid w:val="000660CF"/>
    <w:rsid w:val="0006615D"/>
    <w:rsid w:val="000661AE"/>
    <w:rsid w:val="000661F2"/>
    <w:rsid w:val="000664E2"/>
    <w:rsid w:val="000665FF"/>
    <w:rsid w:val="00066655"/>
    <w:rsid w:val="00066AD8"/>
    <w:rsid w:val="00067027"/>
    <w:rsid w:val="0006711D"/>
    <w:rsid w:val="00067256"/>
    <w:rsid w:val="0006725E"/>
    <w:rsid w:val="0006781C"/>
    <w:rsid w:val="00067B4A"/>
    <w:rsid w:val="00067D53"/>
    <w:rsid w:val="00067DE9"/>
    <w:rsid w:val="00067EC4"/>
    <w:rsid w:val="00070299"/>
    <w:rsid w:val="00070728"/>
    <w:rsid w:val="00070841"/>
    <w:rsid w:val="000708BB"/>
    <w:rsid w:val="000708EA"/>
    <w:rsid w:val="000709E8"/>
    <w:rsid w:val="00070D62"/>
    <w:rsid w:val="00070F70"/>
    <w:rsid w:val="00071061"/>
    <w:rsid w:val="0007118D"/>
    <w:rsid w:val="00071224"/>
    <w:rsid w:val="00071326"/>
    <w:rsid w:val="0007138F"/>
    <w:rsid w:val="0007142E"/>
    <w:rsid w:val="00071504"/>
    <w:rsid w:val="000716AA"/>
    <w:rsid w:val="00071D9D"/>
    <w:rsid w:val="00072267"/>
    <w:rsid w:val="0007244E"/>
    <w:rsid w:val="000725B1"/>
    <w:rsid w:val="000727D5"/>
    <w:rsid w:val="00072891"/>
    <w:rsid w:val="00073134"/>
    <w:rsid w:val="00073384"/>
    <w:rsid w:val="00073393"/>
    <w:rsid w:val="0007351C"/>
    <w:rsid w:val="000736C6"/>
    <w:rsid w:val="000737C2"/>
    <w:rsid w:val="00073A07"/>
    <w:rsid w:val="00073EB0"/>
    <w:rsid w:val="00073F3D"/>
    <w:rsid w:val="00074240"/>
    <w:rsid w:val="00074363"/>
    <w:rsid w:val="00074560"/>
    <w:rsid w:val="000746AB"/>
    <w:rsid w:val="000747B2"/>
    <w:rsid w:val="000748B0"/>
    <w:rsid w:val="000748E9"/>
    <w:rsid w:val="000749B8"/>
    <w:rsid w:val="00074D2B"/>
    <w:rsid w:val="00075193"/>
    <w:rsid w:val="0007524E"/>
    <w:rsid w:val="00075399"/>
    <w:rsid w:val="000753AE"/>
    <w:rsid w:val="0007558B"/>
    <w:rsid w:val="00075634"/>
    <w:rsid w:val="0007578E"/>
    <w:rsid w:val="000762ED"/>
    <w:rsid w:val="000763A2"/>
    <w:rsid w:val="00076728"/>
    <w:rsid w:val="00076A48"/>
    <w:rsid w:val="00076B39"/>
    <w:rsid w:val="00076D31"/>
    <w:rsid w:val="00076E25"/>
    <w:rsid w:val="00076F03"/>
    <w:rsid w:val="00077016"/>
    <w:rsid w:val="000770B8"/>
    <w:rsid w:val="00077871"/>
    <w:rsid w:val="000778E0"/>
    <w:rsid w:val="00077AD5"/>
    <w:rsid w:val="00077FA3"/>
    <w:rsid w:val="0008000C"/>
    <w:rsid w:val="000809C1"/>
    <w:rsid w:val="00080DD5"/>
    <w:rsid w:val="00081088"/>
    <w:rsid w:val="00081223"/>
    <w:rsid w:val="0008129D"/>
    <w:rsid w:val="000818DB"/>
    <w:rsid w:val="00081A04"/>
    <w:rsid w:val="00081ACF"/>
    <w:rsid w:val="00081F04"/>
    <w:rsid w:val="00082042"/>
    <w:rsid w:val="00082578"/>
    <w:rsid w:val="0008268D"/>
    <w:rsid w:val="00082A5F"/>
    <w:rsid w:val="00082CE9"/>
    <w:rsid w:val="00082D89"/>
    <w:rsid w:val="00082E12"/>
    <w:rsid w:val="00082F42"/>
    <w:rsid w:val="00083147"/>
    <w:rsid w:val="00083324"/>
    <w:rsid w:val="000837A6"/>
    <w:rsid w:val="000839B4"/>
    <w:rsid w:val="00083CC9"/>
    <w:rsid w:val="00083F68"/>
    <w:rsid w:val="000845AD"/>
    <w:rsid w:val="00084B80"/>
    <w:rsid w:val="000851CB"/>
    <w:rsid w:val="00085469"/>
    <w:rsid w:val="0008556F"/>
    <w:rsid w:val="00085789"/>
    <w:rsid w:val="0008579E"/>
    <w:rsid w:val="0008614B"/>
    <w:rsid w:val="000861BC"/>
    <w:rsid w:val="000863F8"/>
    <w:rsid w:val="00086655"/>
    <w:rsid w:val="00086674"/>
    <w:rsid w:val="000867D7"/>
    <w:rsid w:val="00086A1A"/>
    <w:rsid w:val="00086D07"/>
    <w:rsid w:val="00086DF0"/>
    <w:rsid w:val="00086FCA"/>
    <w:rsid w:val="000870CA"/>
    <w:rsid w:val="0008736B"/>
    <w:rsid w:val="000874AB"/>
    <w:rsid w:val="000875EB"/>
    <w:rsid w:val="00087865"/>
    <w:rsid w:val="000878CC"/>
    <w:rsid w:val="00087AD6"/>
    <w:rsid w:val="00087F9C"/>
    <w:rsid w:val="000904E5"/>
    <w:rsid w:val="000906F1"/>
    <w:rsid w:val="000908F5"/>
    <w:rsid w:val="00090C9D"/>
    <w:rsid w:val="0009135C"/>
    <w:rsid w:val="00091F19"/>
    <w:rsid w:val="0009206C"/>
    <w:rsid w:val="00092286"/>
    <w:rsid w:val="000922F5"/>
    <w:rsid w:val="0009243D"/>
    <w:rsid w:val="0009251A"/>
    <w:rsid w:val="00092667"/>
    <w:rsid w:val="0009284C"/>
    <w:rsid w:val="0009285B"/>
    <w:rsid w:val="00092943"/>
    <w:rsid w:val="00092A6F"/>
    <w:rsid w:val="00092B00"/>
    <w:rsid w:val="00092D1F"/>
    <w:rsid w:val="00092E48"/>
    <w:rsid w:val="00092F3D"/>
    <w:rsid w:val="000930EC"/>
    <w:rsid w:val="0009368D"/>
    <w:rsid w:val="0009387D"/>
    <w:rsid w:val="00093EA7"/>
    <w:rsid w:val="00094008"/>
    <w:rsid w:val="00094AB0"/>
    <w:rsid w:val="00094D71"/>
    <w:rsid w:val="00094EC1"/>
    <w:rsid w:val="00094F06"/>
    <w:rsid w:val="000950C2"/>
    <w:rsid w:val="0009514D"/>
    <w:rsid w:val="000951A6"/>
    <w:rsid w:val="00095290"/>
    <w:rsid w:val="00095A33"/>
    <w:rsid w:val="00095C4D"/>
    <w:rsid w:val="00095C6D"/>
    <w:rsid w:val="00095EEA"/>
    <w:rsid w:val="00095F12"/>
    <w:rsid w:val="0009601D"/>
    <w:rsid w:val="0009658E"/>
    <w:rsid w:val="00096851"/>
    <w:rsid w:val="00096934"/>
    <w:rsid w:val="000969A6"/>
    <w:rsid w:val="00096CD6"/>
    <w:rsid w:val="00096F2E"/>
    <w:rsid w:val="00097132"/>
    <w:rsid w:val="00097572"/>
    <w:rsid w:val="00097795"/>
    <w:rsid w:val="000977A3"/>
    <w:rsid w:val="00097B7B"/>
    <w:rsid w:val="00097C55"/>
    <w:rsid w:val="00097D31"/>
    <w:rsid w:val="000A009A"/>
    <w:rsid w:val="000A0317"/>
    <w:rsid w:val="000A073E"/>
    <w:rsid w:val="000A0790"/>
    <w:rsid w:val="000A098F"/>
    <w:rsid w:val="000A0BE9"/>
    <w:rsid w:val="000A0E03"/>
    <w:rsid w:val="000A1032"/>
    <w:rsid w:val="000A10C6"/>
    <w:rsid w:val="000A13B3"/>
    <w:rsid w:val="000A1411"/>
    <w:rsid w:val="000A1475"/>
    <w:rsid w:val="000A16E9"/>
    <w:rsid w:val="000A1966"/>
    <w:rsid w:val="000A1A44"/>
    <w:rsid w:val="000A1C1B"/>
    <w:rsid w:val="000A1CDC"/>
    <w:rsid w:val="000A1FB9"/>
    <w:rsid w:val="000A20D8"/>
    <w:rsid w:val="000A2398"/>
    <w:rsid w:val="000A25ED"/>
    <w:rsid w:val="000A260E"/>
    <w:rsid w:val="000A295C"/>
    <w:rsid w:val="000A2DAA"/>
    <w:rsid w:val="000A2E09"/>
    <w:rsid w:val="000A3336"/>
    <w:rsid w:val="000A3709"/>
    <w:rsid w:val="000A37AA"/>
    <w:rsid w:val="000A38CC"/>
    <w:rsid w:val="000A397E"/>
    <w:rsid w:val="000A3E70"/>
    <w:rsid w:val="000A41F9"/>
    <w:rsid w:val="000A42B7"/>
    <w:rsid w:val="000A48A6"/>
    <w:rsid w:val="000A4C67"/>
    <w:rsid w:val="000A4F2E"/>
    <w:rsid w:val="000A4FB7"/>
    <w:rsid w:val="000A5248"/>
    <w:rsid w:val="000A5ABC"/>
    <w:rsid w:val="000A5B4F"/>
    <w:rsid w:val="000A5B56"/>
    <w:rsid w:val="000A60A0"/>
    <w:rsid w:val="000A617F"/>
    <w:rsid w:val="000A655C"/>
    <w:rsid w:val="000A67FF"/>
    <w:rsid w:val="000A6BF0"/>
    <w:rsid w:val="000A6D7D"/>
    <w:rsid w:val="000A6E38"/>
    <w:rsid w:val="000A7471"/>
    <w:rsid w:val="000A7580"/>
    <w:rsid w:val="000A7833"/>
    <w:rsid w:val="000A7D25"/>
    <w:rsid w:val="000A7EC3"/>
    <w:rsid w:val="000B004C"/>
    <w:rsid w:val="000B022F"/>
    <w:rsid w:val="000B0384"/>
    <w:rsid w:val="000B0444"/>
    <w:rsid w:val="000B0497"/>
    <w:rsid w:val="000B0871"/>
    <w:rsid w:val="000B095B"/>
    <w:rsid w:val="000B0A42"/>
    <w:rsid w:val="000B0E2F"/>
    <w:rsid w:val="000B111E"/>
    <w:rsid w:val="000B135C"/>
    <w:rsid w:val="000B159F"/>
    <w:rsid w:val="000B18F3"/>
    <w:rsid w:val="000B190E"/>
    <w:rsid w:val="000B1ABB"/>
    <w:rsid w:val="000B1BDF"/>
    <w:rsid w:val="000B1DE5"/>
    <w:rsid w:val="000B1F25"/>
    <w:rsid w:val="000B1F85"/>
    <w:rsid w:val="000B2135"/>
    <w:rsid w:val="000B21CA"/>
    <w:rsid w:val="000B22D0"/>
    <w:rsid w:val="000B2689"/>
    <w:rsid w:val="000B29E7"/>
    <w:rsid w:val="000B2E13"/>
    <w:rsid w:val="000B3198"/>
    <w:rsid w:val="000B3490"/>
    <w:rsid w:val="000B3497"/>
    <w:rsid w:val="000B3510"/>
    <w:rsid w:val="000B35B7"/>
    <w:rsid w:val="000B378E"/>
    <w:rsid w:val="000B3811"/>
    <w:rsid w:val="000B38B7"/>
    <w:rsid w:val="000B3957"/>
    <w:rsid w:val="000B397B"/>
    <w:rsid w:val="000B3BE3"/>
    <w:rsid w:val="000B4329"/>
    <w:rsid w:val="000B496A"/>
    <w:rsid w:val="000B4B11"/>
    <w:rsid w:val="000B4B57"/>
    <w:rsid w:val="000B4B6B"/>
    <w:rsid w:val="000B4C60"/>
    <w:rsid w:val="000B4EC0"/>
    <w:rsid w:val="000B5052"/>
    <w:rsid w:val="000B5244"/>
    <w:rsid w:val="000B530B"/>
    <w:rsid w:val="000B53EE"/>
    <w:rsid w:val="000B592D"/>
    <w:rsid w:val="000B6095"/>
    <w:rsid w:val="000B60A3"/>
    <w:rsid w:val="000B6269"/>
    <w:rsid w:val="000B6391"/>
    <w:rsid w:val="000B645F"/>
    <w:rsid w:val="000B6982"/>
    <w:rsid w:val="000B6C6C"/>
    <w:rsid w:val="000B6CD7"/>
    <w:rsid w:val="000B6ECA"/>
    <w:rsid w:val="000B759A"/>
    <w:rsid w:val="000B781A"/>
    <w:rsid w:val="000B7DAA"/>
    <w:rsid w:val="000B7F52"/>
    <w:rsid w:val="000B7F93"/>
    <w:rsid w:val="000C026C"/>
    <w:rsid w:val="000C060E"/>
    <w:rsid w:val="000C0640"/>
    <w:rsid w:val="000C0A27"/>
    <w:rsid w:val="000C0ADF"/>
    <w:rsid w:val="000C0BFB"/>
    <w:rsid w:val="000C0EAA"/>
    <w:rsid w:val="000C0F0D"/>
    <w:rsid w:val="000C1588"/>
    <w:rsid w:val="000C1836"/>
    <w:rsid w:val="000C1B50"/>
    <w:rsid w:val="000C1FF8"/>
    <w:rsid w:val="000C25E8"/>
    <w:rsid w:val="000C28B7"/>
    <w:rsid w:val="000C29F5"/>
    <w:rsid w:val="000C2C9A"/>
    <w:rsid w:val="000C2DF4"/>
    <w:rsid w:val="000C305C"/>
    <w:rsid w:val="000C3407"/>
    <w:rsid w:val="000C37C3"/>
    <w:rsid w:val="000C38A5"/>
    <w:rsid w:val="000C3B52"/>
    <w:rsid w:val="000C3C8A"/>
    <w:rsid w:val="000C3D60"/>
    <w:rsid w:val="000C3EF4"/>
    <w:rsid w:val="000C42AD"/>
    <w:rsid w:val="000C4730"/>
    <w:rsid w:val="000C482E"/>
    <w:rsid w:val="000C49B7"/>
    <w:rsid w:val="000C4DB1"/>
    <w:rsid w:val="000C4E9B"/>
    <w:rsid w:val="000C50B5"/>
    <w:rsid w:val="000C50D8"/>
    <w:rsid w:val="000C52AF"/>
    <w:rsid w:val="000C52C2"/>
    <w:rsid w:val="000C53A8"/>
    <w:rsid w:val="000C54F5"/>
    <w:rsid w:val="000C55DA"/>
    <w:rsid w:val="000C5626"/>
    <w:rsid w:val="000C5636"/>
    <w:rsid w:val="000C59CA"/>
    <w:rsid w:val="000C5AC1"/>
    <w:rsid w:val="000C5BB9"/>
    <w:rsid w:val="000C5C58"/>
    <w:rsid w:val="000C5C82"/>
    <w:rsid w:val="000C5CDA"/>
    <w:rsid w:val="000C5D5F"/>
    <w:rsid w:val="000C5F59"/>
    <w:rsid w:val="000C61AF"/>
    <w:rsid w:val="000C6822"/>
    <w:rsid w:val="000C68C1"/>
    <w:rsid w:val="000C6EE3"/>
    <w:rsid w:val="000C768D"/>
    <w:rsid w:val="000C78A5"/>
    <w:rsid w:val="000C7A15"/>
    <w:rsid w:val="000C7B9F"/>
    <w:rsid w:val="000C7EDA"/>
    <w:rsid w:val="000D018A"/>
    <w:rsid w:val="000D0489"/>
    <w:rsid w:val="000D07A9"/>
    <w:rsid w:val="000D0ED7"/>
    <w:rsid w:val="000D10AC"/>
    <w:rsid w:val="000D122A"/>
    <w:rsid w:val="000D1248"/>
    <w:rsid w:val="000D137E"/>
    <w:rsid w:val="000D1728"/>
    <w:rsid w:val="000D1731"/>
    <w:rsid w:val="000D18AA"/>
    <w:rsid w:val="000D1A68"/>
    <w:rsid w:val="000D1C6A"/>
    <w:rsid w:val="000D1E7B"/>
    <w:rsid w:val="000D1FA0"/>
    <w:rsid w:val="000D1FAF"/>
    <w:rsid w:val="000D2035"/>
    <w:rsid w:val="000D22DE"/>
    <w:rsid w:val="000D241A"/>
    <w:rsid w:val="000D2565"/>
    <w:rsid w:val="000D29E6"/>
    <w:rsid w:val="000D2A24"/>
    <w:rsid w:val="000D2CD5"/>
    <w:rsid w:val="000D2F06"/>
    <w:rsid w:val="000D3264"/>
    <w:rsid w:val="000D33D7"/>
    <w:rsid w:val="000D374F"/>
    <w:rsid w:val="000D393E"/>
    <w:rsid w:val="000D3A41"/>
    <w:rsid w:val="000D3B61"/>
    <w:rsid w:val="000D3DBB"/>
    <w:rsid w:val="000D3E2D"/>
    <w:rsid w:val="000D423B"/>
    <w:rsid w:val="000D4825"/>
    <w:rsid w:val="000D494D"/>
    <w:rsid w:val="000D4DF7"/>
    <w:rsid w:val="000D4F75"/>
    <w:rsid w:val="000D546C"/>
    <w:rsid w:val="000D5952"/>
    <w:rsid w:val="000D5BC1"/>
    <w:rsid w:val="000D5CB5"/>
    <w:rsid w:val="000D5CF3"/>
    <w:rsid w:val="000D5D07"/>
    <w:rsid w:val="000D5D89"/>
    <w:rsid w:val="000D5F17"/>
    <w:rsid w:val="000D5F9D"/>
    <w:rsid w:val="000D6514"/>
    <w:rsid w:val="000D6699"/>
    <w:rsid w:val="000D68BE"/>
    <w:rsid w:val="000D6B03"/>
    <w:rsid w:val="000D6B1C"/>
    <w:rsid w:val="000D6FDC"/>
    <w:rsid w:val="000D6FEE"/>
    <w:rsid w:val="000D73A4"/>
    <w:rsid w:val="000D7606"/>
    <w:rsid w:val="000D7621"/>
    <w:rsid w:val="000D794B"/>
    <w:rsid w:val="000D7AB7"/>
    <w:rsid w:val="000D7AD0"/>
    <w:rsid w:val="000E0249"/>
    <w:rsid w:val="000E054C"/>
    <w:rsid w:val="000E06FF"/>
    <w:rsid w:val="000E09FF"/>
    <w:rsid w:val="000E0A63"/>
    <w:rsid w:val="000E0E43"/>
    <w:rsid w:val="000E1104"/>
    <w:rsid w:val="000E15CA"/>
    <w:rsid w:val="000E18C2"/>
    <w:rsid w:val="000E1A6A"/>
    <w:rsid w:val="000E2216"/>
    <w:rsid w:val="000E2293"/>
    <w:rsid w:val="000E26B2"/>
    <w:rsid w:val="000E2721"/>
    <w:rsid w:val="000E2735"/>
    <w:rsid w:val="000E2B11"/>
    <w:rsid w:val="000E2D72"/>
    <w:rsid w:val="000E2F56"/>
    <w:rsid w:val="000E319E"/>
    <w:rsid w:val="000E31EF"/>
    <w:rsid w:val="000E32A6"/>
    <w:rsid w:val="000E3E60"/>
    <w:rsid w:val="000E3ED8"/>
    <w:rsid w:val="000E44BD"/>
    <w:rsid w:val="000E4677"/>
    <w:rsid w:val="000E4701"/>
    <w:rsid w:val="000E4888"/>
    <w:rsid w:val="000E49F9"/>
    <w:rsid w:val="000E4B14"/>
    <w:rsid w:val="000E4B69"/>
    <w:rsid w:val="000E4CF7"/>
    <w:rsid w:val="000E5543"/>
    <w:rsid w:val="000E55EB"/>
    <w:rsid w:val="000E5687"/>
    <w:rsid w:val="000E5F4E"/>
    <w:rsid w:val="000E5FB2"/>
    <w:rsid w:val="000E640B"/>
    <w:rsid w:val="000E6B8E"/>
    <w:rsid w:val="000E6F09"/>
    <w:rsid w:val="000E7322"/>
    <w:rsid w:val="000E7477"/>
    <w:rsid w:val="000E7844"/>
    <w:rsid w:val="000E79CF"/>
    <w:rsid w:val="000E7A40"/>
    <w:rsid w:val="000E7C60"/>
    <w:rsid w:val="000E7E00"/>
    <w:rsid w:val="000F022F"/>
    <w:rsid w:val="000F03AF"/>
    <w:rsid w:val="000F06FE"/>
    <w:rsid w:val="000F079C"/>
    <w:rsid w:val="000F09A2"/>
    <w:rsid w:val="000F0B44"/>
    <w:rsid w:val="000F0C8F"/>
    <w:rsid w:val="000F0DD8"/>
    <w:rsid w:val="000F1399"/>
    <w:rsid w:val="000F1A18"/>
    <w:rsid w:val="000F22EB"/>
    <w:rsid w:val="000F2355"/>
    <w:rsid w:val="000F2863"/>
    <w:rsid w:val="000F29A7"/>
    <w:rsid w:val="000F2A93"/>
    <w:rsid w:val="000F3E5E"/>
    <w:rsid w:val="000F4040"/>
    <w:rsid w:val="000F4172"/>
    <w:rsid w:val="000F4643"/>
    <w:rsid w:val="000F46FC"/>
    <w:rsid w:val="000F4D49"/>
    <w:rsid w:val="000F517B"/>
    <w:rsid w:val="000F5249"/>
    <w:rsid w:val="000F558F"/>
    <w:rsid w:val="000F5820"/>
    <w:rsid w:val="000F5897"/>
    <w:rsid w:val="000F5942"/>
    <w:rsid w:val="000F60AB"/>
    <w:rsid w:val="000F64D1"/>
    <w:rsid w:val="000F6855"/>
    <w:rsid w:val="000F6A2B"/>
    <w:rsid w:val="000F6A91"/>
    <w:rsid w:val="000F6B2D"/>
    <w:rsid w:val="000F6C19"/>
    <w:rsid w:val="000F734F"/>
    <w:rsid w:val="000F7495"/>
    <w:rsid w:val="000F76CD"/>
    <w:rsid w:val="000F7CF7"/>
    <w:rsid w:val="000F7E3C"/>
    <w:rsid w:val="0010013E"/>
    <w:rsid w:val="00100435"/>
    <w:rsid w:val="0010073F"/>
    <w:rsid w:val="001009DC"/>
    <w:rsid w:val="00100BC5"/>
    <w:rsid w:val="00101045"/>
    <w:rsid w:val="00101046"/>
    <w:rsid w:val="00101106"/>
    <w:rsid w:val="001013FE"/>
    <w:rsid w:val="00101C3E"/>
    <w:rsid w:val="00101C9F"/>
    <w:rsid w:val="00101D0B"/>
    <w:rsid w:val="001021AC"/>
    <w:rsid w:val="001024ED"/>
    <w:rsid w:val="00102620"/>
    <w:rsid w:val="00102D2A"/>
    <w:rsid w:val="00102EC5"/>
    <w:rsid w:val="00102F0E"/>
    <w:rsid w:val="00103319"/>
    <w:rsid w:val="00103682"/>
    <w:rsid w:val="001037E4"/>
    <w:rsid w:val="00103989"/>
    <w:rsid w:val="00103A5D"/>
    <w:rsid w:val="00103E04"/>
    <w:rsid w:val="00103F2C"/>
    <w:rsid w:val="001040F0"/>
    <w:rsid w:val="0010422D"/>
    <w:rsid w:val="001047E0"/>
    <w:rsid w:val="0010486E"/>
    <w:rsid w:val="00104A1D"/>
    <w:rsid w:val="00104A80"/>
    <w:rsid w:val="0010533C"/>
    <w:rsid w:val="001053B9"/>
    <w:rsid w:val="001053EF"/>
    <w:rsid w:val="001059F4"/>
    <w:rsid w:val="00105D2A"/>
    <w:rsid w:val="00105E25"/>
    <w:rsid w:val="00105E64"/>
    <w:rsid w:val="001064BD"/>
    <w:rsid w:val="00106AA6"/>
    <w:rsid w:val="00106CC2"/>
    <w:rsid w:val="00106D28"/>
    <w:rsid w:val="00106F36"/>
    <w:rsid w:val="00106FCB"/>
    <w:rsid w:val="00107097"/>
    <w:rsid w:val="00107471"/>
    <w:rsid w:val="0010747F"/>
    <w:rsid w:val="00107647"/>
    <w:rsid w:val="00107A00"/>
    <w:rsid w:val="00107A3F"/>
    <w:rsid w:val="00107B8A"/>
    <w:rsid w:val="00107D0F"/>
    <w:rsid w:val="00107EA6"/>
    <w:rsid w:val="00110198"/>
    <w:rsid w:val="001103A3"/>
    <w:rsid w:val="001105AE"/>
    <w:rsid w:val="00110C40"/>
    <w:rsid w:val="00110CB4"/>
    <w:rsid w:val="00110CE0"/>
    <w:rsid w:val="00111044"/>
    <w:rsid w:val="0011107F"/>
    <w:rsid w:val="00111189"/>
    <w:rsid w:val="001117A4"/>
    <w:rsid w:val="00111D88"/>
    <w:rsid w:val="00111DAE"/>
    <w:rsid w:val="00111EFC"/>
    <w:rsid w:val="00112038"/>
    <w:rsid w:val="001120CD"/>
    <w:rsid w:val="001122BE"/>
    <w:rsid w:val="0011277C"/>
    <w:rsid w:val="001127CC"/>
    <w:rsid w:val="00112E2F"/>
    <w:rsid w:val="0011317A"/>
    <w:rsid w:val="00113392"/>
    <w:rsid w:val="0011378A"/>
    <w:rsid w:val="00113ADD"/>
    <w:rsid w:val="0011441E"/>
    <w:rsid w:val="0011449C"/>
    <w:rsid w:val="00114767"/>
    <w:rsid w:val="00114B42"/>
    <w:rsid w:val="00114B61"/>
    <w:rsid w:val="00114BF1"/>
    <w:rsid w:val="00114E9E"/>
    <w:rsid w:val="00114F35"/>
    <w:rsid w:val="00114FD3"/>
    <w:rsid w:val="00115561"/>
    <w:rsid w:val="0011592E"/>
    <w:rsid w:val="001159FE"/>
    <w:rsid w:val="00115B1B"/>
    <w:rsid w:val="00115EB6"/>
    <w:rsid w:val="00116239"/>
    <w:rsid w:val="001162B8"/>
    <w:rsid w:val="001164FA"/>
    <w:rsid w:val="00116654"/>
    <w:rsid w:val="001166EC"/>
    <w:rsid w:val="0011687F"/>
    <w:rsid w:val="00116BC0"/>
    <w:rsid w:val="0011717F"/>
    <w:rsid w:val="00117242"/>
    <w:rsid w:val="001172C3"/>
    <w:rsid w:val="001173AC"/>
    <w:rsid w:val="0011747C"/>
    <w:rsid w:val="00117489"/>
    <w:rsid w:val="001176D1"/>
    <w:rsid w:val="00117D20"/>
    <w:rsid w:val="00117D2D"/>
    <w:rsid w:val="00117E81"/>
    <w:rsid w:val="00117F22"/>
    <w:rsid w:val="001201C9"/>
    <w:rsid w:val="00120712"/>
    <w:rsid w:val="0012093E"/>
    <w:rsid w:val="0012164D"/>
    <w:rsid w:val="0012186C"/>
    <w:rsid w:val="00121A86"/>
    <w:rsid w:val="00121DB2"/>
    <w:rsid w:val="00122280"/>
    <w:rsid w:val="0012255B"/>
    <w:rsid w:val="00122715"/>
    <w:rsid w:val="00122FEB"/>
    <w:rsid w:val="00123093"/>
    <w:rsid w:val="0012327A"/>
    <w:rsid w:val="00123462"/>
    <w:rsid w:val="00123AA7"/>
    <w:rsid w:val="00123B56"/>
    <w:rsid w:val="00123B7E"/>
    <w:rsid w:val="00123D84"/>
    <w:rsid w:val="001244A7"/>
    <w:rsid w:val="001245DE"/>
    <w:rsid w:val="00124705"/>
    <w:rsid w:val="0012473A"/>
    <w:rsid w:val="0012484E"/>
    <w:rsid w:val="00124D1E"/>
    <w:rsid w:val="00124D6C"/>
    <w:rsid w:val="00124D8F"/>
    <w:rsid w:val="00125082"/>
    <w:rsid w:val="001250CA"/>
    <w:rsid w:val="0012510B"/>
    <w:rsid w:val="001254F4"/>
    <w:rsid w:val="00125784"/>
    <w:rsid w:val="001258D4"/>
    <w:rsid w:val="00125923"/>
    <w:rsid w:val="00125945"/>
    <w:rsid w:val="00125BF4"/>
    <w:rsid w:val="00125E81"/>
    <w:rsid w:val="001260FD"/>
    <w:rsid w:val="0012612E"/>
    <w:rsid w:val="001264CE"/>
    <w:rsid w:val="001266C0"/>
    <w:rsid w:val="001266EE"/>
    <w:rsid w:val="001266F1"/>
    <w:rsid w:val="00126983"/>
    <w:rsid w:val="00126D3D"/>
    <w:rsid w:val="00126ECE"/>
    <w:rsid w:val="00127013"/>
    <w:rsid w:val="0012739B"/>
    <w:rsid w:val="001273D7"/>
    <w:rsid w:val="0012750E"/>
    <w:rsid w:val="00127795"/>
    <w:rsid w:val="001277B2"/>
    <w:rsid w:val="00127818"/>
    <w:rsid w:val="001278B5"/>
    <w:rsid w:val="0012799E"/>
    <w:rsid w:val="00127EBA"/>
    <w:rsid w:val="001301AD"/>
    <w:rsid w:val="00130697"/>
    <w:rsid w:val="001306C7"/>
    <w:rsid w:val="00130723"/>
    <w:rsid w:val="00130D4F"/>
    <w:rsid w:val="001310ED"/>
    <w:rsid w:val="001310EF"/>
    <w:rsid w:val="001312A4"/>
    <w:rsid w:val="00131689"/>
    <w:rsid w:val="00131771"/>
    <w:rsid w:val="00131B0E"/>
    <w:rsid w:val="00131E85"/>
    <w:rsid w:val="00132082"/>
    <w:rsid w:val="0013223E"/>
    <w:rsid w:val="00132A34"/>
    <w:rsid w:val="00132C8B"/>
    <w:rsid w:val="00132E26"/>
    <w:rsid w:val="00132F98"/>
    <w:rsid w:val="00133222"/>
    <w:rsid w:val="001333B0"/>
    <w:rsid w:val="001334AE"/>
    <w:rsid w:val="0013408D"/>
    <w:rsid w:val="0013409C"/>
    <w:rsid w:val="001340D6"/>
    <w:rsid w:val="00134320"/>
    <w:rsid w:val="00134C06"/>
    <w:rsid w:val="00134D56"/>
    <w:rsid w:val="0013502B"/>
    <w:rsid w:val="0013520C"/>
    <w:rsid w:val="0013546D"/>
    <w:rsid w:val="001357C3"/>
    <w:rsid w:val="001357FC"/>
    <w:rsid w:val="00135820"/>
    <w:rsid w:val="00135880"/>
    <w:rsid w:val="00135BE3"/>
    <w:rsid w:val="00135C30"/>
    <w:rsid w:val="00135C3D"/>
    <w:rsid w:val="00135CA0"/>
    <w:rsid w:val="00135DE8"/>
    <w:rsid w:val="00135EBA"/>
    <w:rsid w:val="00135F82"/>
    <w:rsid w:val="0013625D"/>
    <w:rsid w:val="0013653F"/>
    <w:rsid w:val="00136C7B"/>
    <w:rsid w:val="00137174"/>
    <w:rsid w:val="00137189"/>
    <w:rsid w:val="001378D3"/>
    <w:rsid w:val="001378FC"/>
    <w:rsid w:val="0013799D"/>
    <w:rsid w:val="00137B42"/>
    <w:rsid w:val="00137F1A"/>
    <w:rsid w:val="0014002A"/>
    <w:rsid w:val="001404C4"/>
    <w:rsid w:val="001406A5"/>
    <w:rsid w:val="001408E9"/>
    <w:rsid w:val="001409FC"/>
    <w:rsid w:val="00140A50"/>
    <w:rsid w:val="00140AAA"/>
    <w:rsid w:val="00140E69"/>
    <w:rsid w:val="00140E8D"/>
    <w:rsid w:val="00140FEA"/>
    <w:rsid w:val="001410E6"/>
    <w:rsid w:val="00141464"/>
    <w:rsid w:val="00141646"/>
    <w:rsid w:val="00141743"/>
    <w:rsid w:val="00141783"/>
    <w:rsid w:val="00141FA3"/>
    <w:rsid w:val="00142101"/>
    <w:rsid w:val="00142347"/>
    <w:rsid w:val="001424A8"/>
    <w:rsid w:val="00142836"/>
    <w:rsid w:val="00142909"/>
    <w:rsid w:val="00142ADC"/>
    <w:rsid w:val="00142DB0"/>
    <w:rsid w:val="00143060"/>
    <w:rsid w:val="001430D7"/>
    <w:rsid w:val="001431A8"/>
    <w:rsid w:val="0014343E"/>
    <w:rsid w:val="001434CF"/>
    <w:rsid w:val="00143EE2"/>
    <w:rsid w:val="001440E5"/>
    <w:rsid w:val="001440F4"/>
    <w:rsid w:val="00144202"/>
    <w:rsid w:val="0014420D"/>
    <w:rsid w:val="001442E5"/>
    <w:rsid w:val="0014439A"/>
    <w:rsid w:val="001444E3"/>
    <w:rsid w:val="00144C17"/>
    <w:rsid w:val="00144D09"/>
    <w:rsid w:val="00144ECC"/>
    <w:rsid w:val="00144FF0"/>
    <w:rsid w:val="00145066"/>
    <w:rsid w:val="0014531C"/>
    <w:rsid w:val="00145756"/>
    <w:rsid w:val="001457A7"/>
    <w:rsid w:val="00145A25"/>
    <w:rsid w:val="00146215"/>
    <w:rsid w:val="0014628A"/>
    <w:rsid w:val="00146405"/>
    <w:rsid w:val="001468C9"/>
    <w:rsid w:val="001468DE"/>
    <w:rsid w:val="00146CD7"/>
    <w:rsid w:val="00146F83"/>
    <w:rsid w:val="00146FE6"/>
    <w:rsid w:val="001471CA"/>
    <w:rsid w:val="00147508"/>
    <w:rsid w:val="00147666"/>
    <w:rsid w:val="00147832"/>
    <w:rsid w:val="00147E50"/>
    <w:rsid w:val="00147FE8"/>
    <w:rsid w:val="00150095"/>
    <w:rsid w:val="001500B8"/>
    <w:rsid w:val="00150285"/>
    <w:rsid w:val="00150944"/>
    <w:rsid w:val="0015095F"/>
    <w:rsid w:val="00150D34"/>
    <w:rsid w:val="00150F6B"/>
    <w:rsid w:val="00151190"/>
    <w:rsid w:val="00151385"/>
    <w:rsid w:val="0015185A"/>
    <w:rsid w:val="00151868"/>
    <w:rsid w:val="00151EAC"/>
    <w:rsid w:val="001520D1"/>
    <w:rsid w:val="001520E9"/>
    <w:rsid w:val="001525D1"/>
    <w:rsid w:val="001528E4"/>
    <w:rsid w:val="001529D2"/>
    <w:rsid w:val="00152AAA"/>
    <w:rsid w:val="00152C34"/>
    <w:rsid w:val="00152CA9"/>
    <w:rsid w:val="00152ECB"/>
    <w:rsid w:val="00152F7C"/>
    <w:rsid w:val="00152FE4"/>
    <w:rsid w:val="001534E8"/>
    <w:rsid w:val="00153A35"/>
    <w:rsid w:val="00153F49"/>
    <w:rsid w:val="001541EC"/>
    <w:rsid w:val="00154304"/>
    <w:rsid w:val="0015474B"/>
    <w:rsid w:val="00154A8B"/>
    <w:rsid w:val="00154B9A"/>
    <w:rsid w:val="00154DF3"/>
    <w:rsid w:val="00154E21"/>
    <w:rsid w:val="001555ED"/>
    <w:rsid w:val="00155842"/>
    <w:rsid w:val="0015585C"/>
    <w:rsid w:val="00155AE3"/>
    <w:rsid w:val="00156373"/>
    <w:rsid w:val="00156503"/>
    <w:rsid w:val="00156627"/>
    <w:rsid w:val="001566A1"/>
    <w:rsid w:val="0015693E"/>
    <w:rsid w:val="001569DB"/>
    <w:rsid w:val="00156ABE"/>
    <w:rsid w:val="00156B3E"/>
    <w:rsid w:val="00156D53"/>
    <w:rsid w:val="00156D99"/>
    <w:rsid w:val="00156DCD"/>
    <w:rsid w:val="00157181"/>
    <w:rsid w:val="00157773"/>
    <w:rsid w:val="001579FE"/>
    <w:rsid w:val="00157CF5"/>
    <w:rsid w:val="00157F6D"/>
    <w:rsid w:val="00160130"/>
    <w:rsid w:val="0016034C"/>
    <w:rsid w:val="00160469"/>
    <w:rsid w:val="0016081E"/>
    <w:rsid w:val="001608CA"/>
    <w:rsid w:val="00160F30"/>
    <w:rsid w:val="00161182"/>
    <w:rsid w:val="00161400"/>
    <w:rsid w:val="00161646"/>
    <w:rsid w:val="00161B78"/>
    <w:rsid w:val="00161B94"/>
    <w:rsid w:val="00161C2A"/>
    <w:rsid w:val="00161FDA"/>
    <w:rsid w:val="0016209F"/>
    <w:rsid w:val="0016264A"/>
    <w:rsid w:val="00162718"/>
    <w:rsid w:val="00162AB6"/>
    <w:rsid w:val="00162C7C"/>
    <w:rsid w:val="00162C82"/>
    <w:rsid w:val="00162CA1"/>
    <w:rsid w:val="00162F05"/>
    <w:rsid w:val="00163018"/>
    <w:rsid w:val="001633F0"/>
    <w:rsid w:val="0016362C"/>
    <w:rsid w:val="00163F36"/>
    <w:rsid w:val="001641D3"/>
    <w:rsid w:val="00164523"/>
    <w:rsid w:val="00164568"/>
    <w:rsid w:val="00164670"/>
    <w:rsid w:val="00164B1B"/>
    <w:rsid w:val="00164CF8"/>
    <w:rsid w:val="00164FDE"/>
    <w:rsid w:val="0016521C"/>
    <w:rsid w:val="001652D6"/>
    <w:rsid w:val="001658CC"/>
    <w:rsid w:val="00165B39"/>
    <w:rsid w:val="00165D03"/>
    <w:rsid w:val="00165D8F"/>
    <w:rsid w:val="00165F34"/>
    <w:rsid w:val="001660CE"/>
    <w:rsid w:val="001663E7"/>
    <w:rsid w:val="00166530"/>
    <w:rsid w:val="0016668A"/>
    <w:rsid w:val="00166A6D"/>
    <w:rsid w:val="00166ADD"/>
    <w:rsid w:val="00166B2B"/>
    <w:rsid w:val="00166BF6"/>
    <w:rsid w:val="00166D52"/>
    <w:rsid w:val="00166D66"/>
    <w:rsid w:val="00166E38"/>
    <w:rsid w:val="00166E64"/>
    <w:rsid w:val="0016703E"/>
    <w:rsid w:val="00167578"/>
    <w:rsid w:val="001679B9"/>
    <w:rsid w:val="00167A66"/>
    <w:rsid w:val="00167C41"/>
    <w:rsid w:val="00167DFF"/>
    <w:rsid w:val="00167E9E"/>
    <w:rsid w:val="001701F1"/>
    <w:rsid w:val="001702DA"/>
    <w:rsid w:val="0017033A"/>
    <w:rsid w:val="00170676"/>
    <w:rsid w:val="00170DD5"/>
    <w:rsid w:val="00171162"/>
    <w:rsid w:val="00171214"/>
    <w:rsid w:val="0017153B"/>
    <w:rsid w:val="00171643"/>
    <w:rsid w:val="0017172F"/>
    <w:rsid w:val="001718E7"/>
    <w:rsid w:val="00171D2B"/>
    <w:rsid w:val="00171FE6"/>
    <w:rsid w:val="0017223F"/>
    <w:rsid w:val="00172421"/>
    <w:rsid w:val="001724B9"/>
    <w:rsid w:val="0017288D"/>
    <w:rsid w:val="00172EBF"/>
    <w:rsid w:val="00173124"/>
    <w:rsid w:val="001733FE"/>
    <w:rsid w:val="00173400"/>
    <w:rsid w:val="00173712"/>
    <w:rsid w:val="00173A9B"/>
    <w:rsid w:val="00173C69"/>
    <w:rsid w:val="00173D35"/>
    <w:rsid w:val="00173E69"/>
    <w:rsid w:val="00173F88"/>
    <w:rsid w:val="0017412A"/>
    <w:rsid w:val="00174372"/>
    <w:rsid w:val="001744D0"/>
    <w:rsid w:val="0017453D"/>
    <w:rsid w:val="001749CF"/>
    <w:rsid w:val="00174C9E"/>
    <w:rsid w:val="00174D88"/>
    <w:rsid w:val="00175618"/>
    <w:rsid w:val="0017577D"/>
    <w:rsid w:val="001757E6"/>
    <w:rsid w:val="001759FC"/>
    <w:rsid w:val="00175C81"/>
    <w:rsid w:val="00175F59"/>
    <w:rsid w:val="00176304"/>
    <w:rsid w:val="00176501"/>
    <w:rsid w:val="0017693E"/>
    <w:rsid w:val="001769FC"/>
    <w:rsid w:val="00176AE7"/>
    <w:rsid w:val="00176C69"/>
    <w:rsid w:val="00176E25"/>
    <w:rsid w:val="00177BEA"/>
    <w:rsid w:val="00177FB3"/>
    <w:rsid w:val="001803D7"/>
    <w:rsid w:val="00180560"/>
    <w:rsid w:val="00180750"/>
    <w:rsid w:val="00180885"/>
    <w:rsid w:val="00180C5E"/>
    <w:rsid w:val="00181033"/>
    <w:rsid w:val="0018111D"/>
    <w:rsid w:val="001811AD"/>
    <w:rsid w:val="001811B8"/>
    <w:rsid w:val="00181245"/>
    <w:rsid w:val="00181488"/>
    <w:rsid w:val="0018149A"/>
    <w:rsid w:val="0018150B"/>
    <w:rsid w:val="00181613"/>
    <w:rsid w:val="0018161F"/>
    <w:rsid w:val="00181912"/>
    <w:rsid w:val="00181A59"/>
    <w:rsid w:val="00181F96"/>
    <w:rsid w:val="0018228E"/>
    <w:rsid w:val="00182391"/>
    <w:rsid w:val="00182A6D"/>
    <w:rsid w:val="00182B55"/>
    <w:rsid w:val="00182DC3"/>
    <w:rsid w:val="00182E94"/>
    <w:rsid w:val="00182F16"/>
    <w:rsid w:val="0018303B"/>
    <w:rsid w:val="00183242"/>
    <w:rsid w:val="001832D1"/>
    <w:rsid w:val="001833A6"/>
    <w:rsid w:val="0018343F"/>
    <w:rsid w:val="0018344B"/>
    <w:rsid w:val="00183551"/>
    <w:rsid w:val="001839E1"/>
    <w:rsid w:val="00183AAD"/>
    <w:rsid w:val="00183D15"/>
    <w:rsid w:val="00183E60"/>
    <w:rsid w:val="001840F8"/>
    <w:rsid w:val="001846DF"/>
    <w:rsid w:val="001847B5"/>
    <w:rsid w:val="00184B58"/>
    <w:rsid w:val="00184D3F"/>
    <w:rsid w:val="001852E6"/>
    <w:rsid w:val="001852F9"/>
    <w:rsid w:val="001856DE"/>
    <w:rsid w:val="00185BB7"/>
    <w:rsid w:val="00185EBA"/>
    <w:rsid w:val="00185FEC"/>
    <w:rsid w:val="0018625A"/>
    <w:rsid w:val="00186358"/>
    <w:rsid w:val="00186438"/>
    <w:rsid w:val="001866EA"/>
    <w:rsid w:val="001869BE"/>
    <w:rsid w:val="00186E3B"/>
    <w:rsid w:val="00186F47"/>
    <w:rsid w:val="0018743D"/>
    <w:rsid w:val="001874D9"/>
    <w:rsid w:val="001876DB"/>
    <w:rsid w:val="001877AC"/>
    <w:rsid w:val="00187BD5"/>
    <w:rsid w:val="00187C66"/>
    <w:rsid w:val="00187DAA"/>
    <w:rsid w:val="00187FBA"/>
    <w:rsid w:val="00190056"/>
    <w:rsid w:val="00190122"/>
    <w:rsid w:val="001901B5"/>
    <w:rsid w:val="0019071C"/>
    <w:rsid w:val="00190AA7"/>
    <w:rsid w:val="00190D6B"/>
    <w:rsid w:val="00190F4A"/>
    <w:rsid w:val="001910EA"/>
    <w:rsid w:val="00191133"/>
    <w:rsid w:val="001912B5"/>
    <w:rsid w:val="00191552"/>
    <w:rsid w:val="00192134"/>
    <w:rsid w:val="001921A7"/>
    <w:rsid w:val="0019249C"/>
    <w:rsid w:val="001924F8"/>
    <w:rsid w:val="00192645"/>
    <w:rsid w:val="00192749"/>
    <w:rsid w:val="0019288F"/>
    <w:rsid w:val="00192AC2"/>
    <w:rsid w:val="00192C92"/>
    <w:rsid w:val="00192D7A"/>
    <w:rsid w:val="00192DF9"/>
    <w:rsid w:val="00192F27"/>
    <w:rsid w:val="00193643"/>
    <w:rsid w:val="0019368B"/>
    <w:rsid w:val="001936C5"/>
    <w:rsid w:val="00193904"/>
    <w:rsid w:val="00193A0C"/>
    <w:rsid w:val="00193B9A"/>
    <w:rsid w:val="00193D87"/>
    <w:rsid w:val="00193F4E"/>
    <w:rsid w:val="001943FA"/>
    <w:rsid w:val="00194803"/>
    <w:rsid w:val="0019497A"/>
    <w:rsid w:val="00194BF8"/>
    <w:rsid w:val="0019532A"/>
    <w:rsid w:val="001956C1"/>
    <w:rsid w:val="001957D3"/>
    <w:rsid w:val="00195ACD"/>
    <w:rsid w:val="00195BFC"/>
    <w:rsid w:val="00195D23"/>
    <w:rsid w:val="00195E1E"/>
    <w:rsid w:val="00195E3B"/>
    <w:rsid w:val="00195E5E"/>
    <w:rsid w:val="00195F19"/>
    <w:rsid w:val="001961EC"/>
    <w:rsid w:val="001962BE"/>
    <w:rsid w:val="00196312"/>
    <w:rsid w:val="0019638D"/>
    <w:rsid w:val="0019644F"/>
    <w:rsid w:val="00196508"/>
    <w:rsid w:val="00196647"/>
    <w:rsid w:val="0019675E"/>
    <w:rsid w:val="00196889"/>
    <w:rsid w:val="0019692A"/>
    <w:rsid w:val="0019692F"/>
    <w:rsid w:val="00196AF5"/>
    <w:rsid w:val="00196BA9"/>
    <w:rsid w:val="00196F43"/>
    <w:rsid w:val="00196F8A"/>
    <w:rsid w:val="001976DC"/>
    <w:rsid w:val="0019778C"/>
    <w:rsid w:val="0019789F"/>
    <w:rsid w:val="001978EC"/>
    <w:rsid w:val="0019795B"/>
    <w:rsid w:val="00197D23"/>
    <w:rsid w:val="00197DAF"/>
    <w:rsid w:val="00197DCD"/>
    <w:rsid w:val="00197EA9"/>
    <w:rsid w:val="00197F9B"/>
    <w:rsid w:val="001A0644"/>
    <w:rsid w:val="001A0B19"/>
    <w:rsid w:val="001A0BC6"/>
    <w:rsid w:val="001A0C34"/>
    <w:rsid w:val="001A0C3F"/>
    <w:rsid w:val="001A0EF8"/>
    <w:rsid w:val="001A1059"/>
    <w:rsid w:val="001A119C"/>
    <w:rsid w:val="001A11C7"/>
    <w:rsid w:val="001A1270"/>
    <w:rsid w:val="001A1405"/>
    <w:rsid w:val="001A1496"/>
    <w:rsid w:val="001A155E"/>
    <w:rsid w:val="001A166F"/>
    <w:rsid w:val="001A1889"/>
    <w:rsid w:val="001A19FE"/>
    <w:rsid w:val="001A1A14"/>
    <w:rsid w:val="001A1C41"/>
    <w:rsid w:val="001A1D57"/>
    <w:rsid w:val="001A1F84"/>
    <w:rsid w:val="001A243C"/>
    <w:rsid w:val="001A245B"/>
    <w:rsid w:val="001A24AA"/>
    <w:rsid w:val="001A277F"/>
    <w:rsid w:val="001A27C5"/>
    <w:rsid w:val="001A28C0"/>
    <w:rsid w:val="001A2BE7"/>
    <w:rsid w:val="001A2CF2"/>
    <w:rsid w:val="001A2D2E"/>
    <w:rsid w:val="001A3292"/>
    <w:rsid w:val="001A35F6"/>
    <w:rsid w:val="001A36D9"/>
    <w:rsid w:val="001A37DC"/>
    <w:rsid w:val="001A3994"/>
    <w:rsid w:val="001A39F1"/>
    <w:rsid w:val="001A3D54"/>
    <w:rsid w:val="001A4074"/>
    <w:rsid w:val="001A4466"/>
    <w:rsid w:val="001A44CA"/>
    <w:rsid w:val="001A460B"/>
    <w:rsid w:val="001A4ACF"/>
    <w:rsid w:val="001A4DAF"/>
    <w:rsid w:val="001A4FF3"/>
    <w:rsid w:val="001A5024"/>
    <w:rsid w:val="001A516E"/>
    <w:rsid w:val="001A54AF"/>
    <w:rsid w:val="001A5616"/>
    <w:rsid w:val="001A5801"/>
    <w:rsid w:val="001A58DB"/>
    <w:rsid w:val="001A5A5A"/>
    <w:rsid w:val="001A60EC"/>
    <w:rsid w:val="001A61AC"/>
    <w:rsid w:val="001A6806"/>
    <w:rsid w:val="001A6BA2"/>
    <w:rsid w:val="001A7019"/>
    <w:rsid w:val="001A77C7"/>
    <w:rsid w:val="001A7A44"/>
    <w:rsid w:val="001A7B81"/>
    <w:rsid w:val="001A7C85"/>
    <w:rsid w:val="001A7DC1"/>
    <w:rsid w:val="001A7E70"/>
    <w:rsid w:val="001A7F22"/>
    <w:rsid w:val="001A7FF3"/>
    <w:rsid w:val="001B0140"/>
    <w:rsid w:val="001B021F"/>
    <w:rsid w:val="001B02FE"/>
    <w:rsid w:val="001B037F"/>
    <w:rsid w:val="001B03AB"/>
    <w:rsid w:val="001B03F0"/>
    <w:rsid w:val="001B04DB"/>
    <w:rsid w:val="001B04FD"/>
    <w:rsid w:val="001B0985"/>
    <w:rsid w:val="001B0991"/>
    <w:rsid w:val="001B0BB0"/>
    <w:rsid w:val="001B0E03"/>
    <w:rsid w:val="001B0E32"/>
    <w:rsid w:val="001B0E4A"/>
    <w:rsid w:val="001B1057"/>
    <w:rsid w:val="001B1278"/>
    <w:rsid w:val="001B17AD"/>
    <w:rsid w:val="001B1B61"/>
    <w:rsid w:val="001B1CA8"/>
    <w:rsid w:val="001B1F0A"/>
    <w:rsid w:val="001B202E"/>
    <w:rsid w:val="001B2159"/>
    <w:rsid w:val="001B2444"/>
    <w:rsid w:val="001B2452"/>
    <w:rsid w:val="001B29DB"/>
    <w:rsid w:val="001B2C34"/>
    <w:rsid w:val="001B2F6B"/>
    <w:rsid w:val="001B3248"/>
    <w:rsid w:val="001B324A"/>
    <w:rsid w:val="001B347A"/>
    <w:rsid w:val="001B38D8"/>
    <w:rsid w:val="001B392D"/>
    <w:rsid w:val="001B3BBB"/>
    <w:rsid w:val="001B4134"/>
    <w:rsid w:val="001B4514"/>
    <w:rsid w:val="001B45EB"/>
    <w:rsid w:val="001B4672"/>
    <w:rsid w:val="001B468B"/>
    <w:rsid w:val="001B474B"/>
    <w:rsid w:val="001B4A15"/>
    <w:rsid w:val="001B4D4A"/>
    <w:rsid w:val="001B4DBD"/>
    <w:rsid w:val="001B4E73"/>
    <w:rsid w:val="001B5045"/>
    <w:rsid w:val="001B519F"/>
    <w:rsid w:val="001B53BE"/>
    <w:rsid w:val="001B560F"/>
    <w:rsid w:val="001B562F"/>
    <w:rsid w:val="001B59EE"/>
    <w:rsid w:val="001B5AB7"/>
    <w:rsid w:val="001B5EEB"/>
    <w:rsid w:val="001B61F7"/>
    <w:rsid w:val="001B6C2D"/>
    <w:rsid w:val="001B6C4F"/>
    <w:rsid w:val="001B6E94"/>
    <w:rsid w:val="001B70D7"/>
    <w:rsid w:val="001B769B"/>
    <w:rsid w:val="001B76F7"/>
    <w:rsid w:val="001B7BD5"/>
    <w:rsid w:val="001B7D64"/>
    <w:rsid w:val="001C0034"/>
    <w:rsid w:val="001C00CE"/>
    <w:rsid w:val="001C0184"/>
    <w:rsid w:val="001C06AD"/>
    <w:rsid w:val="001C0D59"/>
    <w:rsid w:val="001C0D70"/>
    <w:rsid w:val="001C0DC6"/>
    <w:rsid w:val="001C1015"/>
    <w:rsid w:val="001C1133"/>
    <w:rsid w:val="001C13DD"/>
    <w:rsid w:val="001C15C2"/>
    <w:rsid w:val="001C1669"/>
    <w:rsid w:val="001C1732"/>
    <w:rsid w:val="001C1746"/>
    <w:rsid w:val="001C1774"/>
    <w:rsid w:val="001C1790"/>
    <w:rsid w:val="001C1ACF"/>
    <w:rsid w:val="001C1AED"/>
    <w:rsid w:val="001C1B27"/>
    <w:rsid w:val="001C1B8F"/>
    <w:rsid w:val="001C1B99"/>
    <w:rsid w:val="001C1C1D"/>
    <w:rsid w:val="001C1CA7"/>
    <w:rsid w:val="001C1EB3"/>
    <w:rsid w:val="001C1F48"/>
    <w:rsid w:val="001C1F64"/>
    <w:rsid w:val="001C2193"/>
    <w:rsid w:val="001C22C4"/>
    <w:rsid w:val="001C23AB"/>
    <w:rsid w:val="001C2471"/>
    <w:rsid w:val="001C248F"/>
    <w:rsid w:val="001C25D1"/>
    <w:rsid w:val="001C27AD"/>
    <w:rsid w:val="001C282E"/>
    <w:rsid w:val="001C28CF"/>
    <w:rsid w:val="001C29B1"/>
    <w:rsid w:val="001C2C77"/>
    <w:rsid w:val="001C30C2"/>
    <w:rsid w:val="001C363B"/>
    <w:rsid w:val="001C3932"/>
    <w:rsid w:val="001C3B9D"/>
    <w:rsid w:val="001C3C2C"/>
    <w:rsid w:val="001C4225"/>
    <w:rsid w:val="001C4717"/>
    <w:rsid w:val="001C4A8F"/>
    <w:rsid w:val="001C4B1B"/>
    <w:rsid w:val="001C4BCD"/>
    <w:rsid w:val="001C4BFE"/>
    <w:rsid w:val="001C4C7A"/>
    <w:rsid w:val="001C4D4D"/>
    <w:rsid w:val="001C4DF5"/>
    <w:rsid w:val="001C4F0A"/>
    <w:rsid w:val="001C50B6"/>
    <w:rsid w:val="001C5258"/>
    <w:rsid w:val="001C5655"/>
    <w:rsid w:val="001C57C6"/>
    <w:rsid w:val="001C5B83"/>
    <w:rsid w:val="001C5BA9"/>
    <w:rsid w:val="001C5C16"/>
    <w:rsid w:val="001C5C92"/>
    <w:rsid w:val="001C5D8F"/>
    <w:rsid w:val="001C5E05"/>
    <w:rsid w:val="001C6580"/>
    <w:rsid w:val="001C69A1"/>
    <w:rsid w:val="001C6A76"/>
    <w:rsid w:val="001C6B9C"/>
    <w:rsid w:val="001C6C0E"/>
    <w:rsid w:val="001C6D83"/>
    <w:rsid w:val="001C6E6B"/>
    <w:rsid w:val="001C70AC"/>
    <w:rsid w:val="001C7171"/>
    <w:rsid w:val="001C72BC"/>
    <w:rsid w:val="001C73F6"/>
    <w:rsid w:val="001C76EB"/>
    <w:rsid w:val="001C774E"/>
    <w:rsid w:val="001C77CB"/>
    <w:rsid w:val="001C77F7"/>
    <w:rsid w:val="001C79C7"/>
    <w:rsid w:val="001C7A1B"/>
    <w:rsid w:val="001C7F10"/>
    <w:rsid w:val="001C7F4F"/>
    <w:rsid w:val="001C7F6B"/>
    <w:rsid w:val="001D021A"/>
    <w:rsid w:val="001D079E"/>
    <w:rsid w:val="001D0820"/>
    <w:rsid w:val="001D0878"/>
    <w:rsid w:val="001D095F"/>
    <w:rsid w:val="001D09E8"/>
    <w:rsid w:val="001D0AB7"/>
    <w:rsid w:val="001D0BCA"/>
    <w:rsid w:val="001D0D5C"/>
    <w:rsid w:val="001D0EAE"/>
    <w:rsid w:val="001D0F1C"/>
    <w:rsid w:val="001D0F98"/>
    <w:rsid w:val="001D10B5"/>
    <w:rsid w:val="001D14CB"/>
    <w:rsid w:val="001D17D8"/>
    <w:rsid w:val="001D17FF"/>
    <w:rsid w:val="001D1986"/>
    <w:rsid w:val="001D19E5"/>
    <w:rsid w:val="001D1A89"/>
    <w:rsid w:val="001D1C16"/>
    <w:rsid w:val="001D1E56"/>
    <w:rsid w:val="001D20F5"/>
    <w:rsid w:val="001D2B9D"/>
    <w:rsid w:val="001D2BE1"/>
    <w:rsid w:val="001D2E61"/>
    <w:rsid w:val="001D2F45"/>
    <w:rsid w:val="001D3315"/>
    <w:rsid w:val="001D34DD"/>
    <w:rsid w:val="001D3512"/>
    <w:rsid w:val="001D3998"/>
    <w:rsid w:val="001D3A7C"/>
    <w:rsid w:val="001D3BD6"/>
    <w:rsid w:val="001D3D08"/>
    <w:rsid w:val="001D3E49"/>
    <w:rsid w:val="001D437C"/>
    <w:rsid w:val="001D444E"/>
    <w:rsid w:val="001D4459"/>
    <w:rsid w:val="001D495F"/>
    <w:rsid w:val="001D49CC"/>
    <w:rsid w:val="001D4A09"/>
    <w:rsid w:val="001D4B8F"/>
    <w:rsid w:val="001D4DAF"/>
    <w:rsid w:val="001D4FB2"/>
    <w:rsid w:val="001D5012"/>
    <w:rsid w:val="001D515A"/>
    <w:rsid w:val="001D549F"/>
    <w:rsid w:val="001D5B13"/>
    <w:rsid w:val="001D5BCE"/>
    <w:rsid w:val="001D5C29"/>
    <w:rsid w:val="001D63C0"/>
    <w:rsid w:val="001D66F2"/>
    <w:rsid w:val="001D67E9"/>
    <w:rsid w:val="001D6838"/>
    <w:rsid w:val="001D689B"/>
    <w:rsid w:val="001D6A8B"/>
    <w:rsid w:val="001D6D19"/>
    <w:rsid w:val="001D6FE3"/>
    <w:rsid w:val="001D71EB"/>
    <w:rsid w:val="001D726F"/>
    <w:rsid w:val="001D73A4"/>
    <w:rsid w:val="001D73CA"/>
    <w:rsid w:val="001D77BB"/>
    <w:rsid w:val="001D780D"/>
    <w:rsid w:val="001D7872"/>
    <w:rsid w:val="001D7879"/>
    <w:rsid w:val="001D7FF2"/>
    <w:rsid w:val="001E00FA"/>
    <w:rsid w:val="001E03A5"/>
    <w:rsid w:val="001E043A"/>
    <w:rsid w:val="001E0514"/>
    <w:rsid w:val="001E0559"/>
    <w:rsid w:val="001E061F"/>
    <w:rsid w:val="001E09C0"/>
    <w:rsid w:val="001E0E9C"/>
    <w:rsid w:val="001E10BE"/>
    <w:rsid w:val="001E1588"/>
    <w:rsid w:val="001E1901"/>
    <w:rsid w:val="001E1D5D"/>
    <w:rsid w:val="001E1E76"/>
    <w:rsid w:val="001E207C"/>
    <w:rsid w:val="001E213A"/>
    <w:rsid w:val="001E232F"/>
    <w:rsid w:val="001E27BE"/>
    <w:rsid w:val="001E2804"/>
    <w:rsid w:val="001E2AFC"/>
    <w:rsid w:val="001E34B2"/>
    <w:rsid w:val="001E34D9"/>
    <w:rsid w:val="001E354F"/>
    <w:rsid w:val="001E3726"/>
    <w:rsid w:val="001E3B41"/>
    <w:rsid w:val="001E3BD3"/>
    <w:rsid w:val="001E3CE7"/>
    <w:rsid w:val="001E4234"/>
    <w:rsid w:val="001E4AB3"/>
    <w:rsid w:val="001E4BD2"/>
    <w:rsid w:val="001E4F06"/>
    <w:rsid w:val="001E50EA"/>
    <w:rsid w:val="001E5A45"/>
    <w:rsid w:val="001E5B56"/>
    <w:rsid w:val="001E5BCF"/>
    <w:rsid w:val="001E5D6B"/>
    <w:rsid w:val="001E6410"/>
    <w:rsid w:val="001E648D"/>
    <w:rsid w:val="001E6570"/>
    <w:rsid w:val="001E6771"/>
    <w:rsid w:val="001E67E1"/>
    <w:rsid w:val="001E67E6"/>
    <w:rsid w:val="001E69DD"/>
    <w:rsid w:val="001E7018"/>
    <w:rsid w:val="001E7027"/>
    <w:rsid w:val="001E7360"/>
    <w:rsid w:val="001E7618"/>
    <w:rsid w:val="001E7E9D"/>
    <w:rsid w:val="001E7F58"/>
    <w:rsid w:val="001F028B"/>
    <w:rsid w:val="001F02A9"/>
    <w:rsid w:val="001F03F1"/>
    <w:rsid w:val="001F045F"/>
    <w:rsid w:val="001F04B6"/>
    <w:rsid w:val="001F0860"/>
    <w:rsid w:val="001F0887"/>
    <w:rsid w:val="001F0898"/>
    <w:rsid w:val="001F0AC4"/>
    <w:rsid w:val="001F1302"/>
    <w:rsid w:val="001F1B24"/>
    <w:rsid w:val="001F1EA0"/>
    <w:rsid w:val="001F1EE0"/>
    <w:rsid w:val="001F1F8B"/>
    <w:rsid w:val="001F22A1"/>
    <w:rsid w:val="001F27D5"/>
    <w:rsid w:val="001F28A8"/>
    <w:rsid w:val="001F28FB"/>
    <w:rsid w:val="001F2A2C"/>
    <w:rsid w:val="001F2C76"/>
    <w:rsid w:val="001F2CC7"/>
    <w:rsid w:val="001F2F4F"/>
    <w:rsid w:val="001F3061"/>
    <w:rsid w:val="001F3082"/>
    <w:rsid w:val="001F32E0"/>
    <w:rsid w:val="001F3A4E"/>
    <w:rsid w:val="001F3BB3"/>
    <w:rsid w:val="001F3F50"/>
    <w:rsid w:val="001F4055"/>
    <w:rsid w:val="001F40FA"/>
    <w:rsid w:val="001F41A3"/>
    <w:rsid w:val="001F4537"/>
    <w:rsid w:val="001F49B2"/>
    <w:rsid w:val="001F4B87"/>
    <w:rsid w:val="001F518D"/>
    <w:rsid w:val="001F51A3"/>
    <w:rsid w:val="001F5447"/>
    <w:rsid w:val="001F5535"/>
    <w:rsid w:val="001F57B8"/>
    <w:rsid w:val="001F581E"/>
    <w:rsid w:val="001F5836"/>
    <w:rsid w:val="001F585B"/>
    <w:rsid w:val="001F5A23"/>
    <w:rsid w:val="001F5A8C"/>
    <w:rsid w:val="001F5C7D"/>
    <w:rsid w:val="001F5C87"/>
    <w:rsid w:val="001F5DB1"/>
    <w:rsid w:val="001F6B56"/>
    <w:rsid w:val="001F6CD4"/>
    <w:rsid w:val="001F70F4"/>
    <w:rsid w:val="001F7117"/>
    <w:rsid w:val="001F7588"/>
    <w:rsid w:val="001F78C4"/>
    <w:rsid w:val="001F7BCB"/>
    <w:rsid w:val="001F7D69"/>
    <w:rsid w:val="001F7FC6"/>
    <w:rsid w:val="0020002D"/>
    <w:rsid w:val="00200162"/>
    <w:rsid w:val="00200349"/>
    <w:rsid w:val="00200526"/>
    <w:rsid w:val="002008FF"/>
    <w:rsid w:val="00200EA0"/>
    <w:rsid w:val="0020105F"/>
    <w:rsid w:val="002019FC"/>
    <w:rsid w:val="00201A3D"/>
    <w:rsid w:val="00201A4E"/>
    <w:rsid w:val="00201A9F"/>
    <w:rsid w:val="00201C6D"/>
    <w:rsid w:val="00201F8F"/>
    <w:rsid w:val="00202306"/>
    <w:rsid w:val="002023B7"/>
    <w:rsid w:val="00202A81"/>
    <w:rsid w:val="00202D21"/>
    <w:rsid w:val="00202E03"/>
    <w:rsid w:val="0020306A"/>
    <w:rsid w:val="002031E2"/>
    <w:rsid w:val="00203226"/>
    <w:rsid w:val="0020325F"/>
    <w:rsid w:val="002032F1"/>
    <w:rsid w:val="00203664"/>
    <w:rsid w:val="0020379C"/>
    <w:rsid w:val="00203891"/>
    <w:rsid w:val="00203969"/>
    <w:rsid w:val="002039B5"/>
    <w:rsid w:val="00203A52"/>
    <w:rsid w:val="00203C33"/>
    <w:rsid w:val="00203C57"/>
    <w:rsid w:val="00203CD2"/>
    <w:rsid w:val="00204596"/>
    <w:rsid w:val="00204708"/>
    <w:rsid w:val="00204B17"/>
    <w:rsid w:val="002058FE"/>
    <w:rsid w:val="00205924"/>
    <w:rsid w:val="00205AF5"/>
    <w:rsid w:val="00205B92"/>
    <w:rsid w:val="00205BFA"/>
    <w:rsid w:val="00205E40"/>
    <w:rsid w:val="00206262"/>
    <w:rsid w:val="00206359"/>
    <w:rsid w:val="00206533"/>
    <w:rsid w:val="0020673B"/>
    <w:rsid w:val="002068BB"/>
    <w:rsid w:val="00206905"/>
    <w:rsid w:val="00206A29"/>
    <w:rsid w:val="00206C8D"/>
    <w:rsid w:val="002070F6"/>
    <w:rsid w:val="00207254"/>
    <w:rsid w:val="002073B7"/>
    <w:rsid w:val="00207540"/>
    <w:rsid w:val="0020794C"/>
    <w:rsid w:val="00207A07"/>
    <w:rsid w:val="00207AA9"/>
    <w:rsid w:val="00207AB8"/>
    <w:rsid w:val="00207E61"/>
    <w:rsid w:val="002103DD"/>
    <w:rsid w:val="00210DB6"/>
    <w:rsid w:val="00210E13"/>
    <w:rsid w:val="00211297"/>
    <w:rsid w:val="00211305"/>
    <w:rsid w:val="0021167D"/>
    <w:rsid w:val="00211814"/>
    <w:rsid w:val="00211A7E"/>
    <w:rsid w:val="00211B76"/>
    <w:rsid w:val="00211BE5"/>
    <w:rsid w:val="00211D94"/>
    <w:rsid w:val="00211E34"/>
    <w:rsid w:val="00211E63"/>
    <w:rsid w:val="00212207"/>
    <w:rsid w:val="0021224F"/>
    <w:rsid w:val="00212409"/>
    <w:rsid w:val="0021242B"/>
    <w:rsid w:val="00212E0F"/>
    <w:rsid w:val="00212FF6"/>
    <w:rsid w:val="0021306E"/>
    <w:rsid w:val="002130C9"/>
    <w:rsid w:val="00213570"/>
    <w:rsid w:val="002136EA"/>
    <w:rsid w:val="00213860"/>
    <w:rsid w:val="00213A26"/>
    <w:rsid w:val="00213D84"/>
    <w:rsid w:val="00214048"/>
    <w:rsid w:val="002141F0"/>
    <w:rsid w:val="00214575"/>
    <w:rsid w:val="00214C65"/>
    <w:rsid w:val="00214ED1"/>
    <w:rsid w:val="0021539B"/>
    <w:rsid w:val="002156E1"/>
    <w:rsid w:val="0021576A"/>
    <w:rsid w:val="00215F25"/>
    <w:rsid w:val="002160F3"/>
    <w:rsid w:val="0021638F"/>
    <w:rsid w:val="002167B8"/>
    <w:rsid w:val="00216858"/>
    <w:rsid w:val="00216894"/>
    <w:rsid w:val="00216937"/>
    <w:rsid w:val="002171E5"/>
    <w:rsid w:val="00217405"/>
    <w:rsid w:val="002177B6"/>
    <w:rsid w:val="00217863"/>
    <w:rsid w:val="0021790C"/>
    <w:rsid w:val="00217A8C"/>
    <w:rsid w:val="00217AFD"/>
    <w:rsid w:val="00217D07"/>
    <w:rsid w:val="002202A3"/>
    <w:rsid w:val="002203A9"/>
    <w:rsid w:val="00220794"/>
    <w:rsid w:val="002209D8"/>
    <w:rsid w:val="002209FF"/>
    <w:rsid w:val="00220AE5"/>
    <w:rsid w:val="00220B88"/>
    <w:rsid w:val="00220C15"/>
    <w:rsid w:val="00220CCE"/>
    <w:rsid w:val="00220DF1"/>
    <w:rsid w:val="00220F60"/>
    <w:rsid w:val="00221233"/>
    <w:rsid w:val="0022124D"/>
    <w:rsid w:val="002213C5"/>
    <w:rsid w:val="0022144A"/>
    <w:rsid w:val="00221DB7"/>
    <w:rsid w:val="0022229C"/>
    <w:rsid w:val="002223D2"/>
    <w:rsid w:val="00222567"/>
    <w:rsid w:val="00222C4E"/>
    <w:rsid w:val="00222C80"/>
    <w:rsid w:val="00222CFD"/>
    <w:rsid w:val="00222E1C"/>
    <w:rsid w:val="0022338B"/>
    <w:rsid w:val="0022342B"/>
    <w:rsid w:val="002237AB"/>
    <w:rsid w:val="00223A45"/>
    <w:rsid w:val="00223AEE"/>
    <w:rsid w:val="00223C64"/>
    <w:rsid w:val="00223D85"/>
    <w:rsid w:val="0022400B"/>
    <w:rsid w:val="002243D0"/>
    <w:rsid w:val="00224ADF"/>
    <w:rsid w:val="00224C8E"/>
    <w:rsid w:val="00224D94"/>
    <w:rsid w:val="00224E3D"/>
    <w:rsid w:val="00224EA7"/>
    <w:rsid w:val="00224F7E"/>
    <w:rsid w:val="00224FA6"/>
    <w:rsid w:val="0022503E"/>
    <w:rsid w:val="0022512C"/>
    <w:rsid w:val="00225239"/>
    <w:rsid w:val="0022526B"/>
    <w:rsid w:val="00225319"/>
    <w:rsid w:val="002256D5"/>
    <w:rsid w:val="0022572A"/>
    <w:rsid w:val="00225B60"/>
    <w:rsid w:val="00225CE1"/>
    <w:rsid w:val="00225EF6"/>
    <w:rsid w:val="00226104"/>
    <w:rsid w:val="00226631"/>
    <w:rsid w:val="00226783"/>
    <w:rsid w:val="00226C45"/>
    <w:rsid w:val="002271DF"/>
    <w:rsid w:val="00227612"/>
    <w:rsid w:val="00227801"/>
    <w:rsid w:val="00227942"/>
    <w:rsid w:val="00227989"/>
    <w:rsid w:val="00227A3A"/>
    <w:rsid w:val="00227B0D"/>
    <w:rsid w:val="00227B70"/>
    <w:rsid w:val="00227B8A"/>
    <w:rsid w:val="00227FE7"/>
    <w:rsid w:val="002303B1"/>
    <w:rsid w:val="002306D6"/>
    <w:rsid w:val="00230DB1"/>
    <w:rsid w:val="00231094"/>
    <w:rsid w:val="002310BC"/>
    <w:rsid w:val="0023148A"/>
    <w:rsid w:val="00231739"/>
    <w:rsid w:val="002319E0"/>
    <w:rsid w:val="00231D14"/>
    <w:rsid w:val="00231F57"/>
    <w:rsid w:val="00232334"/>
    <w:rsid w:val="0023255F"/>
    <w:rsid w:val="002327AA"/>
    <w:rsid w:val="00232DB7"/>
    <w:rsid w:val="00232F8B"/>
    <w:rsid w:val="0023322A"/>
    <w:rsid w:val="002334A0"/>
    <w:rsid w:val="00233BD9"/>
    <w:rsid w:val="00233F8F"/>
    <w:rsid w:val="00233F90"/>
    <w:rsid w:val="0023422C"/>
    <w:rsid w:val="00234AD6"/>
    <w:rsid w:val="00234D6C"/>
    <w:rsid w:val="00234F64"/>
    <w:rsid w:val="00235331"/>
    <w:rsid w:val="0023572C"/>
    <w:rsid w:val="0023588F"/>
    <w:rsid w:val="00235B12"/>
    <w:rsid w:val="00235DF9"/>
    <w:rsid w:val="00235F28"/>
    <w:rsid w:val="00236559"/>
    <w:rsid w:val="0023751F"/>
    <w:rsid w:val="002375AD"/>
    <w:rsid w:val="00237A79"/>
    <w:rsid w:val="00237D27"/>
    <w:rsid w:val="00240618"/>
    <w:rsid w:val="002406C3"/>
    <w:rsid w:val="0024071A"/>
    <w:rsid w:val="00240C5B"/>
    <w:rsid w:val="00240D3F"/>
    <w:rsid w:val="00240F2C"/>
    <w:rsid w:val="002413F6"/>
    <w:rsid w:val="0024170E"/>
    <w:rsid w:val="00241B3F"/>
    <w:rsid w:val="00241CEA"/>
    <w:rsid w:val="00241DF2"/>
    <w:rsid w:val="00241E40"/>
    <w:rsid w:val="00241E55"/>
    <w:rsid w:val="00241F87"/>
    <w:rsid w:val="002427A3"/>
    <w:rsid w:val="00242B47"/>
    <w:rsid w:val="00242C41"/>
    <w:rsid w:val="002430BD"/>
    <w:rsid w:val="00243485"/>
    <w:rsid w:val="0024357E"/>
    <w:rsid w:val="002438D4"/>
    <w:rsid w:val="00243A62"/>
    <w:rsid w:val="00243AE4"/>
    <w:rsid w:val="00243CF5"/>
    <w:rsid w:val="00244349"/>
    <w:rsid w:val="0024484C"/>
    <w:rsid w:val="00244A39"/>
    <w:rsid w:val="00244F8F"/>
    <w:rsid w:val="00244FD2"/>
    <w:rsid w:val="00245022"/>
    <w:rsid w:val="00245562"/>
    <w:rsid w:val="00245603"/>
    <w:rsid w:val="00245840"/>
    <w:rsid w:val="00245927"/>
    <w:rsid w:val="0024595D"/>
    <w:rsid w:val="00245994"/>
    <w:rsid w:val="00245BA6"/>
    <w:rsid w:val="00245C32"/>
    <w:rsid w:val="00246513"/>
    <w:rsid w:val="00246563"/>
    <w:rsid w:val="00246898"/>
    <w:rsid w:val="00246D80"/>
    <w:rsid w:val="00246DF6"/>
    <w:rsid w:val="00246F7F"/>
    <w:rsid w:val="00247009"/>
    <w:rsid w:val="00247448"/>
    <w:rsid w:val="0024777B"/>
    <w:rsid w:val="00247844"/>
    <w:rsid w:val="00247BEB"/>
    <w:rsid w:val="002500B2"/>
    <w:rsid w:val="00250A55"/>
    <w:rsid w:val="00250D13"/>
    <w:rsid w:val="0025102B"/>
    <w:rsid w:val="00251347"/>
    <w:rsid w:val="0025145E"/>
    <w:rsid w:val="0025149E"/>
    <w:rsid w:val="002519D3"/>
    <w:rsid w:val="00252050"/>
    <w:rsid w:val="00252064"/>
    <w:rsid w:val="002520C1"/>
    <w:rsid w:val="0025227B"/>
    <w:rsid w:val="00252314"/>
    <w:rsid w:val="002525C0"/>
    <w:rsid w:val="00252C14"/>
    <w:rsid w:val="00252C42"/>
    <w:rsid w:val="002530CF"/>
    <w:rsid w:val="00253913"/>
    <w:rsid w:val="00253B24"/>
    <w:rsid w:val="0025473D"/>
    <w:rsid w:val="00254AB0"/>
    <w:rsid w:val="00254DF2"/>
    <w:rsid w:val="00255407"/>
    <w:rsid w:val="00255538"/>
    <w:rsid w:val="002555B1"/>
    <w:rsid w:val="0025561F"/>
    <w:rsid w:val="0025566A"/>
    <w:rsid w:val="0025569D"/>
    <w:rsid w:val="00255801"/>
    <w:rsid w:val="002558D7"/>
    <w:rsid w:val="00255BAE"/>
    <w:rsid w:val="00255C31"/>
    <w:rsid w:val="00255F32"/>
    <w:rsid w:val="002562C9"/>
    <w:rsid w:val="002563E0"/>
    <w:rsid w:val="0025661C"/>
    <w:rsid w:val="00256756"/>
    <w:rsid w:val="002567C2"/>
    <w:rsid w:val="00256B8F"/>
    <w:rsid w:val="00256BA9"/>
    <w:rsid w:val="00256EB3"/>
    <w:rsid w:val="00256F70"/>
    <w:rsid w:val="00256FEC"/>
    <w:rsid w:val="0025702D"/>
    <w:rsid w:val="00257215"/>
    <w:rsid w:val="00257472"/>
    <w:rsid w:val="002574CF"/>
    <w:rsid w:val="0025763F"/>
    <w:rsid w:val="002576A2"/>
    <w:rsid w:val="00257800"/>
    <w:rsid w:val="00257B7E"/>
    <w:rsid w:val="00257EE1"/>
    <w:rsid w:val="0026003C"/>
    <w:rsid w:val="002602BE"/>
    <w:rsid w:val="0026041A"/>
    <w:rsid w:val="00260857"/>
    <w:rsid w:val="002608B5"/>
    <w:rsid w:val="00260B59"/>
    <w:rsid w:val="00260D19"/>
    <w:rsid w:val="00260E27"/>
    <w:rsid w:val="002610A3"/>
    <w:rsid w:val="00261514"/>
    <w:rsid w:val="0026155F"/>
    <w:rsid w:val="002615C3"/>
    <w:rsid w:val="00261639"/>
    <w:rsid w:val="0026163C"/>
    <w:rsid w:val="0026182E"/>
    <w:rsid w:val="00261AA8"/>
    <w:rsid w:val="00261D12"/>
    <w:rsid w:val="00261F97"/>
    <w:rsid w:val="0026204A"/>
    <w:rsid w:val="00262158"/>
    <w:rsid w:val="002626BC"/>
    <w:rsid w:val="0026274B"/>
    <w:rsid w:val="002628EE"/>
    <w:rsid w:val="002629A9"/>
    <w:rsid w:val="00262C37"/>
    <w:rsid w:val="00262C79"/>
    <w:rsid w:val="00262F6B"/>
    <w:rsid w:val="0026301D"/>
    <w:rsid w:val="002630CA"/>
    <w:rsid w:val="0026367C"/>
    <w:rsid w:val="0026378A"/>
    <w:rsid w:val="002637C2"/>
    <w:rsid w:val="002639C9"/>
    <w:rsid w:val="002639E9"/>
    <w:rsid w:val="00263A6A"/>
    <w:rsid w:val="00263E0E"/>
    <w:rsid w:val="0026407E"/>
    <w:rsid w:val="0026427D"/>
    <w:rsid w:val="00264880"/>
    <w:rsid w:val="002649A3"/>
    <w:rsid w:val="00264F68"/>
    <w:rsid w:val="0026516F"/>
    <w:rsid w:val="0026539C"/>
    <w:rsid w:val="002654D3"/>
    <w:rsid w:val="0026556F"/>
    <w:rsid w:val="00265C79"/>
    <w:rsid w:val="00266137"/>
    <w:rsid w:val="00266402"/>
    <w:rsid w:val="0026644F"/>
    <w:rsid w:val="002668D7"/>
    <w:rsid w:val="00266A65"/>
    <w:rsid w:val="00266CCD"/>
    <w:rsid w:val="00266F2E"/>
    <w:rsid w:val="002670FD"/>
    <w:rsid w:val="002671CF"/>
    <w:rsid w:val="002675DE"/>
    <w:rsid w:val="00267648"/>
    <w:rsid w:val="002676DC"/>
    <w:rsid w:val="00267735"/>
    <w:rsid w:val="00267850"/>
    <w:rsid w:val="002678D3"/>
    <w:rsid w:val="00267A69"/>
    <w:rsid w:val="00267AEA"/>
    <w:rsid w:val="00267B9B"/>
    <w:rsid w:val="00267BFB"/>
    <w:rsid w:val="00267CF0"/>
    <w:rsid w:val="00267DEE"/>
    <w:rsid w:val="00270331"/>
    <w:rsid w:val="0027038B"/>
    <w:rsid w:val="00270651"/>
    <w:rsid w:val="002708C7"/>
    <w:rsid w:val="00270BD1"/>
    <w:rsid w:val="00270C85"/>
    <w:rsid w:val="00270DD5"/>
    <w:rsid w:val="00270F6D"/>
    <w:rsid w:val="002711EE"/>
    <w:rsid w:val="002715C1"/>
    <w:rsid w:val="0027190A"/>
    <w:rsid w:val="00271AD8"/>
    <w:rsid w:val="00271C9B"/>
    <w:rsid w:val="00271D65"/>
    <w:rsid w:val="00271F44"/>
    <w:rsid w:val="002721BE"/>
    <w:rsid w:val="002724B8"/>
    <w:rsid w:val="00272880"/>
    <w:rsid w:val="00272C4E"/>
    <w:rsid w:val="00272D0F"/>
    <w:rsid w:val="00272D37"/>
    <w:rsid w:val="00273051"/>
    <w:rsid w:val="002730AD"/>
    <w:rsid w:val="002732B2"/>
    <w:rsid w:val="002732D8"/>
    <w:rsid w:val="0027342F"/>
    <w:rsid w:val="0027345D"/>
    <w:rsid w:val="00273771"/>
    <w:rsid w:val="0027377E"/>
    <w:rsid w:val="002738B6"/>
    <w:rsid w:val="00273C23"/>
    <w:rsid w:val="00273CCB"/>
    <w:rsid w:val="002740CC"/>
    <w:rsid w:val="00274583"/>
    <w:rsid w:val="002749F6"/>
    <w:rsid w:val="00274CCB"/>
    <w:rsid w:val="00274D32"/>
    <w:rsid w:val="002750CC"/>
    <w:rsid w:val="00275155"/>
    <w:rsid w:val="00275270"/>
    <w:rsid w:val="00275290"/>
    <w:rsid w:val="0027585D"/>
    <w:rsid w:val="002759F2"/>
    <w:rsid w:val="00275A11"/>
    <w:rsid w:val="00275DE7"/>
    <w:rsid w:val="0027632E"/>
    <w:rsid w:val="00276B1F"/>
    <w:rsid w:val="00276B5E"/>
    <w:rsid w:val="00276BC2"/>
    <w:rsid w:val="00276ED1"/>
    <w:rsid w:val="002772C3"/>
    <w:rsid w:val="00277393"/>
    <w:rsid w:val="00277754"/>
    <w:rsid w:val="002777F7"/>
    <w:rsid w:val="00277870"/>
    <w:rsid w:val="00277CEC"/>
    <w:rsid w:val="002800EE"/>
    <w:rsid w:val="00280450"/>
    <w:rsid w:val="0028050A"/>
    <w:rsid w:val="002808CF"/>
    <w:rsid w:val="00280AA8"/>
    <w:rsid w:val="00280B22"/>
    <w:rsid w:val="00280E71"/>
    <w:rsid w:val="00280E8B"/>
    <w:rsid w:val="002812CB"/>
    <w:rsid w:val="00281323"/>
    <w:rsid w:val="00281398"/>
    <w:rsid w:val="0028148B"/>
    <w:rsid w:val="00281647"/>
    <w:rsid w:val="002816A7"/>
    <w:rsid w:val="00281771"/>
    <w:rsid w:val="00281918"/>
    <w:rsid w:val="00282083"/>
    <w:rsid w:val="002824A3"/>
    <w:rsid w:val="00282881"/>
    <w:rsid w:val="002828CB"/>
    <w:rsid w:val="00282934"/>
    <w:rsid w:val="0028294D"/>
    <w:rsid w:val="00282B18"/>
    <w:rsid w:val="00282D33"/>
    <w:rsid w:val="00282E3E"/>
    <w:rsid w:val="0028306A"/>
    <w:rsid w:val="00283144"/>
    <w:rsid w:val="0028364E"/>
    <w:rsid w:val="002837DA"/>
    <w:rsid w:val="0028383C"/>
    <w:rsid w:val="00283A1C"/>
    <w:rsid w:val="00283D92"/>
    <w:rsid w:val="0028427A"/>
    <w:rsid w:val="00284500"/>
    <w:rsid w:val="0028469D"/>
    <w:rsid w:val="00284A88"/>
    <w:rsid w:val="00284B6F"/>
    <w:rsid w:val="00284BED"/>
    <w:rsid w:val="00284F76"/>
    <w:rsid w:val="0028501D"/>
    <w:rsid w:val="00285410"/>
    <w:rsid w:val="002854FF"/>
    <w:rsid w:val="00285538"/>
    <w:rsid w:val="00285979"/>
    <w:rsid w:val="00285C11"/>
    <w:rsid w:val="00285F35"/>
    <w:rsid w:val="00286019"/>
    <w:rsid w:val="002863A0"/>
    <w:rsid w:val="00286627"/>
    <w:rsid w:val="00286692"/>
    <w:rsid w:val="00286739"/>
    <w:rsid w:val="002868DE"/>
    <w:rsid w:val="00286CFF"/>
    <w:rsid w:val="00286D7D"/>
    <w:rsid w:val="00286DD9"/>
    <w:rsid w:val="00287472"/>
    <w:rsid w:val="00287890"/>
    <w:rsid w:val="00287A02"/>
    <w:rsid w:val="00287BA6"/>
    <w:rsid w:val="00287D60"/>
    <w:rsid w:val="00287D89"/>
    <w:rsid w:val="00287DF4"/>
    <w:rsid w:val="00287E98"/>
    <w:rsid w:val="00287F1C"/>
    <w:rsid w:val="00290300"/>
    <w:rsid w:val="00290749"/>
    <w:rsid w:val="002907E7"/>
    <w:rsid w:val="00290CF4"/>
    <w:rsid w:val="00290E17"/>
    <w:rsid w:val="00290FAB"/>
    <w:rsid w:val="00290FF5"/>
    <w:rsid w:val="002910A7"/>
    <w:rsid w:val="00291165"/>
    <w:rsid w:val="00291A05"/>
    <w:rsid w:val="00291AB7"/>
    <w:rsid w:val="00292303"/>
    <w:rsid w:val="00292480"/>
    <w:rsid w:val="002924BD"/>
    <w:rsid w:val="00292547"/>
    <w:rsid w:val="00292AA6"/>
    <w:rsid w:val="00292BA1"/>
    <w:rsid w:val="00292D77"/>
    <w:rsid w:val="00292E37"/>
    <w:rsid w:val="00292E91"/>
    <w:rsid w:val="00292EFB"/>
    <w:rsid w:val="00293075"/>
    <w:rsid w:val="0029311B"/>
    <w:rsid w:val="00293312"/>
    <w:rsid w:val="00293558"/>
    <w:rsid w:val="0029386A"/>
    <w:rsid w:val="00293A42"/>
    <w:rsid w:val="00293F7F"/>
    <w:rsid w:val="00294034"/>
    <w:rsid w:val="002943B6"/>
    <w:rsid w:val="0029451A"/>
    <w:rsid w:val="0029460B"/>
    <w:rsid w:val="002946CB"/>
    <w:rsid w:val="00294727"/>
    <w:rsid w:val="0029475A"/>
    <w:rsid w:val="002947DD"/>
    <w:rsid w:val="0029488A"/>
    <w:rsid w:val="00294B7C"/>
    <w:rsid w:val="00294C5C"/>
    <w:rsid w:val="00294C69"/>
    <w:rsid w:val="00294EA7"/>
    <w:rsid w:val="00295027"/>
    <w:rsid w:val="002950C6"/>
    <w:rsid w:val="00295618"/>
    <w:rsid w:val="002956BD"/>
    <w:rsid w:val="00295C22"/>
    <w:rsid w:val="00295C68"/>
    <w:rsid w:val="002961B3"/>
    <w:rsid w:val="00296451"/>
    <w:rsid w:val="00296519"/>
    <w:rsid w:val="0029683F"/>
    <w:rsid w:val="0029696F"/>
    <w:rsid w:val="00296A02"/>
    <w:rsid w:val="00296AAD"/>
    <w:rsid w:val="00296AFD"/>
    <w:rsid w:val="00296B31"/>
    <w:rsid w:val="00296BE6"/>
    <w:rsid w:val="00296C27"/>
    <w:rsid w:val="00296DB6"/>
    <w:rsid w:val="0029778F"/>
    <w:rsid w:val="00297A2D"/>
    <w:rsid w:val="00297D40"/>
    <w:rsid w:val="00297E21"/>
    <w:rsid w:val="00297FE6"/>
    <w:rsid w:val="002A0157"/>
    <w:rsid w:val="002A039F"/>
    <w:rsid w:val="002A04CC"/>
    <w:rsid w:val="002A0506"/>
    <w:rsid w:val="002A0A2C"/>
    <w:rsid w:val="002A0EBC"/>
    <w:rsid w:val="002A1011"/>
    <w:rsid w:val="002A11DC"/>
    <w:rsid w:val="002A1319"/>
    <w:rsid w:val="002A15B9"/>
    <w:rsid w:val="002A174F"/>
    <w:rsid w:val="002A1C38"/>
    <w:rsid w:val="002A1C5A"/>
    <w:rsid w:val="002A1EBB"/>
    <w:rsid w:val="002A23F1"/>
    <w:rsid w:val="002A258E"/>
    <w:rsid w:val="002A2D18"/>
    <w:rsid w:val="002A2E61"/>
    <w:rsid w:val="002A301E"/>
    <w:rsid w:val="002A33DD"/>
    <w:rsid w:val="002A3407"/>
    <w:rsid w:val="002A3634"/>
    <w:rsid w:val="002A3A76"/>
    <w:rsid w:val="002A3DC9"/>
    <w:rsid w:val="002A3FD1"/>
    <w:rsid w:val="002A4131"/>
    <w:rsid w:val="002A4183"/>
    <w:rsid w:val="002A4504"/>
    <w:rsid w:val="002A4B8D"/>
    <w:rsid w:val="002A4D5C"/>
    <w:rsid w:val="002A4EB0"/>
    <w:rsid w:val="002A5504"/>
    <w:rsid w:val="002A5882"/>
    <w:rsid w:val="002A5945"/>
    <w:rsid w:val="002A5C98"/>
    <w:rsid w:val="002A5D1C"/>
    <w:rsid w:val="002A647A"/>
    <w:rsid w:val="002A6A4E"/>
    <w:rsid w:val="002A6B0C"/>
    <w:rsid w:val="002A70CD"/>
    <w:rsid w:val="002A71A1"/>
    <w:rsid w:val="002A7630"/>
    <w:rsid w:val="002A7F08"/>
    <w:rsid w:val="002B0397"/>
    <w:rsid w:val="002B07FB"/>
    <w:rsid w:val="002B0DFC"/>
    <w:rsid w:val="002B0E48"/>
    <w:rsid w:val="002B0EC2"/>
    <w:rsid w:val="002B1217"/>
    <w:rsid w:val="002B18EF"/>
    <w:rsid w:val="002B1D36"/>
    <w:rsid w:val="002B22A9"/>
    <w:rsid w:val="002B2364"/>
    <w:rsid w:val="002B25A7"/>
    <w:rsid w:val="002B2C87"/>
    <w:rsid w:val="002B2D57"/>
    <w:rsid w:val="002B2E88"/>
    <w:rsid w:val="002B3140"/>
    <w:rsid w:val="002B33A4"/>
    <w:rsid w:val="002B33B3"/>
    <w:rsid w:val="002B35BB"/>
    <w:rsid w:val="002B39CF"/>
    <w:rsid w:val="002B3ACF"/>
    <w:rsid w:val="002B3E8E"/>
    <w:rsid w:val="002B3F2D"/>
    <w:rsid w:val="002B40F1"/>
    <w:rsid w:val="002B4830"/>
    <w:rsid w:val="002B48CF"/>
    <w:rsid w:val="002B4B15"/>
    <w:rsid w:val="002B4BE6"/>
    <w:rsid w:val="002B4D26"/>
    <w:rsid w:val="002B5314"/>
    <w:rsid w:val="002B55B0"/>
    <w:rsid w:val="002B56F4"/>
    <w:rsid w:val="002B5AB6"/>
    <w:rsid w:val="002B5B6B"/>
    <w:rsid w:val="002B5DB0"/>
    <w:rsid w:val="002B5DE4"/>
    <w:rsid w:val="002B5EDA"/>
    <w:rsid w:val="002B602A"/>
    <w:rsid w:val="002B6218"/>
    <w:rsid w:val="002B6238"/>
    <w:rsid w:val="002B6557"/>
    <w:rsid w:val="002B66A5"/>
    <w:rsid w:val="002B693A"/>
    <w:rsid w:val="002B6B50"/>
    <w:rsid w:val="002B6B6E"/>
    <w:rsid w:val="002B6E40"/>
    <w:rsid w:val="002B72FD"/>
    <w:rsid w:val="002B7348"/>
    <w:rsid w:val="002B7A39"/>
    <w:rsid w:val="002B7B55"/>
    <w:rsid w:val="002B7B5F"/>
    <w:rsid w:val="002B7BED"/>
    <w:rsid w:val="002B7C17"/>
    <w:rsid w:val="002B7EA7"/>
    <w:rsid w:val="002C00AC"/>
    <w:rsid w:val="002C0118"/>
    <w:rsid w:val="002C01BF"/>
    <w:rsid w:val="002C02B5"/>
    <w:rsid w:val="002C0949"/>
    <w:rsid w:val="002C0DC4"/>
    <w:rsid w:val="002C0E5C"/>
    <w:rsid w:val="002C1018"/>
    <w:rsid w:val="002C11F5"/>
    <w:rsid w:val="002C1992"/>
    <w:rsid w:val="002C19AF"/>
    <w:rsid w:val="002C19C1"/>
    <w:rsid w:val="002C1BB9"/>
    <w:rsid w:val="002C1DC2"/>
    <w:rsid w:val="002C1E0D"/>
    <w:rsid w:val="002C1EE8"/>
    <w:rsid w:val="002C1FB8"/>
    <w:rsid w:val="002C2121"/>
    <w:rsid w:val="002C2A69"/>
    <w:rsid w:val="002C2CEC"/>
    <w:rsid w:val="002C2DC5"/>
    <w:rsid w:val="002C3010"/>
    <w:rsid w:val="002C38D8"/>
    <w:rsid w:val="002C3F00"/>
    <w:rsid w:val="002C41DB"/>
    <w:rsid w:val="002C4389"/>
    <w:rsid w:val="002C4595"/>
    <w:rsid w:val="002C466C"/>
    <w:rsid w:val="002C47DF"/>
    <w:rsid w:val="002C480F"/>
    <w:rsid w:val="002C4EAA"/>
    <w:rsid w:val="002C4FB8"/>
    <w:rsid w:val="002C50A4"/>
    <w:rsid w:val="002C5253"/>
    <w:rsid w:val="002C542B"/>
    <w:rsid w:val="002C5938"/>
    <w:rsid w:val="002C5CA1"/>
    <w:rsid w:val="002C5D91"/>
    <w:rsid w:val="002C5EFF"/>
    <w:rsid w:val="002C60F0"/>
    <w:rsid w:val="002C61D2"/>
    <w:rsid w:val="002C6516"/>
    <w:rsid w:val="002C6551"/>
    <w:rsid w:val="002C6861"/>
    <w:rsid w:val="002C68BF"/>
    <w:rsid w:val="002C6AB9"/>
    <w:rsid w:val="002C6B5F"/>
    <w:rsid w:val="002C6D68"/>
    <w:rsid w:val="002C6E25"/>
    <w:rsid w:val="002C6EA5"/>
    <w:rsid w:val="002C6ECC"/>
    <w:rsid w:val="002C71ED"/>
    <w:rsid w:val="002C7365"/>
    <w:rsid w:val="002C7D8C"/>
    <w:rsid w:val="002C7F03"/>
    <w:rsid w:val="002C7F6C"/>
    <w:rsid w:val="002D00DC"/>
    <w:rsid w:val="002D019C"/>
    <w:rsid w:val="002D01F2"/>
    <w:rsid w:val="002D02F5"/>
    <w:rsid w:val="002D0514"/>
    <w:rsid w:val="002D0604"/>
    <w:rsid w:val="002D06FC"/>
    <w:rsid w:val="002D0B05"/>
    <w:rsid w:val="002D0B8E"/>
    <w:rsid w:val="002D0E15"/>
    <w:rsid w:val="002D1080"/>
    <w:rsid w:val="002D1D03"/>
    <w:rsid w:val="002D1EB1"/>
    <w:rsid w:val="002D2222"/>
    <w:rsid w:val="002D225C"/>
    <w:rsid w:val="002D2659"/>
    <w:rsid w:val="002D278B"/>
    <w:rsid w:val="002D2D76"/>
    <w:rsid w:val="002D313E"/>
    <w:rsid w:val="002D319D"/>
    <w:rsid w:val="002D3552"/>
    <w:rsid w:val="002D361F"/>
    <w:rsid w:val="002D3971"/>
    <w:rsid w:val="002D398F"/>
    <w:rsid w:val="002D3D59"/>
    <w:rsid w:val="002D3F09"/>
    <w:rsid w:val="002D3F98"/>
    <w:rsid w:val="002D40B4"/>
    <w:rsid w:val="002D42BA"/>
    <w:rsid w:val="002D4443"/>
    <w:rsid w:val="002D47ED"/>
    <w:rsid w:val="002D49E4"/>
    <w:rsid w:val="002D4A80"/>
    <w:rsid w:val="002D4B14"/>
    <w:rsid w:val="002D4B99"/>
    <w:rsid w:val="002D4D24"/>
    <w:rsid w:val="002D4F32"/>
    <w:rsid w:val="002D4FF5"/>
    <w:rsid w:val="002D4FFF"/>
    <w:rsid w:val="002D50FC"/>
    <w:rsid w:val="002D53A7"/>
    <w:rsid w:val="002D53B6"/>
    <w:rsid w:val="002D58CA"/>
    <w:rsid w:val="002D592C"/>
    <w:rsid w:val="002D5985"/>
    <w:rsid w:val="002D599A"/>
    <w:rsid w:val="002D5A7B"/>
    <w:rsid w:val="002D5BB9"/>
    <w:rsid w:val="002D5E26"/>
    <w:rsid w:val="002D6049"/>
    <w:rsid w:val="002D6497"/>
    <w:rsid w:val="002D662A"/>
    <w:rsid w:val="002D6C95"/>
    <w:rsid w:val="002D6E95"/>
    <w:rsid w:val="002D7395"/>
    <w:rsid w:val="002D7C5A"/>
    <w:rsid w:val="002D7D89"/>
    <w:rsid w:val="002D7E06"/>
    <w:rsid w:val="002D7E30"/>
    <w:rsid w:val="002E0141"/>
    <w:rsid w:val="002E0216"/>
    <w:rsid w:val="002E0266"/>
    <w:rsid w:val="002E0386"/>
    <w:rsid w:val="002E0393"/>
    <w:rsid w:val="002E06F5"/>
    <w:rsid w:val="002E0841"/>
    <w:rsid w:val="002E0AB7"/>
    <w:rsid w:val="002E0B24"/>
    <w:rsid w:val="002E0C00"/>
    <w:rsid w:val="002E0C8F"/>
    <w:rsid w:val="002E0CC3"/>
    <w:rsid w:val="002E0D05"/>
    <w:rsid w:val="002E10C5"/>
    <w:rsid w:val="002E1292"/>
    <w:rsid w:val="002E1319"/>
    <w:rsid w:val="002E14C9"/>
    <w:rsid w:val="002E164A"/>
    <w:rsid w:val="002E1A51"/>
    <w:rsid w:val="002E1F94"/>
    <w:rsid w:val="002E2213"/>
    <w:rsid w:val="002E2247"/>
    <w:rsid w:val="002E22AA"/>
    <w:rsid w:val="002E22F3"/>
    <w:rsid w:val="002E22FF"/>
    <w:rsid w:val="002E24DD"/>
    <w:rsid w:val="002E273C"/>
    <w:rsid w:val="002E29CD"/>
    <w:rsid w:val="002E2DBB"/>
    <w:rsid w:val="002E30F4"/>
    <w:rsid w:val="002E320D"/>
    <w:rsid w:val="002E3358"/>
    <w:rsid w:val="002E35A6"/>
    <w:rsid w:val="002E3CCC"/>
    <w:rsid w:val="002E3D5B"/>
    <w:rsid w:val="002E4052"/>
    <w:rsid w:val="002E438B"/>
    <w:rsid w:val="002E4395"/>
    <w:rsid w:val="002E44BE"/>
    <w:rsid w:val="002E482B"/>
    <w:rsid w:val="002E4856"/>
    <w:rsid w:val="002E490F"/>
    <w:rsid w:val="002E4983"/>
    <w:rsid w:val="002E4A0B"/>
    <w:rsid w:val="002E4AEF"/>
    <w:rsid w:val="002E4C2A"/>
    <w:rsid w:val="002E53F5"/>
    <w:rsid w:val="002E5590"/>
    <w:rsid w:val="002E5698"/>
    <w:rsid w:val="002E57A8"/>
    <w:rsid w:val="002E5876"/>
    <w:rsid w:val="002E587B"/>
    <w:rsid w:val="002E5B89"/>
    <w:rsid w:val="002E5CC7"/>
    <w:rsid w:val="002E5CD0"/>
    <w:rsid w:val="002E60F4"/>
    <w:rsid w:val="002E67F2"/>
    <w:rsid w:val="002E6857"/>
    <w:rsid w:val="002E6BC7"/>
    <w:rsid w:val="002E6D75"/>
    <w:rsid w:val="002E6D8A"/>
    <w:rsid w:val="002E6EA4"/>
    <w:rsid w:val="002E6EDB"/>
    <w:rsid w:val="002E74D8"/>
    <w:rsid w:val="002E74EA"/>
    <w:rsid w:val="002E761D"/>
    <w:rsid w:val="002F01D7"/>
    <w:rsid w:val="002F020B"/>
    <w:rsid w:val="002F02C5"/>
    <w:rsid w:val="002F04D6"/>
    <w:rsid w:val="002F05DC"/>
    <w:rsid w:val="002F0705"/>
    <w:rsid w:val="002F0953"/>
    <w:rsid w:val="002F0B60"/>
    <w:rsid w:val="002F0CA9"/>
    <w:rsid w:val="002F10D9"/>
    <w:rsid w:val="002F137F"/>
    <w:rsid w:val="002F1A5B"/>
    <w:rsid w:val="002F1AA0"/>
    <w:rsid w:val="002F1D7E"/>
    <w:rsid w:val="002F1E33"/>
    <w:rsid w:val="002F1E4C"/>
    <w:rsid w:val="002F1F43"/>
    <w:rsid w:val="002F2701"/>
    <w:rsid w:val="002F2783"/>
    <w:rsid w:val="002F2CDF"/>
    <w:rsid w:val="002F2FE6"/>
    <w:rsid w:val="002F3038"/>
    <w:rsid w:val="002F3571"/>
    <w:rsid w:val="002F35F4"/>
    <w:rsid w:val="002F367E"/>
    <w:rsid w:val="002F3780"/>
    <w:rsid w:val="002F3842"/>
    <w:rsid w:val="002F3BD6"/>
    <w:rsid w:val="002F3BDE"/>
    <w:rsid w:val="002F3BF1"/>
    <w:rsid w:val="002F3EEB"/>
    <w:rsid w:val="002F43E3"/>
    <w:rsid w:val="002F462C"/>
    <w:rsid w:val="002F478A"/>
    <w:rsid w:val="002F4961"/>
    <w:rsid w:val="002F49E5"/>
    <w:rsid w:val="002F4E31"/>
    <w:rsid w:val="002F4ECE"/>
    <w:rsid w:val="002F5061"/>
    <w:rsid w:val="002F50CE"/>
    <w:rsid w:val="002F5112"/>
    <w:rsid w:val="002F5147"/>
    <w:rsid w:val="002F5734"/>
    <w:rsid w:val="002F588F"/>
    <w:rsid w:val="002F5AB4"/>
    <w:rsid w:val="002F5C26"/>
    <w:rsid w:val="002F5CD0"/>
    <w:rsid w:val="002F5D33"/>
    <w:rsid w:val="002F5D9A"/>
    <w:rsid w:val="002F6541"/>
    <w:rsid w:val="002F68BA"/>
    <w:rsid w:val="002F6FF2"/>
    <w:rsid w:val="002F7182"/>
    <w:rsid w:val="002F71E2"/>
    <w:rsid w:val="002F72C4"/>
    <w:rsid w:val="002F737F"/>
    <w:rsid w:val="002F744A"/>
    <w:rsid w:val="002F7896"/>
    <w:rsid w:val="002F7AC9"/>
    <w:rsid w:val="003001C0"/>
    <w:rsid w:val="003002BA"/>
    <w:rsid w:val="00300563"/>
    <w:rsid w:val="0030062A"/>
    <w:rsid w:val="00300932"/>
    <w:rsid w:val="00300E70"/>
    <w:rsid w:val="00301034"/>
    <w:rsid w:val="00301133"/>
    <w:rsid w:val="00301420"/>
    <w:rsid w:val="0030185B"/>
    <w:rsid w:val="00301AE6"/>
    <w:rsid w:val="00301AF2"/>
    <w:rsid w:val="00301BE2"/>
    <w:rsid w:val="00301CC2"/>
    <w:rsid w:val="00302304"/>
    <w:rsid w:val="00302326"/>
    <w:rsid w:val="003023AF"/>
    <w:rsid w:val="003026B1"/>
    <w:rsid w:val="003026DE"/>
    <w:rsid w:val="0030278A"/>
    <w:rsid w:val="003027FA"/>
    <w:rsid w:val="003029C9"/>
    <w:rsid w:val="00302A0C"/>
    <w:rsid w:val="00302ACB"/>
    <w:rsid w:val="00302B76"/>
    <w:rsid w:val="00302CF8"/>
    <w:rsid w:val="00302F3F"/>
    <w:rsid w:val="00303126"/>
    <w:rsid w:val="0030346E"/>
    <w:rsid w:val="003034A3"/>
    <w:rsid w:val="0030354E"/>
    <w:rsid w:val="00303713"/>
    <w:rsid w:val="00303938"/>
    <w:rsid w:val="00303978"/>
    <w:rsid w:val="00303A9A"/>
    <w:rsid w:val="00303AC4"/>
    <w:rsid w:val="00303CAD"/>
    <w:rsid w:val="00303DC3"/>
    <w:rsid w:val="00303DF4"/>
    <w:rsid w:val="00303EEA"/>
    <w:rsid w:val="00303F01"/>
    <w:rsid w:val="00304548"/>
    <w:rsid w:val="003046AB"/>
    <w:rsid w:val="00304913"/>
    <w:rsid w:val="003049BD"/>
    <w:rsid w:val="003049EF"/>
    <w:rsid w:val="00304A56"/>
    <w:rsid w:val="0030502B"/>
    <w:rsid w:val="00305189"/>
    <w:rsid w:val="0030544C"/>
    <w:rsid w:val="00305A3A"/>
    <w:rsid w:val="00305B2D"/>
    <w:rsid w:val="00305B3B"/>
    <w:rsid w:val="00305E50"/>
    <w:rsid w:val="00305F28"/>
    <w:rsid w:val="00305F5F"/>
    <w:rsid w:val="00306174"/>
    <w:rsid w:val="00306546"/>
    <w:rsid w:val="00306614"/>
    <w:rsid w:val="0030682B"/>
    <w:rsid w:val="0030687B"/>
    <w:rsid w:val="003068C1"/>
    <w:rsid w:val="00306C21"/>
    <w:rsid w:val="00306C2C"/>
    <w:rsid w:val="00306C54"/>
    <w:rsid w:val="003070AC"/>
    <w:rsid w:val="0030728E"/>
    <w:rsid w:val="00307657"/>
    <w:rsid w:val="003078DE"/>
    <w:rsid w:val="00310121"/>
    <w:rsid w:val="00310375"/>
    <w:rsid w:val="003106CC"/>
    <w:rsid w:val="0031095F"/>
    <w:rsid w:val="00310BF3"/>
    <w:rsid w:val="00310D12"/>
    <w:rsid w:val="0031104F"/>
    <w:rsid w:val="00311137"/>
    <w:rsid w:val="003114A5"/>
    <w:rsid w:val="003114B8"/>
    <w:rsid w:val="003116C7"/>
    <w:rsid w:val="003117C7"/>
    <w:rsid w:val="00311934"/>
    <w:rsid w:val="00311D91"/>
    <w:rsid w:val="00311F8E"/>
    <w:rsid w:val="00312020"/>
    <w:rsid w:val="0031204C"/>
    <w:rsid w:val="0031233E"/>
    <w:rsid w:val="00312399"/>
    <w:rsid w:val="0031247E"/>
    <w:rsid w:val="003127A9"/>
    <w:rsid w:val="003129FC"/>
    <w:rsid w:val="00312B6D"/>
    <w:rsid w:val="00312E6F"/>
    <w:rsid w:val="00312EC3"/>
    <w:rsid w:val="00313792"/>
    <w:rsid w:val="00313825"/>
    <w:rsid w:val="00313A9F"/>
    <w:rsid w:val="00313BA6"/>
    <w:rsid w:val="00313F59"/>
    <w:rsid w:val="00314135"/>
    <w:rsid w:val="0031414C"/>
    <w:rsid w:val="00314192"/>
    <w:rsid w:val="003145A1"/>
    <w:rsid w:val="00314D36"/>
    <w:rsid w:val="00314D45"/>
    <w:rsid w:val="00314DFC"/>
    <w:rsid w:val="00314F7E"/>
    <w:rsid w:val="00315011"/>
    <w:rsid w:val="003153AB"/>
    <w:rsid w:val="00315899"/>
    <w:rsid w:val="00315AA5"/>
    <w:rsid w:val="00315E20"/>
    <w:rsid w:val="00315FD7"/>
    <w:rsid w:val="0031640C"/>
    <w:rsid w:val="00316BCD"/>
    <w:rsid w:val="0031714E"/>
    <w:rsid w:val="00317389"/>
    <w:rsid w:val="003173D9"/>
    <w:rsid w:val="00317792"/>
    <w:rsid w:val="00317A72"/>
    <w:rsid w:val="00320152"/>
    <w:rsid w:val="00320165"/>
    <w:rsid w:val="00320257"/>
    <w:rsid w:val="00320266"/>
    <w:rsid w:val="00320456"/>
    <w:rsid w:val="003204AB"/>
    <w:rsid w:val="00320A36"/>
    <w:rsid w:val="00320CF7"/>
    <w:rsid w:val="00320DC8"/>
    <w:rsid w:val="00320E78"/>
    <w:rsid w:val="00320FB4"/>
    <w:rsid w:val="003212AA"/>
    <w:rsid w:val="00321586"/>
    <w:rsid w:val="003216E6"/>
    <w:rsid w:val="0032174A"/>
    <w:rsid w:val="003218C3"/>
    <w:rsid w:val="00321D05"/>
    <w:rsid w:val="00321ED6"/>
    <w:rsid w:val="00321FCE"/>
    <w:rsid w:val="00321FD9"/>
    <w:rsid w:val="0032202C"/>
    <w:rsid w:val="00322286"/>
    <w:rsid w:val="00322359"/>
    <w:rsid w:val="00322AD5"/>
    <w:rsid w:val="00322FB1"/>
    <w:rsid w:val="00322FB7"/>
    <w:rsid w:val="00323206"/>
    <w:rsid w:val="00323279"/>
    <w:rsid w:val="00323360"/>
    <w:rsid w:val="00323506"/>
    <w:rsid w:val="00323710"/>
    <w:rsid w:val="003246A4"/>
    <w:rsid w:val="00325690"/>
    <w:rsid w:val="003257CE"/>
    <w:rsid w:val="003258FD"/>
    <w:rsid w:val="0032592B"/>
    <w:rsid w:val="00325A54"/>
    <w:rsid w:val="00325CE7"/>
    <w:rsid w:val="00325D78"/>
    <w:rsid w:val="00325DB5"/>
    <w:rsid w:val="00325DE3"/>
    <w:rsid w:val="00325EA8"/>
    <w:rsid w:val="00325FB6"/>
    <w:rsid w:val="00326027"/>
    <w:rsid w:val="0032631D"/>
    <w:rsid w:val="003269CA"/>
    <w:rsid w:val="00326C89"/>
    <w:rsid w:val="00326D79"/>
    <w:rsid w:val="00326DB9"/>
    <w:rsid w:val="0032722A"/>
    <w:rsid w:val="0032739C"/>
    <w:rsid w:val="00327550"/>
    <w:rsid w:val="00327593"/>
    <w:rsid w:val="00327596"/>
    <w:rsid w:val="003276DC"/>
    <w:rsid w:val="00327BF3"/>
    <w:rsid w:val="00330088"/>
    <w:rsid w:val="00330260"/>
    <w:rsid w:val="00330774"/>
    <w:rsid w:val="003309DE"/>
    <w:rsid w:val="00330B31"/>
    <w:rsid w:val="00330C11"/>
    <w:rsid w:val="00330CC3"/>
    <w:rsid w:val="003311A9"/>
    <w:rsid w:val="0033126F"/>
    <w:rsid w:val="0033137E"/>
    <w:rsid w:val="003317FF"/>
    <w:rsid w:val="00331BF9"/>
    <w:rsid w:val="00331C8C"/>
    <w:rsid w:val="00331CD2"/>
    <w:rsid w:val="00332513"/>
    <w:rsid w:val="00332C6A"/>
    <w:rsid w:val="00332DC1"/>
    <w:rsid w:val="003330D2"/>
    <w:rsid w:val="003332C0"/>
    <w:rsid w:val="00333431"/>
    <w:rsid w:val="00333766"/>
    <w:rsid w:val="003337F6"/>
    <w:rsid w:val="0033392A"/>
    <w:rsid w:val="00333982"/>
    <w:rsid w:val="003342CD"/>
    <w:rsid w:val="003342D3"/>
    <w:rsid w:val="00334311"/>
    <w:rsid w:val="0033433A"/>
    <w:rsid w:val="00334657"/>
    <w:rsid w:val="0033472F"/>
    <w:rsid w:val="00334C58"/>
    <w:rsid w:val="00334D4B"/>
    <w:rsid w:val="00334E1A"/>
    <w:rsid w:val="00334F9A"/>
    <w:rsid w:val="00335166"/>
    <w:rsid w:val="0033518C"/>
    <w:rsid w:val="003351D4"/>
    <w:rsid w:val="0033586B"/>
    <w:rsid w:val="00335947"/>
    <w:rsid w:val="00335A34"/>
    <w:rsid w:val="00335BCC"/>
    <w:rsid w:val="00335CF9"/>
    <w:rsid w:val="00335D7D"/>
    <w:rsid w:val="00335E0A"/>
    <w:rsid w:val="00335E9B"/>
    <w:rsid w:val="00336148"/>
    <w:rsid w:val="003368A4"/>
    <w:rsid w:val="00336936"/>
    <w:rsid w:val="00336954"/>
    <w:rsid w:val="00336A29"/>
    <w:rsid w:val="00336AA7"/>
    <w:rsid w:val="00336AA9"/>
    <w:rsid w:val="00336BAC"/>
    <w:rsid w:val="00336DC4"/>
    <w:rsid w:val="003372D7"/>
    <w:rsid w:val="003374C8"/>
    <w:rsid w:val="003379CD"/>
    <w:rsid w:val="00337A82"/>
    <w:rsid w:val="00337CB2"/>
    <w:rsid w:val="00337F51"/>
    <w:rsid w:val="003400EB"/>
    <w:rsid w:val="00340158"/>
    <w:rsid w:val="003406FD"/>
    <w:rsid w:val="00340721"/>
    <w:rsid w:val="00340A9A"/>
    <w:rsid w:val="00340B7C"/>
    <w:rsid w:val="00340B9F"/>
    <w:rsid w:val="00340EC4"/>
    <w:rsid w:val="003411FE"/>
    <w:rsid w:val="003412A8"/>
    <w:rsid w:val="003414BE"/>
    <w:rsid w:val="00341C83"/>
    <w:rsid w:val="00341E29"/>
    <w:rsid w:val="00341F5A"/>
    <w:rsid w:val="003421C0"/>
    <w:rsid w:val="00342365"/>
    <w:rsid w:val="00342377"/>
    <w:rsid w:val="003427E9"/>
    <w:rsid w:val="0034282B"/>
    <w:rsid w:val="00342983"/>
    <w:rsid w:val="00342A60"/>
    <w:rsid w:val="00342B57"/>
    <w:rsid w:val="00342B65"/>
    <w:rsid w:val="00342F22"/>
    <w:rsid w:val="00342F2B"/>
    <w:rsid w:val="003431E6"/>
    <w:rsid w:val="003434E5"/>
    <w:rsid w:val="00344557"/>
    <w:rsid w:val="00344BBC"/>
    <w:rsid w:val="00344F70"/>
    <w:rsid w:val="00344F9B"/>
    <w:rsid w:val="00344FE6"/>
    <w:rsid w:val="00345029"/>
    <w:rsid w:val="003450ED"/>
    <w:rsid w:val="00345383"/>
    <w:rsid w:val="003453A4"/>
    <w:rsid w:val="003453D8"/>
    <w:rsid w:val="00345528"/>
    <w:rsid w:val="00345702"/>
    <w:rsid w:val="00345886"/>
    <w:rsid w:val="00345ABC"/>
    <w:rsid w:val="00345D8E"/>
    <w:rsid w:val="00345FC9"/>
    <w:rsid w:val="00346219"/>
    <w:rsid w:val="00346438"/>
    <w:rsid w:val="0034690C"/>
    <w:rsid w:val="003469D0"/>
    <w:rsid w:val="00346B80"/>
    <w:rsid w:val="00346C16"/>
    <w:rsid w:val="00346CDC"/>
    <w:rsid w:val="00346CF6"/>
    <w:rsid w:val="00346FFB"/>
    <w:rsid w:val="0034704D"/>
    <w:rsid w:val="00347085"/>
    <w:rsid w:val="00347888"/>
    <w:rsid w:val="00347BF8"/>
    <w:rsid w:val="00347D92"/>
    <w:rsid w:val="00347F5F"/>
    <w:rsid w:val="003500A3"/>
    <w:rsid w:val="0035055E"/>
    <w:rsid w:val="00350614"/>
    <w:rsid w:val="00350842"/>
    <w:rsid w:val="00350B82"/>
    <w:rsid w:val="00350F17"/>
    <w:rsid w:val="00350FF6"/>
    <w:rsid w:val="003510FC"/>
    <w:rsid w:val="00351CD9"/>
    <w:rsid w:val="00351FAB"/>
    <w:rsid w:val="00352433"/>
    <w:rsid w:val="003526D8"/>
    <w:rsid w:val="0035282E"/>
    <w:rsid w:val="003529B1"/>
    <w:rsid w:val="00352B58"/>
    <w:rsid w:val="00352D22"/>
    <w:rsid w:val="00352DA6"/>
    <w:rsid w:val="00352DF0"/>
    <w:rsid w:val="00352E5D"/>
    <w:rsid w:val="00352F57"/>
    <w:rsid w:val="00354111"/>
    <w:rsid w:val="0035416A"/>
    <w:rsid w:val="003542B8"/>
    <w:rsid w:val="003547DF"/>
    <w:rsid w:val="00354A33"/>
    <w:rsid w:val="00354BEC"/>
    <w:rsid w:val="00354C23"/>
    <w:rsid w:val="00354CC6"/>
    <w:rsid w:val="00355214"/>
    <w:rsid w:val="00355412"/>
    <w:rsid w:val="003554A0"/>
    <w:rsid w:val="00355A9E"/>
    <w:rsid w:val="00355C60"/>
    <w:rsid w:val="00355FDC"/>
    <w:rsid w:val="00356125"/>
    <w:rsid w:val="003562B3"/>
    <w:rsid w:val="003564E3"/>
    <w:rsid w:val="003568C7"/>
    <w:rsid w:val="00356A79"/>
    <w:rsid w:val="00356C0D"/>
    <w:rsid w:val="00356C46"/>
    <w:rsid w:val="00356C50"/>
    <w:rsid w:val="00357030"/>
    <w:rsid w:val="00357176"/>
    <w:rsid w:val="003571BA"/>
    <w:rsid w:val="0035731D"/>
    <w:rsid w:val="0035731F"/>
    <w:rsid w:val="0035739D"/>
    <w:rsid w:val="003574AB"/>
    <w:rsid w:val="00357572"/>
    <w:rsid w:val="003575CC"/>
    <w:rsid w:val="003575F1"/>
    <w:rsid w:val="003602BC"/>
    <w:rsid w:val="003603BE"/>
    <w:rsid w:val="00360465"/>
    <w:rsid w:val="0036064B"/>
    <w:rsid w:val="00360B67"/>
    <w:rsid w:val="00360B88"/>
    <w:rsid w:val="00361292"/>
    <w:rsid w:val="0036176C"/>
    <w:rsid w:val="00361C1E"/>
    <w:rsid w:val="00361C29"/>
    <w:rsid w:val="00361D28"/>
    <w:rsid w:val="00361D7F"/>
    <w:rsid w:val="0036205C"/>
    <w:rsid w:val="003623CF"/>
    <w:rsid w:val="00362530"/>
    <w:rsid w:val="00362591"/>
    <w:rsid w:val="00362969"/>
    <w:rsid w:val="00362D5B"/>
    <w:rsid w:val="00362F0D"/>
    <w:rsid w:val="00363360"/>
    <w:rsid w:val="00363503"/>
    <w:rsid w:val="00363548"/>
    <w:rsid w:val="003637CE"/>
    <w:rsid w:val="00363BBC"/>
    <w:rsid w:val="00363D39"/>
    <w:rsid w:val="00364375"/>
    <w:rsid w:val="00364536"/>
    <w:rsid w:val="0036471F"/>
    <w:rsid w:val="00364F90"/>
    <w:rsid w:val="0036509D"/>
    <w:rsid w:val="00365565"/>
    <w:rsid w:val="003655B6"/>
    <w:rsid w:val="0036568A"/>
    <w:rsid w:val="0036585B"/>
    <w:rsid w:val="003658CE"/>
    <w:rsid w:val="0036597D"/>
    <w:rsid w:val="00365B4B"/>
    <w:rsid w:val="00365CBA"/>
    <w:rsid w:val="00365DEB"/>
    <w:rsid w:val="00365EE8"/>
    <w:rsid w:val="003668CB"/>
    <w:rsid w:val="00366B90"/>
    <w:rsid w:val="00366C04"/>
    <w:rsid w:val="003673E7"/>
    <w:rsid w:val="003676E2"/>
    <w:rsid w:val="00367713"/>
    <w:rsid w:val="00367843"/>
    <w:rsid w:val="003678DD"/>
    <w:rsid w:val="0036799F"/>
    <w:rsid w:val="00367D25"/>
    <w:rsid w:val="003702A5"/>
    <w:rsid w:val="00370514"/>
    <w:rsid w:val="0037052F"/>
    <w:rsid w:val="003707DF"/>
    <w:rsid w:val="00370A69"/>
    <w:rsid w:val="00370C13"/>
    <w:rsid w:val="0037110F"/>
    <w:rsid w:val="0037130A"/>
    <w:rsid w:val="00371952"/>
    <w:rsid w:val="00371A27"/>
    <w:rsid w:val="00371C97"/>
    <w:rsid w:val="00371F7D"/>
    <w:rsid w:val="00371FEE"/>
    <w:rsid w:val="003722C1"/>
    <w:rsid w:val="00372975"/>
    <w:rsid w:val="00372ADF"/>
    <w:rsid w:val="00372B8E"/>
    <w:rsid w:val="00372D2B"/>
    <w:rsid w:val="0037311A"/>
    <w:rsid w:val="003731A3"/>
    <w:rsid w:val="00373311"/>
    <w:rsid w:val="003736DF"/>
    <w:rsid w:val="00373758"/>
    <w:rsid w:val="00373881"/>
    <w:rsid w:val="00373AAC"/>
    <w:rsid w:val="00373C31"/>
    <w:rsid w:val="00373DC8"/>
    <w:rsid w:val="003741DB"/>
    <w:rsid w:val="00374382"/>
    <w:rsid w:val="00374629"/>
    <w:rsid w:val="00374766"/>
    <w:rsid w:val="003747FF"/>
    <w:rsid w:val="00374AB7"/>
    <w:rsid w:val="00374FC8"/>
    <w:rsid w:val="0037524C"/>
    <w:rsid w:val="003759AE"/>
    <w:rsid w:val="00375B83"/>
    <w:rsid w:val="00375FA1"/>
    <w:rsid w:val="00376488"/>
    <w:rsid w:val="00376A37"/>
    <w:rsid w:val="00376AC1"/>
    <w:rsid w:val="00376B6A"/>
    <w:rsid w:val="00377171"/>
    <w:rsid w:val="003776BB"/>
    <w:rsid w:val="00377927"/>
    <w:rsid w:val="00377B5B"/>
    <w:rsid w:val="00377BC9"/>
    <w:rsid w:val="00377C97"/>
    <w:rsid w:val="00377EB3"/>
    <w:rsid w:val="003802DE"/>
    <w:rsid w:val="00380526"/>
    <w:rsid w:val="00380555"/>
    <w:rsid w:val="00380654"/>
    <w:rsid w:val="00380678"/>
    <w:rsid w:val="00380AEA"/>
    <w:rsid w:val="00380BC1"/>
    <w:rsid w:val="00380FD6"/>
    <w:rsid w:val="00381204"/>
    <w:rsid w:val="0038147B"/>
    <w:rsid w:val="00381505"/>
    <w:rsid w:val="00381543"/>
    <w:rsid w:val="0038255F"/>
    <w:rsid w:val="0038260F"/>
    <w:rsid w:val="003826B4"/>
    <w:rsid w:val="00382786"/>
    <w:rsid w:val="00382C2E"/>
    <w:rsid w:val="00382DEE"/>
    <w:rsid w:val="00382F3A"/>
    <w:rsid w:val="0038319B"/>
    <w:rsid w:val="003832D4"/>
    <w:rsid w:val="003833E5"/>
    <w:rsid w:val="0038393A"/>
    <w:rsid w:val="0038418D"/>
    <w:rsid w:val="00384320"/>
    <w:rsid w:val="003843B8"/>
    <w:rsid w:val="00384727"/>
    <w:rsid w:val="00384A92"/>
    <w:rsid w:val="00384B8B"/>
    <w:rsid w:val="00384F43"/>
    <w:rsid w:val="003852C0"/>
    <w:rsid w:val="00385362"/>
    <w:rsid w:val="0038591E"/>
    <w:rsid w:val="00385AD0"/>
    <w:rsid w:val="00385BB3"/>
    <w:rsid w:val="00385C8A"/>
    <w:rsid w:val="00385D58"/>
    <w:rsid w:val="00385D7A"/>
    <w:rsid w:val="003860FA"/>
    <w:rsid w:val="0038610D"/>
    <w:rsid w:val="003863FE"/>
    <w:rsid w:val="00386678"/>
    <w:rsid w:val="00386855"/>
    <w:rsid w:val="00386DD7"/>
    <w:rsid w:val="00386F3B"/>
    <w:rsid w:val="00386F58"/>
    <w:rsid w:val="003870DC"/>
    <w:rsid w:val="003872F0"/>
    <w:rsid w:val="0038776F"/>
    <w:rsid w:val="003877FE"/>
    <w:rsid w:val="003902B0"/>
    <w:rsid w:val="003903E4"/>
    <w:rsid w:val="003904B6"/>
    <w:rsid w:val="00390610"/>
    <w:rsid w:val="00390878"/>
    <w:rsid w:val="0039098C"/>
    <w:rsid w:val="00390A76"/>
    <w:rsid w:val="00391668"/>
    <w:rsid w:val="0039213A"/>
    <w:rsid w:val="003926B5"/>
    <w:rsid w:val="00392737"/>
    <w:rsid w:val="003929E1"/>
    <w:rsid w:val="00392A6F"/>
    <w:rsid w:val="00392CB2"/>
    <w:rsid w:val="00392E4B"/>
    <w:rsid w:val="00392E51"/>
    <w:rsid w:val="00392FD8"/>
    <w:rsid w:val="003932F2"/>
    <w:rsid w:val="00393853"/>
    <w:rsid w:val="00393C5B"/>
    <w:rsid w:val="00393F3D"/>
    <w:rsid w:val="00394291"/>
    <w:rsid w:val="00394373"/>
    <w:rsid w:val="003943E7"/>
    <w:rsid w:val="003945A3"/>
    <w:rsid w:val="00394858"/>
    <w:rsid w:val="003948EA"/>
    <w:rsid w:val="0039498F"/>
    <w:rsid w:val="003949A1"/>
    <w:rsid w:val="00394C49"/>
    <w:rsid w:val="00394DD2"/>
    <w:rsid w:val="00395531"/>
    <w:rsid w:val="003956E3"/>
    <w:rsid w:val="0039594D"/>
    <w:rsid w:val="00395C78"/>
    <w:rsid w:val="00395C85"/>
    <w:rsid w:val="003962FE"/>
    <w:rsid w:val="003963ED"/>
    <w:rsid w:val="00396945"/>
    <w:rsid w:val="00396CCE"/>
    <w:rsid w:val="003971A5"/>
    <w:rsid w:val="003979D8"/>
    <w:rsid w:val="00397B8A"/>
    <w:rsid w:val="00397D38"/>
    <w:rsid w:val="00397E52"/>
    <w:rsid w:val="003A015E"/>
    <w:rsid w:val="003A0512"/>
    <w:rsid w:val="003A0A6C"/>
    <w:rsid w:val="003A0D57"/>
    <w:rsid w:val="003A0E48"/>
    <w:rsid w:val="003A11C6"/>
    <w:rsid w:val="003A1204"/>
    <w:rsid w:val="003A1835"/>
    <w:rsid w:val="003A1D00"/>
    <w:rsid w:val="003A1E46"/>
    <w:rsid w:val="003A2429"/>
    <w:rsid w:val="003A25CF"/>
    <w:rsid w:val="003A261A"/>
    <w:rsid w:val="003A290F"/>
    <w:rsid w:val="003A2ADC"/>
    <w:rsid w:val="003A2CDE"/>
    <w:rsid w:val="003A2FC8"/>
    <w:rsid w:val="003A34B0"/>
    <w:rsid w:val="003A35DB"/>
    <w:rsid w:val="003A3621"/>
    <w:rsid w:val="003A3662"/>
    <w:rsid w:val="003A36B7"/>
    <w:rsid w:val="003A36DF"/>
    <w:rsid w:val="003A3770"/>
    <w:rsid w:val="003A3AAB"/>
    <w:rsid w:val="003A3C6D"/>
    <w:rsid w:val="003A3FB1"/>
    <w:rsid w:val="003A41E2"/>
    <w:rsid w:val="003A4209"/>
    <w:rsid w:val="003A45FF"/>
    <w:rsid w:val="003A4DBB"/>
    <w:rsid w:val="003A4DFF"/>
    <w:rsid w:val="003A51FA"/>
    <w:rsid w:val="003A52F7"/>
    <w:rsid w:val="003A5314"/>
    <w:rsid w:val="003A532E"/>
    <w:rsid w:val="003A5536"/>
    <w:rsid w:val="003A554B"/>
    <w:rsid w:val="003A55C6"/>
    <w:rsid w:val="003A5788"/>
    <w:rsid w:val="003A5A75"/>
    <w:rsid w:val="003A6606"/>
    <w:rsid w:val="003A675D"/>
    <w:rsid w:val="003A6858"/>
    <w:rsid w:val="003A693C"/>
    <w:rsid w:val="003A6B17"/>
    <w:rsid w:val="003A6DF1"/>
    <w:rsid w:val="003A6EE7"/>
    <w:rsid w:val="003A700E"/>
    <w:rsid w:val="003A7595"/>
    <w:rsid w:val="003A75F5"/>
    <w:rsid w:val="003A7A91"/>
    <w:rsid w:val="003A7DAC"/>
    <w:rsid w:val="003A7DF5"/>
    <w:rsid w:val="003A7F86"/>
    <w:rsid w:val="003B01CC"/>
    <w:rsid w:val="003B02C7"/>
    <w:rsid w:val="003B0392"/>
    <w:rsid w:val="003B0420"/>
    <w:rsid w:val="003B05A8"/>
    <w:rsid w:val="003B0611"/>
    <w:rsid w:val="003B0B82"/>
    <w:rsid w:val="003B128A"/>
    <w:rsid w:val="003B133E"/>
    <w:rsid w:val="003B1517"/>
    <w:rsid w:val="003B1A44"/>
    <w:rsid w:val="003B1F42"/>
    <w:rsid w:val="003B2484"/>
    <w:rsid w:val="003B2635"/>
    <w:rsid w:val="003B2AEE"/>
    <w:rsid w:val="003B2CEE"/>
    <w:rsid w:val="003B2F47"/>
    <w:rsid w:val="003B311B"/>
    <w:rsid w:val="003B3189"/>
    <w:rsid w:val="003B32C3"/>
    <w:rsid w:val="003B33C1"/>
    <w:rsid w:val="003B3567"/>
    <w:rsid w:val="003B3677"/>
    <w:rsid w:val="003B3A8E"/>
    <w:rsid w:val="003B3FBB"/>
    <w:rsid w:val="003B403C"/>
    <w:rsid w:val="003B4187"/>
    <w:rsid w:val="003B42E9"/>
    <w:rsid w:val="003B4439"/>
    <w:rsid w:val="003B4560"/>
    <w:rsid w:val="003B49F0"/>
    <w:rsid w:val="003B4B77"/>
    <w:rsid w:val="003B4C89"/>
    <w:rsid w:val="003B4D9F"/>
    <w:rsid w:val="003B5637"/>
    <w:rsid w:val="003B5733"/>
    <w:rsid w:val="003B5814"/>
    <w:rsid w:val="003B5C85"/>
    <w:rsid w:val="003B65C5"/>
    <w:rsid w:val="003B6C53"/>
    <w:rsid w:val="003B717C"/>
    <w:rsid w:val="003B71AB"/>
    <w:rsid w:val="003B7257"/>
    <w:rsid w:val="003B737C"/>
    <w:rsid w:val="003B7931"/>
    <w:rsid w:val="003B79AD"/>
    <w:rsid w:val="003B79FF"/>
    <w:rsid w:val="003B7B2B"/>
    <w:rsid w:val="003B7EF4"/>
    <w:rsid w:val="003C0158"/>
    <w:rsid w:val="003C04A1"/>
    <w:rsid w:val="003C05D2"/>
    <w:rsid w:val="003C0B0B"/>
    <w:rsid w:val="003C0D16"/>
    <w:rsid w:val="003C0D97"/>
    <w:rsid w:val="003C0DA8"/>
    <w:rsid w:val="003C10DC"/>
    <w:rsid w:val="003C1548"/>
    <w:rsid w:val="003C15A9"/>
    <w:rsid w:val="003C1807"/>
    <w:rsid w:val="003C19A1"/>
    <w:rsid w:val="003C1DC8"/>
    <w:rsid w:val="003C2013"/>
    <w:rsid w:val="003C22A7"/>
    <w:rsid w:val="003C2378"/>
    <w:rsid w:val="003C241C"/>
    <w:rsid w:val="003C2657"/>
    <w:rsid w:val="003C27C9"/>
    <w:rsid w:val="003C2CEA"/>
    <w:rsid w:val="003C3322"/>
    <w:rsid w:val="003C33B6"/>
    <w:rsid w:val="003C3491"/>
    <w:rsid w:val="003C36A3"/>
    <w:rsid w:val="003C3902"/>
    <w:rsid w:val="003C39F5"/>
    <w:rsid w:val="003C3A04"/>
    <w:rsid w:val="003C3E3A"/>
    <w:rsid w:val="003C418E"/>
    <w:rsid w:val="003C42C6"/>
    <w:rsid w:val="003C433C"/>
    <w:rsid w:val="003C4344"/>
    <w:rsid w:val="003C43E9"/>
    <w:rsid w:val="003C463F"/>
    <w:rsid w:val="003C467D"/>
    <w:rsid w:val="003C4E81"/>
    <w:rsid w:val="003C510D"/>
    <w:rsid w:val="003C53B2"/>
    <w:rsid w:val="003C55DC"/>
    <w:rsid w:val="003C5741"/>
    <w:rsid w:val="003C606F"/>
    <w:rsid w:val="003C62E5"/>
    <w:rsid w:val="003C6442"/>
    <w:rsid w:val="003C6B11"/>
    <w:rsid w:val="003C6CCB"/>
    <w:rsid w:val="003C6F7E"/>
    <w:rsid w:val="003C743D"/>
    <w:rsid w:val="003D02D6"/>
    <w:rsid w:val="003D039E"/>
    <w:rsid w:val="003D05F3"/>
    <w:rsid w:val="003D09B0"/>
    <w:rsid w:val="003D0C10"/>
    <w:rsid w:val="003D0E5A"/>
    <w:rsid w:val="003D0F4B"/>
    <w:rsid w:val="003D11C4"/>
    <w:rsid w:val="003D13EE"/>
    <w:rsid w:val="003D1508"/>
    <w:rsid w:val="003D15D9"/>
    <w:rsid w:val="003D1901"/>
    <w:rsid w:val="003D1E7A"/>
    <w:rsid w:val="003D1F48"/>
    <w:rsid w:val="003D1FED"/>
    <w:rsid w:val="003D1FF9"/>
    <w:rsid w:val="003D20B6"/>
    <w:rsid w:val="003D2287"/>
    <w:rsid w:val="003D23F1"/>
    <w:rsid w:val="003D2621"/>
    <w:rsid w:val="003D2689"/>
    <w:rsid w:val="003D27B2"/>
    <w:rsid w:val="003D27DE"/>
    <w:rsid w:val="003D2848"/>
    <w:rsid w:val="003D28EE"/>
    <w:rsid w:val="003D299C"/>
    <w:rsid w:val="003D29CE"/>
    <w:rsid w:val="003D2A05"/>
    <w:rsid w:val="003D2A84"/>
    <w:rsid w:val="003D2AF3"/>
    <w:rsid w:val="003D2B92"/>
    <w:rsid w:val="003D2D26"/>
    <w:rsid w:val="003D2EEE"/>
    <w:rsid w:val="003D2F61"/>
    <w:rsid w:val="003D32AF"/>
    <w:rsid w:val="003D334F"/>
    <w:rsid w:val="003D348B"/>
    <w:rsid w:val="003D34B1"/>
    <w:rsid w:val="003D38F4"/>
    <w:rsid w:val="003D3BFE"/>
    <w:rsid w:val="003D3C70"/>
    <w:rsid w:val="003D402D"/>
    <w:rsid w:val="003D42BC"/>
    <w:rsid w:val="003D4587"/>
    <w:rsid w:val="003D470F"/>
    <w:rsid w:val="003D4801"/>
    <w:rsid w:val="003D4897"/>
    <w:rsid w:val="003D4CDB"/>
    <w:rsid w:val="003D5099"/>
    <w:rsid w:val="003D509C"/>
    <w:rsid w:val="003D53E3"/>
    <w:rsid w:val="003D5A18"/>
    <w:rsid w:val="003D5AF2"/>
    <w:rsid w:val="003D5D2E"/>
    <w:rsid w:val="003D5D53"/>
    <w:rsid w:val="003D5D76"/>
    <w:rsid w:val="003D5DDB"/>
    <w:rsid w:val="003D61B8"/>
    <w:rsid w:val="003D6471"/>
    <w:rsid w:val="003D6A19"/>
    <w:rsid w:val="003D6DD2"/>
    <w:rsid w:val="003D6FD5"/>
    <w:rsid w:val="003D70C8"/>
    <w:rsid w:val="003D7132"/>
    <w:rsid w:val="003D7408"/>
    <w:rsid w:val="003D7524"/>
    <w:rsid w:val="003D771A"/>
    <w:rsid w:val="003D774B"/>
    <w:rsid w:val="003D7CA5"/>
    <w:rsid w:val="003D7EF3"/>
    <w:rsid w:val="003D7F07"/>
    <w:rsid w:val="003E0170"/>
    <w:rsid w:val="003E01EC"/>
    <w:rsid w:val="003E0336"/>
    <w:rsid w:val="003E05A1"/>
    <w:rsid w:val="003E05CD"/>
    <w:rsid w:val="003E067F"/>
    <w:rsid w:val="003E0733"/>
    <w:rsid w:val="003E081F"/>
    <w:rsid w:val="003E1056"/>
    <w:rsid w:val="003E12C1"/>
    <w:rsid w:val="003E14FB"/>
    <w:rsid w:val="003E153C"/>
    <w:rsid w:val="003E1811"/>
    <w:rsid w:val="003E19C9"/>
    <w:rsid w:val="003E1A2E"/>
    <w:rsid w:val="003E2553"/>
    <w:rsid w:val="003E2791"/>
    <w:rsid w:val="003E28A6"/>
    <w:rsid w:val="003E2EAD"/>
    <w:rsid w:val="003E31DA"/>
    <w:rsid w:val="003E321D"/>
    <w:rsid w:val="003E38A2"/>
    <w:rsid w:val="003E38AA"/>
    <w:rsid w:val="003E3BDF"/>
    <w:rsid w:val="003E412E"/>
    <w:rsid w:val="003E416F"/>
    <w:rsid w:val="003E41FA"/>
    <w:rsid w:val="003E42A3"/>
    <w:rsid w:val="003E48F4"/>
    <w:rsid w:val="003E4904"/>
    <w:rsid w:val="003E493A"/>
    <w:rsid w:val="003E49C4"/>
    <w:rsid w:val="003E4B70"/>
    <w:rsid w:val="003E4BB9"/>
    <w:rsid w:val="003E501D"/>
    <w:rsid w:val="003E56A9"/>
    <w:rsid w:val="003E57BE"/>
    <w:rsid w:val="003E588D"/>
    <w:rsid w:val="003E5BCC"/>
    <w:rsid w:val="003E5FFB"/>
    <w:rsid w:val="003E6000"/>
    <w:rsid w:val="003E600A"/>
    <w:rsid w:val="003E61B3"/>
    <w:rsid w:val="003E6296"/>
    <w:rsid w:val="003E62DE"/>
    <w:rsid w:val="003E6475"/>
    <w:rsid w:val="003E6513"/>
    <w:rsid w:val="003E6C7E"/>
    <w:rsid w:val="003E6CD0"/>
    <w:rsid w:val="003E742C"/>
    <w:rsid w:val="003E79B4"/>
    <w:rsid w:val="003E7ABB"/>
    <w:rsid w:val="003E7BF3"/>
    <w:rsid w:val="003E7D19"/>
    <w:rsid w:val="003F00D8"/>
    <w:rsid w:val="003F01A2"/>
    <w:rsid w:val="003F033A"/>
    <w:rsid w:val="003F043F"/>
    <w:rsid w:val="003F079C"/>
    <w:rsid w:val="003F0FC2"/>
    <w:rsid w:val="003F14DD"/>
    <w:rsid w:val="003F1510"/>
    <w:rsid w:val="003F17EB"/>
    <w:rsid w:val="003F18CB"/>
    <w:rsid w:val="003F1BF6"/>
    <w:rsid w:val="003F1D5F"/>
    <w:rsid w:val="003F209C"/>
    <w:rsid w:val="003F226F"/>
    <w:rsid w:val="003F240A"/>
    <w:rsid w:val="003F26CE"/>
    <w:rsid w:val="003F27B7"/>
    <w:rsid w:val="003F29D4"/>
    <w:rsid w:val="003F2D58"/>
    <w:rsid w:val="003F3117"/>
    <w:rsid w:val="003F33C2"/>
    <w:rsid w:val="003F36BC"/>
    <w:rsid w:val="003F3855"/>
    <w:rsid w:val="003F3857"/>
    <w:rsid w:val="003F400D"/>
    <w:rsid w:val="003F41F4"/>
    <w:rsid w:val="003F4343"/>
    <w:rsid w:val="003F46F7"/>
    <w:rsid w:val="003F4883"/>
    <w:rsid w:val="003F493C"/>
    <w:rsid w:val="003F4954"/>
    <w:rsid w:val="003F4B78"/>
    <w:rsid w:val="003F4BB0"/>
    <w:rsid w:val="003F4E39"/>
    <w:rsid w:val="003F4E4E"/>
    <w:rsid w:val="003F4EA2"/>
    <w:rsid w:val="003F4F30"/>
    <w:rsid w:val="003F53A0"/>
    <w:rsid w:val="003F5624"/>
    <w:rsid w:val="003F5AE5"/>
    <w:rsid w:val="003F5C47"/>
    <w:rsid w:val="003F5C48"/>
    <w:rsid w:val="003F6456"/>
    <w:rsid w:val="003F6482"/>
    <w:rsid w:val="003F653C"/>
    <w:rsid w:val="003F654F"/>
    <w:rsid w:val="003F659D"/>
    <w:rsid w:val="003F6625"/>
    <w:rsid w:val="003F6798"/>
    <w:rsid w:val="003F693E"/>
    <w:rsid w:val="003F7185"/>
    <w:rsid w:val="003F72AE"/>
    <w:rsid w:val="003F7812"/>
    <w:rsid w:val="003F78CD"/>
    <w:rsid w:val="003F7949"/>
    <w:rsid w:val="003F7C6A"/>
    <w:rsid w:val="003F7CE2"/>
    <w:rsid w:val="003F7FF5"/>
    <w:rsid w:val="00400095"/>
    <w:rsid w:val="004000F7"/>
    <w:rsid w:val="00400211"/>
    <w:rsid w:val="0040043A"/>
    <w:rsid w:val="00400521"/>
    <w:rsid w:val="004007D8"/>
    <w:rsid w:val="00400B02"/>
    <w:rsid w:val="00400B20"/>
    <w:rsid w:val="004013C8"/>
    <w:rsid w:val="00401778"/>
    <w:rsid w:val="00401B01"/>
    <w:rsid w:val="00401B3A"/>
    <w:rsid w:val="00401C3C"/>
    <w:rsid w:val="00401D84"/>
    <w:rsid w:val="00401F9B"/>
    <w:rsid w:val="0040215C"/>
    <w:rsid w:val="004025D1"/>
    <w:rsid w:val="00402670"/>
    <w:rsid w:val="0040273C"/>
    <w:rsid w:val="00402838"/>
    <w:rsid w:val="00402EE8"/>
    <w:rsid w:val="00402EFF"/>
    <w:rsid w:val="0040312D"/>
    <w:rsid w:val="004033C4"/>
    <w:rsid w:val="004034B4"/>
    <w:rsid w:val="00403906"/>
    <w:rsid w:val="00403A66"/>
    <w:rsid w:val="00403D29"/>
    <w:rsid w:val="00403E60"/>
    <w:rsid w:val="004040C9"/>
    <w:rsid w:val="0040412A"/>
    <w:rsid w:val="004041FB"/>
    <w:rsid w:val="00404259"/>
    <w:rsid w:val="00404432"/>
    <w:rsid w:val="00404775"/>
    <w:rsid w:val="004047D6"/>
    <w:rsid w:val="004048B7"/>
    <w:rsid w:val="00404AD7"/>
    <w:rsid w:val="00404AEC"/>
    <w:rsid w:val="00404B61"/>
    <w:rsid w:val="00404C18"/>
    <w:rsid w:val="00404EED"/>
    <w:rsid w:val="00405427"/>
    <w:rsid w:val="0040555E"/>
    <w:rsid w:val="004057B3"/>
    <w:rsid w:val="00405C2A"/>
    <w:rsid w:val="00405CC3"/>
    <w:rsid w:val="00405F7A"/>
    <w:rsid w:val="0040608C"/>
    <w:rsid w:val="004061D4"/>
    <w:rsid w:val="00406500"/>
    <w:rsid w:val="00406681"/>
    <w:rsid w:val="00406796"/>
    <w:rsid w:val="00406D1A"/>
    <w:rsid w:val="00407858"/>
    <w:rsid w:val="00407911"/>
    <w:rsid w:val="00407920"/>
    <w:rsid w:val="004101D1"/>
    <w:rsid w:val="004108A7"/>
    <w:rsid w:val="004108BC"/>
    <w:rsid w:val="00410AA9"/>
    <w:rsid w:val="00410AE4"/>
    <w:rsid w:val="00410F50"/>
    <w:rsid w:val="00410F5F"/>
    <w:rsid w:val="00410FC7"/>
    <w:rsid w:val="004110AF"/>
    <w:rsid w:val="00411728"/>
    <w:rsid w:val="00411BA0"/>
    <w:rsid w:val="00411C53"/>
    <w:rsid w:val="00411C79"/>
    <w:rsid w:val="0041212A"/>
    <w:rsid w:val="0041217D"/>
    <w:rsid w:val="00412424"/>
    <w:rsid w:val="00412AA4"/>
    <w:rsid w:val="00412BBF"/>
    <w:rsid w:val="00412C0C"/>
    <w:rsid w:val="00413301"/>
    <w:rsid w:val="004133B0"/>
    <w:rsid w:val="00413469"/>
    <w:rsid w:val="0041374B"/>
    <w:rsid w:val="004139D3"/>
    <w:rsid w:val="00414059"/>
    <w:rsid w:val="004140CF"/>
    <w:rsid w:val="004144AD"/>
    <w:rsid w:val="00414A3D"/>
    <w:rsid w:val="00414AEE"/>
    <w:rsid w:val="00414CBA"/>
    <w:rsid w:val="0041527B"/>
    <w:rsid w:val="004152E2"/>
    <w:rsid w:val="004152F7"/>
    <w:rsid w:val="00415455"/>
    <w:rsid w:val="004156F1"/>
    <w:rsid w:val="00415B08"/>
    <w:rsid w:val="00415C35"/>
    <w:rsid w:val="00415D32"/>
    <w:rsid w:val="00415E8A"/>
    <w:rsid w:val="00416239"/>
    <w:rsid w:val="00416275"/>
    <w:rsid w:val="004162D7"/>
    <w:rsid w:val="00416632"/>
    <w:rsid w:val="0041671E"/>
    <w:rsid w:val="00416B28"/>
    <w:rsid w:val="0041725B"/>
    <w:rsid w:val="004174CC"/>
    <w:rsid w:val="004175EF"/>
    <w:rsid w:val="00417713"/>
    <w:rsid w:val="00417750"/>
    <w:rsid w:val="00417751"/>
    <w:rsid w:val="00417A1A"/>
    <w:rsid w:val="00417AF3"/>
    <w:rsid w:val="00417BFC"/>
    <w:rsid w:val="00417C52"/>
    <w:rsid w:val="004207A9"/>
    <w:rsid w:val="00420D99"/>
    <w:rsid w:val="00420EB9"/>
    <w:rsid w:val="00421097"/>
    <w:rsid w:val="0042145C"/>
    <w:rsid w:val="004217FA"/>
    <w:rsid w:val="00421D3F"/>
    <w:rsid w:val="004222EE"/>
    <w:rsid w:val="00422328"/>
    <w:rsid w:val="004224C9"/>
    <w:rsid w:val="004225AA"/>
    <w:rsid w:val="00422ADB"/>
    <w:rsid w:val="00423430"/>
    <w:rsid w:val="0042353D"/>
    <w:rsid w:val="004237A3"/>
    <w:rsid w:val="004238E9"/>
    <w:rsid w:val="004239F9"/>
    <w:rsid w:val="00423A44"/>
    <w:rsid w:val="00423A7C"/>
    <w:rsid w:val="00423BF2"/>
    <w:rsid w:val="00424307"/>
    <w:rsid w:val="00424406"/>
    <w:rsid w:val="00424475"/>
    <w:rsid w:val="00424531"/>
    <w:rsid w:val="00424C67"/>
    <w:rsid w:val="00424F3A"/>
    <w:rsid w:val="004251C2"/>
    <w:rsid w:val="00425249"/>
    <w:rsid w:val="00425365"/>
    <w:rsid w:val="00425502"/>
    <w:rsid w:val="00425595"/>
    <w:rsid w:val="00425754"/>
    <w:rsid w:val="004259C2"/>
    <w:rsid w:val="004259F9"/>
    <w:rsid w:val="00425DC7"/>
    <w:rsid w:val="00425DE1"/>
    <w:rsid w:val="00425FF2"/>
    <w:rsid w:val="004260CC"/>
    <w:rsid w:val="00426398"/>
    <w:rsid w:val="004263D7"/>
    <w:rsid w:val="0042645B"/>
    <w:rsid w:val="004267A9"/>
    <w:rsid w:val="004269F1"/>
    <w:rsid w:val="00426D8A"/>
    <w:rsid w:val="0042705A"/>
    <w:rsid w:val="0042718B"/>
    <w:rsid w:val="004273CA"/>
    <w:rsid w:val="004275DB"/>
    <w:rsid w:val="0042777C"/>
    <w:rsid w:val="004278A7"/>
    <w:rsid w:val="00427A51"/>
    <w:rsid w:val="00427A53"/>
    <w:rsid w:val="00427B8A"/>
    <w:rsid w:val="00427B8B"/>
    <w:rsid w:val="00427E04"/>
    <w:rsid w:val="00427EC3"/>
    <w:rsid w:val="00427F5A"/>
    <w:rsid w:val="0043018C"/>
    <w:rsid w:val="0043022A"/>
    <w:rsid w:val="00430450"/>
    <w:rsid w:val="004304B1"/>
    <w:rsid w:val="0043086D"/>
    <w:rsid w:val="00430880"/>
    <w:rsid w:val="0043098B"/>
    <w:rsid w:val="00430CA5"/>
    <w:rsid w:val="00430E61"/>
    <w:rsid w:val="00430E83"/>
    <w:rsid w:val="00430FF5"/>
    <w:rsid w:val="0043140C"/>
    <w:rsid w:val="00431706"/>
    <w:rsid w:val="0043185C"/>
    <w:rsid w:val="00431C77"/>
    <w:rsid w:val="00431CDA"/>
    <w:rsid w:val="00431FAC"/>
    <w:rsid w:val="00431FC3"/>
    <w:rsid w:val="004321CC"/>
    <w:rsid w:val="0043226B"/>
    <w:rsid w:val="00432934"/>
    <w:rsid w:val="00432B7C"/>
    <w:rsid w:val="00432F45"/>
    <w:rsid w:val="004330A0"/>
    <w:rsid w:val="0043325D"/>
    <w:rsid w:val="0043376D"/>
    <w:rsid w:val="00433959"/>
    <w:rsid w:val="00433987"/>
    <w:rsid w:val="00433CDD"/>
    <w:rsid w:val="00433D10"/>
    <w:rsid w:val="00433E59"/>
    <w:rsid w:val="00434633"/>
    <w:rsid w:val="00434829"/>
    <w:rsid w:val="00434856"/>
    <w:rsid w:val="00434950"/>
    <w:rsid w:val="004349BE"/>
    <w:rsid w:val="00434B08"/>
    <w:rsid w:val="00434C01"/>
    <w:rsid w:val="00434D7E"/>
    <w:rsid w:val="00434E54"/>
    <w:rsid w:val="004350BA"/>
    <w:rsid w:val="004355AE"/>
    <w:rsid w:val="00435716"/>
    <w:rsid w:val="00435740"/>
    <w:rsid w:val="00435AD2"/>
    <w:rsid w:val="00435BF8"/>
    <w:rsid w:val="00435CA8"/>
    <w:rsid w:val="00435DC4"/>
    <w:rsid w:val="0043602B"/>
    <w:rsid w:val="0043610C"/>
    <w:rsid w:val="00436296"/>
    <w:rsid w:val="004362DA"/>
    <w:rsid w:val="004365DE"/>
    <w:rsid w:val="004366A6"/>
    <w:rsid w:val="004366EC"/>
    <w:rsid w:val="004368A3"/>
    <w:rsid w:val="00436930"/>
    <w:rsid w:val="00436940"/>
    <w:rsid w:val="00436C57"/>
    <w:rsid w:val="00436C65"/>
    <w:rsid w:val="00436CB5"/>
    <w:rsid w:val="004371B9"/>
    <w:rsid w:val="00437221"/>
    <w:rsid w:val="004372C2"/>
    <w:rsid w:val="004372FC"/>
    <w:rsid w:val="00437456"/>
    <w:rsid w:val="00437B1F"/>
    <w:rsid w:val="00437BB9"/>
    <w:rsid w:val="00437D6E"/>
    <w:rsid w:val="00437DE9"/>
    <w:rsid w:val="00437E1E"/>
    <w:rsid w:val="004401AE"/>
    <w:rsid w:val="00440254"/>
    <w:rsid w:val="00440558"/>
    <w:rsid w:val="00440941"/>
    <w:rsid w:val="00440A2C"/>
    <w:rsid w:val="00440A5B"/>
    <w:rsid w:val="00440ADA"/>
    <w:rsid w:val="00440E7B"/>
    <w:rsid w:val="0044146D"/>
    <w:rsid w:val="00441756"/>
    <w:rsid w:val="00441C2A"/>
    <w:rsid w:val="00441E20"/>
    <w:rsid w:val="00441FB5"/>
    <w:rsid w:val="004423B3"/>
    <w:rsid w:val="00442653"/>
    <w:rsid w:val="00442818"/>
    <w:rsid w:val="00442835"/>
    <w:rsid w:val="00442CD7"/>
    <w:rsid w:val="00442E22"/>
    <w:rsid w:val="004432E0"/>
    <w:rsid w:val="004436B6"/>
    <w:rsid w:val="004437AD"/>
    <w:rsid w:val="00443B0B"/>
    <w:rsid w:val="00443B65"/>
    <w:rsid w:val="00443BB8"/>
    <w:rsid w:val="00443DE4"/>
    <w:rsid w:val="00443E1A"/>
    <w:rsid w:val="004443C0"/>
    <w:rsid w:val="00444648"/>
    <w:rsid w:val="00444690"/>
    <w:rsid w:val="00444933"/>
    <w:rsid w:val="00444D6C"/>
    <w:rsid w:val="00444DE8"/>
    <w:rsid w:val="00445147"/>
    <w:rsid w:val="0044547C"/>
    <w:rsid w:val="00445484"/>
    <w:rsid w:val="00445630"/>
    <w:rsid w:val="00445730"/>
    <w:rsid w:val="004458E4"/>
    <w:rsid w:val="004459E9"/>
    <w:rsid w:val="00445A04"/>
    <w:rsid w:val="00445A94"/>
    <w:rsid w:val="00445B4E"/>
    <w:rsid w:val="004468B3"/>
    <w:rsid w:val="0044697B"/>
    <w:rsid w:val="00446B49"/>
    <w:rsid w:val="0044731B"/>
    <w:rsid w:val="004474B8"/>
    <w:rsid w:val="00447970"/>
    <w:rsid w:val="00447D51"/>
    <w:rsid w:val="004502D6"/>
    <w:rsid w:val="004503AB"/>
    <w:rsid w:val="00450488"/>
    <w:rsid w:val="004508E2"/>
    <w:rsid w:val="0045095A"/>
    <w:rsid w:val="00450E0F"/>
    <w:rsid w:val="00451074"/>
    <w:rsid w:val="004512B6"/>
    <w:rsid w:val="00451324"/>
    <w:rsid w:val="004513AC"/>
    <w:rsid w:val="0045160C"/>
    <w:rsid w:val="0045181C"/>
    <w:rsid w:val="00451BE2"/>
    <w:rsid w:val="00451D1A"/>
    <w:rsid w:val="00451DE0"/>
    <w:rsid w:val="00451EEF"/>
    <w:rsid w:val="004522C3"/>
    <w:rsid w:val="004525E8"/>
    <w:rsid w:val="00452A6E"/>
    <w:rsid w:val="0045347A"/>
    <w:rsid w:val="004535CA"/>
    <w:rsid w:val="004536EC"/>
    <w:rsid w:val="004539B9"/>
    <w:rsid w:val="00453B51"/>
    <w:rsid w:val="00453C7E"/>
    <w:rsid w:val="0045436C"/>
    <w:rsid w:val="0045452D"/>
    <w:rsid w:val="0045456F"/>
    <w:rsid w:val="00454650"/>
    <w:rsid w:val="00454768"/>
    <w:rsid w:val="00454BAC"/>
    <w:rsid w:val="00454C35"/>
    <w:rsid w:val="004552D0"/>
    <w:rsid w:val="004554BD"/>
    <w:rsid w:val="004555B0"/>
    <w:rsid w:val="004556DF"/>
    <w:rsid w:val="00455C3F"/>
    <w:rsid w:val="00455D8C"/>
    <w:rsid w:val="00455EA0"/>
    <w:rsid w:val="00455ECB"/>
    <w:rsid w:val="00455F18"/>
    <w:rsid w:val="00456165"/>
    <w:rsid w:val="00456520"/>
    <w:rsid w:val="004567A7"/>
    <w:rsid w:val="00456B18"/>
    <w:rsid w:val="00456C9F"/>
    <w:rsid w:val="00456EE7"/>
    <w:rsid w:val="00457041"/>
    <w:rsid w:val="004570C0"/>
    <w:rsid w:val="0045720E"/>
    <w:rsid w:val="00457255"/>
    <w:rsid w:val="004577D7"/>
    <w:rsid w:val="00457B16"/>
    <w:rsid w:val="00457B88"/>
    <w:rsid w:val="00457B92"/>
    <w:rsid w:val="00457BCD"/>
    <w:rsid w:val="00457BD6"/>
    <w:rsid w:val="00457E42"/>
    <w:rsid w:val="00457FB2"/>
    <w:rsid w:val="004600D6"/>
    <w:rsid w:val="00460287"/>
    <w:rsid w:val="004607A6"/>
    <w:rsid w:val="0046081C"/>
    <w:rsid w:val="0046085F"/>
    <w:rsid w:val="004609B4"/>
    <w:rsid w:val="00460A0A"/>
    <w:rsid w:val="00460B66"/>
    <w:rsid w:val="00461186"/>
    <w:rsid w:val="0046127F"/>
    <w:rsid w:val="00461295"/>
    <w:rsid w:val="00461491"/>
    <w:rsid w:val="004618D6"/>
    <w:rsid w:val="0046194A"/>
    <w:rsid w:val="004619CB"/>
    <w:rsid w:val="00461A35"/>
    <w:rsid w:val="00461A3D"/>
    <w:rsid w:val="00461BB9"/>
    <w:rsid w:val="00461D0D"/>
    <w:rsid w:val="00461FBC"/>
    <w:rsid w:val="004620F0"/>
    <w:rsid w:val="00462288"/>
    <w:rsid w:val="00462424"/>
    <w:rsid w:val="0046270F"/>
    <w:rsid w:val="00462C4D"/>
    <w:rsid w:val="00462F21"/>
    <w:rsid w:val="00462F67"/>
    <w:rsid w:val="00463549"/>
    <w:rsid w:val="0046359F"/>
    <w:rsid w:val="00463620"/>
    <w:rsid w:val="00463704"/>
    <w:rsid w:val="00463A83"/>
    <w:rsid w:val="00463B4C"/>
    <w:rsid w:val="00463F27"/>
    <w:rsid w:val="004640AB"/>
    <w:rsid w:val="004643CF"/>
    <w:rsid w:val="00464557"/>
    <w:rsid w:val="00464BA3"/>
    <w:rsid w:val="00464D8D"/>
    <w:rsid w:val="00465416"/>
    <w:rsid w:val="00465868"/>
    <w:rsid w:val="004659CA"/>
    <w:rsid w:val="004659FF"/>
    <w:rsid w:val="00466008"/>
    <w:rsid w:val="00466095"/>
    <w:rsid w:val="004661DA"/>
    <w:rsid w:val="0046632D"/>
    <w:rsid w:val="0046663C"/>
    <w:rsid w:val="004668D0"/>
    <w:rsid w:val="00466ABE"/>
    <w:rsid w:val="00466C62"/>
    <w:rsid w:val="00466C81"/>
    <w:rsid w:val="00466D91"/>
    <w:rsid w:val="00466E1F"/>
    <w:rsid w:val="00466E78"/>
    <w:rsid w:val="004670B7"/>
    <w:rsid w:val="004670F2"/>
    <w:rsid w:val="0046727A"/>
    <w:rsid w:val="00467796"/>
    <w:rsid w:val="004678FD"/>
    <w:rsid w:val="0046795E"/>
    <w:rsid w:val="004679EC"/>
    <w:rsid w:val="00467AF6"/>
    <w:rsid w:val="00467B9E"/>
    <w:rsid w:val="00467E20"/>
    <w:rsid w:val="00467EA3"/>
    <w:rsid w:val="00470111"/>
    <w:rsid w:val="004704E8"/>
    <w:rsid w:val="00470592"/>
    <w:rsid w:val="00471126"/>
    <w:rsid w:val="0047116B"/>
    <w:rsid w:val="0047127B"/>
    <w:rsid w:val="00471705"/>
    <w:rsid w:val="00471D3C"/>
    <w:rsid w:val="00471EB3"/>
    <w:rsid w:val="00472401"/>
    <w:rsid w:val="0047241C"/>
    <w:rsid w:val="00472577"/>
    <w:rsid w:val="00472736"/>
    <w:rsid w:val="00472E7E"/>
    <w:rsid w:val="00472F89"/>
    <w:rsid w:val="0047302C"/>
    <w:rsid w:val="00473046"/>
    <w:rsid w:val="00473090"/>
    <w:rsid w:val="00473628"/>
    <w:rsid w:val="00473641"/>
    <w:rsid w:val="004737BB"/>
    <w:rsid w:val="00473804"/>
    <w:rsid w:val="0047396C"/>
    <w:rsid w:val="004739A8"/>
    <w:rsid w:val="00473B97"/>
    <w:rsid w:val="00473BE8"/>
    <w:rsid w:val="004742C0"/>
    <w:rsid w:val="004743FF"/>
    <w:rsid w:val="00474435"/>
    <w:rsid w:val="0047450E"/>
    <w:rsid w:val="004746D0"/>
    <w:rsid w:val="004747D1"/>
    <w:rsid w:val="0047480B"/>
    <w:rsid w:val="004748E7"/>
    <w:rsid w:val="00474AC3"/>
    <w:rsid w:val="00474C00"/>
    <w:rsid w:val="00474E4B"/>
    <w:rsid w:val="00475380"/>
    <w:rsid w:val="0047542A"/>
    <w:rsid w:val="00475509"/>
    <w:rsid w:val="004755FE"/>
    <w:rsid w:val="0047595B"/>
    <w:rsid w:val="00475A43"/>
    <w:rsid w:val="00475B30"/>
    <w:rsid w:val="00475CEF"/>
    <w:rsid w:val="00475D67"/>
    <w:rsid w:val="00475EF4"/>
    <w:rsid w:val="004761CA"/>
    <w:rsid w:val="00476659"/>
    <w:rsid w:val="00476A73"/>
    <w:rsid w:val="00476A93"/>
    <w:rsid w:val="00476B25"/>
    <w:rsid w:val="00476B76"/>
    <w:rsid w:val="00476F03"/>
    <w:rsid w:val="004770C6"/>
    <w:rsid w:val="00477251"/>
    <w:rsid w:val="004772E9"/>
    <w:rsid w:val="004774C6"/>
    <w:rsid w:val="004778F9"/>
    <w:rsid w:val="00477908"/>
    <w:rsid w:val="00477989"/>
    <w:rsid w:val="00477CA3"/>
    <w:rsid w:val="00477EEB"/>
    <w:rsid w:val="0048089E"/>
    <w:rsid w:val="004808C5"/>
    <w:rsid w:val="00480925"/>
    <w:rsid w:val="00480BB7"/>
    <w:rsid w:val="00480D4E"/>
    <w:rsid w:val="00481079"/>
    <w:rsid w:val="00481A2B"/>
    <w:rsid w:val="00481BE6"/>
    <w:rsid w:val="004820C4"/>
    <w:rsid w:val="004824E6"/>
    <w:rsid w:val="00482E4E"/>
    <w:rsid w:val="00483066"/>
    <w:rsid w:val="004834FE"/>
    <w:rsid w:val="00483570"/>
    <w:rsid w:val="004835A9"/>
    <w:rsid w:val="00483B6C"/>
    <w:rsid w:val="00483D08"/>
    <w:rsid w:val="00483DDA"/>
    <w:rsid w:val="00483F70"/>
    <w:rsid w:val="00483F72"/>
    <w:rsid w:val="004841A6"/>
    <w:rsid w:val="004842A5"/>
    <w:rsid w:val="004844F7"/>
    <w:rsid w:val="00484739"/>
    <w:rsid w:val="00484A31"/>
    <w:rsid w:val="00484B25"/>
    <w:rsid w:val="00484B81"/>
    <w:rsid w:val="00484CF3"/>
    <w:rsid w:val="00484E52"/>
    <w:rsid w:val="00485308"/>
    <w:rsid w:val="00485402"/>
    <w:rsid w:val="004854CD"/>
    <w:rsid w:val="00485645"/>
    <w:rsid w:val="00485935"/>
    <w:rsid w:val="004859F3"/>
    <w:rsid w:val="00485A4A"/>
    <w:rsid w:val="00485B92"/>
    <w:rsid w:val="00486577"/>
    <w:rsid w:val="004865FA"/>
    <w:rsid w:val="004867A7"/>
    <w:rsid w:val="0048682E"/>
    <w:rsid w:val="00486853"/>
    <w:rsid w:val="00486F82"/>
    <w:rsid w:val="00487102"/>
    <w:rsid w:val="004873D2"/>
    <w:rsid w:val="004875FE"/>
    <w:rsid w:val="004876B8"/>
    <w:rsid w:val="004876CF"/>
    <w:rsid w:val="004878A9"/>
    <w:rsid w:val="004879EB"/>
    <w:rsid w:val="00487A42"/>
    <w:rsid w:val="00487A80"/>
    <w:rsid w:val="00487AE7"/>
    <w:rsid w:val="00487C1C"/>
    <w:rsid w:val="00487C54"/>
    <w:rsid w:val="00487D09"/>
    <w:rsid w:val="00487F56"/>
    <w:rsid w:val="0049030F"/>
    <w:rsid w:val="00490B50"/>
    <w:rsid w:val="00490EB7"/>
    <w:rsid w:val="004910C5"/>
    <w:rsid w:val="0049111E"/>
    <w:rsid w:val="004912E3"/>
    <w:rsid w:val="00491429"/>
    <w:rsid w:val="004918C3"/>
    <w:rsid w:val="00491D89"/>
    <w:rsid w:val="00491E4E"/>
    <w:rsid w:val="00491EC1"/>
    <w:rsid w:val="00492330"/>
    <w:rsid w:val="004923D7"/>
    <w:rsid w:val="004923E1"/>
    <w:rsid w:val="00492499"/>
    <w:rsid w:val="004925AF"/>
    <w:rsid w:val="00493035"/>
    <w:rsid w:val="00493362"/>
    <w:rsid w:val="004935E9"/>
    <w:rsid w:val="00493A1D"/>
    <w:rsid w:val="00493EA6"/>
    <w:rsid w:val="004943B3"/>
    <w:rsid w:val="004945B5"/>
    <w:rsid w:val="0049462C"/>
    <w:rsid w:val="0049484B"/>
    <w:rsid w:val="00494942"/>
    <w:rsid w:val="00494CE6"/>
    <w:rsid w:val="00494DFE"/>
    <w:rsid w:val="00494E84"/>
    <w:rsid w:val="004951DD"/>
    <w:rsid w:val="004952DB"/>
    <w:rsid w:val="00495417"/>
    <w:rsid w:val="004954B9"/>
    <w:rsid w:val="004958C7"/>
    <w:rsid w:val="00495D4B"/>
    <w:rsid w:val="00495DC8"/>
    <w:rsid w:val="00496432"/>
    <w:rsid w:val="004971A5"/>
    <w:rsid w:val="00497205"/>
    <w:rsid w:val="00497264"/>
    <w:rsid w:val="004972ED"/>
    <w:rsid w:val="00497503"/>
    <w:rsid w:val="00497512"/>
    <w:rsid w:val="0049753E"/>
    <w:rsid w:val="00497847"/>
    <w:rsid w:val="0049788E"/>
    <w:rsid w:val="00497C16"/>
    <w:rsid w:val="00497C29"/>
    <w:rsid w:val="00497C99"/>
    <w:rsid w:val="00497DC9"/>
    <w:rsid w:val="004A039F"/>
    <w:rsid w:val="004A03BA"/>
    <w:rsid w:val="004A0756"/>
    <w:rsid w:val="004A07F4"/>
    <w:rsid w:val="004A081A"/>
    <w:rsid w:val="004A0891"/>
    <w:rsid w:val="004A0955"/>
    <w:rsid w:val="004A0ABD"/>
    <w:rsid w:val="004A0AC1"/>
    <w:rsid w:val="004A0D5A"/>
    <w:rsid w:val="004A0F0F"/>
    <w:rsid w:val="004A0FAE"/>
    <w:rsid w:val="004A117D"/>
    <w:rsid w:val="004A11F4"/>
    <w:rsid w:val="004A125E"/>
    <w:rsid w:val="004A138B"/>
    <w:rsid w:val="004A13F0"/>
    <w:rsid w:val="004A14EC"/>
    <w:rsid w:val="004A1614"/>
    <w:rsid w:val="004A161F"/>
    <w:rsid w:val="004A1666"/>
    <w:rsid w:val="004A16BC"/>
    <w:rsid w:val="004A1802"/>
    <w:rsid w:val="004A18A0"/>
    <w:rsid w:val="004A1D6C"/>
    <w:rsid w:val="004A2119"/>
    <w:rsid w:val="004A21B8"/>
    <w:rsid w:val="004A22BE"/>
    <w:rsid w:val="004A2367"/>
    <w:rsid w:val="004A240F"/>
    <w:rsid w:val="004A262C"/>
    <w:rsid w:val="004A274C"/>
    <w:rsid w:val="004A281D"/>
    <w:rsid w:val="004A2926"/>
    <w:rsid w:val="004A2D40"/>
    <w:rsid w:val="004A35A4"/>
    <w:rsid w:val="004A3B4B"/>
    <w:rsid w:val="004A3DBD"/>
    <w:rsid w:val="004A3EB5"/>
    <w:rsid w:val="004A3FFA"/>
    <w:rsid w:val="004A40BB"/>
    <w:rsid w:val="004A42A3"/>
    <w:rsid w:val="004A42CB"/>
    <w:rsid w:val="004A4479"/>
    <w:rsid w:val="004A4656"/>
    <w:rsid w:val="004A4722"/>
    <w:rsid w:val="004A50B4"/>
    <w:rsid w:val="004A55A6"/>
    <w:rsid w:val="004A5699"/>
    <w:rsid w:val="004A57D3"/>
    <w:rsid w:val="004A5A16"/>
    <w:rsid w:val="004A5A7D"/>
    <w:rsid w:val="004A6042"/>
    <w:rsid w:val="004A63F0"/>
    <w:rsid w:val="004A6477"/>
    <w:rsid w:val="004A6608"/>
    <w:rsid w:val="004A68B8"/>
    <w:rsid w:val="004A6992"/>
    <w:rsid w:val="004A6ABD"/>
    <w:rsid w:val="004A6BCA"/>
    <w:rsid w:val="004A6BD8"/>
    <w:rsid w:val="004A77E6"/>
    <w:rsid w:val="004A7A81"/>
    <w:rsid w:val="004A7A87"/>
    <w:rsid w:val="004A7AAD"/>
    <w:rsid w:val="004A7CC5"/>
    <w:rsid w:val="004A7CF5"/>
    <w:rsid w:val="004A7D4F"/>
    <w:rsid w:val="004A7F46"/>
    <w:rsid w:val="004B084A"/>
    <w:rsid w:val="004B0A79"/>
    <w:rsid w:val="004B1CC3"/>
    <w:rsid w:val="004B1D9E"/>
    <w:rsid w:val="004B2582"/>
    <w:rsid w:val="004B2710"/>
    <w:rsid w:val="004B2A57"/>
    <w:rsid w:val="004B31B9"/>
    <w:rsid w:val="004B3206"/>
    <w:rsid w:val="004B3496"/>
    <w:rsid w:val="004B3539"/>
    <w:rsid w:val="004B39A2"/>
    <w:rsid w:val="004B4313"/>
    <w:rsid w:val="004B4502"/>
    <w:rsid w:val="004B450B"/>
    <w:rsid w:val="004B464A"/>
    <w:rsid w:val="004B4897"/>
    <w:rsid w:val="004B4BCF"/>
    <w:rsid w:val="004B4BD6"/>
    <w:rsid w:val="004B4BE1"/>
    <w:rsid w:val="004B4CD6"/>
    <w:rsid w:val="004B4F88"/>
    <w:rsid w:val="004B4FDA"/>
    <w:rsid w:val="004B5081"/>
    <w:rsid w:val="004B5719"/>
    <w:rsid w:val="004B57A2"/>
    <w:rsid w:val="004B5954"/>
    <w:rsid w:val="004B5E92"/>
    <w:rsid w:val="004B62E5"/>
    <w:rsid w:val="004B64CA"/>
    <w:rsid w:val="004B65EB"/>
    <w:rsid w:val="004B666C"/>
    <w:rsid w:val="004B6958"/>
    <w:rsid w:val="004B69A9"/>
    <w:rsid w:val="004B6A96"/>
    <w:rsid w:val="004B6BBE"/>
    <w:rsid w:val="004B6DC8"/>
    <w:rsid w:val="004B6F3C"/>
    <w:rsid w:val="004B70D9"/>
    <w:rsid w:val="004B735B"/>
    <w:rsid w:val="004B737B"/>
    <w:rsid w:val="004B7457"/>
    <w:rsid w:val="004B75D9"/>
    <w:rsid w:val="004B76ED"/>
    <w:rsid w:val="004B79E8"/>
    <w:rsid w:val="004B7AFC"/>
    <w:rsid w:val="004B7B9B"/>
    <w:rsid w:val="004C05A0"/>
    <w:rsid w:val="004C063C"/>
    <w:rsid w:val="004C0837"/>
    <w:rsid w:val="004C09F5"/>
    <w:rsid w:val="004C0EB9"/>
    <w:rsid w:val="004C104D"/>
    <w:rsid w:val="004C1183"/>
    <w:rsid w:val="004C1254"/>
    <w:rsid w:val="004C15D2"/>
    <w:rsid w:val="004C1A47"/>
    <w:rsid w:val="004C1A7A"/>
    <w:rsid w:val="004C1CF3"/>
    <w:rsid w:val="004C1F99"/>
    <w:rsid w:val="004C2272"/>
    <w:rsid w:val="004C22BB"/>
    <w:rsid w:val="004C2384"/>
    <w:rsid w:val="004C2963"/>
    <w:rsid w:val="004C2BD7"/>
    <w:rsid w:val="004C3239"/>
    <w:rsid w:val="004C3518"/>
    <w:rsid w:val="004C36A8"/>
    <w:rsid w:val="004C36E8"/>
    <w:rsid w:val="004C3A31"/>
    <w:rsid w:val="004C3B30"/>
    <w:rsid w:val="004C3EA0"/>
    <w:rsid w:val="004C3EEF"/>
    <w:rsid w:val="004C4312"/>
    <w:rsid w:val="004C433D"/>
    <w:rsid w:val="004C4459"/>
    <w:rsid w:val="004C46D4"/>
    <w:rsid w:val="004C47B2"/>
    <w:rsid w:val="004C4B9D"/>
    <w:rsid w:val="004C4BA3"/>
    <w:rsid w:val="004C4FBF"/>
    <w:rsid w:val="004C50A5"/>
    <w:rsid w:val="004C50DC"/>
    <w:rsid w:val="004C5181"/>
    <w:rsid w:val="004C5328"/>
    <w:rsid w:val="004C5760"/>
    <w:rsid w:val="004C590E"/>
    <w:rsid w:val="004C5F2A"/>
    <w:rsid w:val="004C604E"/>
    <w:rsid w:val="004C68B2"/>
    <w:rsid w:val="004C68C7"/>
    <w:rsid w:val="004C697A"/>
    <w:rsid w:val="004C7407"/>
    <w:rsid w:val="004C798A"/>
    <w:rsid w:val="004C79ED"/>
    <w:rsid w:val="004C7AF3"/>
    <w:rsid w:val="004C7B51"/>
    <w:rsid w:val="004C7D78"/>
    <w:rsid w:val="004C7E08"/>
    <w:rsid w:val="004C7F87"/>
    <w:rsid w:val="004D0825"/>
    <w:rsid w:val="004D0AF6"/>
    <w:rsid w:val="004D0C3A"/>
    <w:rsid w:val="004D0ECE"/>
    <w:rsid w:val="004D1265"/>
    <w:rsid w:val="004D1436"/>
    <w:rsid w:val="004D14AB"/>
    <w:rsid w:val="004D16B3"/>
    <w:rsid w:val="004D1879"/>
    <w:rsid w:val="004D18DB"/>
    <w:rsid w:val="004D18E2"/>
    <w:rsid w:val="004D1D48"/>
    <w:rsid w:val="004D20EB"/>
    <w:rsid w:val="004D211A"/>
    <w:rsid w:val="004D2238"/>
    <w:rsid w:val="004D2406"/>
    <w:rsid w:val="004D25CD"/>
    <w:rsid w:val="004D279F"/>
    <w:rsid w:val="004D2B90"/>
    <w:rsid w:val="004D2BB0"/>
    <w:rsid w:val="004D2BBC"/>
    <w:rsid w:val="004D2C05"/>
    <w:rsid w:val="004D2CA9"/>
    <w:rsid w:val="004D2D32"/>
    <w:rsid w:val="004D3246"/>
    <w:rsid w:val="004D34C5"/>
    <w:rsid w:val="004D35AD"/>
    <w:rsid w:val="004D3773"/>
    <w:rsid w:val="004D3BE5"/>
    <w:rsid w:val="004D3CDD"/>
    <w:rsid w:val="004D3FA1"/>
    <w:rsid w:val="004D401D"/>
    <w:rsid w:val="004D404E"/>
    <w:rsid w:val="004D4072"/>
    <w:rsid w:val="004D4143"/>
    <w:rsid w:val="004D4171"/>
    <w:rsid w:val="004D4180"/>
    <w:rsid w:val="004D41E2"/>
    <w:rsid w:val="004D4362"/>
    <w:rsid w:val="004D44E6"/>
    <w:rsid w:val="004D4508"/>
    <w:rsid w:val="004D4510"/>
    <w:rsid w:val="004D4725"/>
    <w:rsid w:val="004D4A59"/>
    <w:rsid w:val="004D4A7D"/>
    <w:rsid w:val="004D4C49"/>
    <w:rsid w:val="004D4D67"/>
    <w:rsid w:val="004D5429"/>
    <w:rsid w:val="004D54A1"/>
    <w:rsid w:val="004D5804"/>
    <w:rsid w:val="004D5812"/>
    <w:rsid w:val="004D5822"/>
    <w:rsid w:val="004D5891"/>
    <w:rsid w:val="004D596D"/>
    <w:rsid w:val="004D5A6A"/>
    <w:rsid w:val="004D5A72"/>
    <w:rsid w:val="004D5AD9"/>
    <w:rsid w:val="004D5C1E"/>
    <w:rsid w:val="004D5D15"/>
    <w:rsid w:val="004D5D6B"/>
    <w:rsid w:val="004D5ED3"/>
    <w:rsid w:val="004D5EF1"/>
    <w:rsid w:val="004D5EFB"/>
    <w:rsid w:val="004D6251"/>
    <w:rsid w:val="004D640E"/>
    <w:rsid w:val="004D64C2"/>
    <w:rsid w:val="004D67C3"/>
    <w:rsid w:val="004D6B26"/>
    <w:rsid w:val="004D6BDF"/>
    <w:rsid w:val="004D7425"/>
    <w:rsid w:val="004D752B"/>
    <w:rsid w:val="004D76AD"/>
    <w:rsid w:val="004D776F"/>
    <w:rsid w:val="004D7AC2"/>
    <w:rsid w:val="004D7B9C"/>
    <w:rsid w:val="004D7FD0"/>
    <w:rsid w:val="004E02E3"/>
    <w:rsid w:val="004E0501"/>
    <w:rsid w:val="004E0B72"/>
    <w:rsid w:val="004E0E71"/>
    <w:rsid w:val="004E0EF6"/>
    <w:rsid w:val="004E1316"/>
    <w:rsid w:val="004E165A"/>
    <w:rsid w:val="004E1694"/>
    <w:rsid w:val="004E183C"/>
    <w:rsid w:val="004E1C1B"/>
    <w:rsid w:val="004E1DCC"/>
    <w:rsid w:val="004E23E4"/>
    <w:rsid w:val="004E24A2"/>
    <w:rsid w:val="004E24E1"/>
    <w:rsid w:val="004E2BEE"/>
    <w:rsid w:val="004E3265"/>
    <w:rsid w:val="004E3474"/>
    <w:rsid w:val="004E34DC"/>
    <w:rsid w:val="004E36F9"/>
    <w:rsid w:val="004E377C"/>
    <w:rsid w:val="004E38AF"/>
    <w:rsid w:val="004E3C28"/>
    <w:rsid w:val="004E3E04"/>
    <w:rsid w:val="004E3EFC"/>
    <w:rsid w:val="004E3FD2"/>
    <w:rsid w:val="004E415F"/>
    <w:rsid w:val="004E441E"/>
    <w:rsid w:val="004E498D"/>
    <w:rsid w:val="004E4B9F"/>
    <w:rsid w:val="004E4CA8"/>
    <w:rsid w:val="004E4CF0"/>
    <w:rsid w:val="004E4DE4"/>
    <w:rsid w:val="004E4E3E"/>
    <w:rsid w:val="004E50C6"/>
    <w:rsid w:val="004E5322"/>
    <w:rsid w:val="004E5882"/>
    <w:rsid w:val="004E60C5"/>
    <w:rsid w:val="004E6367"/>
    <w:rsid w:val="004E6842"/>
    <w:rsid w:val="004E6EA6"/>
    <w:rsid w:val="004E72A6"/>
    <w:rsid w:val="004E74F4"/>
    <w:rsid w:val="004E757D"/>
    <w:rsid w:val="004E779D"/>
    <w:rsid w:val="004E7AC5"/>
    <w:rsid w:val="004E7B60"/>
    <w:rsid w:val="004E7E8F"/>
    <w:rsid w:val="004E7EE0"/>
    <w:rsid w:val="004E7F3B"/>
    <w:rsid w:val="004E7FA4"/>
    <w:rsid w:val="004F00F5"/>
    <w:rsid w:val="004F03EB"/>
    <w:rsid w:val="004F0455"/>
    <w:rsid w:val="004F05DB"/>
    <w:rsid w:val="004F078E"/>
    <w:rsid w:val="004F09C2"/>
    <w:rsid w:val="004F0A39"/>
    <w:rsid w:val="004F0D23"/>
    <w:rsid w:val="004F1222"/>
    <w:rsid w:val="004F139B"/>
    <w:rsid w:val="004F1485"/>
    <w:rsid w:val="004F162E"/>
    <w:rsid w:val="004F1BDB"/>
    <w:rsid w:val="004F1F16"/>
    <w:rsid w:val="004F2060"/>
    <w:rsid w:val="004F2700"/>
    <w:rsid w:val="004F29E3"/>
    <w:rsid w:val="004F29F2"/>
    <w:rsid w:val="004F2FB6"/>
    <w:rsid w:val="004F34E7"/>
    <w:rsid w:val="004F34ED"/>
    <w:rsid w:val="004F3941"/>
    <w:rsid w:val="004F3C21"/>
    <w:rsid w:val="004F3F0D"/>
    <w:rsid w:val="004F3F0E"/>
    <w:rsid w:val="004F3F15"/>
    <w:rsid w:val="004F4224"/>
    <w:rsid w:val="004F429F"/>
    <w:rsid w:val="004F463A"/>
    <w:rsid w:val="004F4688"/>
    <w:rsid w:val="004F48BC"/>
    <w:rsid w:val="004F48E2"/>
    <w:rsid w:val="004F49AD"/>
    <w:rsid w:val="004F4A5B"/>
    <w:rsid w:val="004F5279"/>
    <w:rsid w:val="004F548C"/>
    <w:rsid w:val="004F5696"/>
    <w:rsid w:val="004F5830"/>
    <w:rsid w:val="004F591D"/>
    <w:rsid w:val="004F5920"/>
    <w:rsid w:val="004F59A3"/>
    <w:rsid w:val="004F5AAC"/>
    <w:rsid w:val="004F5ADF"/>
    <w:rsid w:val="004F5AEB"/>
    <w:rsid w:val="004F5DEE"/>
    <w:rsid w:val="004F5E01"/>
    <w:rsid w:val="004F61E6"/>
    <w:rsid w:val="004F62EC"/>
    <w:rsid w:val="004F6509"/>
    <w:rsid w:val="004F685B"/>
    <w:rsid w:val="004F691D"/>
    <w:rsid w:val="004F6965"/>
    <w:rsid w:val="004F6B8B"/>
    <w:rsid w:val="004F6D93"/>
    <w:rsid w:val="004F7002"/>
    <w:rsid w:val="004F738C"/>
    <w:rsid w:val="004F7393"/>
    <w:rsid w:val="004F752D"/>
    <w:rsid w:val="004F7800"/>
    <w:rsid w:val="004F7A3E"/>
    <w:rsid w:val="0050016E"/>
    <w:rsid w:val="00500171"/>
    <w:rsid w:val="005002C8"/>
    <w:rsid w:val="0050071B"/>
    <w:rsid w:val="00500BBD"/>
    <w:rsid w:val="00500BD9"/>
    <w:rsid w:val="00500CA3"/>
    <w:rsid w:val="0050104A"/>
    <w:rsid w:val="005012D7"/>
    <w:rsid w:val="00501B89"/>
    <w:rsid w:val="00501E8B"/>
    <w:rsid w:val="00501F2A"/>
    <w:rsid w:val="00502261"/>
    <w:rsid w:val="0050267D"/>
    <w:rsid w:val="00502900"/>
    <w:rsid w:val="00502914"/>
    <w:rsid w:val="00502993"/>
    <w:rsid w:val="005031C2"/>
    <w:rsid w:val="005031ED"/>
    <w:rsid w:val="00503423"/>
    <w:rsid w:val="00503721"/>
    <w:rsid w:val="00503C0D"/>
    <w:rsid w:val="00503FB3"/>
    <w:rsid w:val="00504023"/>
    <w:rsid w:val="0050410A"/>
    <w:rsid w:val="005043C6"/>
    <w:rsid w:val="005043FF"/>
    <w:rsid w:val="0050494F"/>
    <w:rsid w:val="00504B17"/>
    <w:rsid w:val="00504B1C"/>
    <w:rsid w:val="00504BCB"/>
    <w:rsid w:val="00504F42"/>
    <w:rsid w:val="005051DB"/>
    <w:rsid w:val="005054CD"/>
    <w:rsid w:val="00505598"/>
    <w:rsid w:val="0050572C"/>
    <w:rsid w:val="00505738"/>
    <w:rsid w:val="005059A4"/>
    <w:rsid w:val="00505A03"/>
    <w:rsid w:val="00505E41"/>
    <w:rsid w:val="00506059"/>
    <w:rsid w:val="005064F1"/>
    <w:rsid w:val="0050672C"/>
    <w:rsid w:val="00506771"/>
    <w:rsid w:val="00506AAA"/>
    <w:rsid w:val="00506AAB"/>
    <w:rsid w:val="00506B16"/>
    <w:rsid w:val="00506B53"/>
    <w:rsid w:val="00506D46"/>
    <w:rsid w:val="00506F04"/>
    <w:rsid w:val="00507182"/>
    <w:rsid w:val="005072CA"/>
    <w:rsid w:val="00507449"/>
    <w:rsid w:val="0050760E"/>
    <w:rsid w:val="0050783F"/>
    <w:rsid w:val="005102BB"/>
    <w:rsid w:val="005103A0"/>
    <w:rsid w:val="005103BF"/>
    <w:rsid w:val="00510454"/>
    <w:rsid w:val="0051061F"/>
    <w:rsid w:val="005107B4"/>
    <w:rsid w:val="00510A73"/>
    <w:rsid w:val="00510AB1"/>
    <w:rsid w:val="00510BE7"/>
    <w:rsid w:val="00510CF9"/>
    <w:rsid w:val="005111BD"/>
    <w:rsid w:val="005113FA"/>
    <w:rsid w:val="00511AC4"/>
    <w:rsid w:val="00511CF2"/>
    <w:rsid w:val="00511E3B"/>
    <w:rsid w:val="0051209E"/>
    <w:rsid w:val="00512211"/>
    <w:rsid w:val="0051263B"/>
    <w:rsid w:val="00512642"/>
    <w:rsid w:val="00512697"/>
    <w:rsid w:val="00512729"/>
    <w:rsid w:val="005129F2"/>
    <w:rsid w:val="00512DAA"/>
    <w:rsid w:val="005136FA"/>
    <w:rsid w:val="00513AB8"/>
    <w:rsid w:val="00513D6C"/>
    <w:rsid w:val="00513D74"/>
    <w:rsid w:val="00513F7F"/>
    <w:rsid w:val="00514099"/>
    <w:rsid w:val="005143FA"/>
    <w:rsid w:val="005145D7"/>
    <w:rsid w:val="0051463A"/>
    <w:rsid w:val="00514737"/>
    <w:rsid w:val="0051488E"/>
    <w:rsid w:val="00514AC5"/>
    <w:rsid w:val="00514B3A"/>
    <w:rsid w:val="00514B62"/>
    <w:rsid w:val="00514BDF"/>
    <w:rsid w:val="00514C3C"/>
    <w:rsid w:val="00514D5B"/>
    <w:rsid w:val="00514DA1"/>
    <w:rsid w:val="00514EAE"/>
    <w:rsid w:val="00514F3F"/>
    <w:rsid w:val="00515259"/>
    <w:rsid w:val="005155FD"/>
    <w:rsid w:val="005157E9"/>
    <w:rsid w:val="005158AA"/>
    <w:rsid w:val="00515C2D"/>
    <w:rsid w:val="00515ED1"/>
    <w:rsid w:val="00515F50"/>
    <w:rsid w:val="005165DC"/>
    <w:rsid w:val="00516962"/>
    <w:rsid w:val="00516A1F"/>
    <w:rsid w:val="00516C2B"/>
    <w:rsid w:val="00516FBF"/>
    <w:rsid w:val="00517049"/>
    <w:rsid w:val="005173D5"/>
    <w:rsid w:val="00517456"/>
    <w:rsid w:val="0051747A"/>
    <w:rsid w:val="00517498"/>
    <w:rsid w:val="0051759E"/>
    <w:rsid w:val="00517E36"/>
    <w:rsid w:val="00517F14"/>
    <w:rsid w:val="00520358"/>
    <w:rsid w:val="005203D1"/>
    <w:rsid w:val="00520408"/>
    <w:rsid w:val="0052044D"/>
    <w:rsid w:val="00520602"/>
    <w:rsid w:val="005207B8"/>
    <w:rsid w:val="0052082A"/>
    <w:rsid w:val="005208B5"/>
    <w:rsid w:val="00520A20"/>
    <w:rsid w:val="00520C13"/>
    <w:rsid w:val="00520D0C"/>
    <w:rsid w:val="005212BC"/>
    <w:rsid w:val="005212DB"/>
    <w:rsid w:val="00521B12"/>
    <w:rsid w:val="00521D7F"/>
    <w:rsid w:val="00521DF7"/>
    <w:rsid w:val="00522030"/>
    <w:rsid w:val="005220A7"/>
    <w:rsid w:val="005226D6"/>
    <w:rsid w:val="00522963"/>
    <w:rsid w:val="00522F3E"/>
    <w:rsid w:val="005232AC"/>
    <w:rsid w:val="00523BEE"/>
    <w:rsid w:val="0052432F"/>
    <w:rsid w:val="0052435E"/>
    <w:rsid w:val="005243E7"/>
    <w:rsid w:val="005244D4"/>
    <w:rsid w:val="00524521"/>
    <w:rsid w:val="0052467D"/>
    <w:rsid w:val="0052492F"/>
    <w:rsid w:val="00524A19"/>
    <w:rsid w:val="00524A3B"/>
    <w:rsid w:val="005251F8"/>
    <w:rsid w:val="005252C3"/>
    <w:rsid w:val="005253E0"/>
    <w:rsid w:val="0052543B"/>
    <w:rsid w:val="00525684"/>
    <w:rsid w:val="00525803"/>
    <w:rsid w:val="00525A4E"/>
    <w:rsid w:val="00525AAE"/>
    <w:rsid w:val="00525B1C"/>
    <w:rsid w:val="00525C58"/>
    <w:rsid w:val="00525D39"/>
    <w:rsid w:val="005264E2"/>
    <w:rsid w:val="00526722"/>
    <w:rsid w:val="00526798"/>
    <w:rsid w:val="00526B39"/>
    <w:rsid w:val="00526CC5"/>
    <w:rsid w:val="00526E2C"/>
    <w:rsid w:val="0052715B"/>
    <w:rsid w:val="0052731B"/>
    <w:rsid w:val="0052737E"/>
    <w:rsid w:val="00527553"/>
    <w:rsid w:val="00527889"/>
    <w:rsid w:val="00527C19"/>
    <w:rsid w:val="00527FB5"/>
    <w:rsid w:val="00530144"/>
    <w:rsid w:val="005304E6"/>
    <w:rsid w:val="0053067C"/>
    <w:rsid w:val="00530734"/>
    <w:rsid w:val="005307EA"/>
    <w:rsid w:val="005308BD"/>
    <w:rsid w:val="00530A66"/>
    <w:rsid w:val="00530BD9"/>
    <w:rsid w:val="005313EE"/>
    <w:rsid w:val="00531472"/>
    <w:rsid w:val="0053156C"/>
    <w:rsid w:val="0053181E"/>
    <w:rsid w:val="005318E5"/>
    <w:rsid w:val="00531B8F"/>
    <w:rsid w:val="00531C1D"/>
    <w:rsid w:val="00531C4C"/>
    <w:rsid w:val="005322FA"/>
    <w:rsid w:val="0053255A"/>
    <w:rsid w:val="00532CAA"/>
    <w:rsid w:val="00532D61"/>
    <w:rsid w:val="00533134"/>
    <w:rsid w:val="005332AC"/>
    <w:rsid w:val="005333C0"/>
    <w:rsid w:val="00533753"/>
    <w:rsid w:val="005337FF"/>
    <w:rsid w:val="00533B9A"/>
    <w:rsid w:val="00533E3C"/>
    <w:rsid w:val="00533EF6"/>
    <w:rsid w:val="0053403F"/>
    <w:rsid w:val="0053470A"/>
    <w:rsid w:val="0053471E"/>
    <w:rsid w:val="005349A0"/>
    <w:rsid w:val="00534CC7"/>
    <w:rsid w:val="00534D78"/>
    <w:rsid w:val="005351AE"/>
    <w:rsid w:val="005351F6"/>
    <w:rsid w:val="00535210"/>
    <w:rsid w:val="005353D4"/>
    <w:rsid w:val="005354CC"/>
    <w:rsid w:val="00535AD0"/>
    <w:rsid w:val="00535C30"/>
    <w:rsid w:val="00535CF4"/>
    <w:rsid w:val="00535F44"/>
    <w:rsid w:val="00535FFC"/>
    <w:rsid w:val="005362A4"/>
    <w:rsid w:val="0053650B"/>
    <w:rsid w:val="005365D9"/>
    <w:rsid w:val="00536677"/>
    <w:rsid w:val="005368AE"/>
    <w:rsid w:val="005369B4"/>
    <w:rsid w:val="00536A28"/>
    <w:rsid w:val="00536B70"/>
    <w:rsid w:val="00536B75"/>
    <w:rsid w:val="00536E48"/>
    <w:rsid w:val="00536EF6"/>
    <w:rsid w:val="0053704F"/>
    <w:rsid w:val="0053749F"/>
    <w:rsid w:val="005375E2"/>
    <w:rsid w:val="00537743"/>
    <w:rsid w:val="00537819"/>
    <w:rsid w:val="00537849"/>
    <w:rsid w:val="00537868"/>
    <w:rsid w:val="00537B63"/>
    <w:rsid w:val="00537B69"/>
    <w:rsid w:val="00537CAB"/>
    <w:rsid w:val="00537E05"/>
    <w:rsid w:val="0054008F"/>
    <w:rsid w:val="005404C7"/>
    <w:rsid w:val="00540BD8"/>
    <w:rsid w:val="00541199"/>
    <w:rsid w:val="005413C2"/>
    <w:rsid w:val="005421A4"/>
    <w:rsid w:val="005425D9"/>
    <w:rsid w:val="005429C2"/>
    <w:rsid w:val="00542A7B"/>
    <w:rsid w:val="00543056"/>
    <w:rsid w:val="00543D13"/>
    <w:rsid w:val="00543DB5"/>
    <w:rsid w:val="00543F56"/>
    <w:rsid w:val="00544357"/>
    <w:rsid w:val="005443EB"/>
    <w:rsid w:val="00544813"/>
    <w:rsid w:val="00544A79"/>
    <w:rsid w:val="00544C78"/>
    <w:rsid w:val="00544CDC"/>
    <w:rsid w:val="00544F9A"/>
    <w:rsid w:val="005451AE"/>
    <w:rsid w:val="00545BCC"/>
    <w:rsid w:val="00545FC2"/>
    <w:rsid w:val="005464FE"/>
    <w:rsid w:val="00546511"/>
    <w:rsid w:val="0054670F"/>
    <w:rsid w:val="0054674B"/>
    <w:rsid w:val="0054679B"/>
    <w:rsid w:val="005469F2"/>
    <w:rsid w:val="005469FD"/>
    <w:rsid w:val="00546FA9"/>
    <w:rsid w:val="00547113"/>
    <w:rsid w:val="0054714F"/>
    <w:rsid w:val="0054717D"/>
    <w:rsid w:val="005471F5"/>
    <w:rsid w:val="0054723A"/>
    <w:rsid w:val="0054765F"/>
    <w:rsid w:val="00547B5E"/>
    <w:rsid w:val="00547FAC"/>
    <w:rsid w:val="0055009A"/>
    <w:rsid w:val="00550887"/>
    <w:rsid w:val="0055109E"/>
    <w:rsid w:val="005514D9"/>
    <w:rsid w:val="00551816"/>
    <w:rsid w:val="00551DAE"/>
    <w:rsid w:val="00551F8F"/>
    <w:rsid w:val="0055211F"/>
    <w:rsid w:val="005521F7"/>
    <w:rsid w:val="00552444"/>
    <w:rsid w:val="005524B4"/>
    <w:rsid w:val="0055265D"/>
    <w:rsid w:val="00552937"/>
    <w:rsid w:val="00552943"/>
    <w:rsid w:val="00552B9A"/>
    <w:rsid w:val="00552F29"/>
    <w:rsid w:val="00553028"/>
    <w:rsid w:val="005534B6"/>
    <w:rsid w:val="00553747"/>
    <w:rsid w:val="0055376F"/>
    <w:rsid w:val="005539F1"/>
    <w:rsid w:val="00553A12"/>
    <w:rsid w:val="00553B80"/>
    <w:rsid w:val="00553E3E"/>
    <w:rsid w:val="00553F08"/>
    <w:rsid w:val="00553F42"/>
    <w:rsid w:val="00554067"/>
    <w:rsid w:val="00554372"/>
    <w:rsid w:val="00554EF8"/>
    <w:rsid w:val="0055507F"/>
    <w:rsid w:val="005550ED"/>
    <w:rsid w:val="0055557B"/>
    <w:rsid w:val="005555E4"/>
    <w:rsid w:val="0055571B"/>
    <w:rsid w:val="005563D5"/>
    <w:rsid w:val="005566A5"/>
    <w:rsid w:val="005567A5"/>
    <w:rsid w:val="00556986"/>
    <w:rsid w:val="00556A65"/>
    <w:rsid w:val="00556AD1"/>
    <w:rsid w:val="00556CEA"/>
    <w:rsid w:val="00556CED"/>
    <w:rsid w:val="00557275"/>
    <w:rsid w:val="005575A2"/>
    <w:rsid w:val="0055765C"/>
    <w:rsid w:val="005576DC"/>
    <w:rsid w:val="00557AAF"/>
    <w:rsid w:val="00557ABB"/>
    <w:rsid w:val="00557B51"/>
    <w:rsid w:val="00557FC2"/>
    <w:rsid w:val="00560650"/>
    <w:rsid w:val="005608EE"/>
    <w:rsid w:val="005616C9"/>
    <w:rsid w:val="00561774"/>
    <w:rsid w:val="005617D5"/>
    <w:rsid w:val="005617DC"/>
    <w:rsid w:val="005618F1"/>
    <w:rsid w:val="005619A6"/>
    <w:rsid w:val="00561B51"/>
    <w:rsid w:val="005621B3"/>
    <w:rsid w:val="0056247C"/>
    <w:rsid w:val="00562689"/>
    <w:rsid w:val="00562A7B"/>
    <w:rsid w:val="00562B00"/>
    <w:rsid w:val="00563095"/>
    <w:rsid w:val="005631AE"/>
    <w:rsid w:val="005633A4"/>
    <w:rsid w:val="005636E4"/>
    <w:rsid w:val="005637A5"/>
    <w:rsid w:val="005637A8"/>
    <w:rsid w:val="005638FB"/>
    <w:rsid w:val="00563EB5"/>
    <w:rsid w:val="00564179"/>
    <w:rsid w:val="0056426E"/>
    <w:rsid w:val="00564371"/>
    <w:rsid w:val="00564598"/>
    <w:rsid w:val="00564919"/>
    <w:rsid w:val="00564BFB"/>
    <w:rsid w:val="00565754"/>
    <w:rsid w:val="00565A64"/>
    <w:rsid w:val="00565B80"/>
    <w:rsid w:val="0056697A"/>
    <w:rsid w:val="00566B75"/>
    <w:rsid w:val="00566EEC"/>
    <w:rsid w:val="0056726B"/>
    <w:rsid w:val="005672EB"/>
    <w:rsid w:val="005672F1"/>
    <w:rsid w:val="005678D5"/>
    <w:rsid w:val="00567B1D"/>
    <w:rsid w:val="00567E94"/>
    <w:rsid w:val="00570530"/>
    <w:rsid w:val="005705C1"/>
    <w:rsid w:val="00570EBC"/>
    <w:rsid w:val="00570ECF"/>
    <w:rsid w:val="00570FF8"/>
    <w:rsid w:val="00571252"/>
    <w:rsid w:val="005719B4"/>
    <w:rsid w:val="00572421"/>
    <w:rsid w:val="0057259C"/>
    <w:rsid w:val="00572802"/>
    <w:rsid w:val="005728EE"/>
    <w:rsid w:val="00572906"/>
    <w:rsid w:val="00572AA4"/>
    <w:rsid w:val="00572BC6"/>
    <w:rsid w:val="00573527"/>
    <w:rsid w:val="0057371A"/>
    <w:rsid w:val="00573807"/>
    <w:rsid w:val="00573811"/>
    <w:rsid w:val="00573A1C"/>
    <w:rsid w:val="00573ADA"/>
    <w:rsid w:val="00573B16"/>
    <w:rsid w:val="00573CE4"/>
    <w:rsid w:val="00574044"/>
    <w:rsid w:val="005742C3"/>
    <w:rsid w:val="005745FB"/>
    <w:rsid w:val="00574656"/>
    <w:rsid w:val="00574885"/>
    <w:rsid w:val="00574F1D"/>
    <w:rsid w:val="0057508E"/>
    <w:rsid w:val="005750C0"/>
    <w:rsid w:val="00575361"/>
    <w:rsid w:val="00575417"/>
    <w:rsid w:val="0057595A"/>
    <w:rsid w:val="00575ADD"/>
    <w:rsid w:val="00575F40"/>
    <w:rsid w:val="00575FFA"/>
    <w:rsid w:val="00576221"/>
    <w:rsid w:val="0057652C"/>
    <w:rsid w:val="00576723"/>
    <w:rsid w:val="00576947"/>
    <w:rsid w:val="00576A39"/>
    <w:rsid w:val="00576AD0"/>
    <w:rsid w:val="00576AD4"/>
    <w:rsid w:val="00576B93"/>
    <w:rsid w:val="00576FBA"/>
    <w:rsid w:val="00577193"/>
    <w:rsid w:val="005776ED"/>
    <w:rsid w:val="00577999"/>
    <w:rsid w:val="00577AE0"/>
    <w:rsid w:val="00577B9A"/>
    <w:rsid w:val="00577DBB"/>
    <w:rsid w:val="00577F10"/>
    <w:rsid w:val="00580140"/>
    <w:rsid w:val="005806CD"/>
    <w:rsid w:val="00580AA4"/>
    <w:rsid w:val="00580CAF"/>
    <w:rsid w:val="00580D71"/>
    <w:rsid w:val="00580D8B"/>
    <w:rsid w:val="00580DA2"/>
    <w:rsid w:val="00581036"/>
    <w:rsid w:val="005814C8"/>
    <w:rsid w:val="005814CB"/>
    <w:rsid w:val="00581806"/>
    <w:rsid w:val="00581962"/>
    <w:rsid w:val="00581A4A"/>
    <w:rsid w:val="00581B3F"/>
    <w:rsid w:val="00581CC7"/>
    <w:rsid w:val="00581D32"/>
    <w:rsid w:val="00581D9F"/>
    <w:rsid w:val="00581DD7"/>
    <w:rsid w:val="00581FE8"/>
    <w:rsid w:val="00582015"/>
    <w:rsid w:val="00582092"/>
    <w:rsid w:val="0058258A"/>
    <w:rsid w:val="005828F5"/>
    <w:rsid w:val="00582AD4"/>
    <w:rsid w:val="00582ED1"/>
    <w:rsid w:val="005832F9"/>
    <w:rsid w:val="00583557"/>
    <w:rsid w:val="0058359A"/>
    <w:rsid w:val="00583CAF"/>
    <w:rsid w:val="00584196"/>
    <w:rsid w:val="0058428B"/>
    <w:rsid w:val="00585102"/>
    <w:rsid w:val="0058516D"/>
    <w:rsid w:val="00585259"/>
    <w:rsid w:val="005852EE"/>
    <w:rsid w:val="00585592"/>
    <w:rsid w:val="00585913"/>
    <w:rsid w:val="00585E19"/>
    <w:rsid w:val="00585E5B"/>
    <w:rsid w:val="0058610C"/>
    <w:rsid w:val="00586292"/>
    <w:rsid w:val="005864A0"/>
    <w:rsid w:val="00586869"/>
    <w:rsid w:val="00586BBF"/>
    <w:rsid w:val="00586D8F"/>
    <w:rsid w:val="0058705E"/>
    <w:rsid w:val="0058722B"/>
    <w:rsid w:val="005874DB"/>
    <w:rsid w:val="005877EB"/>
    <w:rsid w:val="00587C9F"/>
    <w:rsid w:val="00590205"/>
    <w:rsid w:val="0059045E"/>
    <w:rsid w:val="00590541"/>
    <w:rsid w:val="005906A0"/>
    <w:rsid w:val="00590952"/>
    <w:rsid w:val="00590B2C"/>
    <w:rsid w:val="00590DC6"/>
    <w:rsid w:val="00590ED2"/>
    <w:rsid w:val="0059109A"/>
    <w:rsid w:val="005910FC"/>
    <w:rsid w:val="00591110"/>
    <w:rsid w:val="00591B9B"/>
    <w:rsid w:val="00591D82"/>
    <w:rsid w:val="00591E5D"/>
    <w:rsid w:val="00591F55"/>
    <w:rsid w:val="00591FAC"/>
    <w:rsid w:val="005920E6"/>
    <w:rsid w:val="005923CD"/>
    <w:rsid w:val="00592704"/>
    <w:rsid w:val="00592C3A"/>
    <w:rsid w:val="00592CF9"/>
    <w:rsid w:val="00592F4D"/>
    <w:rsid w:val="00592FF7"/>
    <w:rsid w:val="00593165"/>
    <w:rsid w:val="005934A9"/>
    <w:rsid w:val="0059365A"/>
    <w:rsid w:val="00593789"/>
    <w:rsid w:val="0059397A"/>
    <w:rsid w:val="00594315"/>
    <w:rsid w:val="00594361"/>
    <w:rsid w:val="0059446B"/>
    <w:rsid w:val="005949C6"/>
    <w:rsid w:val="00594C56"/>
    <w:rsid w:val="00594D5C"/>
    <w:rsid w:val="00594EB1"/>
    <w:rsid w:val="00594EE9"/>
    <w:rsid w:val="00594FB6"/>
    <w:rsid w:val="00595008"/>
    <w:rsid w:val="0059548B"/>
    <w:rsid w:val="0059552F"/>
    <w:rsid w:val="00595887"/>
    <w:rsid w:val="005958E2"/>
    <w:rsid w:val="0059592A"/>
    <w:rsid w:val="005969D9"/>
    <w:rsid w:val="00596BBF"/>
    <w:rsid w:val="00596C42"/>
    <w:rsid w:val="00596CFF"/>
    <w:rsid w:val="00596F6C"/>
    <w:rsid w:val="00597205"/>
    <w:rsid w:val="005974DC"/>
    <w:rsid w:val="00597B9E"/>
    <w:rsid w:val="00597BD2"/>
    <w:rsid w:val="00597C77"/>
    <w:rsid w:val="005A0172"/>
    <w:rsid w:val="005A046A"/>
    <w:rsid w:val="005A047F"/>
    <w:rsid w:val="005A0662"/>
    <w:rsid w:val="005A0921"/>
    <w:rsid w:val="005A0C7D"/>
    <w:rsid w:val="005A1652"/>
    <w:rsid w:val="005A1C73"/>
    <w:rsid w:val="005A1D08"/>
    <w:rsid w:val="005A2105"/>
    <w:rsid w:val="005A217F"/>
    <w:rsid w:val="005A26D9"/>
    <w:rsid w:val="005A2852"/>
    <w:rsid w:val="005A2898"/>
    <w:rsid w:val="005A2E0F"/>
    <w:rsid w:val="005A3288"/>
    <w:rsid w:val="005A3293"/>
    <w:rsid w:val="005A340F"/>
    <w:rsid w:val="005A3801"/>
    <w:rsid w:val="005A409C"/>
    <w:rsid w:val="005A4182"/>
    <w:rsid w:val="005A44B0"/>
    <w:rsid w:val="005A4801"/>
    <w:rsid w:val="005A4C60"/>
    <w:rsid w:val="005A4CEC"/>
    <w:rsid w:val="005A4DDC"/>
    <w:rsid w:val="005A5230"/>
    <w:rsid w:val="005A53F5"/>
    <w:rsid w:val="005A5591"/>
    <w:rsid w:val="005A5670"/>
    <w:rsid w:val="005A5F4F"/>
    <w:rsid w:val="005A5F93"/>
    <w:rsid w:val="005A6115"/>
    <w:rsid w:val="005A635A"/>
    <w:rsid w:val="005A6521"/>
    <w:rsid w:val="005A6A7A"/>
    <w:rsid w:val="005A6B27"/>
    <w:rsid w:val="005A6D8A"/>
    <w:rsid w:val="005A6EA9"/>
    <w:rsid w:val="005A735D"/>
    <w:rsid w:val="005A74BB"/>
    <w:rsid w:val="005A784F"/>
    <w:rsid w:val="005A7A8E"/>
    <w:rsid w:val="005B0320"/>
    <w:rsid w:val="005B04DC"/>
    <w:rsid w:val="005B0E11"/>
    <w:rsid w:val="005B0FC9"/>
    <w:rsid w:val="005B149E"/>
    <w:rsid w:val="005B15E8"/>
    <w:rsid w:val="005B1775"/>
    <w:rsid w:val="005B18C7"/>
    <w:rsid w:val="005B1ACD"/>
    <w:rsid w:val="005B1C57"/>
    <w:rsid w:val="005B1F22"/>
    <w:rsid w:val="005B23E7"/>
    <w:rsid w:val="005B295A"/>
    <w:rsid w:val="005B2A7A"/>
    <w:rsid w:val="005B2C02"/>
    <w:rsid w:val="005B2C26"/>
    <w:rsid w:val="005B2FC2"/>
    <w:rsid w:val="005B30CC"/>
    <w:rsid w:val="005B3CC7"/>
    <w:rsid w:val="005B3DC0"/>
    <w:rsid w:val="005B3DFB"/>
    <w:rsid w:val="005B3FE3"/>
    <w:rsid w:val="005B41EB"/>
    <w:rsid w:val="005B4437"/>
    <w:rsid w:val="005B47F7"/>
    <w:rsid w:val="005B4892"/>
    <w:rsid w:val="005B4908"/>
    <w:rsid w:val="005B4913"/>
    <w:rsid w:val="005B4B40"/>
    <w:rsid w:val="005B4EC8"/>
    <w:rsid w:val="005B5065"/>
    <w:rsid w:val="005B5082"/>
    <w:rsid w:val="005B50DA"/>
    <w:rsid w:val="005B53BD"/>
    <w:rsid w:val="005B53D3"/>
    <w:rsid w:val="005B5410"/>
    <w:rsid w:val="005B550E"/>
    <w:rsid w:val="005B57A0"/>
    <w:rsid w:val="005B58FF"/>
    <w:rsid w:val="005B59B5"/>
    <w:rsid w:val="005B5ACC"/>
    <w:rsid w:val="005B5B5F"/>
    <w:rsid w:val="005B5C3C"/>
    <w:rsid w:val="005B5C81"/>
    <w:rsid w:val="005B5DE1"/>
    <w:rsid w:val="005B5FEF"/>
    <w:rsid w:val="005B602A"/>
    <w:rsid w:val="005B6098"/>
    <w:rsid w:val="005B665C"/>
    <w:rsid w:val="005B66DD"/>
    <w:rsid w:val="005B6907"/>
    <w:rsid w:val="005B6BD4"/>
    <w:rsid w:val="005B7826"/>
    <w:rsid w:val="005B7A01"/>
    <w:rsid w:val="005B7BCC"/>
    <w:rsid w:val="005B7D7C"/>
    <w:rsid w:val="005C009F"/>
    <w:rsid w:val="005C00C2"/>
    <w:rsid w:val="005C0423"/>
    <w:rsid w:val="005C0507"/>
    <w:rsid w:val="005C0795"/>
    <w:rsid w:val="005C08B7"/>
    <w:rsid w:val="005C0992"/>
    <w:rsid w:val="005C0B0F"/>
    <w:rsid w:val="005C0C97"/>
    <w:rsid w:val="005C0D7E"/>
    <w:rsid w:val="005C0FC3"/>
    <w:rsid w:val="005C1028"/>
    <w:rsid w:val="005C14A1"/>
    <w:rsid w:val="005C1ADD"/>
    <w:rsid w:val="005C1C58"/>
    <w:rsid w:val="005C1C72"/>
    <w:rsid w:val="005C1F40"/>
    <w:rsid w:val="005C20B0"/>
    <w:rsid w:val="005C21C7"/>
    <w:rsid w:val="005C251E"/>
    <w:rsid w:val="005C2A19"/>
    <w:rsid w:val="005C2B86"/>
    <w:rsid w:val="005C2EF2"/>
    <w:rsid w:val="005C30A1"/>
    <w:rsid w:val="005C31A7"/>
    <w:rsid w:val="005C3C6C"/>
    <w:rsid w:val="005C3CC8"/>
    <w:rsid w:val="005C3DD4"/>
    <w:rsid w:val="005C3F44"/>
    <w:rsid w:val="005C421E"/>
    <w:rsid w:val="005C46D0"/>
    <w:rsid w:val="005C4A58"/>
    <w:rsid w:val="005C4C29"/>
    <w:rsid w:val="005C4FFF"/>
    <w:rsid w:val="005C545F"/>
    <w:rsid w:val="005C5C72"/>
    <w:rsid w:val="005C5E20"/>
    <w:rsid w:val="005C5EF4"/>
    <w:rsid w:val="005C65EA"/>
    <w:rsid w:val="005C678E"/>
    <w:rsid w:val="005C69FA"/>
    <w:rsid w:val="005C6C70"/>
    <w:rsid w:val="005C6D9E"/>
    <w:rsid w:val="005C6E81"/>
    <w:rsid w:val="005C72B5"/>
    <w:rsid w:val="005C7698"/>
    <w:rsid w:val="005C793C"/>
    <w:rsid w:val="005C7B9A"/>
    <w:rsid w:val="005C7D1D"/>
    <w:rsid w:val="005C7E4D"/>
    <w:rsid w:val="005C7EC2"/>
    <w:rsid w:val="005C7F7C"/>
    <w:rsid w:val="005D004D"/>
    <w:rsid w:val="005D01B3"/>
    <w:rsid w:val="005D041F"/>
    <w:rsid w:val="005D0A67"/>
    <w:rsid w:val="005D0C30"/>
    <w:rsid w:val="005D0DB7"/>
    <w:rsid w:val="005D0F3E"/>
    <w:rsid w:val="005D1111"/>
    <w:rsid w:val="005D157A"/>
    <w:rsid w:val="005D16F5"/>
    <w:rsid w:val="005D1AB8"/>
    <w:rsid w:val="005D1CDB"/>
    <w:rsid w:val="005D2056"/>
    <w:rsid w:val="005D23A5"/>
    <w:rsid w:val="005D2A12"/>
    <w:rsid w:val="005D2C93"/>
    <w:rsid w:val="005D32A5"/>
    <w:rsid w:val="005D33D6"/>
    <w:rsid w:val="005D38A6"/>
    <w:rsid w:val="005D39BA"/>
    <w:rsid w:val="005D3B08"/>
    <w:rsid w:val="005D3C88"/>
    <w:rsid w:val="005D3E6C"/>
    <w:rsid w:val="005D3F54"/>
    <w:rsid w:val="005D404C"/>
    <w:rsid w:val="005D45B6"/>
    <w:rsid w:val="005D465B"/>
    <w:rsid w:val="005D4B5F"/>
    <w:rsid w:val="005D4D86"/>
    <w:rsid w:val="005D4F8F"/>
    <w:rsid w:val="005D4FBE"/>
    <w:rsid w:val="005D510E"/>
    <w:rsid w:val="005D54B2"/>
    <w:rsid w:val="005D5825"/>
    <w:rsid w:val="005D5A9C"/>
    <w:rsid w:val="005D5BEE"/>
    <w:rsid w:val="005D5EF5"/>
    <w:rsid w:val="005D601D"/>
    <w:rsid w:val="005D6BB4"/>
    <w:rsid w:val="005D6ECB"/>
    <w:rsid w:val="005D70C7"/>
    <w:rsid w:val="005D7238"/>
    <w:rsid w:val="005D75B3"/>
    <w:rsid w:val="005D7768"/>
    <w:rsid w:val="005D797E"/>
    <w:rsid w:val="005D7B30"/>
    <w:rsid w:val="005D7F9A"/>
    <w:rsid w:val="005E0302"/>
    <w:rsid w:val="005E07ED"/>
    <w:rsid w:val="005E08AD"/>
    <w:rsid w:val="005E093F"/>
    <w:rsid w:val="005E098C"/>
    <w:rsid w:val="005E0C20"/>
    <w:rsid w:val="005E0D3C"/>
    <w:rsid w:val="005E100C"/>
    <w:rsid w:val="005E107A"/>
    <w:rsid w:val="005E1152"/>
    <w:rsid w:val="005E11FE"/>
    <w:rsid w:val="005E1FBF"/>
    <w:rsid w:val="005E1FEB"/>
    <w:rsid w:val="005E2184"/>
    <w:rsid w:val="005E21D3"/>
    <w:rsid w:val="005E245C"/>
    <w:rsid w:val="005E24FF"/>
    <w:rsid w:val="005E2BCE"/>
    <w:rsid w:val="005E334F"/>
    <w:rsid w:val="005E3790"/>
    <w:rsid w:val="005E3B8F"/>
    <w:rsid w:val="005E3D2D"/>
    <w:rsid w:val="005E4042"/>
    <w:rsid w:val="005E41BA"/>
    <w:rsid w:val="005E41C4"/>
    <w:rsid w:val="005E431E"/>
    <w:rsid w:val="005E4845"/>
    <w:rsid w:val="005E4892"/>
    <w:rsid w:val="005E4893"/>
    <w:rsid w:val="005E48A3"/>
    <w:rsid w:val="005E49DC"/>
    <w:rsid w:val="005E4C15"/>
    <w:rsid w:val="005E4FE3"/>
    <w:rsid w:val="005E5065"/>
    <w:rsid w:val="005E50AD"/>
    <w:rsid w:val="005E5256"/>
    <w:rsid w:val="005E55C2"/>
    <w:rsid w:val="005E5ADD"/>
    <w:rsid w:val="005E5B1B"/>
    <w:rsid w:val="005E5B9F"/>
    <w:rsid w:val="005E5C46"/>
    <w:rsid w:val="005E5DB8"/>
    <w:rsid w:val="005E6092"/>
    <w:rsid w:val="005E61B8"/>
    <w:rsid w:val="005E669C"/>
    <w:rsid w:val="005E6879"/>
    <w:rsid w:val="005E6915"/>
    <w:rsid w:val="005E69D7"/>
    <w:rsid w:val="005E6F5A"/>
    <w:rsid w:val="005E7100"/>
    <w:rsid w:val="005E7197"/>
    <w:rsid w:val="005E7356"/>
    <w:rsid w:val="005E7604"/>
    <w:rsid w:val="005E77E7"/>
    <w:rsid w:val="005E7810"/>
    <w:rsid w:val="005F0227"/>
    <w:rsid w:val="005F036C"/>
    <w:rsid w:val="005F05DF"/>
    <w:rsid w:val="005F05F1"/>
    <w:rsid w:val="005F0BEF"/>
    <w:rsid w:val="005F0ED2"/>
    <w:rsid w:val="005F0F51"/>
    <w:rsid w:val="005F123C"/>
    <w:rsid w:val="005F12C9"/>
    <w:rsid w:val="005F14B4"/>
    <w:rsid w:val="005F1838"/>
    <w:rsid w:val="005F1B3B"/>
    <w:rsid w:val="005F1BAA"/>
    <w:rsid w:val="005F2252"/>
    <w:rsid w:val="005F233C"/>
    <w:rsid w:val="005F23F3"/>
    <w:rsid w:val="005F2738"/>
    <w:rsid w:val="005F2861"/>
    <w:rsid w:val="005F2E17"/>
    <w:rsid w:val="005F311E"/>
    <w:rsid w:val="005F3297"/>
    <w:rsid w:val="005F33AD"/>
    <w:rsid w:val="005F349E"/>
    <w:rsid w:val="005F355A"/>
    <w:rsid w:val="005F3663"/>
    <w:rsid w:val="005F36D2"/>
    <w:rsid w:val="005F3726"/>
    <w:rsid w:val="005F37A6"/>
    <w:rsid w:val="005F3B55"/>
    <w:rsid w:val="005F3B79"/>
    <w:rsid w:val="005F3D56"/>
    <w:rsid w:val="005F3E43"/>
    <w:rsid w:val="005F4157"/>
    <w:rsid w:val="005F45E5"/>
    <w:rsid w:val="005F4677"/>
    <w:rsid w:val="005F4706"/>
    <w:rsid w:val="005F4B8F"/>
    <w:rsid w:val="005F4C5A"/>
    <w:rsid w:val="005F4DDB"/>
    <w:rsid w:val="005F4F74"/>
    <w:rsid w:val="005F53CA"/>
    <w:rsid w:val="005F57A8"/>
    <w:rsid w:val="005F5958"/>
    <w:rsid w:val="005F5DD0"/>
    <w:rsid w:val="005F6498"/>
    <w:rsid w:val="005F66AA"/>
    <w:rsid w:val="005F6D0D"/>
    <w:rsid w:val="005F7153"/>
    <w:rsid w:val="005F716D"/>
    <w:rsid w:val="005F7283"/>
    <w:rsid w:val="005F744B"/>
    <w:rsid w:val="005F74D9"/>
    <w:rsid w:val="005F751C"/>
    <w:rsid w:val="005F7618"/>
    <w:rsid w:val="005F7B00"/>
    <w:rsid w:val="005F7CDF"/>
    <w:rsid w:val="005F7D31"/>
    <w:rsid w:val="0060006A"/>
    <w:rsid w:val="006002A7"/>
    <w:rsid w:val="00600361"/>
    <w:rsid w:val="006003AE"/>
    <w:rsid w:val="006003AF"/>
    <w:rsid w:val="006003BD"/>
    <w:rsid w:val="0060044E"/>
    <w:rsid w:val="0060052F"/>
    <w:rsid w:val="0060059F"/>
    <w:rsid w:val="00600AB7"/>
    <w:rsid w:val="00600B45"/>
    <w:rsid w:val="00600E0E"/>
    <w:rsid w:val="00600F10"/>
    <w:rsid w:val="006010D9"/>
    <w:rsid w:val="00601445"/>
    <w:rsid w:val="00601A72"/>
    <w:rsid w:val="00601BBD"/>
    <w:rsid w:val="00601CB1"/>
    <w:rsid w:val="006020F0"/>
    <w:rsid w:val="00602344"/>
    <w:rsid w:val="0060257C"/>
    <w:rsid w:val="006027C6"/>
    <w:rsid w:val="00602997"/>
    <w:rsid w:val="006029FB"/>
    <w:rsid w:val="00602CE5"/>
    <w:rsid w:val="00603382"/>
    <w:rsid w:val="006033F5"/>
    <w:rsid w:val="00603568"/>
    <w:rsid w:val="006035FA"/>
    <w:rsid w:val="00603F48"/>
    <w:rsid w:val="00603F98"/>
    <w:rsid w:val="0060422D"/>
    <w:rsid w:val="0060438B"/>
    <w:rsid w:val="0060473E"/>
    <w:rsid w:val="00604747"/>
    <w:rsid w:val="00604870"/>
    <w:rsid w:val="006048C9"/>
    <w:rsid w:val="00604DD2"/>
    <w:rsid w:val="00604FD0"/>
    <w:rsid w:val="00604FE9"/>
    <w:rsid w:val="00605499"/>
    <w:rsid w:val="006055A0"/>
    <w:rsid w:val="00605621"/>
    <w:rsid w:val="00605A80"/>
    <w:rsid w:val="00605C60"/>
    <w:rsid w:val="00605ED2"/>
    <w:rsid w:val="00605EEC"/>
    <w:rsid w:val="0060604E"/>
    <w:rsid w:val="006066D5"/>
    <w:rsid w:val="006066F3"/>
    <w:rsid w:val="00606A6A"/>
    <w:rsid w:val="00606B26"/>
    <w:rsid w:val="00606C39"/>
    <w:rsid w:val="00606F6C"/>
    <w:rsid w:val="006071AB"/>
    <w:rsid w:val="006071FC"/>
    <w:rsid w:val="0060770B"/>
    <w:rsid w:val="0060780E"/>
    <w:rsid w:val="00607838"/>
    <w:rsid w:val="00607AC6"/>
    <w:rsid w:val="00607B98"/>
    <w:rsid w:val="00607D2C"/>
    <w:rsid w:val="00607E57"/>
    <w:rsid w:val="00610147"/>
    <w:rsid w:val="0061040D"/>
    <w:rsid w:val="006106D3"/>
    <w:rsid w:val="0061092B"/>
    <w:rsid w:val="00610DEE"/>
    <w:rsid w:val="00611636"/>
    <w:rsid w:val="00611703"/>
    <w:rsid w:val="0061171A"/>
    <w:rsid w:val="00612B66"/>
    <w:rsid w:val="00612B87"/>
    <w:rsid w:val="00612CDE"/>
    <w:rsid w:val="00612E6D"/>
    <w:rsid w:val="0061342A"/>
    <w:rsid w:val="00613765"/>
    <w:rsid w:val="0061399D"/>
    <w:rsid w:val="00613DCD"/>
    <w:rsid w:val="00613E2A"/>
    <w:rsid w:val="00613FF5"/>
    <w:rsid w:val="006141C3"/>
    <w:rsid w:val="00614695"/>
    <w:rsid w:val="006147AC"/>
    <w:rsid w:val="006148F9"/>
    <w:rsid w:val="00614AB9"/>
    <w:rsid w:val="00614B25"/>
    <w:rsid w:val="00614CD7"/>
    <w:rsid w:val="00614D02"/>
    <w:rsid w:val="00614D1A"/>
    <w:rsid w:val="006150B1"/>
    <w:rsid w:val="0061552F"/>
    <w:rsid w:val="006156E1"/>
    <w:rsid w:val="006156F2"/>
    <w:rsid w:val="0061570E"/>
    <w:rsid w:val="00615AE4"/>
    <w:rsid w:val="00615B30"/>
    <w:rsid w:val="006164A8"/>
    <w:rsid w:val="0061672B"/>
    <w:rsid w:val="006167D2"/>
    <w:rsid w:val="006167E9"/>
    <w:rsid w:val="00616BC2"/>
    <w:rsid w:val="00616BD2"/>
    <w:rsid w:val="00616E69"/>
    <w:rsid w:val="0061725C"/>
    <w:rsid w:val="006174CA"/>
    <w:rsid w:val="006176DD"/>
    <w:rsid w:val="006177CC"/>
    <w:rsid w:val="0061782A"/>
    <w:rsid w:val="00617A64"/>
    <w:rsid w:val="00617A7A"/>
    <w:rsid w:val="00617AE3"/>
    <w:rsid w:val="00617C25"/>
    <w:rsid w:val="00617E74"/>
    <w:rsid w:val="00617F11"/>
    <w:rsid w:val="00617F43"/>
    <w:rsid w:val="00617F48"/>
    <w:rsid w:val="0062001B"/>
    <w:rsid w:val="006204EF"/>
    <w:rsid w:val="006206CA"/>
    <w:rsid w:val="00620DEF"/>
    <w:rsid w:val="00620E21"/>
    <w:rsid w:val="00620FE3"/>
    <w:rsid w:val="006211A9"/>
    <w:rsid w:val="0062135D"/>
    <w:rsid w:val="00621509"/>
    <w:rsid w:val="00621A13"/>
    <w:rsid w:val="00621F4A"/>
    <w:rsid w:val="0062205D"/>
    <w:rsid w:val="00622286"/>
    <w:rsid w:val="006224BE"/>
    <w:rsid w:val="00622556"/>
    <w:rsid w:val="006225AE"/>
    <w:rsid w:val="006225B7"/>
    <w:rsid w:val="00622B32"/>
    <w:rsid w:val="00622D1D"/>
    <w:rsid w:val="006231FE"/>
    <w:rsid w:val="00623978"/>
    <w:rsid w:val="00623B2D"/>
    <w:rsid w:val="00623D36"/>
    <w:rsid w:val="00623D59"/>
    <w:rsid w:val="00623E72"/>
    <w:rsid w:val="006241BA"/>
    <w:rsid w:val="00624261"/>
    <w:rsid w:val="006242C4"/>
    <w:rsid w:val="0062454C"/>
    <w:rsid w:val="0062459A"/>
    <w:rsid w:val="00624636"/>
    <w:rsid w:val="00624675"/>
    <w:rsid w:val="006249F2"/>
    <w:rsid w:val="00624B8C"/>
    <w:rsid w:val="00624DD3"/>
    <w:rsid w:val="00624E96"/>
    <w:rsid w:val="00624F07"/>
    <w:rsid w:val="00625054"/>
    <w:rsid w:val="00625149"/>
    <w:rsid w:val="00625242"/>
    <w:rsid w:val="00625527"/>
    <w:rsid w:val="006258D2"/>
    <w:rsid w:val="006258F1"/>
    <w:rsid w:val="0062592C"/>
    <w:rsid w:val="00625B8A"/>
    <w:rsid w:val="00625E18"/>
    <w:rsid w:val="00626092"/>
    <w:rsid w:val="0062613D"/>
    <w:rsid w:val="006263E7"/>
    <w:rsid w:val="0062650E"/>
    <w:rsid w:val="006265A4"/>
    <w:rsid w:val="00626B3D"/>
    <w:rsid w:val="00626F24"/>
    <w:rsid w:val="00626F33"/>
    <w:rsid w:val="00626FB9"/>
    <w:rsid w:val="006271C7"/>
    <w:rsid w:val="00627485"/>
    <w:rsid w:val="006274E4"/>
    <w:rsid w:val="00627532"/>
    <w:rsid w:val="00627D7F"/>
    <w:rsid w:val="00627E20"/>
    <w:rsid w:val="00630447"/>
    <w:rsid w:val="00630514"/>
    <w:rsid w:val="006305D8"/>
    <w:rsid w:val="0063092E"/>
    <w:rsid w:val="00630A33"/>
    <w:rsid w:val="00630A61"/>
    <w:rsid w:val="00630B05"/>
    <w:rsid w:val="00630F76"/>
    <w:rsid w:val="00631463"/>
    <w:rsid w:val="006315A7"/>
    <w:rsid w:val="00631B79"/>
    <w:rsid w:val="00631BD2"/>
    <w:rsid w:val="00631CB1"/>
    <w:rsid w:val="0063213E"/>
    <w:rsid w:val="006322AE"/>
    <w:rsid w:val="0063254E"/>
    <w:rsid w:val="0063279C"/>
    <w:rsid w:val="006327EB"/>
    <w:rsid w:val="00632A0F"/>
    <w:rsid w:val="00632E3A"/>
    <w:rsid w:val="00632F7C"/>
    <w:rsid w:val="00632FB5"/>
    <w:rsid w:val="0063309B"/>
    <w:rsid w:val="00633360"/>
    <w:rsid w:val="0063343E"/>
    <w:rsid w:val="00633805"/>
    <w:rsid w:val="00633C8A"/>
    <w:rsid w:val="00633E77"/>
    <w:rsid w:val="00633F0A"/>
    <w:rsid w:val="00633F2F"/>
    <w:rsid w:val="00634107"/>
    <w:rsid w:val="00634358"/>
    <w:rsid w:val="00634E3D"/>
    <w:rsid w:val="00634E79"/>
    <w:rsid w:val="00635070"/>
    <w:rsid w:val="006350CA"/>
    <w:rsid w:val="006356F1"/>
    <w:rsid w:val="006358B4"/>
    <w:rsid w:val="00635FFC"/>
    <w:rsid w:val="00636352"/>
    <w:rsid w:val="0063646C"/>
    <w:rsid w:val="00636481"/>
    <w:rsid w:val="0063652C"/>
    <w:rsid w:val="00636691"/>
    <w:rsid w:val="006372CB"/>
    <w:rsid w:val="0063754C"/>
    <w:rsid w:val="006378B5"/>
    <w:rsid w:val="00637AC8"/>
    <w:rsid w:val="00640202"/>
    <w:rsid w:val="0064030B"/>
    <w:rsid w:val="0064032D"/>
    <w:rsid w:val="0064035D"/>
    <w:rsid w:val="00640374"/>
    <w:rsid w:val="00640733"/>
    <w:rsid w:val="00640A8E"/>
    <w:rsid w:val="00640BEC"/>
    <w:rsid w:val="00640FDA"/>
    <w:rsid w:val="006410A5"/>
    <w:rsid w:val="00641636"/>
    <w:rsid w:val="0064165C"/>
    <w:rsid w:val="006418AA"/>
    <w:rsid w:val="00641B33"/>
    <w:rsid w:val="00641BA6"/>
    <w:rsid w:val="00641C80"/>
    <w:rsid w:val="00641CAC"/>
    <w:rsid w:val="00641E39"/>
    <w:rsid w:val="00641EBB"/>
    <w:rsid w:val="00642277"/>
    <w:rsid w:val="00642790"/>
    <w:rsid w:val="0064286D"/>
    <w:rsid w:val="00642A1D"/>
    <w:rsid w:val="00642AD0"/>
    <w:rsid w:val="00642B75"/>
    <w:rsid w:val="00642F75"/>
    <w:rsid w:val="006430D4"/>
    <w:rsid w:val="006431A8"/>
    <w:rsid w:val="0064332A"/>
    <w:rsid w:val="006437E9"/>
    <w:rsid w:val="00643978"/>
    <w:rsid w:val="006439E7"/>
    <w:rsid w:val="00643EC6"/>
    <w:rsid w:val="00643EC7"/>
    <w:rsid w:val="00643F48"/>
    <w:rsid w:val="0064422B"/>
    <w:rsid w:val="0064424A"/>
    <w:rsid w:val="006442E7"/>
    <w:rsid w:val="0064435D"/>
    <w:rsid w:val="0064437C"/>
    <w:rsid w:val="0064480E"/>
    <w:rsid w:val="00644F63"/>
    <w:rsid w:val="006452E7"/>
    <w:rsid w:val="0064580F"/>
    <w:rsid w:val="0064596A"/>
    <w:rsid w:val="00645AEC"/>
    <w:rsid w:val="00645DCB"/>
    <w:rsid w:val="00645E42"/>
    <w:rsid w:val="00646114"/>
    <w:rsid w:val="0064620C"/>
    <w:rsid w:val="006464FA"/>
    <w:rsid w:val="006466C2"/>
    <w:rsid w:val="00646854"/>
    <w:rsid w:val="00646882"/>
    <w:rsid w:val="00646A02"/>
    <w:rsid w:val="00647015"/>
    <w:rsid w:val="006471C9"/>
    <w:rsid w:val="0064724E"/>
    <w:rsid w:val="006472ED"/>
    <w:rsid w:val="006475E0"/>
    <w:rsid w:val="006476C8"/>
    <w:rsid w:val="006476DE"/>
    <w:rsid w:val="00647840"/>
    <w:rsid w:val="0064784C"/>
    <w:rsid w:val="00647BE6"/>
    <w:rsid w:val="00647DE2"/>
    <w:rsid w:val="00647E46"/>
    <w:rsid w:val="00650421"/>
    <w:rsid w:val="006504A1"/>
    <w:rsid w:val="006505BB"/>
    <w:rsid w:val="006508C2"/>
    <w:rsid w:val="006509FB"/>
    <w:rsid w:val="00650A34"/>
    <w:rsid w:val="00650A55"/>
    <w:rsid w:val="00650ECF"/>
    <w:rsid w:val="00651580"/>
    <w:rsid w:val="00651603"/>
    <w:rsid w:val="006516C5"/>
    <w:rsid w:val="006517AF"/>
    <w:rsid w:val="0065188E"/>
    <w:rsid w:val="0065194A"/>
    <w:rsid w:val="006520B4"/>
    <w:rsid w:val="0065221A"/>
    <w:rsid w:val="00652931"/>
    <w:rsid w:val="00652C89"/>
    <w:rsid w:val="00652D60"/>
    <w:rsid w:val="00652E19"/>
    <w:rsid w:val="00652F44"/>
    <w:rsid w:val="0065321B"/>
    <w:rsid w:val="006535AE"/>
    <w:rsid w:val="006535DA"/>
    <w:rsid w:val="00653A41"/>
    <w:rsid w:val="00653D9D"/>
    <w:rsid w:val="00653E0E"/>
    <w:rsid w:val="0065422C"/>
    <w:rsid w:val="0065432D"/>
    <w:rsid w:val="006543BD"/>
    <w:rsid w:val="00654649"/>
    <w:rsid w:val="006547EC"/>
    <w:rsid w:val="006548E2"/>
    <w:rsid w:val="00654BC2"/>
    <w:rsid w:val="006550CF"/>
    <w:rsid w:val="0065555D"/>
    <w:rsid w:val="0065574D"/>
    <w:rsid w:val="00655753"/>
    <w:rsid w:val="00655C0C"/>
    <w:rsid w:val="00656054"/>
    <w:rsid w:val="0065647C"/>
    <w:rsid w:val="00656893"/>
    <w:rsid w:val="006569BA"/>
    <w:rsid w:val="00656AF7"/>
    <w:rsid w:val="00656AF9"/>
    <w:rsid w:val="00656B43"/>
    <w:rsid w:val="00656D5D"/>
    <w:rsid w:val="00656E20"/>
    <w:rsid w:val="00656F85"/>
    <w:rsid w:val="0065714B"/>
    <w:rsid w:val="006571D2"/>
    <w:rsid w:val="00657272"/>
    <w:rsid w:val="00657489"/>
    <w:rsid w:val="006574F3"/>
    <w:rsid w:val="00657611"/>
    <w:rsid w:val="00657658"/>
    <w:rsid w:val="00657767"/>
    <w:rsid w:val="00657990"/>
    <w:rsid w:val="00657E13"/>
    <w:rsid w:val="00657EE4"/>
    <w:rsid w:val="0066004C"/>
    <w:rsid w:val="006603C4"/>
    <w:rsid w:val="0066072E"/>
    <w:rsid w:val="00660F82"/>
    <w:rsid w:val="0066175B"/>
    <w:rsid w:val="006618C0"/>
    <w:rsid w:val="006619B8"/>
    <w:rsid w:val="00661B2E"/>
    <w:rsid w:val="00661B99"/>
    <w:rsid w:val="00661C30"/>
    <w:rsid w:val="00661E44"/>
    <w:rsid w:val="00661EF2"/>
    <w:rsid w:val="00661F9C"/>
    <w:rsid w:val="00661FAC"/>
    <w:rsid w:val="0066242D"/>
    <w:rsid w:val="006624DA"/>
    <w:rsid w:val="00662645"/>
    <w:rsid w:val="0066266E"/>
    <w:rsid w:val="00662796"/>
    <w:rsid w:val="006627A7"/>
    <w:rsid w:val="006627C2"/>
    <w:rsid w:val="006627D7"/>
    <w:rsid w:val="00662859"/>
    <w:rsid w:val="00662B22"/>
    <w:rsid w:val="00662C02"/>
    <w:rsid w:val="00662DB6"/>
    <w:rsid w:val="006632A0"/>
    <w:rsid w:val="006632A9"/>
    <w:rsid w:val="00663497"/>
    <w:rsid w:val="006634F4"/>
    <w:rsid w:val="006635D0"/>
    <w:rsid w:val="0066374D"/>
    <w:rsid w:val="006637BC"/>
    <w:rsid w:val="006638EF"/>
    <w:rsid w:val="00663950"/>
    <w:rsid w:val="00663CDE"/>
    <w:rsid w:val="00663F35"/>
    <w:rsid w:val="00663FD9"/>
    <w:rsid w:val="00664156"/>
    <w:rsid w:val="006641B6"/>
    <w:rsid w:val="006642A2"/>
    <w:rsid w:val="00664774"/>
    <w:rsid w:val="00664940"/>
    <w:rsid w:val="006649CA"/>
    <w:rsid w:val="00664B29"/>
    <w:rsid w:val="00665528"/>
    <w:rsid w:val="00665591"/>
    <w:rsid w:val="0066564F"/>
    <w:rsid w:val="00665945"/>
    <w:rsid w:val="00665DC6"/>
    <w:rsid w:val="00666301"/>
    <w:rsid w:val="00666DF8"/>
    <w:rsid w:val="006672A7"/>
    <w:rsid w:val="006675DA"/>
    <w:rsid w:val="00667607"/>
    <w:rsid w:val="00667731"/>
    <w:rsid w:val="00667854"/>
    <w:rsid w:val="00667FC5"/>
    <w:rsid w:val="00670076"/>
    <w:rsid w:val="006701EA"/>
    <w:rsid w:val="006707EC"/>
    <w:rsid w:val="006708FD"/>
    <w:rsid w:val="006709D2"/>
    <w:rsid w:val="00670B10"/>
    <w:rsid w:val="00670B1A"/>
    <w:rsid w:val="00670B53"/>
    <w:rsid w:val="00670C77"/>
    <w:rsid w:val="00671045"/>
    <w:rsid w:val="006710F7"/>
    <w:rsid w:val="00671121"/>
    <w:rsid w:val="006711FF"/>
    <w:rsid w:val="0067121C"/>
    <w:rsid w:val="006714FB"/>
    <w:rsid w:val="00671551"/>
    <w:rsid w:val="0067158E"/>
    <w:rsid w:val="00671979"/>
    <w:rsid w:val="00671AE3"/>
    <w:rsid w:val="00671BAA"/>
    <w:rsid w:val="00671CF1"/>
    <w:rsid w:val="0067210B"/>
    <w:rsid w:val="00672124"/>
    <w:rsid w:val="006724A8"/>
    <w:rsid w:val="006724CF"/>
    <w:rsid w:val="0067256A"/>
    <w:rsid w:val="00672827"/>
    <w:rsid w:val="00672C03"/>
    <w:rsid w:val="00672D2C"/>
    <w:rsid w:val="006731A9"/>
    <w:rsid w:val="006735F7"/>
    <w:rsid w:val="0067364D"/>
    <w:rsid w:val="0067375C"/>
    <w:rsid w:val="00673779"/>
    <w:rsid w:val="006737E0"/>
    <w:rsid w:val="00673BC8"/>
    <w:rsid w:val="00673C5F"/>
    <w:rsid w:val="00673F96"/>
    <w:rsid w:val="00673FDC"/>
    <w:rsid w:val="0067547C"/>
    <w:rsid w:val="00675552"/>
    <w:rsid w:val="006756F1"/>
    <w:rsid w:val="006757CC"/>
    <w:rsid w:val="00675BC1"/>
    <w:rsid w:val="00675BDC"/>
    <w:rsid w:val="00676178"/>
    <w:rsid w:val="0067647A"/>
    <w:rsid w:val="0067667A"/>
    <w:rsid w:val="006767E1"/>
    <w:rsid w:val="00676906"/>
    <w:rsid w:val="00676912"/>
    <w:rsid w:val="006769E7"/>
    <w:rsid w:val="00676F1E"/>
    <w:rsid w:val="0067708B"/>
    <w:rsid w:val="0067715A"/>
    <w:rsid w:val="006772D4"/>
    <w:rsid w:val="006774D5"/>
    <w:rsid w:val="00677810"/>
    <w:rsid w:val="0068000F"/>
    <w:rsid w:val="00680052"/>
    <w:rsid w:val="006803DF"/>
    <w:rsid w:val="00680492"/>
    <w:rsid w:val="00680771"/>
    <w:rsid w:val="00680EE8"/>
    <w:rsid w:val="00680FA0"/>
    <w:rsid w:val="00680FF0"/>
    <w:rsid w:val="006810C3"/>
    <w:rsid w:val="0068158B"/>
    <w:rsid w:val="006817FA"/>
    <w:rsid w:val="006818A8"/>
    <w:rsid w:val="006818D1"/>
    <w:rsid w:val="00682161"/>
    <w:rsid w:val="00682710"/>
    <w:rsid w:val="006828AE"/>
    <w:rsid w:val="00682AF9"/>
    <w:rsid w:val="0068312E"/>
    <w:rsid w:val="006832A7"/>
    <w:rsid w:val="00683423"/>
    <w:rsid w:val="006835F7"/>
    <w:rsid w:val="00683D80"/>
    <w:rsid w:val="00683E95"/>
    <w:rsid w:val="0068484B"/>
    <w:rsid w:val="00684A20"/>
    <w:rsid w:val="00684BAF"/>
    <w:rsid w:val="00684BE5"/>
    <w:rsid w:val="00685304"/>
    <w:rsid w:val="00685946"/>
    <w:rsid w:val="00685EA4"/>
    <w:rsid w:val="00685F36"/>
    <w:rsid w:val="006866B1"/>
    <w:rsid w:val="00686CDD"/>
    <w:rsid w:val="00686D92"/>
    <w:rsid w:val="00686DBF"/>
    <w:rsid w:val="00686F1B"/>
    <w:rsid w:val="00686F2F"/>
    <w:rsid w:val="00686F3B"/>
    <w:rsid w:val="006871CB"/>
    <w:rsid w:val="006871FB"/>
    <w:rsid w:val="00687380"/>
    <w:rsid w:val="006876FF"/>
    <w:rsid w:val="00687775"/>
    <w:rsid w:val="006878C3"/>
    <w:rsid w:val="00687BA7"/>
    <w:rsid w:val="00687C35"/>
    <w:rsid w:val="00687FAC"/>
    <w:rsid w:val="006901A5"/>
    <w:rsid w:val="006902A8"/>
    <w:rsid w:val="00690556"/>
    <w:rsid w:val="00690653"/>
    <w:rsid w:val="006907C6"/>
    <w:rsid w:val="00690AB6"/>
    <w:rsid w:val="00690EF1"/>
    <w:rsid w:val="006911CB"/>
    <w:rsid w:val="0069157B"/>
    <w:rsid w:val="00691DA9"/>
    <w:rsid w:val="00691FAE"/>
    <w:rsid w:val="00692858"/>
    <w:rsid w:val="0069292B"/>
    <w:rsid w:val="00692938"/>
    <w:rsid w:val="00692C33"/>
    <w:rsid w:val="00693071"/>
    <w:rsid w:val="00693166"/>
    <w:rsid w:val="006932EC"/>
    <w:rsid w:val="00693497"/>
    <w:rsid w:val="006937D4"/>
    <w:rsid w:val="006938D5"/>
    <w:rsid w:val="00693A47"/>
    <w:rsid w:val="00693A8B"/>
    <w:rsid w:val="00693BB8"/>
    <w:rsid w:val="00693CBF"/>
    <w:rsid w:val="00694065"/>
    <w:rsid w:val="0069421A"/>
    <w:rsid w:val="00694257"/>
    <w:rsid w:val="006942F5"/>
    <w:rsid w:val="006943E4"/>
    <w:rsid w:val="00694A21"/>
    <w:rsid w:val="00694BAB"/>
    <w:rsid w:val="00694BE3"/>
    <w:rsid w:val="00694E08"/>
    <w:rsid w:val="00694F53"/>
    <w:rsid w:val="00695085"/>
    <w:rsid w:val="006953C2"/>
    <w:rsid w:val="006957CF"/>
    <w:rsid w:val="006958C4"/>
    <w:rsid w:val="00695C17"/>
    <w:rsid w:val="00695D1A"/>
    <w:rsid w:val="00695DB1"/>
    <w:rsid w:val="00695E96"/>
    <w:rsid w:val="00695EF1"/>
    <w:rsid w:val="00695F9E"/>
    <w:rsid w:val="00696348"/>
    <w:rsid w:val="006964AD"/>
    <w:rsid w:val="006967A8"/>
    <w:rsid w:val="006967C1"/>
    <w:rsid w:val="00696975"/>
    <w:rsid w:val="00696CB7"/>
    <w:rsid w:val="00696E06"/>
    <w:rsid w:val="00696E0F"/>
    <w:rsid w:val="00696FA9"/>
    <w:rsid w:val="006970B9"/>
    <w:rsid w:val="006970E1"/>
    <w:rsid w:val="0069717A"/>
    <w:rsid w:val="00697280"/>
    <w:rsid w:val="006972CC"/>
    <w:rsid w:val="006972DD"/>
    <w:rsid w:val="006973AA"/>
    <w:rsid w:val="00697794"/>
    <w:rsid w:val="0069779D"/>
    <w:rsid w:val="00697D6D"/>
    <w:rsid w:val="006A0633"/>
    <w:rsid w:val="006A09BB"/>
    <w:rsid w:val="006A1009"/>
    <w:rsid w:val="006A1164"/>
    <w:rsid w:val="006A198C"/>
    <w:rsid w:val="006A19AC"/>
    <w:rsid w:val="006A1CC1"/>
    <w:rsid w:val="006A2240"/>
    <w:rsid w:val="006A2575"/>
    <w:rsid w:val="006A2E82"/>
    <w:rsid w:val="006A303C"/>
    <w:rsid w:val="006A3051"/>
    <w:rsid w:val="006A3136"/>
    <w:rsid w:val="006A313F"/>
    <w:rsid w:val="006A3606"/>
    <w:rsid w:val="006A3A3C"/>
    <w:rsid w:val="006A3A40"/>
    <w:rsid w:val="006A4007"/>
    <w:rsid w:val="006A4574"/>
    <w:rsid w:val="006A4CCF"/>
    <w:rsid w:val="006A4E8A"/>
    <w:rsid w:val="006A5432"/>
    <w:rsid w:val="006A5598"/>
    <w:rsid w:val="006A58A2"/>
    <w:rsid w:val="006A5B1F"/>
    <w:rsid w:val="006A5EBF"/>
    <w:rsid w:val="006A61B7"/>
    <w:rsid w:val="006A6330"/>
    <w:rsid w:val="006A652F"/>
    <w:rsid w:val="006A6599"/>
    <w:rsid w:val="006A69C2"/>
    <w:rsid w:val="006A69F6"/>
    <w:rsid w:val="006A6A76"/>
    <w:rsid w:val="006A6A7F"/>
    <w:rsid w:val="006A6BF5"/>
    <w:rsid w:val="006A73C8"/>
    <w:rsid w:val="006A7F7C"/>
    <w:rsid w:val="006B03F6"/>
    <w:rsid w:val="006B03F7"/>
    <w:rsid w:val="006B04AC"/>
    <w:rsid w:val="006B0843"/>
    <w:rsid w:val="006B0961"/>
    <w:rsid w:val="006B0C63"/>
    <w:rsid w:val="006B0F1C"/>
    <w:rsid w:val="006B124E"/>
    <w:rsid w:val="006B13F5"/>
    <w:rsid w:val="006B1460"/>
    <w:rsid w:val="006B149C"/>
    <w:rsid w:val="006B18E4"/>
    <w:rsid w:val="006B1A92"/>
    <w:rsid w:val="006B1A9F"/>
    <w:rsid w:val="006B21BD"/>
    <w:rsid w:val="006B21F5"/>
    <w:rsid w:val="006B223D"/>
    <w:rsid w:val="006B226E"/>
    <w:rsid w:val="006B227B"/>
    <w:rsid w:val="006B2412"/>
    <w:rsid w:val="006B2510"/>
    <w:rsid w:val="006B267B"/>
    <w:rsid w:val="006B27DA"/>
    <w:rsid w:val="006B285B"/>
    <w:rsid w:val="006B2D53"/>
    <w:rsid w:val="006B3326"/>
    <w:rsid w:val="006B3501"/>
    <w:rsid w:val="006B378D"/>
    <w:rsid w:val="006B395C"/>
    <w:rsid w:val="006B3B7C"/>
    <w:rsid w:val="006B3E91"/>
    <w:rsid w:val="006B41CD"/>
    <w:rsid w:val="006B4568"/>
    <w:rsid w:val="006B4621"/>
    <w:rsid w:val="006B4640"/>
    <w:rsid w:val="006B46C5"/>
    <w:rsid w:val="006B4EE7"/>
    <w:rsid w:val="006B50F1"/>
    <w:rsid w:val="006B5211"/>
    <w:rsid w:val="006B5866"/>
    <w:rsid w:val="006B5941"/>
    <w:rsid w:val="006B5B30"/>
    <w:rsid w:val="006B5B64"/>
    <w:rsid w:val="006B5C17"/>
    <w:rsid w:val="006B5DB8"/>
    <w:rsid w:val="006B5F5C"/>
    <w:rsid w:val="006B5F64"/>
    <w:rsid w:val="006B6008"/>
    <w:rsid w:val="006B601C"/>
    <w:rsid w:val="006B60E6"/>
    <w:rsid w:val="006B6342"/>
    <w:rsid w:val="006B64B1"/>
    <w:rsid w:val="006B6637"/>
    <w:rsid w:val="006B68CF"/>
    <w:rsid w:val="006B6E67"/>
    <w:rsid w:val="006B717A"/>
    <w:rsid w:val="006B766E"/>
    <w:rsid w:val="006B7975"/>
    <w:rsid w:val="006B7B28"/>
    <w:rsid w:val="006B7DA6"/>
    <w:rsid w:val="006C00CB"/>
    <w:rsid w:val="006C00FE"/>
    <w:rsid w:val="006C0151"/>
    <w:rsid w:val="006C01D9"/>
    <w:rsid w:val="006C02C8"/>
    <w:rsid w:val="006C0494"/>
    <w:rsid w:val="006C04A6"/>
    <w:rsid w:val="006C04C0"/>
    <w:rsid w:val="006C0A8F"/>
    <w:rsid w:val="006C11AF"/>
    <w:rsid w:val="006C12E3"/>
    <w:rsid w:val="006C1348"/>
    <w:rsid w:val="006C1512"/>
    <w:rsid w:val="006C1561"/>
    <w:rsid w:val="006C1692"/>
    <w:rsid w:val="006C1F52"/>
    <w:rsid w:val="006C229C"/>
    <w:rsid w:val="006C2780"/>
    <w:rsid w:val="006C27F6"/>
    <w:rsid w:val="006C291D"/>
    <w:rsid w:val="006C2EE8"/>
    <w:rsid w:val="006C3184"/>
    <w:rsid w:val="006C34D8"/>
    <w:rsid w:val="006C357D"/>
    <w:rsid w:val="006C3F3B"/>
    <w:rsid w:val="006C3FEC"/>
    <w:rsid w:val="006C409D"/>
    <w:rsid w:val="006C4149"/>
    <w:rsid w:val="006C43C9"/>
    <w:rsid w:val="006C4446"/>
    <w:rsid w:val="006C4B9D"/>
    <w:rsid w:val="006C4C36"/>
    <w:rsid w:val="006C4D97"/>
    <w:rsid w:val="006C52E2"/>
    <w:rsid w:val="006C5357"/>
    <w:rsid w:val="006C54D9"/>
    <w:rsid w:val="006C57F4"/>
    <w:rsid w:val="006C58FE"/>
    <w:rsid w:val="006C59E6"/>
    <w:rsid w:val="006C5B27"/>
    <w:rsid w:val="006C5D29"/>
    <w:rsid w:val="006C5D6E"/>
    <w:rsid w:val="006C5E24"/>
    <w:rsid w:val="006C6073"/>
    <w:rsid w:val="006C64C2"/>
    <w:rsid w:val="006C64C5"/>
    <w:rsid w:val="006C6568"/>
    <w:rsid w:val="006C65FC"/>
    <w:rsid w:val="006C6740"/>
    <w:rsid w:val="006C680D"/>
    <w:rsid w:val="006C6CF7"/>
    <w:rsid w:val="006C6F8F"/>
    <w:rsid w:val="006C7505"/>
    <w:rsid w:val="006C78F6"/>
    <w:rsid w:val="006C7A73"/>
    <w:rsid w:val="006C7BB3"/>
    <w:rsid w:val="006C7BDF"/>
    <w:rsid w:val="006C7E19"/>
    <w:rsid w:val="006D09C9"/>
    <w:rsid w:val="006D09E3"/>
    <w:rsid w:val="006D0A08"/>
    <w:rsid w:val="006D0F55"/>
    <w:rsid w:val="006D12D7"/>
    <w:rsid w:val="006D187F"/>
    <w:rsid w:val="006D198E"/>
    <w:rsid w:val="006D1AA9"/>
    <w:rsid w:val="006D1D56"/>
    <w:rsid w:val="006D1ECA"/>
    <w:rsid w:val="006D1F5D"/>
    <w:rsid w:val="006D1FDD"/>
    <w:rsid w:val="006D2095"/>
    <w:rsid w:val="006D2204"/>
    <w:rsid w:val="006D23ED"/>
    <w:rsid w:val="006D2468"/>
    <w:rsid w:val="006D2753"/>
    <w:rsid w:val="006D299C"/>
    <w:rsid w:val="006D29D0"/>
    <w:rsid w:val="006D327F"/>
    <w:rsid w:val="006D33A5"/>
    <w:rsid w:val="006D347C"/>
    <w:rsid w:val="006D3902"/>
    <w:rsid w:val="006D3CE0"/>
    <w:rsid w:val="006D3E6C"/>
    <w:rsid w:val="006D3ED6"/>
    <w:rsid w:val="006D4015"/>
    <w:rsid w:val="006D418C"/>
    <w:rsid w:val="006D43FC"/>
    <w:rsid w:val="006D4488"/>
    <w:rsid w:val="006D44D2"/>
    <w:rsid w:val="006D450F"/>
    <w:rsid w:val="006D481D"/>
    <w:rsid w:val="006D4A2E"/>
    <w:rsid w:val="006D4A59"/>
    <w:rsid w:val="006D4BB2"/>
    <w:rsid w:val="006D4BC0"/>
    <w:rsid w:val="006D4C02"/>
    <w:rsid w:val="006D4D94"/>
    <w:rsid w:val="006D5073"/>
    <w:rsid w:val="006D513F"/>
    <w:rsid w:val="006D544E"/>
    <w:rsid w:val="006D550B"/>
    <w:rsid w:val="006D55AC"/>
    <w:rsid w:val="006D5609"/>
    <w:rsid w:val="006D58DB"/>
    <w:rsid w:val="006D5AFA"/>
    <w:rsid w:val="006D5AFD"/>
    <w:rsid w:val="006D5D81"/>
    <w:rsid w:val="006D5E59"/>
    <w:rsid w:val="006D61B4"/>
    <w:rsid w:val="006D6248"/>
    <w:rsid w:val="006D632F"/>
    <w:rsid w:val="006D6342"/>
    <w:rsid w:val="006D66F2"/>
    <w:rsid w:val="006D6A60"/>
    <w:rsid w:val="006D715B"/>
    <w:rsid w:val="006D7711"/>
    <w:rsid w:val="006D784E"/>
    <w:rsid w:val="006D7B94"/>
    <w:rsid w:val="006D7C2C"/>
    <w:rsid w:val="006D7E33"/>
    <w:rsid w:val="006D7F87"/>
    <w:rsid w:val="006E002D"/>
    <w:rsid w:val="006E0234"/>
    <w:rsid w:val="006E025C"/>
    <w:rsid w:val="006E028E"/>
    <w:rsid w:val="006E02D5"/>
    <w:rsid w:val="006E041D"/>
    <w:rsid w:val="006E0AB6"/>
    <w:rsid w:val="006E0B89"/>
    <w:rsid w:val="006E0C8B"/>
    <w:rsid w:val="006E114B"/>
    <w:rsid w:val="006E12BB"/>
    <w:rsid w:val="006E15D8"/>
    <w:rsid w:val="006E1621"/>
    <w:rsid w:val="006E16DE"/>
    <w:rsid w:val="006E1751"/>
    <w:rsid w:val="006E1917"/>
    <w:rsid w:val="006E1DD2"/>
    <w:rsid w:val="006E2094"/>
    <w:rsid w:val="006E2726"/>
    <w:rsid w:val="006E2772"/>
    <w:rsid w:val="006E29EA"/>
    <w:rsid w:val="006E2B25"/>
    <w:rsid w:val="006E3124"/>
    <w:rsid w:val="006E3310"/>
    <w:rsid w:val="006E3416"/>
    <w:rsid w:val="006E3729"/>
    <w:rsid w:val="006E3732"/>
    <w:rsid w:val="006E3B2F"/>
    <w:rsid w:val="006E3B77"/>
    <w:rsid w:val="006E3D7F"/>
    <w:rsid w:val="006E3DCF"/>
    <w:rsid w:val="006E41CD"/>
    <w:rsid w:val="006E423F"/>
    <w:rsid w:val="006E4691"/>
    <w:rsid w:val="006E486E"/>
    <w:rsid w:val="006E48AC"/>
    <w:rsid w:val="006E49C7"/>
    <w:rsid w:val="006E49F3"/>
    <w:rsid w:val="006E4AF7"/>
    <w:rsid w:val="006E4C95"/>
    <w:rsid w:val="006E4DF9"/>
    <w:rsid w:val="006E4EF0"/>
    <w:rsid w:val="006E4FEC"/>
    <w:rsid w:val="006E5316"/>
    <w:rsid w:val="006E537E"/>
    <w:rsid w:val="006E53F3"/>
    <w:rsid w:val="006E5687"/>
    <w:rsid w:val="006E597C"/>
    <w:rsid w:val="006E5B44"/>
    <w:rsid w:val="006E5ED4"/>
    <w:rsid w:val="006E6027"/>
    <w:rsid w:val="006E6365"/>
    <w:rsid w:val="006E66A5"/>
    <w:rsid w:val="006E69EB"/>
    <w:rsid w:val="006E6A1C"/>
    <w:rsid w:val="006E6C1D"/>
    <w:rsid w:val="006E6D40"/>
    <w:rsid w:val="006E6FBE"/>
    <w:rsid w:val="006E7103"/>
    <w:rsid w:val="006E7C10"/>
    <w:rsid w:val="006E7CCE"/>
    <w:rsid w:val="006F0047"/>
    <w:rsid w:val="006F00C8"/>
    <w:rsid w:val="006F0888"/>
    <w:rsid w:val="006F08FE"/>
    <w:rsid w:val="006F0A38"/>
    <w:rsid w:val="006F0CDD"/>
    <w:rsid w:val="006F0CF1"/>
    <w:rsid w:val="006F11B2"/>
    <w:rsid w:val="006F14B5"/>
    <w:rsid w:val="006F19B6"/>
    <w:rsid w:val="006F19D6"/>
    <w:rsid w:val="006F1BA0"/>
    <w:rsid w:val="006F1C07"/>
    <w:rsid w:val="006F1C08"/>
    <w:rsid w:val="006F2015"/>
    <w:rsid w:val="006F20AD"/>
    <w:rsid w:val="006F2107"/>
    <w:rsid w:val="006F2645"/>
    <w:rsid w:val="006F2646"/>
    <w:rsid w:val="006F270A"/>
    <w:rsid w:val="006F2832"/>
    <w:rsid w:val="006F2A59"/>
    <w:rsid w:val="006F32B2"/>
    <w:rsid w:val="006F3705"/>
    <w:rsid w:val="006F37FA"/>
    <w:rsid w:val="006F3873"/>
    <w:rsid w:val="006F3A71"/>
    <w:rsid w:val="006F3BBE"/>
    <w:rsid w:val="006F3D01"/>
    <w:rsid w:val="006F414D"/>
    <w:rsid w:val="006F466C"/>
    <w:rsid w:val="006F4675"/>
    <w:rsid w:val="006F467E"/>
    <w:rsid w:val="006F4762"/>
    <w:rsid w:val="006F47C5"/>
    <w:rsid w:val="006F47DA"/>
    <w:rsid w:val="006F4815"/>
    <w:rsid w:val="006F4B75"/>
    <w:rsid w:val="006F4C44"/>
    <w:rsid w:val="006F4CDE"/>
    <w:rsid w:val="006F580E"/>
    <w:rsid w:val="006F5834"/>
    <w:rsid w:val="006F5880"/>
    <w:rsid w:val="006F5AD7"/>
    <w:rsid w:val="006F6054"/>
    <w:rsid w:val="006F61B3"/>
    <w:rsid w:val="006F61CD"/>
    <w:rsid w:val="006F6A4F"/>
    <w:rsid w:val="006F6BB5"/>
    <w:rsid w:val="006F6CEB"/>
    <w:rsid w:val="006F6D9E"/>
    <w:rsid w:val="006F6E1F"/>
    <w:rsid w:val="006F6FA6"/>
    <w:rsid w:val="006F6FA8"/>
    <w:rsid w:val="006F73A8"/>
    <w:rsid w:val="006F73C2"/>
    <w:rsid w:val="006F740D"/>
    <w:rsid w:val="006F7417"/>
    <w:rsid w:val="006F7469"/>
    <w:rsid w:val="006F75ED"/>
    <w:rsid w:val="006F7840"/>
    <w:rsid w:val="006F7A33"/>
    <w:rsid w:val="006F7AC1"/>
    <w:rsid w:val="006F7BFB"/>
    <w:rsid w:val="00700141"/>
    <w:rsid w:val="00700379"/>
    <w:rsid w:val="00700A73"/>
    <w:rsid w:val="00700ADC"/>
    <w:rsid w:val="007010B1"/>
    <w:rsid w:val="007011E0"/>
    <w:rsid w:val="00701229"/>
    <w:rsid w:val="0070140A"/>
    <w:rsid w:val="007014CC"/>
    <w:rsid w:val="00701535"/>
    <w:rsid w:val="00701584"/>
    <w:rsid w:val="0070158C"/>
    <w:rsid w:val="00701719"/>
    <w:rsid w:val="0070185B"/>
    <w:rsid w:val="007018CB"/>
    <w:rsid w:val="00701B32"/>
    <w:rsid w:val="00701F09"/>
    <w:rsid w:val="00702016"/>
    <w:rsid w:val="007020C1"/>
    <w:rsid w:val="00702101"/>
    <w:rsid w:val="00702149"/>
    <w:rsid w:val="007022C1"/>
    <w:rsid w:val="007024AE"/>
    <w:rsid w:val="007028AC"/>
    <w:rsid w:val="00702DCA"/>
    <w:rsid w:val="007031FE"/>
    <w:rsid w:val="007036D3"/>
    <w:rsid w:val="0070388D"/>
    <w:rsid w:val="00703BB4"/>
    <w:rsid w:val="00703BBC"/>
    <w:rsid w:val="00703BE9"/>
    <w:rsid w:val="00703D5D"/>
    <w:rsid w:val="00703D73"/>
    <w:rsid w:val="00703DC4"/>
    <w:rsid w:val="007040C9"/>
    <w:rsid w:val="007041B8"/>
    <w:rsid w:val="00704469"/>
    <w:rsid w:val="007045B5"/>
    <w:rsid w:val="0070494A"/>
    <w:rsid w:val="00704E58"/>
    <w:rsid w:val="00704FB8"/>
    <w:rsid w:val="0070504F"/>
    <w:rsid w:val="007052E7"/>
    <w:rsid w:val="00705413"/>
    <w:rsid w:val="0070556C"/>
    <w:rsid w:val="00705AF8"/>
    <w:rsid w:val="00705D1A"/>
    <w:rsid w:val="00705DA7"/>
    <w:rsid w:val="00705F21"/>
    <w:rsid w:val="00705F2A"/>
    <w:rsid w:val="00705FD5"/>
    <w:rsid w:val="00706008"/>
    <w:rsid w:val="007060CD"/>
    <w:rsid w:val="0070625A"/>
    <w:rsid w:val="007065C8"/>
    <w:rsid w:val="00706765"/>
    <w:rsid w:val="0070683C"/>
    <w:rsid w:val="00706921"/>
    <w:rsid w:val="00706A49"/>
    <w:rsid w:val="00706C8A"/>
    <w:rsid w:val="0070743B"/>
    <w:rsid w:val="00707637"/>
    <w:rsid w:val="007079E5"/>
    <w:rsid w:val="00707A50"/>
    <w:rsid w:val="00707B03"/>
    <w:rsid w:val="00707D02"/>
    <w:rsid w:val="00707DAC"/>
    <w:rsid w:val="0071015A"/>
    <w:rsid w:val="007109DF"/>
    <w:rsid w:val="007109EC"/>
    <w:rsid w:val="00710B6A"/>
    <w:rsid w:val="00710DC7"/>
    <w:rsid w:val="00710E7B"/>
    <w:rsid w:val="007110C0"/>
    <w:rsid w:val="0071141E"/>
    <w:rsid w:val="00711538"/>
    <w:rsid w:val="007117D9"/>
    <w:rsid w:val="007118F6"/>
    <w:rsid w:val="0071193F"/>
    <w:rsid w:val="00711AD4"/>
    <w:rsid w:val="00711BB2"/>
    <w:rsid w:val="00711BC6"/>
    <w:rsid w:val="00711D48"/>
    <w:rsid w:val="007123C2"/>
    <w:rsid w:val="00712772"/>
    <w:rsid w:val="007130C0"/>
    <w:rsid w:val="0071312F"/>
    <w:rsid w:val="00713160"/>
    <w:rsid w:val="0071323B"/>
    <w:rsid w:val="00713414"/>
    <w:rsid w:val="007134E5"/>
    <w:rsid w:val="00713B9A"/>
    <w:rsid w:val="007144BC"/>
    <w:rsid w:val="00714A8C"/>
    <w:rsid w:val="00714BCE"/>
    <w:rsid w:val="00714BFC"/>
    <w:rsid w:val="00714C11"/>
    <w:rsid w:val="00714C4A"/>
    <w:rsid w:val="00714FFB"/>
    <w:rsid w:val="00715163"/>
    <w:rsid w:val="007151EA"/>
    <w:rsid w:val="007157DD"/>
    <w:rsid w:val="007157F0"/>
    <w:rsid w:val="00715A4E"/>
    <w:rsid w:val="00715AF7"/>
    <w:rsid w:val="00716054"/>
    <w:rsid w:val="007161F9"/>
    <w:rsid w:val="0071642F"/>
    <w:rsid w:val="007164D2"/>
    <w:rsid w:val="007165DC"/>
    <w:rsid w:val="0071680F"/>
    <w:rsid w:val="00716A36"/>
    <w:rsid w:val="00716B22"/>
    <w:rsid w:val="00716BB5"/>
    <w:rsid w:val="00716DFA"/>
    <w:rsid w:val="00716E6D"/>
    <w:rsid w:val="007178DA"/>
    <w:rsid w:val="00717CA0"/>
    <w:rsid w:val="00717D0F"/>
    <w:rsid w:val="00717D1B"/>
    <w:rsid w:val="00717D47"/>
    <w:rsid w:val="00717F6F"/>
    <w:rsid w:val="007201D0"/>
    <w:rsid w:val="007202A5"/>
    <w:rsid w:val="00720573"/>
    <w:rsid w:val="00720610"/>
    <w:rsid w:val="00720922"/>
    <w:rsid w:val="00720954"/>
    <w:rsid w:val="00720B25"/>
    <w:rsid w:val="00720B75"/>
    <w:rsid w:val="00720C6D"/>
    <w:rsid w:val="00720C86"/>
    <w:rsid w:val="00721125"/>
    <w:rsid w:val="00721381"/>
    <w:rsid w:val="0072144C"/>
    <w:rsid w:val="00721689"/>
    <w:rsid w:val="00721C1A"/>
    <w:rsid w:val="00722003"/>
    <w:rsid w:val="00722085"/>
    <w:rsid w:val="007220E9"/>
    <w:rsid w:val="007223F2"/>
    <w:rsid w:val="00722AE9"/>
    <w:rsid w:val="00722C7B"/>
    <w:rsid w:val="00722E65"/>
    <w:rsid w:val="007233FC"/>
    <w:rsid w:val="007234CD"/>
    <w:rsid w:val="00723AAC"/>
    <w:rsid w:val="00723E0C"/>
    <w:rsid w:val="00723EAC"/>
    <w:rsid w:val="00724186"/>
    <w:rsid w:val="007242E1"/>
    <w:rsid w:val="00724404"/>
    <w:rsid w:val="0072471A"/>
    <w:rsid w:val="007247DF"/>
    <w:rsid w:val="00724835"/>
    <w:rsid w:val="00724F41"/>
    <w:rsid w:val="00724FC4"/>
    <w:rsid w:val="007251EA"/>
    <w:rsid w:val="007253CA"/>
    <w:rsid w:val="007256CF"/>
    <w:rsid w:val="00725A12"/>
    <w:rsid w:val="00725A1D"/>
    <w:rsid w:val="00725E34"/>
    <w:rsid w:val="0072620F"/>
    <w:rsid w:val="00726339"/>
    <w:rsid w:val="00726348"/>
    <w:rsid w:val="007263D1"/>
    <w:rsid w:val="0072697C"/>
    <w:rsid w:val="00726A5E"/>
    <w:rsid w:val="007270B0"/>
    <w:rsid w:val="0072717E"/>
    <w:rsid w:val="00727542"/>
    <w:rsid w:val="00727841"/>
    <w:rsid w:val="00727B15"/>
    <w:rsid w:val="00727D83"/>
    <w:rsid w:val="00727DA1"/>
    <w:rsid w:val="00727E1D"/>
    <w:rsid w:val="00727F48"/>
    <w:rsid w:val="007302DC"/>
    <w:rsid w:val="007304DE"/>
    <w:rsid w:val="0073061F"/>
    <w:rsid w:val="007306F2"/>
    <w:rsid w:val="00730E03"/>
    <w:rsid w:val="00730F16"/>
    <w:rsid w:val="00731033"/>
    <w:rsid w:val="00731080"/>
    <w:rsid w:val="007314B0"/>
    <w:rsid w:val="00731585"/>
    <w:rsid w:val="007317B3"/>
    <w:rsid w:val="00731829"/>
    <w:rsid w:val="007318DD"/>
    <w:rsid w:val="00731AA1"/>
    <w:rsid w:val="00731B57"/>
    <w:rsid w:val="00731FAC"/>
    <w:rsid w:val="0073207B"/>
    <w:rsid w:val="00732789"/>
    <w:rsid w:val="0073284D"/>
    <w:rsid w:val="00732A02"/>
    <w:rsid w:val="00732D7D"/>
    <w:rsid w:val="00732F64"/>
    <w:rsid w:val="007334B4"/>
    <w:rsid w:val="0073355F"/>
    <w:rsid w:val="00733B8E"/>
    <w:rsid w:val="00733C46"/>
    <w:rsid w:val="00733E39"/>
    <w:rsid w:val="00734067"/>
    <w:rsid w:val="00734115"/>
    <w:rsid w:val="00734899"/>
    <w:rsid w:val="00734AC3"/>
    <w:rsid w:val="00734FD6"/>
    <w:rsid w:val="0073537E"/>
    <w:rsid w:val="00735583"/>
    <w:rsid w:val="007359A9"/>
    <w:rsid w:val="00735D0A"/>
    <w:rsid w:val="00735D9C"/>
    <w:rsid w:val="00736046"/>
    <w:rsid w:val="0073605C"/>
    <w:rsid w:val="0073614C"/>
    <w:rsid w:val="00736259"/>
    <w:rsid w:val="00736326"/>
    <w:rsid w:val="0073661D"/>
    <w:rsid w:val="0073685A"/>
    <w:rsid w:val="00736AEA"/>
    <w:rsid w:val="00736BE2"/>
    <w:rsid w:val="00736D4B"/>
    <w:rsid w:val="0073745C"/>
    <w:rsid w:val="007376E2"/>
    <w:rsid w:val="007376F9"/>
    <w:rsid w:val="007377D1"/>
    <w:rsid w:val="00737988"/>
    <w:rsid w:val="00737FC3"/>
    <w:rsid w:val="00740721"/>
    <w:rsid w:val="00740821"/>
    <w:rsid w:val="00740CD2"/>
    <w:rsid w:val="00740E11"/>
    <w:rsid w:val="00740EB4"/>
    <w:rsid w:val="007414DC"/>
    <w:rsid w:val="007415E4"/>
    <w:rsid w:val="007417C1"/>
    <w:rsid w:val="00741821"/>
    <w:rsid w:val="00741B4F"/>
    <w:rsid w:val="00742038"/>
    <w:rsid w:val="007420D2"/>
    <w:rsid w:val="0074211C"/>
    <w:rsid w:val="00742328"/>
    <w:rsid w:val="007425A5"/>
    <w:rsid w:val="007425E4"/>
    <w:rsid w:val="00742882"/>
    <w:rsid w:val="00742D06"/>
    <w:rsid w:val="00742DD4"/>
    <w:rsid w:val="00742DE7"/>
    <w:rsid w:val="00743046"/>
    <w:rsid w:val="00743303"/>
    <w:rsid w:val="0074331A"/>
    <w:rsid w:val="00743862"/>
    <w:rsid w:val="00743BE9"/>
    <w:rsid w:val="00743C6F"/>
    <w:rsid w:val="00743EE3"/>
    <w:rsid w:val="00744100"/>
    <w:rsid w:val="007443E4"/>
    <w:rsid w:val="007443F0"/>
    <w:rsid w:val="0074448F"/>
    <w:rsid w:val="007449D7"/>
    <w:rsid w:val="00744A11"/>
    <w:rsid w:val="00744B27"/>
    <w:rsid w:val="00744B8C"/>
    <w:rsid w:val="00744EAB"/>
    <w:rsid w:val="007450E6"/>
    <w:rsid w:val="0074566A"/>
    <w:rsid w:val="00745A53"/>
    <w:rsid w:val="00745C57"/>
    <w:rsid w:val="00745DDB"/>
    <w:rsid w:val="00745E30"/>
    <w:rsid w:val="00745EBE"/>
    <w:rsid w:val="00745EF7"/>
    <w:rsid w:val="007460DC"/>
    <w:rsid w:val="0074650F"/>
    <w:rsid w:val="00746FC6"/>
    <w:rsid w:val="007470BE"/>
    <w:rsid w:val="007475B6"/>
    <w:rsid w:val="00747639"/>
    <w:rsid w:val="00747642"/>
    <w:rsid w:val="007477B4"/>
    <w:rsid w:val="007477C5"/>
    <w:rsid w:val="00747D57"/>
    <w:rsid w:val="00747D90"/>
    <w:rsid w:val="0075004E"/>
    <w:rsid w:val="00750404"/>
    <w:rsid w:val="0075041E"/>
    <w:rsid w:val="00750A1E"/>
    <w:rsid w:val="00750C4B"/>
    <w:rsid w:val="00750DB7"/>
    <w:rsid w:val="00750F39"/>
    <w:rsid w:val="007519B9"/>
    <w:rsid w:val="00751C88"/>
    <w:rsid w:val="00751E7F"/>
    <w:rsid w:val="00751F67"/>
    <w:rsid w:val="007521DA"/>
    <w:rsid w:val="007522CB"/>
    <w:rsid w:val="007525BB"/>
    <w:rsid w:val="00752983"/>
    <w:rsid w:val="00753280"/>
    <w:rsid w:val="007533C8"/>
    <w:rsid w:val="0075350D"/>
    <w:rsid w:val="00753770"/>
    <w:rsid w:val="007539ED"/>
    <w:rsid w:val="00753B41"/>
    <w:rsid w:val="0075405B"/>
    <w:rsid w:val="007546CB"/>
    <w:rsid w:val="007548B0"/>
    <w:rsid w:val="00754922"/>
    <w:rsid w:val="00754A92"/>
    <w:rsid w:val="00754D17"/>
    <w:rsid w:val="00754DDF"/>
    <w:rsid w:val="00754EFF"/>
    <w:rsid w:val="00755156"/>
    <w:rsid w:val="00755503"/>
    <w:rsid w:val="00755723"/>
    <w:rsid w:val="007557D1"/>
    <w:rsid w:val="00755830"/>
    <w:rsid w:val="007559CC"/>
    <w:rsid w:val="00755EA7"/>
    <w:rsid w:val="00755F6E"/>
    <w:rsid w:val="00756226"/>
    <w:rsid w:val="007562A0"/>
    <w:rsid w:val="00756417"/>
    <w:rsid w:val="0075644E"/>
    <w:rsid w:val="007564AE"/>
    <w:rsid w:val="00756579"/>
    <w:rsid w:val="00756788"/>
    <w:rsid w:val="007568C3"/>
    <w:rsid w:val="00756B44"/>
    <w:rsid w:val="00756CA5"/>
    <w:rsid w:val="00756E8B"/>
    <w:rsid w:val="0075745B"/>
    <w:rsid w:val="00757581"/>
    <w:rsid w:val="007578D8"/>
    <w:rsid w:val="00757D60"/>
    <w:rsid w:val="00757D75"/>
    <w:rsid w:val="00757DE9"/>
    <w:rsid w:val="00757E40"/>
    <w:rsid w:val="00757F8C"/>
    <w:rsid w:val="007600B0"/>
    <w:rsid w:val="007603BA"/>
    <w:rsid w:val="007608A6"/>
    <w:rsid w:val="007608C8"/>
    <w:rsid w:val="00760A69"/>
    <w:rsid w:val="00760C2B"/>
    <w:rsid w:val="00761056"/>
    <w:rsid w:val="00761299"/>
    <w:rsid w:val="00761418"/>
    <w:rsid w:val="0076141D"/>
    <w:rsid w:val="00761561"/>
    <w:rsid w:val="00761715"/>
    <w:rsid w:val="00761AAD"/>
    <w:rsid w:val="00761DCA"/>
    <w:rsid w:val="00761F94"/>
    <w:rsid w:val="007626B0"/>
    <w:rsid w:val="0076298F"/>
    <w:rsid w:val="00762AFA"/>
    <w:rsid w:val="00762CA8"/>
    <w:rsid w:val="00762F11"/>
    <w:rsid w:val="00762F51"/>
    <w:rsid w:val="007631E8"/>
    <w:rsid w:val="0076349B"/>
    <w:rsid w:val="00763E55"/>
    <w:rsid w:val="007642F2"/>
    <w:rsid w:val="00764480"/>
    <w:rsid w:val="007644A4"/>
    <w:rsid w:val="007644B7"/>
    <w:rsid w:val="00764737"/>
    <w:rsid w:val="00764745"/>
    <w:rsid w:val="00764756"/>
    <w:rsid w:val="0076499B"/>
    <w:rsid w:val="00764D7B"/>
    <w:rsid w:val="00764DF1"/>
    <w:rsid w:val="007651D6"/>
    <w:rsid w:val="00765547"/>
    <w:rsid w:val="0076579B"/>
    <w:rsid w:val="00766757"/>
    <w:rsid w:val="00766D12"/>
    <w:rsid w:val="00766D31"/>
    <w:rsid w:val="00766DE4"/>
    <w:rsid w:val="00767037"/>
    <w:rsid w:val="00767303"/>
    <w:rsid w:val="007673BF"/>
    <w:rsid w:val="0076743E"/>
    <w:rsid w:val="0076776F"/>
    <w:rsid w:val="00767A18"/>
    <w:rsid w:val="00770004"/>
    <w:rsid w:val="00770638"/>
    <w:rsid w:val="0077082C"/>
    <w:rsid w:val="007708DC"/>
    <w:rsid w:val="00770CEC"/>
    <w:rsid w:val="00770F8F"/>
    <w:rsid w:val="007710D9"/>
    <w:rsid w:val="007713B0"/>
    <w:rsid w:val="00771861"/>
    <w:rsid w:val="007718F4"/>
    <w:rsid w:val="00771902"/>
    <w:rsid w:val="00771C8F"/>
    <w:rsid w:val="00771D88"/>
    <w:rsid w:val="00771EDD"/>
    <w:rsid w:val="00772140"/>
    <w:rsid w:val="007722EB"/>
    <w:rsid w:val="007724DD"/>
    <w:rsid w:val="007729BB"/>
    <w:rsid w:val="00772C49"/>
    <w:rsid w:val="00772D11"/>
    <w:rsid w:val="00772D42"/>
    <w:rsid w:val="00772D54"/>
    <w:rsid w:val="00772FBA"/>
    <w:rsid w:val="007734DC"/>
    <w:rsid w:val="007735CB"/>
    <w:rsid w:val="007736F1"/>
    <w:rsid w:val="00773805"/>
    <w:rsid w:val="0077381A"/>
    <w:rsid w:val="00773A3B"/>
    <w:rsid w:val="00773A7A"/>
    <w:rsid w:val="00773B1D"/>
    <w:rsid w:val="00773E27"/>
    <w:rsid w:val="007746F3"/>
    <w:rsid w:val="00774B40"/>
    <w:rsid w:val="00774B6D"/>
    <w:rsid w:val="00774CBF"/>
    <w:rsid w:val="00774D9D"/>
    <w:rsid w:val="00774DCC"/>
    <w:rsid w:val="00774DDA"/>
    <w:rsid w:val="00774E71"/>
    <w:rsid w:val="007751B1"/>
    <w:rsid w:val="00775461"/>
    <w:rsid w:val="0077559D"/>
    <w:rsid w:val="0077584F"/>
    <w:rsid w:val="00775ACC"/>
    <w:rsid w:val="00775DC5"/>
    <w:rsid w:val="00775FB4"/>
    <w:rsid w:val="0077602E"/>
    <w:rsid w:val="00776073"/>
    <w:rsid w:val="00776080"/>
    <w:rsid w:val="007762AC"/>
    <w:rsid w:val="0077696E"/>
    <w:rsid w:val="00776B8B"/>
    <w:rsid w:val="00776E5D"/>
    <w:rsid w:val="00776FBE"/>
    <w:rsid w:val="007770AD"/>
    <w:rsid w:val="007772F2"/>
    <w:rsid w:val="00777465"/>
    <w:rsid w:val="00777599"/>
    <w:rsid w:val="0077773C"/>
    <w:rsid w:val="007778C7"/>
    <w:rsid w:val="00777AE8"/>
    <w:rsid w:val="00777F2D"/>
    <w:rsid w:val="007801E2"/>
    <w:rsid w:val="0078020C"/>
    <w:rsid w:val="007804FC"/>
    <w:rsid w:val="00780700"/>
    <w:rsid w:val="0078072B"/>
    <w:rsid w:val="00780A3E"/>
    <w:rsid w:val="00780A91"/>
    <w:rsid w:val="00780ACF"/>
    <w:rsid w:val="00780DE5"/>
    <w:rsid w:val="00780F91"/>
    <w:rsid w:val="00781014"/>
    <w:rsid w:val="007810B0"/>
    <w:rsid w:val="0078139B"/>
    <w:rsid w:val="007813E6"/>
    <w:rsid w:val="00781AF2"/>
    <w:rsid w:val="00781DDD"/>
    <w:rsid w:val="00781FA4"/>
    <w:rsid w:val="007820FB"/>
    <w:rsid w:val="007821E5"/>
    <w:rsid w:val="00782363"/>
    <w:rsid w:val="007823A3"/>
    <w:rsid w:val="00782571"/>
    <w:rsid w:val="007826C7"/>
    <w:rsid w:val="00782A6D"/>
    <w:rsid w:val="00782E23"/>
    <w:rsid w:val="00782E88"/>
    <w:rsid w:val="00783062"/>
    <w:rsid w:val="0078313F"/>
    <w:rsid w:val="00783150"/>
    <w:rsid w:val="00783167"/>
    <w:rsid w:val="007835CC"/>
    <w:rsid w:val="00783768"/>
    <w:rsid w:val="00783D70"/>
    <w:rsid w:val="00783D72"/>
    <w:rsid w:val="00783F2A"/>
    <w:rsid w:val="00784185"/>
    <w:rsid w:val="00784348"/>
    <w:rsid w:val="00784359"/>
    <w:rsid w:val="007844D8"/>
    <w:rsid w:val="00784899"/>
    <w:rsid w:val="007848AF"/>
    <w:rsid w:val="00784D85"/>
    <w:rsid w:val="00784F2C"/>
    <w:rsid w:val="0078520C"/>
    <w:rsid w:val="00785A7C"/>
    <w:rsid w:val="00785CBD"/>
    <w:rsid w:val="00785CF6"/>
    <w:rsid w:val="007862CB"/>
    <w:rsid w:val="00786375"/>
    <w:rsid w:val="007866C3"/>
    <w:rsid w:val="007868D3"/>
    <w:rsid w:val="00786923"/>
    <w:rsid w:val="007869DB"/>
    <w:rsid w:val="00787269"/>
    <w:rsid w:val="0078734C"/>
    <w:rsid w:val="007873AF"/>
    <w:rsid w:val="00787450"/>
    <w:rsid w:val="007876A6"/>
    <w:rsid w:val="007879BF"/>
    <w:rsid w:val="00787A80"/>
    <w:rsid w:val="007900DC"/>
    <w:rsid w:val="007903AB"/>
    <w:rsid w:val="00790EC5"/>
    <w:rsid w:val="00790EE5"/>
    <w:rsid w:val="00790F22"/>
    <w:rsid w:val="0079117E"/>
    <w:rsid w:val="0079119B"/>
    <w:rsid w:val="007912EC"/>
    <w:rsid w:val="007914D4"/>
    <w:rsid w:val="00791569"/>
    <w:rsid w:val="00791729"/>
    <w:rsid w:val="007917F8"/>
    <w:rsid w:val="00791F79"/>
    <w:rsid w:val="00792276"/>
    <w:rsid w:val="00792431"/>
    <w:rsid w:val="0079252B"/>
    <w:rsid w:val="0079266F"/>
    <w:rsid w:val="00792A9F"/>
    <w:rsid w:val="00792C45"/>
    <w:rsid w:val="00792E53"/>
    <w:rsid w:val="00793027"/>
    <w:rsid w:val="00793224"/>
    <w:rsid w:val="00793243"/>
    <w:rsid w:val="007933EF"/>
    <w:rsid w:val="00793779"/>
    <w:rsid w:val="0079381B"/>
    <w:rsid w:val="0079390A"/>
    <w:rsid w:val="00793CDE"/>
    <w:rsid w:val="00793E69"/>
    <w:rsid w:val="00793EB6"/>
    <w:rsid w:val="007941C5"/>
    <w:rsid w:val="007943D3"/>
    <w:rsid w:val="007943EF"/>
    <w:rsid w:val="007947CC"/>
    <w:rsid w:val="007947F2"/>
    <w:rsid w:val="00794A39"/>
    <w:rsid w:val="00794D1A"/>
    <w:rsid w:val="00794F19"/>
    <w:rsid w:val="007951C3"/>
    <w:rsid w:val="007955A5"/>
    <w:rsid w:val="00795785"/>
    <w:rsid w:val="0079594C"/>
    <w:rsid w:val="00795D20"/>
    <w:rsid w:val="00795E7B"/>
    <w:rsid w:val="00795E95"/>
    <w:rsid w:val="00795EB0"/>
    <w:rsid w:val="0079604A"/>
    <w:rsid w:val="0079626A"/>
    <w:rsid w:val="0079658C"/>
    <w:rsid w:val="00796590"/>
    <w:rsid w:val="007966A9"/>
    <w:rsid w:val="007968A1"/>
    <w:rsid w:val="007968DC"/>
    <w:rsid w:val="00796AB8"/>
    <w:rsid w:val="00796DF7"/>
    <w:rsid w:val="0079709F"/>
    <w:rsid w:val="007971DB"/>
    <w:rsid w:val="007974A6"/>
    <w:rsid w:val="007975E8"/>
    <w:rsid w:val="00797987"/>
    <w:rsid w:val="00797C1F"/>
    <w:rsid w:val="007A009A"/>
    <w:rsid w:val="007A0346"/>
    <w:rsid w:val="007A0355"/>
    <w:rsid w:val="007A0719"/>
    <w:rsid w:val="007A08BB"/>
    <w:rsid w:val="007A09DF"/>
    <w:rsid w:val="007A0C1D"/>
    <w:rsid w:val="007A0CBE"/>
    <w:rsid w:val="007A0F32"/>
    <w:rsid w:val="007A1103"/>
    <w:rsid w:val="007A12F0"/>
    <w:rsid w:val="007A13EF"/>
    <w:rsid w:val="007A166B"/>
    <w:rsid w:val="007A195B"/>
    <w:rsid w:val="007A1A20"/>
    <w:rsid w:val="007A1A47"/>
    <w:rsid w:val="007A1B88"/>
    <w:rsid w:val="007A1F4F"/>
    <w:rsid w:val="007A20CB"/>
    <w:rsid w:val="007A22D5"/>
    <w:rsid w:val="007A236C"/>
    <w:rsid w:val="007A2379"/>
    <w:rsid w:val="007A2B80"/>
    <w:rsid w:val="007A2CEF"/>
    <w:rsid w:val="007A2E32"/>
    <w:rsid w:val="007A3036"/>
    <w:rsid w:val="007A323C"/>
    <w:rsid w:val="007A3251"/>
    <w:rsid w:val="007A32B8"/>
    <w:rsid w:val="007A3486"/>
    <w:rsid w:val="007A37BC"/>
    <w:rsid w:val="007A39B9"/>
    <w:rsid w:val="007A3E01"/>
    <w:rsid w:val="007A3ED9"/>
    <w:rsid w:val="007A4AD2"/>
    <w:rsid w:val="007A4D8B"/>
    <w:rsid w:val="007A4FC6"/>
    <w:rsid w:val="007A5336"/>
    <w:rsid w:val="007A58DD"/>
    <w:rsid w:val="007A5965"/>
    <w:rsid w:val="007A5970"/>
    <w:rsid w:val="007A5B4C"/>
    <w:rsid w:val="007A5C83"/>
    <w:rsid w:val="007A653F"/>
    <w:rsid w:val="007A6682"/>
    <w:rsid w:val="007A687B"/>
    <w:rsid w:val="007A6B33"/>
    <w:rsid w:val="007A74BE"/>
    <w:rsid w:val="007A7802"/>
    <w:rsid w:val="007A7905"/>
    <w:rsid w:val="007A7AEF"/>
    <w:rsid w:val="007A7B83"/>
    <w:rsid w:val="007A7B94"/>
    <w:rsid w:val="007A7DE1"/>
    <w:rsid w:val="007A7E42"/>
    <w:rsid w:val="007A7FB4"/>
    <w:rsid w:val="007B010F"/>
    <w:rsid w:val="007B041E"/>
    <w:rsid w:val="007B08FE"/>
    <w:rsid w:val="007B13B5"/>
    <w:rsid w:val="007B1607"/>
    <w:rsid w:val="007B1AAA"/>
    <w:rsid w:val="007B1B11"/>
    <w:rsid w:val="007B1C06"/>
    <w:rsid w:val="007B1C22"/>
    <w:rsid w:val="007B1C9B"/>
    <w:rsid w:val="007B1D62"/>
    <w:rsid w:val="007B20E0"/>
    <w:rsid w:val="007B2348"/>
    <w:rsid w:val="007B23EA"/>
    <w:rsid w:val="007B2735"/>
    <w:rsid w:val="007B29A2"/>
    <w:rsid w:val="007B2BBA"/>
    <w:rsid w:val="007B2C29"/>
    <w:rsid w:val="007B2C3C"/>
    <w:rsid w:val="007B2D7D"/>
    <w:rsid w:val="007B2F17"/>
    <w:rsid w:val="007B3018"/>
    <w:rsid w:val="007B302A"/>
    <w:rsid w:val="007B30EB"/>
    <w:rsid w:val="007B36BE"/>
    <w:rsid w:val="007B3760"/>
    <w:rsid w:val="007B3786"/>
    <w:rsid w:val="007B3EA5"/>
    <w:rsid w:val="007B3FD1"/>
    <w:rsid w:val="007B43A1"/>
    <w:rsid w:val="007B4446"/>
    <w:rsid w:val="007B4894"/>
    <w:rsid w:val="007B49BE"/>
    <w:rsid w:val="007B4C35"/>
    <w:rsid w:val="007B4C48"/>
    <w:rsid w:val="007B4F37"/>
    <w:rsid w:val="007B5102"/>
    <w:rsid w:val="007B53AB"/>
    <w:rsid w:val="007B54B3"/>
    <w:rsid w:val="007B57BB"/>
    <w:rsid w:val="007B5FEB"/>
    <w:rsid w:val="007B6099"/>
    <w:rsid w:val="007B63A2"/>
    <w:rsid w:val="007B6401"/>
    <w:rsid w:val="007B6598"/>
    <w:rsid w:val="007B6A4F"/>
    <w:rsid w:val="007B6AF9"/>
    <w:rsid w:val="007B6C30"/>
    <w:rsid w:val="007B6D46"/>
    <w:rsid w:val="007B6E88"/>
    <w:rsid w:val="007B6FD8"/>
    <w:rsid w:val="007B72AC"/>
    <w:rsid w:val="007B748E"/>
    <w:rsid w:val="007B75DE"/>
    <w:rsid w:val="007B78C8"/>
    <w:rsid w:val="007B7DB6"/>
    <w:rsid w:val="007C0179"/>
    <w:rsid w:val="007C04BD"/>
    <w:rsid w:val="007C065B"/>
    <w:rsid w:val="007C095E"/>
    <w:rsid w:val="007C0977"/>
    <w:rsid w:val="007C09F6"/>
    <w:rsid w:val="007C0C46"/>
    <w:rsid w:val="007C1819"/>
    <w:rsid w:val="007C181F"/>
    <w:rsid w:val="007C1B81"/>
    <w:rsid w:val="007C1C49"/>
    <w:rsid w:val="007C21E8"/>
    <w:rsid w:val="007C2334"/>
    <w:rsid w:val="007C2363"/>
    <w:rsid w:val="007C27BC"/>
    <w:rsid w:val="007C27CC"/>
    <w:rsid w:val="007C286F"/>
    <w:rsid w:val="007C2D1F"/>
    <w:rsid w:val="007C2D75"/>
    <w:rsid w:val="007C3117"/>
    <w:rsid w:val="007C339D"/>
    <w:rsid w:val="007C3413"/>
    <w:rsid w:val="007C34A2"/>
    <w:rsid w:val="007C35A5"/>
    <w:rsid w:val="007C35B3"/>
    <w:rsid w:val="007C36D2"/>
    <w:rsid w:val="007C36D8"/>
    <w:rsid w:val="007C37AA"/>
    <w:rsid w:val="007C3862"/>
    <w:rsid w:val="007C3A4F"/>
    <w:rsid w:val="007C3C98"/>
    <w:rsid w:val="007C3DDA"/>
    <w:rsid w:val="007C3E7F"/>
    <w:rsid w:val="007C41F7"/>
    <w:rsid w:val="007C4307"/>
    <w:rsid w:val="007C49AE"/>
    <w:rsid w:val="007C4D11"/>
    <w:rsid w:val="007C5083"/>
    <w:rsid w:val="007C50EE"/>
    <w:rsid w:val="007C516E"/>
    <w:rsid w:val="007C5817"/>
    <w:rsid w:val="007C58D1"/>
    <w:rsid w:val="007C58D6"/>
    <w:rsid w:val="007C5C3F"/>
    <w:rsid w:val="007C5FC7"/>
    <w:rsid w:val="007C62F3"/>
    <w:rsid w:val="007C63C9"/>
    <w:rsid w:val="007C68FE"/>
    <w:rsid w:val="007C696B"/>
    <w:rsid w:val="007C6C6B"/>
    <w:rsid w:val="007C6F35"/>
    <w:rsid w:val="007C6FA8"/>
    <w:rsid w:val="007C6FD9"/>
    <w:rsid w:val="007C7289"/>
    <w:rsid w:val="007C731E"/>
    <w:rsid w:val="007C7548"/>
    <w:rsid w:val="007C75BA"/>
    <w:rsid w:val="007C770E"/>
    <w:rsid w:val="007C7826"/>
    <w:rsid w:val="007C7C28"/>
    <w:rsid w:val="007C7CC9"/>
    <w:rsid w:val="007D0184"/>
    <w:rsid w:val="007D01DE"/>
    <w:rsid w:val="007D08E3"/>
    <w:rsid w:val="007D0AE6"/>
    <w:rsid w:val="007D0C8F"/>
    <w:rsid w:val="007D0D9A"/>
    <w:rsid w:val="007D0FD7"/>
    <w:rsid w:val="007D112F"/>
    <w:rsid w:val="007D120F"/>
    <w:rsid w:val="007D15F2"/>
    <w:rsid w:val="007D1A7A"/>
    <w:rsid w:val="007D1B5D"/>
    <w:rsid w:val="007D1BA1"/>
    <w:rsid w:val="007D1C9F"/>
    <w:rsid w:val="007D2366"/>
    <w:rsid w:val="007D2591"/>
    <w:rsid w:val="007D28A4"/>
    <w:rsid w:val="007D2AA4"/>
    <w:rsid w:val="007D2D84"/>
    <w:rsid w:val="007D2EFD"/>
    <w:rsid w:val="007D338A"/>
    <w:rsid w:val="007D3485"/>
    <w:rsid w:val="007D3797"/>
    <w:rsid w:val="007D3966"/>
    <w:rsid w:val="007D3976"/>
    <w:rsid w:val="007D3B6B"/>
    <w:rsid w:val="007D3DAF"/>
    <w:rsid w:val="007D3E67"/>
    <w:rsid w:val="007D3E97"/>
    <w:rsid w:val="007D42D2"/>
    <w:rsid w:val="007D4408"/>
    <w:rsid w:val="007D4418"/>
    <w:rsid w:val="007D4452"/>
    <w:rsid w:val="007D4692"/>
    <w:rsid w:val="007D47F4"/>
    <w:rsid w:val="007D4E48"/>
    <w:rsid w:val="007D5048"/>
    <w:rsid w:val="007D52ED"/>
    <w:rsid w:val="007D5447"/>
    <w:rsid w:val="007D5634"/>
    <w:rsid w:val="007D580B"/>
    <w:rsid w:val="007D5A6E"/>
    <w:rsid w:val="007D5F11"/>
    <w:rsid w:val="007D6247"/>
    <w:rsid w:val="007D645D"/>
    <w:rsid w:val="007D69B8"/>
    <w:rsid w:val="007D69CF"/>
    <w:rsid w:val="007D6A63"/>
    <w:rsid w:val="007D6ABB"/>
    <w:rsid w:val="007D6CC3"/>
    <w:rsid w:val="007D6DE0"/>
    <w:rsid w:val="007D6F1E"/>
    <w:rsid w:val="007D763E"/>
    <w:rsid w:val="007D7A2B"/>
    <w:rsid w:val="007D7A32"/>
    <w:rsid w:val="007D7B67"/>
    <w:rsid w:val="007D7BE6"/>
    <w:rsid w:val="007D7CA4"/>
    <w:rsid w:val="007D7DAF"/>
    <w:rsid w:val="007E049E"/>
    <w:rsid w:val="007E0530"/>
    <w:rsid w:val="007E08EB"/>
    <w:rsid w:val="007E0909"/>
    <w:rsid w:val="007E0925"/>
    <w:rsid w:val="007E0AC9"/>
    <w:rsid w:val="007E0E6A"/>
    <w:rsid w:val="007E1216"/>
    <w:rsid w:val="007E136A"/>
    <w:rsid w:val="007E13A3"/>
    <w:rsid w:val="007E146C"/>
    <w:rsid w:val="007E155F"/>
    <w:rsid w:val="007E15C7"/>
    <w:rsid w:val="007E1679"/>
    <w:rsid w:val="007E1FE0"/>
    <w:rsid w:val="007E20D5"/>
    <w:rsid w:val="007E21E0"/>
    <w:rsid w:val="007E2A8D"/>
    <w:rsid w:val="007E2B12"/>
    <w:rsid w:val="007E2B64"/>
    <w:rsid w:val="007E2CF1"/>
    <w:rsid w:val="007E2EE4"/>
    <w:rsid w:val="007E30A0"/>
    <w:rsid w:val="007E3204"/>
    <w:rsid w:val="007E34F2"/>
    <w:rsid w:val="007E35BD"/>
    <w:rsid w:val="007E3699"/>
    <w:rsid w:val="007E36DF"/>
    <w:rsid w:val="007E376E"/>
    <w:rsid w:val="007E378C"/>
    <w:rsid w:val="007E3C95"/>
    <w:rsid w:val="007E4058"/>
    <w:rsid w:val="007E418E"/>
    <w:rsid w:val="007E4382"/>
    <w:rsid w:val="007E4483"/>
    <w:rsid w:val="007E4788"/>
    <w:rsid w:val="007E4A88"/>
    <w:rsid w:val="007E4F9E"/>
    <w:rsid w:val="007E5405"/>
    <w:rsid w:val="007E5497"/>
    <w:rsid w:val="007E5A3E"/>
    <w:rsid w:val="007E5B63"/>
    <w:rsid w:val="007E5E22"/>
    <w:rsid w:val="007E5F8E"/>
    <w:rsid w:val="007E60A3"/>
    <w:rsid w:val="007E610E"/>
    <w:rsid w:val="007E61D7"/>
    <w:rsid w:val="007E61E0"/>
    <w:rsid w:val="007E66F1"/>
    <w:rsid w:val="007E6708"/>
    <w:rsid w:val="007E6794"/>
    <w:rsid w:val="007E6A52"/>
    <w:rsid w:val="007E6DF6"/>
    <w:rsid w:val="007E6E69"/>
    <w:rsid w:val="007E6FA4"/>
    <w:rsid w:val="007E72BB"/>
    <w:rsid w:val="007E7618"/>
    <w:rsid w:val="007E7A6F"/>
    <w:rsid w:val="007E7B77"/>
    <w:rsid w:val="007E7BC1"/>
    <w:rsid w:val="007E7C44"/>
    <w:rsid w:val="007E7D3F"/>
    <w:rsid w:val="007E7ED8"/>
    <w:rsid w:val="007E7FDC"/>
    <w:rsid w:val="007F02BC"/>
    <w:rsid w:val="007F0350"/>
    <w:rsid w:val="007F0BCC"/>
    <w:rsid w:val="007F0CDE"/>
    <w:rsid w:val="007F0E56"/>
    <w:rsid w:val="007F1020"/>
    <w:rsid w:val="007F1291"/>
    <w:rsid w:val="007F140F"/>
    <w:rsid w:val="007F1568"/>
    <w:rsid w:val="007F17B1"/>
    <w:rsid w:val="007F1D36"/>
    <w:rsid w:val="007F1E65"/>
    <w:rsid w:val="007F1EE5"/>
    <w:rsid w:val="007F21E7"/>
    <w:rsid w:val="007F225C"/>
    <w:rsid w:val="007F2533"/>
    <w:rsid w:val="007F269F"/>
    <w:rsid w:val="007F277F"/>
    <w:rsid w:val="007F2820"/>
    <w:rsid w:val="007F289F"/>
    <w:rsid w:val="007F2F5F"/>
    <w:rsid w:val="007F31B8"/>
    <w:rsid w:val="007F3691"/>
    <w:rsid w:val="007F36C1"/>
    <w:rsid w:val="007F37B2"/>
    <w:rsid w:val="007F37BD"/>
    <w:rsid w:val="007F3A0A"/>
    <w:rsid w:val="007F3D1D"/>
    <w:rsid w:val="007F4183"/>
    <w:rsid w:val="007F429A"/>
    <w:rsid w:val="007F4473"/>
    <w:rsid w:val="007F475C"/>
    <w:rsid w:val="007F4AC9"/>
    <w:rsid w:val="007F508F"/>
    <w:rsid w:val="007F5270"/>
    <w:rsid w:val="007F54A8"/>
    <w:rsid w:val="007F57AD"/>
    <w:rsid w:val="007F58CD"/>
    <w:rsid w:val="007F5A10"/>
    <w:rsid w:val="007F5CF5"/>
    <w:rsid w:val="007F5E92"/>
    <w:rsid w:val="007F5F74"/>
    <w:rsid w:val="007F6146"/>
    <w:rsid w:val="007F6353"/>
    <w:rsid w:val="007F647D"/>
    <w:rsid w:val="007F64AD"/>
    <w:rsid w:val="007F6733"/>
    <w:rsid w:val="007F6A97"/>
    <w:rsid w:val="007F6D11"/>
    <w:rsid w:val="007F6E9F"/>
    <w:rsid w:val="007F6F9A"/>
    <w:rsid w:val="007F79F7"/>
    <w:rsid w:val="007F7BA2"/>
    <w:rsid w:val="007F7E81"/>
    <w:rsid w:val="007F7EA7"/>
    <w:rsid w:val="00800115"/>
    <w:rsid w:val="00800283"/>
    <w:rsid w:val="008002E8"/>
    <w:rsid w:val="0080050A"/>
    <w:rsid w:val="00800968"/>
    <w:rsid w:val="008009BD"/>
    <w:rsid w:val="008009D7"/>
    <w:rsid w:val="00800D89"/>
    <w:rsid w:val="00801281"/>
    <w:rsid w:val="008013A9"/>
    <w:rsid w:val="0080147E"/>
    <w:rsid w:val="00801551"/>
    <w:rsid w:val="008016E2"/>
    <w:rsid w:val="00801F8E"/>
    <w:rsid w:val="00802140"/>
    <w:rsid w:val="0080218C"/>
    <w:rsid w:val="00802299"/>
    <w:rsid w:val="008022BE"/>
    <w:rsid w:val="00802431"/>
    <w:rsid w:val="00802882"/>
    <w:rsid w:val="008028F7"/>
    <w:rsid w:val="008029EB"/>
    <w:rsid w:val="008029F0"/>
    <w:rsid w:val="008033D7"/>
    <w:rsid w:val="0080361A"/>
    <w:rsid w:val="008038C6"/>
    <w:rsid w:val="00803922"/>
    <w:rsid w:val="00803F9D"/>
    <w:rsid w:val="0080403D"/>
    <w:rsid w:val="0080434B"/>
    <w:rsid w:val="00804592"/>
    <w:rsid w:val="00804850"/>
    <w:rsid w:val="00804887"/>
    <w:rsid w:val="00804A18"/>
    <w:rsid w:val="00804EAC"/>
    <w:rsid w:val="00804FE3"/>
    <w:rsid w:val="0080504B"/>
    <w:rsid w:val="008055BF"/>
    <w:rsid w:val="00805715"/>
    <w:rsid w:val="00805E1C"/>
    <w:rsid w:val="008061F4"/>
    <w:rsid w:val="0080648D"/>
    <w:rsid w:val="00806781"/>
    <w:rsid w:val="008067E5"/>
    <w:rsid w:val="00807073"/>
    <w:rsid w:val="00807658"/>
    <w:rsid w:val="0080790B"/>
    <w:rsid w:val="00807B19"/>
    <w:rsid w:val="00807BF4"/>
    <w:rsid w:val="00807C75"/>
    <w:rsid w:val="0081005C"/>
    <w:rsid w:val="0081011F"/>
    <w:rsid w:val="00810392"/>
    <w:rsid w:val="00810498"/>
    <w:rsid w:val="008106AF"/>
    <w:rsid w:val="00810A84"/>
    <w:rsid w:val="00810B26"/>
    <w:rsid w:val="00810B70"/>
    <w:rsid w:val="00810BD0"/>
    <w:rsid w:val="00810C0A"/>
    <w:rsid w:val="00810D07"/>
    <w:rsid w:val="008110A3"/>
    <w:rsid w:val="00811140"/>
    <w:rsid w:val="00811239"/>
    <w:rsid w:val="008113F9"/>
    <w:rsid w:val="00811483"/>
    <w:rsid w:val="00811912"/>
    <w:rsid w:val="00811921"/>
    <w:rsid w:val="00811A84"/>
    <w:rsid w:val="00811BFD"/>
    <w:rsid w:val="00811E0E"/>
    <w:rsid w:val="00812065"/>
    <w:rsid w:val="00812418"/>
    <w:rsid w:val="0081251E"/>
    <w:rsid w:val="00812777"/>
    <w:rsid w:val="00812787"/>
    <w:rsid w:val="008127AD"/>
    <w:rsid w:val="00812BE1"/>
    <w:rsid w:val="00812F3C"/>
    <w:rsid w:val="00813367"/>
    <w:rsid w:val="008133FA"/>
    <w:rsid w:val="0081350A"/>
    <w:rsid w:val="008135AC"/>
    <w:rsid w:val="00813658"/>
    <w:rsid w:val="0081387F"/>
    <w:rsid w:val="0081395A"/>
    <w:rsid w:val="00813C39"/>
    <w:rsid w:val="00813DD2"/>
    <w:rsid w:val="008140BE"/>
    <w:rsid w:val="008140FA"/>
    <w:rsid w:val="00814145"/>
    <w:rsid w:val="00814215"/>
    <w:rsid w:val="008143B7"/>
    <w:rsid w:val="008144B0"/>
    <w:rsid w:val="008145A9"/>
    <w:rsid w:val="008148DE"/>
    <w:rsid w:val="0081497B"/>
    <w:rsid w:val="008149A5"/>
    <w:rsid w:val="00814D6C"/>
    <w:rsid w:val="00815192"/>
    <w:rsid w:val="00815229"/>
    <w:rsid w:val="00815263"/>
    <w:rsid w:val="008154D7"/>
    <w:rsid w:val="00815568"/>
    <w:rsid w:val="008155CC"/>
    <w:rsid w:val="00815A4A"/>
    <w:rsid w:val="00815E13"/>
    <w:rsid w:val="0081643F"/>
    <w:rsid w:val="008164E4"/>
    <w:rsid w:val="008166B2"/>
    <w:rsid w:val="008168EE"/>
    <w:rsid w:val="00816A0D"/>
    <w:rsid w:val="00816BB0"/>
    <w:rsid w:val="008170DF"/>
    <w:rsid w:val="0081747C"/>
    <w:rsid w:val="00817648"/>
    <w:rsid w:val="0081774E"/>
    <w:rsid w:val="0081782A"/>
    <w:rsid w:val="00817A08"/>
    <w:rsid w:val="00817B02"/>
    <w:rsid w:val="00817CAB"/>
    <w:rsid w:val="00817DDD"/>
    <w:rsid w:val="00817EDE"/>
    <w:rsid w:val="00817FA4"/>
    <w:rsid w:val="008200B6"/>
    <w:rsid w:val="008203DB"/>
    <w:rsid w:val="008205F5"/>
    <w:rsid w:val="008207F7"/>
    <w:rsid w:val="0082093A"/>
    <w:rsid w:val="0082096A"/>
    <w:rsid w:val="008209B6"/>
    <w:rsid w:val="00820CA0"/>
    <w:rsid w:val="00820D31"/>
    <w:rsid w:val="00820E58"/>
    <w:rsid w:val="008210DE"/>
    <w:rsid w:val="00821261"/>
    <w:rsid w:val="00821409"/>
    <w:rsid w:val="0082154D"/>
    <w:rsid w:val="0082154F"/>
    <w:rsid w:val="008216CE"/>
    <w:rsid w:val="00821750"/>
    <w:rsid w:val="00821A3D"/>
    <w:rsid w:val="00821A62"/>
    <w:rsid w:val="00821C48"/>
    <w:rsid w:val="00821C76"/>
    <w:rsid w:val="00821F1E"/>
    <w:rsid w:val="00821FF7"/>
    <w:rsid w:val="008223FD"/>
    <w:rsid w:val="0082255C"/>
    <w:rsid w:val="0082277C"/>
    <w:rsid w:val="00822AE8"/>
    <w:rsid w:val="00822BC4"/>
    <w:rsid w:val="00822DD1"/>
    <w:rsid w:val="00822ECA"/>
    <w:rsid w:val="008234E1"/>
    <w:rsid w:val="00823575"/>
    <w:rsid w:val="00823591"/>
    <w:rsid w:val="00823764"/>
    <w:rsid w:val="00823870"/>
    <w:rsid w:val="00823954"/>
    <w:rsid w:val="00823EEB"/>
    <w:rsid w:val="00824694"/>
    <w:rsid w:val="00824C4F"/>
    <w:rsid w:val="00824DD7"/>
    <w:rsid w:val="0082547F"/>
    <w:rsid w:val="008259FC"/>
    <w:rsid w:val="00825CD5"/>
    <w:rsid w:val="00825CE6"/>
    <w:rsid w:val="00825D75"/>
    <w:rsid w:val="00825DAA"/>
    <w:rsid w:val="00825F26"/>
    <w:rsid w:val="00825F53"/>
    <w:rsid w:val="00825F6F"/>
    <w:rsid w:val="00825FB6"/>
    <w:rsid w:val="008260CE"/>
    <w:rsid w:val="008261E9"/>
    <w:rsid w:val="0082669C"/>
    <w:rsid w:val="008266FB"/>
    <w:rsid w:val="00826A20"/>
    <w:rsid w:val="00827248"/>
    <w:rsid w:val="008272B6"/>
    <w:rsid w:val="008277D9"/>
    <w:rsid w:val="0082780A"/>
    <w:rsid w:val="00827C29"/>
    <w:rsid w:val="00827E20"/>
    <w:rsid w:val="00830374"/>
    <w:rsid w:val="008303AF"/>
    <w:rsid w:val="0083052F"/>
    <w:rsid w:val="00830886"/>
    <w:rsid w:val="00830907"/>
    <w:rsid w:val="00830ACE"/>
    <w:rsid w:val="00830AD4"/>
    <w:rsid w:val="00830D24"/>
    <w:rsid w:val="00831004"/>
    <w:rsid w:val="008312CC"/>
    <w:rsid w:val="00831765"/>
    <w:rsid w:val="0083188C"/>
    <w:rsid w:val="00831BF5"/>
    <w:rsid w:val="00831D50"/>
    <w:rsid w:val="0083209A"/>
    <w:rsid w:val="00832186"/>
    <w:rsid w:val="0083257F"/>
    <w:rsid w:val="008327DC"/>
    <w:rsid w:val="00832847"/>
    <w:rsid w:val="00832AD9"/>
    <w:rsid w:val="00832CC9"/>
    <w:rsid w:val="00832DA4"/>
    <w:rsid w:val="00832F2C"/>
    <w:rsid w:val="008330CE"/>
    <w:rsid w:val="008331D7"/>
    <w:rsid w:val="00833236"/>
    <w:rsid w:val="00833376"/>
    <w:rsid w:val="00833427"/>
    <w:rsid w:val="00833613"/>
    <w:rsid w:val="008337C9"/>
    <w:rsid w:val="00833A5B"/>
    <w:rsid w:val="00833EB3"/>
    <w:rsid w:val="00833F60"/>
    <w:rsid w:val="0083408B"/>
    <w:rsid w:val="008345C3"/>
    <w:rsid w:val="00834685"/>
    <w:rsid w:val="0083468F"/>
    <w:rsid w:val="008348B4"/>
    <w:rsid w:val="008349F9"/>
    <w:rsid w:val="00834CF5"/>
    <w:rsid w:val="00834E06"/>
    <w:rsid w:val="00834EE8"/>
    <w:rsid w:val="008350E1"/>
    <w:rsid w:val="00835115"/>
    <w:rsid w:val="00835380"/>
    <w:rsid w:val="008354EC"/>
    <w:rsid w:val="00835778"/>
    <w:rsid w:val="00835978"/>
    <w:rsid w:val="0083605E"/>
    <w:rsid w:val="00836072"/>
    <w:rsid w:val="00836517"/>
    <w:rsid w:val="00836871"/>
    <w:rsid w:val="00836BB1"/>
    <w:rsid w:val="00836C06"/>
    <w:rsid w:val="00837018"/>
    <w:rsid w:val="00837501"/>
    <w:rsid w:val="008379E4"/>
    <w:rsid w:val="00837C9A"/>
    <w:rsid w:val="0084016A"/>
    <w:rsid w:val="008402A8"/>
    <w:rsid w:val="008402E3"/>
    <w:rsid w:val="008411B2"/>
    <w:rsid w:val="008412E4"/>
    <w:rsid w:val="0084158C"/>
    <w:rsid w:val="008416EF"/>
    <w:rsid w:val="008418CD"/>
    <w:rsid w:val="00842019"/>
    <w:rsid w:val="00842045"/>
    <w:rsid w:val="00842153"/>
    <w:rsid w:val="00842269"/>
    <w:rsid w:val="00842680"/>
    <w:rsid w:val="008426F6"/>
    <w:rsid w:val="0084273A"/>
    <w:rsid w:val="008427A8"/>
    <w:rsid w:val="00842971"/>
    <w:rsid w:val="00842F8B"/>
    <w:rsid w:val="00842FE1"/>
    <w:rsid w:val="0084315B"/>
    <w:rsid w:val="008431A8"/>
    <w:rsid w:val="008433A7"/>
    <w:rsid w:val="0084352E"/>
    <w:rsid w:val="00843717"/>
    <w:rsid w:val="00843767"/>
    <w:rsid w:val="00843A31"/>
    <w:rsid w:val="00843BAF"/>
    <w:rsid w:val="00843C04"/>
    <w:rsid w:val="00843F1D"/>
    <w:rsid w:val="008440DF"/>
    <w:rsid w:val="008440FA"/>
    <w:rsid w:val="008443A9"/>
    <w:rsid w:val="008443EE"/>
    <w:rsid w:val="008446C9"/>
    <w:rsid w:val="008447B8"/>
    <w:rsid w:val="00844BB5"/>
    <w:rsid w:val="00844BD4"/>
    <w:rsid w:val="00844BFC"/>
    <w:rsid w:val="00844CB7"/>
    <w:rsid w:val="00844EFC"/>
    <w:rsid w:val="00845239"/>
    <w:rsid w:val="00845CE2"/>
    <w:rsid w:val="0084612C"/>
    <w:rsid w:val="008463A4"/>
    <w:rsid w:val="008465FB"/>
    <w:rsid w:val="00846722"/>
    <w:rsid w:val="0084672B"/>
    <w:rsid w:val="0084673E"/>
    <w:rsid w:val="00846AD1"/>
    <w:rsid w:val="00846D25"/>
    <w:rsid w:val="00846EE6"/>
    <w:rsid w:val="00846FCD"/>
    <w:rsid w:val="00847119"/>
    <w:rsid w:val="008471CF"/>
    <w:rsid w:val="00847228"/>
    <w:rsid w:val="0084723C"/>
    <w:rsid w:val="008472C3"/>
    <w:rsid w:val="00847661"/>
    <w:rsid w:val="008479B0"/>
    <w:rsid w:val="00847B67"/>
    <w:rsid w:val="00847E7F"/>
    <w:rsid w:val="00850217"/>
    <w:rsid w:val="00850B4B"/>
    <w:rsid w:val="00850C8B"/>
    <w:rsid w:val="00850E1F"/>
    <w:rsid w:val="00850E50"/>
    <w:rsid w:val="00850EBD"/>
    <w:rsid w:val="008510CA"/>
    <w:rsid w:val="008510DC"/>
    <w:rsid w:val="008511B9"/>
    <w:rsid w:val="00851906"/>
    <w:rsid w:val="008519E4"/>
    <w:rsid w:val="00851CFE"/>
    <w:rsid w:val="00851DED"/>
    <w:rsid w:val="0085201A"/>
    <w:rsid w:val="008520C8"/>
    <w:rsid w:val="008522CE"/>
    <w:rsid w:val="008522FE"/>
    <w:rsid w:val="00852A1B"/>
    <w:rsid w:val="00852CB3"/>
    <w:rsid w:val="00853126"/>
    <w:rsid w:val="0085319C"/>
    <w:rsid w:val="008531D5"/>
    <w:rsid w:val="0085343E"/>
    <w:rsid w:val="0085399B"/>
    <w:rsid w:val="00853A8F"/>
    <w:rsid w:val="00854247"/>
    <w:rsid w:val="008542FE"/>
    <w:rsid w:val="00854677"/>
    <w:rsid w:val="0085472B"/>
    <w:rsid w:val="00854D39"/>
    <w:rsid w:val="00854D3A"/>
    <w:rsid w:val="008550B5"/>
    <w:rsid w:val="00855159"/>
    <w:rsid w:val="00855405"/>
    <w:rsid w:val="0085585F"/>
    <w:rsid w:val="00855D87"/>
    <w:rsid w:val="00855F57"/>
    <w:rsid w:val="00856118"/>
    <w:rsid w:val="00856123"/>
    <w:rsid w:val="00856370"/>
    <w:rsid w:val="008564C8"/>
    <w:rsid w:val="0085657A"/>
    <w:rsid w:val="008565DE"/>
    <w:rsid w:val="00856824"/>
    <w:rsid w:val="00856835"/>
    <w:rsid w:val="00856A5E"/>
    <w:rsid w:val="00856BFD"/>
    <w:rsid w:val="00856CDD"/>
    <w:rsid w:val="0085712C"/>
    <w:rsid w:val="008571EA"/>
    <w:rsid w:val="0085732D"/>
    <w:rsid w:val="008574FC"/>
    <w:rsid w:val="0085780B"/>
    <w:rsid w:val="00857B94"/>
    <w:rsid w:val="00857BFF"/>
    <w:rsid w:val="00860077"/>
    <w:rsid w:val="00860278"/>
    <w:rsid w:val="00860600"/>
    <w:rsid w:val="0086061C"/>
    <w:rsid w:val="00860CCA"/>
    <w:rsid w:val="00860DD1"/>
    <w:rsid w:val="00860F19"/>
    <w:rsid w:val="008611D7"/>
    <w:rsid w:val="0086138C"/>
    <w:rsid w:val="008613F5"/>
    <w:rsid w:val="00861570"/>
    <w:rsid w:val="008615BA"/>
    <w:rsid w:val="00861DB0"/>
    <w:rsid w:val="008621AB"/>
    <w:rsid w:val="0086260F"/>
    <w:rsid w:val="00862AD6"/>
    <w:rsid w:val="00862B2D"/>
    <w:rsid w:val="00862CA1"/>
    <w:rsid w:val="008630A3"/>
    <w:rsid w:val="00863247"/>
    <w:rsid w:val="008634FF"/>
    <w:rsid w:val="00863630"/>
    <w:rsid w:val="008638D3"/>
    <w:rsid w:val="00863CB6"/>
    <w:rsid w:val="00863E10"/>
    <w:rsid w:val="00863F23"/>
    <w:rsid w:val="00864121"/>
    <w:rsid w:val="00864152"/>
    <w:rsid w:val="008642C0"/>
    <w:rsid w:val="008643BB"/>
    <w:rsid w:val="008644D8"/>
    <w:rsid w:val="008647B4"/>
    <w:rsid w:val="008648E5"/>
    <w:rsid w:val="00864C54"/>
    <w:rsid w:val="00864C65"/>
    <w:rsid w:val="00864D64"/>
    <w:rsid w:val="00864E69"/>
    <w:rsid w:val="00864F91"/>
    <w:rsid w:val="0086539A"/>
    <w:rsid w:val="008656F0"/>
    <w:rsid w:val="00865897"/>
    <w:rsid w:val="00865BFA"/>
    <w:rsid w:val="00865FD8"/>
    <w:rsid w:val="008661D9"/>
    <w:rsid w:val="0086656B"/>
    <w:rsid w:val="008667DB"/>
    <w:rsid w:val="008669FB"/>
    <w:rsid w:val="00866A0D"/>
    <w:rsid w:val="00866B3A"/>
    <w:rsid w:val="00866C9E"/>
    <w:rsid w:val="00866D7F"/>
    <w:rsid w:val="00866DD7"/>
    <w:rsid w:val="00867172"/>
    <w:rsid w:val="008672E4"/>
    <w:rsid w:val="0086733C"/>
    <w:rsid w:val="0086739A"/>
    <w:rsid w:val="008675AF"/>
    <w:rsid w:val="00867AEA"/>
    <w:rsid w:val="00867B72"/>
    <w:rsid w:val="00867CDD"/>
    <w:rsid w:val="00867DBF"/>
    <w:rsid w:val="00867EF9"/>
    <w:rsid w:val="0087005A"/>
    <w:rsid w:val="008700D2"/>
    <w:rsid w:val="0087030B"/>
    <w:rsid w:val="008703F3"/>
    <w:rsid w:val="0087043F"/>
    <w:rsid w:val="00870705"/>
    <w:rsid w:val="00870719"/>
    <w:rsid w:val="00870863"/>
    <w:rsid w:val="00870C6A"/>
    <w:rsid w:val="00870D70"/>
    <w:rsid w:val="00870DD4"/>
    <w:rsid w:val="00871042"/>
    <w:rsid w:val="00871308"/>
    <w:rsid w:val="00871617"/>
    <w:rsid w:val="008716E5"/>
    <w:rsid w:val="008717A6"/>
    <w:rsid w:val="00871B3B"/>
    <w:rsid w:val="00871D8D"/>
    <w:rsid w:val="008721DB"/>
    <w:rsid w:val="008724EF"/>
    <w:rsid w:val="0087265A"/>
    <w:rsid w:val="00872AC3"/>
    <w:rsid w:val="00872EF2"/>
    <w:rsid w:val="00873021"/>
    <w:rsid w:val="00873082"/>
    <w:rsid w:val="00873204"/>
    <w:rsid w:val="008734A1"/>
    <w:rsid w:val="00873647"/>
    <w:rsid w:val="008739A4"/>
    <w:rsid w:val="00873E9E"/>
    <w:rsid w:val="00874103"/>
    <w:rsid w:val="00874542"/>
    <w:rsid w:val="008748CB"/>
    <w:rsid w:val="0087492D"/>
    <w:rsid w:val="00874980"/>
    <w:rsid w:val="00874D87"/>
    <w:rsid w:val="00874DF0"/>
    <w:rsid w:val="00874F08"/>
    <w:rsid w:val="00874FAF"/>
    <w:rsid w:val="00874FB5"/>
    <w:rsid w:val="00874FCC"/>
    <w:rsid w:val="00874FF7"/>
    <w:rsid w:val="0087507A"/>
    <w:rsid w:val="00875140"/>
    <w:rsid w:val="008751C5"/>
    <w:rsid w:val="0087567A"/>
    <w:rsid w:val="0087598A"/>
    <w:rsid w:val="00875DC0"/>
    <w:rsid w:val="00875DDD"/>
    <w:rsid w:val="00875E50"/>
    <w:rsid w:val="008760A5"/>
    <w:rsid w:val="0087639C"/>
    <w:rsid w:val="008764DB"/>
    <w:rsid w:val="00876C0F"/>
    <w:rsid w:val="00876E45"/>
    <w:rsid w:val="00876F17"/>
    <w:rsid w:val="0087701D"/>
    <w:rsid w:val="00877122"/>
    <w:rsid w:val="00877546"/>
    <w:rsid w:val="00877FB6"/>
    <w:rsid w:val="00877FF1"/>
    <w:rsid w:val="008803C4"/>
    <w:rsid w:val="008804F1"/>
    <w:rsid w:val="008804FD"/>
    <w:rsid w:val="00880951"/>
    <w:rsid w:val="00880A32"/>
    <w:rsid w:val="00880A37"/>
    <w:rsid w:val="00880B92"/>
    <w:rsid w:val="00880BB7"/>
    <w:rsid w:val="00880C36"/>
    <w:rsid w:val="00880FA1"/>
    <w:rsid w:val="00881230"/>
    <w:rsid w:val="008813D9"/>
    <w:rsid w:val="00881583"/>
    <w:rsid w:val="00881777"/>
    <w:rsid w:val="00881881"/>
    <w:rsid w:val="00881C9E"/>
    <w:rsid w:val="00881F82"/>
    <w:rsid w:val="00882190"/>
    <w:rsid w:val="008823E1"/>
    <w:rsid w:val="00882479"/>
    <w:rsid w:val="00882499"/>
    <w:rsid w:val="00882759"/>
    <w:rsid w:val="0088284E"/>
    <w:rsid w:val="0088288D"/>
    <w:rsid w:val="00882B91"/>
    <w:rsid w:val="00882BF4"/>
    <w:rsid w:val="00882E67"/>
    <w:rsid w:val="00882F51"/>
    <w:rsid w:val="00882FD0"/>
    <w:rsid w:val="00883503"/>
    <w:rsid w:val="00883693"/>
    <w:rsid w:val="00884175"/>
    <w:rsid w:val="00884484"/>
    <w:rsid w:val="008845B8"/>
    <w:rsid w:val="00884674"/>
    <w:rsid w:val="00884A90"/>
    <w:rsid w:val="00884C08"/>
    <w:rsid w:val="00885098"/>
    <w:rsid w:val="00885423"/>
    <w:rsid w:val="0088553C"/>
    <w:rsid w:val="0088598E"/>
    <w:rsid w:val="0088601D"/>
    <w:rsid w:val="00886099"/>
    <w:rsid w:val="0088629C"/>
    <w:rsid w:val="00886834"/>
    <w:rsid w:val="00886A35"/>
    <w:rsid w:val="00886B20"/>
    <w:rsid w:val="00886C21"/>
    <w:rsid w:val="00886D93"/>
    <w:rsid w:val="008872B2"/>
    <w:rsid w:val="008875F1"/>
    <w:rsid w:val="00887892"/>
    <w:rsid w:val="00887908"/>
    <w:rsid w:val="008879D9"/>
    <w:rsid w:val="00887C5E"/>
    <w:rsid w:val="008903FC"/>
    <w:rsid w:val="008908BB"/>
    <w:rsid w:val="0089092D"/>
    <w:rsid w:val="00890A19"/>
    <w:rsid w:val="00890E48"/>
    <w:rsid w:val="008910C3"/>
    <w:rsid w:val="00891704"/>
    <w:rsid w:val="00891C71"/>
    <w:rsid w:val="00891E06"/>
    <w:rsid w:val="00891FAA"/>
    <w:rsid w:val="008920A5"/>
    <w:rsid w:val="0089212C"/>
    <w:rsid w:val="00892A3E"/>
    <w:rsid w:val="00892A77"/>
    <w:rsid w:val="00892C63"/>
    <w:rsid w:val="00892C72"/>
    <w:rsid w:val="00893496"/>
    <w:rsid w:val="008934B8"/>
    <w:rsid w:val="0089351C"/>
    <w:rsid w:val="00893540"/>
    <w:rsid w:val="008937DE"/>
    <w:rsid w:val="0089385B"/>
    <w:rsid w:val="00893B40"/>
    <w:rsid w:val="00893C6F"/>
    <w:rsid w:val="00893E98"/>
    <w:rsid w:val="00893FC6"/>
    <w:rsid w:val="008941B6"/>
    <w:rsid w:val="00894286"/>
    <w:rsid w:val="0089498D"/>
    <w:rsid w:val="00894C6C"/>
    <w:rsid w:val="00894E4F"/>
    <w:rsid w:val="00895504"/>
    <w:rsid w:val="0089584C"/>
    <w:rsid w:val="00895C3F"/>
    <w:rsid w:val="00895D40"/>
    <w:rsid w:val="008968B4"/>
    <w:rsid w:val="00896AB0"/>
    <w:rsid w:val="00896C5C"/>
    <w:rsid w:val="00896E8D"/>
    <w:rsid w:val="008971DB"/>
    <w:rsid w:val="0089726A"/>
    <w:rsid w:val="008976FB"/>
    <w:rsid w:val="00897A5D"/>
    <w:rsid w:val="00897FCD"/>
    <w:rsid w:val="008A0219"/>
    <w:rsid w:val="008A021A"/>
    <w:rsid w:val="008A0418"/>
    <w:rsid w:val="008A049E"/>
    <w:rsid w:val="008A0AFC"/>
    <w:rsid w:val="008A1158"/>
    <w:rsid w:val="008A1507"/>
    <w:rsid w:val="008A15BA"/>
    <w:rsid w:val="008A19E9"/>
    <w:rsid w:val="008A1CBD"/>
    <w:rsid w:val="008A2060"/>
    <w:rsid w:val="008A20A9"/>
    <w:rsid w:val="008A2362"/>
    <w:rsid w:val="008A24DE"/>
    <w:rsid w:val="008A265A"/>
    <w:rsid w:val="008A27DE"/>
    <w:rsid w:val="008A2854"/>
    <w:rsid w:val="008A2900"/>
    <w:rsid w:val="008A2A99"/>
    <w:rsid w:val="008A2B03"/>
    <w:rsid w:val="008A3592"/>
    <w:rsid w:val="008A35E0"/>
    <w:rsid w:val="008A36F6"/>
    <w:rsid w:val="008A386F"/>
    <w:rsid w:val="008A3E59"/>
    <w:rsid w:val="008A3E99"/>
    <w:rsid w:val="008A426A"/>
    <w:rsid w:val="008A4C50"/>
    <w:rsid w:val="008A4D91"/>
    <w:rsid w:val="008A4F1E"/>
    <w:rsid w:val="008A5139"/>
    <w:rsid w:val="008A57C4"/>
    <w:rsid w:val="008A5B08"/>
    <w:rsid w:val="008A5C39"/>
    <w:rsid w:val="008A5CB3"/>
    <w:rsid w:val="008A5CB6"/>
    <w:rsid w:val="008A5CCF"/>
    <w:rsid w:val="008A5CD6"/>
    <w:rsid w:val="008A6767"/>
    <w:rsid w:val="008A6981"/>
    <w:rsid w:val="008A6ACE"/>
    <w:rsid w:val="008A6C68"/>
    <w:rsid w:val="008A6DDE"/>
    <w:rsid w:val="008A7008"/>
    <w:rsid w:val="008A7148"/>
    <w:rsid w:val="008A7245"/>
    <w:rsid w:val="008A7402"/>
    <w:rsid w:val="008A7724"/>
    <w:rsid w:val="008A7907"/>
    <w:rsid w:val="008A7DAE"/>
    <w:rsid w:val="008A7E44"/>
    <w:rsid w:val="008B03BD"/>
    <w:rsid w:val="008B050C"/>
    <w:rsid w:val="008B0D28"/>
    <w:rsid w:val="008B0E25"/>
    <w:rsid w:val="008B0FCE"/>
    <w:rsid w:val="008B1071"/>
    <w:rsid w:val="008B10A6"/>
    <w:rsid w:val="008B1179"/>
    <w:rsid w:val="008B1238"/>
    <w:rsid w:val="008B12BB"/>
    <w:rsid w:val="008B1408"/>
    <w:rsid w:val="008B1591"/>
    <w:rsid w:val="008B168B"/>
    <w:rsid w:val="008B1E8D"/>
    <w:rsid w:val="008B24B6"/>
    <w:rsid w:val="008B26D1"/>
    <w:rsid w:val="008B29F4"/>
    <w:rsid w:val="008B2C9A"/>
    <w:rsid w:val="008B2DEF"/>
    <w:rsid w:val="008B2DF8"/>
    <w:rsid w:val="008B3389"/>
    <w:rsid w:val="008B3396"/>
    <w:rsid w:val="008B34D1"/>
    <w:rsid w:val="008B354F"/>
    <w:rsid w:val="008B390B"/>
    <w:rsid w:val="008B3F2D"/>
    <w:rsid w:val="008B42FE"/>
    <w:rsid w:val="008B43F2"/>
    <w:rsid w:val="008B449B"/>
    <w:rsid w:val="008B44A6"/>
    <w:rsid w:val="008B455B"/>
    <w:rsid w:val="008B4685"/>
    <w:rsid w:val="008B47F8"/>
    <w:rsid w:val="008B4818"/>
    <w:rsid w:val="008B4889"/>
    <w:rsid w:val="008B48FD"/>
    <w:rsid w:val="008B50B3"/>
    <w:rsid w:val="008B530B"/>
    <w:rsid w:val="008B53C1"/>
    <w:rsid w:val="008B56F3"/>
    <w:rsid w:val="008B5AA4"/>
    <w:rsid w:val="008B6082"/>
    <w:rsid w:val="008B61EF"/>
    <w:rsid w:val="008B6215"/>
    <w:rsid w:val="008B624D"/>
    <w:rsid w:val="008B6414"/>
    <w:rsid w:val="008B684F"/>
    <w:rsid w:val="008B6902"/>
    <w:rsid w:val="008B6B25"/>
    <w:rsid w:val="008B73BC"/>
    <w:rsid w:val="008B7436"/>
    <w:rsid w:val="008B770C"/>
    <w:rsid w:val="008B79FC"/>
    <w:rsid w:val="008B7C91"/>
    <w:rsid w:val="008B7E76"/>
    <w:rsid w:val="008B7EE8"/>
    <w:rsid w:val="008B7F2D"/>
    <w:rsid w:val="008C0371"/>
    <w:rsid w:val="008C0555"/>
    <w:rsid w:val="008C0943"/>
    <w:rsid w:val="008C09FB"/>
    <w:rsid w:val="008C0AF1"/>
    <w:rsid w:val="008C0F5C"/>
    <w:rsid w:val="008C11A5"/>
    <w:rsid w:val="008C19B2"/>
    <w:rsid w:val="008C1F5B"/>
    <w:rsid w:val="008C1FEB"/>
    <w:rsid w:val="008C221A"/>
    <w:rsid w:val="008C25BC"/>
    <w:rsid w:val="008C28BC"/>
    <w:rsid w:val="008C28C3"/>
    <w:rsid w:val="008C2932"/>
    <w:rsid w:val="008C29B5"/>
    <w:rsid w:val="008C2D39"/>
    <w:rsid w:val="008C2EA3"/>
    <w:rsid w:val="008C3626"/>
    <w:rsid w:val="008C3693"/>
    <w:rsid w:val="008C36F9"/>
    <w:rsid w:val="008C3768"/>
    <w:rsid w:val="008C3CD3"/>
    <w:rsid w:val="008C3DEC"/>
    <w:rsid w:val="008C3EBD"/>
    <w:rsid w:val="008C3F18"/>
    <w:rsid w:val="008C4013"/>
    <w:rsid w:val="008C47A6"/>
    <w:rsid w:val="008C4AB8"/>
    <w:rsid w:val="008C4B15"/>
    <w:rsid w:val="008C4BD3"/>
    <w:rsid w:val="008C5449"/>
    <w:rsid w:val="008C58D7"/>
    <w:rsid w:val="008C5B3A"/>
    <w:rsid w:val="008C60C9"/>
    <w:rsid w:val="008C6586"/>
    <w:rsid w:val="008C6863"/>
    <w:rsid w:val="008C6AFF"/>
    <w:rsid w:val="008C6F58"/>
    <w:rsid w:val="008C6FA7"/>
    <w:rsid w:val="008C7045"/>
    <w:rsid w:val="008C7081"/>
    <w:rsid w:val="008C756D"/>
    <w:rsid w:val="008C7621"/>
    <w:rsid w:val="008C777F"/>
    <w:rsid w:val="008C7825"/>
    <w:rsid w:val="008C7CA0"/>
    <w:rsid w:val="008C7CB0"/>
    <w:rsid w:val="008C7F6F"/>
    <w:rsid w:val="008C7F89"/>
    <w:rsid w:val="008D00E2"/>
    <w:rsid w:val="008D050D"/>
    <w:rsid w:val="008D0699"/>
    <w:rsid w:val="008D074A"/>
    <w:rsid w:val="008D0952"/>
    <w:rsid w:val="008D0C2E"/>
    <w:rsid w:val="008D1392"/>
    <w:rsid w:val="008D13AF"/>
    <w:rsid w:val="008D143E"/>
    <w:rsid w:val="008D159D"/>
    <w:rsid w:val="008D1D45"/>
    <w:rsid w:val="008D2169"/>
    <w:rsid w:val="008D2185"/>
    <w:rsid w:val="008D2292"/>
    <w:rsid w:val="008D2641"/>
    <w:rsid w:val="008D2BCA"/>
    <w:rsid w:val="008D2CE3"/>
    <w:rsid w:val="008D315F"/>
    <w:rsid w:val="008D32A1"/>
    <w:rsid w:val="008D35DF"/>
    <w:rsid w:val="008D3E03"/>
    <w:rsid w:val="008D3EC0"/>
    <w:rsid w:val="008D408C"/>
    <w:rsid w:val="008D4092"/>
    <w:rsid w:val="008D41EA"/>
    <w:rsid w:val="008D4255"/>
    <w:rsid w:val="008D433A"/>
    <w:rsid w:val="008D4606"/>
    <w:rsid w:val="008D49DC"/>
    <w:rsid w:val="008D4AA7"/>
    <w:rsid w:val="008D4DCA"/>
    <w:rsid w:val="008D4EBB"/>
    <w:rsid w:val="008D4EFA"/>
    <w:rsid w:val="008D4F33"/>
    <w:rsid w:val="008D556D"/>
    <w:rsid w:val="008D590D"/>
    <w:rsid w:val="008D5BFC"/>
    <w:rsid w:val="008D5CC4"/>
    <w:rsid w:val="008D5CEF"/>
    <w:rsid w:val="008D5DEE"/>
    <w:rsid w:val="008D6646"/>
    <w:rsid w:val="008D66F4"/>
    <w:rsid w:val="008D68CD"/>
    <w:rsid w:val="008D68E7"/>
    <w:rsid w:val="008D6BDF"/>
    <w:rsid w:val="008D7311"/>
    <w:rsid w:val="008D7361"/>
    <w:rsid w:val="008D7560"/>
    <w:rsid w:val="008D79C3"/>
    <w:rsid w:val="008D7BAA"/>
    <w:rsid w:val="008D7BE5"/>
    <w:rsid w:val="008D7F52"/>
    <w:rsid w:val="008E0103"/>
    <w:rsid w:val="008E01A1"/>
    <w:rsid w:val="008E024B"/>
    <w:rsid w:val="008E07B3"/>
    <w:rsid w:val="008E0828"/>
    <w:rsid w:val="008E0845"/>
    <w:rsid w:val="008E0CE7"/>
    <w:rsid w:val="008E0E61"/>
    <w:rsid w:val="008E12B1"/>
    <w:rsid w:val="008E12C0"/>
    <w:rsid w:val="008E13AF"/>
    <w:rsid w:val="008E18F7"/>
    <w:rsid w:val="008E1AEF"/>
    <w:rsid w:val="008E1B24"/>
    <w:rsid w:val="008E1D2B"/>
    <w:rsid w:val="008E1F27"/>
    <w:rsid w:val="008E2190"/>
    <w:rsid w:val="008E2466"/>
    <w:rsid w:val="008E24A3"/>
    <w:rsid w:val="008E2B54"/>
    <w:rsid w:val="008E2BC9"/>
    <w:rsid w:val="008E343F"/>
    <w:rsid w:val="008E34D5"/>
    <w:rsid w:val="008E380E"/>
    <w:rsid w:val="008E3D25"/>
    <w:rsid w:val="008E3F33"/>
    <w:rsid w:val="008E406F"/>
    <w:rsid w:val="008E4222"/>
    <w:rsid w:val="008E48F8"/>
    <w:rsid w:val="008E4900"/>
    <w:rsid w:val="008E49A5"/>
    <w:rsid w:val="008E4EA8"/>
    <w:rsid w:val="008E5312"/>
    <w:rsid w:val="008E5627"/>
    <w:rsid w:val="008E5870"/>
    <w:rsid w:val="008E58B9"/>
    <w:rsid w:val="008E5924"/>
    <w:rsid w:val="008E5B9D"/>
    <w:rsid w:val="008E5BCC"/>
    <w:rsid w:val="008E6119"/>
    <w:rsid w:val="008E655E"/>
    <w:rsid w:val="008E6C8B"/>
    <w:rsid w:val="008E6E35"/>
    <w:rsid w:val="008E6F31"/>
    <w:rsid w:val="008E7406"/>
    <w:rsid w:val="008E74C2"/>
    <w:rsid w:val="008E761A"/>
    <w:rsid w:val="008E7774"/>
    <w:rsid w:val="008E77A5"/>
    <w:rsid w:val="008E7837"/>
    <w:rsid w:val="008E7B18"/>
    <w:rsid w:val="008E7D05"/>
    <w:rsid w:val="008F009D"/>
    <w:rsid w:val="008F0724"/>
    <w:rsid w:val="008F0730"/>
    <w:rsid w:val="008F093D"/>
    <w:rsid w:val="008F09E7"/>
    <w:rsid w:val="008F0A84"/>
    <w:rsid w:val="008F0D49"/>
    <w:rsid w:val="008F0D91"/>
    <w:rsid w:val="008F0FE7"/>
    <w:rsid w:val="008F14DA"/>
    <w:rsid w:val="008F18A6"/>
    <w:rsid w:val="008F18CD"/>
    <w:rsid w:val="008F18DF"/>
    <w:rsid w:val="008F198B"/>
    <w:rsid w:val="008F1BE3"/>
    <w:rsid w:val="008F1C33"/>
    <w:rsid w:val="008F1C4F"/>
    <w:rsid w:val="008F1E54"/>
    <w:rsid w:val="008F1E55"/>
    <w:rsid w:val="008F2417"/>
    <w:rsid w:val="008F2613"/>
    <w:rsid w:val="008F2759"/>
    <w:rsid w:val="008F28A0"/>
    <w:rsid w:val="008F2B81"/>
    <w:rsid w:val="008F2B94"/>
    <w:rsid w:val="008F2EC1"/>
    <w:rsid w:val="008F2F18"/>
    <w:rsid w:val="008F3147"/>
    <w:rsid w:val="008F3272"/>
    <w:rsid w:val="008F3376"/>
    <w:rsid w:val="008F3664"/>
    <w:rsid w:val="008F3677"/>
    <w:rsid w:val="008F37BD"/>
    <w:rsid w:val="008F396C"/>
    <w:rsid w:val="008F3BF4"/>
    <w:rsid w:val="008F40BE"/>
    <w:rsid w:val="008F45DE"/>
    <w:rsid w:val="008F4B76"/>
    <w:rsid w:val="008F5648"/>
    <w:rsid w:val="008F5757"/>
    <w:rsid w:val="008F5C19"/>
    <w:rsid w:val="008F5D79"/>
    <w:rsid w:val="008F5F4C"/>
    <w:rsid w:val="008F69B0"/>
    <w:rsid w:val="008F6C96"/>
    <w:rsid w:val="008F6F3C"/>
    <w:rsid w:val="008F71AC"/>
    <w:rsid w:val="008F749B"/>
    <w:rsid w:val="008F76F3"/>
    <w:rsid w:val="008F7B09"/>
    <w:rsid w:val="008F7BC1"/>
    <w:rsid w:val="008F7F52"/>
    <w:rsid w:val="008F7F7A"/>
    <w:rsid w:val="0090005F"/>
    <w:rsid w:val="009002B2"/>
    <w:rsid w:val="0090055B"/>
    <w:rsid w:val="009006C6"/>
    <w:rsid w:val="0090080E"/>
    <w:rsid w:val="009008A0"/>
    <w:rsid w:val="009008E1"/>
    <w:rsid w:val="00900909"/>
    <w:rsid w:val="0090097D"/>
    <w:rsid w:val="00900AEF"/>
    <w:rsid w:val="00900B7E"/>
    <w:rsid w:val="00900E22"/>
    <w:rsid w:val="00900ED4"/>
    <w:rsid w:val="00901157"/>
    <w:rsid w:val="009015C8"/>
    <w:rsid w:val="00901E5A"/>
    <w:rsid w:val="009029B5"/>
    <w:rsid w:val="00902AEF"/>
    <w:rsid w:val="00902BE6"/>
    <w:rsid w:val="00902C71"/>
    <w:rsid w:val="00902D99"/>
    <w:rsid w:val="00902F8F"/>
    <w:rsid w:val="0090323B"/>
    <w:rsid w:val="009032FF"/>
    <w:rsid w:val="009037B6"/>
    <w:rsid w:val="009038CB"/>
    <w:rsid w:val="00903A79"/>
    <w:rsid w:val="00903C5B"/>
    <w:rsid w:val="00903DB5"/>
    <w:rsid w:val="00903DC1"/>
    <w:rsid w:val="00903E88"/>
    <w:rsid w:val="00903EC0"/>
    <w:rsid w:val="0090402C"/>
    <w:rsid w:val="00904083"/>
    <w:rsid w:val="0090437C"/>
    <w:rsid w:val="00904486"/>
    <w:rsid w:val="009044B4"/>
    <w:rsid w:val="00904515"/>
    <w:rsid w:val="0090466F"/>
    <w:rsid w:val="0090471C"/>
    <w:rsid w:val="009047EC"/>
    <w:rsid w:val="00904B77"/>
    <w:rsid w:val="00904C43"/>
    <w:rsid w:val="00904D26"/>
    <w:rsid w:val="00904E0A"/>
    <w:rsid w:val="00904E69"/>
    <w:rsid w:val="0090518A"/>
    <w:rsid w:val="009054D2"/>
    <w:rsid w:val="00905684"/>
    <w:rsid w:val="009057C0"/>
    <w:rsid w:val="00905FEE"/>
    <w:rsid w:val="009061DB"/>
    <w:rsid w:val="009063FE"/>
    <w:rsid w:val="009064B5"/>
    <w:rsid w:val="009067DD"/>
    <w:rsid w:val="009068BC"/>
    <w:rsid w:val="009068F2"/>
    <w:rsid w:val="00906A80"/>
    <w:rsid w:val="00906B37"/>
    <w:rsid w:val="00906CE2"/>
    <w:rsid w:val="00906E8D"/>
    <w:rsid w:val="009073F8"/>
    <w:rsid w:val="00907658"/>
    <w:rsid w:val="00907751"/>
    <w:rsid w:val="0090798A"/>
    <w:rsid w:val="00907B2D"/>
    <w:rsid w:val="00907E30"/>
    <w:rsid w:val="009100E0"/>
    <w:rsid w:val="009102DC"/>
    <w:rsid w:val="00910555"/>
    <w:rsid w:val="00910EF6"/>
    <w:rsid w:val="009110F1"/>
    <w:rsid w:val="00911367"/>
    <w:rsid w:val="009114DA"/>
    <w:rsid w:val="009115FA"/>
    <w:rsid w:val="0091198A"/>
    <w:rsid w:val="00911BAA"/>
    <w:rsid w:val="00911C0D"/>
    <w:rsid w:val="00911C20"/>
    <w:rsid w:val="00911CEF"/>
    <w:rsid w:val="00912324"/>
    <w:rsid w:val="0091236A"/>
    <w:rsid w:val="009123C4"/>
    <w:rsid w:val="0091259F"/>
    <w:rsid w:val="009126A0"/>
    <w:rsid w:val="009128E1"/>
    <w:rsid w:val="00912CA5"/>
    <w:rsid w:val="00912E8D"/>
    <w:rsid w:val="009130E2"/>
    <w:rsid w:val="009131B2"/>
    <w:rsid w:val="009137EB"/>
    <w:rsid w:val="009142AE"/>
    <w:rsid w:val="009149DA"/>
    <w:rsid w:val="00914B14"/>
    <w:rsid w:val="00914B30"/>
    <w:rsid w:val="0091558F"/>
    <w:rsid w:val="00915627"/>
    <w:rsid w:val="009159EF"/>
    <w:rsid w:val="00915A7A"/>
    <w:rsid w:val="00916127"/>
    <w:rsid w:val="009162CE"/>
    <w:rsid w:val="009164FE"/>
    <w:rsid w:val="00916775"/>
    <w:rsid w:val="009168C9"/>
    <w:rsid w:val="00916B70"/>
    <w:rsid w:val="00916E99"/>
    <w:rsid w:val="00917608"/>
    <w:rsid w:val="0091763B"/>
    <w:rsid w:val="00917812"/>
    <w:rsid w:val="00917822"/>
    <w:rsid w:val="0091799D"/>
    <w:rsid w:val="00917AE7"/>
    <w:rsid w:val="00920111"/>
    <w:rsid w:val="00920402"/>
    <w:rsid w:val="0092063E"/>
    <w:rsid w:val="009206E8"/>
    <w:rsid w:val="00920919"/>
    <w:rsid w:val="00920D03"/>
    <w:rsid w:val="00920E24"/>
    <w:rsid w:val="00920FD7"/>
    <w:rsid w:val="009211FE"/>
    <w:rsid w:val="00921332"/>
    <w:rsid w:val="0092139A"/>
    <w:rsid w:val="009216A3"/>
    <w:rsid w:val="00921AA0"/>
    <w:rsid w:val="00922022"/>
    <w:rsid w:val="00922188"/>
    <w:rsid w:val="00922467"/>
    <w:rsid w:val="00922565"/>
    <w:rsid w:val="00922996"/>
    <w:rsid w:val="00922F6F"/>
    <w:rsid w:val="00923037"/>
    <w:rsid w:val="0092304A"/>
    <w:rsid w:val="0092334E"/>
    <w:rsid w:val="00923497"/>
    <w:rsid w:val="00923591"/>
    <w:rsid w:val="009235DB"/>
    <w:rsid w:val="009236EE"/>
    <w:rsid w:val="0092406C"/>
    <w:rsid w:val="009240CE"/>
    <w:rsid w:val="00924188"/>
    <w:rsid w:val="009247ED"/>
    <w:rsid w:val="00924CA4"/>
    <w:rsid w:val="0092502C"/>
    <w:rsid w:val="009250DF"/>
    <w:rsid w:val="009250E2"/>
    <w:rsid w:val="0092512F"/>
    <w:rsid w:val="009252BF"/>
    <w:rsid w:val="0092531E"/>
    <w:rsid w:val="00925821"/>
    <w:rsid w:val="009258B1"/>
    <w:rsid w:val="009258EA"/>
    <w:rsid w:val="00925A04"/>
    <w:rsid w:val="00925C4D"/>
    <w:rsid w:val="00925DCA"/>
    <w:rsid w:val="00925EB3"/>
    <w:rsid w:val="00925ECD"/>
    <w:rsid w:val="00926270"/>
    <w:rsid w:val="00926369"/>
    <w:rsid w:val="0092648D"/>
    <w:rsid w:val="0092694F"/>
    <w:rsid w:val="00926CEA"/>
    <w:rsid w:val="00926FA7"/>
    <w:rsid w:val="009270EE"/>
    <w:rsid w:val="00927359"/>
    <w:rsid w:val="009275C9"/>
    <w:rsid w:val="009275F3"/>
    <w:rsid w:val="00927C06"/>
    <w:rsid w:val="0093039B"/>
    <w:rsid w:val="0093046E"/>
    <w:rsid w:val="009304D5"/>
    <w:rsid w:val="00930555"/>
    <w:rsid w:val="009307D5"/>
    <w:rsid w:val="009309F5"/>
    <w:rsid w:val="00930A1E"/>
    <w:rsid w:val="00930C3B"/>
    <w:rsid w:val="00930E8C"/>
    <w:rsid w:val="00931502"/>
    <w:rsid w:val="00931B95"/>
    <w:rsid w:val="00932023"/>
    <w:rsid w:val="0093212A"/>
    <w:rsid w:val="0093225D"/>
    <w:rsid w:val="009323D8"/>
    <w:rsid w:val="009325D7"/>
    <w:rsid w:val="0093269C"/>
    <w:rsid w:val="009326F7"/>
    <w:rsid w:val="00932824"/>
    <w:rsid w:val="00932F68"/>
    <w:rsid w:val="009330C0"/>
    <w:rsid w:val="00933906"/>
    <w:rsid w:val="0093392A"/>
    <w:rsid w:val="0093426B"/>
    <w:rsid w:val="00934C4F"/>
    <w:rsid w:val="00934C85"/>
    <w:rsid w:val="00934D4D"/>
    <w:rsid w:val="00934DE8"/>
    <w:rsid w:val="009351D7"/>
    <w:rsid w:val="00935482"/>
    <w:rsid w:val="00935511"/>
    <w:rsid w:val="00935750"/>
    <w:rsid w:val="00935824"/>
    <w:rsid w:val="009358BC"/>
    <w:rsid w:val="00935C20"/>
    <w:rsid w:val="00935C51"/>
    <w:rsid w:val="00935D30"/>
    <w:rsid w:val="00935D74"/>
    <w:rsid w:val="00935F52"/>
    <w:rsid w:val="009360E5"/>
    <w:rsid w:val="009361A3"/>
    <w:rsid w:val="0093639B"/>
    <w:rsid w:val="009363DE"/>
    <w:rsid w:val="009367CC"/>
    <w:rsid w:val="00936835"/>
    <w:rsid w:val="00936886"/>
    <w:rsid w:val="00936C1A"/>
    <w:rsid w:val="00936F94"/>
    <w:rsid w:val="009370AD"/>
    <w:rsid w:val="00937660"/>
    <w:rsid w:val="009376E9"/>
    <w:rsid w:val="0093783B"/>
    <w:rsid w:val="0093785A"/>
    <w:rsid w:val="009378F4"/>
    <w:rsid w:val="00937E5A"/>
    <w:rsid w:val="00937EB1"/>
    <w:rsid w:val="00937ECE"/>
    <w:rsid w:val="00937F05"/>
    <w:rsid w:val="0094001F"/>
    <w:rsid w:val="00940344"/>
    <w:rsid w:val="00940400"/>
    <w:rsid w:val="00940489"/>
    <w:rsid w:val="009404DF"/>
    <w:rsid w:val="009404F9"/>
    <w:rsid w:val="009406C3"/>
    <w:rsid w:val="009407E0"/>
    <w:rsid w:val="00940995"/>
    <w:rsid w:val="00940BBC"/>
    <w:rsid w:val="00940E62"/>
    <w:rsid w:val="00940E80"/>
    <w:rsid w:val="0094119E"/>
    <w:rsid w:val="0094139D"/>
    <w:rsid w:val="009414D0"/>
    <w:rsid w:val="009414E3"/>
    <w:rsid w:val="00941524"/>
    <w:rsid w:val="009419F9"/>
    <w:rsid w:val="00941DA9"/>
    <w:rsid w:val="009420ED"/>
    <w:rsid w:val="009421E3"/>
    <w:rsid w:val="00942379"/>
    <w:rsid w:val="00942444"/>
    <w:rsid w:val="009428B5"/>
    <w:rsid w:val="00942A76"/>
    <w:rsid w:val="00942A7E"/>
    <w:rsid w:val="00942F1E"/>
    <w:rsid w:val="009431CD"/>
    <w:rsid w:val="0094345D"/>
    <w:rsid w:val="009436AE"/>
    <w:rsid w:val="00943903"/>
    <w:rsid w:val="009439D1"/>
    <w:rsid w:val="00943D9C"/>
    <w:rsid w:val="00943DC7"/>
    <w:rsid w:val="00943E6F"/>
    <w:rsid w:val="00943F08"/>
    <w:rsid w:val="009441D4"/>
    <w:rsid w:val="00944230"/>
    <w:rsid w:val="0094455A"/>
    <w:rsid w:val="009446B4"/>
    <w:rsid w:val="009446B7"/>
    <w:rsid w:val="00944BD7"/>
    <w:rsid w:val="00944C6D"/>
    <w:rsid w:val="00944D9B"/>
    <w:rsid w:val="00945129"/>
    <w:rsid w:val="009459C4"/>
    <w:rsid w:val="009460D4"/>
    <w:rsid w:val="00946151"/>
    <w:rsid w:val="009463A5"/>
    <w:rsid w:val="009463B7"/>
    <w:rsid w:val="009464ED"/>
    <w:rsid w:val="009466AE"/>
    <w:rsid w:val="009468E2"/>
    <w:rsid w:val="00946A4C"/>
    <w:rsid w:val="00946D79"/>
    <w:rsid w:val="009470D3"/>
    <w:rsid w:val="00947321"/>
    <w:rsid w:val="0094758C"/>
    <w:rsid w:val="009475B0"/>
    <w:rsid w:val="00947714"/>
    <w:rsid w:val="00947832"/>
    <w:rsid w:val="009479B4"/>
    <w:rsid w:val="00947A66"/>
    <w:rsid w:val="00947AD7"/>
    <w:rsid w:val="00947D4A"/>
    <w:rsid w:val="00947E73"/>
    <w:rsid w:val="00947EAA"/>
    <w:rsid w:val="009500A1"/>
    <w:rsid w:val="009501B6"/>
    <w:rsid w:val="009502F9"/>
    <w:rsid w:val="00950502"/>
    <w:rsid w:val="009509A9"/>
    <w:rsid w:val="00950AA1"/>
    <w:rsid w:val="00950BDB"/>
    <w:rsid w:val="00950C24"/>
    <w:rsid w:val="00950C96"/>
    <w:rsid w:val="00950E4B"/>
    <w:rsid w:val="0095101A"/>
    <w:rsid w:val="009512E8"/>
    <w:rsid w:val="00951899"/>
    <w:rsid w:val="009519E4"/>
    <w:rsid w:val="00951E39"/>
    <w:rsid w:val="00951FF7"/>
    <w:rsid w:val="009521CF"/>
    <w:rsid w:val="00952631"/>
    <w:rsid w:val="0095283D"/>
    <w:rsid w:val="009528E9"/>
    <w:rsid w:val="00952E9F"/>
    <w:rsid w:val="009539C9"/>
    <w:rsid w:val="00953AF2"/>
    <w:rsid w:val="00953B3E"/>
    <w:rsid w:val="00953EDD"/>
    <w:rsid w:val="00953F61"/>
    <w:rsid w:val="009540E2"/>
    <w:rsid w:val="00954837"/>
    <w:rsid w:val="00954C14"/>
    <w:rsid w:val="00954C44"/>
    <w:rsid w:val="00954D4F"/>
    <w:rsid w:val="00955183"/>
    <w:rsid w:val="00955360"/>
    <w:rsid w:val="00955488"/>
    <w:rsid w:val="009554BC"/>
    <w:rsid w:val="00955620"/>
    <w:rsid w:val="00955AE1"/>
    <w:rsid w:val="00955C1B"/>
    <w:rsid w:val="00956369"/>
    <w:rsid w:val="00956554"/>
    <w:rsid w:val="00956651"/>
    <w:rsid w:val="009567A9"/>
    <w:rsid w:val="00956B2C"/>
    <w:rsid w:val="00957C81"/>
    <w:rsid w:val="00957D50"/>
    <w:rsid w:val="00957EDC"/>
    <w:rsid w:val="00960193"/>
    <w:rsid w:val="009604C4"/>
    <w:rsid w:val="009604DA"/>
    <w:rsid w:val="009606B7"/>
    <w:rsid w:val="009607C4"/>
    <w:rsid w:val="00960A59"/>
    <w:rsid w:val="00960E6E"/>
    <w:rsid w:val="00960ECE"/>
    <w:rsid w:val="0096100E"/>
    <w:rsid w:val="009610FF"/>
    <w:rsid w:val="009611F6"/>
    <w:rsid w:val="009612B2"/>
    <w:rsid w:val="0096153E"/>
    <w:rsid w:val="00961813"/>
    <w:rsid w:val="00961AAE"/>
    <w:rsid w:val="00961AEA"/>
    <w:rsid w:val="00961DCB"/>
    <w:rsid w:val="00961EA2"/>
    <w:rsid w:val="00962056"/>
    <w:rsid w:val="009622AA"/>
    <w:rsid w:val="00962478"/>
    <w:rsid w:val="009624C5"/>
    <w:rsid w:val="0096261F"/>
    <w:rsid w:val="00962B35"/>
    <w:rsid w:val="00962D7D"/>
    <w:rsid w:val="00962E52"/>
    <w:rsid w:val="00962E92"/>
    <w:rsid w:val="009634AB"/>
    <w:rsid w:val="009635BE"/>
    <w:rsid w:val="00963711"/>
    <w:rsid w:val="009638DB"/>
    <w:rsid w:val="009641C1"/>
    <w:rsid w:val="009644DD"/>
    <w:rsid w:val="00964769"/>
    <w:rsid w:val="009647F9"/>
    <w:rsid w:val="00964800"/>
    <w:rsid w:val="009648DD"/>
    <w:rsid w:val="00964A7C"/>
    <w:rsid w:val="00964B71"/>
    <w:rsid w:val="00964D13"/>
    <w:rsid w:val="00965136"/>
    <w:rsid w:val="0096545A"/>
    <w:rsid w:val="009657C6"/>
    <w:rsid w:val="00965AFF"/>
    <w:rsid w:val="00965B2E"/>
    <w:rsid w:val="00965C9E"/>
    <w:rsid w:val="00965D97"/>
    <w:rsid w:val="00965DBE"/>
    <w:rsid w:val="009660C6"/>
    <w:rsid w:val="00966388"/>
    <w:rsid w:val="00966438"/>
    <w:rsid w:val="009665A7"/>
    <w:rsid w:val="00966967"/>
    <w:rsid w:val="00966A63"/>
    <w:rsid w:val="00966AA5"/>
    <w:rsid w:val="00966B0E"/>
    <w:rsid w:val="00966BAF"/>
    <w:rsid w:val="0096708B"/>
    <w:rsid w:val="0096719C"/>
    <w:rsid w:val="0096747B"/>
    <w:rsid w:val="00967B60"/>
    <w:rsid w:val="00967BD3"/>
    <w:rsid w:val="00967BF1"/>
    <w:rsid w:val="00967E6A"/>
    <w:rsid w:val="00967FEC"/>
    <w:rsid w:val="009700E3"/>
    <w:rsid w:val="00970982"/>
    <w:rsid w:val="00970DA5"/>
    <w:rsid w:val="009710C7"/>
    <w:rsid w:val="0097169B"/>
    <w:rsid w:val="009716EA"/>
    <w:rsid w:val="00972072"/>
    <w:rsid w:val="00972228"/>
    <w:rsid w:val="009722E2"/>
    <w:rsid w:val="009726A7"/>
    <w:rsid w:val="00972889"/>
    <w:rsid w:val="00972AD8"/>
    <w:rsid w:val="00972CD7"/>
    <w:rsid w:val="00972F49"/>
    <w:rsid w:val="00972FC6"/>
    <w:rsid w:val="009733BD"/>
    <w:rsid w:val="00973834"/>
    <w:rsid w:val="00973AC4"/>
    <w:rsid w:val="00973C7E"/>
    <w:rsid w:val="00973EE1"/>
    <w:rsid w:val="0097404B"/>
    <w:rsid w:val="009741AA"/>
    <w:rsid w:val="009743F7"/>
    <w:rsid w:val="00974900"/>
    <w:rsid w:val="00974C65"/>
    <w:rsid w:val="00974DEA"/>
    <w:rsid w:val="00974DFB"/>
    <w:rsid w:val="00974F91"/>
    <w:rsid w:val="00975145"/>
    <w:rsid w:val="00975266"/>
    <w:rsid w:val="00975525"/>
    <w:rsid w:val="00975619"/>
    <w:rsid w:val="00975862"/>
    <w:rsid w:val="0097586A"/>
    <w:rsid w:val="00975A2C"/>
    <w:rsid w:val="00975B8A"/>
    <w:rsid w:val="00975EC4"/>
    <w:rsid w:val="009763A5"/>
    <w:rsid w:val="00976A40"/>
    <w:rsid w:val="00976A87"/>
    <w:rsid w:val="00977553"/>
    <w:rsid w:val="00977879"/>
    <w:rsid w:val="00977BFD"/>
    <w:rsid w:val="00977CDB"/>
    <w:rsid w:val="00977FBD"/>
    <w:rsid w:val="00980080"/>
    <w:rsid w:val="009804C9"/>
    <w:rsid w:val="00980506"/>
    <w:rsid w:val="009805FF"/>
    <w:rsid w:val="00980C7C"/>
    <w:rsid w:val="00980D2E"/>
    <w:rsid w:val="00980D5A"/>
    <w:rsid w:val="00980EF9"/>
    <w:rsid w:val="0098152B"/>
    <w:rsid w:val="0098182B"/>
    <w:rsid w:val="009818EC"/>
    <w:rsid w:val="00981993"/>
    <w:rsid w:val="009819CF"/>
    <w:rsid w:val="00981E37"/>
    <w:rsid w:val="00981E9D"/>
    <w:rsid w:val="0098214B"/>
    <w:rsid w:val="00982286"/>
    <w:rsid w:val="0098229A"/>
    <w:rsid w:val="009822AA"/>
    <w:rsid w:val="00982529"/>
    <w:rsid w:val="009829BA"/>
    <w:rsid w:val="00983733"/>
    <w:rsid w:val="0098377B"/>
    <w:rsid w:val="00983A21"/>
    <w:rsid w:val="00983E08"/>
    <w:rsid w:val="00984125"/>
    <w:rsid w:val="00984294"/>
    <w:rsid w:val="00984660"/>
    <w:rsid w:val="00984787"/>
    <w:rsid w:val="009847DD"/>
    <w:rsid w:val="009849DA"/>
    <w:rsid w:val="00984DB1"/>
    <w:rsid w:val="00984E74"/>
    <w:rsid w:val="00985007"/>
    <w:rsid w:val="00985059"/>
    <w:rsid w:val="00985248"/>
    <w:rsid w:val="00985473"/>
    <w:rsid w:val="00985500"/>
    <w:rsid w:val="0098553C"/>
    <w:rsid w:val="00985548"/>
    <w:rsid w:val="00985EDF"/>
    <w:rsid w:val="0098615E"/>
    <w:rsid w:val="009863C2"/>
    <w:rsid w:val="00986572"/>
    <w:rsid w:val="009865C2"/>
    <w:rsid w:val="00986965"/>
    <w:rsid w:val="00986AFE"/>
    <w:rsid w:val="00986B03"/>
    <w:rsid w:val="00986B40"/>
    <w:rsid w:val="00986B9D"/>
    <w:rsid w:val="00986F0B"/>
    <w:rsid w:val="00986F49"/>
    <w:rsid w:val="0098713E"/>
    <w:rsid w:val="00987238"/>
    <w:rsid w:val="00987622"/>
    <w:rsid w:val="009878B7"/>
    <w:rsid w:val="00987B8E"/>
    <w:rsid w:val="00987E69"/>
    <w:rsid w:val="009902DA"/>
    <w:rsid w:val="00990313"/>
    <w:rsid w:val="00990959"/>
    <w:rsid w:val="009909B5"/>
    <w:rsid w:val="00990A9C"/>
    <w:rsid w:val="00990B11"/>
    <w:rsid w:val="00990CB6"/>
    <w:rsid w:val="00991087"/>
    <w:rsid w:val="00991107"/>
    <w:rsid w:val="009911EF"/>
    <w:rsid w:val="009916E1"/>
    <w:rsid w:val="00991850"/>
    <w:rsid w:val="00991B3D"/>
    <w:rsid w:val="00991FA5"/>
    <w:rsid w:val="00992324"/>
    <w:rsid w:val="0099264E"/>
    <w:rsid w:val="00992951"/>
    <w:rsid w:val="00992B76"/>
    <w:rsid w:val="00992CF3"/>
    <w:rsid w:val="00992DA9"/>
    <w:rsid w:val="00992E0C"/>
    <w:rsid w:val="00993166"/>
    <w:rsid w:val="00993272"/>
    <w:rsid w:val="009936D9"/>
    <w:rsid w:val="00993A24"/>
    <w:rsid w:val="00993A4B"/>
    <w:rsid w:val="00993AF0"/>
    <w:rsid w:val="00993FF6"/>
    <w:rsid w:val="0099420C"/>
    <w:rsid w:val="00994235"/>
    <w:rsid w:val="00994752"/>
    <w:rsid w:val="0099497E"/>
    <w:rsid w:val="00994EDD"/>
    <w:rsid w:val="0099530F"/>
    <w:rsid w:val="00995343"/>
    <w:rsid w:val="009956EB"/>
    <w:rsid w:val="00995A0F"/>
    <w:rsid w:val="00995CE9"/>
    <w:rsid w:val="0099622F"/>
    <w:rsid w:val="00996274"/>
    <w:rsid w:val="009962E2"/>
    <w:rsid w:val="00996468"/>
    <w:rsid w:val="009966CA"/>
    <w:rsid w:val="009966ED"/>
    <w:rsid w:val="00996D2E"/>
    <w:rsid w:val="00996F10"/>
    <w:rsid w:val="0099718A"/>
    <w:rsid w:val="0099723D"/>
    <w:rsid w:val="009972A2"/>
    <w:rsid w:val="0099733D"/>
    <w:rsid w:val="00997485"/>
    <w:rsid w:val="009974F2"/>
    <w:rsid w:val="009976DE"/>
    <w:rsid w:val="009A047D"/>
    <w:rsid w:val="009A08FD"/>
    <w:rsid w:val="009A0CA3"/>
    <w:rsid w:val="009A1045"/>
    <w:rsid w:val="009A1710"/>
    <w:rsid w:val="009A1A82"/>
    <w:rsid w:val="009A1CB4"/>
    <w:rsid w:val="009A1EDA"/>
    <w:rsid w:val="009A1F85"/>
    <w:rsid w:val="009A21BC"/>
    <w:rsid w:val="009A221C"/>
    <w:rsid w:val="009A223C"/>
    <w:rsid w:val="009A2A18"/>
    <w:rsid w:val="009A303A"/>
    <w:rsid w:val="009A305A"/>
    <w:rsid w:val="009A306C"/>
    <w:rsid w:val="009A3220"/>
    <w:rsid w:val="009A345B"/>
    <w:rsid w:val="009A3671"/>
    <w:rsid w:val="009A3B98"/>
    <w:rsid w:val="009A4238"/>
    <w:rsid w:val="009A4255"/>
    <w:rsid w:val="009A4267"/>
    <w:rsid w:val="009A426E"/>
    <w:rsid w:val="009A4635"/>
    <w:rsid w:val="009A473A"/>
    <w:rsid w:val="009A4AD8"/>
    <w:rsid w:val="009A4C1D"/>
    <w:rsid w:val="009A4C94"/>
    <w:rsid w:val="009A4F86"/>
    <w:rsid w:val="009A4F8A"/>
    <w:rsid w:val="009A50AA"/>
    <w:rsid w:val="009A5261"/>
    <w:rsid w:val="009A5A63"/>
    <w:rsid w:val="009A5B01"/>
    <w:rsid w:val="009A5C0D"/>
    <w:rsid w:val="009A5D4A"/>
    <w:rsid w:val="009A5D68"/>
    <w:rsid w:val="009A5DDF"/>
    <w:rsid w:val="009A5FE3"/>
    <w:rsid w:val="009A6244"/>
    <w:rsid w:val="009A63EB"/>
    <w:rsid w:val="009A67A9"/>
    <w:rsid w:val="009A6AFA"/>
    <w:rsid w:val="009A6DC8"/>
    <w:rsid w:val="009A6E0D"/>
    <w:rsid w:val="009A6F16"/>
    <w:rsid w:val="009A74FA"/>
    <w:rsid w:val="009A7A02"/>
    <w:rsid w:val="009A7F41"/>
    <w:rsid w:val="009B055C"/>
    <w:rsid w:val="009B0CF0"/>
    <w:rsid w:val="009B0D6D"/>
    <w:rsid w:val="009B10CE"/>
    <w:rsid w:val="009B1181"/>
    <w:rsid w:val="009B1376"/>
    <w:rsid w:val="009B14B4"/>
    <w:rsid w:val="009B1509"/>
    <w:rsid w:val="009B1571"/>
    <w:rsid w:val="009B15A0"/>
    <w:rsid w:val="009B17BC"/>
    <w:rsid w:val="009B17D0"/>
    <w:rsid w:val="009B184D"/>
    <w:rsid w:val="009B1B5E"/>
    <w:rsid w:val="009B1ECC"/>
    <w:rsid w:val="009B204E"/>
    <w:rsid w:val="009B2123"/>
    <w:rsid w:val="009B214E"/>
    <w:rsid w:val="009B248A"/>
    <w:rsid w:val="009B2585"/>
    <w:rsid w:val="009B26DD"/>
    <w:rsid w:val="009B2B67"/>
    <w:rsid w:val="009B2BCB"/>
    <w:rsid w:val="009B2F68"/>
    <w:rsid w:val="009B309F"/>
    <w:rsid w:val="009B315B"/>
    <w:rsid w:val="009B36EC"/>
    <w:rsid w:val="009B3D79"/>
    <w:rsid w:val="009B3F8E"/>
    <w:rsid w:val="009B4AD2"/>
    <w:rsid w:val="009B4B14"/>
    <w:rsid w:val="009B4B8E"/>
    <w:rsid w:val="009B4F4A"/>
    <w:rsid w:val="009B4FEB"/>
    <w:rsid w:val="009B5255"/>
    <w:rsid w:val="009B54A0"/>
    <w:rsid w:val="009B579E"/>
    <w:rsid w:val="009B57DE"/>
    <w:rsid w:val="009B597A"/>
    <w:rsid w:val="009B5E42"/>
    <w:rsid w:val="009B5F34"/>
    <w:rsid w:val="009B5FA8"/>
    <w:rsid w:val="009B632D"/>
    <w:rsid w:val="009B6338"/>
    <w:rsid w:val="009B6446"/>
    <w:rsid w:val="009B6739"/>
    <w:rsid w:val="009B67C7"/>
    <w:rsid w:val="009B68D2"/>
    <w:rsid w:val="009B69EC"/>
    <w:rsid w:val="009B6AD1"/>
    <w:rsid w:val="009B6B62"/>
    <w:rsid w:val="009B6CD8"/>
    <w:rsid w:val="009B6DB5"/>
    <w:rsid w:val="009B6E51"/>
    <w:rsid w:val="009B7181"/>
    <w:rsid w:val="009B7618"/>
    <w:rsid w:val="009B7689"/>
    <w:rsid w:val="009B7763"/>
    <w:rsid w:val="009B7901"/>
    <w:rsid w:val="009B79A1"/>
    <w:rsid w:val="009B7A97"/>
    <w:rsid w:val="009B7E2C"/>
    <w:rsid w:val="009C0051"/>
    <w:rsid w:val="009C0545"/>
    <w:rsid w:val="009C0656"/>
    <w:rsid w:val="009C08F4"/>
    <w:rsid w:val="009C0937"/>
    <w:rsid w:val="009C0B78"/>
    <w:rsid w:val="009C10EA"/>
    <w:rsid w:val="009C10FF"/>
    <w:rsid w:val="009C1109"/>
    <w:rsid w:val="009C110D"/>
    <w:rsid w:val="009C1169"/>
    <w:rsid w:val="009C116D"/>
    <w:rsid w:val="009C118C"/>
    <w:rsid w:val="009C134F"/>
    <w:rsid w:val="009C1480"/>
    <w:rsid w:val="009C1BA0"/>
    <w:rsid w:val="009C1DA1"/>
    <w:rsid w:val="009C1F73"/>
    <w:rsid w:val="009C1F86"/>
    <w:rsid w:val="009C26AF"/>
    <w:rsid w:val="009C26BB"/>
    <w:rsid w:val="009C2701"/>
    <w:rsid w:val="009C2A55"/>
    <w:rsid w:val="009C3288"/>
    <w:rsid w:val="009C33EF"/>
    <w:rsid w:val="009C3513"/>
    <w:rsid w:val="009C3539"/>
    <w:rsid w:val="009C3765"/>
    <w:rsid w:val="009C3BBE"/>
    <w:rsid w:val="009C4330"/>
    <w:rsid w:val="009C4682"/>
    <w:rsid w:val="009C47A3"/>
    <w:rsid w:val="009C480F"/>
    <w:rsid w:val="009C4EBF"/>
    <w:rsid w:val="009C50B8"/>
    <w:rsid w:val="009C53D1"/>
    <w:rsid w:val="009C53DE"/>
    <w:rsid w:val="009C556B"/>
    <w:rsid w:val="009C6444"/>
    <w:rsid w:val="009C6486"/>
    <w:rsid w:val="009C64B8"/>
    <w:rsid w:val="009C68D4"/>
    <w:rsid w:val="009C70E6"/>
    <w:rsid w:val="009C713D"/>
    <w:rsid w:val="009C71EB"/>
    <w:rsid w:val="009C7437"/>
    <w:rsid w:val="009C7525"/>
    <w:rsid w:val="009C768B"/>
    <w:rsid w:val="009C76DF"/>
    <w:rsid w:val="009C7717"/>
    <w:rsid w:val="009C77FF"/>
    <w:rsid w:val="009C7905"/>
    <w:rsid w:val="009C792B"/>
    <w:rsid w:val="009C79BF"/>
    <w:rsid w:val="009C7C5B"/>
    <w:rsid w:val="009C7C70"/>
    <w:rsid w:val="009C7D38"/>
    <w:rsid w:val="009C7F05"/>
    <w:rsid w:val="009D0356"/>
    <w:rsid w:val="009D05EA"/>
    <w:rsid w:val="009D06B3"/>
    <w:rsid w:val="009D0C20"/>
    <w:rsid w:val="009D0E82"/>
    <w:rsid w:val="009D0F29"/>
    <w:rsid w:val="009D12A1"/>
    <w:rsid w:val="009D1439"/>
    <w:rsid w:val="009D14D3"/>
    <w:rsid w:val="009D1B0C"/>
    <w:rsid w:val="009D1BE5"/>
    <w:rsid w:val="009D1E21"/>
    <w:rsid w:val="009D1F09"/>
    <w:rsid w:val="009D217E"/>
    <w:rsid w:val="009D2208"/>
    <w:rsid w:val="009D25BD"/>
    <w:rsid w:val="009D25BE"/>
    <w:rsid w:val="009D2B69"/>
    <w:rsid w:val="009D2D29"/>
    <w:rsid w:val="009D3012"/>
    <w:rsid w:val="009D354F"/>
    <w:rsid w:val="009D3989"/>
    <w:rsid w:val="009D3CF6"/>
    <w:rsid w:val="009D40FE"/>
    <w:rsid w:val="009D5020"/>
    <w:rsid w:val="009D518A"/>
    <w:rsid w:val="009D52B2"/>
    <w:rsid w:val="009D53AF"/>
    <w:rsid w:val="009D5654"/>
    <w:rsid w:val="009D5AC5"/>
    <w:rsid w:val="009D617A"/>
    <w:rsid w:val="009D6232"/>
    <w:rsid w:val="009D6338"/>
    <w:rsid w:val="009D68BF"/>
    <w:rsid w:val="009D6FE9"/>
    <w:rsid w:val="009D7033"/>
    <w:rsid w:val="009D7037"/>
    <w:rsid w:val="009D7219"/>
    <w:rsid w:val="009D75AE"/>
    <w:rsid w:val="009D7C15"/>
    <w:rsid w:val="009D7CF3"/>
    <w:rsid w:val="009E082A"/>
    <w:rsid w:val="009E0B36"/>
    <w:rsid w:val="009E0E23"/>
    <w:rsid w:val="009E0FE6"/>
    <w:rsid w:val="009E0FF1"/>
    <w:rsid w:val="009E133E"/>
    <w:rsid w:val="009E14A9"/>
    <w:rsid w:val="009E1984"/>
    <w:rsid w:val="009E1AB6"/>
    <w:rsid w:val="009E1B0A"/>
    <w:rsid w:val="009E1B51"/>
    <w:rsid w:val="009E1B78"/>
    <w:rsid w:val="009E1E56"/>
    <w:rsid w:val="009E1E90"/>
    <w:rsid w:val="009E204D"/>
    <w:rsid w:val="009E2327"/>
    <w:rsid w:val="009E2645"/>
    <w:rsid w:val="009E27AA"/>
    <w:rsid w:val="009E2A4D"/>
    <w:rsid w:val="009E2C36"/>
    <w:rsid w:val="009E2CAC"/>
    <w:rsid w:val="009E3212"/>
    <w:rsid w:val="009E3339"/>
    <w:rsid w:val="009E394C"/>
    <w:rsid w:val="009E3FCE"/>
    <w:rsid w:val="009E4663"/>
    <w:rsid w:val="009E46D8"/>
    <w:rsid w:val="009E486A"/>
    <w:rsid w:val="009E5B50"/>
    <w:rsid w:val="009E5B77"/>
    <w:rsid w:val="009E5CF8"/>
    <w:rsid w:val="009E5F94"/>
    <w:rsid w:val="009E60F0"/>
    <w:rsid w:val="009E632E"/>
    <w:rsid w:val="009E6419"/>
    <w:rsid w:val="009E648E"/>
    <w:rsid w:val="009E695E"/>
    <w:rsid w:val="009E6B75"/>
    <w:rsid w:val="009E6E96"/>
    <w:rsid w:val="009E6EAD"/>
    <w:rsid w:val="009E72E1"/>
    <w:rsid w:val="009E772E"/>
    <w:rsid w:val="009E790F"/>
    <w:rsid w:val="009E7C20"/>
    <w:rsid w:val="009F00D4"/>
    <w:rsid w:val="009F01DC"/>
    <w:rsid w:val="009F0315"/>
    <w:rsid w:val="009F0360"/>
    <w:rsid w:val="009F045F"/>
    <w:rsid w:val="009F0698"/>
    <w:rsid w:val="009F0A01"/>
    <w:rsid w:val="009F0D26"/>
    <w:rsid w:val="009F154E"/>
    <w:rsid w:val="009F1779"/>
    <w:rsid w:val="009F1A4A"/>
    <w:rsid w:val="009F1C1F"/>
    <w:rsid w:val="009F1C3D"/>
    <w:rsid w:val="009F1F28"/>
    <w:rsid w:val="009F202B"/>
    <w:rsid w:val="009F2167"/>
    <w:rsid w:val="009F25FF"/>
    <w:rsid w:val="009F27C3"/>
    <w:rsid w:val="009F27EE"/>
    <w:rsid w:val="009F29FC"/>
    <w:rsid w:val="009F2B2C"/>
    <w:rsid w:val="009F2E9E"/>
    <w:rsid w:val="009F2EAE"/>
    <w:rsid w:val="009F2F99"/>
    <w:rsid w:val="009F348F"/>
    <w:rsid w:val="009F3865"/>
    <w:rsid w:val="009F39A4"/>
    <w:rsid w:val="009F3A3E"/>
    <w:rsid w:val="009F3C1A"/>
    <w:rsid w:val="009F41ED"/>
    <w:rsid w:val="009F433F"/>
    <w:rsid w:val="009F43FB"/>
    <w:rsid w:val="009F45C2"/>
    <w:rsid w:val="009F467D"/>
    <w:rsid w:val="009F4876"/>
    <w:rsid w:val="009F48E0"/>
    <w:rsid w:val="009F4DE1"/>
    <w:rsid w:val="009F4F11"/>
    <w:rsid w:val="009F4F4F"/>
    <w:rsid w:val="009F4F77"/>
    <w:rsid w:val="009F5184"/>
    <w:rsid w:val="009F5442"/>
    <w:rsid w:val="009F5825"/>
    <w:rsid w:val="009F59E8"/>
    <w:rsid w:val="009F5ABF"/>
    <w:rsid w:val="009F5BD0"/>
    <w:rsid w:val="009F5F4D"/>
    <w:rsid w:val="009F66F8"/>
    <w:rsid w:val="009F68EF"/>
    <w:rsid w:val="009F6997"/>
    <w:rsid w:val="009F6A0B"/>
    <w:rsid w:val="009F6A70"/>
    <w:rsid w:val="009F6B8F"/>
    <w:rsid w:val="009F6BE1"/>
    <w:rsid w:val="009F6E8F"/>
    <w:rsid w:val="009F6FF9"/>
    <w:rsid w:val="009F70C1"/>
    <w:rsid w:val="009F73A2"/>
    <w:rsid w:val="009F73C0"/>
    <w:rsid w:val="009F76E7"/>
    <w:rsid w:val="009F798B"/>
    <w:rsid w:val="009F7994"/>
    <w:rsid w:val="009F7BE7"/>
    <w:rsid w:val="00A00191"/>
    <w:rsid w:val="00A0032C"/>
    <w:rsid w:val="00A007CD"/>
    <w:rsid w:val="00A00AC6"/>
    <w:rsid w:val="00A00BC3"/>
    <w:rsid w:val="00A00EBE"/>
    <w:rsid w:val="00A00ECF"/>
    <w:rsid w:val="00A01008"/>
    <w:rsid w:val="00A0110E"/>
    <w:rsid w:val="00A01130"/>
    <w:rsid w:val="00A01808"/>
    <w:rsid w:val="00A01841"/>
    <w:rsid w:val="00A01F68"/>
    <w:rsid w:val="00A020CD"/>
    <w:rsid w:val="00A02168"/>
    <w:rsid w:val="00A021B4"/>
    <w:rsid w:val="00A0220E"/>
    <w:rsid w:val="00A0238A"/>
    <w:rsid w:val="00A0257D"/>
    <w:rsid w:val="00A0287C"/>
    <w:rsid w:val="00A02953"/>
    <w:rsid w:val="00A02A3D"/>
    <w:rsid w:val="00A02AB1"/>
    <w:rsid w:val="00A02EE0"/>
    <w:rsid w:val="00A02F80"/>
    <w:rsid w:val="00A030F5"/>
    <w:rsid w:val="00A03298"/>
    <w:rsid w:val="00A03645"/>
    <w:rsid w:val="00A036F6"/>
    <w:rsid w:val="00A03829"/>
    <w:rsid w:val="00A0396B"/>
    <w:rsid w:val="00A039E8"/>
    <w:rsid w:val="00A03A2C"/>
    <w:rsid w:val="00A03BB5"/>
    <w:rsid w:val="00A04007"/>
    <w:rsid w:val="00A04558"/>
    <w:rsid w:val="00A04793"/>
    <w:rsid w:val="00A04B24"/>
    <w:rsid w:val="00A04DD3"/>
    <w:rsid w:val="00A04DFA"/>
    <w:rsid w:val="00A04E76"/>
    <w:rsid w:val="00A05161"/>
    <w:rsid w:val="00A052ED"/>
    <w:rsid w:val="00A05709"/>
    <w:rsid w:val="00A05D57"/>
    <w:rsid w:val="00A05E8F"/>
    <w:rsid w:val="00A0676A"/>
    <w:rsid w:val="00A06DCD"/>
    <w:rsid w:val="00A06EF8"/>
    <w:rsid w:val="00A06F1B"/>
    <w:rsid w:val="00A07047"/>
    <w:rsid w:val="00A070F8"/>
    <w:rsid w:val="00A0780F"/>
    <w:rsid w:val="00A07FCA"/>
    <w:rsid w:val="00A10981"/>
    <w:rsid w:val="00A10AED"/>
    <w:rsid w:val="00A10B18"/>
    <w:rsid w:val="00A10CA2"/>
    <w:rsid w:val="00A10E9D"/>
    <w:rsid w:val="00A1114B"/>
    <w:rsid w:val="00A11332"/>
    <w:rsid w:val="00A113E9"/>
    <w:rsid w:val="00A114CB"/>
    <w:rsid w:val="00A11871"/>
    <w:rsid w:val="00A1194A"/>
    <w:rsid w:val="00A11996"/>
    <w:rsid w:val="00A11E21"/>
    <w:rsid w:val="00A11EF4"/>
    <w:rsid w:val="00A12126"/>
    <w:rsid w:val="00A121D8"/>
    <w:rsid w:val="00A1233B"/>
    <w:rsid w:val="00A126B3"/>
    <w:rsid w:val="00A12822"/>
    <w:rsid w:val="00A12937"/>
    <w:rsid w:val="00A12A6F"/>
    <w:rsid w:val="00A12B44"/>
    <w:rsid w:val="00A12BB3"/>
    <w:rsid w:val="00A12F05"/>
    <w:rsid w:val="00A13135"/>
    <w:rsid w:val="00A13163"/>
    <w:rsid w:val="00A1342D"/>
    <w:rsid w:val="00A1347C"/>
    <w:rsid w:val="00A13B02"/>
    <w:rsid w:val="00A13E86"/>
    <w:rsid w:val="00A143EC"/>
    <w:rsid w:val="00A14482"/>
    <w:rsid w:val="00A1488A"/>
    <w:rsid w:val="00A149E6"/>
    <w:rsid w:val="00A14A08"/>
    <w:rsid w:val="00A14B46"/>
    <w:rsid w:val="00A14B9C"/>
    <w:rsid w:val="00A14BA7"/>
    <w:rsid w:val="00A14E02"/>
    <w:rsid w:val="00A15141"/>
    <w:rsid w:val="00A151C9"/>
    <w:rsid w:val="00A1551B"/>
    <w:rsid w:val="00A15556"/>
    <w:rsid w:val="00A158A5"/>
    <w:rsid w:val="00A15C08"/>
    <w:rsid w:val="00A15FEA"/>
    <w:rsid w:val="00A1603B"/>
    <w:rsid w:val="00A1605D"/>
    <w:rsid w:val="00A16772"/>
    <w:rsid w:val="00A16798"/>
    <w:rsid w:val="00A16A8B"/>
    <w:rsid w:val="00A16E52"/>
    <w:rsid w:val="00A1707B"/>
    <w:rsid w:val="00A171F2"/>
    <w:rsid w:val="00A17238"/>
    <w:rsid w:val="00A20556"/>
    <w:rsid w:val="00A206BA"/>
    <w:rsid w:val="00A20E8F"/>
    <w:rsid w:val="00A21020"/>
    <w:rsid w:val="00A21028"/>
    <w:rsid w:val="00A2102A"/>
    <w:rsid w:val="00A21073"/>
    <w:rsid w:val="00A21241"/>
    <w:rsid w:val="00A212E8"/>
    <w:rsid w:val="00A21312"/>
    <w:rsid w:val="00A2147F"/>
    <w:rsid w:val="00A2165A"/>
    <w:rsid w:val="00A2171B"/>
    <w:rsid w:val="00A21952"/>
    <w:rsid w:val="00A21C3D"/>
    <w:rsid w:val="00A21D7A"/>
    <w:rsid w:val="00A21DAB"/>
    <w:rsid w:val="00A2206C"/>
    <w:rsid w:val="00A223D6"/>
    <w:rsid w:val="00A22480"/>
    <w:rsid w:val="00A2251D"/>
    <w:rsid w:val="00A2252A"/>
    <w:rsid w:val="00A225F0"/>
    <w:rsid w:val="00A22ADA"/>
    <w:rsid w:val="00A22C7A"/>
    <w:rsid w:val="00A22E81"/>
    <w:rsid w:val="00A22F2C"/>
    <w:rsid w:val="00A23289"/>
    <w:rsid w:val="00A2340B"/>
    <w:rsid w:val="00A235F4"/>
    <w:rsid w:val="00A23744"/>
    <w:rsid w:val="00A23EF2"/>
    <w:rsid w:val="00A23FCB"/>
    <w:rsid w:val="00A2406F"/>
    <w:rsid w:val="00A24422"/>
    <w:rsid w:val="00A2445B"/>
    <w:rsid w:val="00A24484"/>
    <w:rsid w:val="00A24533"/>
    <w:rsid w:val="00A24863"/>
    <w:rsid w:val="00A248B9"/>
    <w:rsid w:val="00A24C92"/>
    <w:rsid w:val="00A24D29"/>
    <w:rsid w:val="00A24E37"/>
    <w:rsid w:val="00A24FEC"/>
    <w:rsid w:val="00A254A1"/>
    <w:rsid w:val="00A257A6"/>
    <w:rsid w:val="00A2589E"/>
    <w:rsid w:val="00A25943"/>
    <w:rsid w:val="00A25C43"/>
    <w:rsid w:val="00A26D0E"/>
    <w:rsid w:val="00A26DF5"/>
    <w:rsid w:val="00A26F5C"/>
    <w:rsid w:val="00A271E2"/>
    <w:rsid w:val="00A27753"/>
    <w:rsid w:val="00A278EE"/>
    <w:rsid w:val="00A27B74"/>
    <w:rsid w:val="00A27BCA"/>
    <w:rsid w:val="00A27C95"/>
    <w:rsid w:val="00A3003C"/>
    <w:rsid w:val="00A3022D"/>
    <w:rsid w:val="00A303D6"/>
    <w:rsid w:val="00A303EC"/>
    <w:rsid w:val="00A304BD"/>
    <w:rsid w:val="00A30B86"/>
    <w:rsid w:val="00A30B8E"/>
    <w:rsid w:val="00A30C48"/>
    <w:rsid w:val="00A30C9F"/>
    <w:rsid w:val="00A314A1"/>
    <w:rsid w:val="00A31651"/>
    <w:rsid w:val="00A317F0"/>
    <w:rsid w:val="00A31832"/>
    <w:rsid w:val="00A31C88"/>
    <w:rsid w:val="00A31D6D"/>
    <w:rsid w:val="00A31E6D"/>
    <w:rsid w:val="00A3209C"/>
    <w:rsid w:val="00A326B4"/>
    <w:rsid w:val="00A32D20"/>
    <w:rsid w:val="00A32F46"/>
    <w:rsid w:val="00A33016"/>
    <w:rsid w:val="00A3325D"/>
    <w:rsid w:val="00A33395"/>
    <w:rsid w:val="00A33413"/>
    <w:rsid w:val="00A334D9"/>
    <w:rsid w:val="00A336C3"/>
    <w:rsid w:val="00A33B18"/>
    <w:rsid w:val="00A33D58"/>
    <w:rsid w:val="00A33E4D"/>
    <w:rsid w:val="00A34108"/>
    <w:rsid w:val="00A344D6"/>
    <w:rsid w:val="00A345CF"/>
    <w:rsid w:val="00A34B93"/>
    <w:rsid w:val="00A34C11"/>
    <w:rsid w:val="00A34D88"/>
    <w:rsid w:val="00A35402"/>
    <w:rsid w:val="00A355C5"/>
    <w:rsid w:val="00A358B1"/>
    <w:rsid w:val="00A359E1"/>
    <w:rsid w:val="00A35C38"/>
    <w:rsid w:val="00A35C85"/>
    <w:rsid w:val="00A35CBA"/>
    <w:rsid w:val="00A35DBB"/>
    <w:rsid w:val="00A363D6"/>
    <w:rsid w:val="00A36421"/>
    <w:rsid w:val="00A36439"/>
    <w:rsid w:val="00A365D1"/>
    <w:rsid w:val="00A3687F"/>
    <w:rsid w:val="00A36882"/>
    <w:rsid w:val="00A369B1"/>
    <w:rsid w:val="00A36A5D"/>
    <w:rsid w:val="00A36A86"/>
    <w:rsid w:val="00A36CBE"/>
    <w:rsid w:val="00A3713A"/>
    <w:rsid w:val="00A371B6"/>
    <w:rsid w:val="00A37571"/>
    <w:rsid w:val="00A37B2E"/>
    <w:rsid w:val="00A37D1F"/>
    <w:rsid w:val="00A400F9"/>
    <w:rsid w:val="00A4024B"/>
    <w:rsid w:val="00A402AB"/>
    <w:rsid w:val="00A40F4F"/>
    <w:rsid w:val="00A4114C"/>
    <w:rsid w:val="00A412E9"/>
    <w:rsid w:val="00A41429"/>
    <w:rsid w:val="00A417CC"/>
    <w:rsid w:val="00A42043"/>
    <w:rsid w:val="00A4206E"/>
    <w:rsid w:val="00A42129"/>
    <w:rsid w:val="00A42137"/>
    <w:rsid w:val="00A42521"/>
    <w:rsid w:val="00A4263A"/>
    <w:rsid w:val="00A42649"/>
    <w:rsid w:val="00A427EF"/>
    <w:rsid w:val="00A42830"/>
    <w:rsid w:val="00A42A7D"/>
    <w:rsid w:val="00A42C29"/>
    <w:rsid w:val="00A42C6F"/>
    <w:rsid w:val="00A42DB9"/>
    <w:rsid w:val="00A42E41"/>
    <w:rsid w:val="00A4356B"/>
    <w:rsid w:val="00A43A16"/>
    <w:rsid w:val="00A43C1A"/>
    <w:rsid w:val="00A43E4F"/>
    <w:rsid w:val="00A43F72"/>
    <w:rsid w:val="00A4454E"/>
    <w:rsid w:val="00A4462F"/>
    <w:rsid w:val="00A44818"/>
    <w:rsid w:val="00A44997"/>
    <w:rsid w:val="00A44A20"/>
    <w:rsid w:val="00A44EEA"/>
    <w:rsid w:val="00A44F9A"/>
    <w:rsid w:val="00A451C3"/>
    <w:rsid w:val="00A453C4"/>
    <w:rsid w:val="00A4568A"/>
    <w:rsid w:val="00A456D6"/>
    <w:rsid w:val="00A4595B"/>
    <w:rsid w:val="00A45E39"/>
    <w:rsid w:val="00A45FC7"/>
    <w:rsid w:val="00A46108"/>
    <w:rsid w:val="00A4632C"/>
    <w:rsid w:val="00A46363"/>
    <w:rsid w:val="00A463F3"/>
    <w:rsid w:val="00A46704"/>
    <w:rsid w:val="00A46919"/>
    <w:rsid w:val="00A46A2D"/>
    <w:rsid w:val="00A46CC8"/>
    <w:rsid w:val="00A46CDD"/>
    <w:rsid w:val="00A46CFE"/>
    <w:rsid w:val="00A46D4D"/>
    <w:rsid w:val="00A46D9A"/>
    <w:rsid w:val="00A46E6B"/>
    <w:rsid w:val="00A46F0F"/>
    <w:rsid w:val="00A47193"/>
    <w:rsid w:val="00A4741F"/>
    <w:rsid w:val="00A47504"/>
    <w:rsid w:val="00A47535"/>
    <w:rsid w:val="00A47705"/>
    <w:rsid w:val="00A4793E"/>
    <w:rsid w:val="00A47B84"/>
    <w:rsid w:val="00A47CD2"/>
    <w:rsid w:val="00A502D1"/>
    <w:rsid w:val="00A506A8"/>
    <w:rsid w:val="00A5087F"/>
    <w:rsid w:val="00A508C0"/>
    <w:rsid w:val="00A509DD"/>
    <w:rsid w:val="00A50B62"/>
    <w:rsid w:val="00A50C07"/>
    <w:rsid w:val="00A5101E"/>
    <w:rsid w:val="00A51282"/>
    <w:rsid w:val="00A5146F"/>
    <w:rsid w:val="00A5151B"/>
    <w:rsid w:val="00A52257"/>
    <w:rsid w:val="00A52288"/>
    <w:rsid w:val="00A524E9"/>
    <w:rsid w:val="00A5284B"/>
    <w:rsid w:val="00A5288E"/>
    <w:rsid w:val="00A5296B"/>
    <w:rsid w:val="00A52B97"/>
    <w:rsid w:val="00A52E8F"/>
    <w:rsid w:val="00A52EEA"/>
    <w:rsid w:val="00A53040"/>
    <w:rsid w:val="00A53171"/>
    <w:rsid w:val="00A533FB"/>
    <w:rsid w:val="00A53440"/>
    <w:rsid w:val="00A53493"/>
    <w:rsid w:val="00A5356C"/>
    <w:rsid w:val="00A537B1"/>
    <w:rsid w:val="00A53B70"/>
    <w:rsid w:val="00A53BA4"/>
    <w:rsid w:val="00A53D6C"/>
    <w:rsid w:val="00A54505"/>
    <w:rsid w:val="00A54611"/>
    <w:rsid w:val="00A54625"/>
    <w:rsid w:val="00A546EA"/>
    <w:rsid w:val="00A54743"/>
    <w:rsid w:val="00A54851"/>
    <w:rsid w:val="00A548FB"/>
    <w:rsid w:val="00A55056"/>
    <w:rsid w:val="00A552C1"/>
    <w:rsid w:val="00A554A5"/>
    <w:rsid w:val="00A55507"/>
    <w:rsid w:val="00A556F6"/>
    <w:rsid w:val="00A557A5"/>
    <w:rsid w:val="00A5586C"/>
    <w:rsid w:val="00A558BB"/>
    <w:rsid w:val="00A559CD"/>
    <w:rsid w:val="00A55A51"/>
    <w:rsid w:val="00A55CBF"/>
    <w:rsid w:val="00A56375"/>
    <w:rsid w:val="00A563D7"/>
    <w:rsid w:val="00A564F2"/>
    <w:rsid w:val="00A57055"/>
    <w:rsid w:val="00A57096"/>
    <w:rsid w:val="00A57104"/>
    <w:rsid w:val="00A57136"/>
    <w:rsid w:val="00A57161"/>
    <w:rsid w:val="00A5716F"/>
    <w:rsid w:val="00A572A1"/>
    <w:rsid w:val="00A573DA"/>
    <w:rsid w:val="00A57ACC"/>
    <w:rsid w:val="00A57FAD"/>
    <w:rsid w:val="00A602AA"/>
    <w:rsid w:val="00A60911"/>
    <w:rsid w:val="00A60A1D"/>
    <w:rsid w:val="00A60A3C"/>
    <w:rsid w:val="00A60B3F"/>
    <w:rsid w:val="00A60CF2"/>
    <w:rsid w:val="00A60F6C"/>
    <w:rsid w:val="00A610E5"/>
    <w:rsid w:val="00A613CE"/>
    <w:rsid w:val="00A613D7"/>
    <w:rsid w:val="00A613FA"/>
    <w:rsid w:val="00A615B6"/>
    <w:rsid w:val="00A615FC"/>
    <w:rsid w:val="00A616EA"/>
    <w:rsid w:val="00A61920"/>
    <w:rsid w:val="00A61D58"/>
    <w:rsid w:val="00A61FF6"/>
    <w:rsid w:val="00A622F6"/>
    <w:rsid w:val="00A62534"/>
    <w:rsid w:val="00A62E21"/>
    <w:rsid w:val="00A62E74"/>
    <w:rsid w:val="00A633C3"/>
    <w:rsid w:val="00A63628"/>
    <w:rsid w:val="00A63803"/>
    <w:rsid w:val="00A638B3"/>
    <w:rsid w:val="00A63A30"/>
    <w:rsid w:val="00A63C50"/>
    <w:rsid w:val="00A64394"/>
    <w:rsid w:val="00A64973"/>
    <w:rsid w:val="00A64E50"/>
    <w:rsid w:val="00A6526B"/>
    <w:rsid w:val="00A659C8"/>
    <w:rsid w:val="00A65A12"/>
    <w:rsid w:val="00A65E3E"/>
    <w:rsid w:val="00A65EF0"/>
    <w:rsid w:val="00A66652"/>
    <w:rsid w:val="00A6665B"/>
    <w:rsid w:val="00A66B21"/>
    <w:rsid w:val="00A670E0"/>
    <w:rsid w:val="00A67199"/>
    <w:rsid w:val="00A672D4"/>
    <w:rsid w:val="00A672EB"/>
    <w:rsid w:val="00A67B11"/>
    <w:rsid w:val="00A70195"/>
    <w:rsid w:val="00A70897"/>
    <w:rsid w:val="00A708F2"/>
    <w:rsid w:val="00A7094E"/>
    <w:rsid w:val="00A70AE9"/>
    <w:rsid w:val="00A70BE6"/>
    <w:rsid w:val="00A70BFC"/>
    <w:rsid w:val="00A70FAA"/>
    <w:rsid w:val="00A71016"/>
    <w:rsid w:val="00A7115C"/>
    <w:rsid w:val="00A714A9"/>
    <w:rsid w:val="00A7157C"/>
    <w:rsid w:val="00A717F3"/>
    <w:rsid w:val="00A71A1A"/>
    <w:rsid w:val="00A71C59"/>
    <w:rsid w:val="00A72469"/>
    <w:rsid w:val="00A72800"/>
    <w:rsid w:val="00A728A7"/>
    <w:rsid w:val="00A72EE5"/>
    <w:rsid w:val="00A731A3"/>
    <w:rsid w:val="00A73304"/>
    <w:rsid w:val="00A73744"/>
    <w:rsid w:val="00A738A3"/>
    <w:rsid w:val="00A73C76"/>
    <w:rsid w:val="00A73DAC"/>
    <w:rsid w:val="00A7459A"/>
    <w:rsid w:val="00A74872"/>
    <w:rsid w:val="00A74A24"/>
    <w:rsid w:val="00A74A32"/>
    <w:rsid w:val="00A74B38"/>
    <w:rsid w:val="00A74C4D"/>
    <w:rsid w:val="00A74C5E"/>
    <w:rsid w:val="00A75609"/>
    <w:rsid w:val="00A76019"/>
    <w:rsid w:val="00A76281"/>
    <w:rsid w:val="00A7629F"/>
    <w:rsid w:val="00A7647A"/>
    <w:rsid w:val="00A76696"/>
    <w:rsid w:val="00A76D93"/>
    <w:rsid w:val="00A77154"/>
    <w:rsid w:val="00A77566"/>
    <w:rsid w:val="00A77617"/>
    <w:rsid w:val="00A776E9"/>
    <w:rsid w:val="00A77714"/>
    <w:rsid w:val="00A777B7"/>
    <w:rsid w:val="00A77D63"/>
    <w:rsid w:val="00A80073"/>
    <w:rsid w:val="00A800AE"/>
    <w:rsid w:val="00A801EE"/>
    <w:rsid w:val="00A80222"/>
    <w:rsid w:val="00A802B9"/>
    <w:rsid w:val="00A8037D"/>
    <w:rsid w:val="00A803EC"/>
    <w:rsid w:val="00A80512"/>
    <w:rsid w:val="00A807E6"/>
    <w:rsid w:val="00A808DD"/>
    <w:rsid w:val="00A809D3"/>
    <w:rsid w:val="00A80C0F"/>
    <w:rsid w:val="00A80EFC"/>
    <w:rsid w:val="00A80F05"/>
    <w:rsid w:val="00A80F29"/>
    <w:rsid w:val="00A80FAC"/>
    <w:rsid w:val="00A810EA"/>
    <w:rsid w:val="00A814EE"/>
    <w:rsid w:val="00A81B45"/>
    <w:rsid w:val="00A81CE8"/>
    <w:rsid w:val="00A82274"/>
    <w:rsid w:val="00A82389"/>
    <w:rsid w:val="00A82637"/>
    <w:rsid w:val="00A8289B"/>
    <w:rsid w:val="00A82969"/>
    <w:rsid w:val="00A82BB7"/>
    <w:rsid w:val="00A82C1B"/>
    <w:rsid w:val="00A82C5A"/>
    <w:rsid w:val="00A831C7"/>
    <w:rsid w:val="00A83340"/>
    <w:rsid w:val="00A837A8"/>
    <w:rsid w:val="00A837D0"/>
    <w:rsid w:val="00A83839"/>
    <w:rsid w:val="00A83AED"/>
    <w:rsid w:val="00A83B60"/>
    <w:rsid w:val="00A83E4F"/>
    <w:rsid w:val="00A83E5B"/>
    <w:rsid w:val="00A83FEB"/>
    <w:rsid w:val="00A840E4"/>
    <w:rsid w:val="00A84229"/>
    <w:rsid w:val="00A842F0"/>
    <w:rsid w:val="00A843B0"/>
    <w:rsid w:val="00A846B2"/>
    <w:rsid w:val="00A84705"/>
    <w:rsid w:val="00A8470F"/>
    <w:rsid w:val="00A848B1"/>
    <w:rsid w:val="00A84D36"/>
    <w:rsid w:val="00A84DAC"/>
    <w:rsid w:val="00A84E3F"/>
    <w:rsid w:val="00A85006"/>
    <w:rsid w:val="00A85632"/>
    <w:rsid w:val="00A856D5"/>
    <w:rsid w:val="00A85BFC"/>
    <w:rsid w:val="00A85C79"/>
    <w:rsid w:val="00A85D08"/>
    <w:rsid w:val="00A85F15"/>
    <w:rsid w:val="00A85F5F"/>
    <w:rsid w:val="00A8609E"/>
    <w:rsid w:val="00A86114"/>
    <w:rsid w:val="00A861C8"/>
    <w:rsid w:val="00A86636"/>
    <w:rsid w:val="00A868A0"/>
    <w:rsid w:val="00A86B52"/>
    <w:rsid w:val="00A86E46"/>
    <w:rsid w:val="00A86E82"/>
    <w:rsid w:val="00A86F59"/>
    <w:rsid w:val="00A87810"/>
    <w:rsid w:val="00A87D63"/>
    <w:rsid w:val="00A87D98"/>
    <w:rsid w:val="00A87EE1"/>
    <w:rsid w:val="00A90159"/>
    <w:rsid w:val="00A90202"/>
    <w:rsid w:val="00A905CB"/>
    <w:rsid w:val="00A90642"/>
    <w:rsid w:val="00A906D9"/>
    <w:rsid w:val="00A90735"/>
    <w:rsid w:val="00A90B21"/>
    <w:rsid w:val="00A90C6D"/>
    <w:rsid w:val="00A90DAA"/>
    <w:rsid w:val="00A910ED"/>
    <w:rsid w:val="00A91117"/>
    <w:rsid w:val="00A917D8"/>
    <w:rsid w:val="00A92013"/>
    <w:rsid w:val="00A9209E"/>
    <w:rsid w:val="00A920B3"/>
    <w:rsid w:val="00A9226E"/>
    <w:rsid w:val="00A92270"/>
    <w:rsid w:val="00A927B7"/>
    <w:rsid w:val="00A928BF"/>
    <w:rsid w:val="00A92A50"/>
    <w:rsid w:val="00A92A61"/>
    <w:rsid w:val="00A92E1B"/>
    <w:rsid w:val="00A93049"/>
    <w:rsid w:val="00A93289"/>
    <w:rsid w:val="00A9361F"/>
    <w:rsid w:val="00A937B7"/>
    <w:rsid w:val="00A938B4"/>
    <w:rsid w:val="00A93AEF"/>
    <w:rsid w:val="00A93B92"/>
    <w:rsid w:val="00A93CCB"/>
    <w:rsid w:val="00A93CEF"/>
    <w:rsid w:val="00A93D27"/>
    <w:rsid w:val="00A93F09"/>
    <w:rsid w:val="00A94331"/>
    <w:rsid w:val="00A9437B"/>
    <w:rsid w:val="00A94666"/>
    <w:rsid w:val="00A94720"/>
    <w:rsid w:val="00A95375"/>
    <w:rsid w:val="00A95640"/>
    <w:rsid w:val="00A95DDC"/>
    <w:rsid w:val="00A95E41"/>
    <w:rsid w:val="00A95ED2"/>
    <w:rsid w:val="00A95F4E"/>
    <w:rsid w:val="00A96086"/>
    <w:rsid w:val="00A96304"/>
    <w:rsid w:val="00A96492"/>
    <w:rsid w:val="00A9677E"/>
    <w:rsid w:val="00A96C25"/>
    <w:rsid w:val="00A96E0D"/>
    <w:rsid w:val="00A96F1C"/>
    <w:rsid w:val="00A97213"/>
    <w:rsid w:val="00A972FF"/>
    <w:rsid w:val="00A975C3"/>
    <w:rsid w:val="00A978A9"/>
    <w:rsid w:val="00A9791B"/>
    <w:rsid w:val="00A97AA4"/>
    <w:rsid w:val="00A97C0C"/>
    <w:rsid w:val="00A97D72"/>
    <w:rsid w:val="00A97EFC"/>
    <w:rsid w:val="00A97F75"/>
    <w:rsid w:val="00AA01EF"/>
    <w:rsid w:val="00AA0B75"/>
    <w:rsid w:val="00AA0E2A"/>
    <w:rsid w:val="00AA115A"/>
    <w:rsid w:val="00AA1216"/>
    <w:rsid w:val="00AA12CD"/>
    <w:rsid w:val="00AA1308"/>
    <w:rsid w:val="00AA1897"/>
    <w:rsid w:val="00AA1956"/>
    <w:rsid w:val="00AA1BB8"/>
    <w:rsid w:val="00AA1D78"/>
    <w:rsid w:val="00AA2204"/>
    <w:rsid w:val="00AA27FA"/>
    <w:rsid w:val="00AA282B"/>
    <w:rsid w:val="00AA2F30"/>
    <w:rsid w:val="00AA3367"/>
    <w:rsid w:val="00AA36A6"/>
    <w:rsid w:val="00AA36F7"/>
    <w:rsid w:val="00AA37D3"/>
    <w:rsid w:val="00AA38DD"/>
    <w:rsid w:val="00AA3955"/>
    <w:rsid w:val="00AA3D91"/>
    <w:rsid w:val="00AA434E"/>
    <w:rsid w:val="00AA43BC"/>
    <w:rsid w:val="00AA45B5"/>
    <w:rsid w:val="00AA45E5"/>
    <w:rsid w:val="00AA479C"/>
    <w:rsid w:val="00AA4847"/>
    <w:rsid w:val="00AA4863"/>
    <w:rsid w:val="00AA4CD3"/>
    <w:rsid w:val="00AA4E39"/>
    <w:rsid w:val="00AA53C6"/>
    <w:rsid w:val="00AA54E2"/>
    <w:rsid w:val="00AA56B3"/>
    <w:rsid w:val="00AA56CF"/>
    <w:rsid w:val="00AA573B"/>
    <w:rsid w:val="00AA590B"/>
    <w:rsid w:val="00AA59C3"/>
    <w:rsid w:val="00AA5ABF"/>
    <w:rsid w:val="00AA5CE3"/>
    <w:rsid w:val="00AA5E04"/>
    <w:rsid w:val="00AA6066"/>
    <w:rsid w:val="00AA627B"/>
    <w:rsid w:val="00AA6393"/>
    <w:rsid w:val="00AA63D4"/>
    <w:rsid w:val="00AA6853"/>
    <w:rsid w:val="00AA6A1E"/>
    <w:rsid w:val="00AA6F19"/>
    <w:rsid w:val="00AA7197"/>
    <w:rsid w:val="00AA7414"/>
    <w:rsid w:val="00AA7517"/>
    <w:rsid w:val="00AA767E"/>
    <w:rsid w:val="00AA7773"/>
    <w:rsid w:val="00AA7929"/>
    <w:rsid w:val="00AA7975"/>
    <w:rsid w:val="00AA7ACA"/>
    <w:rsid w:val="00AA7B04"/>
    <w:rsid w:val="00AA7BF2"/>
    <w:rsid w:val="00AA7C61"/>
    <w:rsid w:val="00AB0222"/>
    <w:rsid w:val="00AB02A0"/>
    <w:rsid w:val="00AB049F"/>
    <w:rsid w:val="00AB0535"/>
    <w:rsid w:val="00AB0736"/>
    <w:rsid w:val="00AB0999"/>
    <w:rsid w:val="00AB0CA8"/>
    <w:rsid w:val="00AB0E80"/>
    <w:rsid w:val="00AB0E8F"/>
    <w:rsid w:val="00AB122C"/>
    <w:rsid w:val="00AB14C7"/>
    <w:rsid w:val="00AB157A"/>
    <w:rsid w:val="00AB209D"/>
    <w:rsid w:val="00AB2110"/>
    <w:rsid w:val="00AB22F2"/>
    <w:rsid w:val="00AB2976"/>
    <w:rsid w:val="00AB2CAB"/>
    <w:rsid w:val="00AB2E4D"/>
    <w:rsid w:val="00AB2F4B"/>
    <w:rsid w:val="00AB31DC"/>
    <w:rsid w:val="00AB32A2"/>
    <w:rsid w:val="00AB35DB"/>
    <w:rsid w:val="00AB3A66"/>
    <w:rsid w:val="00AB3DBD"/>
    <w:rsid w:val="00AB4543"/>
    <w:rsid w:val="00AB45A4"/>
    <w:rsid w:val="00AB45FF"/>
    <w:rsid w:val="00AB4759"/>
    <w:rsid w:val="00AB482B"/>
    <w:rsid w:val="00AB486F"/>
    <w:rsid w:val="00AB4F22"/>
    <w:rsid w:val="00AB5345"/>
    <w:rsid w:val="00AB5AEB"/>
    <w:rsid w:val="00AB5B22"/>
    <w:rsid w:val="00AB5BD6"/>
    <w:rsid w:val="00AB5EF1"/>
    <w:rsid w:val="00AB6C58"/>
    <w:rsid w:val="00AB6D31"/>
    <w:rsid w:val="00AB6EDF"/>
    <w:rsid w:val="00AB6F2A"/>
    <w:rsid w:val="00AB70AB"/>
    <w:rsid w:val="00AB7576"/>
    <w:rsid w:val="00AB7892"/>
    <w:rsid w:val="00AB7AE1"/>
    <w:rsid w:val="00AC017B"/>
    <w:rsid w:val="00AC05FA"/>
    <w:rsid w:val="00AC0657"/>
    <w:rsid w:val="00AC067C"/>
    <w:rsid w:val="00AC0898"/>
    <w:rsid w:val="00AC0B51"/>
    <w:rsid w:val="00AC0D34"/>
    <w:rsid w:val="00AC0E27"/>
    <w:rsid w:val="00AC0F88"/>
    <w:rsid w:val="00AC1009"/>
    <w:rsid w:val="00AC10D4"/>
    <w:rsid w:val="00AC12C5"/>
    <w:rsid w:val="00AC13C6"/>
    <w:rsid w:val="00AC1508"/>
    <w:rsid w:val="00AC1552"/>
    <w:rsid w:val="00AC15DA"/>
    <w:rsid w:val="00AC1638"/>
    <w:rsid w:val="00AC176B"/>
    <w:rsid w:val="00AC17A6"/>
    <w:rsid w:val="00AC1987"/>
    <w:rsid w:val="00AC1D87"/>
    <w:rsid w:val="00AC1E6C"/>
    <w:rsid w:val="00AC1EA2"/>
    <w:rsid w:val="00AC1EA7"/>
    <w:rsid w:val="00AC1EFD"/>
    <w:rsid w:val="00AC214D"/>
    <w:rsid w:val="00AC2386"/>
    <w:rsid w:val="00AC2659"/>
    <w:rsid w:val="00AC2895"/>
    <w:rsid w:val="00AC28BB"/>
    <w:rsid w:val="00AC2AC4"/>
    <w:rsid w:val="00AC2ACB"/>
    <w:rsid w:val="00AC2C0B"/>
    <w:rsid w:val="00AC2CA0"/>
    <w:rsid w:val="00AC30BF"/>
    <w:rsid w:val="00AC31B4"/>
    <w:rsid w:val="00AC32A3"/>
    <w:rsid w:val="00AC33C1"/>
    <w:rsid w:val="00AC3664"/>
    <w:rsid w:val="00AC38F6"/>
    <w:rsid w:val="00AC3C44"/>
    <w:rsid w:val="00AC3D89"/>
    <w:rsid w:val="00AC3DE7"/>
    <w:rsid w:val="00AC3E47"/>
    <w:rsid w:val="00AC3FAA"/>
    <w:rsid w:val="00AC42A9"/>
    <w:rsid w:val="00AC48BB"/>
    <w:rsid w:val="00AC4B19"/>
    <w:rsid w:val="00AC4B48"/>
    <w:rsid w:val="00AC4B85"/>
    <w:rsid w:val="00AC5771"/>
    <w:rsid w:val="00AC58B1"/>
    <w:rsid w:val="00AC5A0C"/>
    <w:rsid w:val="00AC5BBB"/>
    <w:rsid w:val="00AC5CE8"/>
    <w:rsid w:val="00AC5D91"/>
    <w:rsid w:val="00AC6318"/>
    <w:rsid w:val="00AC6B0B"/>
    <w:rsid w:val="00AC6B69"/>
    <w:rsid w:val="00AC6C96"/>
    <w:rsid w:val="00AC6D3A"/>
    <w:rsid w:val="00AC6FAF"/>
    <w:rsid w:val="00AC72E2"/>
    <w:rsid w:val="00AC7761"/>
    <w:rsid w:val="00AC7AE5"/>
    <w:rsid w:val="00AC7E23"/>
    <w:rsid w:val="00AC7EF2"/>
    <w:rsid w:val="00AC7F15"/>
    <w:rsid w:val="00AD0014"/>
    <w:rsid w:val="00AD00D1"/>
    <w:rsid w:val="00AD0139"/>
    <w:rsid w:val="00AD05C1"/>
    <w:rsid w:val="00AD061F"/>
    <w:rsid w:val="00AD0757"/>
    <w:rsid w:val="00AD0D3C"/>
    <w:rsid w:val="00AD0DB4"/>
    <w:rsid w:val="00AD10DE"/>
    <w:rsid w:val="00AD132D"/>
    <w:rsid w:val="00AD1416"/>
    <w:rsid w:val="00AD1467"/>
    <w:rsid w:val="00AD14E9"/>
    <w:rsid w:val="00AD1665"/>
    <w:rsid w:val="00AD179D"/>
    <w:rsid w:val="00AD1805"/>
    <w:rsid w:val="00AD194F"/>
    <w:rsid w:val="00AD1AA7"/>
    <w:rsid w:val="00AD1F63"/>
    <w:rsid w:val="00AD2170"/>
    <w:rsid w:val="00AD26D5"/>
    <w:rsid w:val="00AD274A"/>
    <w:rsid w:val="00AD283B"/>
    <w:rsid w:val="00AD290F"/>
    <w:rsid w:val="00AD2BE5"/>
    <w:rsid w:val="00AD32E2"/>
    <w:rsid w:val="00AD38A3"/>
    <w:rsid w:val="00AD3997"/>
    <w:rsid w:val="00AD3DA5"/>
    <w:rsid w:val="00AD3EA9"/>
    <w:rsid w:val="00AD3FE1"/>
    <w:rsid w:val="00AD41BF"/>
    <w:rsid w:val="00AD4290"/>
    <w:rsid w:val="00AD46AB"/>
    <w:rsid w:val="00AD4705"/>
    <w:rsid w:val="00AD48C2"/>
    <w:rsid w:val="00AD494D"/>
    <w:rsid w:val="00AD4C13"/>
    <w:rsid w:val="00AD4CD3"/>
    <w:rsid w:val="00AD4ECB"/>
    <w:rsid w:val="00AD4FCA"/>
    <w:rsid w:val="00AD57AD"/>
    <w:rsid w:val="00AD5930"/>
    <w:rsid w:val="00AD641F"/>
    <w:rsid w:val="00AD6638"/>
    <w:rsid w:val="00AD69DF"/>
    <w:rsid w:val="00AD6AE0"/>
    <w:rsid w:val="00AD6EFB"/>
    <w:rsid w:val="00AD74CA"/>
    <w:rsid w:val="00AD7823"/>
    <w:rsid w:val="00AD7A2B"/>
    <w:rsid w:val="00AD7CA9"/>
    <w:rsid w:val="00AD7EF1"/>
    <w:rsid w:val="00AD7F3D"/>
    <w:rsid w:val="00AD7F55"/>
    <w:rsid w:val="00AE04C8"/>
    <w:rsid w:val="00AE04E3"/>
    <w:rsid w:val="00AE0D4C"/>
    <w:rsid w:val="00AE0F91"/>
    <w:rsid w:val="00AE1066"/>
    <w:rsid w:val="00AE116F"/>
    <w:rsid w:val="00AE11AF"/>
    <w:rsid w:val="00AE1448"/>
    <w:rsid w:val="00AE16AA"/>
    <w:rsid w:val="00AE1759"/>
    <w:rsid w:val="00AE1956"/>
    <w:rsid w:val="00AE1DA5"/>
    <w:rsid w:val="00AE20B0"/>
    <w:rsid w:val="00AE251E"/>
    <w:rsid w:val="00AE25E4"/>
    <w:rsid w:val="00AE2972"/>
    <w:rsid w:val="00AE299E"/>
    <w:rsid w:val="00AE2ABF"/>
    <w:rsid w:val="00AE2C42"/>
    <w:rsid w:val="00AE2CF0"/>
    <w:rsid w:val="00AE3592"/>
    <w:rsid w:val="00AE35CA"/>
    <w:rsid w:val="00AE3CCF"/>
    <w:rsid w:val="00AE4058"/>
    <w:rsid w:val="00AE4257"/>
    <w:rsid w:val="00AE499C"/>
    <w:rsid w:val="00AE49FC"/>
    <w:rsid w:val="00AE4D77"/>
    <w:rsid w:val="00AE4E1E"/>
    <w:rsid w:val="00AE5073"/>
    <w:rsid w:val="00AE5149"/>
    <w:rsid w:val="00AE5324"/>
    <w:rsid w:val="00AE5403"/>
    <w:rsid w:val="00AE5604"/>
    <w:rsid w:val="00AE587E"/>
    <w:rsid w:val="00AE58DE"/>
    <w:rsid w:val="00AE5949"/>
    <w:rsid w:val="00AE5F0C"/>
    <w:rsid w:val="00AE63EE"/>
    <w:rsid w:val="00AE681E"/>
    <w:rsid w:val="00AE6870"/>
    <w:rsid w:val="00AE692B"/>
    <w:rsid w:val="00AE6CC4"/>
    <w:rsid w:val="00AE6F2A"/>
    <w:rsid w:val="00AE6F44"/>
    <w:rsid w:val="00AE70CD"/>
    <w:rsid w:val="00AE72FA"/>
    <w:rsid w:val="00AE731F"/>
    <w:rsid w:val="00AE73C9"/>
    <w:rsid w:val="00AE776C"/>
    <w:rsid w:val="00AE78A2"/>
    <w:rsid w:val="00AE7D72"/>
    <w:rsid w:val="00AF0385"/>
    <w:rsid w:val="00AF03A2"/>
    <w:rsid w:val="00AF03FD"/>
    <w:rsid w:val="00AF0635"/>
    <w:rsid w:val="00AF0640"/>
    <w:rsid w:val="00AF092A"/>
    <w:rsid w:val="00AF0C42"/>
    <w:rsid w:val="00AF0F29"/>
    <w:rsid w:val="00AF106D"/>
    <w:rsid w:val="00AF12E1"/>
    <w:rsid w:val="00AF140B"/>
    <w:rsid w:val="00AF144B"/>
    <w:rsid w:val="00AF1530"/>
    <w:rsid w:val="00AF16EF"/>
    <w:rsid w:val="00AF1D39"/>
    <w:rsid w:val="00AF2326"/>
    <w:rsid w:val="00AF244D"/>
    <w:rsid w:val="00AF25E7"/>
    <w:rsid w:val="00AF26E0"/>
    <w:rsid w:val="00AF2A78"/>
    <w:rsid w:val="00AF2C2B"/>
    <w:rsid w:val="00AF2F3A"/>
    <w:rsid w:val="00AF31A7"/>
    <w:rsid w:val="00AF327F"/>
    <w:rsid w:val="00AF331F"/>
    <w:rsid w:val="00AF3347"/>
    <w:rsid w:val="00AF34DF"/>
    <w:rsid w:val="00AF3525"/>
    <w:rsid w:val="00AF35BF"/>
    <w:rsid w:val="00AF3676"/>
    <w:rsid w:val="00AF3774"/>
    <w:rsid w:val="00AF3C10"/>
    <w:rsid w:val="00AF3EDD"/>
    <w:rsid w:val="00AF4276"/>
    <w:rsid w:val="00AF42E1"/>
    <w:rsid w:val="00AF43F8"/>
    <w:rsid w:val="00AF45FB"/>
    <w:rsid w:val="00AF4B54"/>
    <w:rsid w:val="00AF4D19"/>
    <w:rsid w:val="00AF57F5"/>
    <w:rsid w:val="00AF58C9"/>
    <w:rsid w:val="00AF5D92"/>
    <w:rsid w:val="00AF5F7F"/>
    <w:rsid w:val="00AF5FA7"/>
    <w:rsid w:val="00AF6340"/>
    <w:rsid w:val="00AF64FA"/>
    <w:rsid w:val="00AF669C"/>
    <w:rsid w:val="00AF67E9"/>
    <w:rsid w:val="00AF680F"/>
    <w:rsid w:val="00AF6AC0"/>
    <w:rsid w:val="00AF6F95"/>
    <w:rsid w:val="00AF70FE"/>
    <w:rsid w:val="00AF72CD"/>
    <w:rsid w:val="00AF739A"/>
    <w:rsid w:val="00AF7517"/>
    <w:rsid w:val="00AF78F5"/>
    <w:rsid w:val="00AF7BC3"/>
    <w:rsid w:val="00AF7C65"/>
    <w:rsid w:val="00B000BD"/>
    <w:rsid w:val="00B0027B"/>
    <w:rsid w:val="00B0050C"/>
    <w:rsid w:val="00B0073A"/>
    <w:rsid w:val="00B00A15"/>
    <w:rsid w:val="00B00B2A"/>
    <w:rsid w:val="00B00DC9"/>
    <w:rsid w:val="00B012C4"/>
    <w:rsid w:val="00B013A4"/>
    <w:rsid w:val="00B015EB"/>
    <w:rsid w:val="00B019F4"/>
    <w:rsid w:val="00B01DCD"/>
    <w:rsid w:val="00B01E88"/>
    <w:rsid w:val="00B01F9D"/>
    <w:rsid w:val="00B02013"/>
    <w:rsid w:val="00B02122"/>
    <w:rsid w:val="00B02158"/>
    <w:rsid w:val="00B025CF"/>
    <w:rsid w:val="00B02653"/>
    <w:rsid w:val="00B02738"/>
    <w:rsid w:val="00B03521"/>
    <w:rsid w:val="00B0363F"/>
    <w:rsid w:val="00B03B1F"/>
    <w:rsid w:val="00B03BF9"/>
    <w:rsid w:val="00B03D05"/>
    <w:rsid w:val="00B03E13"/>
    <w:rsid w:val="00B03ECF"/>
    <w:rsid w:val="00B044F7"/>
    <w:rsid w:val="00B0464E"/>
    <w:rsid w:val="00B047B3"/>
    <w:rsid w:val="00B04837"/>
    <w:rsid w:val="00B04C6B"/>
    <w:rsid w:val="00B04D6C"/>
    <w:rsid w:val="00B04D87"/>
    <w:rsid w:val="00B04E59"/>
    <w:rsid w:val="00B04EEE"/>
    <w:rsid w:val="00B050AD"/>
    <w:rsid w:val="00B05231"/>
    <w:rsid w:val="00B05321"/>
    <w:rsid w:val="00B054D8"/>
    <w:rsid w:val="00B0575A"/>
    <w:rsid w:val="00B0596F"/>
    <w:rsid w:val="00B05B18"/>
    <w:rsid w:val="00B05E07"/>
    <w:rsid w:val="00B06334"/>
    <w:rsid w:val="00B069AF"/>
    <w:rsid w:val="00B06EBE"/>
    <w:rsid w:val="00B06EC3"/>
    <w:rsid w:val="00B06ED2"/>
    <w:rsid w:val="00B0717A"/>
    <w:rsid w:val="00B0723F"/>
    <w:rsid w:val="00B07B51"/>
    <w:rsid w:val="00B07B83"/>
    <w:rsid w:val="00B101B0"/>
    <w:rsid w:val="00B1022E"/>
    <w:rsid w:val="00B107A3"/>
    <w:rsid w:val="00B10CA4"/>
    <w:rsid w:val="00B10CFA"/>
    <w:rsid w:val="00B10F30"/>
    <w:rsid w:val="00B10FD1"/>
    <w:rsid w:val="00B1111B"/>
    <w:rsid w:val="00B112A7"/>
    <w:rsid w:val="00B11329"/>
    <w:rsid w:val="00B11569"/>
    <w:rsid w:val="00B115D8"/>
    <w:rsid w:val="00B1161E"/>
    <w:rsid w:val="00B1195D"/>
    <w:rsid w:val="00B11999"/>
    <w:rsid w:val="00B119FD"/>
    <w:rsid w:val="00B11A11"/>
    <w:rsid w:val="00B11D4B"/>
    <w:rsid w:val="00B11DF1"/>
    <w:rsid w:val="00B11EC8"/>
    <w:rsid w:val="00B12250"/>
    <w:rsid w:val="00B12467"/>
    <w:rsid w:val="00B12475"/>
    <w:rsid w:val="00B12BE7"/>
    <w:rsid w:val="00B12BE9"/>
    <w:rsid w:val="00B12DA3"/>
    <w:rsid w:val="00B12FE8"/>
    <w:rsid w:val="00B13919"/>
    <w:rsid w:val="00B13A92"/>
    <w:rsid w:val="00B13C20"/>
    <w:rsid w:val="00B13CF3"/>
    <w:rsid w:val="00B13D8D"/>
    <w:rsid w:val="00B13DAC"/>
    <w:rsid w:val="00B14531"/>
    <w:rsid w:val="00B14564"/>
    <w:rsid w:val="00B14584"/>
    <w:rsid w:val="00B146E3"/>
    <w:rsid w:val="00B146F8"/>
    <w:rsid w:val="00B148A2"/>
    <w:rsid w:val="00B14AEA"/>
    <w:rsid w:val="00B14D92"/>
    <w:rsid w:val="00B14EC9"/>
    <w:rsid w:val="00B14F3D"/>
    <w:rsid w:val="00B15179"/>
    <w:rsid w:val="00B15286"/>
    <w:rsid w:val="00B155B6"/>
    <w:rsid w:val="00B15B30"/>
    <w:rsid w:val="00B15BDF"/>
    <w:rsid w:val="00B15ED3"/>
    <w:rsid w:val="00B16158"/>
    <w:rsid w:val="00B1659B"/>
    <w:rsid w:val="00B16990"/>
    <w:rsid w:val="00B16E14"/>
    <w:rsid w:val="00B1713B"/>
    <w:rsid w:val="00B17393"/>
    <w:rsid w:val="00B173F3"/>
    <w:rsid w:val="00B17452"/>
    <w:rsid w:val="00B1760C"/>
    <w:rsid w:val="00B17673"/>
    <w:rsid w:val="00B176E5"/>
    <w:rsid w:val="00B1787F"/>
    <w:rsid w:val="00B179A4"/>
    <w:rsid w:val="00B17B44"/>
    <w:rsid w:val="00B17EEA"/>
    <w:rsid w:val="00B17F7F"/>
    <w:rsid w:val="00B17FB6"/>
    <w:rsid w:val="00B2037F"/>
    <w:rsid w:val="00B2084C"/>
    <w:rsid w:val="00B209B9"/>
    <w:rsid w:val="00B20A45"/>
    <w:rsid w:val="00B20CA9"/>
    <w:rsid w:val="00B20E11"/>
    <w:rsid w:val="00B20E8E"/>
    <w:rsid w:val="00B210D0"/>
    <w:rsid w:val="00B213A4"/>
    <w:rsid w:val="00B2177C"/>
    <w:rsid w:val="00B218C5"/>
    <w:rsid w:val="00B21B4A"/>
    <w:rsid w:val="00B21B99"/>
    <w:rsid w:val="00B22193"/>
    <w:rsid w:val="00B2225A"/>
    <w:rsid w:val="00B22448"/>
    <w:rsid w:val="00B22558"/>
    <w:rsid w:val="00B22B62"/>
    <w:rsid w:val="00B22CCA"/>
    <w:rsid w:val="00B22E87"/>
    <w:rsid w:val="00B22FD6"/>
    <w:rsid w:val="00B2313C"/>
    <w:rsid w:val="00B2338D"/>
    <w:rsid w:val="00B235A4"/>
    <w:rsid w:val="00B235EA"/>
    <w:rsid w:val="00B23627"/>
    <w:rsid w:val="00B2365E"/>
    <w:rsid w:val="00B239BF"/>
    <w:rsid w:val="00B23A5F"/>
    <w:rsid w:val="00B23FC6"/>
    <w:rsid w:val="00B24029"/>
    <w:rsid w:val="00B2424C"/>
    <w:rsid w:val="00B24392"/>
    <w:rsid w:val="00B2445C"/>
    <w:rsid w:val="00B244C5"/>
    <w:rsid w:val="00B2490F"/>
    <w:rsid w:val="00B24CC5"/>
    <w:rsid w:val="00B24EBB"/>
    <w:rsid w:val="00B2568B"/>
    <w:rsid w:val="00B257B3"/>
    <w:rsid w:val="00B258A6"/>
    <w:rsid w:val="00B25946"/>
    <w:rsid w:val="00B25965"/>
    <w:rsid w:val="00B25C4A"/>
    <w:rsid w:val="00B25E56"/>
    <w:rsid w:val="00B26532"/>
    <w:rsid w:val="00B26AD4"/>
    <w:rsid w:val="00B26B4F"/>
    <w:rsid w:val="00B26BE4"/>
    <w:rsid w:val="00B26F60"/>
    <w:rsid w:val="00B26FEC"/>
    <w:rsid w:val="00B27044"/>
    <w:rsid w:val="00B275DD"/>
    <w:rsid w:val="00B279F3"/>
    <w:rsid w:val="00B27E33"/>
    <w:rsid w:val="00B27F9C"/>
    <w:rsid w:val="00B30308"/>
    <w:rsid w:val="00B30864"/>
    <w:rsid w:val="00B30908"/>
    <w:rsid w:val="00B30C6E"/>
    <w:rsid w:val="00B310D7"/>
    <w:rsid w:val="00B31260"/>
    <w:rsid w:val="00B312D8"/>
    <w:rsid w:val="00B312FA"/>
    <w:rsid w:val="00B31348"/>
    <w:rsid w:val="00B31724"/>
    <w:rsid w:val="00B31D4A"/>
    <w:rsid w:val="00B32051"/>
    <w:rsid w:val="00B3238F"/>
    <w:rsid w:val="00B329FF"/>
    <w:rsid w:val="00B32D36"/>
    <w:rsid w:val="00B32EF1"/>
    <w:rsid w:val="00B32F64"/>
    <w:rsid w:val="00B3315D"/>
    <w:rsid w:val="00B331FB"/>
    <w:rsid w:val="00B33217"/>
    <w:rsid w:val="00B33377"/>
    <w:rsid w:val="00B33B88"/>
    <w:rsid w:val="00B33C77"/>
    <w:rsid w:val="00B33C78"/>
    <w:rsid w:val="00B33D81"/>
    <w:rsid w:val="00B33E84"/>
    <w:rsid w:val="00B34009"/>
    <w:rsid w:val="00B342A1"/>
    <w:rsid w:val="00B34941"/>
    <w:rsid w:val="00B34B53"/>
    <w:rsid w:val="00B34DDE"/>
    <w:rsid w:val="00B34E17"/>
    <w:rsid w:val="00B34FBD"/>
    <w:rsid w:val="00B353EB"/>
    <w:rsid w:val="00B355E2"/>
    <w:rsid w:val="00B3597D"/>
    <w:rsid w:val="00B35A92"/>
    <w:rsid w:val="00B35FE9"/>
    <w:rsid w:val="00B35FF8"/>
    <w:rsid w:val="00B3602E"/>
    <w:rsid w:val="00B36540"/>
    <w:rsid w:val="00B3666F"/>
    <w:rsid w:val="00B366E0"/>
    <w:rsid w:val="00B3671A"/>
    <w:rsid w:val="00B368BC"/>
    <w:rsid w:val="00B36A17"/>
    <w:rsid w:val="00B36A40"/>
    <w:rsid w:val="00B36ADD"/>
    <w:rsid w:val="00B36AF8"/>
    <w:rsid w:val="00B36BFE"/>
    <w:rsid w:val="00B36DC9"/>
    <w:rsid w:val="00B36FD6"/>
    <w:rsid w:val="00B371E7"/>
    <w:rsid w:val="00B37317"/>
    <w:rsid w:val="00B3740A"/>
    <w:rsid w:val="00B37423"/>
    <w:rsid w:val="00B377CD"/>
    <w:rsid w:val="00B37E9D"/>
    <w:rsid w:val="00B37ECE"/>
    <w:rsid w:val="00B37F7C"/>
    <w:rsid w:val="00B37FC8"/>
    <w:rsid w:val="00B40564"/>
    <w:rsid w:val="00B40A7F"/>
    <w:rsid w:val="00B40A8A"/>
    <w:rsid w:val="00B411C1"/>
    <w:rsid w:val="00B41512"/>
    <w:rsid w:val="00B41645"/>
    <w:rsid w:val="00B41D5D"/>
    <w:rsid w:val="00B42244"/>
    <w:rsid w:val="00B42252"/>
    <w:rsid w:val="00B422F4"/>
    <w:rsid w:val="00B42567"/>
    <w:rsid w:val="00B4261F"/>
    <w:rsid w:val="00B426CB"/>
    <w:rsid w:val="00B42729"/>
    <w:rsid w:val="00B42A1A"/>
    <w:rsid w:val="00B42B2B"/>
    <w:rsid w:val="00B42C98"/>
    <w:rsid w:val="00B42E09"/>
    <w:rsid w:val="00B42F28"/>
    <w:rsid w:val="00B4306E"/>
    <w:rsid w:val="00B4321E"/>
    <w:rsid w:val="00B43461"/>
    <w:rsid w:val="00B438BD"/>
    <w:rsid w:val="00B43A2D"/>
    <w:rsid w:val="00B43A8A"/>
    <w:rsid w:val="00B43B23"/>
    <w:rsid w:val="00B43B46"/>
    <w:rsid w:val="00B43B61"/>
    <w:rsid w:val="00B43B64"/>
    <w:rsid w:val="00B43D16"/>
    <w:rsid w:val="00B44092"/>
    <w:rsid w:val="00B442AC"/>
    <w:rsid w:val="00B44645"/>
    <w:rsid w:val="00B446D8"/>
    <w:rsid w:val="00B447FB"/>
    <w:rsid w:val="00B44878"/>
    <w:rsid w:val="00B44A69"/>
    <w:rsid w:val="00B44C1A"/>
    <w:rsid w:val="00B44EDC"/>
    <w:rsid w:val="00B45158"/>
    <w:rsid w:val="00B45547"/>
    <w:rsid w:val="00B45594"/>
    <w:rsid w:val="00B45818"/>
    <w:rsid w:val="00B458D3"/>
    <w:rsid w:val="00B459B3"/>
    <w:rsid w:val="00B459B5"/>
    <w:rsid w:val="00B45BD5"/>
    <w:rsid w:val="00B45C2C"/>
    <w:rsid w:val="00B45CC9"/>
    <w:rsid w:val="00B46138"/>
    <w:rsid w:val="00B464F4"/>
    <w:rsid w:val="00B469B9"/>
    <w:rsid w:val="00B46A0B"/>
    <w:rsid w:val="00B46AEF"/>
    <w:rsid w:val="00B46B31"/>
    <w:rsid w:val="00B46B93"/>
    <w:rsid w:val="00B46C58"/>
    <w:rsid w:val="00B4742A"/>
    <w:rsid w:val="00B47667"/>
    <w:rsid w:val="00B476FE"/>
    <w:rsid w:val="00B47832"/>
    <w:rsid w:val="00B47FAF"/>
    <w:rsid w:val="00B501BB"/>
    <w:rsid w:val="00B50652"/>
    <w:rsid w:val="00B50DB5"/>
    <w:rsid w:val="00B50FA7"/>
    <w:rsid w:val="00B510DD"/>
    <w:rsid w:val="00B51270"/>
    <w:rsid w:val="00B512E8"/>
    <w:rsid w:val="00B51533"/>
    <w:rsid w:val="00B515CC"/>
    <w:rsid w:val="00B51976"/>
    <w:rsid w:val="00B51B61"/>
    <w:rsid w:val="00B51F1B"/>
    <w:rsid w:val="00B5208A"/>
    <w:rsid w:val="00B5208C"/>
    <w:rsid w:val="00B520F3"/>
    <w:rsid w:val="00B523C6"/>
    <w:rsid w:val="00B52447"/>
    <w:rsid w:val="00B52708"/>
    <w:rsid w:val="00B528D7"/>
    <w:rsid w:val="00B5293F"/>
    <w:rsid w:val="00B52B1D"/>
    <w:rsid w:val="00B52D4E"/>
    <w:rsid w:val="00B52F7A"/>
    <w:rsid w:val="00B53039"/>
    <w:rsid w:val="00B530C2"/>
    <w:rsid w:val="00B53441"/>
    <w:rsid w:val="00B53834"/>
    <w:rsid w:val="00B53A6D"/>
    <w:rsid w:val="00B53AC2"/>
    <w:rsid w:val="00B53B2D"/>
    <w:rsid w:val="00B53B38"/>
    <w:rsid w:val="00B53BCA"/>
    <w:rsid w:val="00B53F74"/>
    <w:rsid w:val="00B54101"/>
    <w:rsid w:val="00B5438D"/>
    <w:rsid w:val="00B543D6"/>
    <w:rsid w:val="00B54481"/>
    <w:rsid w:val="00B54541"/>
    <w:rsid w:val="00B54656"/>
    <w:rsid w:val="00B54BF0"/>
    <w:rsid w:val="00B54C71"/>
    <w:rsid w:val="00B553A8"/>
    <w:rsid w:val="00B553B2"/>
    <w:rsid w:val="00B55C3A"/>
    <w:rsid w:val="00B55D68"/>
    <w:rsid w:val="00B55E39"/>
    <w:rsid w:val="00B561F6"/>
    <w:rsid w:val="00B566EE"/>
    <w:rsid w:val="00B56A13"/>
    <w:rsid w:val="00B56A49"/>
    <w:rsid w:val="00B56A88"/>
    <w:rsid w:val="00B56D17"/>
    <w:rsid w:val="00B56E3D"/>
    <w:rsid w:val="00B56ECA"/>
    <w:rsid w:val="00B5704F"/>
    <w:rsid w:val="00B572CF"/>
    <w:rsid w:val="00B574A2"/>
    <w:rsid w:val="00B57BBB"/>
    <w:rsid w:val="00B57C7D"/>
    <w:rsid w:val="00B57D3C"/>
    <w:rsid w:val="00B57E0F"/>
    <w:rsid w:val="00B60048"/>
    <w:rsid w:val="00B6018A"/>
    <w:rsid w:val="00B602F5"/>
    <w:rsid w:val="00B60307"/>
    <w:rsid w:val="00B60621"/>
    <w:rsid w:val="00B60DD5"/>
    <w:rsid w:val="00B60EF6"/>
    <w:rsid w:val="00B612A5"/>
    <w:rsid w:val="00B61828"/>
    <w:rsid w:val="00B618FD"/>
    <w:rsid w:val="00B619AC"/>
    <w:rsid w:val="00B61ACC"/>
    <w:rsid w:val="00B61BE2"/>
    <w:rsid w:val="00B61FBC"/>
    <w:rsid w:val="00B6273B"/>
    <w:rsid w:val="00B628D6"/>
    <w:rsid w:val="00B6291F"/>
    <w:rsid w:val="00B629DE"/>
    <w:rsid w:val="00B62C19"/>
    <w:rsid w:val="00B62E74"/>
    <w:rsid w:val="00B62F28"/>
    <w:rsid w:val="00B63136"/>
    <w:rsid w:val="00B634AF"/>
    <w:rsid w:val="00B63633"/>
    <w:rsid w:val="00B63851"/>
    <w:rsid w:val="00B63A39"/>
    <w:rsid w:val="00B63F75"/>
    <w:rsid w:val="00B646A5"/>
    <w:rsid w:val="00B65063"/>
    <w:rsid w:val="00B65355"/>
    <w:rsid w:val="00B65500"/>
    <w:rsid w:val="00B6555D"/>
    <w:rsid w:val="00B65826"/>
    <w:rsid w:val="00B65966"/>
    <w:rsid w:val="00B65C92"/>
    <w:rsid w:val="00B65E68"/>
    <w:rsid w:val="00B66141"/>
    <w:rsid w:val="00B661C1"/>
    <w:rsid w:val="00B6663E"/>
    <w:rsid w:val="00B66865"/>
    <w:rsid w:val="00B66D38"/>
    <w:rsid w:val="00B67188"/>
    <w:rsid w:val="00B671F7"/>
    <w:rsid w:val="00B672F4"/>
    <w:rsid w:val="00B677AB"/>
    <w:rsid w:val="00B67818"/>
    <w:rsid w:val="00B678A9"/>
    <w:rsid w:val="00B67979"/>
    <w:rsid w:val="00B67B02"/>
    <w:rsid w:val="00B67BC2"/>
    <w:rsid w:val="00B67D70"/>
    <w:rsid w:val="00B67EE6"/>
    <w:rsid w:val="00B67FB7"/>
    <w:rsid w:val="00B70039"/>
    <w:rsid w:val="00B702DF"/>
    <w:rsid w:val="00B7035E"/>
    <w:rsid w:val="00B7051E"/>
    <w:rsid w:val="00B7077D"/>
    <w:rsid w:val="00B70968"/>
    <w:rsid w:val="00B70AEF"/>
    <w:rsid w:val="00B70C1D"/>
    <w:rsid w:val="00B70E0E"/>
    <w:rsid w:val="00B70ECE"/>
    <w:rsid w:val="00B70F74"/>
    <w:rsid w:val="00B71234"/>
    <w:rsid w:val="00B7143D"/>
    <w:rsid w:val="00B715C3"/>
    <w:rsid w:val="00B71892"/>
    <w:rsid w:val="00B71DF2"/>
    <w:rsid w:val="00B71E0A"/>
    <w:rsid w:val="00B71FC3"/>
    <w:rsid w:val="00B72447"/>
    <w:rsid w:val="00B72565"/>
    <w:rsid w:val="00B72B81"/>
    <w:rsid w:val="00B72C8E"/>
    <w:rsid w:val="00B72E98"/>
    <w:rsid w:val="00B72FA9"/>
    <w:rsid w:val="00B72FF6"/>
    <w:rsid w:val="00B730FC"/>
    <w:rsid w:val="00B733CD"/>
    <w:rsid w:val="00B73654"/>
    <w:rsid w:val="00B736EC"/>
    <w:rsid w:val="00B73BFA"/>
    <w:rsid w:val="00B740D6"/>
    <w:rsid w:val="00B74248"/>
    <w:rsid w:val="00B7428C"/>
    <w:rsid w:val="00B7431F"/>
    <w:rsid w:val="00B74476"/>
    <w:rsid w:val="00B74DAC"/>
    <w:rsid w:val="00B74DAD"/>
    <w:rsid w:val="00B74F76"/>
    <w:rsid w:val="00B75198"/>
    <w:rsid w:val="00B75246"/>
    <w:rsid w:val="00B7529B"/>
    <w:rsid w:val="00B75413"/>
    <w:rsid w:val="00B755E3"/>
    <w:rsid w:val="00B75601"/>
    <w:rsid w:val="00B756B5"/>
    <w:rsid w:val="00B7584F"/>
    <w:rsid w:val="00B75D83"/>
    <w:rsid w:val="00B75DE8"/>
    <w:rsid w:val="00B761B2"/>
    <w:rsid w:val="00B7628B"/>
    <w:rsid w:val="00B763EB"/>
    <w:rsid w:val="00B7648B"/>
    <w:rsid w:val="00B769ED"/>
    <w:rsid w:val="00B76A2F"/>
    <w:rsid w:val="00B76A32"/>
    <w:rsid w:val="00B76D7B"/>
    <w:rsid w:val="00B76F1D"/>
    <w:rsid w:val="00B773FA"/>
    <w:rsid w:val="00B77596"/>
    <w:rsid w:val="00B775F8"/>
    <w:rsid w:val="00B7798E"/>
    <w:rsid w:val="00B8018C"/>
    <w:rsid w:val="00B80478"/>
    <w:rsid w:val="00B80B29"/>
    <w:rsid w:val="00B80D8D"/>
    <w:rsid w:val="00B80E05"/>
    <w:rsid w:val="00B80F2C"/>
    <w:rsid w:val="00B80F3E"/>
    <w:rsid w:val="00B81175"/>
    <w:rsid w:val="00B812AC"/>
    <w:rsid w:val="00B812DC"/>
    <w:rsid w:val="00B8179F"/>
    <w:rsid w:val="00B81EFD"/>
    <w:rsid w:val="00B8203B"/>
    <w:rsid w:val="00B82271"/>
    <w:rsid w:val="00B824B4"/>
    <w:rsid w:val="00B824BF"/>
    <w:rsid w:val="00B826CE"/>
    <w:rsid w:val="00B82A9B"/>
    <w:rsid w:val="00B82F41"/>
    <w:rsid w:val="00B82F9D"/>
    <w:rsid w:val="00B830DE"/>
    <w:rsid w:val="00B83243"/>
    <w:rsid w:val="00B833BF"/>
    <w:rsid w:val="00B83469"/>
    <w:rsid w:val="00B835A0"/>
    <w:rsid w:val="00B8363A"/>
    <w:rsid w:val="00B83969"/>
    <w:rsid w:val="00B83997"/>
    <w:rsid w:val="00B83B8D"/>
    <w:rsid w:val="00B83C80"/>
    <w:rsid w:val="00B83C9A"/>
    <w:rsid w:val="00B83D47"/>
    <w:rsid w:val="00B84047"/>
    <w:rsid w:val="00B844F6"/>
    <w:rsid w:val="00B845CC"/>
    <w:rsid w:val="00B84767"/>
    <w:rsid w:val="00B848DB"/>
    <w:rsid w:val="00B84947"/>
    <w:rsid w:val="00B849D4"/>
    <w:rsid w:val="00B84FCE"/>
    <w:rsid w:val="00B85041"/>
    <w:rsid w:val="00B85852"/>
    <w:rsid w:val="00B85BE2"/>
    <w:rsid w:val="00B85D1F"/>
    <w:rsid w:val="00B85E76"/>
    <w:rsid w:val="00B85FC2"/>
    <w:rsid w:val="00B86136"/>
    <w:rsid w:val="00B86616"/>
    <w:rsid w:val="00B86B93"/>
    <w:rsid w:val="00B86BCF"/>
    <w:rsid w:val="00B86CDA"/>
    <w:rsid w:val="00B86E1F"/>
    <w:rsid w:val="00B86FC8"/>
    <w:rsid w:val="00B8778B"/>
    <w:rsid w:val="00B8794B"/>
    <w:rsid w:val="00B87CAF"/>
    <w:rsid w:val="00B87D72"/>
    <w:rsid w:val="00B87F22"/>
    <w:rsid w:val="00B9015A"/>
    <w:rsid w:val="00B901DD"/>
    <w:rsid w:val="00B90697"/>
    <w:rsid w:val="00B90919"/>
    <w:rsid w:val="00B90E27"/>
    <w:rsid w:val="00B91498"/>
    <w:rsid w:val="00B91616"/>
    <w:rsid w:val="00B918DF"/>
    <w:rsid w:val="00B91D76"/>
    <w:rsid w:val="00B91DC5"/>
    <w:rsid w:val="00B92651"/>
    <w:rsid w:val="00B928BD"/>
    <w:rsid w:val="00B92B00"/>
    <w:rsid w:val="00B92E2F"/>
    <w:rsid w:val="00B9304A"/>
    <w:rsid w:val="00B930F9"/>
    <w:rsid w:val="00B93301"/>
    <w:rsid w:val="00B93487"/>
    <w:rsid w:val="00B93817"/>
    <w:rsid w:val="00B9384B"/>
    <w:rsid w:val="00B93B04"/>
    <w:rsid w:val="00B93B40"/>
    <w:rsid w:val="00B93D50"/>
    <w:rsid w:val="00B93DBC"/>
    <w:rsid w:val="00B93E07"/>
    <w:rsid w:val="00B93ECD"/>
    <w:rsid w:val="00B93F48"/>
    <w:rsid w:val="00B94023"/>
    <w:rsid w:val="00B94039"/>
    <w:rsid w:val="00B94053"/>
    <w:rsid w:val="00B9425B"/>
    <w:rsid w:val="00B9426D"/>
    <w:rsid w:val="00B944DC"/>
    <w:rsid w:val="00B945D9"/>
    <w:rsid w:val="00B947D2"/>
    <w:rsid w:val="00B94BAC"/>
    <w:rsid w:val="00B94BCF"/>
    <w:rsid w:val="00B94CC5"/>
    <w:rsid w:val="00B954F7"/>
    <w:rsid w:val="00B956FA"/>
    <w:rsid w:val="00B95E2E"/>
    <w:rsid w:val="00B95FA7"/>
    <w:rsid w:val="00B9620D"/>
    <w:rsid w:val="00B965F5"/>
    <w:rsid w:val="00B96747"/>
    <w:rsid w:val="00B967E8"/>
    <w:rsid w:val="00B967F2"/>
    <w:rsid w:val="00B96CD7"/>
    <w:rsid w:val="00B9717F"/>
    <w:rsid w:val="00B9730D"/>
    <w:rsid w:val="00B974E1"/>
    <w:rsid w:val="00B9772B"/>
    <w:rsid w:val="00BA0164"/>
    <w:rsid w:val="00BA0171"/>
    <w:rsid w:val="00BA01BD"/>
    <w:rsid w:val="00BA01DC"/>
    <w:rsid w:val="00BA0206"/>
    <w:rsid w:val="00BA021B"/>
    <w:rsid w:val="00BA095B"/>
    <w:rsid w:val="00BA0A5C"/>
    <w:rsid w:val="00BA0A65"/>
    <w:rsid w:val="00BA0BE4"/>
    <w:rsid w:val="00BA0C76"/>
    <w:rsid w:val="00BA1129"/>
    <w:rsid w:val="00BA1316"/>
    <w:rsid w:val="00BA1D53"/>
    <w:rsid w:val="00BA1DA6"/>
    <w:rsid w:val="00BA1E49"/>
    <w:rsid w:val="00BA1F45"/>
    <w:rsid w:val="00BA203F"/>
    <w:rsid w:val="00BA2127"/>
    <w:rsid w:val="00BA2328"/>
    <w:rsid w:val="00BA2625"/>
    <w:rsid w:val="00BA2853"/>
    <w:rsid w:val="00BA2F4D"/>
    <w:rsid w:val="00BA2F60"/>
    <w:rsid w:val="00BA2FF9"/>
    <w:rsid w:val="00BA3091"/>
    <w:rsid w:val="00BA33B7"/>
    <w:rsid w:val="00BA34EE"/>
    <w:rsid w:val="00BA380E"/>
    <w:rsid w:val="00BA39EE"/>
    <w:rsid w:val="00BA402E"/>
    <w:rsid w:val="00BA40CD"/>
    <w:rsid w:val="00BA4184"/>
    <w:rsid w:val="00BA41D7"/>
    <w:rsid w:val="00BA44DB"/>
    <w:rsid w:val="00BA4568"/>
    <w:rsid w:val="00BA457A"/>
    <w:rsid w:val="00BA4A0B"/>
    <w:rsid w:val="00BA4B38"/>
    <w:rsid w:val="00BA4B7C"/>
    <w:rsid w:val="00BA4BDC"/>
    <w:rsid w:val="00BA4CFE"/>
    <w:rsid w:val="00BA4E15"/>
    <w:rsid w:val="00BA4FB4"/>
    <w:rsid w:val="00BA50BE"/>
    <w:rsid w:val="00BA5434"/>
    <w:rsid w:val="00BA556C"/>
    <w:rsid w:val="00BA5686"/>
    <w:rsid w:val="00BA56FC"/>
    <w:rsid w:val="00BA593B"/>
    <w:rsid w:val="00BA597C"/>
    <w:rsid w:val="00BA59BA"/>
    <w:rsid w:val="00BA5BBD"/>
    <w:rsid w:val="00BA5BC8"/>
    <w:rsid w:val="00BA6473"/>
    <w:rsid w:val="00BA6A9D"/>
    <w:rsid w:val="00BA6D14"/>
    <w:rsid w:val="00BA6F66"/>
    <w:rsid w:val="00BA727F"/>
    <w:rsid w:val="00BA74A1"/>
    <w:rsid w:val="00BA7777"/>
    <w:rsid w:val="00BA77A8"/>
    <w:rsid w:val="00BA7815"/>
    <w:rsid w:val="00BA7939"/>
    <w:rsid w:val="00BA7955"/>
    <w:rsid w:val="00BA7AAB"/>
    <w:rsid w:val="00BA7F66"/>
    <w:rsid w:val="00BB0321"/>
    <w:rsid w:val="00BB03A4"/>
    <w:rsid w:val="00BB0482"/>
    <w:rsid w:val="00BB04CC"/>
    <w:rsid w:val="00BB0847"/>
    <w:rsid w:val="00BB14F4"/>
    <w:rsid w:val="00BB1710"/>
    <w:rsid w:val="00BB1EF4"/>
    <w:rsid w:val="00BB20CC"/>
    <w:rsid w:val="00BB23F1"/>
    <w:rsid w:val="00BB243B"/>
    <w:rsid w:val="00BB24C9"/>
    <w:rsid w:val="00BB28E4"/>
    <w:rsid w:val="00BB292C"/>
    <w:rsid w:val="00BB295D"/>
    <w:rsid w:val="00BB2A3C"/>
    <w:rsid w:val="00BB2CA1"/>
    <w:rsid w:val="00BB2EEC"/>
    <w:rsid w:val="00BB2F44"/>
    <w:rsid w:val="00BB3060"/>
    <w:rsid w:val="00BB3202"/>
    <w:rsid w:val="00BB327D"/>
    <w:rsid w:val="00BB331B"/>
    <w:rsid w:val="00BB34EC"/>
    <w:rsid w:val="00BB359E"/>
    <w:rsid w:val="00BB36DF"/>
    <w:rsid w:val="00BB38B7"/>
    <w:rsid w:val="00BB3FF4"/>
    <w:rsid w:val="00BB419A"/>
    <w:rsid w:val="00BB432B"/>
    <w:rsid w:val="00BB455E"/>
    <w:rsid w:val="00BB4642"/>
    <w:rsid w:val="00BB4911"/>
    <w:rsid w:val="00BB4944"/>
    <w:rsid w:val="00BB4AE4"/>
    <w:rsid w:val="00BB4B3C"/>
    <w:rsid w:val="00BB4B7B"/>
    <w:rsid w:val="00BB4F7B"/>
    <w:rsid w:val="00BB54B2"/>
    <w:rsid w:val="00BB54B9"/>
    <w:rsid w:val="00BB56E4"/>
    <w:rsid w:val="00BB5A64"/>
    <w:rsid w:val="00BB5F20"/>
    <w:rsid w:val="00BB5F51"/>
    <w:rsid w:val="00BB63F4"/>
    <w:rsid w:val="00BB6400"/>
    <w:rsid w:val="00BB6570"/>
    <w:rsid w:val="00BB65B7"/>
    <w:rsid w:val="00BB65F1"/>
    <w:rsid w:val="00BB66A8"/>
    <w:rsid w:val="00BB6989"/>
    <w:rsid w:val="00BB733B"/>
    <w:rsid w:val="00BB759B"/>
    <w:rsid w:val="00BB7704"/>
    <w:rsid w:val="00BB781C"/>
    <w:rsid w:val="00BB782C"/>
    <w:rsid w:val="00BB7A67"/>
    <w:rsid w:val="00BB7CC0"/>
    <w:rsid w:val="00BC0251"/>
    <w:rsid w:val="00BC0359"/>
    <w:rsid w:val="00BC047F"/>
    <w:rsid w:val="00BC05FA"/>
    <w:rsid w:val="00BC07BE"/>
    <w:rsid w:val="00BC0EA9"/>
    <w:rsid w:val="00BC0F2B"/>
    <w:rsid w:val="00BC0F41"/>
    <w:rsid w:val="00BC135F"/>
    <w:rsid w:val="00BC1417"/>
    <w:rsid w:val="00BC1B93"/>
    <w:rsid w:val="00BC1C3B"/>
    <w:rsid w:val="00BC1D01"/>
    <w:rsid w:val="00BC1DF1"/>
    <w:rsid w:val="00BC1F86"/>
    <w:rsid w:val="00BC22A8"/>
    <w:rsid w:val="00BC246D"/>
    <w:rsid w:val="00BC24CD"/>
    <w:rsid w:val="00BC252A"/>
    <w:rsid w:val="00BC2691"/>
    <w:rsid w:val="00BC2DB2"/>
    <w:rsid w:val="00BC3111"/>
    <w:rsid w:val="00BC32A5"/>
    <w:rsid w:val="00BC32B3"/>
    <w:rsid w:val="00BC3361"/>
    <w:rsid w:val="00BC33F1"/>
    <w:rsid w:val="00BC3838"/>
    <w:rsid w:val="00BC3A6F"/>
    <w:rsid w:val="00BC3B53"/>
    <w:rsid w:val="00BC41A7"/>
    <w:rsid w:val="00BC4209"/>
    <w:rsid w:val="00BC4417"/>
    <w:rsid w:val="00BC447F"/>
    <w:rsid w:val="00BC456E"/>
    <w:rsid w:val="00BC4968"/>
    <w:rsid w:val="00BC4C1E"/>
    <w:rsid w:val="00BC4CA2"/>
    <w:rsid w:val="00BC54D6"/>
    <w:rsid w:val="00BC55E7"/>
    <w:rsid w:val="00BC5694"/>
    <w:rsid w:val="00BC58A7"/>
    <w:rsid w:val="00BC6193"/>
    <w:rsid w:val="00BC681F"/>
    <w:rsid w:val="00BC6975"/>
    <w:rsid w:val="00BC69EE"/>
    <w:rsid w:val="00BC6B52"/>
    <w:rsid w:val="00BC6E82"/>
    <w:rsid w:val="00BC74D2"/>
    <w:rsid w:val="00BC75CF"/>
    <w:rsid w:val="00BC7A10"/>
    <w:rsid w:val="00BC7AB5"/>
    <w:rsid w:val="00BC7C64"/>
    <w:rsid w:val="00BC7D43"/>
    <w:rsid w:val="00BC7EF5"/>
    <w:rsid w:val="00BD020C"/>
    <w:rsid w:val="00BD0566"/>
    <w:rsid w:val="00BD061A"/>
    <w:rsid w:val="00BD06F8"/>
    <w:rsid w:val="00BD08B6"/>
    <w:rsid w:val="00BD0A57"/>
    <w:rsid w:val="00BD0C1E"/>
    <w:rsid w:val="00BD111D"/>
    <w:rsid w:val="00BD179D"/>
    <w:rsid w:val="00BD1D08"/>
    <w:rsid w:val="00BD207B"/>
    <w:rsid w:val="00BD2084"/>
    <w:rsid w:val="00BD2109"/>
    <w:rsid w:val="00BD21FB"/>
    <w:rsid w:val="00BD25C5"/>
    <w:rsid w:val="00BD265E"/>
    <w:rsid w:val="00BD2971"/>
    <w:rsid w:val="00BD29A6"/>
    <w:rsid w:val="00BD2AD7"/>
    <w:rsid w:val="00BD2C5D"/>
    <w:rsid w:val="00BD2E09"/>
    <w:rsid w:val="00BD2E35"/>
    <w:rsid w:val="00BD3549"/>
    <w:rsid w:val="00BD35A0"/>
    <w:rsid w:val="00BD378F"/>
    <w:rsid w:val="00BD38B2"/>
    <w:rsid w:val="00BD401F"/>
    <w:rsid w:val="00BD4206"/>
    <w:rsid w:val="00BD4209"/>
    <w:rsid w:val="00BD42CC"/>
    <w:rsid w:val="00BD4398"/>
    <w:rsid w:val="00BD4520"/>
    <w:rsid w:val="00BD47F1"/>
    <w:rsid w:val="00BD4842"/>
    <w:rsid w:val="00BD494B"/>
    <w:rsid w:val="00BD4AB8"/>
    <w:rsid w:val="00BD503A"/>
    <w:rsid w:val="00BD5086"/>
    <w:rsid w:val="00BD53D0"/>
    <w:rsid w:val="00BD55DA"/>
    <w:rsid w:val="00BD5700"/>
    <w:rsid w:val="00BD5769"/>
    <w:rsid w:val="00BD584D"/>
    <w:rsid w:val="00BD5D51"/>
    <w:rsid w:val="00BD5D85"/>
    <w:rsid w:val="00BD5FAD"/>
    <w:rsid w:val="00BD6274"/>
    <w:rsid w:val="00BD62B0"/>
    <w:rsid w:val="00BD640F"/>
    <w:rsid w:val="00BD662C"/>
    <w:rsid w:val="00BD669A"/>
    <w:rsid w:val="00BD6745"/>
    <w:rsid w:val="00BD6779"/>
    <w:rsid w:val="00BD6835"/>
    <w:rsid w:val="00BD7372"/>
    <w:rsid w:val="00BD75C9"/>
    <w:rsid w:val="00BD76A3"/>
    <w:rsid w:val="00BD76EB"/>
    <w:rsid w:val="00BD785B"/>
    <w:rsid w:val="00BD7D39"/>
    <w:rsid w:val="00BD7DB9"/>
    <w:rsid w:val="00BD7E5D"/>
    <w:rsid w:val="00BE0182"/>
    <w:rsid w:val="00BE03AD"/>
    <w:rsid w:val="00BE0665"/>
    <w:rsid w:val="00BE07B6"/>
    <w:rsid w:val="00BE0CCE"/>
    <w:rsid w:val="00BE0DA3"/>
    <w:rsid w:val="00BE0E3E"/>
    <w:rsid w:val="00BE0E64"/>
    <w:rsid w:val="00BE0E9F"/>
    <w:rsid w:val="00BE10F0"/>
    <w:rsid w:val="00BE1125"/>
    <w:rsid w:val="00BE13E3"/>
    <w:rsid w:val="00BE146D"/>
    <w:rsid w:val="00BE157B"/>
    <w:rsid w:val="00BE15B1"/>
    <w:rsid w:val="00BE168F"/>
    <w:rsid w:val="00BE18D4"/>
    <w:rsid w:val="00BE1936"/>
    <w:rsid w:val="00BE1A08"/>
    <w:rsid w:val="00BE1A4C"/>
    <w:rsid w:val="00BE1CAD"/>
    <w:rsid w:val="00BE2167"/>
    <w:rsid w:val="00BE220E"/>
    <w:rsid w:val="00BE2356"/>
    <w:rsid w:val="00BE2405"/>
    <w:rsid w:val="00BE2624"/>
    <w:rsid w:val="00BE26E0"/>
    <w:rsid w:val="00BE2936"/>
    <w:rsid w:val="00BE2DD0"/>
    <w:rsid w:val="00BE2E7D"/>
    <w:rsid w:val="00BE3204"/>
    <w:rsid w:val="00BE32F4"/>
    <w:rsid w:val="00BE3471"/>
    <w:rsid w:val="00BE347C"/>
    <w:rsid w:val="00BE34B1"/>
    <w:rsid w:val="00BE393D"/>
    <w:rsid w:val="00BE3A5A"/>
    <w:rsid w:val="00BE3C7E"/>
    <w:rsid w:val="00BE3FBC"/>
    <w:rsid w:val="00BE4295"/>
    <w:rsid w:val="00BE4CB0"/>
    <w:rsid w:val="00BE4D2E"/>
    <w:rsid w:val="00BE4DA0"/>
    <w:rsid w:val="00BE54AA"/>
    <w:rsid w:val="00BE588E"/>
    <w:rsid w:val="00BE5929"/>
    <w:rsid w:val="00BE5B15"/>
    <w:rsid w:val="00BE5F2F"/>
    <w:rsid w:val="00BE5F61"/>
    <w:rsid w:val="00BE6583"/>
    <w:rsid w:val="00BE65DE"/>
    <w:rsid w:val="00BE671A"/>
    <w:rsid w:val="00BE693E"/>
    <w:rsid w:val="00BE6947"/>
    <w:rsid w:val="00BE6A14"/>
    <w:rsid w:val="00BE6C8F"/>
    <w:rsid w:val="00BE6F7A"/>
    <w:rsid w:val="00BE6FA9"/>
    <w:rsid w:val="00BE70ED"/>
    <w:rsid w:val="00BE7E2E"/>
    <w:rsid w:val="00BE7EA3"/>
    <w:rsid w:val="00BF0135"/>
    <w:rsid w:val="00BF037F"/>
    <w:rsid w:val="00BF0484"/>
    <w:rsid w:val="00BF04A5"/>
    <w:rsid w:val="00BF08DB"/>
    <w:rsid w:val="00BF0960"/>
    <w:rsid w:val="00BF0A4D"/>
    <w:rsid w:val="00BF0CFD"/>
    <w:rsid w:val="00BF0EFA"/>
    <w:rsid w:val="00BF15AC"/>
    <w:rsid w:val="00BF1952"/>
    <w:rsid w:val="00BF19EA"/>
    <w:rsid w:val="00BF1B10"/>
    <w:rsid w:val="00BF1C6F"/>
    <w:rsid w:val="00BF1FE6"/>
    <w:rsid w:val="00BF217B"/>
    <w:rsid w:val="00BF21C1"/>
    <w:rsid w:val="00BF2238"/>
    <w:rsid w:val="00BF23CA"/>
    <w:rsid w:val="00BF2531"/>
    <w:rsid w:val="00BF2809"/>
    <w:rsid w:val="00BF282C"/>
    <w:rsid w:val="00BF2BC5"/>
    <w:rsid w:val="00BF2FEA"/>
    <w:rsid w:val="00BF30D4"/>
    <w:rsid w:val="00BF31FB"/>
    <w:rsid w:val="00BF324A"/>
    <w:rsid w:val="00BF33A4"/>
    <w:rsid w:val="00BF38AF"/>
    <w:rsid w:val="00BF3DC7"/>
    <w:rsid w:val="00BF40A0"/>
    <w:rsid w:val="00BF4213"/>
    <w:rsid w:val="00BF45AB"/>
    <w:rsid w:val="00BF49A7"/>
    <w:rsid w:val="00BF4FED"/>
    <w:rsid w:val="00BF51EC"/>
    <w:rsid w:val="00BF57F5"/>
    <w:rsid w:val="00BF5C37"/>
    <w:rsid w:val="00BF625A"/>
    <w:rsid w:val="00BF6832"/>
    <w:rsid w:val="00BF6D0B"/>
    <w:rsid w:val="00BF6D41"/>
    <w:rsid w:val="00BF6F6D"/>
    <w:rsid w:val="00BF6F85"/>
    <w:rsid w:val="00BF6FD0"/>
    <w:rsid w:val="00BF6FE7"/>
    <w:rsid w:val="00BF7342"/>
    <w:rsid w:val="00BF785B"/>
    <w:rsid w:val="00BF7A8F"/>
    <w:rsid w:val="00BF7CC4"/>
    <w:rsid w:val="00C0018B"/>
    <w:rsid w:val="00C001D5"/>
    <w:rsid w:val="00C00B0E"/>
    <w:rsid w:val="00C00B4E"/>
    <w:rsid w:val="00C00F7F"/>
    <w:rsid w:val="00C0102B"/>
    <w:rsid w:val="00C012EB"/>
    <w:rsid w:val="00C0133D"/>
    <w:rsid w:val="00C01447"/>
    <w:rsid w:val="00C0147C"/>
    <w:rsid w:val="00C014C1"/>
    <w:rsid w:val="00C01748"/>
    <w:rsid w:val="00C01ADE"/>
    <w:rsid w:val="00C01B0F"/>
    <w:rsid w:val="00C01DBB"/>
    <w:rsid w:val="00C01FA8"/>
    <w:rsid w:val="00C020A2"/>
    <w:rsid w:val="00C020D9"/>
    <w:rsid w:val="00C0220F"/>
    <w:rsid w:val="00C0227C"/>
    <w:rsid w:val="00C0264D"/>
    <w:rsid w:val="00C02685"/>
    <w:rsid w:val="00C02904"/>
    <w:rsid w:val="00C02B41"/>
    <w:rsid w:val="00C02F11"/>
    <w:rsid w:val="00C033B3"/>
    <w:rsid w:val="00C03713"/>
    <w:rsid w:val="00C03B41"/>
    <w:rsid w:val="00C03BDD"/>
    <w:rsid w:val="00C03D99"/>
    <w:rsid w:val="00C03EED"/>
    <w:rsid w:val="00C03EEE"/>
    <w:rsid w:val="00C03EF2"/>
    <w:rsid w:val="00C040A9"/>
    <w:rsid w:val="00C0451D"/>
    <w:rsid w:val="00C04979"/>
    <w:rsid w:val="00C04A7C"/>
    <w:rsid w:val="00C04B3D"/>
    <w:rsid w:val="00C04B48"/>
    <w:rsid w:val="00C04C03"/>
    <w:rsid w:val="00C04D5E"/>
    <w:rsid w:val="00C04DF9"/>
    <w:rsid w:val="00C04ECB"/>
    <w:rsid w:val="00C04F17"/>
    <w:rsid w:val="00C053E6"/>
    <w:rsid w:val="00C0554F"/>
    <w:rsid w:val="00C0569B"/>
    <w:rsid w:val="00C056BB"/>
    <w:rsid w:val="00C05A10"/>
    <w:rsid w:val="00C05F65"/>
    <w:rsid w:val="00C0600F"/>
    <w:rsid w:val="00C06172"/>
    <w:rsid w:val="00C06239"/>
    <w:rsid w:val="00C06322"/>
    <w:rsid w:val="00C06361"/>
    <w:rsid w:val="00C063BB"/>
    <w:rsid w:val="00C063FF"/>
    <w:rsid w:val="00C064F9"/>
    <w:rsid w:val="00C06543"/>
    <w:rsid w:val="00C06614"/>
    <w:rsid w:val="00C069AE"/>
    <w:rsid w:val="00C06C0A"/>
    <w:rsid w:val="00C06E43"/>
    <w:rsid w:val="00C06E5A"/>
    <w:rsid w:val="00C0707B"/>
    <w:rsid w:val="00C070B8"/>
    <w:rsid w:val="00C07152"/>
    <w:rsid w:val="00C07541"/>
    <w:rsid w:val="00C076DB"/>
    <w:rsid w:val="00C07A98"/>
    <w:rsid w:val="00C07C25"/>
    <w:rsid w:val="00C07FB0"/>
    <w:rsid w:val="00C10015"/>
    <w:rsid w:val="00C108D5"/>
    <w:rsid w:val="00C11017"/>
    <w:rsid w:val="00C115D9"/>
    <w:rsid w:val="00C118D5"/>
    <w:rsid w:val="00C122F6"/>
    <w:rsid w:val="00C12400"/>
    <w:rsid w:val="00C12414"/>
    <w:rsid w:val="00C126F2"/>
    <w:rsid w:val="00C12E46"/>
    <w:rsid w:val="00C12E4F"/>
    <w:rsid w:val="00C12EA3"/>
    <w:rsid w:val="00C12ECE"/>
    <w:rsid w:val="00C13354"/>
    <w:rsid w:val="00C1348A"/>
    <w:rsid w:val="00C1348D"/>
    <w:rsid w:val="00C13819"/>
    <w:rsid w:val="00C13A8B"/>
    <w:rsid w:val="00C13D2C"/>
    <w:rsid w:val="00C13E2E"/>
    <w:rsid w:val="00C13EC6"/>
    <w:rsid w:val="00C142B6"/>
    <w:rsid w:val="00C14433"/>
    <w:rsid w:val="00C14561"/>
    <w:rsid w:val="00C14AC4"/>
    <w:rsid w:val="00C14C00"/>
    <w:rsid w:val="00C14C42"/>
    <w:rsid w:val="00C14DC6"/>
    <w:rsid w:val="00C14FA6"/>
    <w:rsid w:val="00C150B2"/>
    <w:rsid w:val="00C152F5"/>
    <w:rsid w:val="00C15509"/>
    <w:rsid w:val="00C1566B"/>
    <w:rsid w:val="00C156D3"/>
    <w:rsid w:val="00C157C4"/>
    <w:rsid w:val="00C1581B"/>
    <w:rsid w:val="00C159F6"/>
    <w:rsid w:val="00C1625D"/>
    <w:rsid w:val="00C164AF"/>
    <w:rsid w:val="00C16B05"/>
    <w:rsid w:val="00C174C0"/>
    <w:rsid w:val="00C176D3"/>
    <w:rsid w:val="00C2014B"/>
    <w:rsid w:val="00C20256"/>
    <w:rsid w:val="00C204BA"/>
    <w:rsid w:val="00C2073E"/>
    <w:rsid w:val="00C20831"/>
    <w:rsid w:val="00C20A0D"/>
    <w:rsid w:val="00C21236"/>
    <w:rsid w:val="00C213E7"/>
    <w:rsid w:val="00C218A0"/>
    <w:rsid w:val="00C218B2"/>
    <w:rsid w:val="00C21C43"/>
    <w:rsid w:val="00C21C7C"/>
    <w:rsid w:val="00C21F64"/>
    <w:rsid w:val="00C22452"/>
    <w:rsid w:val="00C224CB"/>
    <w:rsid w:val="00C2264D"/>
    <w:rsid w:val="00C22A4F"/>
    <w:rsid w:val="00C22B53"/>
    <w:rsid w:val="00C22C39"/>
    <w:rsid w:val="00C22DDC"/>
    <w:rsid w:val="00C23077"/>
    <w:rsid w:val="00C23112"/>
    <w:rsid w:val="00C23246"/>
    <w:rsid w:val="00C23282"/>
    <w:rsid w:val="00C23488"/>
    <w:rsid w:val="00C235CB"/>
    <w:rsid w:val="00C236A0"/>
    <w:rsid w:val="00C237CD"/>
    <w:rsid w:val="00C2380B"/>
    <w:rsid w:val="00C238CC"/>
    <w:rsid w:val="00C23B33"/>
    <w:rsid w:val="00C23E2A"/>
    <w:rsid w:val="00C23E77"/>
    <w:rsid w:val="00C23E7C"/>
    <w:rsid w:val="00C2406A"/>
    <w:rsid w:val="00C24081"/>
    <w:rsid w:val="00C242B0"/>
    <w:rsid w:val="00C2449B"/>
    <w:rsid w:val="00C2459D"/>
    <w:rsid w:val="00C2462E"/>
    <w:rsid w:val="00C2477A"/>
    <w:rsid w:val="00C24D17"/>
    <w:rsid w:val="00C252A1"/>
    <w:rsid w:val="00C253C2"/>
    <w:rsid w:val="00C254A1"/>
    <w:rsid w:val="00C25AE7"/>
    <w:rsid w:val="00C25D88"/>
    <w:rsid w:val="00C25DDC"/>
    <w:rsid w:val="00C25F8B"/>
    <w:rsid w:val="00C260B9"/>
    <w:rsid w:val="00C260BA"/>
    <w:rsid w:val="00C26161"/>
    <w:rsid w:val="00C26378"/>
    <w:rsid w:val="00C26397"/>
    <w:rsid w:val="00C2640E"/>
    <w:rsid w:val="00C2648F"/>
    <w:rsid w:val="00C26733"/>
    <w:rsid w:val="00C2685F"/>
    <w:rsid w:val="00C26A89"/>
    <w:rsid w:val="00C26CD5"/>
    <w:rsid w:val="00C26D8A"/>
    <w:rsid w:val="00C273F9"/>
    <w:rsid w:val="00C27416"/>
    <w:rsid w:val="00C27781"/>
    <w:rsid w:val="00C27A0F"/>
    <w:rsid w:val="00C27B3B"/>
    <w:rsid w:val="00C30007"/>
    <w:rsid w:val="00C300B4"/>
    <w:rsid w:val="00C301BE"/>
    <w:rsid w:val="00C30222"/>
    <w:rsid w:val="00C3032F"/>
    <w:rsid w:val="00C3049E"/>
    <w:rsid w:val="00C30579"/>
    <w:rsid w:val="00C30694"/>
    <w:rsid w:val="00C308EA"/>
    <w:rsid w:val="00C30A75"/>
    <w:rsid w:val="00C30ED6"/>
    <w:rsid w:val="00C314BE"/>
    <w:rsid w:val="00C31591"/>
    <w:rsid w:val="00C315EB"/>
    <w:rsid w:val="00C31651"/>
    <w:rsid w:val="00C31848"/>
    <w:rsid w:val="00C3193D"/>
    <w:rsid w:val="00C31A75"/>
    <w:rsid w:val="00C31D43"/>
    <w:rsid w:val="00C31F02"/>
    <w:rsid w:val="00C32034"/>
    <w:rsid w:val="00C32055"/>
    <w:rsid w:val="00C321BA"/>
    <w:rsid w:val="00C322FD"/>
    <w:rsid w:val="00C32644"/>
    <w:rsid w:val="00C3285F"/>
    <w:rsid w:val="00C32C0C"/>
    <w:rsid w:val="00C32F73"/>
    <w:rsid w:val="00C32FFA"/>
    <w:rsid w:val="00C33438"/>
    <w:rsid w:val="00C33463"/>
    <w:rsid w:val="00C339AB"/>
    <w:rsid w:val="00C33A78"/>
    <w:rsid w:val="00C33D50"/>
    <w:rsid w:val="00C33D83"/>
    <w:rsid w:val="00C34392"/>
    <w:rsid w:val="00C34635"/>
    <w:rsid w:val="00C34827"/>
    <w:rsid w:val="00C348B1"/>
    <w:rsid w:val="00C34A4C"/>
    <w:rsid w:val="00C34B50"/>
    <w:rsid w:val="00C34E43"/>
    <w:rsid w:val="00C34E9F"/>
    <w:rsid w:val="00C34FCF"/>
    <w:rsid w:val="00C35194"/>
    <w:rsid w:val="00C35324"/>
    <w:rsid w:val="00C35651"/>
    <w:rsid w:val="00C35737"/>
    <w:rsid w:val="00C35738"/>
    <w:rsid w:val="00C357F1"/>
    <w:rsid w:val="00C35A92"/>
    <w:rsid w:val="00C35B3E"/>
    <w:rsid w:val="00C35DA2"/>
    <w:rsid w:val="00C35DEB"/>
    <w:rsid w:val="00C360D4"/>
    <w:rsid w:val="00C3646E"/>
    <w:rsid w:val="00C365B0"/>
    <w:rsid w:val="00C36799"/>
    <w:rsid w:val="00C367CB"/>
    <w:rsid w:val="00C369B7"/>
    <w:rsid w:val="00C36B22"/>
    <w:rsid w:val="00C36ED9"/>
    <w:rsid w:val="00C36F09"/>
    <w:rsid w:val="00C372C2"/>
    <w:rsid w:val="00C37402"/>
    <w:rsid w:val="00C3786F"/>
    <w:rsid w:val="00C37966"/>
    <w:rsid w:val="00C37AA6"/>
    <w:rsid w:val="00C37B3C"/>
    <w:rsid w:val="00C37CDA"/>
    <w:rsid w:val="00C401D9"/>
    <w:rsid w:val="00C4029E"/>
    <w:rsid w:val="00C40376"/>
    <w:rsid w:val="00C40424"/>
    <w:rsid w:val="00C404A3"/>
    <w:rsid w:val="00C404CD"/>
    <w:rsid w:val="00C404D7"/>
    <w:rsid w:val="00C407D1"/>
    <w:rsid w:val="00C40B0B"/>
    <w:rsid w:val="00C40E8D"/>
    <w:rsid w:val="00C40F8F"/>
    <w:rsid w:val="00C41393"/>
    <w:rsid w:val="00C418E4"/>
    <w:rsid w:val="00C41BE1"/>
    <w:rsid w:val="00C41F05"/>
    <w:rsid w:val="00C42150"/>
    <w:rsid w:val="00C423B8"/>
    <w:rsid w:val="00C424F4"/>
    <w:rsid w:val="00C42857"/>
    <w:rsid w:val="00C42B0E"/>
    <w:rsid w:val="00C42D4D"/>
    <w:rsid w:val="00C42E05"/>
    <w:rsid w:val="00C42F3A"/>
    <w:rsid w:val="00C433D4"/>
    <w:rsid w:val="00C43562"/>
    <w:rsid w:val="00C435E6"/>
    <w:rsid w:val="00C4387F"/>
    <w:rsid w:val="00C43F0A"/>
    <w:rsid w:val="00C44001"/>
    <w:rsid w:val="00C44175"/>
    <w:rsid w:val="00C4446C"/>
    <w:rsid w:val="00C445A3"/>
    <w:rsid w:val="00C44833"/>
    <w:rsid w:val="00C44908"/>
    <w:rsid w:val="00C45296"/>
    <w:rsid w:val="00C457E4"/>
    <w:rsid w:val="00C45BC4"/>
    <w:rsid w:val="00C45DDB"/>
    <w:rsid w:val="00C45E9F"/>
    <w:rsid w:val="00C4600B"/>
    <w:rsid w:val="00C462A7"/>
    <w:rsid w:val="00C46617"/>
    <w:rsid w:val="00C46AC8"/>
    <w:rsid w:val="00C46BF8"/>
    <w:rsid w:val="00C46ED6"/>
    <w:rsid w:val="00C46F59"/>
    <w:rsid w:val="00C46F86"/>
    <w:rsid w:val="00C471EE"/>
    <w:rsid w:val="00C4749C"/>
    <w:rsid w:val="00C47650"/>
    <w:rsid w:val="00C477DB"/>
    <w:rsid w:val="00C477DD"/>
    <w:rsid w:val="00C47952"/>
    <w:rsid w:val="00C47C85"/>
    <w:rsid w:val="00C47CD1"/>
    <w:rsid w:val="00C47FE4"/>
    <w:rsid w:val="00C50076"/>
    <w:rsid w:val="00C50155"/>
    <w:rsid w:val="00C50926"/>
    <w:rsid w:val="00C50B57"/>
    <w:rsid w:val="00C50D44"/>
    <w:rsid w:val="00C51C2A"/>
    <w:rsid w:val="00C51EC8"/>
    <w:rsid w:val="00C51F9A"/>
    <w:rsid w:val="00C522DD"/>
    <w:rsid w:val="00C5258C"/>
    <w:rsid w:val="00C52607"/>
    <w:rsid w:val="00C52F90"/>
    <w:rsid w:val="00C530B7"/>
    <w:rsid w:val="00C53220"/>
    <w:rsid w:val="00C5343E"/>
    <w:rsid w:val="00C53554"/>
    <w:rsid w:val="00C53635"/>
    <w:rsid w:val="00C5369F"/>
    <w:rsid w:val="00C53751"/>
    <w:rsid w:val="00C53B6B"/>
    <w:rsid w:val="00C53D92"/>
    <w:rsid w:val="00C53F01"/>
    <w:rsid w:val="00C53F3B"/>
    <w:rsid w:val="00C540A3"/>
    <w:rsid w:val="00C540BD"/>
    <w:rsid w:val="00C5413C"/>
    <w:rsid w:val="00C547FC"/>
    <w:rsid w:val="00C54967"/>
    <w:rsid w:val="00C54CEB"/>
    <w:rsid w:val="00C54CF0"/>
    <w:rsid w:val="00C5507D"/>
    <w:rsid w:val="00C550E8"/>
    <w:rsid w:val="00C5571D"/>
    <w:rsid w:val="00C557A4"/>
    <w:rsid w:val="00C55891"/>
    <w:rsid w:val="00C558F8"/>
    <w:rsid w:val="00C55972"/>
    <w:rsid w:val="00C55B09"/>
    <w:rsid w:val="00C55CA9"/>
    <w:rsid w:val="00C55FB4"/>
    <w:rsid w:val="00C5603A"/>
    <w:rsid w:val="00C5614B"/>
    <w:rsid w:val="00C56379"/>
    <w:rsid w:val="00C56643"/>
    <w:rsid w:val="00C56855"/>
    <w:rsid w:val="00C56EA5"/>
    <w:rsid w:val="00C574BC"/>
    <w:rsid w:val="00C57610"/>
    <w:rsid w:val="00C57681"/>
    <w:rsid w:val="00C577BC"/>
    <w:rsid w:val="00C579F0"/>
    <w:rsid w:val="00C57C50"/>
    <w:rsid w:val="00C603BC"/>
    <w:rsid w:val="00C608E5"/>
    <w:rsid w:val="00C60CE2"/>
    <w:rsid w:val="00C60FFF"/>
    <w:rsid w:val="00C61326"/>
    <w:rsid w:val="00C61892"/>
    <w:rsid w:val="00C618EA"/>
    <w:rsid w:val="00C61918"/>
    <w:rsid w:val="00C61D5A"/>
    <w:rsid w:val="00C6228D"/>
    <w:rsid w:val="00C62363"/>
    <w:rsid w:val="00C628BB"/>
    <w:rsid w:val="00C62A2D"/>
    <w:rsid w:val="00C62AA9"/>
    <w:rsid w:val="00C62CCA"/>
    <w:rsid w:val="00C62EB9"/>
    <w:rsid w:val="00C6307D"/>
    <w:rsid w:val="00C63155"/>
    <w:rsid w:val="00C63160"/>
    <w:rsid w:val="00C632B6"/>
    <w:rsid w:val="00C6347F"/>
    <w:rsid w:val="00C639A9"/>
    <w:rsid w:val="00C63B63"/>
    <w:rsid w:val="00C6453A"/>
    <w:rsid w:val="00C64743"/>
    <w:rsid w:val="00C64802"/>
    <w:rsid w:val="00C64821"/>
    <w:rsid w:val="00C64BC0"/>
    <w:rsid w:val="00C64D8D"/>
    <w:rsid w:val="00C64DB3"/>
    <w:rsid w:val="00C65407"/>
    <w:rsid w:val="00C65427"/>
    <w:rsid w:val="00C65896"/>
    <w:rsid w:val="00C65D40"/>
    <w:rsid w:val="00C65E1A"/>
    <w:rsid w:val="00C65F03"/>
    <w:rsid w:val="00C66283"/>
    <w:rsid w:val="00C66610"/>
    <w:rsid w:val="00C66777"/>
    <w:rsid w:val="00C668A0"/>
    <w:rsid w:val="00C66DB3"/>
    <w:rsid w:val="00C66F07"/>
    <w:rsid w:val="00C67075"/>
    <w:rsid w:val="00C6712A"/>
    <w:rsid w:val="00C67A42"/>
    <w:rsid w:val="00C67C26"/>
    <w:rsid w:val="00C67CA3"/>
    <w:rsid w:val="00C70316"/>
    <w:rsid w:val="00C70417"/>
    <w:rsid w:val="00C70733"/>
    <w:rsid w:val="00C7075F"/>
    <w:rsid w:val="00C70A22"/>
    <w:rsid w:val="00C70B47"/>
    <w:rsid w:val="00C70C0F"/>
    <w:rsid w:val="00C70D99"/>
    <w:rsid w:val="00C70EC0"/>
    <w:rsid w:val="00C70ECB"/>
    <w:rsid w:val="00C70F35"/>
    <w:rsid w:val="00C71000"/>
    <w:rsid w:val="00C71253"/>
    <w:rsid w:val="00C71323"/>
    <w:rsid w:val="00C71748"/>
    <w:rsid w:val="00C71D7B"/>
    <w:rsid w:val="00C71E86"/>
    <w:rsid w:val="00C71E8D"/>
    <w:rsid w:val="00C71F1C"/>
    <w:rsid w:val="00C72B9B"/>
    <w:rsid w:val="00C72B9E"/>
    <w:rsid w:val="00C72BFF"/>
    <w:rsid w:val="00C72F90"/>
    <w:rsid w:val="00C732E4"/>
    <w:rsid w:val="00C734B0"/>
    <w:rsid w:val="00C736F8"/>
    <w:rsid w:val="00C73853"/>
    <w:rsid w:val="00C738B7"/>
    <w:rsid w:val="00C73C3A"/>
    <w:rsid w:val="00C74230"/>
    <w:rsid w:val="00C7430B"/>
    <w:rsid w:val="00C74368"/>
    <w:rsid w:val="00C743B3"/>
    <w:rsid w:val="00C74480"/>
    <w:rsid w:val="00C74548"/>
    <w:rsid w:val="00C7469E"/>
    <w:rsid w:val="00C74A4D"/>
    <w:rsid w:val="00C74B0A"/>
    <w:rsid w:val="00C75546"/>
    <w:rsid w:val="00C75684"/>
    <w:rsid w:val="00C756C5"/>
    <w:rsid w:val="00C758FF"/>
    <w:rsid w:val="00C7597F"/>
    <w:rsid w:val="00C75C2D"/>
    <w:rsid w:val="00C75C72"/>
    <w:rsid w:val="00C75E2D"/>
    <w:rsid w:val="00C75EC0"/>
    <w:rsid w:val="00C75F26"/>
    <w:rsid w:val="00C7619B"/>
    <w:rsid w:val="00C761A5"/>
    <w:rsid w:val="00C761D9"/>
    <w:rsid w:val="00C76374"/>
    <w:rsid w:val="00C76431"/>
    <w:rsid w:val="00C767D5"/>
    <w:rsid w:val="00C76918"/>
    <w:rsid w:val="00C76946"/>
    <w:rsid w:val="00C76D8B"/>
    <w:rsid w:val="00C76E62"/>
    <w:rsid w:val="00C76EF3"/>
    <w:rsid w:val="00C76FE8"/>
    <w:rsid w:val="00C7732A"/>
    <w:rsid w:val="00C777FB"/>
    <w:rsid w:val="00C778A4"/>
    <w:rsid w:val="00C77CB6"/>
    <w:rsid w:val="00C77EF9"/>
    <w:rsid w:val="00C80100"/>
    <w:rsid w:val="00C80243"/>
    <w:rsid w:val="00C80520"/>
    <w:rsid w:val="00C80751"/>
    <w:rsid w:val="00C809F8"/>
    <w:rsid w:val="00C80A74"/>
    <w:rsid w:val="00C80B69"/>
    <w:rsid w:val="00C811F9"/>
    <w:rsid w:val="00C815BE"/>
    <w:rsid w:val="00C81C97"/>
    <w:rsid w:val="00C81D90"/>
    <w:rsid w:val="00C81DA3"/>
    <w:rsid w:val="00C81E24"/>
    <w:rsid w:val="00C82262"/>
    <w:rsid w:val="00C823CB"/>
    <w:rsid w:val="00C82651"/>
    <w:rsid w:val="00C82898"/>
    <w:rsid w:val="00C82C08"/>
    <w:rsid w:val="00C835D4"/>
    <w:rsid w:val="00C83655"/>
    <w:rsid w:val="00C837EF"/>
    <w:rsid w:val="00C8385A"/>
    <w:rsid w:val="00C83C00"/>
    <w:rsid w:val="00C83DB0"/>
    <w:rsid w:val="00C83EA5"/>
    <w:rsid w:val="00C83FEC"/>
    <w:rsid w:val="00C83FF0"/>
    <w:rsid w:val="00C84089"/>
    <w:rsid w:val="00C8444B"/>
    <w:rsid w:val="00C845AC"/>
    <w:rsid w:val="00C846B1"/>
    <w:rsid w:val="00C84EB3"/>
    <w:rsid w:val="00C8520A"/>
    <w:rsid w:val="00C8533A"/>
    <w:rsid w:val="00C85691"/>
    <w:rsid w:val="00C857FA"/>
    <w:rsid w:val="00C85B28"/>
    <w:rsid w:val="00C85FEA"/>
    <w:rsid w:val="00C861CD"/>
    <w:rsid w:val="00C8647A"/>
    <w:rsid w:val="00C864C5"/>
    <w:rsid w:val="00C8650C"/>
    <w:rsid w:val="00C866DA"/>
    <w:rsid w:val="00C86744"/>
    <w:rsid w:val="00C867BB"/>
    <w:rsid w:val="00C869DB"/>
    <w:rsid w:val="00C86C33"/>
    <w:rsid w:val="00C86D80"/>
    <w:rsid w:val="00C873FB"/>
    <w:rsid w:val="00C87518"/>
    <w:rsid w:val="00C87625"/>
    <w:rsid w:val="00C87769"/>
    <w:rsid w:val="00C877A5"/>
    <w:rsid w:val="00C87AA8"/>
    <w:rsid w:val="00C87B61"/>
    <w:rsid w:val="00C87C8D"/>
    <w:rsid w:val="00C87D5A"/>
    <w:rsid w:val="00C87F6B"/>
    <w:rsid w:val="00C901AD"/>
    <w:rsid w:val="00C90240"/>
    <w:rsid w:val="00C902DC"/>
    <w:rsid w:val="00C903F1"/>
    <w:rsid w:val="00C905F6"/>
    <w:rsid w:val="00C90905"/>
    <w:rsid w:val="00C90A4A"/>
    <w:rsid w:val="00C90BAF"/>
    <w:rsid w:val="00C90EFB"/>
    <w:rsid w:val="00C91042"/>
    <w:rsid w:val="00C910F1"/>
    <w:rsid w:val="00C911CA"/>
    <w:rsid w:val="00C914CE"/>
    <w:rsid w:val="00C91723"/>
    <w:rsid w:val="00C917F4"/>
    <w:rsid w:val="00C91C39"/>
    <w:rsid w:val="00C923B9"/>
    <w:rsid w:val="00C926B7"/>
    <w:rsid w:val="00C9274E"/>
    <w:rsid w:val="00C92CDD"/>
    <w:rsid w:val="00C92D4A"/>
    <w:rsid w:val="00C92E07"/>
    <w:rsid w:val="00C92E55"/>
    <w:rsid w:val="00C92E77"/>
    <w:rsid w:val="00C932F1"/>
    <w:rsid w:val="00C932F6"/>
    <w:rsid w:val="00C9341E"/>
    <w:rsid w:val="00C9343A"/>
    <w:rsid w:val="00C93983"/>
    <w:rsid w:val="00C93B26"/>
    <w:rsid w:val="00C93FA1"/>
    <w:rsid w:val="00C94090"/>
    <w:rsid w:val="00C9422C"/>
    <w:rsid w:val="00C9425E"/>
    <w:rsid w:val="00C943AD"/>
    <w:rsid w:val="00C948A7"/>
    <w:rsid w:val="00C94A26"/>
    <w:rsid w:val="00C94A65"/>
    <w:rsid w:val="00C94BDE"/>
    <w:rsid w:val="00C94D7F"/>
    <w:rsid w:val="00C94DBA"/>
    <w:rsid w:val="00C94F13"/>
    <w:rsid w:val="00C94F60"/>
    <w:rsid w:val="00C9524E"/>
    <w:rsid w:val="00C95284"/>
    <w:rsid w:val="00C953B0"/>
    <w:rsid w:val="00C95575"/>
    <w:rsid w:val="00C956A9"/>
    <w:rsid w:val="00C95851"/>
    <w:rsid w:val="00C958DA"/>
    <w:rsid w:val="00C95984"/>
    <w:rsid w:val="00C95C6E"/>
    <w:rsid w:val="00C9654F"/>
    <w:rsid w:val="00C9682D"/>
    <w:rsid w:val="00C968CC"/>
    <w:rsid w:val="00C97A09"/>
    <w:rsid w:val="00C97C71"/>
    <w:rsid w:val="00C97E3A"/>
    <w:rsid w:val="00CA013A"/>
    <w:rsid w:val="00CA01EA"/>
    <w:rsid w:val="00CA03BB"/>
    <w:rsid w:val="00CA0643"/>
    <w:rsid w:val="00CA07B4"/>
    <w:rsid w:val="00CA0810"/>
    <w:rsid w:val="00CA0B11"/>
    <w:rsid w:val="00CA0BE3"/>
    <w:rsid w:val="00CA0ED0"/>
    <w:rsid w:val="00CA0FDD"/>
    <w:rsid w:val="00CA1224"/>
    <w:rsid w:val="00CA19B3"/>
    <w:rsid w:val="00CA1DD1"/>
    <w:rsid w:val="00CA1F68"/>
    <w:rsid w:val="00CA20E6"/>
    <w:rsid w:val="00CA224F"/>
    <w:rsid w:val="00CA2566"/>
    <w:rsid w:val="00CA3290"/>
    <w:rsid w:val="00CA37A6"/>
    <w:rsid w:val="00CA37A8"/>
    <w:rsid w:val="00CA37F7"/>
    <w:rsid w:val="00CA399F"/>
    <w:rsid w:val="00CA3B71"/>
    <w:rsid w:val="00CA3BEB"/>
    <w:rsid w:val="00CA3FCD"/>
    <w:rsid w:val="00CA408C"/>
    <w:rsid w:val="00CA40D6"/>
    <w:rsid w:val="00CA4118"/>
    <w:rsid w:val="00CA44BD"/>
    <w:rsid w:val="00CA4745"/>
    <w:rsid w:val="00CA4D0C"/>
    <w:rsid w:val="00CA4D91"/>
    <w:rsid w:val="00CA5165"/>
    <w:rsid w:val="00CA52D8"/>
    <w:rsid w:val="00CA550F"/>
    <w:rsid w:val="00CA5B5F"/>
    <w:rsid w:val="00CA5BD1"/>
    <w:rsid w:val="00CA5D73"/>
    <w:rsid w:val="00CA617F"/>
    <w:rsid w:val="00CA6285"/>
    <w:rsid w:val="00CA6324"/>
    <w:rsid w:val="00CA6CFB"/>
    <w:rsid w:val="00CA6E8E"/>
    <w:rsid w:val="00CA6E94"/>
    <w:rsid w:val="00CA6ED4"/>
    <w:rsid w:val="00CA6EE4"/>
    <w:rsid w:val="00CA7135"/>
    <w:rsid w:val="00CA74E3"/>
    <w:rsid w:val="00CA7721"/>
    <w:rsid w:val="00CA7A0E"/>
    <w:rsid w:val="00CA7A8C"/>
    <w:rsid w:val="00CA7C7A"/>
    <w:rsid w:val="00CA7DCF"/>
    <w:rsid w:val="00CA7FD8"/>
    <w:rsid w:val="00CB01EE"/>
    <w:rsid w:val="00CB0441"/>
    <w:rsid w:val="00CB067C"/>
    <w:rsid w:val="00CB0742"/>
    <w:rsid w:val="00CB0796"/>
    <w:rsid w:val="00CB0B12"/>
    <w:rsid w:val="00CB128C"/>
    <w:rsid w:val="00CB18BC"/>
    <w:rsid w:val="00CB19D2"/>
    <w:rsid w:val="00CB1CCE"/>
    <w:rsid w:val="00CB20FC"/>
    <w:rsid w:val="00CB2585"/>
    <w:rsid w:val="00CB29A6"/>
    <w:rsid w:val="00CB2BE0"/>
    <w:rsid w:val="00CB2E09"/>
    <w:rsid w:val="00CB3226"/>
    <w:rsid w:val="00CB33AA"/>
    <w:rsid w:val="00CB3771"/>
    <w:rsid w:val="00CB38CE"/>
    <w:rsid w:val="00CB3C1B"/>
    <w:rsid w:val="00CB3C64"/>
    <w:rsid w:val="00CB3E80"/>
    <w:rsid w:val="00CB43F9"/>
    <w:rsid w:val="00CB4448"/>
    <w:rsid w:val="00CB4858"/>
    <w:rsid w:val="00CB4883"/>
    <w:rsid w:val="00CB4BFB"/>
    <w:rsid w:val="00CB4DE9"/>
    <w:rsid w:val="00CB4E03"/>
    <w:rsid w:val="00CB4F31"/>
    <w:rsid w:val="00CB51C8"/>
    <w:rsid w:val="00CB51DC"/>
    <w:rsid w:val="00CB54D2"/>
    <w:rsid w:val="00CB566D"/>
    <w:rsid w:val="00CB573B"/>
    <w:rsid w:val="00CB5F58"/>
    <w:rsid w:val="00CB5FB0"/>
    <w:rsid w:val="00CB5FF8"/>
    <w:rsid w:val="00CB6105"/>
    <w:rsid w:val="00CB63B0"/>
    <w:rsid w:val="00CB648D"/>
    <w:rsid w:val="00CB6FC7"/>
    <w:rsid w:val="00CB71ED"/>
    <w:rsid w:val="00CB7230"/>
    <w:rsid w:val="00CB72D5"/>
    <w:rsid w:val="00CB7A81"/>
    <w:rsid w:val="00CB7BB0"/>
    <w:rsid w:val="00CB7CA8"/>
    <w:rsid w:val="00CC0499"/>
    <w:rsid w:val="00CC0BB4"/>
    <w:rsid w:val="00CC15E4"/>
    <w:rsid w:val="00CC17AF"/>
    <w:rsid w:val="00CC1965"/>
    <w:rsid w:val="00CC1A53"/>
    <w:rsid w:val="00CC1B24"/>
    <w:rsid w:val="00CC2267"/>
    <w:rsid w:val="00CC234D"/>
    <w:rsid w:val="00CC2A37"/>
    <w:rsid w:val="00CC2A84"/>
    <w:rsid w:val="00CC2D3E"/>
    <w:rsid w:val="00CC30A5"/>
    <w:rsid w:val="00CC37BB"/>
    <w:rsid w:val="00CC386E"/>
    <w:rsid w:val="00CC387D"/>
    <w:rsid w:val="00CC3BFD"/>
    <w:rsid w:val="00CC3E88"/>
    <w:rsid w:val="00CC3F05"/>
    <w:rsid w:val="00CC42EE"/>
    <w:rsid w:val="00CC432B"/>
    <w:rsid w:val="00CC4351"/>
    <w:rsid w:val="00CC4446"/>
    <w:rsid w:val="00CC466A"/>
    <w:rsid w:val="00CC4858"/>
    <w:rsid w:val="00CC499A"/>
    <w:rsid w:val="00CC4B49"/>
    <w:rsid w:val="00CC4C68"/>
    <w:rsid w:val="00CC4E27"/>
    <w:rsid w:val="00CC52CF"/>
    <w:rsid w:val="00CC5FD6"/>
    <w:rsid w:val="00CC617B"/>
    <w:rsid w:val="00CC66B7"/>
    <w:rsid w:val="00CC6E91"/>
    <w:rsid w:val="00CC706B"/>
    <w:rsid w:val="00CC7716"/>
    <w:rsid w:val="00CC7A24"/>
    <w:rsid w:val="00CD0147"/>
    <w:rsid w:val="00CD027E"/>
    <w:rsid w:val="00CD0384"/>
    <w:rsid w:val="00CD0799"/>
    <w:rsid w:val="00CD08A9"/>
    <w:rsid w:val="00CD0C68"/>
    <w:rsid w:val="00CD0CD8"/>
    <w:rsid w:val="00CD0CFE"/>
    <w:rsid w:val="00CD0D77"/>
    <w:rsid w:val="00CD14B0"/>
    <w:rsid w:val="00CD17C6"/>
    <w:rsid w:val="00CD1855"/>
    <w:rsid w:val="00CD1907"/>
    <w:rsid w:val="00CD1AB5"/>
    <w:rsid w:val="00CD1DE3"/>
    <w:rsid w:val="00CD1E30"/>
    <w:rsid w:val="00CD1EC1"/>
    <w:rsid w:val="00CD21AA"/>
    <w:rsid w:val="00CD279C"/>
    <w:rsid w:val="00CD2A49"/>
    <w:rsid w:val="00CD2C32"/>
    <w:rsid w:val="00CD3730"/>
    <w:rsid w:val="00CD395F"/>
    <w:rsid w:val="00CD3CBA"/>
    <w:rsid w:val="00CD3DB0"/>
    <w:rsid w:val="00CD42BB"/>
    <w:rsid w:val="00CD4384"/>
    <w:rsid w:val="00CD44E0"/>
    <w:rsid w:val="00CD44E8"/>
    <w:rsid w:val="00CD4508"/>
    <w:rsid w:val="00CD4859"/>
    <w:rsid w:val="00CD5341"/>
    <w:rsid w:val="00CD550B"/>
    <w:rsid w:val="00CD5757"/>
    <w:rsid w:val="00CD57D6"/>
    <w:rsid w:val="00CD5925"/>
    <w:rsid w:val="00CD5ED6"/>
    <w:rsid w:val="00CD62EE"/>
    <w:rsid w:val="00CD6305"/>
    <w:rsid w:val="00CD64AE"/>
    <w:rsid w:val="00CD660E"/>
    <w:rsid w:val="00CD6B53"/>
    <w:rsid w:val="00CD6C1D"/>
    <w:rsid w:val="00CD6FE8"/>
    <w:rsid w:val="00CD70F9"/>
    <w:rsid w:val="00CD7546"/>
    <w:rsid w:val="00CD7564"/>
    <w:rsid w:val="00CD7C5C"/>
    <w:rsid w:val="00CD7CBB"/>
    <w:rsid w:val="00CE01CA"/>
    <w:rsid w:val="00CE0606"/>
    <w:rsid w:val="00CE08B5"/>
    <w:rsid w:val="00CE0A13"/>
    <w:rsid w:val="00CE0B94"/>
    <w:rsid w:val="00CE0C2D"/>
    <w:rsid w:val="00CE0D17"/>
    <w:rsid w:val="00CE0D56"/>
    <w:rsid w:val="00CE0D80"/>
    <w:rsid w:val="00CE10F0"/>
    <w:rsid w:val="00CE131B"/>
    <w:rsid w:val="00CE14BE"/>
    <w:rsid w:val="00CE166B"/>
    <w:rsid w:val="00CE1718"/>
    <w:rsid w:val="00CE1A90"/>
    <w:rsid w:val="00CE1FD4"/>
    <w:rsid w:val="00CE213B"/>
    <w:rsid w:val="00CE2336"/>
    <w:rsid w:val="00CE233F"/>
    <w:rsid w:val="00CE2373"/>
    <w:rsid w:val="00CE2C92"/>
    <w:rsid w:val="00CE2D2A"/>
    <w:rsid w:val="00CE3025"/>
    <w:rsid w:val="00CE3206"/>
    <w:rsid w:val="00CE3367"/>
    <w:rsid w:val="00CE3A33"/>
    <w:rsid w:val="00CE3CFD"/>
    <w:rsid w:val="00CE3ED5"/>
    <w:rsid w:val="00CE444E"/>
    <w:rsid w:val="00CE4717"/>
    <w:rsid w:val="00CE47E6"/>
    <w:rsid w:val="00CE47F3"/>
    <w:rsid w:val="00CE4927"/>
    <w:rsid w:val="00CE4EA1"/>
    <w:rsid w:val="00CE4F67"/>
    <w:rsid w:val="00CE50C7"/>
    <w:rsid w:val="00CE523C"/>
    <w:rsid w:val="00CE5256"/>
    <w:rsid w:val="00CE552C"/>
    <w:rsid w:val="00CE664E"/>
    <w:rsid w:val="00CE6835"/>
    <w:rsid w:val="00CE6879"/>
    <w:rsid w:val="00CE6962"/>
    <w:rsid w:val="00CE6BC7"/>
    <w:rsid w:val="00CE6EAC"/>
    <w:rsid w:val="00CE6EE7"/>
    <w:rsid w:val="00CE70CB"/>
    <w:rsid w:val="00CE71B9"/>
    <w:rsid w:val="00CE78E9"/>
    <w:rsid w:val="00CE7A19"/>
    <w:rsid w:val="00CE7DEB"/>
    <w:rsid w:val="00CE7FE8"/>
    <w:rsid w:val="00CF0321"/>
    <w:rsid w:val="00CF0C42"/>
    <w:rsid w:val="00CF101B"/>
    <w:rsid w:val="00CF1AFD"/>
    <w:rsid w:val="00CF1B20"/>
    <w:rsid w:val="00CF201E"/>
    <w:rsid w:val="00CF224A"/>
    <w:rsid w:val="00CF24DA"/>
    <w:rsid w:val="00CF2640"/>
    <w:rsid w:val="00CF267C"/>
    <w:rsid w:val="00CF2BE0"/>
    <w:rsid w:val="00CF2EA1"/>
    <w:rsid w:val="00CF30F3"/>
    <w:rsid w:val="00CF3221"/>
    <w:rsid w:val="00CF335D"/>
    <w:rsid w:val="00CF3540"/>
    <w:rsid w:val="00CF36D8"/>
    <w:rsid w:val="00CF3AFF"/>
    <w:rsid w:val="00CF3C0E"/>
    <w:rsid w:val="00CF3D0F"/>
    <w:rsid w:val="00CF4467"/>
    <w:rsid w:val="00CF4669"/>
    <w:rsid w:val="00CF4FE4"/>
    <w:rsid w:val="00CF5098"/>
    <w:rsid w:val="00CF50FB"/>
    <w:rsid w:val="00CF5352"/>
    <w:rsid w:val="00CF53EA"/>
    <w:rsid w:val="00CF5482"/>
    <w:rsid w:val="00CF5E43"/>
    <w:rsid w:val="00CF6A50"/>
    <w:rsid w:val="00CF6AFF"/>
    <w:rsid w:val="00CF6B08"/>
    <w:rsid w:val="00CF6C53"/>
    <w:rsid w:val="00CF6D6A"/>
    <w:rsid w:val="00CF6FC0"/>
    <w:rsid w:val="00CF7268"/>
    <w:rsid w:val="00CF75FE"/>
    <w:rsid w:val="00CF7618"/>
    <w:rsid w:val="00CF78E8"/>
    <w:rsid w:val="00CF7D47"/>
    <w:rsid w:val="00CF7D89"/>
    <w:rsid w:val="00CF7FA8"/>
    <w:rsid w:val="00CF7FEB"/>
    <w:rsid w:val="00D000C3"/>
    <w:rsid w:val="00D00163"/>
    <w:rsid w:val="00D00B68"/>
    <w:rsid w:val="00D01097"/>
    <w:rsid w:val="00D01141"/>
    <w:rsid w:val="00D013D2"/>
    <w:rsid w:val="00D01475"/>
    <w:rsid w:val="00D01494"/>
    <w:rsid w:val="00D015CD"/>
    <w:rsid w:val="00D01628"/>
    <w:rsid w:val="00D01731"/>
    <w:rsid w:val="00D01C64"/>
    <w:rsid w:val="00D01C7A"/>
    <w:rsid w:val="00D01DC2"/>
    <w:rsid w:val="00D020B8"/>
    <w:rsid w:val="00D021B6"/>
    <w:rsid w:val="00D02357"/>
    <w:rsid w:val="00D0238A"/>
    <w:rsid w:val="00D0247F"/>
    <w:rsid w:val="00D0279D"/>
    <w:rsid w:val="00D02E21"/>
    <w:rsid w:val="00D02F65"/>
    <w:rsid w:val="00D02F82"/>
    <w:rsid w:val="00D03066"/>
    <w:rsid w:val="00D0313A"/>
    <w:rsid w:val="00D037F1"/>
    <w:rsid w:val="00D038FE"/>
    <w:rsid w:val="00D03A8B"/>
    <w:rsid w:val="00D03B0E"/>
    <w:rsid w:val="00D03C57"/>
    <w:rsid w:val="00D0401C"/>
    <w:rsid w:val="00D0430F"/>
    <w:rsid w:val="00D043AE"/>
    <w:rsid w:val="00D044BF"/>
    <w:rsid w:val="00D0466B"/>
    <w:rsid w:val="00D04724"/>
    <w:rsid w:val="00D053E4"/>
    <w:rsid w:val="00D05422"/>
    <w:rsid w:val="00D05737"/>
    <w:rsid w:val="00D057ED"/>
    <w:rsid w:val="00D05F52"/>
    <w:rsid w:val="00D061E0"/>
    <w:rsid w:val="00D06227"/>
    <w:rsid w:val="00D06361"/>
    <w:rsid w:val="00D0641C"/>
    <w:rsid w:val="00D0683A"/>
    <w:rsid w:val="00D06C6C"/>
    <w:rsid w:val="00D06E86"/>
    <w:rsid w:val="00D06E90"/>
    <w:rsid w:val="00D0705D"/>
    <w:rsid w:val="00D0715A"/>
    <w:rsid w:val="00D07194"/>
    <w:rsid w:val="00D07319"/>
    <w:rsid w:val="00D07445"/>
    <w:rsid w:val="00D0751B"/>
    <w:rsid w:val="00D07693"/>
    <w:rsid w:val="00D076F8"/>
    <w:rsid w:val="00D07712"/>
    <w:rsid w:val="00D07DFA"/>
    <w:rsid w:val="00D07F0C"/>
    <w:rsid w:val="00D101C1"/>
    <w:rsid w:val="00D10301"/>
    <w:rsid w:val="00D10379"/>
    <w:rsid w:val="00D103EE"/>
    <w:rsid w:val="00D105B2"/>
    <w:rsid w:val="00D10635"/>
    <w:rsid w:val="00D108AA"/>
    <w:rsid w:val="00D109C3"/>
    <w:rsid w:val="00D109D8"/>
    <w:rsid w:val="00D10A47"/>
    <w:rsid w:val="00D10B77"/>
    <w:rsid w:val="00D10D73"/>
    <w:rsid w:val="00D10E78"/>
    <w:rsid w:val="00D11595"/>
    <w:rsid w:val="00D1166B"/>
    <w:rsid w:val="00D116BB"/>
    <w:rsid w:val="00D11724"/>
    <w:rsid w:val="00D117C6"/>
    <w:rsid w:val="00D11A03"/>
    <w:rsid w:val="00D11A42"/>
    <w:rsid w:val="00D11BE8"/>
    <w:rsid w:val="00D11DC4"/>
    <w:rsid w:val="00D1200B"/>
    <w:rsid w:val="00D12448"/>
    <w:rsid w:val="00D124E7"/>
    <w:rsid w:val="00D129CA"/>
    <w:rsid w:val="00D12A98"/>
    <w:rsid w:val="00D13654"/>
    <w:rsid w:val="00D13836"/>
    <w:rsid w:val="00D13873"/>
    <w:rsid w:val="00D13AAF"/>
    <w:rsid w:val="00D13F72"/>
    <w:rsid w:val="00D146BB"/>
    <w:rsid w:val="00D14705"/>
    <w:rsid w:val="00D14A37"/>
    <w:rsid w:val="00D14B62"/>
    <w:rsid w:val="00D14FD5"/>
    <w:rsid w:val="00D153DB"/>
    <w:rsid w:val="00D15460"/>
    <w:rsid w:val="00D154F4"/>
    <w:rsid w:val="00D15515"/>
    <w:rsid w:val="00D15542"/>
    <w:rsid w:val="00D155F4"/>
    <w:rsid w:val="00D156FD"/>
    <w:rsid w:val="00D15711"/>
    <w:rsid w:val="00D1571D"/>
    <w:rsid w:val="00D157CC"/>
    <w:rsid w:val="00D15804"/>
    <w:rsid w:val="00D15806"/>
    <w:rsid w:val="00D1580F"/>
    <w:rsid w:val="00D1582A"/>
    <w:rsid w:val="00D158EC"/>
    <w:rsid w:val="00D15A74"/>
    <w:rsid w:val="00D160CE"/>
    <w:rsid w:val="00D1623D"/>
    <w:rsid w:val="00D162A7"/>
    <w:rsid w:val="00D16344"/>
    <w:rsid w:val="00D1665F"/>
    <w:rsid w:val="00D16705"/>
    <w:rsid w:val="00D1676C"/>
    <w:rsid w:val="00D16792"/>
    <w:rsid w:val="00D168D2"/>
    <w:rsid w:val="00D16FBE"/>
    <w:rsid w:val="00D170BC"/>
    <w:rsid w:val="00D170F1"/>
    <w:rsid w:val="00D1711A"/>
    <w:rsid w:val="00D1747C"/>
    <w:rsid w:val="00D17A15"/>
    <w:rsid w:val="00D17A30"/>
    <w:rsid w:val="00D2082C"/>
    <w:rsid w:val="00D208C3"/>
    <w:rsid w:val="00D209C2"/>
    <w:rsid w:val="00D20C9D"/>
    <w:rsid w:val="00D20E11"/>
    <w:rsid w:val="00D20FD4"/>
    <w:rsid w:val="00D21179"/>
    <w:rsid w:val="00D217C7"/>
    <w:rsid w:val="00D21961"/>
    <w:rsid w:val="00D21970"/>
    <w:rsid w:val="00D219A8"/>
    <w:rsid w:val="00D21A89"/>
    <w:rsid w:val="00D21CB0"/>
    <w:rsid w:val="00D22008"/>
    <w:rsid w:val="00D2222D"/>
    <w:rsid w:val="00D22812"/>
    <w:rsid w:val="00D22A2B"/>
    <w:rsid w:val="00D22D45"/>
    <w:rsid w:val="00D232D0"/>
    <w:rsid w:val="00D232E0"/>
    <w:rsid w:val="00D232FE"/>
    <w:rsid w:val="00D23CC1"/>
    <w:rsid w:val="00D240CE"/>
    <w:rsid w:val="00D241C2"/>
    <w:rsid w:val="00D244B5"/>
    <w:rsid w:val="00D24655"/>
    <w:rsid w:val="00D2480B"/>
    <w:rsid w:val="00D24C08"/>
    <w:rsid w:val="00D24ED5"/>
    <w:rsid w:val="00D2510D"/>
    <w:rsid w:val="00D2560E"/>
    <w:rsid w:val="00D259A3"/>
    <w:rsid w:val="00D25A30"/>
    <w:rsid w:val="00D25DA5"/>
    <w:rsid w:val="00D25DCB"/>
    <w:rsid w:val="00D25E1A"/>
    <w:rsid w:val="00D26148"/>
    <w:rsid w:val="00D262FA"/>
    <w:rsid w:val="00D26578"/>
    <w:rsid w:val="00D265A6"/>
    <w:rsid w:val="00D267E7"/>
    <w:rsid w:val="00D2694C"/>
    <w:rsid w:val="00D26E0C"/>
    <w:rsid w:val="00D2728E"/>
    <w:rsid w:val="00D27358"/>
    <w:rsid w:val="00D27550"/>
    <w:rsid w:val="00D2769B"/>
    <w:rsid w:val="00D27ABD"/>
    <w:rsid w:val="00D27E22"/>
    <w:rsid w:val="00D27E43"/>
    <w:rsid w:val="00D27E4B"/>
    <w:rsid w:val="00D3004A"/>
    <w:rsid w:val="00D300A7"/>
    <w:rsid w:val="00D3032B"/>
    <w:rsid w:val="00D3038E"/>
    <w:rsid w:val="00D303FF"/>
    <w:rsid w:val="00D304D7"/>
    <w:rsid w:val="00D30ABA"/>
    <w:rsid w:val="00D30D9E"/>
    <w:rsid w:val="00D30E2B"/>
    <w:rsid w:val="00D30FAB"/>
    <w:rsid w:val="00D3117C"/>
    <w:rsid w:val="00D31920"/>
    <w:rsid w:val="00D319F3"/>
    <w:rsid w:val="00D31AC9"/>
    <w:rsid w:val="00D31F9C"/>
    <w:rsid w:val="00D3212A"/>
    <w:rsid w:val="00D328AE"/>
    <w:rsid w:val="00D32A42"/>
    <w:rsid w:val="00D32B36"/>
    <w:rsid w:val="00D32F04"/>
    <w:rsid w:val="00D33190"/>
    <w:rsid w:val="00D331A9"/>
    <w:rsid w:val="00D3338F"/>
    <w:rsid w:val="00D33468"/>
    <w:rsid w:val="00D339E7"/>
    <w:rsid w:val="00D33B2D"/>
    <w:rsid w:val="00D33DE3"/>
    <w:rsid w:val="00D33E14"/>
    <w:rsid w:val="00D33FC4"/>
    <w:rsid w:val="00D3447F"/>
    <w:rsid w:val="00D345AA"/>
    <w:rsid w:val="00D34AAD"/>
    <w:rsid w:val="00D34AF3"/>
    <w:rsid w:val="00D34B4C"/>
    <w:rsid w:val="00D34F86"/>
    <w:rsid w:val="00D3501F"/>
    <w:rsid w:val="00D35072"/>
    <w:rsid w:val="00D3567A"/>
    <w:rsid w:val="00D359EF"/>
    <w:rsid w:val="00D35BEC"/>
    <w:rsid w:val="00D35CEB"/>
    <w:rsid w:val="00D35D02"/>
    <w:rsid w:val="00D35DA5"/>
    <w:rsid w:val="00D35F08"/>
    <w:rsid w:val="00D360C9"/>
    <w:rsid w:val="00D36146"/>
    <w:rsid w:val="00D365B9"/>
    <w:rsid w:val="00D368D7"/>
    <w:rsid w:val="00D36E86"/>
    <w:rsid w:val="00D3754F"/>
    <w:rsid w:val="00D3776E"/>
    <w:rsid w:val="00D37772"/>
    <w:rsid w:val="00D379BE"/>
    <w:rsid w:val="00D37AF5"/>
    <w:rsid w:val="00D37BA5"/>
    <w:rsid w:val="00D37DC8"/>
    <w:rsid w:val="00D40293"/>
    <w:rsid w:val="00D4067F"/>
    <w:rsid w:val="00D40851"/>
    <w:rsid w:val="00D40B60"/>
    <w:rsid w:val="00D40CCA"/>
    <w:rsid w:val="00D40EF1"/>
    <w:rsid w:val="00D4165E"/>
    <w:rsid w:val="00D417F8"/>
    <w:rsid w:val="00D4189A"/>
    <w:rsid w:val="00D419B6"/>
    <w:rsid w:val="00D41A7E"/>
    <w:rsid w:val="00D41D00"/>
    <w:rsid w:val="00D423B6"/>
    <w:rsid w:val="00D428A6"/>
    <w:rsid w:val="00D42A5A"/>
    <w:rsid w:val="00D42B6F"/>
    <w:rsid w:val="00D42D14"/>
    <w:rsid w:val="00D42FEF"/>
    <w:rsid w:val="00D430F0"/>
    <w:rsid w:val="00D432D7"/>
    <w:rsid w:val="00D43560"/>
    <w:rsid w:val="00D43CD4"/>
    <w:rsid w:val="00D43DFE"/>
    <w:rsid w:val="00D442B1"/>
    <w:rsid w:val="00D44675"/>
    <w:rsid w:val="00D44A8D"/>
    <w:rsid w:val="00D44B67"/>
    <w:rsid w:val="00D44E20"/>
    <w:rsid w:val="00D4544F"/>
    <w:rsid w:val="00D45542"/>
    <w:rsid w:val="00D45705"/>
    <w:rsid w:val="00D458A0"/>
    <w:rsid w:val="00D45983"/>
    <w:rsid w:val="00D45CB0"/>
    <w:rsid w:val="00D461F8"/>
    <w:rsid w:val="00D46257"/>
    <w:rsid w:val="00D463AB"/>
    <w:rsid w:val="00D46698"/>
    <w:rsid w:val="00D46841"/>
    <w:rsid w:val="00D46976"/>
    <w:rsid w:val="00D469E6"/>
    <w:rsid w:val="00D47152"/>
    <w:rsid w:val="00D4717A"/>
    <w:rsid w:val="00D473DE"/>
    <w:rsid w:val="00D476D4"/>
    <w:rsid w:val="00D477A0"/>
    <w:rsid w:val="00D479D5"/>
    <w:rsid w:val="00D47B9A"/>
    <w:rsid w:val="00D47D87"/>
    <w:rsid w:val="00D50640"/>
    <w:rsid w:val="00D50740"/>
    <w:rsid w:val="00D5077D"/>
    <w:rsid w:val="00D507BE"/>
    <w:rsid w:val="00D50D57"/>
    <w:rsid w:val="00D50E31"/>
    <w:rsid w:val="00D51410"/>
    <w:rsid w:val="00D51752"/>
    <w:rsid w:val="00D5179C"/>
    <w:rsid w:val="00D51AA1"/>
    <w:rsid w:val="00D51B79"/>
    <w:rsid w:val="00D51C5E"/>
    <w:rsid w:val="00D51F27"/>
    <w:rsid w:val="00D522DE"/>
    <w:rsid w:val="00D529A9"/>
    <w:rsid w:val="00D52BE4"/>
    <w:rsid w:val="00D52C9A"/>
    <w:rsid w:val="00D52F4C"/>
    <w:rsid w:val="00D531AB"/>
    <w:rsid w:val="00D53208"/>
    <w:rsid w:val="00D533B0"/>
    <w:rsid w:val="00D53474"/>
    <w:rsid w:val="00D53713"/>
    <w:rsid w:val="00D5387D"/>
    <w:rsid w:val="00D539B8"/>
    <w:rsid w:val="00D53BF3"/>
    <w:rsid w:val="00D53C31"/>
    <w:rsid w:val="00D5408C"/>
    <w:rsid w:val="00D54124"/>
    <w:rsid w:val="00D543C5"/>
    <w:rsid w:val="00D54630"/>
    <w:rsid w:val="00D54719"/>
    <w:rsid w:val="00D549C4"/>
    <w:rsid w:val="00D54CE7"/>
    <w:rsid w:val="00D54E45"/>
    <w:rsid w:val="00D54E8B"/>
    <w:rsid w:val="00D54EB3"/>
    <w:rsid w:val="00D54F02"/>
    <w:rsid w:val="00D550AD"/>
    <w:rsid w:val="00D5565C"/>
    <w:rsid w:val="00D55677"/>
    <w:rsid w:val="00D55A13"/>
    <w:rsid w:val="00D55C61"/>
    <w:rsid w:val="00D55FD1"/>
    <w:rsid w:val="00D56080"/>
    <w:rsid w:val="00D562BF"/>
    <w:rsid w:val="00D564FB"/>
    <w:rsid w:val="00D565E1"/>
    <w:rsid w:val="00D56BA3"/>
    <w:rsid w:val="00D56BB2"/>
    <w:rsid w:val="00D56E61"/>
    <w:rsid w:val="00D56FAE"/>
    <w:rsid w:val="00D5701D"/>
    <w:rsid w:val="00D572C8"/>
    <w:rsid w:val="00D57346"/>
    <w:rsid w:val="00D573D0"/>
    <w:rsid w:val="00D578B7"/>
    <w:rsid w:val="00D578F9"/>
    <w:rsid w:val="00D57D37"/>
    <w:rsid w:val="00D57EEF"/>
    <w:rsid w:val="00D57EFF"/>
    <w:rsid w:val="00D60470"/>
    <w:rsid w:val="00D60B0B"/>
    <w:rsid w:val="00D60B69"/>
    <w:rsid w:val="00D60C85"/>
    <w:rsid w:val="00D60F39"/>
    <w:rsid w:val="00D60FD0"/>
    <w:rsid w:val="00D61248"/>
    <w:rsid w:val="00D6156D"/>
    <w:rsid w:val="00D6164D"/>
    <w:rsid w:val="00D6166C"/>
    <w:rsid w:val="00D61675"/>
    <w:rsid w:val="00D61869"/>
    <w:rsid w:val="00D61886"/>
    <w:rsid w:val="00D61C43"/>
    <w:rsid w:val="00D61F2B"/>
    <w:rsid w:val="00D620A6"/>
    <w:rsid w:val="00D624DD"/>
    <w:rsid w:val="00D62575"/>
    <w:rsid w:val="00D627B3"/>
    <w:rsid w:val="00D627DE"/>
    <w:rsid w:val="00D62CC2"/>
    <w:rsid w:val="00D62E4D"/>
    <w:rsid w:val="00D62E57"/>
    <w:rsid w:val="00D62EF1"/>
    <w:rsid w:val="00D62FD1"/>
    <w:rsid w:val="00D63208"/>
    <w:rsid w:val="00D6329C"/>
    <w:rsid w:val="00D63A1D"/>
    <w:rsid w:val="00D63FCE"/>
    <w:rsid w:val="00D6451E"/>
    <w:rsid w:val="00D64775"/>
    <w:rsid w:val="00D647ED"/>
    <w:rsid w:val="00D648E3"/>
    <w:rsid w:val="00D64A49"/>
    <w:rsid w:val="00D64A74"/>
    <w:rsid w:val="00D64B65"/>
    <w:rsid w:val="00D64CA0"/>
    <w:rsid w:val="00D64D86"/>
    <w:rsid w:val="00D6513F"/>
    <w:rsid w:val="00D65996"/>
    <w:rsid w:val="00D65A00"/>
    <w:rsid w:val="00D65C5F"/>
    <w:rsid w:val="00D65F83"/>
    <w:rsid w:val="00D65FD6"/>
    <w:rsid w:val="00D662B5"/>
    <w:rsid w:val="00D668C8"/>
    <w:rsid w:val="00D66B1C"/>
    <w:rsid w:val="00D66C5D"/>
    <w:rsid w:val="00D66C89"/>
    <w:rsid w:val="00D67485"/>
    <w:rsid w:val="00D6754B"/>
    <w:rsid w:val="00D675C4"/>
    <w:rsid w:val="00D67ABF"/>
    <w:rsid w:val="00D67AE2"/>
    <w:rsid w:val="00D67B90"/>
    <w:rsid w:val="00D67ECE"/>
    <w:rsid w:val="00D6E8E4"/>
    <w:rsid w:val="00D70322"/>
    <w:rsid w:val="00D70978"/>
    <w:rsid w:val="00D70C31"/>
    <w:rsid w:val="00D70D32"/>
    <w:rsid w:val="00D70F13"/>
    <w:rsid w:val="00D7106B"/>
    <w:rsid w:val="00D712F7"/>
    <w:rsid w:val="00D7161F"/>
    <w:rsid w:val="00D7167F"/>
    <w:rsid w:val="00D71748"/>
    <w:rsid w:val="00D7188A"/>
    <w:rsid w:val="00D71AF3"/>
    <w:rsid w:val="00D71B0C"/>
    <w:rsid w:val="00D71BF2"/>
    <w:rsid w:val="00D71C91"/>
    <w:rsid w:val="00D71D2D"/>
    <w:rsid w:val="00D71F6E"/>
    <w:rsid w:val="00D7206C"/>
    <w:rsid w:val="00D720F9"/>
    <w:rsid w:val="00D72546"/>
    <w:rsid w:val="00D726E3"/>
    <w:rsid w:val="00D7276B"/>
    <w:rsid w:val="00D728A5"/>
    <w:rsid w:val="00D7299A"/>
    <w:rsid w:val="00D729F6"/>
    <w:rsid w:val="00D72A21"/>
    <w:rsid w:val="00D72A24"/>
    <w:rsid w:val="00D72EFF"/>
    <w:rsid w:val="00D72F3F"/>
    <w:rsid w:val="00D72F67"/>
    <w:rsid w:val="00D73164"/>
    <w:rsid w:val="00D7371D"/>
    <w:rsid w:val="00D73BBC"/>
    <w:rsid w:val="00D73F91"/>
    <w:rsid w:val="00D7475A"/>
    <w:rsid w:val="00D747C7"/>
    <w:rsid w:val="00D74EBF"/>
    <w:rsid w:val="00D7501C"/>
    <w:rsid w:val="00D75780"/>
    <w:rsid w:val="00D759D6"/>
    <w:rsid w:val="00D75EA0"/>
    <w:rsid w:val="00D7629D"/>
    <w:rsid w:val="00D76372"/>
    <w:rsid w:val="00D76A7A"/>
    <w:rsid w:val="00D77066"/>
    <w:rsid w:val="00D770E4"/>
    <w:rsid w:val="00D774DB"/>
    <w:rsid w:val="00D775BD"/>
    <w:rsid w:val="00D77626"/>
    <w:rsid w:val="00D77702"/>
    <w:rsid w:val="00D7784D"/>
    <w:rsid w:val="00D77960"/>
    <w:rsid w:val="00D77AFA"/>
    <w:rsid w:val="00D77D23"/>
    <w:rsid w:val="00D8041E"/>
    <w:rsid w:val="00D804DC"/>
    <w:rsid w:val="00D80701"/>
    <w:rsid w:val="00D8086C"/>
    <w:rsid w:val="00D809FD"/>
    <w:rsid w:val="00D80A5C"/>
    <w:rsid w:val="00D80D2E"/>
    <w:rsid w:val="00D80EF3"/>
    <w:rsid w:val="00D812DE"/>
    <w:rsid w:val="00D81602"/>
    <w:rsid w:val="00D81710"/>
    <w:rsid w:val="00D818BF"/>
    <w:rsid w:val="00D81C0E"/>
    <w:rsid w:val="00D823B5"/>
    <w:rsid w:val="00D82664"/>
    <w:rsid w:val="00D82A48"/>
    <w:rsid w:val="00D82F13"/>
    <w:rsid w:val="00D83021"/>
    <w:rsid w:val="00D8306E"/>
    <w:rsid w:val="00D83075"/>
    <w:rsid w:val="00D830CE"/>
    <w:rsid w:val="00D83439"/>
    <w:rsid w:val="00D834D3"/>
    <w:rsid w:val="00D83727"/>
    <w:rsid w:val="00D8380B"/>
    <w:rsid w:val="00D83A74"/>
    <w:rsid w:val="00D83AFB"/>
    <w:rsid w:val="00D83D06"/>
    <w:rsid w:val="00D83F09"/>
    <w:rsid w:val="00D8455B"/>
    <w:rsid w:val="00D84682"/>
    <w:rsid w:val="00D846BE"/>
    <w:rsid w:val="00D84752"/>
    <w:rsid w:val="00D84A2C"/>
    <w:rsid w:val="00D84C69"/>
    <w:rsid w:val="00D855F3"/>
    <w:rsid w:val="00D8562B"/>
    <w:rsid w:val="00D8564C"/>
    <w:rsid w:val="00D85BD6"/>
    <w:rsid w:val="00D85C3C"/>
    <w:rsid w:val="00D85D69"/>
    <w:rsid w:val="00D85ECF"/>
    <w:rsid w:val="00D8623A"/>
    <w:rsid w:val="00D86662"/>
    <w:rsid w:val="00D868C8"/>
    <w:rsid w:val="00D86993"/>
    <w:rsid w:val="00D86DFD"/>
    <w:rsid w:val="00D86F6E"/>
    <w:rsid w:val="00D87184"/>
    <w:rsid w:val="00D8722D"/>
    <w:rsid w:val="00D87268"/>
    <w:rsid w:val="00D87722"/>
    <w:rsid w:val="00D87A25"/>
    <w:rsid w:val="00D87B38"/>
    <w:rsid w:val="00D87D9F"/>
    <w:rsid w:val="00D87E15"/>
    <w:rsid w:val="00D87E88"/>
    <w:rsid w:val="00D87F0E"/>
    <w:rsid w:val="00D87F85"/>
    <w:rsid w:val="00D901AA"/>
    <w:rsid w:val="00D9024E"/>
    <w:rsid w:val="00D90633"/>
    <w:rsid w:val="00D909AC"/>
    <w:rsid w:val="00D90DB5"/>
    <w:rsid w:val="00D90DD5"/>
    <w:rsid w:val="00D90ECD"/>
    <w:rsid w:val="00D90F17"/>
    <w:rsid w:val="00D91768"/>
    <w:rsid w:val="00D917C8"/>
    <w:rsid w:val="00D91A93"/>
    <w:rsid w:val="00D91C27"/>
    <w:rsid w:val="00D91C8C"/>
    <w:rsid w:val="00D91E5D"/>
    <w:rsid w:val="00D91F43"/>
    <w:rsid w:val="00D9212A"/>
    <w:rsid w:val="00D92165"/>
    <w:rsid w:val="00D921B4"/>
    <w:rsid w:val="00D9261A"/>
    <w:rsid w:val="00D92707"/>
    <w:rsid w:val="00D92711"/>
    <w:rsid w:val="00D92769"/>
    <w:rsid w:val="00D9277D"/>
    <w:rsid w:val="00D92A76"/>
    <w:rsid w:val="00D92EBB"/>
    <w:rsid w:val="00D93037"/>
    <w:rsid w:val="00D93319"/>
    <w:rsid w:val="00D9335C"/>
    <w:rsid w:val="00D93556"/>
    <w:rsid w:val="00D93822"/>
    <w:rsid w:val="00D93AFF"/>
    <w:rsid w:val="00D93C42"/>
    <w:rsid w:val="00D93D6F"/>
    <w:rsid w:val="00D942B3"/>
    <w:rsid w:val="00D94717"/>
    <w:rsid w:val="00D948AF"/>
    <w:rsid w:val="00D94994"/>
    <w:rsid w:val="00D94A1B"/>
    <w:rsid w:val="00D94BD0"/>
    <w:rsid w:val="00D94E72"/>
    <w:rsid w:val="00D95101"/>
    <w:rsid w:val="00D95464"/>
    <w:rsid w:val="00D9567F"/>
    <w:rsid w:val="00D957E3"/>
    <w:rsid w:val="00D9584F"/>
    <w:rsid w:val="00D96345"/>
    <w:rsid w:val="00D96721"/>
    <w:rsid w:val="00D96796"/>
    <w:rsid w:val="00D96DFE"/>
    <w:rsid w:val="00D96DFF"/>
    <w:rsid w:val="00D96F01"/>
    <w:rsid w:val="00D97258"/>
    <w:rsid w:val="00D972C6"/>
    <w:rsid w:val="00D97347"/>
    <w:rsid w:val="00D979D0"/>
    <w:rsid w:val="00D979D4"/>
    <w:rsid w:val="00D97D68"/>
    <w:rsid w:val="00DA0171"/>
    <w:rsid w:val="00DA0252"/>
    <w:rsid w:val="00DA0337"/>
    <w:rsid w:val="00DA035C"/>
    <w:rsid w:val="00DA0493"/>
    <w:rsid w:val="00DA0F62"/>
    <w:rsid w:val="00DA0FA4"/>
    <w:rsid w:val="00DA1056"/>
    <w:rsid w:val="00DA10C3"/>
    <w:rsid w:val="00DA17A5"/>
    <w:rsid w:val="00DA1EFA"/>
    <w:rsid w:val="00DA21B4"/>
    <w:rsid w:val="00DA2783"/>
    <w:rsid w:val="00DA2D72"/>
    <w:rsid w:val="00DA329A"/>
    <w:rsid w:val="00DA33DF"/>
    <w:rsid w:val="00DA3496"/>
    <w:rsid w:val="00DA36F2"/>
    <w:rsid w:val="00DA36FF"/>
    <w:rsid w:val="00DA3954"/>
    <w:rsid w:val="00DA39C7"/>
    <w:rsid w:val="00DA3B21"/>
    <w:rsid w:val="00DA3F0B"/>
    <w:rsid w:val="00DA40DD"/>
    <w:rsid w:val="00DA4314"/>
    <w:rsid w:val="00DA4345"/>
    <w:rsid w:val="00DA4D27"/>
    <w:rsid w:val="00DA4E95"/>
    <w:rsid w:val="00DA4F86"/>
    <w:rsid w:val="00DA4FD1"/>
    <w:rsid w:val="00DA5025"/>
    <w:rsid w:val="00DA5178"/>
    <w:rsid w:val="00DA528E"/>
    <w:rsid w:val="00DA54DF"/>
    <w:rsid w:val="00DA55FA"/>
    <w:rsid w:val="00DA571C"/>
    <w:rsid w:val="00DA583B"/>
    <w:rsid w:val="00DA594B"/>
    <w:rsid w:val="00DA5A8F"/>
    <w:rsid w:val="00DA5EFA"/>
    <w:rsid w:val="00DA5F69"/>
    <w:rsid w:val="00DA65C5"/>
    <w:rsid w:val="00DA6648"/>
    <w:rsid w:val="00DA67B0"/>
    <w:rsid w:val="00DA6E0C"/>
    <w:rsid w:val="00DA6EE6"/>
    <w:rsid w:val="00DA6F64"/>
    <w:rsid w:val="00DA7281"/>
    <w:rsid w:val="00DA7373"/>
    <w:rsid w:val="00DA7375"/>
    <w:rsid w:val="00DA750C"/>
    <w:rsid w:val="00DA7583"/>
    <w:rsid w:val="00DA75C4"/>
    <w:rsid w:val="00DA773C"/>
    <w:rsid w:val="00DA79D1"/>
    <w:rsid w:val="00DA7AAC"/>
    <w:rsid w:val="00DA7BC6"/>
    <w:rsid w:val="00DA7DEA"/>
    <w:rsid w:val="00DB0472"/>
    <w:rsid w:val="00DB0B43"/>
    <w:rsid w:val="00DB0B9E"/>
    <w:rsid w:val="00DB0CFD"/>
    <w:rsid w:val="00DB0DA7"/>
    <w:rsid w:val="00DB0DB1"/>
    <w:rsid w:val="00DB0E28"/>
    <w:rsid w:val="00DB0E45"/>
    <w:rsid w:val="00DB11B0"/>
    <w:rsid w:val="00DB13F4"/>
    <w:rsid w:val="00DB178B"/>
    <w:rsid w:val="00DB1810"/>
    <w:rsid w:val="00DB1E70"/>
    <w:rsid w:val="00DB1FBD"/>
    <w:rsid w:val="00DB264E"/>
    <w:rsid w:val="00DB273E"/>
    <w:rsid w:val="00DB297F"/>
    <w:rsid w:val="00DB2B7C"/>
    <w:rsid w:val="00DB2D55"/>
    <w:rsid w:val="00DB2DD0"/>
    <w:rsid w:val="00DB31AA"/>
    <w:rsid w:val="00DB41BC"/>
    <w:rsid w:val="00DB429D"/>
    <w:rsid w:val="00DB4364"/>
    <w:rsid w:val="00DB46F7"/>
    <w:rsid w:val="00DB49F8"/>
    <w:rsid w:val="00DB4B5C"/>
    <w:rsid w:val="00DB4B91"/>
    <w:rsid w:val="00DB4D40"/>
    <w:rsid w:val="00DB4EB9"/>
    <w:rsid w:val="00DB5023"/>
    <w:rsid w:val="00DB540D"/>
    <w:rsid w:val="00DB55B0"/>
    <w:rsid w:val="00DB566B"/>
    <w:rsid w:val="00DB56E2"/>
    <w:rsid w:val="00DB592B"/>
    <w:rsid w:val="00DB5DD6"/>
    <w:rsid w:val="00DB5E85"/>
    <w:rsid w:val="00DB603A"/>
    <w:rsid w:val="00DB61DB"/>
    <w:rsid w:val="00DB625B"/>
    <w:rsid w:val="00DB6606"/>
    <w:rsid w:val="00DB6A54"/>
    <w:rsid w:val="00DB6E22"/>
    <w:rsid w:val="00DB7577"/>
    <w:rsid w:val="00DB75CB"/>
    <w:rsid w:val="00DB772B"/>
    <w:rsid w:val="00DB777D"/>
    <w:rsid w:val="00DB77B1"/>
    <w:rsid w:val="00DB7CAA"/>
    <w:rsid w:val="00DB7F63"/>
    <w:rsid w:val="00DB7F8F"/>
    <w:rsid w:val="00DC026C"/>
    <w:rsid w:val="00DC038D"/>
    <w:rsid w:val="00DC07BB"/>
    <w:rsid w:val="00DC08A0"/>
    <w:rsid w:val="00DC08FE"/>
    <w:rsid w:val="00DC0AF3"/>
    <w:rsid w:val="00DC0E18"/>
    <w:rsid w:val="00DC100B"/>
    <w:rsid w:val="00DC12D9"/>
    <w:rsid w:val="00DC16B1"/>
    <w:rsid w:val="00DC1719"/>
    <w:rsid w:val="00DC1C23"/>
    <w:rsid w:val="00DC2091"/>
    <w:rsid w:val="00DC24FF"/>
    <w:rsid w:val="00DC25AE"/>
    <w:rsid w:val="00DC293D"/>
    <w:rsid w:val="00DC2B5C"/>
    <w:rsid w:val="00DC2C82"/>
    <w:rsid w:val="00DC2F2B"/>
    <w:rsid w:val="00DC337A"/>
    <w:rsid w:val="00DC350A"/>
    <w:rsid w:val="00DC3628"/>
    <w:rsid w:val="00DC3B56"/>
    <w:rsid w:val="00DC41B2"/>
    <w:rsid w:val="00DC4286"/>
    <w:rsid w:val="00DC4552"/>
    <w:rsid w:val="00DC46E0"/>
    <w:rsid w:val="00DC4987"/>
    <w:rsid w:val="00DC5315"/>
    <w:rsid w:val="00DC56C7"/>
    <w:rsid w:val="00DC57AB"/>
    <w:rsid w:val="00DC5810"/>
    <w:rsid w:val="00DC599C"/>
    <w:rsid w:val="00DC5AC1"/>
    <w:rsid w:val="00DC5E70"/>
    <w:rsid w:val="00DC5FFC"/>
    <w:rsid w:val="00DC6047"/>
    <w:rsid w:val="00DC6348"/>
    <w:rsid w:val="00DC64EE"/>
    <w:rsid w:val="00DC6576"/>
    <w:rsid w:val="00DC6CED"/>
    <w:rsid w:val="00DC6D8C"/>
    <w:rsid w:val="00DC6F35"/>
    <w:rsid w:val="00DC6FF0"/>
    <w:rsid w:val="00DC7537"/>
    <w:rsid w:val="00DC78F1"/>
    <w:rsid w:val="00DC7995"/>
    <w:rsid w:val="00DC7B2C"/>
    <w:rsid w:val="00DC7BF6"/>
    <w:rsid w:val="00DC7D31"/>
    <w:rsid w:val="00DD029B"/>
    <w:rsid w:val="00DD034E"/>
    <w:rsid w:val="00DD136B"/>
    <w:rsid w:val="00DD14C1"/>
    <w:rsid w:val="00DD192C"/>
    <w:rsid w:val="00DD1B6D"/>
    <w:rsid w:val="00DD1C04"/>
    <w:rsid w:val="00DD1C52"/>
    <w:rsid w:val="00DD2207"/>
    <w:rsid w:val="00DD23E3"/>
    <w:rsid w:val="00DD2566"/>
    <w:rsid w:val="00DD287A"/>
    <w:rsid w:val="00DD2B69"/>
    <w:rsid w:val="00DD30CF"/>
    <w:rsid w:val="00DD3211"/>
    <w:rsid w:val="00DD3780"/>
    <w:rsid w:val="00DD3900"/>
    <w:rsid w:val="00DD3A0C"/>
    <w:rsid w:val="00DD40F5"/>
    <w:rsid w:val="00DD415E"/>
    <w:rsid w:val="00DD42CC"/>
    <w:rsid w:val="00DD44D3"/>
    <w:rsid w:val="00DD44F0"/>
    <w:rsid w:val="00DD4714"/>
    <w:rsid w:val="00DD483F"/>
    <w:rsid w:val="00DD48D3"/>
    <w:rsid w:val="00DD4E63"/>
    <w:rsid w:val="00DD5139"/>
    <w:rsid w:val="00DD51E0"/>
    <w:rsid w:val="00DD595A"/>
    <w:rsid w:val="00DD5B28"/>
    <w:rsid w:val="00DD5D31"/>
    <w:rsid w:val="00DD609E"/>
    <w:rsid w:val="00DD60F2"/>
    <w:rsid w:val="00DD6481"/>
    <w:rsid w:val="00DD6482"/>
    <w:rsid w:val="00DD64D7"/>
    <w:rsid w:val="00DD696A"/>
    <w:rsid w:val="00DD69A8"/>
    <w:rsid w:val="00DD6D1C"/>
    <w:rsid w:val="00DD727E"/>
    <w:rsid w:val="00DD734C"/>
    <w:rsid w:val="00DD7475"/>
    <w:rsid w:val="00DD7707"/>
    <w:rsid w:val="00DD791D"/>
    <w:rsid w:val="00DD7A4E"/>
    <w:rsid w:val="00DD7C65"/>
    <w:rsid w:val="00DE00B5"/>
    <w:rsid w:val="00DE0369"/>
    <w:rsid w:val="00DE05B7"/>
    <w:rsid w:val="00DE05BF"/>
    <w:rsid w:val="00DE0D22"/>
    <w:rsid w:val="00DE0EC6"/>
    <w:rsid w:val="00DE1229"/>
    <w:rsid w:val="00DE1749"/>
    <w:rsid w:val="00DE17B2"/>
    <w:rsid w:val="00DE1C4F"/>
    <w:rsid w:val="00DE1C9F"/>
    <w:rsid w:val="00DE1D0F"/>
    <w:rsid w:val="00DE1D1D"/>
    <w:rsid w:val="00DE209B"/>
    <w:rsid w:val="00DE2B72"/>
    <w:rsid w:val="00DE2BA6"/>
    <w:rsid w:val="00DE2BBF"/>
    <w:rsid w:val="00DE316A"/>
    <w:rsid w:val="00DE329D"/>
    <w:rsid w:val="00DE3344"/>
    <w:rsid w:val="00DE33C1"/>
    <w:rsid w:val="00DE354F"/>
    <w:rsid w:val="00DE35D9"/>
    <w:rsid w:val="00DE3918"/>
    <w:rsid w:val="00DE3BB0"/>
    <w:rsid w:val="00DE3E62"/>
    <w:rsid w:val="00DE4433"/>
    <w:rsid w:val="00DE49FD"/>
    <w:rsid w:val="00DE4C2A"/>
    <w:rsid w:val="00DE4E3E"/>
    <w:rsid w:val="00DE5182"/>
    <w:rsid w:val="00DE5627"/>
    <w:rsid w:val="00DE5699"/>
    <w:rsid w:val="00DE5970"/>
    <w:rsid w:val="00DE5A6D"/>
    <w:rsid w:val="00DE5FFE"/>
    <w:rsid w:val="00DE6306"/>
    <w:rsid w:val="00DE6507"/>
    <w:rsid w:val="00DE683C"/>
    <w:rsid w:val="00DE68E7"/>
    <w:rsid w:val="00DE7045"/>
    <w:rsid w:val="00DE714A"/>
    <w:rsid w:val="00DE74F8"/>
    <w:rsid w:val="00DE75C4"/>
    <w:rsid w:val="00DE75D0"/>
    <w:rsid w:val="00DE75EF"/>
    <w:rsid w:val="00DE7637"/>
    <w:rsid w:val="00DE77B7"/>
    <w:rsid w:val="00DE7DB8"/>
    <w:rsid w:val="00DF0073"/>
    <w:rsid w:val="00DF046D"/>
    <w:rsid w:val="00DF0687"/>
    <w:rsid w:val="00DF0A3D"/>
    <w:rsid w:val="00DF0AAB"/>
    <w:rsid w:val="00DF0F0D"/>
    <w:rsid w:val="00DF0F9B"/>
    <w:rsid w:val="00DF101F"/>
    <w:rsid w:val="00DF12CB"/>
    <w:rsid w:val="00DF189E"/>
    <w:rsid w:val="00DF1BAF"/>
    <w:rsid w:val="00DF2061"/>
    <w:rsid w:val="00DF21F6"/>
    <w:rsid w:val="00DF2304"/>
    <w:rsid w:val="00DF2341"/>
    <w:rsid w:val="00DF234E"/>
    <w:rsid w:val="00DF24CF"/>
    <w:rsid w:val="00DF256B"/>
    <w:rsid w:val="00DF2640"/>
    <w:rsid w:val="00DF2971"/>
    <w:rsid w:val="00DF2C56"/>
    <w:rsid w:val="00DF2D53"/>
    <w:rsid w:val="00DF2F1B"/>
    <w:rsid w:val="00DF312B"/>
    <w:rsid w:val="00DF34B4"/>
    <w:rsid w:val="00DF35B0"/>
    <w:rsid w:val="00DF371F"/>
    <w:rsid w:val="00DF381F"/>
    <w:rsid w:val="00DF3825"/>
    <w:rsid w:val="00DF3D0B"/>
    <w:rsid w:val="00DF3FE1"/>
    <w:rsid w:val="00DF427A"/>
    <w:rsid w:val="00DF4345"/>
    <w:rsid w:val="00DF458C"/>
    <w:rsid w:val="00DF47CD"/>
    <w:rsid w:val="00DF4880"/>
    <w:rsid w:val="00DF4AD0"/>
    <w:rsid w:val="00DF4C1B"/>
    <w:rsid w:val="00DF4C97"/>
    <w:rsid w:val="00DF4D50"/>
    <w:rsid w:val="00DF4FCA"/>
    <w:rsid w:val="00DF5195"/>
    <w:rsid w:val="00DF54B9"/>
    <w:rsid w:val="00DF5637"/>
    <w:rsid w:val="00DF56F9"/>
    <w:rsid w:val="00DF5802"/>
    <w:rsid w:val="00DF58EC"/>
    <w:rsid w:val="00DF5B81"/>
    <w:rsid w:val="00DF5C6B"/>
    <w:rsid w:val="00DF5D16"/>
    <w:rsid w:val="00DF5F1A"/>
    <w:rsid w:val="00DF60B4"/>
    <w:rsid w:val="00DF6400"/>
    <w:rsid w:val="00DF66FD"/>
    <w:rsid w:val="00DF6756"/>
    <w:rsid w:val="00DF6A20"/>
    <w:rsid w:val="00DF6B40"/>
    <w:rsid w:val="00DF6BD9"/>
    <w:rsid w:val="00DF6D75"/>
    <w:rsid w:val="00DF71F9"/>
    <w:rsid w:val="00DF7257"/>
    <w:rsid w:val="00DF73E1"/>
    <w:rsid w:val="00DF750D"/>
    <w:rsid w:val="00DF7634"/>
    <w:rsid w:val="00DF7639"/>
    <w:rsid w:val="00DF77FB"/>
    <w:rsid w:val="00DF79BE"/>
    <w:rsid w:val="00DF7AB4"/>
    <w:rsid w:val="00DF7B35"/>
    <w:rsid w:val="00DF7CD1"/>
    <w:rsid w:val="00DF7D25"/>
    <w:rsid w:val="00E00495"/>
    <w:rsid w:val="00E009E6"/>
    <w:rsid w:val="00E00B43"/>
    <w:rsid w:val="00E00C0B"/>
    <w:rsid w:val="00E00E7F"/>
    <w:rsid w:val="00E00F29"/>
    <w:rsid w:val="00E0130D"/>
    <w:rsid w:val="00E014FA"/>
    <w:rsid w:val="00E0156F"/>
    <w:rsid w:val="00E01BC4"/>
    <w:rsid w:val="00E01CD2"/>
    <w:rsid w:val="00E01EBC"/>
    <w:rsid w:val="00E01EF0"/>
    <w:rsid w:val="00E01F71"/>
    <w:rsid w:val="00E02064"/>
    <w:rsid w:val="00E022C1"/>
    <w:rsid w:val="00E023EE"/>
    <w:rsid w:val="00E025CC"/>
    <w:rsid w:val="00E02721"/>
    <w:rsid w:val="00E0275B"/>
    <w:rsid w:val="00E02E7C"/>
    <w:rsid w:val="00E02F69"/>
    <w:rsid w:val="00E0350A"/>
    <w:rsid w:val="00E0377B"/>
    <w:rsid w:val="00E03972"/>
    <w:rsid w:val="00E0399C"/>
    <w:rsid w:val="00E03A66"/>
    <w:rsid w:val="00E03CF6"/>
    <w:rsid w:val="00E03E20"/>
    <w:rsid w:val="00E040BE"/>
    <w:rsid w:val="00E043F3"/>
    <w:rsid w:val="00E045D9"/>
    <w:rsid w:val="00E04B95"/>
    <w:rsid w:val="00E04C63"/>
    <w:rsid w:val="00E04D66"/>
    <w:rsid w:val="00E04E0C"/>
    <w:rsid w:val="00E04E7D"/>
    <w:rsid w:val="00E05229"/>
    <w:rsid w:val="00E05346"/>
    <w:rsid w:val="00E05A1C"/>
    <w:rsid w:val="00E0611C"/>
    <w:rsid w:val="00E064A6"/>
    <w:rsid w:val="00E06595"/>
    <w:rsid w:val="00E066A5"/>
    <w:rsid w:val="00E06792"/>
    <w:rsid w:val="00E068D0"/>
    <w:rsid w:val="00E069C5"/>
    <w:rsid w:val="00E06C51"/>
    <w:rsid w:val="00E06C65"/>
    <w:rsid w:val="00E06FA4"/>
    <w:rsid w:val="00E07208"/>
    <w:rsid w:val="00E07501"/>
    <w:rsid w:val="00E0787C"/>
    <w:rsid w:val="00E07A1A"/>
    <w:rsid w:val="00E07B9F"/>
    <w:rsid w:val="00E10046"/>
    <w:rsid w:val="00E1015C"/>
    <w:rsid w:val="00E10389"/>
    <w:rsid w:val="00E105AA"/>
    <w:rsid w:val="00E10CBE"/>
    <w:rsid w:val="00E10EF7"/>
    <w:rsid w:val="00E11025"/>
    <w:rsid w:val="00E11032"/>
    <w:rsid w:val="00E1125A"/>
    <w:rsid w:val="00E11264"/>
    <w:rsid w:val="00E11607"/>
    <w:rsid w:val="00E118CB"/>
    <w:rsid w:val="00E11929"/>
    <w:rsid w:val="00E11A55"/>
    <w:rsid w:val="00E11E02"/>
    <w:rsid w:val="00E11EF1"/>
    <w:rsid w:val="00E12345"/>
    <w:rsid w:val="00E12486"/>
    <w:rsid w:val="00E124CA"/>
    <w:rsid w:val="00E1256C"/>
    <w:rsid w:val="00E12587"/>
    <w:rsid w:val="00E1279D"/>
    <w:rsid w:val="00E128F2"/>
    <w:rsid w:val="00E12DFA"/>
    <w:rsid w:val="00E130F4"/>
    <w:rsid w:val="00E13210"/>
    <w:rsid w:val="00E135A6"/>
    <w:rsid w:val="00E1379B"/>
    <w:rsid w:val="00E1388B"/>
    <w:rsid w:val="00E13C6C"/>
    <w:rsid w:val="00E13E5B"/>
    <w:rsid w:val="00E13F77"/>
    <w:rsid w:val="00E14144"/>
    <w:rsid w:val="00E1469A"/>
    <w:rsid w:val="00E1492C"/>
    <w:rsid w:val="00E14AAB"/>
    <w:rsid w:val="00E14B7C"/>
    <w:rsid w:val="00E14E08"/>
    <w:rsid w:val="00E14FEF"/>
    <w:rsid w:val="00E1533E"/>
    <w:rsid w:val="00E1565F"/>
    <w:rsid w:val="00E1587A"/>
    <w:rsid w:val="00E15892"/>
    <w:rsid w:val="00E15C9D"/>
    <w:rsid w:val="00E15CEA"/>
    <w:rsid w:val="00E162F1"/>
    <w:rsid w:val="00E16574"/>
    <w:rsid w:val="00E1663D"/>
    <w:rsid w:val="00E16790"/>
    <w:rsid w:val="00E167FD"/>
    <w:rsid w:val="00E168C9"/>
    <w:rsid w:val="00E16A76"/>
    <w:rsid w:val="00E174E4"/>
    <w:rsid w:val="00E176D1"/>
    <w:rsid w:val="00E177FE"/>
    <w:rsid w:val="00E1792E"/>
    <w:rsid w:val="00E17D03"/>
    <w:rsid w:val="00E17E54"/>
    <w:rsid w:val="00E205E0"/>
    <w:rsid w:val="00E20612"/>
    <w:rsid w:val="00E2062F"/>
    <w:rsid w:val="00E2084A"/>
    <w:rsid w:val="00E20D3A"/>
    <w:rsid w:val="00E20DBC"/>
    <w:rsid w:val="00E2112A"/>
    <w:rsid w:val="00E21537"/>
    <w:rsid w:val="00E218A5"/>
    <w:rsid w:val="00E21E49"/>
    <w:rsid w:val="00E21F9F"/>
    <w:rsid w:val="00E2214A"/>
    <w:rsid w:val="00E225E3"/>
    <w:rsid w:val="00E2272B"/>
    <w:rsid w:val="00E227D6"/>
    <w:rsid w:val="00E227EF"/>
    <w:rsid w:val="00E22824"/>
    <w:rsid w:val="00E2291A"/>
    <w:rsid w:val="00E22CBD"/>
    <w:rsid w:val="00E22D59"/>
    <w:rsid w:val="00E22E06"/>
    <w:rsid w:val="00E22EA6"/>
    <w:rsid w:val="00E231EA"/>
    <w:rsid w:val="00E2329C"/>
    <w:rsid w:val="00E232FE"/>
    <w:rsid w:val="00E23387"/>
    <w:rsid w:val="00E234B6"/>
    <w:rsid w:val="00E23652"/>
    <w:rsid w:val="00E2384B"/>
    <w:rsid w:val="00E23B1F"/>
    <w:rsid w:val="00E23CDB"/>
    <w:rsid w:val="00E23E03"/>
    <w:rsid w:val="00E23F01"/>
    <w:rsid w:val="00E241E3"/>
    <w:rsid w:val="00E247C9"/>
    <w:rsid w:val="00E24EC7"/>
    <w:rsid w:val="00E25538"/>
    <w:rsid w:val="00E2571E"/>
    <w:rsid w:val="00E25B03"/>
    <w:rsid w:val="00E25B84"/>
    <w:rsid w:val="00E25CDB"/>
    <w:rsid w:val="00E25D9E"/>
    <w:rsid w:val="00E25F68"/>
    <w:rsid w:val="00E25F95"/>
    <w:rsid w:val="00E26209"/>
    <w:rsid w:val="00E26565"/>
    <w:rsid w:val="00E26568"/>
    <w:rsid w:val="00E26B09"/>
    <w:rsid w:val="00E26BD5"/>
    <w:rsid w:val="00E270B8"/>
    <w:rsid w:val="00E27164"/>
    <w:rsid w:val="00E272DD"/>
    <w:rsid w:val="00E27842"/>
    <w:rsid w:val="00E279D5"/>
    <w:rsid w:val="00E27C24"/>
    <w:rsid w:val="00E27C46"/>
    <w:rsid w:val="00E27CDA"/>
    <w:rsid w:val="00E301BF"/>
    <w:rsid w:val="00E302F2"/>
    <w:rsid w:val="00E30554"/>
    <w:rsid w:val="00E305A1"/>
    <w:rsid w:val="00E30661"/>
    <w:rsid w:val="00E30C5B"/>
    <w:rsid w:val="00E30D42"/>
    <w:rsid w:val="00E30E19"/>
    <w:rsid w:val="00E31089"/>
    <w:rsid w:val="00E3118A"/>
    <w:rsid w:val="00E311AC"/>
    <w:rsid w:val="00E314FB"/>
    <w:rsid w:val="00E3155E"/>
    <w:rsid w:val="00E31961"/>
    <w:rsid w:val="00E31B77"/>
    <w:rsid w:val="00E320B2"/>
    <w:rsid w:val="00E321BB"/>
    <w:rsid w:val="00E324DD"/>
    <w:rsid w:val="00E325C9"/>
    <w:rsid w:val="00E327EE"/>
    <w:rsid w:val="00E32BA2"/>
    <w:rsid w:val="00E32DD5"/>
    <w:rsid w:val="00E32E47"/>
    <w:rsid w:val="00E32E5E"/>
    <w:rsid w:val="00E32FC8"/>
    <w:rsid w:val="00E33037"/>
    <w:rsid w:val="00E3327C"/>
    <w:rsid w:val="00E334DD"/>
    <w:rsid w:val="00E334E4"/>
    <w:rsid w:val="00E336EC"/>
    <w:rsid w:val="00E336FB"/>
    <w:rsid w:val="00E344E7"/>
    <w:rsid w:val="00E34A98"/>
    <w:rsid w:val="00E34C16"/>
    <w:rsid w:val="00E34CD8"/>
    <w:rsid w:val="00E35334"/>
    <w:rsid w:val="00E3564C"/>
    <w:rsid w:val="00E35C2D"/>
    <w:rsid w:val="00E35D2A"/>
    <w:rsid w:val="00E35DF3"/>
    <w:rsid w:val="00E36093"/>
    <w:rsid w:val="00E3611E"/>
    <w:rsid w:val="00E3697C"/>
    <w:rsid w:val="00E36BBD"/>
    <w:rsid w:val="00E36CF7"/>
    <w:rsid w:val="00E3746D"/>
    <w:rsid w:val="00E37670"/>
    <w:rsid w:val="00E37688"/>
    <w:rsid w:val="00E379C0"/>
    <w:rsid w:val="00E37C46"/>
    <w:rsid w:val="00E4041B"/>
    <w:rsid w:val="00E4074A"/>
    <w:rsid w:val="00E40945"/>
    <w:rsid w:val="00E41252"/>
    <w:rsid w:val="00E41867"/>
    <w:rsid w:val="00E41A55"/>
    <w:rsid w:val="00E41A9D"/>
    <w:rsid w:val="00E41B1C"/>
    <w:rsid w:val="00E41DEE"/>
    <w:rsid w:val="00E422E7"/>
    <w:rsid w:val="00E42483"/>
    <w:rsid w:val="00E427D5"/>
    <w:rsid w:val="00E42884"/>
    <w:rsid w:val="00E43156"/>
    <w:rsid w:val="00E433A2"/>
    <w:rsid w:val="00E43727"/>
    <w:rsid w:val="00E43AC5"/>
    <w:rsid w:val="00E43EB0"/>
    <w:rsid w:val="00E44168"/>
    <w:rsid w:val="00E445CB"/>
    <w:rsid w:val="00E44AF7"/>
    <w:rsid w:val="00E44BCB"/>
    <w:rsid w:val="00E44C0B"/>
    <w:rsid w:val="00E44C23"/>
    <w:rsid w:val="00E44C99"/>
    <w:rsid w:val="00E44E12"/>
    <w:rsid w:val="00E454A9"/>
    <w:rsid w:val="00E45C00"/>
    <w:rsid w:val="00E45EF0"/>
    <w:rsid w:val="00E45EF2"/>
    <w:rsid w:val="00E462B1"/>
    <w:rsid w:val="00E4631E"/>
    <w:rsid w:val="00E46330"/>
    <w:rsid w:val="00E466CE"/>
    <w:rsid w:val="00E46C81"/>
    <w:rsid w:val="00E47131"/>
    <w:rsid w:val="00E47348"/>
    <w:rsid w:val="00E478DB"/>
    <w:rsid w:val="00E47D7C"/>
    <w:rsid w:val="00E5010D"/>
    <w:rsid w:val="00E5033F"/>
    <w:rsid w:val="00E50414"/>
    <w:rsid w:val="00E504C0"/>
    <w:rsid w:val="00E5080B"/>
    <w:rsid w:val="00E50816"/>
    <w:rsid w:val="00E5097F"/>
    <w:rsid w:val="00E50D38"/>
    <w:rsid w:val="00E517B3"/>
    <w:rsid w:val="00E51802"/>
    <w:rsid w:val="00E51C2F"/>
    <w:rsid w:val="00E51F67"/>
    <w:rsid w:val="00E51F6A"/>
    <w:rsid w:val="00E520B5"/>
    <w:rsid w:val="00E52591"/>
    <w:rsid w:val="00E52798"/>
    <w:rsid w:val="00E530C1"/>
    <w:rsid w:val="00E5314B"/>
    <w:rsid w:val="00E5314D"/>
    <w:rsid w:val="00E53261"/>
    <w:rsid w:val="00E53412"/>
    <w:rsid w:val="00E535E3"/>
    <w:rsid w:val="00E53C42"/>
    <w:rsid w:val="00E54061"/>
    <w:rsid w:val="00E5406E"/>
    <w:rsid w:val="00E542BA"/>
    <w:rsid w:val="00E54D26"/>
    <w:rsid w:val="00E54EDC"/>
    <w:rsid w:val="00E554AC"/>
    <w:rsid w:val="00E558AA"/>
    <w:rsid w:val="00E5592A"/>
    <w:rsid w:val="00E55C3A"/>
    <w:rsid w:val="00E55C86"/>
    <w:rsid w:val="00E55E47"/>
    <w:rsid w:val="00E55F52"/>
    <w:rsid w:val="00E561DA"/>
    <w:rsid w:val="00E56370"/>
    <w:rsid w:val="00E56733"/>
    <w:rsid w:val="00E56820"/>
    <w:rsid w:val="00E5685E"/>
    <w:rsid w:val="00E56B93"/>
    <w:rsid w:val="00E56BED"/>
    <w:rsid w:val="00E56CD8"/>
    <w:rsid w:val="00E56EFA"/>
    <w:rsid w:val="00E57098"/>
    <w:rsid w:val="00E57614"/>
    <w:rsid w:val="00E5788A"/>
    <w:rsid w:val="00E57E9B"/>
    <w:rsid w:val="00E57F17"/>
    <w:rsid w:val="00E57F86"/>
    <w:rsid w:val="00E600FB"/>
    <w:rsid w:val="00E6031A"/>
    <w:rsid w:val="00E60398"/>
    <w:rsid w:val="00E603FD"/>
    <w:rsid w:val="00E6054E"/>
    <w:rsid w:val="00E60595"/>
    <w:rsid w:val="00E6094B"/>
    <w:rsid w:val="00E60983"/>
    <w:rsid w:val="00E60D53"/>
    <w:rsid w:val="00E61002"/>
    <w:rsid w:val="00E615D2"/>
    <w:rsid w:val="00E6185C"/>
    <w:rsid w:val="00E61902"/>
    <w:rsid w:val="00E61ABB"/>
    <w:rsid w:val="00E61D8E"/>
    <w:rsid w:val="00E61F90"/>
    <w:rsid w:val="00E621AA"/>
    <w:rsid w:val="00E621B5"/>
    <w:rsid w:val="00E621B7"/>
    <w:rsid w:val="00E62293"/>
    <w:rsid w:val="00E62349"/>
    <w:rsid w:val="00E626E7"/>
    <w:rsid w:val="00E6277D"/>
    <w:rsid w:val="00E62DF3"/>
    <w:rsid w:val="00E62FCB"/>
    <w:rsid w:val="00E63073"/>
    <w:rsid w:val="00E63413"/>
    <w:rsid w:val="00E6364B"/>
    <w:rsid w:val="00E63B8C"/>
    <w:rsid w:val="00E63D54"/>
    <w:rsid w:val="00E6403C"/>
    <w:rsid w:val="00E6408A"/>
    <w:rsid w:val="00E6409E"/>
    <w:rsid w:val="00E641CA"/>
    <w:rsid w:val="00E64420"/>
    <w:rsid w:val="00E648A4"/>
    <w:rsid w:val="00E6505E"/>
    <w:rsid w:val="00E65354"/>
    <w:rsid w:val="00E65D13"/>
    <w:rsid w:val="00E65FB1"/>
    <w:rsid w:val="00E660A7"/>
    <w:rsid w:val="00E660D0"/>
    <w:rsid w:val="00E662C8"/>
    <w:rsid w:val="00E6650C"/>
    <w:rsid w:val="00E667E3"/>
    <w:rsid w:val="00E66BD7"/>
    <w:rsid w:val="00E66CEE"/>
    <w:rsid w:val="00E67075"/>
    <w:rsid w:val="00E670A5"/>
    <w:rsid w:val="00E6726A"/>
    <w:rsid w:val="00E676CC"/>
    <w:rsid w:val="00E67981"/>
    <w:rsid w:val="00E67A99"/>
    <w:rsid w:val="00E67C69"/>
    <w:rsid w:val="00E67F0C"/>
    <w:rsid w:val="00E67FB3"/>
    <w:rsid w:val="00E7006D"/>
    <w:rsid w:val="00E700DD"/>
    <w:rsid w:val="00E7017E"/>
    <w:rsid w:val="00E7031B"/>
    <w:rsid w:val="00E7034A"/>
    <w:rsid w:val="00E7081F"/>
    <w:rsid w:val="00E70A22"/>
    <w:rsid w:val="00E70D8F"/>
    <w:rsid w:val="00E710B0"/>
    <w:rsid w:val="00E715F4"/>
    <w:rsid w:val="00E7160D"/>
    <w:rsid w:val="00E717FF"/>
    <w:rsid w:val="00E7191A"/>
    <w:rsid w:val="00E71A2E"/>
    <w:rsid w:val="00E71E68"/>
    <w:rsid w:val="00E722CF"/>
    <w:rsid w:val="00E72524"/>
    <w:rsid w:val="00E72771"/>
    <w:rsid w:val="00E72810"/>
    <w:rsid w:val="00E72AA1"/>
    <w:rsid w:val="00E72D57"/>
    <w:rsid w:val="00E732E3"/>
    <w:rsid w:val="00E7332A"/>
    <w:rsid w:val="00E735D1"/>
    <w:rsid w:val="00E7389B"/>
    <w:rsid w:val="00E741D4"/>
    <w:rsid w:val="00E745E4"/>
    <w:rsid w:val="00E74643"/>
    <w:rsid w:val="00E749CF"/>
    <w:rsid w:val="00E74B75"/>
    <w:rsid w:val="00E74CD2"/>
    <w:rsid w:val="00E750E1"/>
    <w:rsid w:val="00E75240"/>
    <w:rsid w:val="00E75895"/>
    <w:rsid w:val="00E758D6"/>
    <w:rsid w:val="00E7600C"/>
    <w:rsid w:val="00E76605"/>
    <w:rsid w:val="00E76758"/>
    <w:rsid w:val="00E76803"/>
    <w:rsid w:val="00E76A1B"/>
    <w:rsid w:val="00E76A72"/>
    <w:rsid w:val="00E76CB2"/>
    <w:rsid w:val="00E76E3C"/>
    <w:rsid w:val="00E76FDA"/>
    <w:rsid w:val="00E77216"/>
    <w:rsid w:val="00E77389"/>
    <w:rsid w:val="00E775FB"/>
    <w:rsid w:val="00E77ED5"/>
    <w:rsid w:val="00E77F62"/>
    <w:rsid w:val="00E77F97"/>
    <w:rsid w:val="00E80099"/>
    <w:rsid w:val="00E80220"/>
    <w:rsid w:val="00E80BBC"/>
    <w:rsid w:val="00E8128D"/>
    <w:rsid w:val="00E81537"/>
    <w:rsid w:val="00E818B5"/>
    <w:rsid w:val="00E819BB"/>
    <w:rsid w:val="00E819F2"/>
    <w:rsid w:val="00E819F4"/>
    <w:rsid w:val="00E819F8"/>
    <w:rsid w:val="00E81BD1"/>
    <w:rsid w:val="00E81C0A"/>
    <w:rsid w:val="00E8238E"/>
    <w:rsid w:val="00E82517"/>
    <w:rsid w:val="00E826A1"/>
    <w:rsid w:val="00E82DD2"/>
    <w:rsid w:val="00E83463"/>
    <w:rsid w:val="00E839E8"/>
    <w:rsid w:val="00E83DBD"/>
    <w:rsid w:val="00E83FAB"/>
    <w:rsid w:val="00E84082"/>
    <w:rsid w:val="00E84415"/>
    <w:rsid w:val="00E8452C"/>
    <w:rsid w:val="00E84676"/>
    <w:rsid w:val="00E8474E"/>
    <w:rsid w:val="00E84DBE"/>
    <w:rsid w:val="00E84FCF"/>
    <w:rsid w:val="00E854BA"/>
    <w:rsid w:val="00E8558A"/>
    <w:rsid w:val="00E855CE"/>
    <w:rsid w:val="00E85659"/>
    <w:rsid w:val="00E85BFD"/>
    <w:rsid w:val="00E85C9E"/>
    <w:rsid w:val="00E85E74"/>
    <w:rsid w:val="00E8603A"/>
    <w:rsid w:val="00E860D7"/>
    <w:rsid w:val="00E86400"/>
    <w:rsid w:val="00E864AD"/>
    <w:rsid w:val="00E866FD"/>
    <w:rsid w:val="00E86B0A"/>
    <w:rsid w:val="00E87391"/>
    <w:rsid w:val="00E87731"/>
    <w:rsid w:val="00E87779"/>
    <w:rsid w:val="00E8793E"/>
    <w:rsid w:val="00E879A2"/>
    <w:rsid w:val="00E879AB"/>
    <w:rsid w:val="00E87A92"/>
    <w:rsid w:val="00E87D26"/>
    <w:rsid w:val="00E87E43"/>
    <w:rsid w:val="00E87EF7"/>
    <w:rsid w:val="00E903D6"/>
    <w:rsid w:val="00E90411"/>
    <w:rsid w:val="00E9051A"/>
    <w:rsid w:val="00E90993"/>
    <w:rsid w:val="00E90C83"/>
    <w:rsid w:val="00E90DEB"/>
    <w:rsid w:val="00E90EDD"/>
    <w:rsid w:val="00E9130A"/>
    <w:rsid w:val="00E91467"/>
    <w:rsid w:val="00E9190C"/>
    <w:rsid w:val="00E91ADA"/>
    <w:rsid w:val="00E91EA3"/>
    <w:rsid w:val="00E9205E"/>
    <w:rsid w:val="00E92132"/>
    <w:rsid w:val="00E921CE"/>
    <w:rsid w:val="00E92545"/>
    <w:rsid w:val="00E92722"/>
    <w:rsid w:val="00E92740"/>
    <w:rsid w:val="00E92B77"/>
    <w:rsid w:val="00E93112"/>
    <w:rsid w:val="00E93128"/>
    <w:rsid w:val="00E93175"/>
    <w:rsid w:val="00E93231"/>
    <w:rsid w:val="00E9325B"/>
    <w:rsid w:val="00E932B9"/>
    <w:rsid w:val="00E93751"/>
    <w:rsid w:val="00E93806"/>
    <w:rsid w:val="00E93947"/>
    <w:rsid w:val="00E93AB6"/>
    <w:rsid w:val="00E93E4F"/>
    <w:rsid w:val="00E93E7E"/>
    <w:rsid w:val="00E94285"/>
    <w:rsid w:val="00E94693"/>
    <w:rsid w:val="00E946A2"/>
    <w:rsid w:val="00E946C8"/>
    <w:rsid w:val="00E947C1"/>
    <w:rsid w:val="00E950A2"/>
    <w:rsid w:val="00E951CB"/>
    <w:rsid w:val="00E95298"/>
    <w:rsid w:val="00E9535C"/>
    <w:rsid w:val="00E95750"/>
    <w:rsid w:val="00E958CC"/>
    <w:rsid w:val="00E959D1"/>
    <w:rsid w:val="00E95B58"/>
    <w:rsid w:val="00E95C1A"/>
    <w:rsid w:val="00E95CA0"/>
    <w:rsid w:val="00E95F85"/>
    <w:rsid w:val="00E96110"/>
    <w:rsid w:val="00E963A5"/>
    <w:rsid w:val="00E967F2"/>
    <w:rsid w:val="00E96802"/>
    <w:rsid w:val="00E96980"/>
    <w:rsid w:val="00E96996"/>
    <w:rsid w:val="00E96C6A"/>
    <w:rsid w:val="00E9737C"/>
    <w:rsid w:val="00E97448"/>
    <w:rsid w:val="00E975FB"/>
    <w:rsid w:val="00E979B7"/>
    <w:rsid w:val="00E97CD2"/>
    <w:rsid w:val="00EA0731"/>
    <w:rsid w:val="00EA0759"/>
    <w:rsid w:val="00EA0825"/>
    <w:rsid w:val="00EA1472"/>
    <w:rsid w:val="00EA1547"/>
    <w:rsid w:val="00EA1653"/>
    <w:rsid w:val="00EA17C4"/>
    <w:rsid w:val="00EA1BFD"/>
    <w:rsid w:val="00EA22EF"/>
    <w:rsid w:val="00EA242B"/>
    <w:rsid w:val="00EA2494"/>
    <w:rsid w:val="00EA2721"/>
    <w:rsid w:val="00EA286A"/>
    <w:rsid w:val="00EA28EB"/>
    <w:rsid w:val="00EA29C4"/>
    <w:rsid w:val="00EA2A79"/>
    <w:rsid w:val="00EA3684"/>
    <w:rsid w:val="00EA36E3"/>
    <w:rsid w:val="00EA3935"/>
    <w:rsid w:val="00EA3ACF"/>
    <w:rsid w:val="00EA3AEF"/>
    <w:rsid w:val="00EA3B5C"/>
    <w:rsid w:val="00EA4081"/>
    <w:rsid w:val="00EA412C"/>
    <w:rsid w:val="00EA41C6"/>
    <w:rsid w:val="00EA4326"/>
    <w:rsid w:val="00EA44D0"/>
    <w:rsid w:val="00EA45D3"/>
    <w:rsid w:val="00EA46E7"/>
    <w:rsid w:val="00EA4760"/>
    <w:rsid w:val="00EA49E9"/>
    <w:rsid w:val="00EA4C84"/>
    <w:rsid w:val="00EA53DE"/>
    <w:rsid w:val="00EA54DD"/>
    <w:rsid w:val="00EA54EC"/>
    <w:rsid w:val="00EA58E4"/>
    <w:rsid w:val="00EA59FE"/>
    <w:rsid w:val="00EA6088"/>
    <w:rsid w:val="00EA658F"/>
    <w:rsid w:val="00EA68CD"/>
    <w:rsid w:val="00EA69E6"/>
    <w:rsid w:val="00EA6ABC"/>
    <w:rsid w:val="00EA6AD6"/>
    <w:rsid w:val="00EA6E8F"/>
    <w:rsid w:val="00EA73B9"/>
    <w:rsid w:val="00EA760B"/>
    <w:rsid w:val="00EA779F"/>
    <w:rsid w:val="00EA78A2"/>
    <w:rsid w:val="00EA7A83"/>
    <w:rsid w:val="00EA7DDE"/>
    <w:rsid w:val="00EA7DEA"/>
    <w:rsid w:val="00EA7EFB"/>
    <w:rsid w:val="00EA7FD8"/>
    <w:rsid w:val="00EB0302"/>
    <w:rsid w:val="00EB03C4"/>
    <w:rsid w:val="00EB0495"/>
    <w:rsid w:val="00EB0537"/>
    <w:rsid w:val="00EB07B7"/>
    <w:rsid w:val="00EB0B99"/>
    <w:rsid w:val="00EB0E61"/>
    <w:rsid w:val="00EB0EA6"/>
    <w:rsid w:val="00EB12FA"/>
    <w:rsid w:val="00EB17F1"/>
    <w:rsid w:val="00EB1896"/>
    <w:rsid w:val="00EB1B47"/>
    <w:rsid w:val="00EB20D8"/>
    <w:rsid w:val="00EB2AEE"/>
    <w:rsid w:val="00EB2D41"/>
    <w:rsid w:val="00EB2F9D"/>
    <w:rsid w:val="00EB3011"/>
    <w:rsid w:val="00EB3180"/>
    <w:rsid w:val="00EB3517"/>
    <w:rsid w:val="00EB3801"/>
    <w:rsid w:val="00EB3FAD"/>
    <w:rsid w:val="00EB420F"/>
    <w:rsid w:val="00EB444D"/>
    <w:rsid w:val="00EB4467"/>
    <w:rsid w:val="00EB4876"/>
    <w:rsid w:val="00EB49BA"/>
    <w:rsid w:val="00EB4BB9"/>
    <w:rsid w:val="00EB4DF6"/>
    <w:rsid w:val="00EB51D5"/>
    <w:rsid w:val="00EB5298"/>
    <w:rsid w:val="00EB529F"/>
    <w:rsid w:val="00EB53C0"/>
    <w:rsid w:val="00EB5773"/>
    <w:rsid w:val="00EB585C"/>
    <w:rsid w:val="00EB650E"/>
    <w:rsid w:val="00EB696D"/>
    <w:rsid w:val="00EB6EB0"/>
    <w:rsid w:val="00EB6EF6"/>
    <w:rsid w:val="00EB6F39"/>
    <w:rsid w:val="00EB7136"/>
    <w:rsid w:val="00EB71DD"/>
    <w:rsid w:val="00EB73A2"/>
    <w:rsid w:val="00EB7525"/>
    <w:rsid w:val="00EB7CF8"/>
    <w:rsid w:val="00EB7EBF"/>
    <w:rsid w:val="00EB7FA7"/>
    <w:rsid w:val="00EC03D9"/>
    <w:rsid w:val="00EC059B"/>
    <w:rsid w:val="00EC05A8"/>
    <w:rsid w:val="00EC0B39"/>
    <w:rsid w:val="00EC0D04"/>
    <w:rsid w:val="00EC0D2B"/>
    <w:rsid w:val="00EC0F47"/>
    <w:rsid w:val="00EC1172"/>
    <w:rsid w:val="00EC11FD"/>
    <w:rsid w:val="00EC1462"/>
    <w:rsid w:val="00EC15E6"/>
    <w:rsid w:val="00EC194E"/>
    <w:rsid w:val="00EC1BD7"/>
    <w:rsid w:val="00EC1BF7"/>
    <w:rsid w:val="00EC1C69"/>
    <w:rsid w:val="00EC1C82"/>
    <w:rsid w:val="00EC1D1E"/>
    <w:rsid w:val="00EC1E9F"/>
    <w:rsid w:val="00EC1EE9"/>
    <w:rsid w:val="00EC20D7"/>
    <w:rsid w:val="00EC226F"/>
    <w:rsid w:val="00EC2461"/>
    <w:rsid w:val="00EC2A3C"/>
    <w:rsid w:val="00EC2ADA"/>
    <w:rsid w:val="00EC2CAF"/>
    <w:rsid w:val="00EC2DD9"/>
    <w:rsid w:val="00EC351E"/>
    <w:rsid w:val="00EC36EF"/>
    <w:rsid w:val="00EC3A42"/>
    <w:rsid w:val="00EC3B44"/>
    <w:rsid w:val="00EC3B5A"/>
    <w:rsid w:val="00EC3B88"/>
    <w:rsid w:val="00EC4119"/>
    <w:rsid w:val="00EC42E1"/>
    <w:rsid w:val="00EC42EF"/>
    <w:rsid w:val="00EC4A2C"/>
    <w:rsid w:val="00EC4BD9"/>
    <w:rsid w:val="00EC5166"/>
    <w:rsid w:val="00EC538F"/>
    <w:rsid w:val="00EC5528"/>
    <w:rsid w:val="00EC577B"/>
    <w:rsid w:val="00EC57AA"/>
    <w:rsid w:val="00EC5856"/>
    <w:rsid w:val="00EC5A17"/>
    <w:rsid w:val="00EC5D7A"/>
    <w:rsid w:val="00EC63C5"/>
    <w:rsid w:val="00EC66A2"/>
    <w:rsid w:val="00EC67B4"/>
    <w:rsid w:val="00EC683E"/>
    <w:rsid w:val="00EC68BE"/>
    <w:rsid w:val="00EC6A58"/>
    <w:rsid w:val="00EC6ADC"/>
    <w:rsid w:val="00EC6B93"/>
    <w:rsid w:val="00EC6E3D"/>
    <w:rsid w:val="00EC6F75"/>
    <w:rsid w:val="00EC7079"/>
    <w:rsid w:val="00EC73C2"/>
    <w:rsid w:val="00EC73EE"/>
    <w:rsid w:val="00EC744F"/>
    <w:rsid w:val="00EC74DF"/>
    <w:rsid w:val="00EC77CD"/>
    <w:rsid w:val="00EC795A"/>
    <w:rsid w:val="00EC7DE6"/>
    <w:rsid w:val="00EC7EE5"/>
    <w:rsid w:val="00EC7F3E"/>
    <w:rsid w:val="00ED0123"/>
    <w:rsid w:val="00ED03AC"/>
    <w:rsid w:val="00ED0416"/>
    <w:rsid w:val="00ED073B"/>
    <w:rsid w:val="00ED074F"/>
    <w:rsid w:val="00ED0E8D"/>
    <w:rsid w:val="00ED176D"/>
    <w:rsid w:val="00ED1AD7"/>
    <w:rsid w:val="00ED1D86"/>
    <w:rsid w:val="00ED29E4"/>
    <w:rsid w:val="00ED2AE6"/>
    <w:rsid w:val="00ED315B"/>
    <w:rsid w:val="00ED347D"/>
    <w:rsid w:val="00ED34CF"/>
    <w:rsid w:val="00ED34E2"/>
    <w:rsid w:val="00ED3648"/>
    <w:rsid w:val="00ED36A9"/>
    <w:rsid w:val="00ED36DF"/>
    <w:rsid w:val="00ED38DB"/>
    <w:rsid w:val="00ED3B8A"/>
    <w:rsid w:val="00ED3CFC"/>
    <w:rsid w:val="00ED3D06"/>
    <w:rsid w:val="00ED415F"/>
    <w:rsid w:val="00ED4391"/>
    <w:rsid w:val="00ED4478"/>
    <w:rsid w:val="00ED4566"/>
    <w:rsid w:val="00ED4590"/>
    <w:rsid w:val="00ED4635"/>
    <w:rsid w:val="00ED46BB"/>
    <w:rsid w:val="00ED470A"/>
    <w:rsid w:val="00ED4839"/>
    <w:rsid w:val="00ED4D1D"/>
    <w:rsid w:val="00ED5036"/>
    <w:rsid w:val="00ED5133"/>
    <w:rsid w:val="00ED56FC"/>
    <w:rsid w:val="00ED5841"/>
    <w:rsid w:val="00ED59C8"/>
    <w:rsid w:val="00ED5B0E"/>
    <w:rsid w:val="00ED5B87"/>
    <w:rsid w:val="00ED5F92"/>
    <w:rsid w:val="00ED651A"/>
    <w:rsid w:val="00ED66C3"/>
    <w:rsid w:val="00ED68AA"/>
    <w:rsid w:val="00ED6B52"/>
    <w:rsid w:val="00ED6D35"/>
    <w:rsid w:val="00ED7370"/>
    <w:rsid w:val="00ED76DF"/>
    <w:rsid w:val="00ED782C"/>
    <w:rsid w:val="00ED7936"/>
    <w:rsid w:val="00ED7C40"/>
    <w:rsid w:val="00ED7C6F"/>
    <w:rsid w:val="00ED7F7F"/>
    <w:rsid w:val="00EE0094"/>
    <w:rsid w:val="00EE02C2"/>
    <w:rsid w:val="00EE0431"/>
    <w:rsid w:val="00EE0761"/>
    <w:rsid w:val="00EE09F8"/>
    <w:rsid w:val="00EE0EC8"/>
    <w:rsid w:val="00EE111D"/>
    <w:rsid w:val="00EE1C9B"/>
    <w:rsid w:val="00EE1F49"/>
    <w:rsid w:val="00EE2062"/>
    <w:rsid w:val="00EE218B"/>
    <w:rsid w:val="00EE2459"/>
    <w:rsid w:val="00EE277B"/>
    <w:rsid w:val="00EE29BE"/>
    <w:rsid w:val="00EE2BBA"/>
    <w:rsid w:val="00EE2C2E"/>
    <w:rsid w:val="00EE2ECB"/>
    <w:rsid w:val="00EE30AF"/>
    <w:rsid w:val="00EE38E1"/>
    <w:rsid w:val="00EE3944"/>
    <w:rsid w:val="00EE39E6"/>
    <w:rsid w:val="00EE3A0A"/>
    <w:rsid w:val="00EE3AF8"/>
    <w:rsid w:val="00EE3CA8"/>
    <w:rsid w:val="00EE3DF9"/>
    <w:rsid w:val="00EE42F8"/>
    <w:rsid w:val="00EE45B1"/>
    <w:rsid w:val="00EE494E"/>
    <w:rsid w:val="00EE4A40"/>
    <w:rsid w:val="00EE4BD9"/>
    <w:rsid w:val="00EE4C66"/>
    <w:rsid w:val="00EE4D2E"/>
    <w:rsid w:val="00EE4E7E"/>
    <w:rsid w:val="00EE5073"/>
    <w:rsid w:val="00EE53FC"/>
    <w:rsid w:val="00EE58A2"/>
    <w:rsid w:val="00EE5A17"/>
    <w:rsid w:val="00EE61E1"/>
    <w:rsid w:val="00EE6348"/>
    <w:rsid w:val="00EE65B6"/>
    <w:rsid w:val="00EE670F"/>
    <w:rsid w:val="00EE679F"/>
    <w:rsid w:val="00EE6DCE"/>
    <w:rsid w:val="00EE701D"/>
    <w:rsid w:val="00EE724C"/>
    <w:rsid w:val="00EE750B"/>
    <w:rsid w:val="00EE77C5"/>
    <w:rsid w:val="00EE77D0"/>
    <w:rsid w:val="00EE77FD"/>
    <w:rsid w:val="00EE7D6A"/>
    <w:rsid w:val="00EE7D7A"/>
    <w:rsid w:val="00EF0BA5"/>
    <w:rsid w:val="00EF0DC6"/>
    <w:rsid w:val="00EF0E35"/>
    <w:rsid w:val="00EF0EB8"/>
    <w:rsid w:val="00EF1368"/>
    <w:rsid w:val="00EF15B0"/>
    <w:rsid w:val="00EF15B1"/>
    <w:rsid w:val="00EF1620"/>
    <w:rsid w:val="00EF1C4A"/>
    <w:rsid w:val="00EF1D3B"/>
    <w:rsid w:val="00EF1F3E"/>
    <w:rsid w:val="00EF2371"/>
    <w:rsid w:val="00EF2B4D"/>
    <w:rsid w:val="00EF3376"/>
    <w:rsid w:val="00EF39E5"/>
    <w:rsid w:val="00EF3B17"/>
    <w:rsid w:val="00EF3B5F"/>
    <w:rsid w:val="00EF3E96"/>
    <w:rsid w:val="00EF3F4A"/>
    <w:rsid w:val="00EF3F71"/>
    <w:rsid w:val="00EF40DC"/>
    <w:rsid w:val="00EF4365"/>
    <w:rsid w:val="00EF459F"/>
    <w:rsid w:val="00EF45AE"/>
    <w:rsid w:val="00EF4760"/>
    <w:rsid w:val="00EF4834"/>
    <w:rsid w:val="00EF48FE"/>
    <w:rsid w:val="00EF4947"/>
    <w:rsid w:val="00EF4954"/>
    <w:rsid w:val="00EF49AE"/>
    <w:rsid w:val="00EF4E76"/>
    <w:rsid w:val="00EF509F"/>
    <w:rsid w:val="00EF5622"/>
    <w:rsid w:val="00EF5745"/>
    <w:rsid w:val="00EF577C"/>
    <w:rsid w:val="00EF587E"/>
    <w:rsid w:val="00EF5A42"/>
    <w:rsid w:val="00EF5BF4"/>
    <w:rsid w:val="00EF5E74"/>
    <w:rsid w:val="00EF608C"/>
    <w:rsid w:val="00EF635F"/>
    <w:rsid w:val="00EF640F"/>
    <w:rsid w:val="00EF6446"/>
    <w:rsid w:val="00EF65AE"/>
    <w:rsid w:val="00EF65E7"/>
    <w:rsid w:val="00EF672A"/>
    <w:rsid w:val="00EF673A"/>
    <w:rsid w:val="00EF67D8"/>
    <w:rsid w:val="00EF685B"/>
    <w:rsid w:val="00EF69E9"/>
    <w:rsid w:val="00EF6E98"/>
    <w:rsid w:val="00EF700C"/>
    <w:rsid w:val="00EF7032"/>
    <w:rsid w:val="00EF718B"/>
    <w:rsid w:val="00EF7222"/>
    <w:rsid w:val="00EF754A"/>
    <w:rsid w:val="00EF776D"/>
    <w:rsid w:val="00EF787E"/>
    <w:rsid w:val="00EF7CDC"/>
    <w:rsid w:val="00EF7EF7"/>
    <w:rsid w:val="00EF7FD1"/>
    <w:rsid w:val="00F003A8"/>
    <w:rsid w:val="00F00732"/>
    <w:rsid w:val="00F00845"/>
    <w:rsid w:val="00F00E40"/>
    <w:rsid w:val="00F013C3"/>
    <w:rsid w:val="00F015E9"/>
    <w:rsid w:val="00F0170A"/>
    <w:rsid w:val="00F01D14"/>
    <w:rsid w:val="00F0212F"/>
    <w:rsid w:val="00F02469"/>
    <w:rsid w:val="00F0255E"/>
    <w:rsid w:val="00F025BA"/>
    <w:rsid w:val="00F025F4"/>
    <w:rsid w:val="00F02614"/>
    <w:rsid w:val="00F0271B"/>
    <w:rsid w:val="00F0282E"/>
    <w:rsid w:val="00F031EC"/>
    <w:rsid w:val="00F032BE"/>
    <w:rsid w:val="00F03730"/>
    <w:rsid w:val="00F03A61"/>
    <w:rsid w:val="00F03D57"/>
    <w:rsid w:val="00F04306"/>
    <w:rsid w:val="00F0438D"/>
    <w:rsid w:val="00F04636"/>
    <w:rsid w:val="00F04996"/>
    <w:rsid w:val="00F049A9"/>
    <w:rsid w:val="00F04A2A"/>
    <w:rsid w:val="00F04CE7"/>
    <w:rsid w:val="00F0552C"/>
    <w:rsid w:val="00F055EF"/>
    <w:rsid w:val="00F05C9B"/>
    <w:rsid w:val="00F06168"/>
    <w:rsid w:val="00F06195"/>
    <w:rsid w:val="00F062DA"/>
    <w:rsid w:val="00F06487"/>
    <w:rsid w:val="00F065CD"/>
    <w:rsid w:val="00F06641"/>
    <w:rsid w:val="00F067B2"/>
    <w:rsid w:val="00F068FE"/>
    <w:rsid w:val="00F06CB0"/>
    <w:rsid w:val="00F06EAC"/>
    <w:rsid w:val="00F07230"/>
    <w:rsid w:val="00F07284"/>
    <w:rsid w:val="00F0729E"/>
    <w:rsid w:val="00F073EE"/>
    <w:rsid w:val="00F07739"/>
    <w:rsid w:val="00F0779C"/>
    <w:rsid w:val="00F07830"/>
    <w:rsid w:val="00F07831"/>
    <w:rsid w:val="00F0796E"/>
    <w:rsid w:val="00F07AF0"/>
    <w:rsid w:val="00F07C56"/>
    <w:rsid w:val="00F07E81"/>
    <w:rsid w:val="00F101B2"/>
    <w:rsid w:val="00F1022E"/>
    <w:rsid w:val="00F109CA"/>
    <w:rsid w:val="00F109EF"/>
    <w:rsid w:val="00F10A4B"/>
    <w:rsid w:val="00F10B28"/>
    <w:rsid w:val="00F10DB3"/>
    <w:rsid w:val="00F10FB3"/>
    <w:rsid w:val="00F1103C"/>
    <w:rsid w:val="00F11140"/>
    <w:rsid w:val="00F114AA"/>
    <w:rsid w:val="00F11812"/>
    <w:rsid w:val="00F118A5"/>
    <w:rsid w:val="00F119F8"/>
    <w:rsid w:val="00F122D0"/>
    <w:rsid w:val="00F12351"/>
    <w:rsid w:val="00F12BBB"/>
    <w:rsid w:val="00F12BF0"/>
    <w:rsid w:val="00F12C30"/>
    <w:rsid w:val="00F12D9C"/>
    <w:rsid w:val="00F12F86"/>
    <w:rsid w:val="00F130A1"/>
    <w:rsid w:val="00F130F0"/>
    <w:rsid w:val="00F1345D"/>
    <w:rsid w:val="00F135F9"/>
    <w:rsid w:val="00F136E7"/>
    <w:rsid w:val="00F138BF"/>
    <w:rsid w:val="00F13C4F"/>
    <w:rsid w:val="00F13CA7"/>
    <w:rsid w:val="00F13D07"/>
    <w:rsid w:val="00F13D6F"/>
    <w:rsid w:val="00F13DAA"/>
    <w:rsid w:val="00F13FFC"/>
    <w:rsid w:val="00F14586"/>
    <w:rsid w:val="00F14737"/>
    <w:rsid w:val="00F14782"/>
    <w:rsid w:val="00F14819"/>
    <w:rsid w:val="00F14B37"/>
    <w:rsid w:val="00F14C47"/>
    <w:rsid w:val="00F157FD"/>
    <w:rsid w:val="00F1598F"/>
    <w:rsid w:val="00F15F67"/>
    <w:rsid w:val="00F1683A"/>
    <w:rsid w:val="00F16850"/>
    <w:rsid w:val="00F16883"/>
    <w:rsid w:val="00F16AD4"/>
    <w:rsid w:val="00F16C35"/>
    <w:rsid w:val="00F16C67"/>
    <w:rsid w:val="00F16D46"/>
    <w:rsid w:val="00F16E2D"/>
    <w:rsid w:val="00F170AA"/>
    <w:rsid w:val="00F170AE"/>
    <w:rsid w:val="00F1747B"/>
    <w:rsid w:val="00F17551"/>
    <w:rsid w:val="00F1787F"/>
    <w:rsid w:val="00F17A77"/>
    <w:rsid w:val="00F17BC2"/>
    <w:rsid w:val="00F201B6"/>
    <w:rsid w:val="00F2029D"/>
    <w:rsid w:val="00F20447"/>
    <w:rsid w:val="00F206AB"/>
    <w:rsid w:val="00F20741"/>
    <w:rsid w:val="00F20C2B"/>
    <w:rsid w:val="00F2131F"/>
    <w:rsid w:val="00F2133D"/>
    <w:rsid w:val="00F2147B"/>
    <w:rsid w:val="00F215EC"/>
    <w:rsid w:val="00F21602"/>
    <w:rsid w:val="00F21846"/>
    <w:rsid w:val="00F21C7B"/>
    <w:rsid w:val="00F2208A"/>
    <w:rsid w:val="00F22111"/>
    <w:rsid w:val="00F22495"/>
    <w:rsid w:val="00F22566"/>
    <w:rsid w:val="00F22895"/>
    <w:rsid w:val="00F22B28"/>
    <w:rsid w:val="00F234FD"/>
    <w:rsid w:val="00F238DB"/>
    <w:rsid w:val="00F23906"/>
    <w:rsid w:val="00F239BC"/>
    <w:rsid w:val="00F23B86"/>
    <w:rsid w:val="00F23B9B"/>
    <w:rsid w:val="00F23CE3"/>
    <w:rsid w:val="00F2404C"/>
    <w:rsid w:val="00F24527"/>
    <w:rsid w:val="00F245EA"/>
    <w:rsid w:val="00F24808"/>
    <w:rsid w:val="00F24B00"/>
    <w:rsid w:val="00F24FCC"/>
    <w:rsid w:val="00F252F7"/>
    <w:rsid w:val="00F25538"/>
    <w:rsid w:val="00F25608"/>
    <w:rsid w:val="00F2568A"/>
    <w:rsid w:val="00F257D0"/>
    <w:rsid w:val="00F25930"/>
    <w:rsid w:val="00F25943"/>
    <w:rsid w:val="00F259B2"/>
    <w:rsid w:val="00F259D7"/>
    <w:rsid w:val="00F25A32"/>
    <w:rsid w:val="00F25E67"/>
    <w:rsid w:val="00F26342"/>
    <w:rsid w:val="00F266EC"/>
    <w:rsid w:val="00F268B0"/>
    <w:rsid w:val="00F268E4"/>
    <w:rsid w:val="00F26AA0"/>
    <w:rsid w:val="00F2700D"/>
    <w:rsid w:val="00F2714D"/>
    <w:rsid w:val="00F27338"/>
    <w:rsid w:val="00F277B0"/>
    <w:rsid w:val="00F30934"/>
    <w:rsid w:val="00F30A06"/>
    <w:rsid w:val="00F30AD4"/>
    <w:rsid w:val="00F30C44"/>
    <w:rsid w:val="00F30CAF"/>
    <w:rsid w:val="00F30F71"/>
    <w:rsid w:val="00F310B4"/>
    <w:rsid w:val="00F316D8"/>
    <w:rsid w:val="00F31933"/>
    <w:rsid w:val="00F31BEB"/>
    <w:rsid w:val="00F31CF1"/>
    <w:rsid w:val="00F32620"/>
    <w:rsid w:val="00F32C56"/>
    <w:rsid w:val="00F32E04"/>
    <w:rsid w:val="00F32E86"/>
    <w:rsid w:val="00F32EE0"/>
    <w:rsid w:val="00F32EEB"/>
    <w:rsid w:val="00F332FD"/>
    <w:rsid w:val="00F335D6"/>
    <w:rsid w:val="00F3370B"/>
    <w:rsid w:val="00F33A99"/>
    <w:rsid w:val="00F33BF4"/>
    <w:rsid w:val="00F34720"/>
    <w:rsid w:val="00F347F6"/>
    <w:rsid w:val="00F348CB"/>
    <w:rsid w:val="00F34969"/>
    <w:rsid w:val="00F34A81"/>
    <w:rsid w:val="00F34AB1"/>
    <w:rsid w:val="00F34ACC"/>
    <w:rsid w:val="00F34AFD"/>
    <w:rsid w:val="00F34F29"/>
    <w:rsid w:val="00F3501B"/>
    <w:rsid w:val="00F35020"/>
    <w:rsid w:val="00F350FF"/>
    <w:rsid w:val="00F35C7A"/>
    <w:rsid w:val="00F35E8F"/>
    <w:rsid w:val="00F36387"/>
    <w:rsid w:val="00F364FE"/>
    <w:rsid w:val="00F366EA"/>
    <w:rsid w:val="00F366EE"/>
    <w:rsid w:val="00F3673B"/>
    <w:rsid w:val="00F36B60"/>
    <w:rsid w:val="00F36CB3"/>
    <w:rsid w:val="00F36F3C"/>
    <w:rsid w:val="00F3719B"/>
    <w:rsid w:val="00F37399"/>
    <w:rsid w:val="00F37494"/>
    <w:rsid w:val="00F375A4"/>
    <w:rsid w:val="00F377C0"/>
    <w:rsid w:val="00F37864"/>
    <w:rsid w:val="00F40878"/>
    <w:rsid w:val="00F409C5"/>
    <w:rsid w:val="00F40B35"/>
    <w:rsid w:val="00F40C5B"/>
    <w:rsid w:val="00F40FBB"/>
    <w:rsid w:val="00F41185"/>
    <w:rsid w:val="00F411D3"/>
    <w:rsid w:val="00F41325"/>
    <w:rsid w:val="00F4149A"/>
    <w:rsid w:val="00F416E6"/>
    <w:rsid w:val="00F41738"/>
    <w:rsid w:val="00F417F5"/>
    <w:rsid w:val="00F418D0"/>
    <w:rsid w:val="00F419EC"/>
    <w:rsid w:val="00F41E2F"/>
    <w:rsid w:val="00F41EB4"/>
    <w:rsid w:val="00F42120"/>
    <w:rsid w:val="00F42494"/>
    <w:rsid w:val="00F42DB9"/>
    <w:rsid w:val="00F42E5A"/>
    <w:rsid w:val="00F4301F"/>
    <w:rsid w:val="00F43255"/>
    <w:rsid w:val="00F4362C"/>
    <w:rsid w:val="00F43B17"/>
    <w:rsid w:val="00F43E34"/>
    <w:rsid w:val="00F43ECB"/>
    <w:rsid w:val="00F4405C"/>
    <w:rsid w:val="00F440DF"/>
    <w:rsid w:val="00F4420F"/>
    <w:rsid w:val="00F44845"/>
    <w:rsid w:val="00F44B79"/>
    <w:rsid w:val="00F44D00"/>
    <w:rsid w:val="00F44D9C"/>
    <w:rsid w:val="00F44FE6"/>
    <w:rsid w:val="00F452AD"/>
    <w:rsid w:val="00F4541D"/>
    <w:rsid w:val="00F4556E"/>
    <w:rsid w:val="00F45597"/>
    <w:rsid w:val="00F45669"/>
    <w:rsid w:val="00F45908"/>
    <w:rsid w:val="00F45A84"/>
    <w:rsid w:val="00F45E54"/>
    <w:rsid w:val="00F45E6B"/>
    <w:rsid w:val="00F45E7A"/>
    <w:rsid w:val="00F461F0"/>
    <w:rsid w:val="00F463BF"/>
    <w:rsid w:val="00F46CC7"/>
    <w:rsid w:val="00F47029"/>
    <w:rsid w:val="00F471E2"/>
    <w:rsid w:val="00F47287"/>
    <w:rsid w:val="00F478BF"/>
    <w:rsid w:val="00F47CB9"/>
    <w:rsid w:val="00F505C7"/>
    <w:rsid w:val="00F50622"/>
    <w:rsid w:val="00F5102A"/>
    <w:rsid w:val="00F51192"/>
    <w:rsid w:val="00F51335"/>
    <w:rsid w:val="00F516B3"/>
    <w:rsid w:val="00F51940"/>
    <w:rsid w:val="00F51B36"/>
    <w:rsid w:val="00F51D7D"/>
    <w:rsid w:val="00F51EFD"/>
    <w:rsid w:val="00F522F7"/>
    <w:rsid w:val="00F524EA"/>
    <w:rsid w:val="00F52528"/>
    <w:rsid w:val="00F52664"/>
    <w:rsid w:val="00F527D7"/>
    <w:rsid w:val="00F5285B"/>
    <w:rsid w:val="00F52A7E"/>
    <w:rsid w:val="00F53128"/>
    <w:rsid w:val="00F5354F"/>
    <w:rsid w:val="00F53578"/>
    <w:rsid w:val="00F536F2"/>
    <w:rsid w:val="00F537A8"/>
    <w:rsid w:val="00F538AE"/>
    <w:rsid w:val="00F53AC0"/>
    <w:rsid w:val="00F53C3E"/>
    <w:rsid w:val="00F53D72"/>
    <w:rsid w:val="00F53EF4"/>
    <w:rsid w:val="00F53F4E"/>
    <w:rsid w:val="00F54093"/>
    <w:rsid w:val="00F54C4A"/>
    <w:rsid w:val="00F54C7D"/>
    <w:rsid w:val="00F5541D"/>
    <w:rsid w:val="00F5565B"/>
    <w:rsid w:val="00F5568C"/>
    <w:rsid w:val="00F5574F"/>
    <w:rsid w:val="00F557AB"/>
    <w:rsid w:val="00F55963"/>
    <w:rsid w:val="00F55A83"/>
    <w:rsid w:val="00F55ED7"/>
    <w:rsid w:val="00F56066"/>
    <w:rsid w:val="00F561D1"/>
    <w:rsid w:val="00F5635D"/>
    <w:rsid w:val="00F567A9"/>
    <w:rsid w:val="00F56953"/>
    <w:rsid w:val="00F569A4"/>
    <w:rsid w:val="00F56C0E"/>
    <w:rsid w:val="00F56FE2"/>
    <w:rsid w:val="00F5746B"/>
    <w:rsid w:val="00F575AB"/>
    <w:rsid w:val="00F57DE4"/>
    <w:rsid w:val="00F57E10"/>
    <w:rsid w:val="00F57EA5"/>
    <w:rsid w:val="00F6028A"/>
    <w:rsid w:val="00F604D7"/>
    <w:rsid w:val="00F605B0"/>
    <w:rsid w:val="00F60B47"/>
    <w:rsid w:val="00F60B57"/>
    <w:rsid w:val="00F60D03"/>
    <w:rsid w:val="00F610FD"/>
    <w:rsid w:val="00F61998"/>
    <w:rsid w:val="00F61B72"/>
    <w:rsid w:val="00F61CAC"/>
    <w:rsid w:val="00F620D2"/>
    <w:rsid w:val="00F62196"/>
    <w:rsid w:val="00F62571"/>
    <w:rsid w:val="00F62776"/>
    <w:rsid w:val="00F6286C"/>
    <w:rsid w:val="00F6318C"/>
    <w:rsid w:val="00F63424"/>
    <w:rsid w:val="00F637A1"/>
    <w:rsid w:val="00F63843"/>
    <w:rsid w:val="00F638B9"/>
    <w:rsid w:val="00F6393C"/>
    <w:rsid w:val="00F63B5B"/>
    <w:rsid w:val="00F642FA"/>
    <w:rsid w:val="00F645BB"/>
    <w:rsid w:val="00F64663"/>
    <w:rsid w:val="00F64688"/>
    <w:rsid w:val="00F64B40"/>
    <w:rsid w:val="00F64C94"/>
    <w:rsid w:val="00F656AD"/>
    <w:rsid w:val="00F659F9"/>
    <w:rsid w:val="00F65B06"/>
    <w:rsid w:val="00F65E50"/>
    <w:rsid w:val="00F66296"/>
    <w:rsid w:val="00F6645C"/>
    <w:rsid w:val="00F6658B"/>
    <w:rsid w:val="00F667F7"/>
    <w:rsid w:val="00F66CCC"/>
    <w:rsid w:val="00F66E31"/>
    <w:rsid w:val="00F66E33"/>
    <w:rsid w:val="00F67196"/>
    <w:rsid w:val="00F6782F"/>
    <w:rsid w:val="00F678DB"/>
    <w:rsid w:val="00F679A0"/>
    <w:rsid w:val="00F700D8"/>
    <w:rsid w:val="00F70412"/>
    <w:rsid w:val="00F709B1"/>
    <w:rsid w:val="00F71235"/>
    <w:rsid w:val="00F71245"/>
    <w:rsid w:val="00F71345"/>
    <w:rsid w:val="00F713D0"/>
    <w:rsid w:val="00F715EC"/>
    <w:rsid w:val="00F719A9"/>
    <w:rsid w:val="00F71B13"/>
    <w:rsid w:val="00F71C4A"/>
    <w:rsid w:val="00F71FCF"/>
    <w:rsid w:val="00F721B7"/>
    <w:rsid w:val="00F721BB"/>
    <w:rsid w:val="00F722BD"/>
    <w:rsid w:val="00F726C1"/>
    <w:rsid w:val="00F72816"/>
    <w:rsid w:val="00F7285E"/>
    <w:rsid w:val="00F72B1A"/>
    <w:rsid w:val="00F72B42"/>
    <w:rsid w:val="00F72B84"/>
    <w:rsid w:val="00F72CA4"/>
    <w:rsid w:val="00F72D55"/>
    <w:rsid w:val="00F72EAD"/>
    <w:rsid w:val="00F7309D"/>
    <w:rsid w:val="00F730E7"/>
    <w:rsid w:val="00F73277"/>
    <w:rsid w:val="00F732C7"/>
    <w:rsid w:val="00F73417"/>
    <w:rsid w:val="00F735D9"/>
    <w:rsid w:val="00F73A93"/>
    <w:rsid w:val="00F73B65"/>
    <w:rsid w:val="00F73CBD"/>
    <w:rsid w:val="00F73D2B"/>
    <w:rsid w:val="00F73D33"/>
    <w:rsid w:val="00F74003"/>
    <w:rsid w:val="00F74239"/>
    <w:rsid w:val="00F745B5"/>
    <w:rsid w:val="00F7472A"/>
    <w:rsid w:val="00F7481F"/>
    <w:rsid w:val="00F74FA4"/>
    <w:rsid w:val="00F7547D"/>
    <w:rsid w:val="00F7550C"/>
    <w:rsid w:val="00F75843"/>
    <w:rsid w:val="00F75A58"/>
    <w:rsid w:val="00F75C37"/>
    <w:rsid w:val="00F75D19"/>
    <w:rsid w:val="00F75D99"/>
    <w:rsid w:val="00F75EFF"/>
    <w:rsid w:val="00F75FD7"/>
    <w:rsid w:val="00F761E3"/>
    <w:rsid w:val="00F761E6"/>
    <w:rsid w:val="00F76557"/>
    <w:rsid w:val="00F76840"/>
    <w:rsid w:val="00F7698B"/>
    <w:rsid w:val="00F76F99"/>
    <w:rsid w:val="00F775F4"/>
    <w:rsid w:val="00F77649"/>
    <w:rsid w:val="00F77C65"/>
    <w:rsid w:val="00F77FBE"/>
    <w:rsid w:val="00F80066"/>
    <w:rsid w:val="00F800CA"/>
    <w:rsid w:val="00F8023A"/>
    <w:rsid w:val="00F802FE"/>
    <w:rsid w:val="00F80570"/>
    <w:rsid w:val="00F80662"/>
    <w:rsid w:val="00F80D77"/>
    <w:rsid w:val="00F80E09"/>
    <w:rsid w:val="00F8155E"/>
    <w:rsid w:val="00F81617"/>
    <w:rsid w:val="00F81630"/>
    <w:rsid w:val="00F817B7"/>
    <w:rsid w:val="00F8184D"/>
    <w:rsid w:val="00F81960"/>
    <w:rsid w:val="00F81CEA"/>
    <w:rsid w:val="00F81DBD"/>
    <w:rsid w:val="00F81E93"/>
    <w:rsid w:val="00F820AE"/>
    <w:rsid w:val="00F8215D"/>
    <w:rsid w:val="00F822CB"/>
    <w:rsid w:val="00F826DE"/>
    <w:rsid w:val="00F827F8"/>
    <w:rsid w:val="00F82853"/>
    <w:rsid w:val="00F828DD"/>
    <w:rsid w:val="00F83170"/>
    <w:rsid w:val="00F83203"/>
    <w:rsid w:val="00F8368B"/>
    <w:rsid w:val="00F836A0"/>
    <w:rsid w:val="00F83951"/>
    <w:rsid w:val="00F83CA2"/>
    <w:rsid w:val="00F83CD7"/>
    <w:rsid w:val="00F843BD"/>
    <w:rsid w:val="00F8445B"/>
    <w:rsid w:val="00F848EF"/>
    <w:rsid w:val="00F84B50"/>
    <w:rsid w:val="00F84BFC"/>
    <w:rsid w:val="00F84CA7"/>
    <w:rsid w:val="00F84FBC"/>
    <w:rsid w:val="00F85420"/>
    <w:rsid w:val="00F85993"/>
    <w:rsid w:val="00F85A33"/>
    <w:rsid w:val="00F85B01"/>
    <w:rsid w:val="00F85B53"/>
    <w:rsid w:val="00F85BFC"/>
    <w:rsid w:val="00F85C65"/>
    <w:rsid w:val="00F85D91"/>
    <w:rsid w:val="00F863C9"/>
    <w:rsid w:val="00F8646F"/>
    <w:rsid w:val="00F86696"/>
    <w:rsid w:val="00F866AC"/>
    <w:rsid w:val="00F867C6"/>
    <w:rsid w:val="00F86D3B"/>
    <w:rsid w:val="00F87002"/>
    <w:rsid w:val="00F874A1"/>
    <w:rsid w:val="00F8767D"/>
    <w:rsid w:val="00F878A2"/>
    <w:rsid w:val="00F87A0A"/>
    <w:rsid w:val="00F87A16"/>
    <w:rsid w:val="00F87BBA"/>
    <w:rsid w:val="00F87BD4"/>
    <w:rsid w:val="00F87E02"/>
    <w:rsid w:val="00F901D9"/>
    <w:rsid w:val="00F90234"/>
    <w:rsid w:val="00F904CE"/>
    <w:rsid w:val="00F90540"/>
    <w:rsid w:val="00F90597"/>
    <w:rsid w:val="00F905C4"/>
    <w:rsid w:val="00F90745"/>
    <w:rsid w:val="00F907A7"/>
    <w:rsid w:val="00F908A6"/>
    <w:rsid w:val="00F90B23"/>
    <w:rsid w:val="00F90D15"/>
    <w:rsid w:val="00F910D0"/>
    <w:rsid w:val="00F910F0"/>
    <w:rsid w:val="00F91225"/>
    <w:rsid w:val="00F91428"/>
    <w:rsid w:val="00F914D3"/>
    <w:rsid w:val="00F916A5"/>
    <w:rsid w:val="00F9180B"/>
    <w:rsid w:val="00F9189E"/>
    <w:rsid w:val="00F919A6"/>
    <w:rsid w:val="00F91D45"/>
    <w:rsid w:val="00F91DCA"/>
    <w:rsid w:val="00F91F9F"/>
    <w:rsid w:val="00F925E2"/>
    <w:rsid w:val="00F92C0F"/>
    <w:rsid w:val="00F92D09"/>
    <w:rsid w:val="00F92D8C"/>
    <w:rsid w:val="00F92DF0"/>
    <w:rsid w:val="00F931D0"/>
    <w:rsid w:val="00F9356C"/>
    <w:rsid w:val="00F9380C"/>
    <w:rsid w:val="00F93D34"/>
    <w:rsid w:val="00F940B9"/>
    <w:rsid w:val="00F942C7"/>
    <w:rsid w:val="00F9443E"/>
    <w:rsid w:val="00F9468B"/>
    <w:rsid w:val="00F947B8"/>
    <w:rsid w:val="00F947E5"/>
    <w:rsid w:val="00F9480C"/>
    <w:rsid w:val="00F94D9F"/>
    <w:rsid w:val="00F94F1B"/>
    <w:rsid w:val="00F951F9"/>
    <w:rsid w:val="00F95385"/>
    <w:rsid w:val="00F95676"/>
    <w:rsid w:val="00F95935"/>
    <w:rsid w:val="00F9595E"/>
    <w:rsid w:val="00F959BF"/>
    <w:rsid w:val="00F959F6"/>
    <w:rsid w:val="00F95C6F"/>
    <w:rsid w:val="00F95D33"/>
    <w:rsid w:val="00F95ECF"/>
    <w:rsid w:val="00F95FD9"/>
    <w:rsid w:val="00F96008"/>
    <w:rsid w:val="00F960DE"/>
    <w:rsid w:val="00F967FE"/>
    <w:rsid w:val="00F9689C"/>
    <w:rsid w:val="00F968C4"/>
    <w:rsid w:val="00F96A19"/>
    <w:rsid w:val="00F971DF"/>
    <w:rsid w:val="00F973D6"/>
    <w:rsid w:val="00F97AF3"/>
    <w:rsid w:val="00F97CE9"/>
    <w:rsid w:val="00FA0099"/>
    <w:rsid w:val="00FA01BC"/>
    <w:rsid w:val="00FA01E9"/>
    <w:rsid w:val="00FA08E8"/>
    <w:rsid w:val="00FA0A45"/>
    <w:rsid w:val="00FA0BAE"/>
    <w:rsid w:val="00FA0F0E"/>
    <w:rsid w:val="00FA1467"/>
    <w:rsid w:val="00FA1492"/>
    <w:rsid w:val="00FA238A"/>
    <w:rsid w:val="00FA24E4"/>
    <w:rsid w:val="00FA2560"/>
    <w:rsid w:val="00FA25CC"/>
    <w:rsid w:val="00FA25E6"/>
    <w:rsid w:val="00FA2668"/>
    <w:rsid w:val="00FA2670"/>
    <w:rsid w:val="00FA2715"/>
    <w:rsid w:val="00FA290C"/>
    <w:rsid w:val="00FA2CA8"/>
    <w:rsid w:val="00FA2D35"/>
    <w:rsid w:val="00FA2FD8"/>
    <w:rsid w:val="00FA3138"/>
    <w:rsid w:val="00FA3346"/>
    <w:rsid w:val="00FA3464"/>
    <w:rsid w:val="00FA351A"/>
    <w:rsid w:val="00FA3987"/>
    <w:rsid w:val="00FA3B3F"/>
    <w:rsid w:val="00FA3EDD"/>
    <w:rsid w:val="00FA40E2"/>
    <w:rsid w:val="00FA4100"/>
    <w:rsid w:val="00FA415E"/>
    <w:rsid w:val="00FA4329"/>
    <w:rsid w:val="00FA44BC"/>
    <w:rsid w:val="00FA4645"/>
    <w:rsid w:val="00FA4E97"/>
    <w:rsid w:val="00FA52D4"/>
    <w:rsid w:val="00FA54F1"/>
    <w:rsid w:val="00FA55C1"/>
    <w:rsid w:val="00FA5607"/>
    <w:rsid w:val="00FA5849"/>
    <w:rsid w:val="00FA5908"/>
    <w:rsid w:val="00FA5B37"/>
    <w:rsid w:val="00FA5ECA"/>
    <w:rsid w:val="00FA611A"/>
    <w:rsid w:val="00FA62DB"/>
    <w:rsid w:val="00FA6AE1"/>
    <w:rsid w:val="00FA73B6"/>
    <w:rsid w:val="00FA7536"/>
    <w:rsid w:val="00FA7BD3"/>
    <w:rsid w:val="00FA7D97"/>
    <w:rsid w:val="00FA7FA1"/>
    <w:rsid w:val="00FB0060"/>
    <w:rsid w:val="00FB0127"/>
    <w:rsid w:val="00FB02F1"/>
    <w:rsid w:val="00FB049E"/>
    <w:rsid w:val="00FB0616"/>
    <w:rsid w:val="00FB0798"/>
    <w:rsid w:val="00FB0979"/>
    <w:rsid w:val="00FB0B84"/>
    <w:rsid w:val="00FB0BE8"/>
    <w:rsid w:val="00FB0D4C"/>
    <w:rsid w:val="00FB1071"/>
    <w:rsid w:val="00FB1471"/>
    <w:rsid w:val="00FB14C2"/>
    <w:rsid w:val="00FB173D"/>
    <w:rsid w:val="00FB17DB"/>
    <w:rsid w:val="00FB1998"/>
    <w:rsid w:val="00FB27F1"/>
    <w:rsid w:val="00FB27F4"/>
    <w:rsid w:val="00FB32FD"/>
    <w:rsid w:val="00FB336D"/>
    <w:rsid w:val="00FB36B4"/>
    <w:rsid w:val="00FB3739"/>
    <w:rsid w:val="00FB378D"/>
    <w:rsid w:val="00FB37CB"/>
    <w:rsid w:val="00FB387F"/>
    <w:rsid w:val="00FB38FB"/>
    <w:rsid w:val="00FB397B"/>
    <w:rsid w:val="00FB3B34"/>
    <w:rsid w:val="00FB3C27"/>
    <w:rsid w:val="00FB3ECE"/>
    <w:rsid w:val="00FB3EE1"/>
    <w:rsid w:val="00FB3EE9"/>
    <w:rsid w:val="00FB405E"/>
    <w:rsid w:val="00FB42A9"/>
    <w:rsid w:val="00FB42CC"/>
    <w:rsid w:val="00FB4732"/>
    <w:rsid w:val="00FB4994"/>
    <w:rsid w:val="00FB4D12"/>
    <w:rsid w:val="00FB552B"/>
    <w:rsid w:val="00FB5741"/>
    <w:rsid w:val="00FB5811"/>
    <w:rsid w:val="00FB5A40"/>
    <w:rsid w:val="00FB5A9A"/>
    <w:rsid w:val="00FB5C22"/>
    <w:rsid w:val="00FB5E62"/>
    <w:rsid w:val="00FB5E7D"/>
    <w:rsid w:val="00FB6273"/>
    <w:rsid w:val="00FB62BB"/>
    <w:rsid w:val="00FB6365"/>
    <w:rsid w:val="00FB63B6"/>
    <w:rsid w:val="00FB656A"/>
    <w:rsid w:val="00FB65C2"/>
    <w:rsid w:val="00FB69CA"/>
    <w:rsid w:val="00FB6C2D"/>
    <w:rsid w:val="00FB6C6D"/>
    <w:rsid w:val="00FB6D07"/>
    <w:rsid w:val="00FB6EE0"/>
    <w:rsid w:val="00FB6F5B"/>
    <w:rsid w:val="00FB73B7"/>
    <w:rsid w:val="00FB78AD"/>
    <w:rsid w:val="00FB78FB"/>
    <w:rsid w:val="00FB7C30"/>
    <w:rsid w:val="00FB7D86"/>
    <w:rsid w:val="00FB7EA8"/>
    <w:rsid w:val="00FC021B"/>
    <w:rsid w:val="00FC02E2"/>
    <w:rsid w:val="00FC060E"/>
    <w:rsid w:val="00FC0765"/>
    <w:rsid w:val="00FC076E"/>
    <w:rsid w:val="00FC0923"/>
    <w:rsid w:val="00FC0964"/>
    <w:rsid w:val="00FC0AD4"/>
    <w:rsid w:val="00FC10D5"/>
    <w:rsid w:val="00FC176E"/>
    <w:rsid w:val="00FC1A14"/>
    <w:rsid w:val="00FC1A4B"/>
    <w:rsid w:val="00FC1B36"/>
    <w:rsid w:val="00FC1BCB"/>
    <w:rsid w:val="00FC1CDF"/>
    <w:rsid w:val="00FC1D56"/>
    <w:rsid w:val="00FC1D91"/>
    <w:rsid w:val="00FC1F2A"/>
    <w:rsid w:val="00FC1FEE"/>
    <w:rsid w:val="00FC2057"/>
    <w:rsid w:val="00FC20FA"/>
    <w:rsid w:val="00FC2214"/>
    <w:rsid w:val="00FC2610"/>
    <w:rsid w:val="00FC2730"/>
    <w:rsid w:val="00FC282A"/>
    <w:rsid w:val="00FC2CC4"/>
    <w:rsid w:val="00FC3503"/>
    <w:rsid w:val="00FC39BE"/>
    <w:rsid w:val="00FC3AAF"/>
    <w:rsid w:val="00FC3B7D"/>
    <w:rsid w:val="00FC3D89"/>
    <w:rsid w:val="00FC426E"/>
    <w:rsid w:val="00FC44B6"/>
    <w:rsid w:val="00FC44F0"/>
    <w:rsid w:val="00FC468B"/>
    <w:rsid w:val="00FC4731"/>
    <w:rsid w:val="00FC51F8"/>
    <w:rsid w:val="00FC53FD"/>
    <w:rsid w:val="00FC5454"/>
    <w:rsid w:val="00FC5494"/>
    <w:rsid w:val="00FC54EF"/>
    <w:rsid w:val="00FC583A"/>
    <w:rsid w:val="00FC5C4F"/>
    <w:rsid w:val="00FC5CC2"/>
    <w:rsid w:val="00FC5CF7"/>
    <w:rsid w:val="00FC6017"/>
    <w:rsid w:val="00FC664F"/>
    <w:rsid w:val="00FC6749"/>
    <w:rsid w:val="00FC7007"/>
    <w:rsid w:val="00FC7215"/>
    <w:rsid w:val="00FC735E"/>
    <w:rsid w:val="00FC736D"/>
    <w:rsid w:val="00FC7391"/>
    <w:rsid w:val="00FC7411"/>
    <w:rsid w:val="00FC7606"/>
    <w:rsid w:val="00FC77FC"/>
    <w:rsid w:val="00FC7851"/>
    <w:rsid w:val="00FC7A36"/>
    <w:rsid w:val="00FC7A98"/>
    <w:rsid w:val="00FC7C3E"/>
    <w:rsid w:val="00FC7CBB"/>
    <w:rsid w:val="00FC7D08"/>
    <w:rsid w:val="00FC7DB5"/>
    <w:rsid w:val="00FD004E"/>
    <w:rsid w:val="00FD0BF8"/>
    <w:rsid w:val="00FD0FB0"/>
    <w:rsid w:val="00FD1107"/>
    <w:rsid w:val="00FD11DD"/>
    <w:rsid w:val="00FD1B4A"/>
    <w:rsid w:val="00FD1BCC"/>
    <w:rsid w:val="00FD1BFE"/>
    <w:rsid w:val="00FD1CBB"/>
    <w:rsid w:val="00FD201B"/>
    <w:rsid w:val="00FD2085"/>
    <w:rsid w:val="00FD298E"/>
    <w:rsid w:val="00FD2A30"/>
    <w:rsid w:val="00FD2E78"/>
    <w:rsid w:val="00FD2E88"/>
    <w:rsid w:val="00FD31D2"/>
    <w:rsid w:val="00FD35E3"/>
    <w:rsid w:val="00FD36A2"/>
    <w:rsid w:val="00FD3792"/>
    <w:rsid w:val="00FD3DA7"/>
    <w:rsid w:val="00FD3F63"/>
    <w:rsid w:val="00FD4096"/>
    <w:rsid w:val="00FD4427"/>
    <w:rsid w:val="00FD4567"/>
    <w:rsid w:val="00FD47C7"/>
    <w:rsid w:val="00FD4878"/>
    <w:rsid w:val="00FD48A0"/>
    <w:rsid w:val="00FD4E2E"/>
    <w:rsid w:val="00FD4F47"/>
    <w:rsid w:val="00FD5001"/>
    <w:rsid w:val="00FD5350"/>
    <w:rsid w:val="00FD580B"/>
    <w:rsid w:val="00FD589D"/>
    <w:rsid w:val="00FD5B90"/>
    <w:rsid w:val="00FD5D1D"/>
    <w:rsid w:val="00FD5F05"/>
    <w:rsid w:val="00FD5F5B"/>
    <w:rsid w:val="00FD6075"/>
    <w:rsid w:val="00FD623A"/>
    <w:rsid w:val="00FD63D4"/>
    <w:rsid w:val="00FD661C"/>
    <w:rsid w:val="00FD663A"/>
    <w:rsid w:val="00FD6732"/>
    <w:rsid w:val="00FD71B1"/>
    <w:rsid w:val="00FD781F"/>
    <w:rsid w:val="00FD78EB"/>
    <w:rsid w:val="00FD79F8"/>
    <w:rsid w:val="00FD7AAB"/>
    <w:rsid w:val="00FD7FB1"/>
    <w:rsid w:val="00FE0032"/>
    <w:rsid w:val="00FE013E"/>
    <w:rsid w:val="00FE0185"/>
    <w:rsid w:val="00FE01C3"/>
    <w:rsid w:val="00FE0475"/>
    <w:rsid w:val="00FE063F"/>
    <w:rsid w:val="00FE065D"/>
    <w:rsid w:val="00FE08F3"/>
    <w:rsid w:val="00FE0960"/>
    <w:rsid w:val="00FE0B15"/>
    <w:rsid w:val="00FE0CF1"/>
    <w:rsid w:val="00FE10B3"/>
    <w:rsid w:val="00FE1515"/>
    <w:rsid w:val="00FE1591"/>
    <w:rsid w:val="00FE1936"/>
    <w:rsid w:val="00FE1A35"/>
    <w:rsid w:val="00FE1FCA"/>
    <w:rsid w:val="00FE252F"/>
    <w:rsid w:val="00FE2642"/>
    <w:rsid w:val="00FE2649"/>
    <w:rsid w:val="00FE2707"/>
    <w:rsid w:val="00FE275D"/>
    <w:rsid w:val="00FE2EAC"/>
    <w:rsid w:val="00FE3216"/>
    <w:rsid w:val="00FE33F7"/>
    <w:rsid w:val="00FE359C"/>
    <w:rsid w:val="00FE3840"/>
    <w:rsid w:val="00FE3D78"/>
    <w:rsid w:val="00FE3EC7"/>
    <w:rsid w:val="00FE3F54"/>
    <w:rsid w:val="00FE406C"/>
    <w:rsid w:val="00FE44B9"/>
    <w:rsid w:val="00FE46BA"/>
    <w:rsid w:val="00FE48A7"/>
    <w:rsid w:val="00FE4EB3"/>
    <w:rsid w:val="00FE4F5E"/>
    <w:rsid w:val="00FE5199"/>
    <w:rsid w:val="00FE52A0"/>
    <w:rsid w:val="00FE53BB"/>
    <w:rsid w:val="00FE578D"/>
    <w:rsid w:val="00FE57E7"/>
    <w:rsid w:val="00FE5A0B"/>
    <w:rsid w:val="00FE5AA5"/>
    <w:rsid w:val="00FE5B04"/>
    <w:rsid w:val="00FE611B"/>
    <w:rsid w:val="00FE61D1"/>
    <w:rsid w:val="00FE6403"/>
    <w:rsid w:val="00FE64BA"/>
    <w:rsid w:val="00FE65AA"/>
    <w:rsid w:val="00FE6645"/>
    <w:rsid w:val="00FE6E76"/>
    <w:rsid w:val="00FE72AA"/>
    <w:rsid w:val="00FE74BF"/>
    <w:rsid w:val="00FE77BA"/>
    <w:rsid w:val="00FE78CE"/>
    <w:rsid w:val="00FE7AF5"/>
    <w:rsid w:val="00FE7B2C"/>
    <w:rsid w:val="00FE7D10"/>
    <w:rsid w:val="00FE7DE0"/>
    <w:rsid w:val="00FE7FF3"/>
    <w:rsid w:val="00FF05D1"/>
    <w:rsid w:val="00FF0705"/>
    <w:rsid w:val="00FF08B0"/>
    <w:rsid w:val="00FF0945"/>
    <w:rsid w:val="00FF0AD3"/>
    <w:rsid w:val="00FF11CE"/>
    <w:rsid w:val="00FF11F8"/>
    <w:rsid w:val="00FF1519"/>
    <w:rsid w:val="00FF1892"/>
    <w:rsid w:val="00FF190B"/>
    <w:rsid w:val="00FF197B"/>
    <w:rsid w:val="00FF19BF"/>
    <w:rsid w:val="00FF1E05"/>
    <w:rsid w:val="00FF1F1D"/>
    <w:rsid w:val="00FF225C"/>
    <w:rsid w:val="00FF228A"/>
    <w:rsid w:val="00FF290C"/>
    <w:rsid w:val="00FF2915"/>
    <w:rsid w:val="00FF2D86"/>
    <w:rsid w:val="00FF35E3"/>
    <w:rsid w:val="00FF36CC"/>
    <w:rsid w:val="00FF38BA"/>
    <w:rsid w:val="00FF38FD"/>
    <w:rsid w:val="00FF3A0D"/>
    <w:rsid w:val="00FF3A71"/>
    <w:rsid w:val="00FF3ACC"/>
    <w:rsid w:val="00FF40F1"/>
    <w:rsid w:val="00FF410C"/>
    <w:rsid w:val="00FF4435"/>
    <w:rsid w:val="00FF4ACC"/>
    <w:rsid w:val="00FF4B53"/>
    <w:rsid w:val="00FF4B82"/>
    <w:rsid w:val="00FF4D55"/>
    <w:rsid w:val="00FF4ED0"/>
    <w:rsid w:val="00FF4EE4"/>
    <w:rsid w:val="00FF525E"/>
    <w:rsid w:val="00FF5648"/>
    <w:rsid w:val="00FF577D"/>
    <w:rsid w:val="00FF5BCC"/>
    <w:rsid w:val="00FF5E00"/>
    <w:rsid w:val="00FF6030"/>
    <w:rsid w:val="00FF62C3"/>
    <w:rsid w:val="00FF65CA"/>
    <w:rsid w:val="00FF6985"/>
    <w:rsid w:val="00FF6D21"/>
    <w:rsid w:val="00FF6FF0"/>
    <w:rsid w:val="00FF6FFD"/>
    <w:rsid w:val="00FF7193"/>
    <w:rsid w:val="00FF721D"/>
    <w:rsid w:val="00FF722D"/>
    <w:rsid w:val="00FF73B5"/>
    <w:rsid w:val="00FF7732"/>
    <w:rsid w:val="00FF77D0"/>
    <w:rsid w:val="00FF7F23"/>
    <w:rsid w:val="013C3AEE"/>
    <w:rsid w:val="013F4708"/>
    <w:rsid w:val="0200DF19"/>
    <w:rsid w:val="022BFBE2"/>
    <w:rsid w:val="023E010E"/>
    <w:rsid w:val="02E5DCA6"/>
    <w:rsid w:val="02F4925F"/>
    <w:rsid w:val="031D2A53"/>
    <w:rsid w:val="032BC0CA"/>
    <w:rsid w:val="039E47FA"/>
    <w:rsid w:val="03B2D2BB"/>
    <w:rsid w:val="040B3596"/>
    <w:rsid w:val="04161B4A"/>
    <w:rsid w:val="052668B5"/>
    <w:rsid w:val="0544C98F"/>
    <w:rsid w:val="056BDFE2"/>
    <w:rsid w:val="05FE3E1D"/>
    <w:rsid w:val="0713135D"/>
    <w:rsid w:val="0738E108"/>
    <w:rsid w:val="07592355"/>
    <w:rsid w:val="07E089CF"/>
    <w:rsid w:val="08336CB1"/>
    <w:rsid w:val="0A08EBE2"/>
    <w:rsid w:val="0BB5B419"/>
    <w:rsid w:val="0BC11343"/>
    <w:rsid w:val="0C9A9FC4"/>
    <w:rsid w:val="0CB9FD67"/>
    <w:rsid w:val="0CE1E91A"/>
    <w:rsid w:val="0DBF2457"/>
    <w:rsid w:val="0DD85809"/>
    <w:rsid w:val="0E153AC8"/>
    <w:rsid w:val="0E3DD0CB"/>
    <w:rsid w:val="0E76A326"/>
    <w:rsid w:val="0E76ADE4"/>
    <w:rsid w:val="0EA113AC"/>
    <w:rsid w:val="0EBE1590"/>
    <w:rsid w:val="0EE8C58C"/>
    <w:rsid w:val="0EEF32EC"/>
    <w:rsid w:val="0FAACA9A"/>
    <w:rsid w:val="0FB8FBB5"/>
    <w:rsid w:val="0FFEE9C1"/>
    <w:rsid w:val="108FC22C"/>
    <w:rsid w:val="10D910E5"/>
    <w:rsid w:val="10DD656E"/>
    <w:rsid w:val="10F1D29F"/>
    <w:rsid w:val="1126082C"/>
    <w:rsid w:val="1144993A"/>
    <w:rsid w:val="12552E9B"/>
    <w:rsid w:val="129F80E3"/>
    <w:rsid w:val="1395E810"/>
    <w:rsid w:val="1579FDEC"/>
    <w:rsid w:val="157A6385"/>
    <w:rsid w:val="15C5C3DF"/>
    <w:rsid w:val="15FC2674"/>
    <w:rsid w:val="16EE81A0"/>
    <w:rsid w:val="170AC9CC"/>
    <w:rsid w:val="17400446"/>
    <w:rsid w:val="1784F472"/>
    <w:rsid w:val="17A1830D"/>
    <w:rsid w:val="17F4E731"/>
    <w:rsid w:val="187F6C87"/>
    <w:rsid w:val="1981E533"/>
    <w:rsid w:val="1983384D"/>
    <w:rsid w:val="1B26B7FD"/>
    <w:rsid w:val="1B3611C7"/>
    <w:rsid w:val="1B628C97"/>
    <w:rsid w:val="1B9AA6DD"/>
    <w:rsid w:val="1BD39999"/>
    <w:rsid w:val="1BF5BA82"/>
    <w:rsid w:val="1C2276CA"/>
    <w:rsid w:val="1C4DB74B"/>
    <w:rsid w:val="1C5567C4"/>
    <w:rsid w:val="1C822F61"/>
    <w:rsid w:val="1CA10E96"/>
    <w:rsid w:val="1D04774D"/>
    <w:rsid w:val="1D15DF80"/>
    <w:rsid w:val="1D2D9B6B"/>
    <w:rsid w:val="1DBC5A39"/>
    <w:rsid w:val="1DFF18FD"/>
    <w:rsid w:val="1E1DFFC2"/>
    <w:rsid w:val="1EC3602B"/>
    <w:rsid w:val="1F19E525"/>
    <w:rsid w:val="1F3CCE8A"/>
    <w:rsid w:val="1F81B608"/>
    <w:rsid w:val="207BD411"/>
    <w:rsid w:val="20FE793B"/>
    <w:rsid w:val="21395472"/>
    <w:rsid w:val="2155A084"/>
    <w:rsid w:val="21636BC8"/>
    <w:rsid w:val="21CE238B"/>
    <w:rsid w:val="229E378B"/>
    <w:rsid w:val="22EF1AE1"/>
    <w:rsid w:val="23897580"/>
    <w:rsid w:val="23B6E7B1"/>
    <w:rsid w:val="24E2482B"/>
    <w:rsid w:val="251A88F7"/>
    <w:rsid w:val="25A364EE"/>
    <w:rsid w:val="25D21272"/>
    <w:rsid w:val="266B083F"/>
    <w:rsid w:val="268BF964"/>
    <w:rsid w:val="27609FAD"/>
    <w:rsid w:val="281FAB89"/>
    <w:rsid w:val="283CC79D"/>
    <w:rsid w:val="28851F64"/>
    <w:rsid w:val="28A7457A"/>
    <w:rsid w:val="28BC72E2"/>
    <w:rsid w:val="28E6D481"/>
    <w:rsid w:val="291A2C8C"/>
    <w:rsid w:val="29C64A88"/>
    <w:rsid w:val="2A5C3325"/>
    <w:rsid w:val="2A893064"/>
    <w:rsid w:val="2A8CFD0F"/>
    <w:rsid w:val="2AA1001A"/>
    <w:rsid w:val="2AFFA17E"/>
    <w:rsid w:val="2B47711A"/>
    <w:rsid w:val="2B612987"/>
    <w:rsid w:val="2BA5A39E"/>
    <w:rsid w:val="2BC8A9B9"/>
    <w:rsid w:val="2C4A4B05"/>
    <w:rsid w:val="2CCFA406"/>
    <w:rsid w:val="2D055F65"/>
    <w:rsid w:val="2D094E91"/>
    <w:rsid w:val="2DAC4AAD"/>
    <w:rsid w:val="2DDFFCF9"/>
    <w:rsid w:val="2DF6629F"/>
    <w:rsid w:val="2E14750E"/>
    <w:rsid w:val="2E3986AD"/>
    <w:rsid w:val="2E9D4260"/>
    <w:rsid w:val="2E9EEB91"/>
    <w:rsid w:val="2F2B2762"/>
    <w:rsid w:val="2F4668E2"/>
    <w:rsid w:val="2F4C5D8F"/>
    <w:rsid w:val="2F4DC770"/>
    <w:rsid w:val="2F988373"/>
    <w:rsid w:val="301D76C7"/>
    <w:rsid w:val="301F5088"/>
    <w:rsid w:val="3047B9A3"/>
    <w:rsid w:val="3067F0EE"/>
    <w:rsid w:val="30B49994"/>
    <w:rsid w:val="318195C0"/>
    <w:rsid w:val="3322CB8F"/>
    <w:rsid w:val="333EEA4A"/>
    <w:rsid w:val="333FE49D"/>
    <w:rsid w:val="334E88B1"/>
    <w:rsid w:val="33540471"/>
    <w:rsid w:val="336E3CBB"/>
    <w:rsid w:val="340EA2E4"/>
    <w:rsid w:val="343239B0"/>
    <w:rsid w:val="34F98E5C"/>
    <w:rsid w:val="350EE397"/>
    <w:rsid w:val="35FD4DE8"/>
    <w:rsid w:val="3645B26C"/>
    <w:rsid w:val="368927A2"/>
    <w:rsid w:val="36BFA495"/>
    <w:rsid w:val="378F9638"/>
    <w:rsid w:val="37A6B070"/>
    <w:rsid w:val="37F3C75A"/>
    <w:rsid w:val="383BAC4B"/>
    <w:rsid w:val="38F42D2E"/>
    <w:rsid w:val="38FB6FCF"/>
    <w:rsid w:val="3A19EE9D"/>
    <w:rsid w:val="3A6B5A1C"/>
    <w:rsid w:val="3AEC0773"/>
    <w:rsid w:val="3B5510E1"/>
    <w:rsid w:val="3B6FD83F"/>
    <w:rsid w:val="3BEB96EB"/>
    <w:rsid w:val="3BF67DD6"/>
    <w:rsid w:val="3C3138AE"/>
    <w:rsid w:val="3C339CEE"/>
    <w:rsid w:val="3C855046"/>
    <w:rsid w:val="3CBEF7BF"/>
    <w:rsid w:val="3D89118B"/>
    <w:rsid w:val="3DF05AC7"/>
    <w:rsid w:val="3E0BDA96"/>
    <w:rsid w:val="3EA47756"/>
    <w:rsid w:val="3F3C48A3"/>
    <w:rsid w:val="3FADAE00"/>
    <w:rsid w:val="4082E31C"/>
    <w:rsid w:val="40DE72DA"/>
    <w:rsid w:val="4101C7CC"/>
    <w:rsid w:val="410B5763"/>
    <w:rsid w:val="4328A99D"/>
    <w:rsid w:val="43F69B4E"/>
    <w:rsid w:val="4503869E"/>
    <w:rsid w:val="4509A836"/>
    <w:rsid w:val="451EACE5"/>
    <w:rsid w:val="45377D96"/>
    <w:rsid w:val="45571981"/>
    <w:rsid w:val="45942370"/>
    <w:rsid w:val="45BF3B1C"/>
    <w:rsid w:val="460A101B"/>
    <w:rsid w:val="460ABD70"/>
    <w:rsid w:val="462370E9"/>
    <w:rsid w:val="468DB223"/>
    <w:rsid w:val="468E4CEC"/>
    <w:rsid w:val="46A132D9"/>
    <w:rsid w:val="479E0AD7"/>
    <w:rsid w:val="48373C5F"/>
    <w:rsid w:val="48E163C5"/>
    <w:rsid w:val="490727F2"/>
    <w:rsid w:val="49315C51"/>
    <w:rsid w:val="49476FA5"/>
    <w:rsid w:val="49F3AAF8"/>
    <w:rsid w:val="4A532686"/>
    <w:rsid w:val="4A6A733B"/>
    <w:rsid w:val="4BA13D97"/>
    <w:rsid w:val="4C1142DF"/>
    <w:rsid w:val="4CB4E46E"/>
    <w:rsid w:val="4CE12AC7"/>
    <w:rsid w:val="4CFEE0CA"/>
    <w:rsid w:val="4D78DE23"/>
    <w:rsid w:val="4D7F86D7"/>
    <w:rsid w:val="4DE53C5D"/>
    <w:rsid w:val="4E82252C"/>
    <w:rsid w:val="4F6E2FD7"/>
    <w:rsid w:val="4F705596"/>
    <w:rsid w:val="4F9497D8"/>
    <w:rsid w:val="4F977631"/>
    <w:rsid w:val="4FBE173B"/>
    <w:rsid w:val="5016A8A1"/>
    <w:rsid w:val="50A647C4"/>
    <w:rsid w:val="50DD1F0A"/>
    <w:rsid w:val="50DEC39D"/>
    <w:rsid w:val="51142B89"/>
    <w:rsid w:val="52C903C9"/>
    <w:rsid w:val="52E94B74"/>
    <w:rsid w:val="5336CC03"/>
    <w:rsid w:val="5359238B"/>
    <w:rsid w:val="53646001"/>
    <w:rsid w:val="5370C7FD"/>
    <w:rsid w:val="53DB8E90"/>
    <w:rsid w:val="53FD3C02"/>
    <w:rsid w:val="5493D630"/>
    <w:rsid w:val="54C53377"/>
    <w:rsid w:val="55029EDA"/>
    <w:rsid w:val="55236129"/>
    <w:rsid w:val="5527041B"/>
    <w:rsid w:val="56C9772C"/>
    <w:rsid w:val="56D32869"/>
    <w:rsid w:val="57CC209F"/>
    <w:rsid w:val="5814137E"/>
    <w:rsid w:val="584F2FF5"/>
    <w:rsid w:val="586E12D0"/>
    <w:rsid w:val="58E6F36D"/>
    <w:rsid w:val="58ED90E7"/>
    <w:rsid w:val="59722F43"/>
    <w:rsid w:val="59C63994"/>
    <w:rsid w:val="59C840D4"/>
    <w:rsid w:val="59DA5D8F"/>
    <w:rsid w:val="59DC6C99"/>
    <w:rsid w:val="5A3A9271"/>
    <w:rsid w:val="5A629B47"/>
    <w:rsid w:val="5A6D69A4"/>
    <w:rsid w:val="5A7317F2"/>
    <w:rsid w:val="5A816AC3"/>
    <w:rsid w:val="5B03F0EA"/>
    <w:rsid w:val="5B5A94EC"/>
    <w:rsid w:val="5B6871B8"/>
    <w:rsid w:val="5B6F540B"/>
    <w:rsid w:val="5B7E0ADE"/>
    <w:rsid w:val="5BDA575A"/>
    <w:rsid w:val="5BE87FBD"/>
    <w:rsid w:val="5BFA0B7C"/>
    <w:rsid w:val="5C21D401"/>
    <w:rsid w:val="5C2DC699"/>
    <w:rsid w:val="5CAF6E4B"/>
    <w:rsid w:val="5CDEEBDD"/>
    <w:rsid w:val="5CE9E459"/>
    <w:rsid w:val="5CF43C92"/>
    <w:rsid w:val="5D59BB73"/>
    <w:rsid w:val="5D6A4DE8"/>
    <w:rsid w:val="5D765B1F"/>
    <w:rsid w:val="5DD9710B"/>
    <w:rsid w:val="5E25248E"/>
    <w:rsid w:val="5E7C233B"/>
    <w:rsid w:val="5ED28A5A"/>
    <w:rsid w:val="5F5479AE"/>
    <w:rsid w:val="5FAB5F5D"/>
    <w:rsid w:val="5FB568CF"/>
    <w:rsid w:val="6021F050"/>
    <w:rsid w:val="60443C24"/>
    <w:rsid w:val="60746E13"/>
    <w:rsid w:val="611111CD"/>
    <w:rsid w:val="61ED41A5"/>
    <w:rsid w:val="6225361D"/>
    <w:rsid w:val="62F75703"/>
    <w:rsid w:val="6350601E"/>
    <w:rsid w:val="6380F0C0"/>
    <w:rsid w:val="63F0C957"/>
    <w:rsid w:val="644A1450"/>
    <w:rsid w:val="64B84578"/>
    <w:rsid w:val="64D2EDF6"/>
    <w:rsid w:val="6505B992"/>
    <w:rsid w:val="6561B84F"/>
    <w:rsid w:val="6730198C"/>
    <w:rsid w:val="6743F210"/>
    <w:rsid w:val="677F61B3"/>
    <w:rsid w:val="67DDED8E"/>
    <w:rsid w:val="68E19949"/>
    <w:rsid w:val="691902BA"/>
    <w:rsid w:val="693340B1"/>
    <w:rsid w:val="69A5F7BD"/>
    <w:rsid w:val="6AB0CC13"/>
    <w:rsid w:val="6ABA63BC"/>
    <w:rsid w:val="6B5F3A8A"/>
    <w:rsid w:val="6BCBB3F9"/>
    <w:rsid w:val="6CCB42FE"/>
    <w:rsid w:val="6D66A411"/>
    <w:rsid w:val="6DC43AD9"/>
    <w:rsid w:val="6E2219ED"/>
    <w:rsid w:val="6E284BF1"/>
    <w:rsid w:val="6E2AFEFD"/>
    <w:rsid w:val="6F4396BD"/>
    <w:rsid w:val="6F462C2D"/>
    <w:rsid w:val="6F79F78E"/>
    <w:rsid w:val="70345E28"/>
    <w:rsid w:val="7070AFD9"/>
    <w:rsid w:val="70FAFBEE"/>
    <w:rsid w:val="71AF2DC9"/>
    <w:rsid w:val="71E5A5C7"/>
    <w:rsid w:val="71EC3811"/>
    <w:rsid w:val="72582643"/>
    <w:rsid w:val="727D12EA"/>
    <w:rsid w:val="7283AE94"/>
    <w:rsid w:val="73BD54B0"/>
    <w:rsid w:val="73FB2862"/>
    <w:rsid w:val="7489DD32"/>
    <w:rsid w:val="758AB2E5"/>
    <w:rsid w:val="7595021A"/>
    <w:rsid w:val="7615A1BA"/>
    <w:rsid w:val="767697B4"/>
    <w:rsid w:val="7699686C"/>
    <w:rsid w:val="76A9F033"/>
    <w:rsid w:val="77698C38"/>
    <w:rsid w:val="77E0CADF"/>
    <w:rsid w:val="77F6DEE7"/>
    <w:rsid w:val="78037F8B"/>
    <w:rsid w:val="78A1570D"/>
    <w:rsid w:val="78D21134"/>
    <w:rsid w:val="78F9FBBC"/>
    <w:rsid w:val="798B79A4"/>
    <w:rsid w:val="798D2C7A"/>
    <w:rsid w:val="79B72CB4"/>
    <w:rsid w:val="79F4BEEA"/>
    <w:rsid w:val="7A0D4949"/>
    <w:rsid w:val="7A3ADC4F"/>
    <w:rsid w:val="7AA0510D"/>
    <w:rsid w:val="7AB2E1DF"/>
    <w:rsid w:val="7B02FB53"/>
    <w:rsid w:val="7B8CCA58"/>
    <w:rsid w:val="7B91203D"/>
    <w:rsid w:val="7BCE2D82"/>
    <w:rsid w:val="7C2BAFE5"/>
    <w:rsid w:val="7C6DB868"/>
    <w:rsid w:val="7C91CB0D"/>
    <w:rsid w:val="7D548FB6"/>
    <w:rsid w:val="7DA8EBA2"/>
    <w:rsid w:val="7DE5E71D"/>
    <w:rsid w:val="7E09AC9E"/>
    <w:rsid w:val="7E19481A"/>
    <w:rsid w:val="7E808A44"/>
    <w:rsid w:val="7EBD609A"/>
    <w:rsid w:val="7ED2A52E"/>
    <w:rsid w:val="7F78EC34"/>
    <w:rsid w:val="7FB0CF96"/>
    <w:rsid w:val="7FE3F039"/>
    <w:rsid w:val="7FF2156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69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 w:unhideWhenUsed="1" w:qFormat="1"/>
    <w:lsdException w:name="toc 5" w:semiHidden="1" w:uiPriority="2"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2"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2"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2"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C67"/>
    <w:pPr>
      <w:autoSpaceDE w:val="0"/>
      <w:autoSpaceDN w:val="0"/>
      <w:adjustRightInd w:val="0"/>
    </w:pPr>
    <w:rPr>
      <w:color w:val="000000" w:themeColor="text1"/>
    </w:rPr>
  </w:style>
  <w:style w:type="paragraph" w:styleId="Heading1">
    <w:name w:val="heading 1"/>
    <w:basedOn w:val="Normal"/>
    <w:next w:val="Normal"/>
    <w:link w:val="Heading1Char"/>
    <w:qFormat/>
    <w:rsid w:val="002303B1"/>
    <w:pPr>
      <w:keepNext/>
      <w:keepLines/>
      <w:spacing w:before="240"/>
      <w:outlineLvl w:val="0"/>
    </w:pPr>
    <w:rPr>
      <w:rFonts w:eastAsiaTheme="majorEastAsia"/>
      <w:b/>
      <w:bCs/>
      <w:szCs w:val="28"/>
    </w:rPr>
  </w:style>
  <w:style w:type="paragraph" w:styleId="Heading2">
    <w:name w:val="heading 2"/>
    <w:basedOn w:val="Heading1"/>
    <w:next w:val="Normal"/>
    <w:link w:val="Heading2Char"/>
    <w:unhideWhenUsed/>
    <w:qFormat/>
    <w:rsid w:val="00101045"/>
    <w:pPr>
      <w:numPr>
        <w:ilvl w:val="1"/>
      </w:numPr>
      <w:spacing w:before="0"/>
      <w:outlineLvl w:val="1"/>
    </w:pPr>
  </w:style>
  <w:style w:type="paragraph" w:styleId="Heading3">
    <w:name w:val="heading 3"/>
    <w:basedOn w:val="Heading2"/>
    <w:next w:val="Normal"/>
    <w:link w:val="Heading3Char"/>
    <w:unhideWhenUsed/>
    <w:qFormat/>
    <w:rsid w:val="00101045"/>
    <w:pPr>
      <w:keepLines w:val="0"/>
      <w:numPr>
        <w:ilvl w:val="2"/>
      </w:numPr>
      <w:ind w:left="1080" w:hanging="1080"/>
      <w:outlineLvl w:val="2"/>
    </w:pPr>
    <w:rPr>
      <w:b w:val="0"/>
      <w:i/>
      <w:szCs w:val="24"/>
    </w:rPr>
  </w:style>
  <w:style w:type="paragraph" w:styleId="Heading4">
    <w:name w:val="heading 4"/>
    <w:basedOn w:val="Heading3"/>
    <w:next w:val="Normal"/>
    <w:link w:val="Heading4Char"/>
    <w:unhideWhenUsed/>
    <w:qFormat/>
    <w:rsid w:val="003C3A04"/>
    <w:pPr>
      <w:keepNext w:val="0"/>
      <w:numPr>
        <w:ilvl w:val="3"/>
      </w:numPr>
      <w:ind w:left="2520" w:hanging="1440"/>
      <w:outlineLvl w:val="3"/>
    </w:pPr>
  </w:style>
  <w:style w:type="paragraph" w:styleId="Heading5">
    <w:name w:val="heading 5"/>
    <w:basedOn w:val="Normal"/>
    <w:next w:val="Normal"/>
    <w:link w:val="Heading5Char"/>
    <w:unhideWhenUsed/>
    <w:qFormat/>
    <w:rsid w:val="003C2CEA"/>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3C2CEA"/>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3C2CEA"/>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Appendix H1"/>
    <w:basedOn w:val="Normal"/>
    <w:next w:val="Normal"/>
    <w:link w:val="Heading8Char"/>
    <w:unhideWhenUsed/>
    <w:qFormat/>
    <w:rsid w:val="003C2CEA"/>
    <w:pPr>
      <w:keepNext/>
      <w:keepLines/>
      <w:numPr>
        <w:ilvl w:val="7"/>
        <w:numId w:val="2"/>
      </w:numPr>
      <w:spacing w:before="200"/>
      <w:outlineLvl w:val="7"/>
    </w:pPr>
    <w:rPr>
      <w:rFonts w:eastAsiaTheme="majorEastAsia"/>
      <w:color w:val="404040" w:themeColor="text1" w:themeTint="BF"/>
    </w:rPr>
  </w:style>
  <w:style w:type="paragraph" w:styleId="Heading9">
    <w:name w:val="heading 9"/>
    <w:aliases w:val="Appendix H2"/>
    <w:basedOn w:val="Normal"/>
    <w:next w:val="Normal"/>
    <w:link w:val="Heading9Char"/>
    <w:unhideWhenUsed/>
    <w:qFormat/>
    <w:rsid w:val="003C2CEA"/>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B7"/>
    <w:rPr>
      <w:rFonts w:eastAsiaTheme="majorEastAsia"/>
      <w:b/>
      <w:bCs/>
      <w:color w:val="000000" w:themeColor="text1"/>
      <w:szCs w:val="28"/>
    </w:rPr>
  </w:style>
  <w:style w:type="character" w:customStyle="1" w:styleId="Heading2Char">
    <w:name w:val="Heading 2 Char"/>
    <w:basedOn w:val="DefaultParagraphFont"/>
    <w:link w:val="Heading2"/>
    <w:uiPriority w:val="9"/>
    <w:rsid w:val="00101045"/>
    <w:rPr>
      <w:rFonts w:eastAsiaTheme="majorEastAsia"/>
      <w:b/>
      <w:bCs/>
      <w:color w:val="000000" w:themeColor="text1"/>
      <w:szCs w:val="28"/>
    </w:rPr>
  </w:style>
  <w:style w:type="character" w:customStyle="1" w:styleId="Heading3Char">
    <w:name w:val="Heading 3 Char"/>
    <w:basedOn w:val="DefaultParagraphFont"/>
    <w:link w:val="Heading3"/>
    <w:uiPriority w:val="9"/>
    <w:rsid w:val="00101045"/>
    <w:rPr>
      <w:rFonts w:eastAsiaTheme="majorEastAsia"/>
      <w:bCs/>
      <w:i/>
      <w:color w:val="000000" w:themeColor="text1"/>
      <w:szCs w:val="24"/>
    </w:rPr>
  </w:style>
  <w:style w:type="character" w:customStyle="1" w:styleId="Heading4Char">
    <w:name w:val="Heading 4 Char"/>
    <w:basedOn w:val="DefaultParagraphFont"/>
    <w:link w:val="Heading4"/>
    <w:uiPriority w:val="9"/>
    <w:rsid w:val="003C3A04"/>
    <w:rPr>
      <w:rFonts w:eastAsiaTheme="majorEastAsia"/>
      <w:bCs/>
      <w:i/>
      <w:color w:val="000000" w:themeColor="text1"/>
      <w:szCs w:val="24"/>
    </w:rPr>
  </w:style>
  <w:style w:type="character" w:customStyle="1" w:styleId="Heading5Char">
    <w:name w:val="Heading 5 Char"/>
    <w:basedOn w:val="DefaultParagraphFont"/>
    <w:link w:val="Heading5"/>
    <w:rsid w:val="003C2C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3C2C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3C2CEA"/>
    <w:rPr>
      <w:rFonts w:asciiTheme="majorHAnsi" w:eastAsiaTheme="majorEastAsia" w:hAnsiTheme="majorHAnsi" w:cstheme="majorBidi"/>
      <w:i/>
      <w:iCs/>
      <w:color w:val="404040" w:themeColor="text1" w:themeTint="BF"/>
    </w:rPr>
  </w:style>
  <w:style w:type="character" w:customStyle="1" w:styleId="Heading8Char">
    <w:name w:val="Heading 8 Char"/>
    <w:aliases w:val="Appendix H1 Char"/>
    <w:basedOn w:val="DefaultParagraphFont"/>
    <w:link w:val="Heading8"/>
    <w:rsid w:val="003C2CEA"/>
    <w:rPr>
      <w:rFonts w:eastAsiaTheme="majorEastAsia"/>
      <w:color w:val="404040" w:themeColor="text1" w:themeTint="BF"/>
    </w:rPr>
  </w:style>
  <w:style w:type="character" w:customStyle="1" w:styleId="Heading9Char">
    <w:name w:val="Heading 9 Char"/>
    <w:aliases w:val="Appendix H2 Char"/>
    <w:basedOn w:val="DefaultParagraphFont"/>
    <w:link w:val="Heading9"/>
    <w:rsid w:val="003C2CE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C424F4"/>
    <w:pPr>
      <w:ind w:left="720"/>
      <w:contextualSpacing/>
    </w:pPr>
  </w:style>
  <w:style w:type="character" w:customStyle="1" w:styleId="ListParagraphChar">
    <w:name w:val="List Paragraph Char"/>
    <w:basedOn w:val="DefaultParagraphFont"/>
    <w:link w:val="ListParagraph"/>
    <w:uiPriority w:val="34"/>
    <w:rsid w:val="00BC1D01"/>
  </w:style>
  <w:style w:type="paragraph" w:styleId="Header">
    <w:name w:val="header"/>
    <w:basedOn w:val="Normal"/>
    <w:link w:val="HeaderChar"/>
    <w:unhideWhenUsed/>
    <w:qFormat/>
    <w:rsid w:val="007D4408"/>
    <w:pPr>
      <w:tabs>
        <w:tab w:val="center" w:pos="4680"/>
        <w:tab w:val="right" w:pos="9360"/>
      </w:tabs>
    </w:pPr>
  </w:style>
  <w:style w:type="character" w:customStyle="1" w:styleId="HeaderChar">
    <w:name w:val="Header Char"/>
    <w:basedOn w:val="DefaultParagraphFont"/>
    <w:link w:val="Header"/>
    <w:rsid w:val="007D4408"/>
  </w:style>
  <w:style w:type="paragraph" w:styleId="Footer">
    <w:name w:val="footer"/>
    <w:basedOn w:val="Normal"/>
    <w:link w:val="FooterChar"/>
    <w:uiPriority w:val="99"/>
    <w:unhideWhenUsed/>
    <w:qFormat/>
    <w:rsid w:val="007D4408"/>
    <w:pPr>
      <w:tabs>
        <w:tab w:val="center" w:pos="4680"/>
        <w:tab w:val="right" w:pos="9360"/>
      </w:tabs>
    </w:pPr>
  </w:style>
  <w:style w:type="character" w:customStyle="1" w:styleId="FooterChar">
    <w:name w:val="Footer Char"/>
    <w:basedOn w:val="DefaultParagraphFont"/>
    <w:link w:val="Footer"/>
    <w:uiPriority w:val="99"/>
    <w:rsid w:val="007D4408"/>
  </w:style>
  <w:style w:type="paragraph" w:styleId="BalloonText">
    <w:name w:val="Balloon Text"/>
    <w:basedOn w:val="Normal"/>
    <w:link w:val="BalloonTextChar"/>
    <w:uiPriority w:val="99"/>
    <w:unhideWhenUsed/>
    <w:rsid w:val="00B515CC"/>
    <w:rPr>
      <w:rFonts w:ascii="Tahoma" w:hAnsi="Tahoma" w:cs="Tahoma"/>
      <w:sz w:val="16"/>
      <w:szCs w:val="16"/>
    </w:rPr>
  </w:style>
  <w:style w:type="character" w:customStyle="1" w:styleId="BalloonTextChar">
    <w:name w:val="Balloon Text Char"/>
    <w:basedOn w:val="DefaultParagraphFont"/>
    <w:link w:val="BalloonText"/>
    <w:uiPriority w:val="99"/>
    <w:rsid w:val="00B515CC"/>
    <w:rPr>
      <w:rFonts w:ascii="Tahoma" w:hAnsi="Tahoma" w:cs="Tahoma"/>
      <w:sz w:val="16"/>
      <w:szCs w:val="16"/>
    </w:rPr>
  </w:style>
  <w:style w:type="paragraph" w:styleId="FootnoteText">
    <w:name w:val="footnote text"/>
    <w:basedOn w:val="Normal"/>
    <w:link w:val="FootnoteTextChar"/>
    <w:unhideWhenUsed/>
    <w:qFormat/>
    <w:rsid w:val="00AF5D92"/>
    <w:rPr>
      <w:rFonts w:eastAsia="Times New Roman" w:cs="Times New Roman"/>
      <w:sz w:val="20"/>
      <w:szCs w:val="20"/>
    </w:rPr>
  </w:style>
  <w:style w:type="character" w:customStyle="1" w:styleId="FootnoteTextChar">
    <w:name w:val="Footnote Text Char"/>
    <w:basedOn w:val="DefaultParagraphFont"/>
    <w:link w:val="FootnoteText"/>
    <w:rsid w:val="00AF5D92"/>
    <w:rPr>
      <w:rFonts w:eastAsia="Times New Roman" w:cs="Times New Roman"/>
      <w:sz w:val="20"/>
      <w:szCs w:val="20"/>
    </w:rPr>
  </w:style>
  <w:style w:type="character" w:styleId="FootnoteReference">
    <w:name w:val="footnote reference"/>
    <w:basedOn w:val="DefaultParagraphFont"/>
    <w:unhideWhenUsed/>
    <w:qFormat/>
    <w:rsid w:val="00AF5D92"/>
  </w:style>
  <w:style w:type="paragraph" w:styleId="Caption">
    <w:name w:val="caption"/>
    <w:basedOn w:val="Normal"/>
    <w:next w:val="Normal"/>
    <w:uiPriority w:val="35"/>
    <w:unhideWhenUsed/>
    <w:qFormat/>
    <w:rsid w:val="00E1388B"/>
    <w:pPr>
      <w:keepNext/>
      <w:spacing w:after="200"/>
    </w:pPr>
    <w:rPr>
      <w:bCs/>
    </w:rPr>
  </w:style>
  <w:style w:type="character" w:styleId="Hyperlink">
    <w:name w:val="Hyperlink"/>
    <w:basedOn w:val="DefaultParagraphFont"/>
    <w:uiPriority w:val="99"/>
    <w:unhideWhenUsed/>
    <w:rsid w:val="00123B56"/>
    <w:rPr>
      <w:color w:val="0000FF"/>
      <w:u w:val="single"/>
    </w:rPr>
  </w:style>
  <w:style w:type="table" w:styleId="TableGrid">
    <w:name w:val="Table Grid"/>
    <w:basedOn w:val="TableNormal"/>
    <w:uiPriority w:val="59"/>
    <w:rsid w:val="004E37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2"/>
    <w:rsid w:val="00BD3549"/>
    <w:rPr>
      <w:sz w:val="16"/>
      <w:szCs w:val="16"/>
    </w:rPr>
  </w:style>
  <w:style w:type="paragraph" w:styleId="CommentText">
    <w:name w:val="annotation text"/>
    <w:basedOn w:val="Normal"/>
    <w:link w:val="CommentTextChar"/>
    <w:uiPriority w:val="2"/>
    <w:rsid w:val="00BD3549"/>
    <w:pPr>
      <w:widowControl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2"/>
    <w:rsid w:val="00BD3549"/>
    <w:rPr>
      <w:rFonts w:ascii="Times New Roman" w:eastAsia="Times New Roman" w:hAnsi="Times New Roman" w:cs="Times New Roman"/>
      <w:sz w:val="20"/>
      <w:szCs w:val="20"/>
    </w:rPr>
  </w:style>
  <w:style w:type="paragraph" w:styleId="TOC1">
    <w:name w:val="toc 1"/>
    <w:basedOn w:val="Normal"/>
    <w:next w:val="Normal"/>
    <w:autoRedefine/>
    <w:uiPriority w:val="39"/>
    <w:qFormat/>
    <w:rsid w:val="0066374D"/>
    <w:pPr>
      <w:tabs>
        <w:tab w:val="left" w:pos="720"/>
        <w:tab w:val="left" w:pos="1620"/>
        <w:tab w:val="right" w:leader="dot" w:pos="8990"/>
      </w:tabs>
      <w:spacing w:before="220" w:line="240" w:lineRule="auto"/>
      <w:ind w:left="720" w:hanging="720"/>
    </w:pPr>
    <w:rPr>
      <w:rFonts w:eastAsia="Times New Roman" w:cs="Times New Roman"/>
      <w:b/>
      <w:bCs/>
      <w:noProof/>
    </w:rPr>
  </w:style>
  <w:style w:type="paragraph" w:styleId="TOC2">
    <w:name w:val="toc 2"/>
    <w:basedOn w:val="Normal"/>
    <w:next w:val="Normal"/>
    <w:autoRedefine/>
    <w:uiPriority w:val="39"/>
    <w:qFormat/>
    <w:rsid w:val="00362591"/>
    <w:pPr>
      <w:tabs>
        <w:tab w:val="left" w:pos="180"/>
        <w:tab w:val="left" w:pos="1350"/>
        <w:tab w:val="left" w:pos="1440"/>
        <w:tab w:val="right" w:leader="dot" w:pos="8990"/>
      </w:tabs>
      <w:ind w:left="2160" w:hanging="1440"/>
    </w:pPr>
    <w:rPr>
      <w:rFonts w:eastAsia="Times New Roman" w:cs="Times New Roman"/>
      <w:sz w:val="20"/>
      <w:szCs w:val="20"/>
    </w:rPr>
  </w:style>
  <w:style w:type="character" w:styleId="PageNumber">
    <w:name w:val="page number"/>
    <w:basedOn w:val="DefaultParagraphFont"/>
    <w:rsid w:val="00780F91"/>
  </w:style>
  <w:style w:type="paragraph" w:styleId="TOC3">
    <w:name w:val="toc 3"/>
    <w:basedOn w:val="Normal"/>
    <w:next w:val="Normal"/>
    <w:autoRedefine/>
    <w:uiPriority w:val="39"/>
    <w:qFormat/>
    <w:rsid w:val="00F45908"/>
    <w:pPr>
      <w:tabs>
        <w:tab w:val="left" w:pos="720"/>
        <w:tab w:val="left" w:pos="1440"/>
        <w:tab w:val="left" w:pos="1530"/>
        <w:tab w:val="left" w:pos="2160"/>
        <w:tab w:val="right" w:leader="dot" w:pos="8990"/>
      </w:tabs>
      <w:spacing w:after="40"/>
      <w:ind w:left="1440" w:hanging="90"/>
    </w:pPr>
    <w:rPr>
      <w:rFonts w:eastAsia="Times New Roman" w:cs="Times New Roman"/>
      <w:sz w:val="20"/>
      <w:szCs w:val="20"/>
    </w:rPr>
  </w:style>
  <w:style w:type="character" w:customStyle="1" w:styleId="QuickFormat1">
    <w:name w:val="QuickFormat1"/>
    <w:uiPriority w:val="99"/>
    <w:rsid w:val="003C2CEA"/>
    <w:rPr>
      <w:rFonts w:ascii="Arial" w:hAnsi="Arial" w:cs="Arial"/>
      <w:b/>
      <w:bCs/>
      <w:color w:val="000000"/>
      <w:sz w:val="22"/>
      <w:szCs w:val="22"/>
    </w:rPr>
  </w:style>
  <w:style w:type="character" w:styleId="PlaceholderText">
    <w:name w:val="Placeholder Text"/>
    <w:basedOn w:val="DefaultParagraphFont"/>
    <w:uiPriority w:val="99"/>
    <w:semiHidden/>
    <w:rsid w:val="00E27842"/>
    <w:rPr>
      <w:color w:val="808080"/>
    </w:rPr>
  </w:style>
  <w:style w:type="character" w:styleId="Emphasis">
    <w:name w:val="Emphasis"/>
    <w:uiPriority w:val="20"/>
    <w:qFormat/>
    <w:rsid w:val="00942F1E"/>
    <w:rPr>
      <w:i/>
      <w:iCs/>
    </w:rPr>
  </w:style>
  <w:style w:type="paragraph" w:customStyle="1" w:styleId="indentfirstline05">
    <w:name w:val="indent first line 0.5"/>
    <w:basedOn w:val="Normal"/>
    <w:link w:val="indentfirstline05Char"/>
    <w:qFormat/>
    <w:rsid w:val="00500171"/>
    <w:pPr>
      <w:widowControl w:val="0"/>
      <w:spacing w:line="480" w:lineRule="auto"/>
      <w:ind w:firstLine="720"/>
    </w:pPr>
    <w:rPr>
      <w:rFonts w:eastAsia="Times New Roman"/>
    </w:rPr>
  </w:style>
  <w:style w:type="character" w:customStyle="1" w:styleId="indentfirstline05Char">
    <w:name w:val="indent first line 0.5 Char"/>
    <w:basedOn w:val="DefaultParagraphFont"/>
    <w:link w:val="indentfirstline05"/>
    <w:rsid w:val="00500171"/>
    <w:rPr>
      <w:rFonts w:eastAsia="Times New Roman"/>
    </w:rPr>
  </w:style>
  <w:style w:type="paragraph" w:customStyle="1" w:styleId="Default">
    <w:name w:val="Default"/>
    <w:rsid w:val="001245DE"/>
    <w:pPr>
      <w:autoSpaceDE w:val="0"/>
      <w:autoSpaceDN w:val="0"/>
      <w:adjustRightInd w:val="0"/>
      <w:spacing w:line="240" w:lineRule="auto"/>
    </w:pPr>
    <w:rPr>
      <w:rFonts w:ascii="Adobe Garamond Pro" w:hAnsi="Adobe Garamond Pro" w:cs="Adobe Garamond Pro"/>
      <w:color w:val="000000"/>
      <w:sz w:val="24"/>
      <w:szCs w:val="24"/>
    </w:rPr>
  </w:style>
  <w:style w:type="paragraph" w:styleId="TOC4">
    <w:name w:val="toc 4"/>
    <w:basedOn w:val="Normal"/>
    <w:next w:val="Normal"/>
    <w:autoRedefine/>
    <w:uiPriority w:val="2"/>
    <w:unhideWhenUsed/>
    <w:qFormat/>
    <w:rsid w:val="00352DA6"/>
    <w:pPr>
      <w:autoSpaceDE/>
      <w:autoSpaceDN/>
      <w:adjustRightInd/>
      <w:spacing w:after="100"/>
      <w:ind w:left="660"/>
    </w:pPr>
    <w:rPr>
      <w:rFonts w:asciiTheme="minorHAnsi" w:eastAsiaTheme="minorEastAsia" w:hAnsiTheme="minorHAnsi" w:cstheme="minorBidi"/>
    </w:rPr>
  </w:style>
  <w:style w:type="paragraph" w:styleId="TOC5">
    <w:name w:val="toc 5"/>
    <w:basedOn w:val="Normal"/>
    <w:next w:val="Normal"/>
    <w:autoRedefine/>
    <w:uiPriority w:val="2"/>
    <w:unhideWhenUsed/>
    <w:rsid w:val="00352DA6"/>
    <w:pPr>
      <w:autoSpaceDE/>
      <w:autoSpaceDN/>
      <w:adjustRightInd/>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qFormat/>
    <w:rsid w:val="00352DA6"/>
    <w:pPr>
      <w:autoSpaceDE/>
      <w:autoSpaceDN/>
      <w:adjustRightInd/>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52DA6"/>
    <w:pPr>
      <w:autoSpaceDE/>
      <w:autoSpaceDN/>
      <w:adjustRightInd/>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52DA6"/>
    <w:pPr>
      <w:autoSpaceDE/>
      <w:autoSpaceDN/>
      <w:adjustRightInd/>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52DA6"/>
    <w:pPr>
      <w:autoSpaceDE/>
      <w:autoSpaceDN/>
      <w:adjustRightInd/>
      <w:spacing w:after="100"/>
      <w:ind w:left="1760"/>
    </w:pPr>
    <w:rPr>
      <w:rFonts w:asciiTheme="minorHAnsi" w:eastAsiaTheme="minorEastAsia" w:hAnsiTheme="minorHAnsi" w:cstheme="minorBidi"/>
    </w:rPr>
  </w:style>
  <w:style w:type="character" w:styleId="HTMLCite">
    <w:name w:val="HTML Cite"/>
    <w:basedOn w:val="DefaultParagraphFont"/>
    <w:uiPriority w:val="99"/>
    <w:semiHidden/>
    <w:unhideWhenUsed/>
    <w:rsid w:val="002A3407"/>
    <w:rPr>
      <w:i w:val="0"/>
      <w:iCs w:val="0"/>
      <w:color w:val="006621"/>
    </w:rPr>
  </w:style>
  <w:style w:type="paragraph" w:styleId="NormalWeb">
    <w:name w:val="Normal (Web)"/>
    <w:basedOn w:val="Normal"/>
    <w:uiPriority w:val="99"/>
    <w:unhideWhenUsed/>
    <w:rsid w:val="000F4643"/>
    <w:pPr>
      <w:autoSpaceDE/>
      <w:autoSpaceDN/>
      <w:adjustRightInd/>
      <w:spacing w:after="3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585259"/>
    <w:rPr>
      <w:b/>
    </w:rPr>
  </w:style>
  <w:style w:type="paragraph" w:styleId="CommentSubject">
    <w:name w:val="annotation subject"/>
    <w:basedOn w:val="CommentText"/>
    <w:next w:val="CommentText"/>
    <w:link w:val="CommentSubjectChar"/>
    <w:unhideWhenUsed/>
    <w:rsid w:val="002C5253"/>
    <w:pPr>
      <w:widowControl/>
      <w:spacing w:line="240" w:lineRule="auto"/>
    </w:pPr>
    <w:rPr>
      <w:rFonts w:ascii="Arial" w:hAnsi="Arial" w:eastAsiaTheme="minorHAnsi" w:cs="Arial"/>
      <w:b/>
      <w:bCs/>
    </w:rPr>
  </w:style>
  <w:style w:type="character" w:customStyle="1" w:styleId="CommentSubjectChar">
    <w:name w:val="Comment Subject Char"/>
    <w:basedOn w:val="CommentTextChar"/>
    <w:link w:val="CommentSubject"/>
    <w:uiPriority w:val="99"/>
    <w:rsid w:val="002C5253"/>
    <w:rPr>
      <w:rFonts w:ascii="Times New Roman" w:eastAsia="Times New Roman" w:hAnsi="Times New Roman" w:cs="Times New Roman"/>
      <w:b/>
      <w:bCs/>
      <w:sz w:val="20"/>
      <w:szCs w:val="20"/>
    </w:rPr>
  </w:style>
  <w:style w:type="paragraph" w:customStyle="1" w:styleId="headinglineafter">
    <w:name w:val="heading line after"/>
    <w:qFormat/>
    <w:rsid w:val="00830D24"/>
    <w:pPr>
      <w:keepNext/>
      <w:spacing w:line="240" w:lineRule="auto"/>
    </w:pPr>
    <w:rPr>
      <w:rFonts w:eastAsia="Times New Roman"/>
    </w:rPr>
  </w:style>
  <w:style w:type="paragraph" w:styleId="Revision">
    <w:name w:val="Revision"/>
    <w:hidden/>
    <w:uiPriority w:val="99"/>
    <w:semiHidden/>
    <w:rsid w:val="00891C71"/>
    <w:pPr>
      <w:spacing w:line="240" w:lineRule="auto"/>
    </w:pPr>
  </w:style>
  <w:style w:type="character" w:styleId="FollowedHyperlink">
    <w:name w:val="FollowedHyperlink"/>
    <w:basedOn w:val="DefaultParagraphFont"/>
    <w:uiPriority w:val="99"/>
    <w:unhideWhenUsed/>
    <w:rsid w:val="00754922"/>
    <w:rPr>
      <w:color w:val="800080" w:themeColor="followedHyperlink"/>
      <w:u w:val="single"/>
    </w:rPr>
  </w:style>
  <w:style w:type="paragraph" w:styleId="HTMLPreformatted">
    <w:name w:val="HTML Preformatted"/>
    <w:basedOn w:val="Normal"/>
    <w:link w:val="HTMLPreformattedChar"/>
    <w:uiPriority w:val="99"/>
    <w:semiHidden/>
    <w:unhideWhenUsed/>
    <w:rsid w:val="00C7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C70A22"/>
    <w:rPr>
      <w:rFonts w:ascii="Courier New" w:eastAsia="Times New Roman" w:hAnsi="Courier New" w:cs="Courier New"/>
      <w:sz w:val="20"/>
      <w:szCs w:val="20"/>
    </w:rPr>
  </w:style>
  <w:style w:type="paragraph" w:customStyle="1" w:styleId="xl74">
    <w:name w:val="xl74"/>
    <w:basedOn w:val="Normal"/>
    <w:rsid w:val="006C27F6"/>
    <w:pPr>
      <w:autoSpaceDE/>
      <w:autoSpaceDN/>
      <w:adjustRightInd/>
      <w:spacing w:before="100" w:beforeAutospacing="1" w:after="100" w:afterAutospacing="1" w:line="240" w:lineRule="auto"/>
    </w:pPr>
    <w:rPr>
      <w:rFonts w:eastAsia="Times New Roman"/>
      <w:color w:val="auto"/>
      <w:sz w:val="20"/>
      <w:szCs w:val="20"/>
    </w:rPr>
  </w:style>
  <w:style w:type="paragraph" w:customStyle="1" w:styleId="xl75">
    <w:name w:val="xl75"/>
    <w:basedOn w:val="Normal"/>
    <w:rsid w:val="006C27F6"/>
    <w:pPr>
      <w:shd w:val="clear" w:color="000000" w:fill="FFFF00"/>
      <w:autoSpaceDE/>
      <w:autoSpaceDN/>
      <w:adjustRightInd/>
      <w:spacing w:before="100" w:beforeAutospacing="1" w:after="100" w:afterAutospacing="1" w:line="240" w:lineRule="auto"/>
    </w:pPr>
    <w:rPr>
      <w:rFonts w:eastAsia="Times New Roman"/>
      <w:color w:val="auto"/>
      <w:sz w:val="20"/>
      <w:szCs w:val="20"/>
    </w:rPr>
  </w:style>
  <w:style w:type="paragraph" w:customStyle="1" w:styleId="xl76">
    <w:name w:val="xl7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7">
    <w:name w:val="xl7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78">
    <w:name w:val="xl78"/>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9">
    <w:name w:val="xl79"/>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0">
    <w:name w:val="xl80"/>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1">
    <w:name w:val="xl81"/>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2">
    <w:name w:val="xl82"/>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3">
    <w:name w:val="xl83"/>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4">
    <w:name w:val="xl84"/>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5">
    <w:name w:val="xl85"/>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6">
    <w:name w:val="xl8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7">
    <w:name w:val="xl8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8">
    <w:name w:val="xl88"/>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9">
    <w:name w:val="xl89"/>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90">
    <w:name w:val="xl90"/>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1">
    <w:name w:val="xl91"/>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2">
    <w:name w:val="xl9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3">
    <w:name w:val="xl93"/>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4">
    <w:name w:val="xl94"/>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5">
    <w:name w:val="xl95"/>
    <w:basedOn w:val="Normal"/>
    <w:rsid w:val="000D374F"/>
    <w:pPr>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6">
    <w:name w:val="xl96"/>
    <w:basedOn w:val="Normal"/>
    <w:rsid w:val="000D374F"/>
    <w:pPr>
      <w:pBdr>
        <w:top w:val="single" w:sz="8" w:space="0" w:color="auto"/>
        <w:left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7">
    <w:name w:val="xl97"/>
    <w:basedOn w:val="Normal"/>
    <w:rsid w:val="000D374F"/>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8">
    <w:name w:val="xl98"/>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9">
    <w:name w:val="xl99"/>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0">
    <w:name w:val="xl100"/>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1">
    <w:name w:val="xl101"/>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02">
    <w:name w:val="xl10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3">
    <w:name w:val="xl103"/>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4">
    <w:name w:val="xl104"/>
    <w:basedOn w:val="Normal"/>
    <w:rsid w:val="000D374F"/>
    <w:pPr>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5">
    <w:name w:val="xl105"/>
    <w:basedOn w:val="Normal"/>
    <w:rsid w:val="000D374F"/>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6">
    <w:name w:val="xl106"/>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7">
    <w:name w:val="xl107"/>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8">
    <w:name w:val="xl108"/>
    <w:basedOn w:val="Normal"/>
    <w:rsid w:val="000D374F"/>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styleId="NoSpacing">
    <w:name w:val="No Spacing"/>
    <w:uiPriority w:val="1"/>
    <w:qFormat/>
    <w:rsid w:val="00714C4A"/>
    <w:pPr>
      <w:spacing w:line="240" w:lineRule="auto"/>
    </w:pPr>
    <w:rPr>
      <w:szCs w:val="24"/>
    </w:rPr>
  </w:style>
  <w:style w:type="paragraph" w:customStyle="1" w:styleId="p1">
    <w:name w:val="p1"/>
    <w:basedOn w:val="Normal"/>
    <w:rsid w:val="001D495F"/>
    <w:pPr>
      <w:autoSpaceDE/>
      <w:autoSpaceDN/>
      <w:adjustRightInd/>
      <w:spacing w:line="240" w:lineRule="auto"/>
    </w:pPr>
    <w:rPr>
      <w:color w:val="auto"/>
      <w:sz w:val="17"/>
      <w:szCs w:val="17"/>
    </w:rPr>
  </w:style>
  <w:style w:type="character" w:customStyle="1" w:styleId="UnresolvedMention1">
    <w:name w:val="Unresolved Mention1"/>
    <w:basedOn w:val="DefaultParagraphFont"/>
    <w:uiPriority w:val="99"/>
    <w:semiHidden/>
    <w:unhideWhenUsed/>
    <w:rsid w:val="00C861CD"/>
    <w:rPr>
      <w:color w:val="808080"/>
      <w:shd w:val="clear" w:color="auto" w:fill="E6E6E6"/>
    </w:rPr>
  </w:style>
  <w:style w:type="table" w:customStyle="1" w:styleId="TableGrid1">
    <w:name w:val="Table Grid1"/>
    <w:basedOn w:val="TableNormal"/>
    <w:next w:val="TableGrid"/>
    <w:uiPriority w:val="59"/>
    <w:rsid w:val="00CA74E3"/>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D034E"/>
    <w:rPr>
      <w:color w:val="605E5C"/>
      <w:shd w:val="clear" w:color="auto" w:fill="E1DFDD"/>
    </w:rPr>
  </w:style>
  <w:style w:type="character" w:styleId="Mention">
    <w:name w:val="Mention"/>
    <w:basedOn w:val="DefaultParagraphFont"/>
    <w:uiPriority w:val="99"/>
    <w:unhideWhenUsed/>
    <w:rsid w:val="0057508E"/>
    <w:rPr>
      <w:color w:val="2B579A"/>
      <w:shd w:val="clear" w:color="auto" w:fill="E1DFDD"/>
    </w:rPr>
  </w:style>
  <w:style w:type="character" w:customStyle="1" w:styleId="normaltextrun">
    <w:name w:val="normaltextrun"/>
    <w:basedOn w:val="DefaultParagraphFont"/>
    <w:rsid w:val="00C34A4C"/>
  </w:style>
  <w:style w:type="character" w:customStyle="1" w:styleId="eop">
    <w:name w:val="eop"/>
    <w:basedOn w:val="DefaultParagraphFont"/>
    <w:rsid w:val="00864F91"/>
  </w:style>
  <w:style w:type="paragraph" w:customStyle="1" w:styleId="paragraph">
    <w:name w:val="paragraph"/>
    <w:basedOn w:val="Normal"/>
    <w:rsid w:val="003026DE"/>
    <w:pP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aptionTable">
    <w:name w:val="caption Table"/>
    <w:basedOn w:val="Normal"/>
    <w:next w:val="BodyText"/>
    <w:qFormat/>
    <w:rsid w:val="004748E7"/>
    <w:pPr>
      <w:keepNext/>
      <w:tabs>
        <w:tab w:val="left" w:pos="1152"/>
      </w:tabs>
      <w:autoSpaceDE/>
      <w:autoSpaceDN/>
      <w:adjustRightInd/>
      <w:spacing w:before="240" w:after="120" w:line="240" w:lineRule="auto"/>
    </w:pPr>
    <w:rPr>
      <w:rFonts w:ascii="Arial Bold" w:hAnsi="Arial Bold" w:cstheme="minorBidi"/>
      <w:b/>
      <w:noProof/>
    </w:rPr>
  </w:style>
  <w:style w:type="paragraph" w:styleId="BodyText">
    <w:name w:val="Body Text"/>
    <w:basedOn w:val="Normal"/>
    <w:link w:val="BodyTextChar"/>
    <w:unhideWhenUsed/>
    <w:qFormat/>
    <w:rsid w:val="004748E7"/>
    <w:pPr>
      <w:spacing w:after="120"/>
    </w:pPr>
  </w:style>
  <w:style w:type="character" w:customStyle="1" w:styleId="BodyTextChar">
    <w:name w:val="Body Text Char"/>
    <w:basedOn w:val="DefaultParagraphFont"/>
    <w:link w:val="BodyText"/>
    <w:rsid w:val="004748E7"/>
    <w:rPr>
      <w:color w:val="000000" w:themeColor="text1"/>
    </w:rPr>
  </w:style>
  <w:style w:type="paragraph" w:styleId="TOCHeading">
    <w:name w:val="TOC Heading"/>
    <w:basedOn w:val="Heading1"/>
    <w:next w:val="Normal"/>
    <w:uiPriority w:val="39"/>
    <w:unhideWhenUsed/>
    <w:qFormat/>
    <w:rsid w:val="00547FAC"/>
    <w:pPr>
      <w:autoSpaceDE/>
      <w:autoSpaceDN/>
      <w:adjustRightInd/>
      <w:spacing w:line="259" w:lineRule="auto"/>
      <w:outlineLvl w:val="9"/>
    </w:pPr>
    <w:rPr>
      <w:rFonts w:asciiTheme="majorHAnsi" w:hAnsiTheme="majorHAnsi" w:cstheme="majorBidi"/>
      <w:b w:val="0"/>
      <w:bCs w:val="0"/>
      <w:color w:val="365F91" w:themeColor="accent1" w:themeShade="BF"/>
      <w:sz w:val="32"/>
      <w:szCs w:val="32"/>
    </w:rPr>
  </w:style>
  <w:style w:type="paragraph" w:customStyle="1" w:styleId="text">
    <w:name w:val="text"/>
    <w:basedOn w:val="Normal"/>
    <w:rsid w:val="00F92D09"/>
    <w:pPr>
      <w:autoSpaceDE/>
      <w:autoSpaceDN/>
      <w:adjustRightInd/>
      <w:spacing w:after="240" w:line="240" w:lineRule="auto"/>
    </w:pPr>
    <w:rPr>
      <w:rFonts w:eastAsia="Times New Roman"/>
      <w:color w:val="auto"/>
      <w:szCs w:val="20"/>
    </w:rPr>
  </w:style>
  <w:style w:type="paragraph" w:customStyle="1" w:styleId="Caption-Tab">
    <w:name w:val="Caption-Tab"/>
    <w:basedOn w:val="Caption"/>
    <w:next w:val="Normal"/>
    <w:link w:val="Caption-TabChar"/>
    <w:qFormat/>
    <w:rsid w:val="001F1302"/>
    <w:pPr>
      <w:autoSpaceDE/>
      <w:autoSpaceDN/>
      <w:adjustRightInd/>
      <w:spacing w:before="240" w:after="120" w:line="264" w:lineRule="auto"/>
      <w:ind w:left="1037" w:hanging="1037"/>
    </w:pPr>
    <w:rPr>
      <w:rFonts w:eastAsia="Times New Roman" w:cs="Times New Roman"/>
      <w:b/>
      <w:bCs w:val="0"/>
      <w:color w:val="auto"/>
    </w:rPr>
  </w:style>
  <w:style w:type="character" w:customStyle="1" w:styleId="Caption-TabChar">
    <w:name w:val="Caption-Tab Char"/>
    <w:basedOn w:val="DefaultParagraphFont"/>
    <w:link w:val="Caption-Tab"/>
    <w:rsid w:val="001F1302"/>
    <w:rPr>
      <w:rFonts w:eastAsia="Times New Roman" w:cs="Times New Roman"/>
      <w:b/>
    </w:rPr>
  </w:style>
  <w:style w:type="paragraph" w:styleId="ListBullet">
    <w:name w:val="List Bullet"/>
    <w:basedOn w:val="List"/>
    <w:qFormat/>
    <w:rsid w:val="006634F4"/>
    <w:pPr>
      <w:numPr>
        <w:numId w:val="8"/>
      </w:numPr>
      <w:tabs>
        <w:tab w:val="clear" w:pos="360"/>
        <w:tab w:val="left" w:pos="432"/>
        <w:tab w:val="num" w:pos="720"/>
      </w:tabs>
      <w:autoSpaceDE/>
      <w:autoSpaceDN/>
      <w:adjustRightInd/>
      <w:spacing w:before="120" w:line="240" w:lineRule="auto"/>
      <w:contextualSpacing w:val="0"/>
    </w:pPr>
    <w:rPr>
      <w:rFonts w:eastAsia="Times New Roman" w:cs="Times New Roman"/>
      <w:color w:val="auto"/>
    </w:rPr>
  </w:style>
  <w:style w:type="paragraph" w:styleId="List">
    <w:name w:val="List"/>
    <w:basedOn w:val="Normal"/>
    <w:uiPriority w:val="99"/>
    <w:unhideWhenUsed/>
    <w:qFormat/>
    <w:rsid w:val="006634F4"/>
    <w:pPr>
      <w:ind w:left="360" w:hanging="360"/>
      <w:contextualSpacing/>
    </w:pPr>
  </w:style>
  <w:style w:type="paragraph" w:customStyle="1" w:styleId="Style1">
    <w:name w:val="Style1"/>
    <w:basedOn w:val="Normal"/>
    <w:rsid w:val="008154D7"/>
    <w:pPr>
      <w:autoSpaceDE/>
      <w:autoSpaceDN/>
      <w:adjustRightInd/>
      <w:spacing w:line="240" w:lineRule="auto"/>
    </w:pPr>
    <w:rPr>
      <w:rFonts w:ascii="Times New Roman" w:eastAsia="Times New Roman" w:hAnsi="Times New Roman" w:cs="Times New Roman"/>
      <w:color w:val="auto"/>
      <w:sz w:val="24"/>
      <w:szCs w:val="20"/>
    </w:rPr>
  </w:style>
  <w:style w:type="paragraph" w:customStyle="1" w:styleId="TableParagraph">
    <w:name w:val="Table Paragraph"/>
    <w:basedOn w:val="Normal"/>
    <w:uiPriority w:val="1"/>
    <w:qFormat/>
    <w:rsid w:val="00373AAC"/>
    <w:pPr>
      <w:widowControl w:val="0"/>
      <w:adjustRightInd/>
      <w:spacing w:line="240" w:lineRule="auto"/>
      <w:ind w:left="107"/>
    </w:pPr>
    <w:rPr>
      <w:rFonts w:eastAsia="Arial"/>
      <w:color w:val="auto"/>
    </w:rPr>
  </w:style>
  <w:style w:type="paragraph" w:styleId="ListNumber">
    <w:name w:val="List Number"/>
    <w:basedOn w:val="Normal"/>
    <w:uiPriority w:val="9"/>
    <w:qFormat/>
    <w:rsid w:val="00373AAC"/>
    <w:pPr>
      <w:numPr>
        <w:numId w:val="9"/>
      </w:numPr>
      <w:tabs>
        <w:tab w:val="left" w:pos="720"/>
        <w:tab w:val="left" w:pos="1080"/>
      </w:tabs>
      <w:autoSpaceDE/>
      <w:autoSpaceDN/>
      <w:adjustRightInd/>
      <w:spacing w:line="264" w:lineRule="auto"/>
    </w:pPr>
    <w:rPr>
      <w:rFonts w:eastAsia="Times New Roman" w:cs="Times New Roman"/>
      <w:color w:val="auto"/>
    </w:rPr>
  </w:style>
  <w:style w:type="paragraph" w:styleId="Title">
    <w:name w:val="Title"/>
    <w:aliases w:val="Title_Cover"/>
    <w:basedOn w:val="Normal"/>
    <w:next w:val="Normal"/>
    <w:link w:val="TitleChar"/>
    <w:uiPriority w:val="2"/>
    <w:rsid w:val="00373AAC"/>
    <w:pPr>
      <w:tabs>
        <w:tab w:val="left" w:pos="360"/>
        <w:tab w:val="left" w:pos="720"/>
        <w:tab w:val="left" w:pos="1080"/>
      </w:tabs>
      <w:autoSpaceDE/>
      <w:autoSpaceDN/>
      <w:adjustRightInd/>
      <w:spacing w:line="240" w:lineRule="auto"/>
      <w:ind w:left="-360" w:right="720"/>
      <w:contextualSpacing/>
    </w:pPr>
    <w:rPr>
      <w:rFonts w:asciiTheme="majorHAnsi" w:eastAsiaTheme="majorEastAsia" w:hAnsiTheme="majorHAnsi" w:cstheme="majorBidi"/>
      <w:b/>
      <w:caps/>
      <w:color w:val="auto"/>
      <w:sz w:val="56"/>
      <w:szCs w:val="56"/>
    </w:rPr>
  </w:style>
  <w:style w:type="character" w:customStyle="1" w:styleId="TitleChar">
    <w:name w:val="Title Char"/>
    <w:aliases w:val="Title_Cover Char"/>
    <w:basedOn w:val="DefaultParagraphFont"/>
    <w:link w:val="Title"/>
    <w:uiPriority w:val="2"/>
    <w:rsid w:val="00373AAC"/>
    <w:rPr>
      <w:rFonts w:asciiTheme="majorHAnsi" w:eastAsiaTheme="majorEastAsia" w:hAnsiTheme="majorHAnsi" w:cstheme="majorBidi"/>
      <w:b/>
      <w:caps/>
      <w:sz w:val="56"/>
      <w:szCs w:val="56"/>
    </w:rPr>
  </w:style>
  <w:style w:type="paragraph" w:styleId="Subtitle">
    <w:name w:val="Subtitle"/>
    <w:basedOn w:val="Normal"/>
    <w:next w:val="Normal"/>
    <w:link w:val="SubtitleChar"/>
    <w:unhideWhenUsed/>
    <w:rsid w:val="00373AAC"/>
    <w:pPr>
      <w:numPr>
        <w:ilvl w:val="1"/>
      </w:numPr>
      <w:tabs>
        <w:tab w:val="left" w:pos="360"/>
        <w:tab w:val="left" w:pos="720"/>
        <w:tab w:val="left" w:pos="1080"/>
      </w:tabs>
      <w:autoSpaceDE/>
      <w:autoSpaceDN/>
      <w:adjustRightInd/>
      <w:spacing w:line="240" w:lineRule="auto"/>
      <w:ind w:left="-360" w:right="720"/>
    </w:pPr>
    <w:rPr>
      <w:rFonts w:asciiTheme="minorHAnsi" w:hAnsiTheme="minorHAnsi" w:cstheme="minorBidi"/>
      <w:color w:val="auto"/>
      <w:sz w:val="40"/>
    </w:rPr>
  </w:style>
  <w:style w:type="character" w:customStyle="1" w:styleId="SubtitleChar">
    <w:name w:val="Subtitle Char"/>
    <w:basedOn w:val="DefaultParagraphFont"/>
    <w:link w:val="Subtitle"/>
    <w:rsid w:val="00373AAC"/>
    <w:rPr>
      <w:rFonts w:asciiTheme="minorHAnsi" w:hAnsiTheme="minorHAnsi" w:cstheme="minorBidi"/>
      <w:sz w:val="40"/>
    </w:rPr>
  </w:style>
  <w:style w:type="character" w:styleId="IntenseReference">
    <w:name w:val="Intense Reference"/>
    <w:basedOn w:val="DefaultParagraphFont"/>
    <w:uiPriority w:val="32"/>
    <w:unhideWhenUsed/>
    <w:qFormat/>
    <w:rsid w:val="00373AAC"/>
    <w:rPr>
      <w:b/>
      <w:bCs/>
      <w:caps/>
      <w:smallCaps w:val="0"/>
      <w:color w:val="262626" w:themeColor="text1" w:themeTint="D9"/>
      <w:spacing w:val="0"/>
    </w:rPr>
  </w:style>
  <w:style w:type="character" w:styleId="BookTitle">
    <w:name w:val="Book Title"/>
    <w:basedOn w:val="DefaultParagraphFont"/>
    <w:uiPriority w:val="33"/>
    <w:unhideWhenUsed/>
    <w:rsid w:val="00373AAC"/>
    <w:rPr>
      <w:b w:val="0"/>
      <w:bCs/>
      <w:i w:val="0"/>
      <w:iCs/>
      <w:spacing w:val="0"/>
      <w:u w:val="single"/>
    </w:rPr>
  </w:style>
  <w:style w:type="character" w:styleId="SubtleEmphasis">
    <w:name w:val="Subtle Emphasis"/>
    <w:basedOn w:val="DefaultParagraphFont"/>
    <w:uiPriority w:val="19"/>
    <w:unhideWhenUsed/>
    <w:qFormat/>
    <w:rsid w:val="00373AAC"/>
    <w:rPr>
      <w:i/>
      <w:iCs/>
      <w:color w:val="404040" w:themeColor="text1" w:themeTint="BF"/>
    </w:rPr>
  </w:style>
  <w:style w:type="character" w:styleId="IntenseEmphasis">
    <w:name w:val="Intense Emphasis"/>
    <w:basedOn w:val="DefaultParagraphFont"/>
    <w:uiPriority w:val="21"/>
    <w:unhideWhenUsed/>
    <w:qFormat/>
    <w:rsid w:val="00373AAC"/>
    <w:rPr>
      <w:b/>
      <w:i/>
      <w:iCs/>
      <w:color w:val="262626" w:themeColor="text1" w:themeTint="D9"/>
    </w:rPr>
  </w:style>
  <w:style w:type="character" w:styleId="Strong">
    <w:name w:val="Strong"/>
    <w:basedOn w:val="DefaultParagraphFont"/>
    <w:uiPriority w:val="22"/>
    <w:unhideWhenUsed/>
    <w:qFormat/>
    <w:rsid w:val="00373AAC"/>
    <w:rPr>
      <w:b/>
      <w:bCs/>
    </w:rPr>
  </w:style>
  <w:style w:type="paragraph" w:styleId="Quote">
    <w:name w:val="Quote"/>
    <w:basedOn w:val="Normal"/>
    <w:next w:val="Normal"/>
    <w:link w:val="QuoteChar"/>
    <w:uiPriority w:val="29"/>
    <w:unhideWhenUsed/>
    <w:qFormat/>
    <w:rsid w:val="00373AAC"/>
    <w:pPr>
      <w:tabs>
        <w:tab w:val="left" w:pos="360"/>
        <w:tab w:val="left" w:pos="720"/>
        <w:tab w:val="left" w:pos="1080"/>
      </w:tabs>
      <w:autoSpaceDE/>
      <w:autoSpaceDN/>
      <w:adjustRightInd/>
      <w:spacing w:before="240" w:line="264" w:lineRule="auto"/>
    </w:pPr>
    <w:rPr>
      <w:rFonts w:eastAsia="Times New Roman" w:cs="Times New Roman"/>
      <w:i/>
      <w:iCs/>
      <w:color w:val="auto"/>
      <w:sz w:val="36"/>
    </w:rPr>
  </w:style>
  <w:style w:type="character" w:customStyle="1" w:styleId="QuoteChar">
    <w:name w:val="Quote Char"/>
    <w:basedOn w:val="DefaultParagraphFont"/>
    <w:link w:val="Quote"/>
    <w:uiPriority w:val="29"/>
    <w:rsid w:val="00373AAC"/>
    <w:rPr>
      <w:rFonts w:eastAsia="Times New Roman" w:cs="Times New Roman"/>
      <w:i/>
      <w:iCs/>
      <w:sz w:val="36"/>
    </w:rPr>
  </w:style>
  <w:style w:type="paragraph" w:styleId="IntenseQuote">
    <w:name w:val="Intense Quote"/>
    <w:basedOn w:val="Normal"/>
    <w:next w:val="Normal"/>
    <w:link w:val="IntenseQuoteChar"/>
    <w:uiPriority w:val="30"/>
    <w:unhideWhenUsed/>
    <w:qFormat/>
    <w:rsid w:val="00373AAC"/>
    <w:pPr>
      <w:tabs>
        <w:tab w:val="left" w:pos="360"/>
        <w:tab w:val="left" w:pos="720"/>
        <w:tab w:val="left" w:pos="1080"/>
      </w:tabs>
      <w:autoSpaceDE/>
      <w:autoSpaceDN/>
      <w:adjustRightInd/>
      <w:spacing w:before="240" w:line="264" w:lineRule="auto"/>
    </w:pPr>
    <w:rPr>
      <w:rFonts w:eastAsia="Times New Roman" w:cs="Times New Roman"/>
      <w:b/>
      <w:i/>
      <w:iCs/>
      <w:color w:val="auto"/>
      <w:sz w:val="36"/>
    </w:rPr>
  </w:style>
  <w:style w:type="character" w:customStyle="1" w:styleId="IntenseQuoteChar">
    <w:name w:val="Intense Quote Char"/>
    <w:basedOn w:val="DefaultParagraphFont"/>
    <w:link w:val="IntenseQuote"/>
    <w:uiPriority w:val="30"/>
    <w:rsid w:val="00373AAC"/>
    <w:rPr>
      <w:rFonts w:eastAsia="Times New Roman" w:cs="Times New Roman"/>
      <w:b/>
      <w:i/>
      <w:iCs/>
      <w:sz w:val="36"/>
    </w:rPr>
  </w:style>
  <w:style w:type="character" w:styleId="SubtleReference">
    <w:name w:val="Subtle Reference"/>
    <w:basedOn w:val="DefaultParagraphFont"/>
    <w:uiPriority w:val="31"/>
    <w:unhideWhenUsed/>
    <w:qFormat/>
    <w:rsid w:val="00373AAC"/>
    <w:rPr>
      <w:caps/>
      <w:smallCaps w:val="0"/>
      <w:color w:val="262626" w:themeColor="text1" w:themeTint="D9"/>
    </w:rPr>
  </w:style>
  <w:style w:type="paragraph" w:styleId="Bibliography">
    <w:name w:val="Bibliography"/>
    <w:basedOn w:val="Normal"/>
    <w:next w:val="Normal"/>
    <w:uiPriority w:val="37"/>
    <w:semiHidden/>
    <w:unhideWhenUsed/>
    <w:rsid w:val="00373AAC"/>
    <w:pPr>
      <w:tabs>
        <w:tab w:val="left" w:pos="360"/>
        <w:tab w:val="left" w:pos="720"/>
        <w:tab w:val="left" w:pos="1080"/>
      </w:tabs>
      <w:autoSpaceDE/>
      <w:autoSpaceDN/>
      <w:adjustRightInd/>
      <w:spacing w:line="264" w:lineRule="auto"/>
    </w:pPr>
    <w:rPr>
      <w:rFonts w:eastAsia="Times New Roman" w:cs="Times New Roman"/>
      <w:color w:val="auto"/>
    </w:rPr>
  </w:style>
  <w:style w:type="paragraph" w:styleId="BlockText">
    <w:name w:val="Block Text"/>
    <w:basedOn w:val="Normal"/>
    <w:uiPriority w:val="99"/>
    <w:semiHidden/>
    <w:unhideWhenUsed/>
    <w:rsid w:val="00373AA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tabs>
        <w:tab w:val="left" w:pos="360"/>
        <w:tab w:val="left" w:pos="720"/>
        <w:tab w:val="left" w:pos="1080"/>
      </w:tabs>
      <w:autoSpaceDE/>
      <w:autoSpaceDN/>
      <w:adjustRightInd/>
      <w:spacing w:line="264" w:lineRule="auto"/>
      <w:ind w:left="1152" w:right="1152"/>
    </w:pPr>
    <w:rPr>
      <w:rFonts w:eastAsiaTheme="minorEastAsia" w:cs="Times New Roman"/>
      <w:i/>
      <w:iCs/>
      <w:color w:val="4F81BD" w:themeColor="accent1"/>
    </w:rPr>
  </w:style>
  <w:style w:type="paragraph" w:styleId="BodyText2">
    <w:name w:val="Body Text 2"/>
    <w:basedOn w:val="Normal"/>
    <w:link w:val="BodyText2Char"/>
    <w:uiPriority w:val="99"/>
    <w:semiHidden/>
    <w:unhideWhenUsed/>
    <w:rsid w:val="00373AAC"/>
    <w:pPr>
      <w:tabs>
        <w:tab w:val="left" w:pos="360"/>
        <w:tab w:val="left" w:pos="720"/>
        <w:tab w:val="left" w:pos="1080"/>
      </w:tabs>
      <w:autoSpaceDE/>
      <w:autoSpaceDN/>
      <w:adjustRightInd/>
      <w:spacing w:line="480" w:lineRule="auto"/>
    </w:pPr>
    <w:rPr>
      <w:rFonts w:eastAsia="Times New Roman" w:cs="Times New Roman"/>
      <w:color w:val="auto"/>
    </w:rPr>
  </w:style>
  <w:style w:type="character" w:customStyle="1" w:styleId="BodyText2Char">
    <w:name w:val="Body Text 2 Char"/>
    <w:basedOn w:val="DefaultParagraphFont"/>
    <w:link w:val="BodyText2"/>
    <w:uiPriority w:val="99"/>
    <w:semiHidden/>
    <w:rsid w:val="00373AAC"/>
    <w:rPr>
      <w:rFonts w:eastAsia="Times New Roman" w:cs="Times New Roman"/>
    </w:rPr>
  </w:style>
  <w:style w:type="paragraph" w:styleId="BodyText3">
    <w:name w:val="Body Text 3"/>
    <w:basedOn w:val="Normal"/>
    <w:link w:val="BodyText3Char"/>
    <w:uiPriority w:val="99"/>
    <w:semiHidden/>
    <w:unhideWhenUsed/>
    <w:rsid w:val="00373AAC"/>
    <w:pPr>
      <w:tabs>
        <w:tab w:val="left" w:pos="360"/>
        <w:tab w:val="left" w:pos="720"/>
        <w:tab w:val="left" w:pos="1080"/>
      </w:tabs>
      <w:autoSpaceDE/>
      <w:autoSpaceDN/>
      <w:adjustRightInd/>
      <w:spacing w:line="264" w:lineRule="auto"/>
    </w:pPr>
    <w:rPr>
      <w:rFonts w:eastAsia="Times New Roman" w:cs="Times New Roman"/>
      <w:color w:val="auto"/>
      <w:szCs w:val="16"/>
    </w:rPr>
  </w:style>
  <w:style w:type="character" w:customStyle="1" w:styleId="BodyText3Char">
    <w:name w:val="Body Text 3 Char"/>
    <w:basedOn w:val="DefaultParagraphFont"/>
    <w:link w:val="BodyText3"/>
    <w:uiPriority w:val="99"/>
    <w:semiHidden/>
    <w:rsid w:val="00373AAC"/>
    <w:rPr>
      <w:rFonts w:eastAsia="Times New Roman" w:cs="Times New Roman"/>
      <w:szCs w:val="16"/>
    </w:rPr>
  </w:style>
  <w:style w:type="paragraph" w:styleId="BodyTextFirstIndent">
    <w:name w:val="Body Text First Indent"/>
    <w:basedOn w:val="BodyText"/>
    <w:link w:val="BodyTextFirstIndentChar"/>
    <w:uiPriority w:val="99"/>
    <w:semiHidden/>
    <w:unhideWhenUsed/>
    <w:rsid w:val="00373AAC"/>
    <w:pPr>
      <w:tabs>
        <w:tab w:val="left" w:pos="360"/>
        <w:tab w:val="left" w:pos="720"/>
        <w:tab w:val="left" w:pos="1080"/>
      </w:tabs>
      <w:autoSpaceDE/>
      <w:autoSpaceDN/>
      <w:adjustRightInd/>
      <w:spacing w:before="240" w:after="0" w:line="240" w:lineRule="auto"/>
      <w:ind w:firstLine="360"/>
    </w:pPr>
    <w:rPr>
      <w:rFonts w:eastAsia="Times New Roman" w:cs="Times New Roman"/>
      <w:color w:val="auto"/>
    </w:rPr>
  </w:style>
  <w:style w:type="character" w:customStyle="1" w:styleId="BodyTextFirstIndentChar">
    <w:name w:val="Body Text First Indent Char"/>
    <w:basedOn w:val="BodyTextChar"/>
    <w:link w:val="BodyTextFirstIndent"/>
    <w:uiPriority w:val="99"/>
    <w:semiHidden/>
    <w:rsid w:val="00373AAC"/>
    <w:rPr>
      <w:rFonts w:eastAsia="Times New Roman" w:cs="Times New Roman"/>
      <w:color w:val="000000" w:themeColor="text1"/>
    </w:rPr>
  </w:style>
  <w:style w:type="paragraph" w:styleId="BodyTextIndent">
    <w:name w:val="Body Text Indent"/>
    <w:basedOn w:val="Normal"/>
    <w:link w:val="BodyTextIndentChar"/>
    <w:uiPriority w:val="99"/>
    <w:semiHidden/>
    <w:unhideWhenUsed/>
    <w:rsid w:val="00373AAC"/>
    <w:pPr>
      <w:tabs>
        <w:tab w:val="left" w:pos="360"/>
        <w:tab w:val="left" w:pos="720"/>
        <w:tab w:val="left" w:pos="1080"/>
      </w:tabs>
      <w:autoSpaceDE/>
      <w:autoSpaceDN/>
      <w:adjustRightInd/>
      <w:spacing w:line="264" w:lineRule="auto"/>
      <w:ind w:left="283"/>
    </w:pPr>
    <w:rPr>
      <w:rFonts w:eastAsia="Times New Roman" w:cs="Times New Roman"/>
      <w:color w:val="auto"/>
    </w:rPr>
  </w:style>
  <w:style w:type="character" w:customStyle="1" w:styleId="BodyTextIndentChar">
    <w:name w:val="Body Text Indent Char"/>
    <w:basedOn w:val="DefaultParagraphFont"/>
    <w:link w:val="BodyTextIndent"/>
    <w:uiPriority w:val="99"/>
    <w:semiHidden/>
    <w:rsid w:val="00373AAC"/>
    <w:rPr>
      <w:rFonts w:eastAsia="Times New Roman" w:cs="Times New Roman"/>
    </w:rPr>
  </w:style>
  <w:style w:type="paragraph" w:styleId="BodyTextFirstIndent2">
    <w:name w:val="Body Text First Indent 2"/>
    <w:basedOn w:val="BodyTextIndent"/>
    <w:link w:val="BodyTextFirstIndent2Char"/>
    <w:uiPriority w:val="99"/>
    <w:semiHidden/>
    <w:unhideWhenUsed/>
    <w:rsid w:val="00373AAC"/>
    <w:pPr>
      <w:ind w:left="360" w:firstLine="360"/>
    </w:pPr>
  </w:style>
  <w:style w:type="character" w:customStyle="1" w:styleId="BodyTextFirstIndent2Char">
    <w:name w:val="Body Text First Indent 2 Char"/>
    <w:basedOn w:val="BodyTextIndentChar"/>
    <w:link w:val="BodyTextFirstIndent2"/>
    <w:uiPriority w:val="99"/>
    <w:semiHidden/>
    <w:rsid w:val="00373AAC"/>
    <w:rPr>
      <w:rFonts w:eastAsia="Times New Roman" w:cs="Times New Roman"/>
    </w:rPr>
  </w:style>
  <w:style w:type="paragraph" w:styleId="BodyTextIndent2">
    <w:name w:val="Body Text Indent 2"/>
    <w:basedOn w:val="Normal"/>
    <w:link w:val="BodyTextIndent2Char"/>
    <w:uiPriority w:val="99"/>
    <w:semiHidden/>
    <w:unhideWhenUsed/>
    <w:rsid w:val="00373AAC"/>
    <w:pPr>
      <w:tabs>
        <w:tab w:val="left" w:pos="360"/>
        <w:tab w:val="left" w:pos="720"/>
        <w:tab w:val="left" w:pos="1080"/>
      </w:tabs>
      <w:autoSpaceDE/>
      <w:autoSpaceDN/>
      <w:adjustRightInd/>
      <w:spacing w:line="480" w:lineRule="auto"/>
      <w:ind w:left="283"/>
    </w:pPr>
    <w:rPr>
      <w:rFonts w:eastAsia="Times New Roman" w:cs="Times New Roman"/>
      <w:color w:val="auto"/>
    </w:rPr>
  </w:style>
  <w:style w:type="character" w:customStyle="1" w:styleId="BodyTextIndent2Char">
    <w:name w:val="Body Text Indent 2 Char"/>
    <w:basedOn w:val="DefaultParagraphFont"/>
    <w:link w:val="BodyTextIndent2"/>
    <w:uiPriority w:val="99"/>
    <w:semiHidden/>
    <w:rsid w:val="00373AAC"/>
    <w:rPr>
      <w:rFonts w:eastAsia="Times New Roman" w:cs="Times New Roman"/>
    </w:rPr>
  </w:style>
  <w:style w:type="paragraph" w:styleId="BodyTextIndent3">
    <w:name w:val="Body Text Indent 3"/>
    <w:basedOn w:val="Normal"/>
    <w:link w:val="BodyTextIndent3Char"/>
    <w:uiPriority w:val="99"/>
    <w:semiHidden/>
    <w:unhideWhenUsed/>
    <w:rsid w:val="00373AAC"/>
    <w:pPr>
      <w:tabs>
        <w:tab w:val="left" w:pos="360"/>
        <w:tab w:val="left" w:pos="720"/>
        <w:tab w:val="left" w:pos="1080"/>
      </w:tabs>
      <w:autoSpaceDE/>
      <w:autoSpaceDN/>
      <w:adjustRightInd/>
      <w:spacing w:line="264" w:lineRule="auto"/>
      <w:ind w:left="283"/>
    </w:pPr>
    <w:rPr>
      <w:rFonts w:eastAsia="Times New Roman" w:cs="Times New Roman"/>
      <w:color w:val="auto"/>
      <w:szCs w:val="16"/>
    </w:rPr>
  </w:style>
  <w:style w:type="character" w:customStyle="1" w:styleId="BodyTextIndent3Char">
    <w:name w:val="Body Text Indent 3 Char"/>
    <w:basedOn w:val="DefaultParagraphFont"/>
    <w:link w:val="BodyTextIndent3"/>
    <w:uiPriority w:val="99"/>
    <w:semiHidden/>
    <w:rsid w:val="00373AAC"/>
    <w:rPr>
      <w:rFonts w:eastAsia="Times New Roman" w:cs="Times New Roman"/>
      <w:szCs w:val="16"/>
    </w:rPr>
  </w:style>
  <w:style w:type="paragraph" w:styleId="Closing">
    <w:name w:val="Closing"/>
    <w:basedOn w:val="Normal"/>
    <w:link w:val="ClosingChar"/>
    <w:uiPriority w:val="99"/>
    <w:semiHidden/>
    <w:unhideWhenUsed/>
    <w:rsid w:val="00373AAC"/>
    <w:pPr>
      <w:tabs>
        <w:tab w:val="left" w:pos="360"/>
        <w:tab w:val="left" w:pos="720"/>
        <w:tab w:val="left" w:pos="1080"/>
      </w:tabs>
      <w:autoSpaceDE/>
      <w:autoSpaceDN/>
      <w:adjustRightInd/>
      <w:spacing w:line="240" w:lineRule="auto"/>
      <w:ind w:left="4252"/>
    </w:pPr>
    <w:rPr>
      <w:rFonts w:eastAsia="Times New Roman" w:cs="Times New Roman"/>
      <w:color w:val="auto"/>
    </w:rPr>
  </w:style>
  <w:style w:type="character" w:customStyle="1" w:styleId="ClosingChar">
    <w:name w:val="Closing Char"/>
    <w:basedOn w:val="DefaultParagraphFont"/>
    <w:link w:val="Closing"/>
    <w:uiPriority w:val="99"/>
    <w:semiHidden/>
    <w:rsid w:val="00373AAC"/>
    <w:rPr>
      <w:rFonts w:eastAsia="Times New Roman" w:cs="Times New Roman"/>
    </w:rPr>
  </w:style>
  <w:style w:type="table" w:styleId="ColorfulGrid">
    <w:name w:val="Colorful Grid"/>
    <w:basedOn w:val="TableNormal"/>
    <w:uiPriority w:val="73"/>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73AAC"/>
    <w:pPr>
      <w:spacing w:line="240" w:lineRule="auto"/>
    </w:pPr>
    <w:rPr>
      <w:rFonts w:asciiTheme="minorHAnsi" w:hAnsiTheme="minorHAnsi" w:cstheme="minorBidi"/>
      <w:color w:val="000000" w:themeColor="text1"/>
      <w:sz w:val="30"/>
      <w:szCs w:val="3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73AAC"/>
    <w:pPr>
      <w:spacing w:line="240" w:lineRule="auto"/>
    </w:pPr>
    <w:rPr>
      <w:rFonts w:asciiTheme="minorHAnsi" w:hAnsiTheme="minorHAnsi" w:cstheme="minorBidi"/>
      <w:color w:val="000000" w:themeColor="text1"/>
      <w:sz w:val="30"/>
      <w:szCs w:val="3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73AAC"/>
    <w:pPr>
      <w:spacing w:line="240" w:lineRule="auto"/>
    </w:pPr>
    <w:rPr>
      <w:rFonts w:asciiTheme="minorHAnsi" w:hAnsiTheme="minorHAnsi" w:cstheme="minorBidi"/>
      <w:color w:val="FFFFFF" w:themeColor="background1"/>
      <w:sz w:val="30"/>
      <w:szCs w:val="3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73AAC"/>
    <w:pPr>
      <w:spacing w:line="240" w:lineRule="auto"/>
    </w:pPr>
    <w:rPr>
      <w:rFonts w:asciiTheme="minorHAnsi" w:hAnsiTheme="minorHAnsi" w:cstheme="minorBidi"/>
      <w:color w:val="FFFFFF" w:themeColor="background1"/>
      <w:sz w:val="30"/>
      <w:szCs w:val="3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73AAC"/>
    <w:pPr>
      <w:spacing w:line="240" w:lineRule="auto"/>
    </w:pPr>
    <w:rPr>
      <w:rFonts w:asciiTheme="minorHAnsi" w:hAnsiTheme="minorHAnsi" w:cstheme="minorBidi"/>
      <w:color w:val="FFFFFF" w:themeColor="background1"/>
      <w:sz w:val="30"/>
      <w:szCs w:val="3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73AAC"/>
    <w:pPr>
      <w:spacing w:line="240" w:lineRule="auto"/>
    </w:pPr>
    <w:rPr>
      <w:rFonts w:asciiTheme="minorHAnsi" w:hAnsiTheme="minorHAnsi" w:cstheme="minorBidi"/>
      <w:color w:val="FFFFFF" w:themeColor="background1"/>
      <w:sz w:val="30"/>
      <w:szCs w:val="3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73AAC"/>
    <w:pPr>
      <w:spacing w:line="240" w:lineRule="auto"/>
    </w:pPr>
    <w:rPr>
      <w:rFonts w:asciiTheme="minorHAnsi" w:hAnsiTheme="minorHAnsi" w:cstheme="minorBidi"/>
      <w:color w:val="FFFFFF" w:themeColor="background1"/>
      <w:sz w:val="30"/>
      <w:szCs w:val="3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73AAC"/>
    <w:pPr>
      <w:spacing w:line="240" w:lineRule="auto"/>
    </w:pPr>
    <w:rPr>
      <w:rFonts w:asciiTheme="minorHAnsi" w:hAnsiTheme="minorHAnsi" w:cstheme="minorBidi"/>
      <w:color w:val="FFFFFF" w:themeColor="background1"/>
      <w:sz w:val="30"/>
      <w:szCs w:val="3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73AAC"/>
    <w:pPr>
      <w:spacing w:line="240" w:lineRule="auto"/>
    </w:pPr>
    <w:rPr>
      <w:rFonts w:asciiTheme="minorHAnsi" w:hAnsiTheme="minorHAnsi" w:cstheme="minorBidi"/>
      <w:color w:val="FFFFFF" w:themeColor="background1"/>
      <w:sz w:val="30"/>
      <w:szCs w:val="3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73AAC"/>
    <w:pPr>
      <w:tabs>
        <w:tab w:val="left" w:pos="360"/>
        <w:tab w:val="left" w:pos="720"/>
        <w:tab w:val="left" w:pos="1080"/>
      </w:tabs>
      <w:autoSpaceDE/>
      <w:autoSpaceDN/>
      <w:adjustRightInd/>
      <w:spacing w:line="264" w:lineRule="auto"/>
    </w:pPr>
    <w:rPr>
      <w:rFonts w:eastAsia="Times New Roman" w:cs="Times New Roman"/>
      <w:color w:val="auto"/>
    </w:rPr>
  </w:style>
  <w:style w:type="character" w:customStyle="1" w:styleId="DateChar">
    <w:name w:val="Date Char"/>
    <w:basedOn w:val="DefaultParagraphFont"/>
    <w:link w:val="Date"/>
    <w:uiPriority w:val="99"/>
    <w:semiHidden/>
    <w:rsid w:val="00373AAC"/>
    <w:rPr>
      <w:rFonts w:eastAsia="Times New Roman" w:cs="Times New Roman"/>
    </w:rPr>
  </w:style>
  <w:style w:type="paragraph" w:styleId="DocumentMap">
    <w:name w:val="Document Map"/>
    <w:basedOn w:val="Normal"/>
    <w:link w:val="DocumentMapChar"/>
    <w:uiPriority w:val="2"/>
    <w:rsid w:val="00373AAC"/>
    <w:pPr>
      <w:tabs>
        <w:tab w:val="left" w:pos="360"/>
        <w:tab w:val="left" w:pos="720"/>
        <w:tab w:val="left" w:pos="1080"/>
      </w:tabs>
      <w:autoSpaceDE/>
      <w:autoSpaceDN/>
      <w:adjustRightInd/>
      <w:spacing w:line="264" w:lineRule="auto"/>
    </w:pPr>
    <w:rPr>
      <w:rFonts w:ascii="Tahoma" w:eastAsia="Times New Roman" w:hAnsi="Tahoma" w:cs="Tahoma"/>
      <w:color w:val="auto"/>
      <w:sz w:val="16"/>
      <w:szCs w:val="16"/>
    </w:rPr>
  </w:style>
  <w:style w:type="character" w:customStyle="1" w:styleId="DocumentMapChar">
    <w:name w:val="Document Map Char"/>
    <w:basedOn w:val="DefaultParagraphFont"/>
    <w:link w:val="DocumentMap"/>
    <w:uiPriority w:val="2"/>
    <w:rsid w:val="00373AAC"/>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373AAC"/>
    <w:pPr>
      <w:tabs>
        <w:tab w:val="left" w:pos="360"/>
        <w:tab w:val="left" w:pos="720"/>
        <w:tab w:val="left" w:pos="1080"/>
      </w:tabs>
      <w:autoSpaceDE/>
      <w:autoSpaceDN/>
      <w:adjustRightInd/>
      <w:spacing w:line="240" w:lineRule="auto"/>
    </w:pPr>
    <w:rPr>
      <w:rFonts w:eastAsia="Times New Roman" w:cs="Times New Roman"/>
      <w:color w:val="auto"/>
    </w:rPr>
  </w:style>
  <w:style w:type="character" w:customStyle="1" w:styleId="E-mailSignatureChar">
    <w:name w:val="E-mail Signature Char"/>
    <w:basedOn w:val="DefaultParagraphFont"/>
    <w:link w:val="E-mailSignature"/>
    <w:uiPriority w:val="99"/>
    <w:semiHidden/>
    <w:rsid w:val="00373AAC"/>
    <w:rPr>
      <w:rFonts w:eastAsia="Times New Roman" w:cs="Times New Roman"/>
    </w:rPr>
  </w:style>
  <w:style w:type="character" w:styleId="EndnoteReference">
    <w:name w:val="endnote reference"/>
    <w:basedOn w:val="DefaultParagraphFont"/>
    <w:uiPriority w:val="99"/>
    <w:unhideWhenUsed/>
    <w:rsid w:val="00373AAC"/>
    <w:rPr>
      <w:vertAlign w:val="superscript"/>
    </w:rPr>
  </w:style>
  <w:style w:type="paragraph" w:styleId="EndnoteText">
    <w:name w:val="endnote text"/>
    <w:basedOn w:val="Normal"/>
    <w:link w:val="EndnoteTextChar"/>
    <w:uiPriority w:val="99"/>
    <w:unhideWhenUsed/>
    <w:rsid w:val="00373AAC"/>
    <w:pPr>
      <w:autoSpaceDE/>
      <w:autoSpaceDN/>
      <w:adjustRightInd/>
      <w:spacing w:line="240" w:lineRule="auto"/>
    </w:pPr>
    <w:rPr>
      <w:rFonts w:ascii="Calibri" w:eastAsia="Calibri" w:hAnsi="Calibri" w:cs="Times New Roman"/>
      <w:color w:val="auto"/>
      <w:sz w:val="20"/>
    </w:rPr>
  </w:style>
  <w:style w:type="character" w:customStyle="1" w:styleId="EndnoteTextChar">
    <w:name w:val="Endnote Text Char"/>
    <w:basedOn w:val="DefaultParagraphFont"/>
    <w:link w:val="EndnoteText"/>
    <w:uiPriority w:val="99"/>
    <w:rsid w:val="00373AAC"/>
    <w:rPr>
      <w:rFonts w:ascii="Calibri" w:eastAsia="Calibri" w:hAnsi="Calibri" w:cs="Times New Roman"/>
      <w:sz w:val="20"/>
    </w:rPr>
  </w:style>
  <w:style w:type="paragraph" w:styleId="EnvelopeAddress">
    <w:name w:val="envelope address"/>
    <w:basedOn w:val="Normal"/>
    <w:uiPriority w:val="99"/>
    <w:semiHidden/>
    <w:unhideWhenUsed/>
    <w:rsid w:val="00373AAC"/>
    <w:pPr>
      <w:framePr w:w="7920" w:h="1980" w:hRule="exact" w:hSpace="180" w:wrap="auto" w:hAnchor="page" w:xAlign="center" w:yAlign="bottom"/>
      <w:tabs>
        <w:tab w:val="left" w:pos="360"/>
        <w:tab w:val="left" w:pos="720"/>
        <w:tab w:val="left" w:pos="1080"/>
      </w:tabs>
      <w:autoSpaceDE/>
      <w:autoSpaceDN/>
      <w:adjustRightInd/>
      <w:spacing w:line="240" w:lineRule="auto"/>
      <w:ind w:left="2880"/>
    </w:pPr>
    <w:rPr>
      <w:rFonts w:asciiTheme="majorHAnsi" w:eastAsiaTheme="majorEastAsia" w:hAnsiTheme="majorHAnsi" w:cstheme="majorBidi"/>
      <w:color w:val="auto"/>
      <w:sz w:val="24"/>
      <w:szCs w:val="24"/>
    </w:rPr>
  </w:style>
  <w:style w:type="paragraph" w:styleId="EnvelopeReturn">
    <w:name w:val="envelope return"/>
    <w:basedOn w:val="Normal"/>
    <w:uiPriority w:val="99"/>
    <w:semiHidden/>
    <w:unhideWhenUsed/>
    <w:rsid w:val="00373AAC"/>
    <w:pPr>
      <w:tabs>
        <w:tab w:val="left" w:pos="360"/>
        <w:tab w:val="left" w:pos="720"/>
        <w:tab w:val="left" w:pos="1080"/>
      </w:tabs>
      <w:autoSpaceDE/>
      <w:autoSpaceDN/>
      <w:adjustRightInd/>
      <w:spacing w:line="240" w:lineRule="auto"/>
    </w:pPr>
    <w:rPr>
      <w:rFonts w:asciiTheme="majorHAnsi" w:eastAsiaTheme="majorEastAsia" w:hAnsiTheme="majorHAnsi" w:cstheme="majorBidi"/>
      <w:color w:val="auto"/>
      <w:szCs w:val="20"/>
    </w:rPr>
  </w:style>
  <w:style w:type="table" w:styleId="GridTable1Light">
    <w:name w:val="Grid Table 1 Light"/>
    <w:basedOn w:val="TableNormal"/>
    <w:uiPriority w:val="46"/>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73AAC"/>
    <w:pPr>
      <w:spacing w:line="240" w:lineRule="auto"/>
    </w:pPr>
    <w:rPr>
      <w:rFonts w:asciiTheme="minorHAnsi" w:hAnsiTheme="minorHAnsi" w:cstheme="minorBidi"/>
      <w:color w:val="365F91" w:themeColor="accent1" w:themeShade="BF"/>
      <w:sz w:val="30"/>
      <w:szCs w:val="3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73AAC"/>
    <w:pPr>
      <w:spacing w:line="240" w:lineRule="auto"/>
    </w:pPr>
    <w:rPr>
      <w:rFonts w:asciiTheme="minorHAnsi" w:hAnsiTheme="minorHAnsi" w:cstheme="minorBidi"/>
      <w:color w:val="943634" w:themeColor="accent2" w:themeShade="BF"/>
      <w:sz w:val="30"/>
      <w:szCs w:val="3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73AAC"/>
    <w:pPr>
      <w:spacing w:line="240" w:lineRule="auto"/>
    </w:pPr>
    <w:rPr>
      <w:rFonts w:asciiTheme="minorHAnsi" w:hAnsiTheme="minorHAnsi" w:cstheme="minorBidi"/>
      <w:color w:val="76923C" w:themeColor="accent3" w:themeShade="BF"/>
      <w:sz w:val="30"/>
      <w:szCs w:val="3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73AAC"/>
    <w:pPr>
      <w:spacing w:line="240" w:lineRule="auto"/>
    </w:pPr>
    <w:rPr>
      <w:rFonts w:asciiTheme="minorHAnsi" w:hAnsiTheme="minorHAnsi" w:cstheme="minorBidi"/>
      <w:color w:val="5F497A" w:themeColor="accent4" w:themeShade="BF"/>
      <w:sz w:val="30"/>
      <w:szCs w:val="3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73AAC"/>
    <w:pPr>
      <w:spacing w:line="240" w:lineRule="auto"/>
    </w:pPr>
    <w:rPr>
      <w:rFonts w:asciiTheme="minorHAnsi" w:hAnsiTheme="minorHAnsi" w:cstheme="minorBidi"/>
      <w:color w:val="31849B" w:themeColor="accent5" w:themeShade="BF"/>
      <w:sz w:val="30"/>
      <w:szCs w:val="3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73AAC"/>
    <w:pPr>
      <w:spacing w:line="240" w:lineRule="auto"/>
    </w:pPr>
    <w:rPr>
      <w:rFonts w:asciiTheme="minorHAnsi" w:hAnsiTheme="minorHAnsi" w:cstheme="minorBidi"/>
      <w:color w:val="E36C0A" w:themeColor="accent6" w:themeShade="BF"/>
      <w:sz w:val="30"/>
      <w:szCs w:val="3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73AAC"/>
    <w:pPr>
      <w:spacing w:line="240" w:lineRule="auto"/>
    </w:pPr>
    <w:rPr>
      <w:rFonts w:asciiTheme="minorHAnsi" w:hAnsiTheme="minorHAnsi" w:cstheme="minorBidi"/>
      <w:color w:val="365F91" w:themeColor="accent1" w:themeShade="BF"/>
      <w:sz w:val="30"/>
      <w:szCs w:val="3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73AAC"/>
    <w:pPr>
      <w:spacing w:line="240" w:lineRule="auto"/>
    </w:pPr>
    <w:rPr>
      <w:rFonts w:asciiTheme="minorHAnsi" w:hAnsiTheme="minorHAnsi" w:cstheme="minorBidi"/>
      <w:color w:val="943634" w:themeColor="accent2" w:themeShade="BF"/>
      <w:sz w:val="30"/>
      <w:szCs w:val="3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73AAC"/>
    <w:pPr>
      <w:spacing w:line="240" w:lineRule="auto"/>
    </w:pPr>
    <w:rPr>
      <w:rFonts w:asciiTheme="minorHAnsi" w:hAnsiTheme="minorHAnsi" w:cstheme="minorBidi"/>
      <w:color w:val="76923C" w:themeColor="accent3" w:themeShade="BF"/>
      <w:sz w:val="30"/>
      <w:szCs w:val="3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73AAC"/>
    <w:pPr>
      <w:spacing w:line="240" w:lineRule="auto"/>
    </w:pPr>
    <w:rPr>
      <w:rFonts w:asciiTheme="minorHAnsi" w:hAnsiTheme="minorHAnsi" w:cstheme="minorBidi"/>
      <w:color w:val="5F497A" w:themeColor="accent4" w:themeShade="BF"/>
      <w:sz w:val="30"/>
      <w:szCs w:val="3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73AAC"/>
    <w:pPr>
      <w:spacing w:line="240" w:lineRule="auto"/>
    </w:pPr>
    <w:rPr>
      <w:rFonts w:asciiTheme="minorHAnsi" w:hAnsiTheme="minorHAnsi" w:cstheme="minorBidi"/>
      <w:color w:val="31849B" w:themeColor="accent5" w:themeShade="BF"/>
      <w:sz w:val="30"/>
      <w:szCs w:val="3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73AAC"/>
    <w:pPr>
      <w:spacing w:line="240" w:lineRule="auto"/>
    </w:pPr>
    <w:rPr>
      <w:rFonts w:asciiTheme="minorHAnsi" w:hAnsiTheme="minorHAnsi" w:cstheme="minorBidi"/>
      <w:color w:val="E36C0A" w:themeColor="accent6" w:themeShade="BF"/>
      <w:sz w:val="30"/>
      <w:szCs w:val="3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73AAC"/>
    <w:rPr>
      <w:color w:val="2B579A"/>
      <w:shd w:val="clear" w:color="auto" w:fill="E6E6E6"/>
    </w:rPr>
  </w:style>
  <w:style w:type="character" w:styleId="HTMLAcronym">
    <w:name w:val="HTML Acronym"/>
    <w:basedOn w:val="DefaultParagraphFont"/>
    <w:uiPriority w:val="99"/>
    <w:semiHidden/>
    <w:unhideWhenUsed/>
    <w:rsid w:val="00373AAC"/>
  </w:style>
  <w:style w:type="paragraph" w:styleId="HTMLAddress">
    <w:name w:val="HTML Address"/>
    <w:basedOn w:val="Normal"/>
    <w:link w:val="HTMLAddressChar"/>
    <w:uiPriority w:val="99"/>
    <w:semiHidden/>
    <w:unhideWhenUsed/>
    <w:rsid w:val="00373AAC"/>
    <w:pPr>
      <w:tabs>
        <w:tab w:val="left" w:pos="360"/>
        <w:tab w:val="left" w:pos="720"/>
        <w:tab w:val="left" w:pos="1080"/>
      </w:tabs>
      <w:autoSpaceDE/>
      <w:autoSpaceDN/>
      <w:adjustRightInd/>
      <w:spacing w:line="240" w:lineRule="auto"/>
    </w:pPr>
    <w:rPr>
      <w:rFonts w:eastAsia="Times New Roman" w:cs="Times New Roman"/>
      <w:i/>
      <w:iCs/>
      <w:color w:val="auto"/>
    </w:rPr>
  </w:style>
  <w:style w:type="character" w:customStyle="1" w:styleId="HTMLAddressChar">
    <w:name w:val="HTML Address Char"/>
    <w:basedOn w:val="DefaultParagraphFont"/>
    <w:link w:val="HTMLAddress"/>
    <w:uiPriority w:val="99"/>
    <w:semiHidden/>
    <w:rsid w:val="00373AAC"/>
    <w:rPr>
      <w:rFonts w:eastAsia="Times New Roman" w:cs="Times New Roman"/>
      <w:i/>
      <w:iCs/>
    </w:rPr>
  </w:style>
  <w:style w:type="character" w:styleId="HTMLCode">
    <w:name w:val="HTML Code"/>
    <w:basedOn w:val="DefaultParagraphFont"/>
    <w:uiPriority w:val="99"/>
    <w:semiHidden/>
    <w:unhideWhenUsed/>
    <w:rsid w:val="00373AAC"/>
    <w:rPr>
      <w:rFonts w:ascii="Consolas" w:hAnsi="Consolas"/>
      <w:sz w:val="22"/>
      <w:szCs w:val="20"/>
    </w:rPr>
  </w:style>
  <w:style w:type="character" w:styleId="HTMLDefinition">
    <w:name w:val="HTML Definition"/>
    <w:basedOn w:val="DefaultParagraphFont"/>
    <w:uiPriority w:val="99"/>
    <w:semiHidden/>
    <w:unhideWhenUsed/>
    <w:rsid w:val="00373AAC"/>
    <w:rPr>
      <w:i/>
      <w:iCs/>
    </w:rPr>
  </w:style>
  <w:style w:type="character" w:styleId="HTMLKeyboard">
    <w:name w:val="HTML Keyboard"/>
    <w:basedOn w:val="DefaultParagraphFont"/>
    <w:uiPriority w:val="99"/>
    <w:semiHidden/>
    <w:unhideWhenUsed/>
    <w:rsid w:val="00373AAC"/>
    <w:rPr>
      <w:rFonts w:ascii="Consolas" w:hAnsi="Consolas"/>
      <w:sz w:val="22"/>
      <w:szCs w:val="20"/>
    </w:rPr>
  </w:style>
  <w:style w:type="character" w:styleId="HTMLSample">
    <w:name w:val="HTML Sample"/>
    <w:basedOn w:val="DefaultParagraphFont"/>
    <w:uiPriority w:val="99"/>
    <w:semiHidden/>
    <w:unhideWhenUsed/>
    <w:rsid w:val="00373AAC"/>
    <w:rPr>
      <w:rFonts w:ascii="Consolas" w:hAnsi="Consolas"/>
      <w:sz w:val="24"/>
      <w:szCs w:val="24"/>
    </w:rPr>
  </w:style>
  <w:style w:type="character" w:styleId="HTMLTypewriter">
    <w:name w:val="HTML Typewriter"/>
    <w:basedOn w:val="DefaultParagraphFont"/>
    <w:uiPriority w:val="99"/>
    <w:semiHidden/>
    <w:unhideWhenUsed/>
    <w:rsid w:val="00373AAC"/>
    <w:rPr>
      <w:rFonts w:ascii="Consolas" w:hAnsi="Consolas"/>
      <w:sz w:val="22"/>
      <w:szCs w:val="20"/>
    </w:rPr>
  </w:style>
  <w:style w:type="character" w:styleId="HTMLVariable">
    <w:name w:val="HTML Variable"/>
    <w:basedOn w:val="DefaultParagraphFont"/>
    <w:uiPriority w:val="99"/>
    <w:semiHidden/>
    <w:unhideWhenUsed/>
    <w:rsid w:val="00373AAC"/>
    <w:rPr>
      <w:i/>
      <w:iCs/>
    </w:rPr>
  </w:style>
  <w:style w:type="paragraph" w:styleId="Index1">
    <w:name w:val="index 1"/>
    <w:basedOn w:val="Normal"/>
    <w:next w:val="Normal"/>
    <w:autoRedefine/>
    <w:uiPriority w:val="99"/>
    <w:semiHidden/>
    <w:unhideWhenUsed/>
    <w:rsid w:val="00373AAC"/>
    <w:pPr>
      <w:tabs>
        <w:tab w:val="left" w:pos="360"/>
        <w:tab w:val="left" w:pos="720"/>
        <w:tab w:val="left" w:pos="1080"/>
      </w:tabs>
      <w:autoSpaceDE/>
      <w:autoSpaceDN/>
      <w:adjustRightInd/>
      <w:spacing w:line="240" w:lineRule="auto"/>
      <w:ind w:left="300" w:hanging="300"/>
    </w:pPr>
    <w:rPr>
      <w:rFonts w:eastAsia="Times New Roman" w:cs="Times New Roman"/>
      <w:color w:val="auto"/>
    </w:rPr>
  </w:style>
  <w:style w:type="paragraph" w:styleId="Index2">
    <w:name w:val="index 2"/>
    <w:basedOn w:val="Normal"/>
    <w:next w:val="Normal"/>
    <w:autoRedefine/>
    <w:uiPriority w:val="99"/>
    <w:semiHidden/>
    <w:unhideWhenUsed/>
    <w:rsid w:val="00373AAC"/>
    <w:pPr>
      <w:tabs>
        <w:tab w:val="left" w:pos="360"/>
        <w:tab w:val="left" w:pos="720"/>
        <w:tab w:val="left" w:pos="1080"/>
      </w:tabs>
      <w:autoSpaceDE/>
      <w:autoSpaceDN/>
      <w:adjustRightInd/>
      <w:spacing w:line="240" w:lineRule="auto"/>
      <w:ind w:left="600" w:hanging="300"/>
    </w:pPr>
    <w:rPr>
      <w:rFonts w:eastAsia="Times New Roman" w:cs="Times New Roman"/>
      <w:color w:val="auto"/>
    </w:rPr>
  </w:style>
  <w:style w:type="paragraph" w:styleId="Index3">
    <w:name w:val="index 3"/>
    <w:basedOn w:val="Normal"/>
    <w:next w:val="Normal"/>
    <w:autoRedefine/>
    <w:uiPriority w:val="99"/>
    <w:semiHidden/>
    <w:unhideWhenUsed/>
    <w:rsid w:val="00373AAC"/>
    <w:pPr>
      <w:tabs>
        <w:tab w:val="left" w:pos="360"/>
        <w:tab w:val="left" w:pos="720"/>
        <w:tab w:val="left" w:pos="1080"/>
      </w:tabs>
      <w:autoSpaceDE/>
      <w:autoSpaceDN/>
      <w:adjustRightInd/>
      <w:spacing w:line="240" w:lineRule="auto"/>
      <w:ind w:left="900" w:hanging="300"/>
    </w:pPr>
    <w:rPr>
      <w:rFonts w:eastAsia="Times New Roman" w:cs="Times New Roman"/>
      <w:color w:val="auto"/>
    </w:rPr>
  </w:style>
  <w:style w:type="paragraph" w:styleId="Index4">
    <w:name w:val="index 4"/>
    <w:basedOn w:val="Normal"/>
    <w:next w:val="Normal"/>
    <w:autoRedefine/>
    <w:uiPriority w:val="99"/>
    <w:semiHidden/>
    <w:unhideWhenUsed/>
    <w:rsid w:val="00373AAC"/>
    <w:pPr>
      <w:tabs>
        <w:tab w:val="left" w:pos="360"/>
        <w:tab w:val="left" w:pos="720"/>
        <w:tab w:val="left" w:pos="1080"/>
      </w:tabs>
      <w:autoSpaceDE/>
      <w:autoSpaceDN/>
      <w:adjustRightInd/>
      <w:spacing w:line="240" w:lineRule="auto"/>
      <w:ind w:left="1200" w:hanging="300"/>
    </w:pPr>
    <w:rPr>
      <w:rFonts w:eastAsia="Times New Roman" w:cs="Times New Roman"/>
      <w:color w:val="auto"/>
    </w:rPr>
  </w:style>
  <w:style w:type="paragraph" w:styleId="Index5">
    <w:name w:val="index 5"/>
    <w:basedOn w:val="Normal"/>
    <w:next w:val="Normal"/>
    <w:autoRedefine/>
    <w:uiPriority w:val="99"/>
    <w:semiHidden/>
    <w:unhideWhenUsed/>
    <w:rsid w:val="00373AAC"/>
    <w:pPr>
      <w:tabs>
        <w:tab w:val="left" w:pos="360"/>
        <w:tab w:val="left" w:pos="720"/>
        <w:tab w:val="left" w:pos="1080"/>
      </w:tabs>
      <w:autoSpaceDE/>
      <w:autoSpaceDN/>
      <w:adjustRightInd/>
      <w:spacing w:line="240" w:lineRule="auto"/>
      <w:ind w:left="1500" w:hanging="300"/>
    </w:pPr>
    <w:rPr>
      <w:rFonts w:eastAsia="Times New Roman" w:cs="Times New Roman"/>
      <w:color w:val="auto"/>
    </w:rPr>
  </w:style>
  <w:style w:type="paragraph" w:styleId="Index6">
    <w:name w:val="index 6"/>
    <w:basedOn w:val="Normal"/>
    <w:next w:val="Normal"/>
    <w:autoRedefine/>
    <w:uiPriority w:val="99"/>
    <w:semiHidden/>
    <w:unhideWhenUsed/>
    <w:rsid w:val="00373AAC"/>
    <w:pPr>
      <w:tabs>
        <w:tab w:val="left" w:pos="360"/>
        <w:tab w:val="left" w:pos="720"/>
        <w:tab w:val="left" w:pos="1080"/>
      </w:tabs>
      <w:autoSpaceDE/>
      <w:autoSpaceDN/>
      <w:adjustRightInd/>
      <w:spacing w:line="240" w:lineRule="auto"/>
      <w:ind w:left="1800" w:hanging="300"/>
    </w:pPr>
    <w:rPr>
      <w:rFonts w:eastAsia="Times New Roman" w:cs="Times New Roman"/>
      <w:color w:val="auto"/>
    </w:rPr>
  </w:style>
  <w:style w:type="paragraph" w:styleId="Index7">
    <w:name w:val="index 7"/>
    <w:basedOn w:val="Normal"/>
    <w:next w:val="Normal"/>
    <w:autoRedefine/>
    <w:uiPriority w:val="99"/>
    <w:semiHidden/>
    <w:unhideWhenUsed/>
    <w:rsid w:val="00373AAC"/>
    <w:pPr>
      <w:tabs>
        <w:tab w:val="left" w:pos="360"/>
        <w:tab w:val="left" w:pos="720"/>
        <w:tab w:val="left" w:pos="1080"/>
      </w:tabs>
      <w:autoSpaceDE/>
      <w:autoSpaceDN/>
      <w:adjustRightInd/>
      <w:spacing w:line="240" w:lineRule="auto"/>
      <w:ind w:left="2100" w:hanging="300"/>
    </w:pPr>
    <w:rPr>
      <w:rFonts w:eastAsia="Times New Roman" w:cs="Times New Roman"/>
      <w:color w:val="auto"/>
    </w:rPr>
  </w:style>
  <w:style w:type="paragraph" w:styleId="Index8">
    <w:name w:val="index 8"/>
    <w:basedOn w:val="Normal"/>
    <w:next w:val="Normal"/>
    <w:autoRedefine/>
    <w:uiPriority w:val="99"/>
    <w:semiHidden/>
    <w:unhideWhenUsed/>
    <w:rsid w:val="00373AAC"/>
    <w:pPr>
      <w:tabs>
        <w:tab w:val="left" w:pos="360"/>
        <w:tab w:val="left" w:pos="720"/>
        <w:tab w:val="left" w:pos="1080"/>
      </w:tabs>
      <w:autoSpaceDE/>
      <w:autoSpaceDN/>
      <w:adjustRightInd/>
      <w:spacing w:line="240" w:lineRule="auto"/>
      <w:ind w:left="2400" w:hanging="300"/>
    </w:pPr>
    <w:rPr>
      <w:rFonts w:eastAsia="Times New Roman" w:cs="Times New Roman"/>
      <w:color w:val="auto"/>
    </w:rPr>
  </w:style>
  <w:style w:type="paragraph" w:styleId="Index9">
    <w:name w:val="index 9"/>
    <w:basedOn w:val="Normal"/>
    <w:next w:val="Normal"/>
    <w:autoRedefine/>
    <w:uiPriority w:val="99"/>
    <w:semiHidden/>
    <w:unhideWhenUsed/>
    <w:rsid w:val="00373AAC"/>
    <w:pPr>
      <w:tabs>
        <w:tab w:val="left" w:pos="360"/>
        <w:tab w:val="left" w:pos="720"/>
        <w:tab w:val="left" w:pos="1080"/>
      </w:tabs>
      <w:autoSpaceDE/>
      <w:autoSpaceDN/>
      <w:adjustRightInd/>
      <w:spacing w:line="240" w:lineRule="auto"/>
      <w:ind w:left="2700" w:hanging="300"/>
    </w:pPr>
    <w:rPr>
      <w:rFonts w:eastAsia="Times New Roman" w:cs="Times New Roman"/>
      <w:color w:val="auto"/>
    </w:rPr>
  </w:style>
  <w:style w:type="paragraph" w:styleId="IndexHeading">
    <w:name w:val="index heading"/>
    <w:basedOn w:val="Normal"/>
    <w:next w:val="Index1"/>
    <w:uiPriority w:val="99"/>
    <w:semiHidden/>
    <w:unhideWhenUsed/>
    <w:rsid w:val="00373AAC"/>
    <w:pPr>
      <w:tabs>
        <w:tab w:val="left" w:pos="360"/>
        <w:tab w:val="left" w:pos="720"/>
        <w:tab w:val="left" w:pos="1080"/>
      </w:tabs>
      <w:autoSpaceDE/>
      <w:autoSpaceDN/>
      <w:adjustRightInd/>
      <w:spacing w:line="264" w:lineRule="auto"/>
    </w:pPr>
    <w:rPr>
      <w:rFonts w:asciiTheme="majorHAnsi" w:eastAsiaTheme="majorEastAsia" w:hAnsiTheme="majorHAnsi" w:cstheme="majorBidi"/>
      <w:b/>
      <w:bCs/>
      <w:color w:val="auto"/>
    </w:rPr>
  </w:style>
  <w:style w:type="table" w:styleId="LightGrid">
    <w:name w:val="Light Grid"/>
    <w:basedOn w:val="TableNormal"/>
    <w:uiPriority w:val="62"/>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73AAC"/>
    <w:pPr>
      <w:spacing w:line="240" w:lineRule="auto"/>
    </w:pPr>
    <w:rPr>
      <w:rFonts w:asciiTheme="minorHAnsi" w:hAnsiTheme="minorHAnsi" w:cstheme="minorBidi"/>
      <w:color w:val="000000" w:themeColor="text1" w:themeShade="BF"/>
      <w:sz w:val="30"/>
      <w:szCs w:val="3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73AAC"/>
    <w:pPr>
      <w:spacing w:line="240" w:lineRule="auto"/>
    </w:pPr>
    <w:rPr>
      <w:rFonts w:asciiTheme="minorHAnsi" w:hAnsiTheme="minorHAnsi" w:cstheme="minorBidi"/>
      <w:color w:val="365F91" w:themeColor="accent1" w:themeShade="BF"/>
      <w:sz w:val="30"/>
      <w:szCs w:val="3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73AAC"/>
    <w:pPr>
      <w:spacing w:line="240" w:lineRule="auto"/>
    </w:pPr>
    <w:rPr>
      <w:rFonts w:asciiTheme="minorHAnsi" w:hAnsiTheme="minorHAnsi" w:cstheme="minorBidi"/>
      <w:color w:val="943634" w:themeColor="accent2" w:themeShade="BF"/>
      <w:sz w:val="30"/>
      <w:szCs w:val="3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73AAC"/>
    <w:pPr>
      <w:spacing w:line="240" w:lineRule="auto"/>
    </w:pPr>
    <w:rPr>
      <w:rFonts w:asciiTheme="minorHAnsi" w:hAnsiTheme="minorHAnsi" w:cstheme="minorBidi"/>
      <w:color w:val="76923C" w:themeColor="accent3" w:themeShade="BF"/>
      <w:sz w:val="30"/>
      <w:szCs w:val="3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73AAC"/>
    <w:pPr>
      <w:spacing w:line="240" w:lineRule="auto"/>
    </w:pPr>
    <w:rPr>
      <w:rFonts w:asciiTheme="minorHAnsi" w:hAnsiTheme="minorHAnsi" w:cstheme="minorBidi"/>
      <w:color w:val="5F497A" w:themeColor="accent4" w:themeShade="BF"/>
      <w:sz w:val="30"/>
      <w:szCs w:val="3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73AAC"/>
    <w:pPr>
      <w:spacing w:line="240" w:lineRule="auto"/>
    </w:pPr>
    <w:rPr>
      <w:rFonts w:asciiTheme="minorHAnsi" w:hAnsiTheme="minorHAnsi" w:cstheme="minorBidi"/>
      <w:color w:val="31849B" w:themeColor="accent5" w:themeShade="BF"/>
      <w:sz w:val="30"/>
      <w:szCs w:val="3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73AAC"/>
    <w:pPr>
      <w:spacing w:line="240" w:lineRule="auto"/>
    </w:pPr>
    <w:rPr>
      <w:rFonts w:asciiTheme="minorHAnsi" w:hAnsiTheme="minorHAnsi" w:cstheme="minorBidi"/>
      <w:color w:val="E36C0A" w:themeColor="accent6" w:themeShade="BF"/>
      <w:sz w:val="30"/>
      <w:szCs w:val="3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unhideWhenUsed/>
    <w:rsid w:val="00373AAC"/>
    <w:rPr>
      <w:rFonts w:ascii="Arial" w:hAnsi="Arial"/>
      <w:sz w:val="22"/>
    </w:rPr>
  </w:style>
  <w:style w:type="paragraph" w:styleId="List2">
    <w:name w:val="List 2"/>
    <w:basedOn w:val="Normal"/>
    <w:uiPriority w:val="99"/>
    <w:semiHidden/>
    <w:unhideWhenUsed/>
    <w:rsid w:val="00373AAC"/>
    <w:pPr>
      <w:tabs>
        <w:tab w:val="left" w:pos="360"/>
        <w:tab w:val="left" w:pos="720"/>
        <w:tab w:val="left" w:pos="1080"/>
      </w:tabs>
      <w:autoSpaceDE/>
      <w:autoSpaceDN/>
      <w:adjustRightInd/>
      <w:spacing w:line="264" w:lineRule="auto"/>
      <w:ind w:left="566" w:hanging="283"/>
      <w:contextualSpacing/>
    </w:pPr>
    <w:rPr>
      <w:rFonts w:eastAsia="Times New Roman" w:cs="Times New Roman"/>
      <w:color w:val="auto"/>
    </w:rPr>
  </w:style>
  <w:style w:type="paragraph" w:styleId="List3">
    <w:name w:val="List 3"/>
    <w:basedOn w:val="Normal"/>
    <w:uiPriority w:val="99"/>
    <w:semiHidden/>
    <w:unhideWhenUsed/>
    <w:rsid w:val="00373AAC"/>
    <w:pPr>
      <w:tabs>
        <w:tab w:val="left" w:pos="360"/>
        <w:tab w:val="left" w:pos="720"/>
        <w:tab w:val="left" w:pos="1080"/>
      </w:tabs>
      <w:autoSpaceDE/>
      <w:autoSpaceDN/>
      <w:adjustRightInd/>
      <w:spacing w:line="264" w:lineRule="auto"/>
      <w:ind w:left="849" w:hanging="283"/>
      <w:contextualSpacing/>
    </w:pPr>
    <w:rPr>
      <w:rFonts w:eastAsia="Times New Roman" w:cs="Times New Roman"/>
      <w:color w:val="auto"/>
    </w:rPr>
  </w:style>
  <w:style w:type="paragraph" w:styleId="List4">
    <w:name w:val="List 4"/>
    <w:basedOn w:val="Normal"/>
    <w:uiPriority w:val="99"/>
    <w:semiHidden/>
    <w:unhideWhenUsed/>
    <w:rsid w:val="00373AAC"/>
    <w:pPr>
      <w:tabs>
        <w:tab w:val="left" w:pos="360"/>
        <w:tab w:val="left" w:pos="720"/>
        <w:tab w:val="left" w:pos="1080"/>
      </w:tabs>
      <w:autoSpaceDE/>
      <w:autoSpaceDN/>
      <w:adjustRightInd/>
      <w:spacing w:line="264" w:lineRule="auto"/>
      <w:ind w:left="1132" w:hanging="283"/>
      <w:contextualSpacing/>
    </w:pPr>
    <w:rPr>
      <w:rFonts w:eastAsia="Times New Roman" w:cs="Times New Roman"/>
      <w:color w:val="auto"/>
    </w:rPr>
  </w:style>
  <w:style w:type="paragraph" w:styleId="List5">
    <w:name w:val="List 5"/>
    <w:basedOn w:val="Normal"/>
    <w:uiPriority w:val="99"/>
    <w:semiHidden/>
    <w:unhideWhenUsed/>
    <w:rsid w:val="00373AAC"/>
    <w:pPr>
      <w:tabs>
        <w:tab w:val="left" w:pos="360"/>
        <w:tab w:val="left" w:pos="720"/>
        <w:tab w:val="left" w:pos="1080"/>
      </w:tabs>
      <w:autoSpaceDE/>
      <w:autoSpaceDN/>
      <w:adjustRightInd/>
      <w:spacing w:line="264" w:lineRule="auto"/>
      <w:ind w:left="1415" w:hanging="283"/>
      <w:contextualSpacing/>
    </w:pPr>
    <w:rPr>
      <w:rFonts w:eastAsia="Times New Roman" w:cs="Times New Roman"/>
      <w:color w:val="auto"/>
    </w:rPr>
  </w:style>
  <w:style w:type="paragraph" w:styleId="ListBullet2">
    <w:name w:val="List Bullet 2"/>
    <w:basedOn w:val="ListBullet"/>
    <w:qFormat/>
    <w:rsid w:val="00373AAC"/>
    <w:pPr>
      <w:numPr>
        <w:numId w:val="10"/>
      </w:numPr>
    </w:pPr>
  </w:style>
  <w:style w:type="paragraph" w:styleId="ListBullet3">
    <w:name w:val="List Bullet 3"/>
    <w:basedOn w:val="ListBullet2"/>
    <w:qFormat/>
    <w:rsid w:val="00373AAC"/>
    <w:pPr>
      <w:numPr>
        <w:numId w:val="17"/>
      </w:numPr>
      <w:tabs>
        <w:tab w:val="num" w:pos="720"/>
      </w:tabs>
    </w:pPr>
  </w:style>
  <w:style w:type="paragraph" w:styleId="ListBullet4">
    <w:name w:val="List Bullet 4"/>
    <w:basedOn w:val="Normal"/>
    <w:uiPriority w:val="99"/>
    <w:semiHidden/>
    <w:unhideWhenUsed/>
    <w:rsid w:val="00373AAC"/>
    <w:pPr>
      <w:numPr>
        <w:numId w:val="11"/>
      </w:numPr>
      <w:tabs>
        <w:tab w:val="left" w:pos="360"/>
        <w:tab w:val="left" w:pos="720"/>
        <w:tab w:val="left" w:pos="1080"/>
      </w:tabs>
      <w:autoSpaceDE/>
      <w:autoSpaceDN/>
      <w:adjustRightInd/>
      <w:spacing w:line="264" w:lineRule="auto"/>
      <w:contextualSpacing/>
    </w:pPr>
    <w:rPr>
      <w:rFonts w:eastAsia="Times New Roman" w:cs="Times New Roman"/>
      <w:color w:val="auto"/>
    </w:rPr>
  </w:style>
  <w:style w:type="paragraph" w:styleId="ListBullet5">
    <w:name w:val="List Bullet 5"/>
    <w:basedOn w:val="Normal"/>
    <w:uiPriority w:val="99"/>
    <w:semiHidden/>
    <w:unhideWhenUsed/>
    <w:rsid w:val="00373AAC"/>
    <w:pPr>
      <w:numPr>
        <w:numId w:val="12"/>
      </w:numPr>
      <w:tabs>
        <w:tab w:val="left" w:pos="360"/>
        <w:tab w:val="left" w:pos="720"/>
        <w:tab w:val="left" w:pos="1080"/>
      </w:tabs>
      <w:autoSpaceDE/>
      <w:autoSpaceDN/>
      <w:adjustRightInd/>
      <w:spacing w:line="264" w:lineRule="auto"/>
      <w:contextualSpacing/>
    </w:pPr>
    <w:rPr>
      <w:rFonts w:eastAsia="Times New Roman" w:cs="Times New Roman"/>
      <w:color w:val="auto"/>
    </w:rPr>
  </w:style>
  <w:style w:type="paragraph" w:styleId="ListContinue">
    <w:name w:val="List Continue"/>
    <w:basedOn w:val="Normal"/>
    <w:uiPriority w:val="99"/>
    <w:semiHidden/>
    <w:unhideWhenUsed/>
    <w:rsid w:val="00373AAC"/>
    <w:pPr>
      <w:tabs>
        <w:tab w:val="left" w:pos="360"/>
        <w:tab w:val="left" w:pos="720"/>
        <w:tab w:val="left" w:pos="1080"/>
      </w:tabs>
      <w:autoSpaceDE/>
      <w:autoSpaceDN/>
      <w:adjustRightInd/>
      <w:spacing w:line="264" w:lineRule="auto"/>
      <w:ind w:left="283"/>
      <w:contextualSpacing/>
    </w:pPr>
    <w:rPr>
      <w:rFonts w:eastAsia="Times New Roman" w:cs="Times New Roman"/>
      <w:color w:val="auto"/>
    </w:rPr>
  </w:style>
  <w:style w:type="paragraph" w:styleId="ListContinue2">
    <w:name w:val="List Continue 2"/>
    <w:basedOn w:val="Normal"/>
    <w:uiPriority w:val="99"/>
    <w:semiHidden/>
    <w:unhideWhenUsed/>
    <w:rsid w:val="00373AAC"/>
    <w:pPr>
      <w:tabs>
        <w:tab w:val="left" w:pos="360"/>
        <w:tab w:val="left" w:pos="720"/>
        <w:tab w:val="left" w:pos="1080"/>
      </w:tabs>
      <w:autoSpaceDE/>
      <w:autoSpaceDN/>
      <w:adjustRightInd/>
      <w:spacing w:line="264" w:lineRule="auto"/>
      <w:ind w:left="566"/>
      <w:contextualSpacing/>
    </w:pPr>
    <w:rPr>
      <w:rFonts w:eastAsia="Times New Roman" w:cs="Times New Roman"/>
      <w:color w:val="auto"/>
    </w:rPr>
  </w:style>
  <w:style w:type="paragraph" w:styleId="ListContinue3">
    <w:name w:val="List Continue 3"/>
    <w:basedOn w:val="Normal"/>
    <w:uiPriority w:val="99"/>
    <w:semiHidden/>
    <w:unhideWhenUsed/>
    <w:rsid w:val="00373AAC"/>
    <w:pPr>
      <w:tabs>
        <w:tab w:val="left" w:pos="360"/>
        <w:tab w:val="left" w:pos="720"/>
        <w:tab w:val="left" w:pos="1080"/>
      </w:tabs>
      <w:autoSpaceDE/>
      <w:autoSpaceDN/>
      <w:adjustRightInd/>
      <w:spacing w:line="264" w:lineRule="auto"/>
      <w:ind w:left="849"/>
      <w:contextualSpacing/>
    </w:pPr>
    <w:rPr>
      <w:rFonts w:eastAsia="Times New Roman" w:cs="Times New Roman"/>
      <w:color w:val="auto"/>
    </w:rPr>
  </w:style>
  <w:style w:type="paragraph" w:styleId="ListContinue4">
    <w:name w:val="List Continue 4"/>
    <w:basedOn w:val="Normal"/>
    <w:uiPriority w:val="99"/>
    <w:semiHidden/>
    <w:unhideWhenUsed/>
    <w:rsid w:val="00373AAC"/>
    <w:pPr>
      <w:tabs>
        <w:tab w:val="left" w:pos="360"/>
        <w:tab w:val="left" w:pos="720"/>
        <w:tab w:val="left" w:pos="1080"/>
      </w:tabs>
      <w:autoSpaceDE/>
      <w:autoSpaceDN/>
      <w:adjustRightInd/>
      <w:spacing w:line="264" w:lineRule="auto"/>
      <w:ind w:left="1132"/>
      <w:contextualSpacing/>
    </w:pPr>
    <w:rPr>
      <w:rFonts w:eastAsia="Times New Roman" w:cs="Times New Roman"/>
      <w:color w:val="auto"/>
    </w:rPr>
  </w:style>
  <w:style w:type="paragraph" w:styleId="ListContinue5">
    <w:name w:val="List Continue 5"/>
    <w:basedOn w:val="Normal"/>
    <w:uiPriority w:val="99"/>
    <w:semiHidden/>
    <w:unhideWhenUsed/>
    <w:rsid w:val="00373AAC"/>
    <w:pPr>
      <w:tabs>
        <w:tab w:val="left" w:pos="360"/>
        <w:tab w:val="left" w:pos="720"/>
        <w:tab w:val="left" w:pos="1080"/>
      </w:tabs>
      <w:autoSpaceDE/>
      <w:autoSpaceDN/>
      <w:adjustRightInd/>
      <w:spacing w:line="264" w:lineRule="auto"/>
      <w:ind w:left="1415"/>
      <w:contextualSpacing/>
    </w:pPr>
    <w:rPr>
      <w:rFonts w:eastAsia="Times New Roman" w:cs="Times New Roman"/>
      <w:color w:val="auto"/>
    </w:rPr>
  </w:style>
  <w:style w:type="paragraph" w:styleId="ListNumber2">
    <w:name w:val="List Number 2"/>
    <w:basedOn w:val="Normal"/>
    <w:uiPriority w:val="99"/>
    <w:semiHidden/>
    <w:unhideWhenUsed/>
    <w:rsid w:val="00373AAC"/>
    <w:pPr>
      <w:numPr>
        <w:numId w:val="13"/>
      </w:numPr>
      <w:tabs>
        <w:tab w:val="left" w:pos="360"/>
        <w:tab w:val="left" w:pos="720"/>
        <w:tab w:val="left" w:pos="1080"/>
      </w:tabs>
      <w:autoSpaceDE/>
      <w:autoSpaceDN/>
      <w:adjustRightInd/>
      <w:spacing w:line="264" w:lineRule="auto"/>
      <w:contextualSpacing/>
    </w:pPr>
    <w:rPr>
      <w:rFonts w:eastAsia="Times New Roman" w:cs="Times New Roman"/>
      <w:color w:val="auto"/>
    </w:rPr>
  </w:style>
  <w:style w:type="paragraph" w:styleId="ListNumber3">
    <w:name w:val="List Number 3"/>
    <w:basedOn w:val="Normal"/>
    <w:uiPriority w:val="99"/>
    <w:semiHidden/>
    <w:unhideWhenUsed/>
    <w:rsid w:val="00373AAC"/>
    <w:pPr>
      <w:numPr>
        <w:numId w:val="14"/>
      </w:numPr>
      <w:tabs>
        <w:tab w:val="left" w:pos="360"/>
        <w:tab w:val="left" w:pos="720"/>
        <w:tab w:val="left" w:pos="1080"/>
      </w:tabs>
      <w:autoSpaceDE/>
      <w:autoSpaceDN/>
      <w:adjustRightInd/>
      <w:spacing w:line="264" w:lineRule="auto"/>
      <w:contextualSpacing/>
    </w:pPr>
    <w:rPr>
      <w:rFonts w:eastAsia="Times New Roman" w:cs="Times New Roman"/>
      <w:color w:val="auto"/>
    </w:rPr>
  </w:style>
  <w:style w:type="paragraph" w:styleId="ListNumber4">
    <w:name w:val="List Number 4"/>
    <w:basedOn w:val="Normal"/>
    <w:uiPriority w:val="99"/>
    <w:semiHidden/>
    <w:unhideWhenUsed/>
    <w:rsid w:val="00373AAC"/>
    <w:pPr>
      <w:numPr>
        <w:numId w:val="15"/>
      </w:numPr>
      <w:tabs>
        <w:tab w:val="left" w:pos="360"/>
        <w:tab w:val="left" w:pos="720"/>
        <w:tab w:val="left" w:pos="1080"/>
      </w:tabs>
      <w:autoSpaceDE/>
      <w:autoSpaceDN/>
      <w:adjustRightInd/>
      <w:spacing w:line="264" w:lineRule="auto"/>
      <w:contextualSpacing/>
    </w:pPr>
    <w:rPr>
      <w:rFonts w:eastAsia="Times New Roman" w:cs="Times New Roman"/>
      <w:color w:val="auto"/>
    </w:rPr>
  </w:style>
  <w:style w:type="paragraph" w:styleId="ListNumber5">
    <w:name w:val="List Number 5"/>
    <w:basedOn w:val="Normal"/>
    <w:uiPriority w:val="99"/>
    <w:semiHidden/>
    <w:unhideWhenUsed/>
    <w:rsid w:val="00373AAC"/>
    <w:pPr>
      <w:numPr>
        <w:numId w:val="16"/>
      </w:numPr>
      <w:tabs>
        <w:tab w:val="left" w:pos="360"/>
        <w:tab w:val="left" w:pos="720"/>
        <w:tab w:val="left" w:pos="1080"/>
      </w:tabs>
      <w:autoSpaceDE/>
      <w:autoSpaceDN/>
      <w:adjustRightInd/>
      <w:spacing w:line="264" w:lineRule="auto"/>
      <w:contextualSpacing/>
    </w:pPr>
    <w:rPr>
      <w:rFonts w:eastAsia="Times New Roman" w:cs="Times New Roman"/>
      <w:color w:val="auto"/>
    </w:rPr>
  </w:style>
  <w:style w:type="table" w:styleId="ListTable1Light">
    <w:name w:val="List Table 1 Light"/>
    <w:basedOn w:val="TableNormal"/>
    <w:uiPriority w:val="46"/>
    <w:rsid w:val="00373AAC"/>
    <w:pPr>
      <w:spacing w:line="240" w:lineRule="auto"/>
    </w:pPr>
    <w:rPr>
      <w:rFonts w:asciiTheme="minorHAnsi" w:hAnsiTheme="minorHAnsi" w:cstheme="minorBidi"/>
      <w:color w:val="595959" w:themeColor="text1" w:themeTint="A6"/>
      <w:sz w:val="30"/>
      <w:szCs w:val="3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73AAC"/>
    <w:pPr>
      <w:spacing w:line="240" w:lineRule="auto"/>
    </w:pPr>
    <w:rPr>
      <w:rFonts w:asciiTheme="minorHAnsi" w:hAnsiTheme="minorHAnsi" w:cstheme="minorBidi"/>
      <w:color w:val="595959" w:themeColor="text1" w:themeTint="A6"/>
      <w:sz w:val="30"/>
      <w:szCs w:val="30"/>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73AAC"/>
    <w:pPr>
      <w:spacing w:line="240" w:lineRule="auto"/>
    </w:pPr>
    <w:rPr>
      <w:rFonts w:asciiTheme="minorHAnsi" w:hAnsiTheme="minorHAnsi" w:cstheme="minorBidi"/>
      <w:color w:val="595959" w:themeColor="text1" w:themeTint="A6"/>
      <w:sz w:val="30"/>
      <w:szCs w:val="30"/>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73AAC"/>
    <w:pPr>
      <w:spacing w:line="240" w:lineRule="auto"/>
    </w:pPr>
    <w:rPr>
      <w:rFonts w:asciiTheme="minorHAnsi" w:hAnsiTheme="minorHAnsi" w:cstheme="minorBidi"/>
      <w:color w:val="595959" w:themeColor="text1" w:themeTint="A6"/>
      <w:sz w:val="30"/>
      <w:szCs w:val="30"/>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73AAC"/>
    <w:pPr>
      <w:spacing w:line="240" w:lineRule="auto"/>
    </w:pPr>
    <w:rPr>
      <w:rFonts w:asciiTheme="minorHAnsi" w:hAnsiTheme="minorHAnsi" w:cstheme="minorBidi"/>
      <w:color w:val="595959" w:themeColor="text1" w:themeTint="A6"/>
      <w:sz w:val="30"/>
      <w:szCs w:val="30"/>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73AAC"/>
    <w:pPr>
      <w:spacing w:line="240" w:lineRule="auto"/>
    </w:pPr>
    <w:rPr>
      <w:rFonts w:asciiTheme="minorHAnsi" w:hAnsiTheme="minorHAnsi" w:cstheme="minorBidi"/>
      <w:color w:val="595959" w:themeColor="text1" w:themeTint="A6"/>
      <w:sz w:val="30"/>
      <w:szCs w:val="30"/>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73AAC"/>
    <w:pPr>
      <w:spacing w:line="240" w:lineRule="auto"/>
    </w:pPr>
    <w:rPr>
      <w:rFonts w:asciiTheme="minorHAnsi" w:hAnsiTheme="minorHAnsi" w:cstheme="minorBidi"/>
      <w:color w:val="595959" w:themeColor="text1" w:themeTint="A6"/>
      <w:sz w:val="30"/>
      <w:szCs w:val="30"/>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73AAC"/>
    <w:pPr>
      <w:spacing w:line="240" w:lineRule="auto"/>
    </w:pPr>
    <w:rPr>
      <w:rFonts w:eastAsia="Times New Roman" w:cs="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73AAC"/>
    <w:pPr>
      <w:spacing w:line="240" w:lineRule="auto"/>
    </w:pPr>
    <w:rPr>
      <w:rFonts w:asciiTheme="minorHAnsi" w:hAnsiTheme="minorHAnsi" w:cstheme="minorBidi"/>
      <w:color w:val="FFFFFF" w:themeColor="background1"/>
      <w:sz w:val="30"/>
      <w:szCs w:val="3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73AAC"/>
    <w:pPr>
      <w:spacing w:line="240" w:lineRule="auto"/>
    </w:pPr>
    <w:rPr>
      <w:rFonts w:asciiTheme="minorHAnsi" w:hAnsiTheme="minorHAnsi" w:cstheme="minorBidi"/>
      <w:color w:val="FFFFFF" w:themeColor="background1"/>
      <w:sz w:val="30"/>
      <w:szCs w:val="30"/>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73AAC"/>
    <w:pPr>
      <w:spacing w:line="240" w:lineRule="auto"/>
    </w:pPr>
    <w:rPr>
      <w:rFonts w:asciiTheme="minorHAnsi" w:hAnsiTheme="minorHAnsi" w:cstheme="minorBidi"/>
      <w:color w:val="FFFFFF" w:themeColor="background1"/>
      <w:sz w:val="30"/>
      <w:szCs w:val="30"/>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73AAC"/>
    <w:pPr>
      <w:spacing w:line="240" w:lineRule="auto"/>
    </w:pPr>
    <w:rPr>
      <w:rFonts w:asciiTheme="minorHAnsi" w:hAnsiTheme="minorHAnsi" w:cstheme="minorBidi"/>
      <w:color w:val="FFFFFF" w:themeColor="background1"/>
      <w:sz w:val="30"/>
      <w:szCs w:val="30"/>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73AAC"/>
    <w:pPr>
      <w:spacing w:line="240" w:lineRule="auto"/>
    </w:pPr>
    <w:rPr>
      <w:rFonts w:asciiTheme="minorHAnsi" w:hAnsiTheme="minorHAnsi" w:cstheme="minorBidi"/>
      <w:color w:val="FFFFFF" w:themeColor="background1"/>
      <w:sz w:val="30"/>
      <w:szCs w:val="30"/>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73AAC"/>
    <w:pPr>
      <w:spacing w:line="240" w:lineRule="auto"/>
    </w:pPr>
    <w:rPr>
      <w:rFonts w:asciiTheme="minorHAnsi" w:hAnsiTheme="minorHAnsi" w:cstheme="minorBidi"/>
      <w:color w:val="FFFFFF" w:themeColor="background1"/>
      <w:sz w:val="30"/>
      <w:szCs w:val="30"/>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73AAC"/>
    <w:pPr>
      <w:spacing w:line="240" w:lineRule="auto"/>
    </w:pPr>
    <w:rPr>
      <w:rFonts w:asciiTheme="minorHAnsi" w:hAnsiTheme="minorHAnsi" w:cstheme="minorBidi"/>
      <w:color w:val="FFFFFF" w:themeColor="background1"/>
      <w:sz w:val="30"/>
      <w:szCs w:val="30"/>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73AAC"/>
    <w:pPr>
      <w:spacing w:line="240" w:lineRule="auto"/>
    </w:pPr>
    <w:rPr>
      <w:rFonts w:asciiTheme="minorHAnsi" w:hAnsiTheme="minorHAnsi" w:cstheme="minorBidi"/>
      <w:color w:val="365F91" w:themeColor="accent1" w:themeShade="BF"/>
      <w:sz w:val="30"/>
      <w:szCs w:val="30"/>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73AAC"/>
    <w:pPr>
      <w:spacing w:line="240" w:lineRule="auto"/>
    </w:pPr>
    <w:rPr>
      <w:rFonts w:asciiTheme="minorHAnsi" w:hAnsiTheme="minorHAnsi" w:cstheme="minorBidi"/>
      <w:color w:val="943634" w:themeColor="accent2" w:themeShade="BF"/>
      <w:sz w:val="30"/>
      <w:szCs w:val="30"/>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73AAC"/>
    <w:pPr>
      <w:spacing w:line="240" w:lineRule="auto"/>
    </w:pPr>
    <w:rPr>
      <w:rFonts w:asciiTheme="minorHAnsi" w:hAnsiTheme="minorHAnsi" w:cstheme="minorBidi"/>
      <w:color w:val="76923C" w:themeColor="accent3" w:themeShade="BF"/>
      <w:sz w:val="30"/>
      <w:szCs w:val="30"/>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73AAC"/>
    <w:pPr>
      <w:spacing w:line="240" w:lineRule="auto"/>
    </w:pPr>
    <w:rPr>
      <w:rFonts w:asciiTheme="minorHAnsi" w:hAnsiTheme="minorHAnsi" w:cstheme="minorBidi"/>
      <w:color w:val="5F497A" w:themeColor="accent4" w:themeShade="BF"/>
      <w:sz w:val="30"/>
      <w:szCs w:val="30"/>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73AAC"/>
    <w:pPr>
      <w:spacing w:line="240" w:lineRule="auto"/>
    </w:pPr>
    <w:rPr>
      <w:rFonts w:asciiTheme="minorHAnsi" w:hAnsiTheme="minorHAnsi" w:cstheme="minorBidi"/>
      <w:color w:val="31849B" w:themeColor="accent5" w:themeShade="BF"/>
      <w:sz w:val="30"/>
      <w:szCs w:val="30"/>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73AAC"/>
    <w:pPr>
      <w:spacing w:line="240" w:lineRule="auto"/>
    </w:pPr>
    <w:rPr>
      <w:rFonts w:asciiTheme="minorHAnsi" w:hAnsiTheme="minorHAnsi" w:cstheme="minorBidi"/>
      <w:color w:val="E36C0A" w:themeColor="accent6" w:themeShade="BF"/>
      <w:sz w:val="30"/>
      <w:szCs w:val="30"/>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73AAC"/>
    <w:pPr>
      <w:spacing w:line="240" w:lineRule="auto"/>
    </w:pPr>
    <w:rPr>
      <w:rFonts w:asciiTheme="minorHAnsi" w:hAnsiTheme="minorHAnsi" w:cstheme="minorBidi"/>
      <w:color w:val="000000" w:themeColor="text1"/>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73AAC"/>
    <w:pPr>
      <w:spacing w:line="240" w:lineRule="auto"/>
    </w:pPr>
    <w:rPr>
      <w:rFonts w:asciiTheme="minorHAnsi" w:hAnsiTheme="minorHAnsi" w:cstheme="minorBidi"/>
      <w:color w:val="365F91" w:themeColor="accent1"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73AAC"/>
    <w:pPr>
      <w:spacing w:line="240" w:lineRule="auto"/>
    </w:pPr>
    <w:rPr>
      <w:rFonts w:asciiTheme="minorHAnsi" w:hAnsiTheme="minorHAnsi" w:cstheme="minorBidi"/>
      <w:color w:val="943634" w:themeColor="accent2"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73AAC"/>
    <w:pPr>
      <w:spacing w:line="240" w:lineRule="auto"/>
    </w:pPr>
    <w:rPr>
      <w:rFonts w:asciiTheme="minorHAnsi" w:hAnsiTheme="minorHAnsi" w:cstheme="minorBidi"/>
      <w:color w:val="76923C" w:themeColor="accent3"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73AAC"/>
    <w:pPr>
      <w:spacing w:line="240" w:lineRule="auto"/>
    </w:pPr>
    <w:rPr>
      <w:rFonts w:asciiTheme="minorHAnsi" w:hAnsiTheme="minorHAnsi" w:cstheme="minorBidi"/>
      <w:color w:val="5F497A" w:themeColor="accent4"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73AAC"/>
    <w:pPr>
      <w:spacing w:line="240" w:lineRule="auto"/>
    </w:pPr>
    <w:rPr>
      <w:rFonts w:asciiTheme="minorHAnsi" w:hAnsiTheme="minorHAnsi" w:cstheme="minorBidi"/>
      <w:color w:val="31849B" w:themeColor="accent5"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73AAC"/>
    <w:pPr>
      <w:spacing w:line="240" w:lineRule="auto"/>
    </w:pPr>
    <w:rPr>
      <w:rFonts w:asciiTheme="minorHAnsi" w:hAnsiTheme="minorHAnsi" w:cstheme="minorBidi"/>
      <w:color w:val="E36C0A" w:themeColor="accent6"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uiPriority w:val="99"/>
    <w:semiHidden/>
    <w:unhideWhenUsed/>
    <w:rsid w:val="00373AAC"/>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cstheme="minorBidi"/>
      <w:color w:val="595959" w:themeColor="text1" w:themeTint="A6"/>
      <w:szCs w:val="20"/>
    </w:rPr>
  </w:style>
  <w:style w:type="character" w:customStyle="1" w:styleId="MacroTextChar">
    <w:name w:val="Macro Text Char"/>
    <w:basedOn w:val="DefaultParagraphFont"/>
    <w:link w:val="Macro"/>
    <w:uiPriority w:val="99"/>
    <w:semiHidden/>
    <w:rsid w:val="00373AAC"/>
    <w:rPr>
      <w:rFonts w:ascii="Consolas" w:hAnsi="Consolas" w:cstheme="minorBidi"/>
      <w:color w:val="595959" w:themeColor="text1" w:themeTint="A6"/>
      <w:szCs w:val="20"/>
    </w:rPr>
  </w:style>
  <w:style w:type="table" w:styleId="MediumGrid1">
    <w:name w:val="Medium Grid 1"/>
    <w:basedOn w:val="TableNormal"/>
    <w:uiPriority w:val="67"/>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73AAC"/>
    <w:pPr>
      <w:spacing w:line="240" w:lineRule="auto"/>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73AAC"/>
    <w:pPr>
      <w:spacing w:line="240" w:lineRule="auto"/>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73AAC"/>
    <w:pPr>
      <w:spacing w:line="240" w:lineRule="auto"/>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73AAC"/>
    <w:pPr>
      <w:spacing w:line="240" w:lineRule="auto"/>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73AAC"/>
    <w:pPr>
      <w:spacing w:line="240" w:lineRule="auto"/>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73AAC"/>
    <w:pPr>
      <w:spacing w:line="240" w:lineRule="auto"/>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73AAC"/>
    <w:pPr>
      <w:spacing w:line="240" w:lineRule="auto"/>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73AAC"/>
    <w:pPr>
      <w:spacing w:line="240" w:lineRule="auto"/>
    </w:pPr>
    <w:rPr>
      <w:rFonts w:asciiTheme="minorHAnsi" w:hAnsiTheme="minorHAnsi" w:cstheme="minorBidi"/>
      <w:color w:val="000000" w:themeColor="text1"/>
      <w:sz w:val="30"/>
      <w:szCs w:val="3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73AAC"/>
    <w:pPr>
      <w:spacing w:line="240" w:lineRule="auto"/>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73AAC"/>
    <w:pPr>
      <w:spacing w:line="240" w:lineRule="auto"/>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73AAC"/>
    <w:pPr>
      <w:spacing w:line="240" w:lineRule="auto"/>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73AAC"/>
    <w:pPr>
      <w:spacing w:line="240" w:lineRule="auto"/>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73AAC"/>
    <w:pPr>
      <w:spacing w:line="240" w:lineRule="auto"/>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73AAC"/>
    <w:pPr>
      <w:spacing w:line="240" w:lineRule="auto"/>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73AAC"/>
    <w:pPr>
      <w:spacing w:line="240" w:lineRule="auto"/>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373AAC"/>
    <w:pPr>
      <w:pBdr>
        <w:top w:val="single" w:sz="6" w:space="1" w:color="auto"/>
        <w:left w:val="single" w:sz="6" w:space="1" w:color="auto"/>
        <w:bottom w:val="single" w:sz="6" w:space="1" w:color="auto"/>
        <w:right w:val="single" w:sz="6" w:space="1" w:color="auto"/>
      </w:pBdr>
      <w:shd w:val="pct20" w:color="auto" w:fill="auto"/>
      <w:tabs>
        <w:tab w:val="left" w:pos="360"/>
        <w:tab w:val="left" w:pos="720"/>
        <w:tab w:val="left" w:pos="1080"/>
      </w:tabs>
      <w:autoSpaceDE/>
      <w:autoSpaceDN/>
      <w:adjustRightInd/>
      <w:spacing w:line="240" w:lineRule="auto"/>
      <w:ind w:left="1134" w:hanging="1134"/>
    </w:pPr>
    <w:rPr>
      <w:rFonts w:asciiTheme="majorHAnsi" w:eastAsiaTheme="majorEastAsia" w:hAnsiTheme="majorHAnsi" w:cstheme="majorBidi"/>
      <w:color w:val="auto"/>
      <w:sz w:val="24"/>
      <w:szCs w:val="24"/>
    </w:rPr>
  </w:style>
  <w:style w:type="character" w:customStyle="1" w:styleId="MessageHeaderChar">
    <w:name w:val="Message Header Char"/>
    <w:basedOn w:val="DefaultParagraphFont"/>
    <w:link w:val="MessageHeader"/>
    <w:uiPriority w:val="99"/>
    <w:semiHidden/>
    <w:rsid w:val="00373AAC"/>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373AAC"/>
    <w:pPr>
      <w:tabs>
        <w:tab w:val="left" w:pos="360"/>
        <w:tab w:val="left" w:pos="720"/>
        <w:tab w:val="left" w:pos="1080"/>
      </w:tabs>
      <w:autoSpaceDE/>
      <w:autoSpaceDN/>
      <w:adjustRightInd/>
      <w:spacing w:line="264" w:lineRule="auto"/>
      <w:ind w:left="720"/>
    </w:pPr>
    <w:rPr>
      <w:rFonts w:eastAsia="Times New Roman" w:cs="Times New Roman"/>
      <w:color w:val="auto"/>
    </w:rPr>
  </w:style>
  <w:style w:type="paragraph" w:styleId="NoteHeading">
    <w:name w:val="Note Heading"/>
    <w:basedOn w:val="Normal"/>
    <w:next w:val="Normal"/>
    <w:link w:val="NoteHeadingChar"/>
    <w:uiPriority w:val="99"/>
    <w:semiHidden/>
    <w:unhideWhenUsed/>
    <w:rsid w:val="00373AAC"/>
    <w:pPr>
      <w:tabs>
        <w:tab w:val="left" w:pos="360"/>
        <w:tab w:val="left" w:pos="720"/>
        <w:tab w:val="left" w:pos="1080"/>
      </w:tabs>
      <w:autoSpaceDE/>
      <w:autoSpaceDN/>
      <w:adjustRightInd/>
      <w:spacing w:line="240" w:lineRule="auto"/>
    </w:pPr>
    <w:rPr>
      <w:rFonts w:eastAsia="Times New Roman" w:cs="Times New Roman"/>
      <w:color w:val="auto"/>
    </w:rPr>
  </w:style>
  <w:style w:type="character" w:customStyle="1" w:styleId="NoteHeadingChar">
    <w:name w:val="Note Heading Char"/>
    <w:basedOn w:val="DefaultParagraphFont"/>
    <w:link w:val="NoteHeading"/>
    <w:uiPriority w:val="99"/>
    <w:semiHidden/>
    <w:rsid w:val="00373AAC"/>
    <w:rPr>
      <w:rFonts w:eastAsia="Times New Roman" w:cs="Times New Roman"/>
    </w:rPr>
  </w:style>
  <w:style w:type="table" w:styleId="PlainTable1">
    <w:name w:val="Plain Table 1"/>
    <w:basedOn w:val="TableNormal"/>
    <w:uiPriority w:val="41"/>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73AAC"/>
    <w:pPr>
      <w:spacing w:line="240" w:lineRule="auto"/>
    </w:pPr>
    <w:rPr>
      <w:rFonts w:asciiTheme="minorHAnsi" w:hAnsiTheme="minorHAnsi" w:cstheme="minorBidi"/>
      <w:color w:val="595959" w:themeColor="text1" w:themeTint="A6"/>
      <w:sz w:val="30"/>
      <w:szCs w:val="3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73AAC"/>
    <w:pPr>
      <w:spacing w:line="240" w:lineRule="auto"/>
    </w:pPr>
    <w:rPr>
      <w:rFonts w:asciiTheme="minorHAnsi" w:hAnsiTheme="minorHAnsi" w:cstheme="minorBidi"/>
      <w:color w:val="595959" w:themeColor="text1" w:themeTint="A6"/>
      <w:sz w:val="30"/>
      <w:szCs w:val="3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73AAC"/>
    <w:pPr>
      <w:spacing w:line="240" w:lineRule="auto"/>
    </w:pPr>
    <w:rPr>
      <w:rFonts w:asciiTheme="minorHAnsi" w:hAnsiTheme="minorHAnsi" w:cstheme="minorBidi"/>
      <w:color w:val="595959" w:themeColor="text1" w:themeTint="A6"/>
      <w:sz w:val="30"/>
      <w:szCs w:val="3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3AAC"/>
    <w:pPr>
      <w:spacing w:line="240" w:lineRule="auto"/>
    </w:pPr>
    <w:rPr>
      <w:rFonts w:asciiTheme="minorHAnsi" w:hAnsiTheme="minorHAnsi" w:cstheme="minorBidi"/>
      <w:color w:val="595959" w:themeColor="text1" w:themeTint="A6"/>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73AAC"/>
    <w:pPr>
      <w:tabs>
        <w:tab w:val="left" w:pos="360"/>
        <w:tab w:val="left" w:pos="720"/>
        <w:tab w:val="left" w:pos="1080"/>
      </w:tabs>
      <w:autoSpaceDE/>
      <w:autoSpaceDN/>
      <w:adjustRightInd/>
      <w:spacing w:line="240" w:lineRule="auto"/>
    </w:pPr>
    <w:rPr>
      <w:rFonts w:ascii="Consolas" w:eastAsia="Times New Roman" w:hAnsi="Consolas" w:cs="Times New Roman"/>
      <w:color w:val="auto"/>
      <w:szCs w:val="21"/>
    </w:rPr>
  </w:style>
  <w:style w:type="character" w:customStyle="1" w:styleId="PlainTextChar">
    <w:name w:val="Plain Text Char"/>
    <w:basedOn w:val="DefaultParagraphFont"/>
    <w:link w:val="PlainText"/>
    <w:uiPriority w:val="99"/>
    <w:semiHidden/>
    <w:rsid w:val="00373AAC"/>
    <w:rPr>
      <w:rFonts w:ascii="Consolas" w:eastAsia="Times New Roman" w:hAnsi="Consolas" w:cs="Times New Roman"/>
      <w:szCs w:val="21"/>
    </w:rPr>
  </w:style>
  <w:style w:type="paragraph" w:styleId="Salutation">
    <w:name w:val="Salutation"/>
    <w:basedOn w:val="Normal"/>
    <w:next w:val="Normal"/>
    <w:link w:val="SalutationChar"/>
    <w:uiPriority w:val="99"/>
    <w:semiHidden/>
    <w:unhideWhenUsed/>
    <w:rsid w:val="00373AAC"/>
    <w:pPr>
      <w:tabs>
        <w:tab w:val="left" w:pos="360"/>
        <w:tab w:val="left" w:pos="720"/>
        <w:tab w:val="left" w:pos="1080"/>
      </w:tabs>
      <w:autoSpaceDE/>
      <w:autoSpaceDN/>
      <w:adjustRightInd/>
      <w:spacing w:line="264" w:lineRule="auto"/>
    </w:pPr>
    <w:rPr>
      <w:rFonts w:eastAsia="Times New Roman" w:cs="Times New Roman"/>
      <w:color w:val="auto"/>
    </w:rPr>
  </w:style>
  <w:style w:type="character" w:customStyle="1" w:styleId="SalutationChar">
    <w:name w:val="Salutation Char"/>
    <w:basedOn w:val="DefaultParagraphFont"/>
    <w:link w:val="Salutation"/>
    <w:uiPriority w:val="99"/>
    <w:semiHidden/>
    <w:rsid w:val="00373AAC"/>
    <w:rPr>
      <w:rFonts w:eastAsia="Times New Roman" w:cs="Times New Roman"/>
    </w:rPr>
  </w:style>
  <w:style w:type="paragraph" w:styleId="Signature">
    <w:name w:val="Signature"/>
    <w:basedOn w:val="Normal"/>
    <w:link w:val="SignatureChar"/>
    <w:uiPriority w:val="99"/>
    <w:semiHidden/>
    <w:unhideWhenUsed/>
    <w:rsid w:val="00373AAC"/>
    <w:pPr>
      <w:tabs>
        <w:tab w:val="left" w:pos="360"/>
        <w:tab w:val="left" w:pos="720"/>
        <w:tab w:val="left" w:pos="1080"/>
      </w:tabs>
      <w:autoSpaceDE/>
      <w:autoSpaceDN/>
      <w:adjustRightInd/>
      <w:spacing w:line="240" w:lineRule="auto"/>
      <w:ind w:left="4252"/>
    </w:pPr>
    <w:rPr>
      <w:rFonts w:eastAsia="Times New Roman" w:cs="Times New Roman"/>
      <w:color w:val="auto"/>
    </w:rPr>
  </w:style>
  <w:style w:type="character" w:customStyle="1" w:styleId="SignatureChar">
    <w:name w:val="Signature Char"/>
    <w:basedOn w:val="DefaultParagraphFont"/>
    <w:link w:val="Signature"/>
    <w:uiPriority w:val="99"/>
    <w:semiHidden/>
    <w:rsid w:val="00373AAC"/>
    <w:rPr>
      <w:rFonts w:eastAsia="Times New Roman" w:cs="Times New Roman"/>
    </w:rPr>
  </w:style>
  <w:style w:type="character" w:styleId="SmartHyperlink">
    <w:name w:val="Smart Hyperlink"/>
    <w:basedOn w:val="DefaultParagraphFont"/>
    <w:uiPriority w:val="99"/>
    <w:semiHidden/>
    <w:unhideWhenUsed/>
    <w:rsid w:val="00373AAC"/>
    <w:rPr>
      <w:u w:val="dotted"/>
    </w:rPr>
  </w:style>
  <w:style w:type="table" w:styleId="Table3Deffects1">
    <w:name w:val="Table 3D effects 1"/>
    <w:basedOn w:val="TableNormal"/>
    <w:unhideWhenUsed/>
    <w:rsid w:val="00373AAC"/>
    <w:pPr>
      <w:spacing w:after="120" w:line="259" w:lineRule="auto"/>
    </w:pPr>
    <w:rPr>
      <w:rFonts w:asciiTheme="minorHAnsi" w:hAnsiTheme="minorHAnsi" w:cstheme="minorBidi"/>
      <w:sz w:val="30"/>
      <w:szCs w:val="3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73AAC"/>
    <w:pPr>
      <w:spacing w:after="120" w:line="259" w:lineRule="auto"/>
    </w:pPr>
    <w:rPr>
      <w:rFonts w:asciiTheme="minorHAnsi" w:hAnsiTheme="minorHAnsi" w:cstheme="minorBidi"/>
      <w:sz w:val="30"/>
      <w:szCs w:val="3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373AAC"/>
    <w:pPr>
      <w:spacing w:after="120" w:line="259" w:lineRule="auto"/>
    </w:pPr>
    <w:rPr>
      <w:rFonts w:asciiTheme="minorHAnsi" w:hAnsiTheme="minorHAnsi" w:cstheme="minorBidi"/>
      <w:sz w:val="30"/>
      <w:szCs w:val="3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373AAC"/>
    <w:pPr>
      <w:spacing w:after="120" w:line="259" w:lineRule="auto"/>
    </w:pPr>
    <w:rPr>
      <w:rFonts w:asciiTheme="minorHAnsi" w:hAnsiTheme="minorHAnsi" w:cstheme="minorBidi"/>
      <w:sz w:val="30"/>
      <w:szCs w:val="3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73AAC"/>
    <w:pPr>
      <w:spacing w:after="120" w:line="259" w:lineRule="auto"/>
    </w:pPr>
    <w:rPr>
      <w:rFonts w:asciiTheme="minorHAnsi" w:hAnsiTheme="minorHAnsi" w:cstheme="minorBidi"/>
      <w:sz w:val="30"/>
      <w:szCs w:val="3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73AAC"/>
    <w:pPr>
      <w:spacing w:after="120" w:line="259" w:lineRule="auto"/>
    </w:pPr>
    <w:rPr>
      <w:rFonts w:asciiTheme="minorHAnsi" w:hAnsiTheme="minorHAnsi" w:cstheme="minorBidi"/>
      <w:color w:val="000080"/>
      <w:sz w:val="30"/>
      <w:szCs w:val="3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73AAC"/>
    <w:pPr>
      <w:spacing w:after="120" w:line="259" w:lineRule="auto"/>
    </w:pPr>
    <w:rPr>
      <w:rFonts w:asciiTheme="minorHAnsi" w:hAnsiTheme="minorHAnsi" w:cstheme="minorBidi"/>
      <w:sz w:val="30"/>
      <w:szCs w:val="3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73AAC"/>
    <w:pPr>
      <w:spacing w:after="120" w:line="259" w:lineRule="auto"/>
    </w:pPr>
    <w:rPr>
      <w:rFonts w:asciiTheme="minorHAnsi" w:hAnsiTheme="minorHAnsi" w:cstheme="minorBidi"/>
      <w:color w:val="FFFFFF"/>
      <w:sz w:val="30"/>
      <w:szCs w:val="3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73AAC"/>
    <w:pPr>
      <w:spacing w:after="120" w:line="259" w:lineRule="auto"/>
    </w:pPr>
    <w:rPr>
      <w:rFonts w:asciiTheme="minorHAnsi" w:hAnsiTheme="minorHAnsi" w:cstheme="minorBidi"/>
      <w:sz w:val="30"/>
      <w:szCs w:val="3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73AAC"/>
    <w:pPr>
      <w:spacing w:after="120" w:line="259" w:lineRule="auto"/>
    </w:pPr>
    <w:rPr>
      <w:rFonts w:asciiTheme="minorHAnsi" w:hAnsiTheme="minorHAnsi" w:cstheme="minorBidi"/>
      <w:sz w:val="30"/>
      <w:szCs w:val="3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73AAC"/>
    <w:pPr>
      <w:spacing w:after="120" w:line="259" w:lineRule="auto"/>
    </w:pPr>
    <w:rPr>
      <w:rFonts w:asciiTheme="minorHAnsi" w:hAnsiTheme="minorHAnsi" w:cstheme="minorBidi"/>
      <w:b/>
      <w:bCs/>
      <w:sz w:val="30"/>
      <w:szCs w:val="3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73AAC"/>
    <w:pPr>
      <w:spacing w:after="120" w:line="259" w:lineRule="auto"/>
    </w:pPr>
    <w:rPr>
      <w:rFonts w:asciiTheme="minorHAnsi" w:hAnsiTheme="minorHAnsi" w:cstheme="minorBidi"/>
      <w:b/>
      <w:bCs/>
      <w:sz w:val="30"/>
      <w:szCs w:val="3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73AAC"/>
    <w:pPr>
      <w:spacing w:after="120" w:line="259" w:lineRule="auto"/>
    </w:pPr>
    <w:rPr>
      <w:rFonts w:asciiTheme="minorHAnsi" w:hAnsiTheme="minorHAnsi" w:cstheme="minorBidi"/>
      <w:b/>
      <w:bCs/>
      <w:sz w:val="30"/>
      <w:szCs w:val="3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73AAC"/>
    <w:pPr>
      <w:spacing w:after="120" w:line="259" w:lineRule="auto"/>
    </w:pPr>
    <w:rPr>
      <w:rFonts w:asciiTheme="minorHAnsi" w:hAnsiTheme="minorHAnsi" w:cstheme="minorBidi"/>
      <w:sz w:val="30"/>
      <w:szCs w:val="3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73AAC"/>
    <w:pPr>
      <w:spacing w:after="120" w:line="259" w:lineRule="auto"/>
    </w:pPr>
    <w:rPr>
      <w:rFonts w:asciiTheme="minorHAnsi" w:hAnsiTheme="minorHAnsi" w:cstheme="minorBidi"/>
      <w:sz w:val="30"/>
      <w:szCs w:val="3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73AAC"/>
    <w:pPr>
      <w:spacing w:after="120" w:line="259" w:lineRule="auto"/>
    </w:pPr>
    <w:rPr>
      <w:rFonts w:asciiTheme="minorHAnsi" w:hAnsiTheme="minorHAnsi" w:cstheme="minorBidi"/>
      <w:color w:val="595959" w:themeColor="text1" w:themeTint="A6"/>
      <w:sz w:val="30"/>
      <w:szCs w:val="3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73AAC"/>
    <w:pPr>
      <w:spacing w:after="120" w:line="259" w:lineRule="auto"/>
    </w:pPr>
    <w:rPr>
      <w:rFonts w:asciiTheme="minorHAnsi" w:hAnsiTheme="minorHAnsi" w:cstheme="minorBidi"/>
      <w:sz w:val="30"/>
      <w:szCs w:val="3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373AAC"/>
    <w:pPr>
      <w:spacing w:after="120" w:line="259" w:lineRule="auto"/>
    </w:pPr>
    <w:rPr>
      <w:rFonts w:asciiTheme="minorHAnsi" w:hAnsiTheme="minorHAnsi" w:cstheme="minorBidi"/>
      <w:sz w:val="30"/>
      <w:szCs w:val="3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73AAC"/>
    <w:pPr>
      <w:spacing w:after="120" w:line="259" w:lineRule="auto"/>
    </w:pPr>
    <w:rPr>
      <w:rFonts w:asciiTheme="minorHAnsi" w:hAnsiTheme="minorHAnsi" w:cstheme="minorBidi"/>
      <w:sz w:val="30"/>
      <w:szCs w:val="3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73AAC"/>
    <w:pPr>
      <w:spacing w:after="120" w:line="259" w:lineRule="auto"/>
    </w:pPr>
    <w:rPr>
      <w:rFonts w:asciiTheme="minorHAnsi" w:hAnsiTheme="minorHAnsi" w:cstheme="minorBidi"/>
      <w:sz w:val="30"/>
      <w:szCs w:val="3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73AAC"/>
    <w:pPr>
      <w:spacing w:after="120" w:line="259" w:lineRule="auto"/>
    </w:pPr>
    <w:rPr>
      <w:rFonts w:asciiTheme="minorHAnsi" w:hAnsiTheme="minorHAnsi" w:cstheme="minorBidi"/>
      <w:sz w:val="30"/>
      <w:szCs w:val="3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73AAC"/>
    <w:pPr>
      <w:spacing w:after="120" w:line="259" w:lineRule="auto"/>
    </w:pPr>
    <w:rPr>
      <w:rFonts w:asciiTheme="minorHAnsi" w:hAnsiTheme="minorHAnsi" w:cstheme="minorBidi"/>
      <w:sz w:val="30"/>
      <w:szCs w:val="3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73AAC"/>
    <w:pPr>
      <w:spacing w:after="120" w:line="259" w:lineRule="auto"/>
    </w:pPr>
    <w:rPr>
      <w:rFonts w:asciiTheme="minorHAnsi" w:hAnsiTheme="minorHAnsi" w:cstheme="minorBidi"/>
      <w:sz w:val="30"/>
      <w:szCs w:val="3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73AAC"/>
    <w:pPr>
      <w:spacing w:after="120" w:line="259" w:lineRule="auto"/>
    </w:pPr>
    <w:rPr>
      <w:rFonts w:asciiTheme="minorHAnsi" w:hAnsiTheme="minorHAnsi" w:cstheme="minorBidi"/>
      <w:b/>
      <w:bCs/>
      <w:sz w:val="30"/>
      <w:szCs w:val="3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73AAC"/>
    <w:pPr>
      <w:spacing w:after="120" w:line="259" w:lineRule="auto"/>
    </w:pPr>
    <w:rPr>
      <w:rFonts w:asciiTheme="minorHAnsi" w:hAnsiTheme="minorHAnsi" w:cstheme="minorBidi"/>
      <w:sz w:val="30"/>
      <w:szCs w:val="3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uiPriority w:val="40"/>
    <w:rsid w:val="00373AAC"/>
    <w:pPr>
      <w:spacing w:line="240" w:lineRule="auto"/>
    </w:pPr>
    <w:rPr>
      <w:rFonts w:asciiTheme="minorHAnsi" w:hAnsiTheme="minorHAnsi" w:cstheme="minorBidi"/>
      <w:color w:val="595959" w:themeColor="text1" w:themeTint="A6"/>
      <w:sz w:val="30"/>
      <w:szCs w:val="3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73AAC"/>
    <w:pPr>
      <w:spacing w:after="120" w:line="259" w:lineRule="auto"/>
    </w:pPr>
    <w:rPr>
      <w:rFonts w:asciiTheme="minorHAnsi" w:hAnsiTheme="minorHAnsi" w:cstheme="minorBidi"/>
      <w:color w:val="595959" w:themeColor="text1" w:themeTint="A6"/>
      <w:sz w:val="30"/>
      <w:szCs w:val="3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73AAC"/>
    <w:pPr>
      <w:spacing w:after="120" w:line="259" w:lineRule="auto"/>
    </w:pPr>
    <w:rPr>
      <w:rFonts w:asciiTheme="minorHAnsi" w:hAnsiTheme="minorHAnsi" w:cstheme="minorBidi"/>
      <w:color w:val="595959" w:themeColor="text1" w:themeTint="A6"/>
      <w:sz w:val="30"/>
      <w:szCs w:val="3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73AAC"/>
    <w:pPr>
      <w:spacing w:after="120" w:line="259" w:lineRule="auto"/>
    </w:pPr>
    <w:rPr>
      <w:rFonts w:asciiTheme="minorHAnsi" w:hAnsiTheme="minorHAnsi" w:cstheme="minorBidi"/>
      <w:sz w:val="30"/>
      <w:szCs w:val="3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73AAC"/>
    <w:pPr>
      <w:spacing w:after="120" w:line="259" w:lineRule="auto"/>
    </w:pPr>
    <w:rPr>
      <w:rFonts w:asciiTheme="minorHAnsi" w:hAnsiTheme="minorHAnsi" w:cstheme="minorBidi"/>
      <w:sz w:val="30"/>
      <w:szCs w:val="3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73AAC"/>
    <w:pPr>
      <w:spacing w:after="120" w:line="259" w:lineRule="auto"/>
    </w:pPr>
    <w:rPr>
      <w:rFonts w:asciiTheme="minorHAnsi" w:hAnsiTheme="minorHAnsi" w:cstheme="minorBidi"/>
      <w:sz w:val="30"/>
      <w:szCs w:val="3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73AAC"/>
    <w:pPr>
      <w:spacing w:after="120" w:line="259" w:lineRule="auto"/>
    </w:pPr>
    <w:rPr>
      <w:rFonts w:asciiTheme="minorHAnsi" w:hAnsiTheme="minorHAnsi" w:cstheme="minorBidi"/>
      <w:sz w:val="30"/>
      <w:szCs w:val="3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73AAC"/>
    <w:pPr>
      <w:spacing w:after="120" w:line="259" w:lineRule="auto"/>
    </w:pPr>
    <w:rPr>
      <w:rFonts w:asciiTheme="minorHAnsi" w:hAnsiTheme="minorHAnsi" w:cstheme="minorBidi"/>
      <w:color w:val="595959" w:themeColor="text1" w:themeTint="A6"/>
      <w:sz w:val="30"/>
      <w:szCs w:val="3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73AAC"/>
    <w:pPr>
      <w:spacing w:after="120" w:line="259" w:lineRule="auto"/>
    </w:pPr>
    <w:rPr>
      <w:rFonts w:asciiTheme="minorHAnsi" w:hAnsiTheme="minorHAnsi" w:cstheme="minorBidi"/>
      <w:color w:val="595959" w:themeColor="text1" w:themeTint="A6"/>
      <w:sz w:val="30"/>
      <w:szCs w:val="3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373AAC"/>
    <w:pPr>
      <w:autoSpaceDE/>
      <w:autoSpaceDN/>
      <w:adjustRightInd/>
      <w:spacing w:line="264" w:lineRule="auto"/>
      <w:ind w:left="220" w:hanging="220"/>
    </w:pPr>
    <w:rPr>
      <w:rFonts w:eastAsia="Times New Roman" w:cs="Times New Roman"/>
      <w:color w:val="auto"/>
    </w:rPr>
  </w:style>
  <w:style w:type="table" w:styleId="TableProfessional">
    <w:name w:val="Table Professional"/>
    <w:basedOn w:val="TableNormal"/>
    <w:uiPriority w:val="99"/>
    <w:semiHidden/>
    <w:unhideWhenUsed/>
    <w:rsid w:val="00373AAC"/>
    <w:pPr>
      <w:spacing w:after="120" w:line="259" w:lineRule="auto"/>
    </w:pPr>
    <w:rPr>
      <w:rFonts w:asciiTheme="minorHAnsi" w:hAnsiTheme="minorHAnsi" w:cstheme="minorBidi"/>
      <w:sz w:val="30"/>
      <w:szCs w:val="3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73AAC"/>
    <w:pPr>
      <w:spacing w:after="120" w:line="259" w:lineRule="auto"/>
    </w:pPr>
    <w:rPr>
      <w:rFonts w:asciiTheme="minorHAnsi" w:hAnsiTheme="minorHAnsi" w:cstheme="minorBidi"/>
      <w:sz w:val="30"/>
      <w:szCs w:val="3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73AAC"/>
    <w:pPr>
      <w:spacing w:after="120" w:line="259" w:lineRule="auto"/>
    </w:pPr>
    <w:rPr>
      <w:rFonts w:asciiTheme="minorHAnsi" w:hAnsiTheme="minorHAnsi" w:cstheme="minorBidi"/>
      <w:color w:val="595959" w:themeColor="text1" w:themeTint="A6"/>
      <w:sz w:val="30"/>
      <w:szCs w:val="3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73AAC"/>
    <w:pPr>
      <w:spacing w:after="120" w:line="259" w:lineRule="auto"/>
    </w:pPr>
    <w:rPr>
      <w:rFonts w:asciiTheme="minorHAnsi" w:hAnsiTheme="minorHAnsi" w:cstheme="minorBidi"/>
      <w:sz w:val="30"/>
      <w:szCs w:val="3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73AAC"/>
    <w:pPr>
      <w:spacing w:after="120" w:line="259" w:lineRule="auto"/>
    </w:pPr>
    <w:rPr>
      <w:rFonts w:asciiTheme="minorHAnsi" w:hAnsiTheme="minorHAnsi" w:cstheme="minorBidi"/>
      <w:color w:val="595959" w:themeColor="text1" w:themeTint="A6"/>
      <w:sz w:val="30"/>
      <w:szCs w:val="3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373AAC"/>
    <w:pPr>
      <w:spacing w:after="120" w:line="259" w:lineRule="auto"/>
    </w:pPr>
    <w:rPr>
      <w:rFonts w:asciiTheme="minorHAnsi" w:hAnsiTheme="minorHAnsi" w:cstheme="minorBidi"/>
      <w:color w:val="595959" w:themeColor="text1" w:themeTint="A6"/>
      <w:sz w:val="30"/>
      <w:szCs w:val="3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73AAC"/>
    <w:pPr>
      <w:spacing w:after="120" w:line="259" w:lineRule="auto"/>
    </w:pPr>
    <w:rPr>
      <w:rFonts w:asciiTheme="minorHAnsi" w:hAnsiTheme="minorHAnsi" w:cstheme="minorBidi"/>
      <w:color w:val="595959" w:themeColor="text1" w:themeTint="A6"/>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73AAC"/>
    <w:pPr>
      <w:spacing w:after="120" w:line="259" w:lineRule="auto"/>
    </w:pPr>
    <w:rPr>
      <w:rFonts w:asciiTheme="minorHAnsi" w:hAnsiTheme="minorHAnsi" w:cstheme="minorBidi"/>
      <w:sz w:val="30"/>
      <w:szCs w:val="3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73AAC"/>
    <w:pPr>
      <w:spacing w:after="120" w:line="259" w:lineRule="auto"/>
    </w:pPr>
    <w:rPr>
      <w:rFonts w:asciiTheme="minorHAnsi" w:hAnsiTheme="minorHAnsi" w:cstheme="minorBidi"/>
      <w:sz w:val="30"/>
      <w:szCs w:val="3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373AAC"/>
    <w:pPr>
      <w:spacing w:after="120" w:line="259" w:lineRule="auto"/>
    </w:pPr>
    <w:rPr>
      <w:rFonts w:asciiTheme="minorHAnsi" w:hAnsiTheme="minorHAnsi" w:cstheme="minorBidi"/>
      <w:sz w:val="30"/>
      <w:szCs w:val="3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73AAC"/>
    <w:pPr>
      <w:tabs>
        <w:tab w:val="left" w:pos="360"/>
        <w:tab w:val="left" w:pos="720"/>
        <w:tab w:val="left" w:pos="1080"/>
      </w:tabs>
      <w:autoSpaceDE/>
      <w:autoSpaceDN/>
      <w:adjustRightInd/>
      <w:spacing w:before="120" w:line="264" w:lineRule="auto"/>
    </w:pPr>
    <w:rPr>
      <w:rFonts w:asciiTheme="majorHAnsi" w:eastAsiaTheme="majorEastAsia" w:hAnsiTheme="majorHAnsi" w:cstheme="majorBidi"/>
      <w:b/>
      <w:bCs/>
      <w:color w:val="auto"/>
      <w:sz w:val="24"/>
      <w:szCs w:val="24"/>
    </w:rPr>
  </w:style>
  <w:style w:type="paragraph" w:customStyle="1" w:styleId="Abbreviations">
    <w:name w:val="Abbreviations"/>
    <w:uiPriority w:val="2"/>
    <w:qFormat/>
    <w:rsid w:val="00373AAC"/>
    <w:pPr>
      <w:ind w:left="2160" w:hanging="2160"/>
    </w:pPr>
    <w:rPr>
      <w:rFonts w:eastAsia="Times New Roman" w:cs="Times New Roman"/>
    </w:rPr>
  </w:style>
  <w:style w:type="paragraph" w:customStyle="1" w:styleId="Caption-Fig">
    <w:name w:val="Caption-Fig"/>
    <w:basedOn w:val="Caption"/>
    <w:next w:val="Normal"/>
    <w:link w:val="Caption-FigChar"/>
    <w:qFormat/>
    <w:rsid w:val="00373AAC"/>
    <w:pPr>
      <w:keepNext w:val="0"/>
      <w:autoSpaceDE/>
      <w:autoSpaceDN/>
      <w:adjustRightInd/>
      <w:spacing w:before="120" w:after="240" w:line="264" w:lineRule="auto"/>
      <w:ind w:left="1138" w:hanging="1138"/>
    </w:pPr>
    <w:rPr>
      <w:rFonts w:eastAsia="Times New Roman" w:cs="Times New Roman"/>
      <w:b/>
      <w:bCs w:val="0"/>
      <w:color w:val="auto"/>
      <w:lang w:val="en"/>
    </w:rPr>
  </w:style>
  <w:style w:type="character" w:customStyle="1" w:styleId="Caption-FigChar">
    <w:name w:val="Caption-Fig Char"/>
    <w:basedOn w:val="DefaultParagraphFont"/>
    <w:link w:val="Caption-Fig"/>
    <w:rsid w:val="00373AAC"/>
    <w:rPr>
      <w:rFonts w:eastAsia="Times New Roman" w:cs="Times New Roman"/>
      <w:b/>
      <w:lang w:val="en"/>
    </w:rPr>
  </w:style>
  <w:style w:type="paragraph" w:customStyle="1" w:styleId="CompanyAddress">
    <w:name w:val="Company Address"/>
    <w:basedOn w:val="Normal"/>
    <w:qFormat/>
    <w:rsid w:val="00373AAC"/>
    <w:pPr>
      <w:tabs>
        <w:tab w:val="left" w:pos="360"/>
        <w:tab w:val="left" w:pos="720"/>
        <w:tab w:val="left" w:pos="1080"/>
      </w:tabs>
      <w:autoSpaceDE/>
      <w:autoSpaceDN/>
      <w:adjustRightInd/>
      <w:spacing w:line="264" w:lineRule="auto"/>
      <w:jc w:val="right"/>
    </w:pPr>
    <w:rPr>
      <w:rFonts w:eastAsia="Times New Roman" w:cs="Times New Roman"/>
      <w:color w:val="auto"/>
      <w:sz w:val="28"/>
      <w:szCs w:val="28"/>
    </w:rPr>
  </w:style>
  <w:style w:type="paragraph" w:customStyle="1" w:styleId="EISChapterHeading6">
    <w:name w:val="EIS Chapter Heading 6"/>
    <w:basedOn w:val="BodyText"/>
    <w:uiPriority w:val="1"/>
    <w:qFormat/>
    <w:rsid w:val="00373AAC"/>
    <w:pPr>
      <w:keepNext/>
      <w:tabs>
        <w:tab w:val="left" w:pos="360"/>
        <w:tab w:val="left" w:pos="720"/>
        <w:tab w:val="left" w:pos="1080"/>
      </w:tabs>
      <w:autoSpaceDE/>
      <w:autoSpaceDN/>
      <w:adjustRightInd/>
      <w:spacing w:before="240" w:after="0" w:line="240" w:lineRule="auto"/>
    </w:pPr>
    <w:rPr>
      <w:rFonts w:eastAsia="Times New Roman" w:cs="Times New Roman"/>
      <w:color w:val="auto"/>
      <w:u w:val="single"/>
    </w:rPr>
  </w:style>
  <w:style w:type="paragraph" w:customStyle="1" w:styleId="EISChapterHeading7">
    <w:name w:val="EIS Chapter Heading 7"/>
    <w:basedOn w:val="EISChapterHeading6"/>
    <w:uiPriority w:val="1"/>
    <w:qFormat/>
    <w:rsid w:val="00373AAC"/>
    <w:pPr>
      <w:keepNext w:val="0"/>
    </w:pPr>
  </w:style>
  <w:style w:type="paragraph" w:customStyle="1" w:styleId="Figure">
    <w:name w:val="Figure"/>
    <w:basedOn w:val="Normal"/>
    <w:next w:val="Caption-Fig"/>
    <w:qFormat/>
    <w:rsid w:val="00373AAC"/>
    <w:pPr>
      <w:keepNext/>
      <w:tabs>
        <w:tab w:val="left" w:pos="360"/>
        <w:tab w:val="left" w:pos="720"/>
        <w:tab w:val="left" w:pos="1080"/>
      </w:tabs>
      <w:autoSpaceDE/>
      <w:autoSpaceDN/>
      <w:adjustRightInd/>
      <w:spacing w:before="240" w:line="240" w:lineRule="auto"/>
      <w:jc w:val="center"/>
    </w:pPr>
    <w:rPr>
      <w:rFonts w:eastAsia="Times New Roman" w:cs="Times New Roman"/>
      <w:color w:val="auto"/>
    </w:rPr>
  </w:style>
  <w:style w:type="paragraph" w:customStyle="1" w:styleId="Heading-FrontTOC">
    <w:name w:val="Heading-Front (TOC)"/>
    <w:basedOn w:val="Heading1"/>
    <w:next w:val="BodyText"/>
    <w:qFormat/>
    <w:rsid w:val="00373AAC"/>
    <w:pPr>
      <w:keepLines w:val="0"/>
      <w:tabs>
        <w:tab w:val="left" w:pos="540"/>
        <w:tab w:val="left" w:pos="2160"/>
        <w:tab w:val="left" w:pos="2430"/>
      </w:tabs>
      <w:autoSpaceDE/>
      <w:autoSpaceDN/>
      <w:adjustRightInd/>
      <w:spacing w:before="0" w:after="480" w:line="264" w:lineRule="auto"/>
      <w:jc w:val="center"/>
    </w:pPr>
    <w:rPr>
      <w:rFonts w:eastAsia="Times New Roman" w:cs="Times New Roman"/>
      <w:color w:val="auto"/>
      <w:kern w:val="28"/>
      <w:sz w:val="28"/>
      <w:szCs w:val="22"/>
    </w:rPr>
  </w:style>
  <w:style w:type="paragraph" w:customStyle="1" w:styleId="HeadingFrontNoTOC">
    <w:name w:val="Heading Front (No TOC)"/>
    <w:basedOn w:val="Heading-FrontTOC"/>
    <w:qFormat/>
    <w:rsid w:val="00373AAC"/>
  </w:style>
  <w:style w:type="numbering" w:customStyle="1" w:styleId="NUREGListStyle">
    <w:name w:val="NUREG List Style"/>
    <w:uiPriority w:val="99"/>
    <w:rsid w:val="00373AAC"/>
    <w:pPr>
      <w:numPr>
        <w:numId w:val="18"/>
      </w:numPr>
    </w:pPr>
  </w:style>
  <w:style w:type="paragraph" w:customStyle="1" w:styleId="References">
    <w:name w:val="References"/>
    <w:basedOn w:val="Normal"/>
    <w:qFormat/>
    <w:rsid w:val="00373AAC"/>
    <w:pPr>
      <w:numPr>
        <w:numId w:val="19"/>
      </w:numPr>
      <w:tabs>
        <w:tab w:val="num" w:pos="360"/>
      </w:tabs>
      <w:autoSpaceDE/>
      <w:autoSpaceDN/>
      <w:adjustRightInd/>
      <w:spacing w:before="120" w:line="240" w:lineRule="auto"/>
    </w:pPr>
    <w:rPr>
      <w:rFonts w:eastAsia="Times New Roman" w:cs="Times New Roman"/>
      <w:color w:val="auto"/>
    </w:rPr>
  </w:style>
  <w:style w:type="paragraph" w:customStyle="1" w:styleId="SubtitleTitlePage">
    <w:name w:val="Subtitle_Title_Page"/>
    <w:basedOn w:val="Subtitle"/>
    <w:qFormat/>
    <w:rsid w:val="00373AAC"/>
  </w:style>
  <w:style w:type="paragraph" w:customStyle="1" w:styleId="TableCaption">
    <w:name w:val="Table Caption"/>
    <w:basedOn w:val="Normal"/>
    <w:unhideWhenUsed/>
    <w:rsid w:val="00373AAC"/>
    <w:pPr>
      <w:keepNext/>
      <w:tabs>
        <w:tab w:val="left" w:pos="360"/>
        <w:tab w:val="left" w:pos="720"/>
        <w:tab w:val="left" w:pos="1080"/>
      </w:tabs>
      <w:autoSpaceDE/>
      <w:autoSpaceDN/>
      <w:adjustRightInd/>
      <w:spacing w:before="240" w:after="180" w:line="240" w:lineRule="auto"/>
      <w:jc w:val="center"/>
    </w:pPr>
    <w:rPr>
      <w:rFonts w:eastAsia="Times New Roman" w:cs="Times New Roman"/>
      <w:b/>
      <w:bCs/>
      <w:color w:val="auto"/>
    </w:rPr>
  </w:style>
  <w:style w:type="paragraph" w:customStyle="1" w:styleId="TableHead">
    <w:name w:val="TableHead"/>
    <w:basedOn w:val="Normal"/>
    <w:uiPriority w:val="2"/>
    <w:rsid w:val="00373AAC"/>
    <w:pPr>
      <w:keepNext/>
      <w:tabs>
        <w:tab w:val="left" w:pos="360"/>
        <w:tab w:val="left" w:pos="720"/>
        <w:tab w:val="left" w:pos="1080"/>
      </w:tabs>
      <w:autoSpaceDE/>
      <w:autoSpaceDN/>
      <w:adjustRightInd/>
      <w:spacing w:before="40" w:after="40" w:line="264" w:lineRule="auto"/>
      <w:jc w:val="center"/>
    </w:pPr>
    <w:rPr>
      <w:rFonts w:eastAsia="Times New Roman" w:cs="Times New Roman"/>
      <w:b/>
      <w:bCs/>
      <w:color w:val="auto"/>
    </w:rPr>
  </w:style>
  <w:style w:type="paragraph" w:customStyle="1" w:styleId="tabletext">
    <w:name w:val="tabletext"/>
    <w:basedOn w:val="Normal"/>
    <w:uiPriority w:val="2"/>
    <w:rsid w:val="00373AAC"/>
    <w:pPr>
      <w:keepNext/>
      <w:tabs>
        <w:tab w:val="left" w:pos="360"/>
        <w:tab w:val="left" w:pos="720"/>
        <w:tab w:val="left" w:pos="1080"/>
      </w:tabs>
      <w:autoSpaceDE/>
      <w:autoSpaceDN/>
      <w:adjustRightInd/>
      <w:spacing w:before="40" w:after="40" w:line="240" w:lineRule="auto"/>
    </w:pPr>
    <w:rPr>
      <w:rFonts w:eastAsia="Times New Roman" w:cs="Times New Roman"/>
      <w:color w:val="auto"/>
      <w:sz w:val="20"/>
    </w:rPr>
  </w:style>
  <w:style w:type="paragraph" w:customStyle="1" w:styleId="TitleTitlePage">
    <w:name w:val="Title_Title Page"/>
    <w:basedOn w:val="Title"/>
    <w:qFormat/>
    <w:rsid w:val="00373AAC"/>
    <w:rPr>
      <w:caps w:val="0"/>
    </w:rPr>
  </w:style>
  <w:style w:type="character" w:customStyle="1" w:styleId="earrth-reference-callout-link">
    <w:name w:val="earrth-reference-callout-link"/>
    <w:basedOn w:val="DefaultParagraphFont"/>
    <w:rsid w:val="00373AAC"/>
  </w:style>
  <w:style w:type="paragraph" w:customStyle="1" w:styleId="msonormal">
    <w:name w:val="msonormal"/>
    <w:basedOn w:val="Normal"/>
    <w:rsid w:val="00373AAC"/>
    <w:pP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09">
    <w:name w:val="xl109"/>
    <w:basedOn w:val="Normal"/>
    <w:rsid w:val="00373AAC"/>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4"/>
      <w:szCs w:val="24"/>
    </w:rPr>
  </w:style>
  <w:style w:type="paragraph" w:customStyle="1" w:styleId="xl110">
    <w:name w:val="xl110"/>
    <w:basedOn w:val="Normal"/>
    <w:rsid w:val="00373AAC"/>
    <w:pPr>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4"/>
      <w:szCs w:val="24"/>
    </w:rPr>
  </w:style>
  <w:style w:type="paragraph" w:customStyle="1" w:styleId="xl111">
    <w:name w:val="xl111"/>
    <w:basedOn w:val="Normal"/>
    <w:rsid w:val="00373AAC"/>
    <w:pPr>
      <w:pBdr>
        <w:top w:val="single" w:sz="4" w:space="0" w:color="000000"/>
        <w:bottom w:val="single" w:sz="8" w:space="0" w:color="auto"/>
      </w:pBdr>
      <w:autoSpaceDE/>
      <w:autoSpaceDN/>
      <w:adjustRightInd/>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rPr>
  </w:style>
  <w:style w:type="paragraph" w:customStyle="1" w:styleId="xl112">
    <w:name w:val="xl112"/>
    <w:basedOn w:val="Normal"/>
    <w:rsid w:val="00373AAC"/>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13">
    <w:name w:val="xl113"/>
    <w:basedOn w:val="Normal"/>
    <w:rsid w:val="00373AAC"/>
    <w:pPr>
      <w:pBdr>
        <w:top w:val="single" w:sz="4" w:space="0" w:color="000000"/>
        <w:bottom w:val="single" w:sz="4" w:space="0" w:color="auto"/>
      </w:pBdr>
      <w:autoSpaceDE/>
      <w:autoSpaceDN/>
      <w:adjustRightInd/>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rPr>
  </w:style>
  <w:style w:type="paragraph" w:customStyle="1" w:styleId="xl114">
    <w:name w:val="xl114"/>
    <w:basedOn w:val="Normal"/>
    <w:rsid w:val="00373AAC"/>
    <w:pPr>
      <w:pBdr>
        <w:top w:val="single" w:sz="4" w:space="0" w:color="000000"/>
        <w:left w:val="single" w:sz="4" w:space="0" w:color="000000"/>
        <w:bottom w:val="single" w:sz="4" w:space="0" w:color="auto"/>
        <w:right w:val="single" w:sz="8" w:space="0" w:color="000000"/>
      </w:pBdr>
      <w:autoSpaceDE/>
      <w:autoSpaceDN/>
      <w:adjustRightInd/>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rPr>
  </w:style>
  <w:style w:type="paragraph" w:customStyle="1" w:styleId="xl115">
    <w:name w:val="xl115"/>
    <w:basedOn w:val="Normal"/>
    <w:rsid w:val="00373AAC"/>
    <w:pPr>
      <w:pBdr>
        <w:top w:val="single" w:sz="4" w:space="0" w:color="000000"/>
        <w:left w:val="single" w:sz="8" w:space="0" w:color="000000"/>
        <w:bottom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6">
    <w:name w:val="xl116"/>
    <w:basedOn w:val="Normal"/>
    <w:rsid w:val="00373AAC"/>
    <w:pPr>
      <w:pBdr>
        <w:top w:val="single" w:sz="4" w:space="0" w:color="000000"/>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7">
    <w:name w:val="xl117"/>
    <w:basedOn w:val="Normal"/>
    <w:rsid w:val="00373A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i/>
      <w:iCs/>
      <w:color w:val="auto"/>
      <w:sz w:val="24"/>
      <w:szCs w:val="24"/>
    </w:rPr>
  </w:style>
  <w:style w:type="paragraph" w:customStyle="1" w:styleId="xl118">
    <w:name w:val="xl118"/>
    <w:basedOn w:val="Normal"/>
    <w:rsid w:val="00373AAC"/>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i/>
      <w:iCs/>
      <w:color w:val="auto"/>
      <w:sz w:val="24"/>
      <w:szCs w:val="24"/>
    </w:rPr>
  </w:style>
  <w:style w:type="paragraph" w:customStyle="1" w:styleId="xl119">
    <w:name w:val="xl119"/>
    <w:basedOn w:val="Normal"/>
    <w:rsid w:val="00373AAC"/>
    <w:pPr>
      <w:pBdr>
        <w:top w:val="single" w:sz="4" w:space="0" w:color="auto"/>
        <w:left w:val="single" w:sz="8" w:space="0" w:color="000000"/>
        <w:bottom w:val="single" w:sz="4" w:space="0" w:color="000000"/>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0">
    <w:name w:val="xl120"/>
    <w:basedOn w:val="Normal"/>
    <w:rsid w:val="00373AAC"/>
    <w:pPr>
      <w:pBdr>
        <w:top w:val="single" w:sz="4" w:space="0" w:color="auto"/>
        <w:bottom w:val="single" w:sz="4" w:space="0" w:color="000000"/>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1">
    <w:name w:val="xl121"/>
    <w:basedOn w:val="Normal"/>
    <w:rsid w:val="00373AAC"/>
    <w:pPr>
      <w:pBdr>
        <w:top w:val="single" w:sz="4" w:space="0" w:color="000000"/>
        <w:bottom w:val="single" w:sz="4" w:space="0" w:color="000000"/>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2">
    <w:name w:val="xl122"/>
    <w:basedOn w:val="Normal"/>
    <w:rsid w:val="00373AAC"/>
    <w:pPr>
      <w:pBdr>
        <w:top w:val="single" w:sz="4" w:space="0" w:color="auto"/>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3">
    <w:name w:val="xl123"/>
    <w:basedOn w:val="Normal"/>
    <w:rsid w:val="00373AAC"/>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4">
    <w:name w:val="xl124"/>
    <w:basedOn w:val="Normal"/>
    <w:rsid w:val="00373AAC"/>
    <w:pPr>
      <w:pBdr>
        <w:top w:val="single" w:sz="4" w:space="0" w:color="000000"/>
        <w:left w:val="single" w:sz="4" w:space="0" w:color="000000"/>
        <w:bottom w:val="single" w:sz="4" w:space="0" w:color="auto"/>
        <w:right w:val="single" w:sz="4" w:space="0" w:color="000000"/>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5">
    <w:name w:val="xl125"/>
    <w:basedOn w:val="Normal"/>
    <w:rsid w:val="00373AAC"/>
    <w:pPr>
      <w:pBdr>
        <w:top w:val="single" w:sz="4" w:space="0" w:color="000000"/>
        <w:bottom w:val="single" w:sz="8"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6">
    <w:name w:val="xl126"/>
    <w:basedOn w:val="Normal"/>
    <w:rsid w:val="00373AAC"/>
    <w:pPr>
      <w:pBdr>
        <w:top w:val="single" w:sz="4" w:space="0" w:color="000000"/>
        <w:left w:val="single" w:sz="4" w:space="0" w:color="000000"/>
        <w:bottom w:val="single" w:sz="8" w:space="0" w:color="auto"/>
        <w:right w:val="single" w:sz="4" w:space="0" w:color="000000"/>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7">
    <w:name w:val="xl127"/>
    <w:basedOn w:val="Normal"/>
    <w:rsid w:val="00373AAC"/>
    <w:pPr>
      <w:pBdr>
        <w:top w:val="single" w:sz="4" w:space="0" w:color="auto"/>
        <w:left w:val="single" w:sz="4" w:space="0" w:color="000000"/>
        <w:bottom w:val="single" w:sz="8" w:space="0" w:color="000000"/>
        <w:right w:val="single" w:sz="8" w:space="0" w:color="000000"/>
      </w:pBdr>
      <w:autoSpaceDE/>
      <w:autoSpaceDN/>
      <w:adjustRightInd/>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rPr>
  </w:style>
  <w:style w:type="paragraph" w:customStyle="1" w:styleId="xl128">
    <w:name w:val="xl128"/>
    <w:basedOn w:val="Normal"/>
    <w:rsid w:val="00373AAC"/>
    <w:pPr>
      <w:pBdr>
        <w:top w:val="single" w:sz="8" w:space="0" w:color="auto"/>
        <w:bottom w:val="single" w:sz="4" w:space="0" w:color="auto"/>
        <w:right w:val="single" w:sz="4" w:space="0" w:color="000000"/>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29">
    <w:name w:val="xl129"/>
    <w:basedOn w:val="Normal"/>
    <w:rsid w:val="00373AAC"/>
    <w:pPr>
      <w:pBdr>
        <w:top w:val="single" w:sz="4" w:space="0" w:color="auto"/>
        <w:bottom w:val="single" w:sz="4" w:space="0" w:color="auto"/>
        <w:right w:val="single" w:sz="4" w:space="0" w:color="000000"/>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30">
    <w:name w:val="xl130"/>
    <w:basedOn w:val="Normal"/>
    <w:rsid w:val="00373AAC"/>
    <w:pPr>
      <w:pBdr>
        <w:top w:val="single" w:sz="4" w:space="0" w:color="auto"/>
        <w:bottom w:val="single" w:sz="8" w:space="0" w:color="auto"/>
        <w:right w:val="single" w:sz="4" w:space="0" w:color="000000"/>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31">
    <w:name w:val="xl131"/>
    <w:basedOn w:val="Normal"/>
    <w:rsid w:val="00373AAC"/>
    <w:pPr>
      <w:pBdr>
        <w:top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32">
    <w:name w:val="xl132"/>
    <w:basedOn w:val="Normal"/>
    <w:rsid w:val="00373AAC"/>
    <w:pPr>
      <w:pBdr>
        <w:top w:val="single" w:sz="4" w:space="0" w:color="000000"/>
        <w:bottom w:val="single" w:sz="4" w:space="0" w:color="000000"/>
        <w:right w:val="single" w:sz="8" w:space="0" w:color="000000"/>
      </w:pBdr>
      <w:autoSpaceDE/>
      <w:autoSpaceDN/>
      <w:adjustRightInd/>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rPr>
  </w:style>
  <w:style w:type="paragraph" w:customStyle="1" w:styleId="xl133">
    <w:name w:val="xl133"/>
    <w:basedOn w:val="Normal"/>
    <w:rsid w:val="00373AAC"/>
    <w:pPr>
      <w:pBdr>
        <w:top w:val="single" w:sz="4" w:space="0" w:color="000000"/>
        <w:right w:val="single" w:sz="4" w:space="0" w:color="auto"/>
      </w:pBdr>
      <w:autoSpaceDE/>
      <w:autoSpaceDN/>
      <w:adjustRightInd/>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rPr>
  </w:style>
  <w:style w:type="paragraph" w:customStyle="1" w:styleId="xl134">
    <w:name w:val="xl134"/>
    <w:basedOn w:val="Normal"/>
    <w:rsid w:val="00373AAC"/>
    <w:pPr>
      <w:pBdr>
        <w:top w:val="single" w:sz="4" w:space="0" w:color="000000"/>
        <w:bottom w:val="single" w:sz="8" w:space="0" w:color="auto"/>
        <w:right w:val="single" w:sz="4" w:space="0" w:color="auto"/>
      </w:pBdr>
      <w:autoSpaceDE/>
      <w:autoSpaceDN/>
      <w:adjustRightInd/>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rPr>
  </w:style>
  <w:style w:type="paragraph" w:customStyle="1" w:styleId="xl135">
    <w:name w:val="xl135"/>
    <w:basedOn w:val="Normal"/>
    <w:rsid w:val="00373AAC"/>
    <w:pPr>
      <w:pBdr>
        <w:top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font0">
    <w:name w:val="font0"/>
    <w:basedOn w:val="Normal"/>
    <w:rsid w:val="00373AAC"/>
    <w:pPr>
      <w:autoSpaceDE/>
      <w:autoSpaceDN/>
      <w:adjustRightInd/>
      <w:spacing w:before="100" w:beforeAutospacing="1" w:after="100" w:afterAutospacing="1" w:line="240" w:lineRule="auto"/>
    </w:pPr>
    <w:rPr>
      <w:rFonts w:eastAsia="Times New Roman"/>
      <w:color w:val="000000"/>
    </w:rPr>
  </w:style>
  <w:style w:type="paragraph" w:customStyle="1" w:styleId="font5">
    <w:name w:val="font5"/>
    <w:basedOn w:val="Normal"/>
    <w:rsid w:val="00373AAC"/>
    <w:pPr>
      <w:autoSpaceDE/>
      <w:autoSpaceDN/>
      <w:adjustRightInd/>
      <w:spacing w:before="100" w:beforeAutospacing="1" w:after="100" w:afterAutospacing="1" w:line="240" w:lineRule="auto"/>
    </w:pPr>
    <w:rPr>
      <w:rFonts w:eastAsia="Times New Roman"/>
      <w:color w:val="000000"/>
      <w:sz w:val="20"/>
      <w:szCs w:val="20"/>
    </w:rPr>
  </w:style>
  <w:style w:type="paragraph" w:customStyle="1" w:styleId="font6">
    <w:name w:val="font6"/>
    <w:basedOn w:val="Normal"/>
    <w:rsid w:val="00373AAC"/>
    <w:pPr>
      <w:autoSpaceDE/>
      <w:autoSpaceDN/>
      <w:adjustRightInd/>
      <w:spacing w:before="100" w:beforeAutospacing="1" w:after="100" w:afterAutospacing="1" w:line="240" w:lineRule="auto"/>
    </w:pPr>
    <w:rPr>
      <w:rFonts w:eastAsia="Times New Roman"/>
      <w:color w:val="auto"/>
      <w:sz w:val="20"/>
      <w:szCs w:val="20"/>
    </w:rPr>
  </w:style>
  <w:style w:type="paragraph" w:customStyle="1" w:styleId="font7">
    <w:name w:val="font7"/>
    <w:basedOn w:val="Normal"/>
    <w:rsid w:val="00373AAC"/>
    <w:pPr>
      <w:autoSpaceDE/>
      <w:autoSpaceDN/>
      <w:adjustRightInd/>
      <w:spacing w:before="100" w:beforeAutospacing="1" w:after="100" w:afterAutospacing="1" w:line="240" w:lineRule="auto"/>
    </w:pPr>
    <w:rPr>
      <w:rFonts w:eastAsia="Times New Roman"/>
      <w:color w:val="auto"/>
    </w:rPr>
  </w:style>
  <w:style w:type="paragraph" w:customStyle="1" w:styleId="font8">
    <w:name w:val="font8"/>
    <w:basedOn w:val="Normal"/>
    <w:rsid w:val="00373AAC"/>
    <w:pPr>
      <w:autoSpaceDE/>
      <w:autoSpaceDN/>
      <w:adjustRightInd/>
      <w:spacing w:before="100" w:beforeAutospacing="1" w:after="100" w:afterAutospacing="1" w:line="240" w:lineRule="auto"/>
    </w:pPr>
    <w:rPr>
      <w:rFonts w:eastAsia="Times New Roman"/>
      <w:color w:val="000000"/>
      <w:sz w:val="20"/>
      <w:szCs w:val="20"/>
    </w:rPr>
  </w:style>
  <w:style w:type="paragraph" w:customStyle="1" w:styleId="font9">
    <w:name w:val="font9"/>
    <w:basedOn w:val="Normal"/>
    <w:rsid w:val="00373AAC"/>
    <w:pPr>
      <w:autoSpaceDE/>
      <w:autoSpaceDN/>
      <w:adjustRightInd/>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373AAC"/>
    <w:pPr>
      <w:autoSpaceDE/>
      <w:autoSpaceDN/>
      <w:adjustRightInd/>
      <w:spacing w:before="100" w:beforeAutospacing="1" w:after="100" w:afterAutospacing="1" w:line="240" w:lineRule="auto"/>
    </w:pPr>
    <w:rPr>
      <w:rFonts w:eastAsia="Times New Roman"/>
      <w:i/>
      <w:iCs/>
      <w:color w:val="000000"/>
      <w:sz w:val="20"/>
      <w:szCs w:val="20"/>
    </w:rPr>
  </w:style>
  <w:style w:type="paragraph" w:customStyle="1" w:styleId="font11">
    <w:name w:val="font11"/>
    <w:basedOn w:val="Normal"/>
    <w:rsid w:val="00373AAC"/>
    <w:pPr>
      <w:autoSpaceDE/>
      <w:autoSpaceDN/>
      <w:adjustRightInd/>
      <w:spacing w:before="100" w:beforeAutospacing="1" w:after="100" w:afterAutospacing="1" w:line="240" w:lineRule="auto"/>
    </w:pPr>
    <w:rPr>
      <w:rFonts w:eastAsia="Times New Roman"/>
      <w:color w:val="auto"/>
      <w:sz w:val="20"/>
      <w:szCs w:val="20"/>
    </w:rPr>
  </w:style>
  <w:style w:type="paragraph" w:customStyle="1" w:styleId="font12">
    <w:name w:val="font12"/>
    <w:basedOn w:val="Normal"/>
    <w:rsid w:val="00373AAC"/>
    <w:pPr>
      <w:autoSpaceDE/>
      <w:autoSpaceDN/>
      <w:adjustRightInd/>
      <w:spacing w:before="100" w:beforeAutospacing="1" w:after="100" w:afterAutospacing="1" w:line="240" w:lineRule="auto"/>
    </w:pPr>
    <w:rPr>
      <w:rFonts w:eastAsia="Times New Roman"/>
      <w:color w:val="000000"/>
      <w:sz w:val="16"/>
      <w:szCs w:val="16"/>
    </w:rPr>
  </w:style>
  <w:style w:type="paragraph" w:customStyle="1" w:styleId="font13">
    <w:name w:val="font13"/>
    <w:basedOn w:val="Normal"/>
    <w:rsid w:val="00373AAC"/>
    <w:pPr>
      <w:autoSpaceDE/>
      <w:autoSpaceDN/>
      <w:adjustRightInd/>
      <w:spacing w:before="100" w:beforeAutospacing="1" w:after="100" w:afterAutospacing="1" w:line="240" w:lineRule="auto"/>
    </w:pPr>
    <w:rPr>
      <w:rFonts w:eastAsia="Times New Roman"/>
      <w:i/>
      <w:iCs/>
      <w:color w:val="000000"/>
      <w:sz w:val="20"/>
      <w:szCs w:val="20"/>
    </w:rPr>
  </w:style>
  <w:style w:type="paragraph" w:customStyle="1" w:styleId="font14">
    <w:name w:val="font14"/>
    <w:basedOn w:val="Normal"/>
    <w:rsid w:val="00373AAC"/>
    <w:pPr>
      <w:autoSpaceDE/>
      <w:autoSpaceDN/>
      <w:adjustRightInd/>
      <w:spacing w:before="100" w:beforeAutospacing="1" w:after="100" w:afterAutospacing="1" w:line="240" w:lineRule="auto"/>
    </w:pPr>
    <w:rPr>
      <w:rFonts w:ascii="Times New Roman" w:eastAsia="Times New Roman" w:hAnsi="Times New Roman" w:cs="Times New Roman"/>
      <w:color w:val="595959"/>
      <w:sz w:val="14"/>
      <w:szCs w:val="14"/>
    </w:rPr>
  </w:style>
  <w:style w:type="paragraph" w:customStyle="1" w:styleId="xl70">
    <w:name w:val="xl70"/>
    <w:basedOn w:val="Normal"/>
    <w:rsid w:val="00373AAC"/>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line="240" w:lineRule="auto"/>
    </w:pPr>
    <w:rPr>
      <w:rFonts w:eastAsia="Times New Roman"/>
      <w:color w:val="auto"/>
      <w:sz w:val="24"/>
      <w:szCs w:val="24"/>
    </w:rPr>
  </w:style>
  <w:style w:type="paragraph" w:customStyle="1" w:styleId="xl71">
    <w:name w:val="xl71"/>
    <w:basedOn w:val="Normal"/>
    <w:rsid w:val="00373AAC"/>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eastAsia="Times New Roman"/>
      <w:b/>
      <w:bCs/>
      <w:color w:val="auto"/>
      <w:sz w:val="24"/>
      <w:szCs w:val="24"/>
    </w:rPr>
  </w:style>
  <w:style w:type="paragraph" w:customStyle="1" w:styleId="xl72">
    <w:name w:val="xl72"/>
    <w:basedOn w:val="Normal"/>
    <w:rsid w:val="00373AAC"/>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textAlignment w:val="center"/>
    </w:pPr>
    <w:rPr>
      <w:rFonts w:eastAsia="Times New Roman"/>
      <w:color w:val="auto"/>
      <w:sz w:val="24"/>
      <w:szCs w:val="24"/>
    </w:rPr>
  </w:style>
  <w:style w:type="paragraph" w:customStyle="1" w:styleId="xl73">
    <w:name w:val="xl73"/>
    <w:basedOn w:val="Normal"/>
    <w:rsid w:val="00373AAC"/>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textAlignment w:val="center"/>
    </w:pPr>
    <w:rPr>
      <w:rFonts w:eastAsia="Times New Roman"/>
      <w:color w:val="auto"/>
      <w:sz w:val="24"/>
      <w:szCs w:val="24"/>
    </w:rPr>
  </w:style>
  <w:style w:type="paragraph" w:customStyle="1" w:styleId="xl136">
    <w:name w:val="xl136"/>
    <w:basedOn w:val="Normal"/>
    <w:rsid w:val="00373A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37">
    <w:name w:val="xl137"/>
    <w:basedOn w:val="Normal"/>
    <w:rsid w:val="00373AAC"/>
    <w:pPr>
      <w:pBdr>
        <w:top w:val="single" w:sz="4" w:space="0" w:color="auto"/>
        <w:left w:val="single" w:sz="4" w:space="0" w:color="auto"/>
        <w:right w:val="single" w:sz="4" w:space="0" w:color="auto"/>
      </w:pBdr>
      <w:autoSpaceDE/>
      <w:autoSpaceDN/>
      <w:adjustRightInd/>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38">
    <w:name w:val="xl138"/>
    <w:basedOn w:val="Normal"/>
    <w:rsid w:val="00373AAC"/>
    <w:pPr>
      <w:pBdr>
        <w:top w:val="single" w:sz="4" w:space="0" w:color="auto"/>
        <w:bottom w:val="single" w:sz="8" w:space="0" w:color="auto"/>
        <w:right w:val="single" w:sz="4" w:space="0" w:color="auto"/>
      </w:pBdr>
      <w:autoSpaceDE/>
      <w:autoSpaceDN/>
      <w:adjustRightInd/>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39">
    <w:name w:val="xl139"/>
    <w:basedOn w:val="Normal"/>
    <w:rsid w:val="00373AAC"/>
    <w:pPr>
      <w:autoSpaceDE/>
      <w:autoSpaceDN/>
      <w:adjustRightInd/>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0">
    <w:name w:val="xl140"/>
    <w:basedOn w:val="Normal"/>
    <w:rsid w:val="00373AAC"/>
    <w:pPr>
      <w:autoSpaceDE/>
      <w:autoSpaceDN/>
      <w:adjustRightInd/>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41">
    <w:name w:val="xl141"/>
    <w:basedOn w:val="Normal"/>
    <w:rsid w:val="00373AAC"/>
    <w:pPr>
      <w:pBdr>
        <w:top w:val="single" w:sz="8" w:space="0" w:color="auto"/>
        <w:left w:val="single" w:sz="8" w:space="0" w:color="auto"/>
        <w:bottom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69">
    <w:name w:val="xl69"/>
    <w:basedOn w:val="Normal"/>
    <w:rsid w:val="00373AAC"/>
    <w:pPr>
      <w:pBdr>
        <w:top w:val="single" w:sz="8" w:space="0" w:color="auto"/>
        <w:right w:val="single" w:sz="8" w:space="0" w:color="auto"/>
      </w:pBdr>
      <w:autoSpaceDE/>
      <w:autoSpaceDN/>
      <w:adjustRightInd/>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2">
    <w:name w:val="xl142"/>
    <w:basedOn w:val="Normal"/>
    <w:rsid w:val="00373AAC"/>
    <w:pPr>
      <w:pBdr>
        <w:top w:val="single" w:sz="4" w:space="0" w:color="auto"/>
        <w:bottom w:val="single" w:sz="8"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table" w:customStyle="1" w:styleId="GridTable21">
    <w:name w:val="Grid Table 21"/>
    <w:basedOn w:val="TableNormal"/>
    <w:next w:val="GridTable2"/>
    <w:uiPriority w:val="47"/>
    <w:rsid w:val="00373AAC"/>
    <w:pPr>
      <w:spacing w:line="240" w:lineRule="auto"/>
    </w:pPr>
    <w:rPr>
      <w:rFonts w:asciiTheme="minorHAnsi" w:hAnsiTheme="minorHAnsi" w:cstheme="minorBid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evel1">
    <w:name w:val="Level 1"/>
    <w:basedOn w:val="Normal"/>
    <w:rsid w:val="00A5087F"/>
    <w:pPr>
      <w:widowControl w:val="0"/>
      <w:autoSpaceDE/>
      <w:autoSpaceDN/>
      <w:adjustRightInd/>
      <w:spacing w:line="240" w:lineRule="auto"/>
    </w:pPr>
    <w:rPr>
      <w:rFonts w:ascii="Times New Roman" w:eastAsia="Times New Roman" w:hAnsi="Times New Roman" w:cs="Times New Roman"/>
      <w:color w:val="auto"/>
      <w:sz w:val="24"/>
      <w:szCs w:val="20"/>
    </w:rPr>
  </w:style>
  <w:style w:type="numbering" w:customStyle="1" w:styleId="StyleBulleted">
    <w:name w:val="Style Bulleted"/>
    <w:basedOn w:val="NoList"/>
    <w:rsid w:val="00A5087F"/>
    <w:pPr>
      <w:numPr>
        <w:numId w:val="20"/>
      </w:numPr>
    </w:pPr>
  </w:style>
  <w:style w:type="paragraph" w:customStyle="1" w:styleId="Level8">
    <w:name w:val="Level 8"/>
    <w:basedOn w:val="Normal"/>
    <w:rsid w:val="00A5087F"/>
    <w:pPr>
      <w:widowControl w:val="0"/>
      <w:autoSpaceDE/>
      <w:autoSpaceDN/>
      <w:adjustRightInd/>
      <w:spacing w:line="240" w:lineRule="auto"/>
    </w:pPr>
    <w:rPr>
      <w:rFonts w:eastAsia="Times New Roman" w:cs="Times New Roman"/>
      <w:color w:val="auto"/>
      <w:szCs w:val="20"/>
    </w:rPr>
  </w:style>
  <w:style w:type="character" w:customStyle="1" w:styleId="Hypertext">
    <w:name w:val="Hypertext"/>
    <w:rsid w:val="00FD5001"/>
    <w:rPr>
      <w:color w:val="0000FF"/>
      <w:u w:val="single"/>
    </w:rPr>
  </w:style>
  <w:style w:type="character" w:customStyle="1" w:styleId="ui-provider">
    <w:name w:val="ui-provider"/>
    <w:basedOn w:val="DefaultParagraphFont"/>
    <w:rsid w:val="00CB3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4.xml" /><Relationship Id="rId11" Type="http://schemas.openxmlformats.org/officeDocument/2006/relationships/image" Target="media/image2.emf" /><Relationship Id="rId12" Type="http://schemas.openxmlformats.org/officeDocument/2006/relationships/image" Target="media/image3.emf" /><Relationship Id="rId13" Type="http://schemas.openxmlformats.org/officeDocument/2006/relationships/image" Target="media/image4.emf" /><Relationship Id="rId14" Type="http://schemas.openxmlformats.org/officeDocument/2006/relationships/image" Target="media/image5.emf" /><Relationship Id="rId15" Type="http://schemas.openxmlformats.org/officeDocument/2006/relationships/hyperlink" Target="http://www.bls.gov/soc/home.htm" TargetMode="External" /><Relationship Id="rId16" Type="http://schemas.openxmlformats.org/officeDocument/2006/relationships/hyperlink" Target="https://www.bls.gov/cpi/tables/supplemental-files/home.htm" TargetMode="External" /><Relationship Id="rId17" Type="http://schemas.openxmlformats.org/officeDocument/2006/relationships/hyperlink" Target="https://obamawhitehouse.archives.gov/omb/circulars_a004_a-4/" TargetMode="External" /><Relationship Id="rId18" Type="http://schemas.openxmlformats.org/officeDocument/2006/relationships/hyperlink" Target="https://www.whitehouse.gov/wp-content/uploads/2023/11/CircularA-4.pdf" TargetMode="External" /><Relationship Id="rId19" Type="http://schemas.openxmlformats.org/officeDocument/2006/relationships/footer" Target="footer5.xml" /><Relationship Id="rId2" Type="http://schemas.openxmlformats.org/officeDocument/2006/relationships/settings" Target="settings.xml" /><Relationship Id="rId20" Type="http://schemas.openxmlformats.org/officeDocument/2006/relationships/footer" Target="footer6.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A3ABD-2887-4745-BA2C-16B1EDA4940A}">
  <ds:schemaRefs>
    <ds:schemaRef ds:uri="http://schemas.openxmlformats.org/officeDocument/2006/bibliography"/>
  </ds:schemaRefs>
</ds:datastoreItem>
</file>

<file path=docMetadata/LabelInfo.xml><?xml version="1.0" encoding="utf-8"?>
<clbl:labelList xmlns:clbl="http://schemas.microsoft.com/office/2020/mipLabelMetadata">
  <clbl:label id="{fb74f9b6-60a9-4243-a26a-1dfd9303d70f}" enabled="1" method="Privilege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0</TotalTime>
  <Pages>53</Pages>
  <Words>13279</Words>
  <Characters>75696</Characters>
  <Application>Microsoft Office Word</Application>
  <DocSecurity>0</DocSecurity>
  <Lines>630</Lines>
  <Paragraphs>177</Paragraphs>
  <ScaleCrop>false</ScaleCrop>
  <Company/>
  <LinksUpToDate>false</LinksUpToDate>
  <CharactersWithSpaces>88798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2024-06-17T20:59:00Z</dcterms:created>
  <dcterms:modified xsi:type="dcterms:W3CDTF">2024-06-18T17:07:00Z</dcterms:modified>
</cp:coreProperties>
</file>