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215" w:rsidRPr="008E10F4" w14:paraId="27ACA79C" w14:textId="77777777">
      <w:pPr>
        <w:tabs>
          <w:tab w:val="left" w:pos="-720"/>
          <w:tab w:val="left" w:pos="0"/>
          <w:tab w:val="left" w:pos="720"/>
          <w:tab w:val="left" w:pos="1080"/>
        </w:tabs>
        <w:suppressAutoHyphens/>
        <w:rPr>
          <w:rFonts w:ascii="Calibri" w:hAnsi="Calibri"/>
          <w:b/>
          <w:bCs/>
          <w:sz w:val="20"/>
          <w:szCs w:val="20"/>
          <w:u w:val="single"/>
        </w:rPr>
      </w:pPr>
    </w:p>
    <w:p w:rsidR="005110BA" w:rsidP="005110BA" w14:paraId="25A6D986" w14:textId="543FEB9F">
      <w:pPr>
        <w:spacing w:before="204" w:line="207" w:lineRule="exact"/>
        <w:ind w:right="72"/>
        <w:jc w:val="both"/>
        <w:textAlignment w:val="baseline"/>
        <w:rPr>
          <w:sz w:val="18"/>
          <w:szCs w:val="18"/>
        </w:rPr>
      </w:pPr>
      <w:r w:rsidRPr="7795856A">
        <w:rPr>
          <w:sz w:val="18"/>
          <w:szCs w:val="18"/>
        </w:rPr>
        <w:t xml:space="preserve">Public reporting burden for this collection of information is estimated to average </w:t>
      </w:r>
      <w:r w:rsidRPr="7795856A" w:rsidR="003A0C54">
        <w:rPr>
          <w:sz w:val="18"/>
          <w:szCs w:val="18"/>
        </w:rPr>
        <w:t>8</w:t>
      </w:r>
      <w:r w:rsidRPr="7795856A">
        <w:rPr>
          <w:sz w:val="18"/>
          <w:szCs w:val="18"/>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for required conversion under Section 33 of the </w:t>
      </w:r>
      <w:r w:rsidRPr="7795856A" w:rsidR="59CB1CA0">
        <w:rPr>
          <w:sz w:val="18"/>
          <w:szCs w:val="18"/>
        </w:rPr>
        <w:t>U.S. Housing Act of 1937 (</w:t>
      </w:r>
      <w:r w:rsidRPr="7795856A">
        <w:rPr>
          <w:sz w:val="18"/>
          <w:szCs w:val="18"/>
        </w:rPr>
        <w:t>1937 Act</w:t>
      </w:r>
      <w:r w:rsidRPr="7795856A" w:rsidR="1EC69462">
        <w:rPr>
          <w:sz w:val="18"/>
          <w:szCs w:val="18"/>
        </w:rPr>
        <w:t>)</w:t>
      </w:r>
      <w:r w:rsidRPr="7795856A">
        <w:rPr>
          <w:sz w:val="18"/>
          <w:szCs w:val="18"/>
        </w:rPr>
        <w:t xml:space="preserve"> and 24 CFR part 972.</w:t>
      </w:r>
      <w:r w:rsidRPr="7795856A">
        <w:rPr>
          <w:color w:val="000000" w:themeColor="text1"/>
          <w:sz w:val="18"/>
          <w:szCs w:val="18"/>
        </w:rPr>
        <w:t xml:space="preserve"> </w:t>
      </w:r>
      <w:r w:rsidRPr="7795856A">
        <w:rPr>
          <w:sz w:val="18"/>
          <w:szCs w:val="18"/>
        </w:rPr>
        <w:t xml:space="preserve">HUD will use this information to review </w:t>
      </w:r>
      <w:r w:rsidRPr="7795856A" w:rsidR="5A27C6EA">
        <w:rPr>
          <w:sz w:val="18"/>
          <w:szCs w:val="18"/>
        </w:rPr>
        <w:t>Public Housing Authority (</w:t>
      </w:r>
      <w:r w:rsidRPr="7795856A">
        <w:rPr>
          <w:sz w:val="18"/>
          <w:szCs w:val="18"/>
        </w:rPr>
        <w:t>PHA</w:t>
      </w:r>
      <w:r w:rsidRPr="7795856A" w:rsidR="12503D7A">
        <w:rPr>
          <w:sz w:val="18"/>
          <w:szCs w:val="18"/>
        </w:rPr>
        <w:t>)</w:t>
      </w:r>
      <w:r w:rsidRPr="7795856A">
        <w:rPr>
          <w:sz w:val="18"/>
          <w:szCs w:val="18"/>
        </w:rPr>
        <w:t xml:space="preserve"> requests, as well as to track removals for other record keeping requirements.  </w:t>
      </w:r>
      <w:r w:rsidRPr="7795856A">
        <w:rPr>
          <w:color w:val="000000" w:themeColor="text1"/>
          <w:sz w:val="18"/>
          <w:szCs w:val="18"/>
        </w:rPr>
        <w:t xml:space="preserve">Please refer to the instructions for guidance on completing this form. </w:t>
      </w:r>
      <w:r w:rsidRPr="7795856A">
        <w:rPr>
          <w:rFonts w:eastAsia="PMingLiU"/>
          <w:sz w:val="18"/>
          <w:szCs w:val="18"/>
        </w:rPr>
        <w:t xml:space="preserve">There is no personal information contained in this application. Information on activities and expenditures of grant funds is public information and is generally available for disclosure. Recipients are responsible for ensuring confidentiality when disclosure is not required. </w:t>
      </w:r>
      <w:r w:rsidR="00A31446">
        <w:rPr>
          <w:rFonts w:eastAsia="PMingLiU"/>
          <w:sz w:val="18"/>
          <w:szCs w:val="18"/>
        </w:rPr>
        <w:t>T</w:t>
      </w:r>
      <w:r w:rsidRPr="7795856A">
        <w:rPr>
          <w:rFonts w:eastAsia="PMingLiU"/>
          <w:sz w:val="18"/>
          <w:szCs w:val="18"/>
        </w:rPr>
        <w:t>he information collected will not be held confidential.</w:t>
      </w:r>
      <w:r w:rsidRPr="7795856A">
        <w:rPr>
          <w:sz w:val="18"/>
          <w:szCs w:val="18"/>
        </w:rPr>
        <w:t xml:space="preserve"> </w:t>
      </w:r>
    </w:p>
    <w:p w:rsidR="00E57965" w:rsidRPr="00AE70C6" w:rsidP="00AE70C6" w14:paraId="0CF3B8F5" w14:textId="77777777">
      <w:pPr>
        <w:jc w:val="both"/>
        <w:rPr>
          <w:sz w:val="20"/>
          <w:szCs w:val="20"/>
        </w:rPr>
      </w:pPr>
    </w:p>
    <w:tbl>
      <w:tblPr>
        <w:tblW w:w="4910" w:type="pct"/>
        <w:tblInd w:w="1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8535"/>
        <w:gridCol w:w="2041"/>
      </w:tblGrid>
      <w:tr w14:paraId="3504EEB8" w14:textId="77777777" w:rsidTr="369F4680">
        <w:tblPrEx>
          <w:tblW w:w="4910" w:type="pct"/>
          <w:tblInd w:w="19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465"/>
        </w:trPr>
        <w:tc>
          <w:tcPr>
            <w:tcW w:w="5000" w:type="pct"/>
            <w:gridSpan w:val="2"/>
            <w:tcBorders>
              <w:top w:val="single" w:sz="12" w:space="0" w:color="auto"/>
              <w:left w:val="single" w:sz="12" w:space="0" w:color="auto"/>
              <w:right w:val="single" w:sz="12" w:space="0" w:color="auto"/>
            </w:tcBorders>
            <w:vAlign w:val="center"/>
          </w:tcPr>
          <w:p w:rsidR="0007347C" w:rsidRPr="00DB11DC" w:rsidP="00DB11DC" w14:paraId="7D0B4938" w14:textId="77777777">
            <w:pPr>
              <w:rPr>
                <w:b/>
                <w:color w:val="000000"/>
              </w:rPr>
            </w:pPr>
            <w:r w:rsidRPr="00DB11DC">
              <w:rPr>
                <w:b/>
              </w:rPr>
              <w:t xml:space="preserve">(1) </w:t>
            </w:r>
            <w:r w:rsidRPr="00DB11DC" w:rsidR="00786C6E">
              <w:rPr>
                <w:b/>
              </w:rPr>
              <w:t>Project Subject to Required Conversion</w:t>
            </w:r>
          </w:p>
        </w:tc>
      </w:tr>
      <w:tr w14:paraId="44285A75" w14:textId="77777777" w:rsidTr="369F4680">
        <w:tblPrEx>
          <w:tblW w:w="4910" w:type="pct"/>
          <w:tblInd w:w="198" w:type="dxa"/>
          <w:tblLook w:val="0000"/>
        </w:tblPrEx>
        <w:trPr>
          <w:trHeight w:val="697"/>
        </w:trPr>
        <w:tc>
          <w:tcPr>
            <w:tcW w:w="5000" w:type="pct"/>
            <w:gridSpan w:val="2"/>
            <w:tcBorders>
              <w:left w:val="single" w:sz="12" w:space="0" w:color="auto"/>
              <w:right w:val="single" w:sz="12" w:space="0" w:color="auto"/>
            </w:tcBorders>
          </w:tcPr>
          <w:p w:rsidR="00E164A4" w:rsidRPr="00AE70C6" w:rsidP="369F4680" w14:paraId="1946C89C" w14:textId="71BAAF5C">
            <w:pPr>
              <w:ind w:left="617"/>
              <w:rPr>
                <w:i/>
                <w:iCs/>
              </w:rPr>
            </w:pPr>
            <w:r w:rsidRPr="369F4680">
              <w:rPr>
                <w:i/>
                <w:iCs/>
              </w:rPr>
              <w:t>Attach</w:t>
            </w:r>
            <w:r w:rsidRPr="369F4680" w:rsidR="002C5BE2">
              <w:rPr>
                <w:i/>
                <w:iCs/>
              </w:rPr>
              <w:t xml:space="preserve"> the PHA’s rationale for why the project is subject to required conversion</w:t>
            </w:r>
            <w:r w:rsidRPr="369F4680" w:rsidR="3403CC95">
              <w:rPr>
                <w:i/>
                <w:iCs/>
              </w:rPr>
              <w:t xml:space="preserve"> </w:t>
            </w:r>
            <w:r w:rsidRPr="369F4680" w:rsidR="004F350A">
              <w:rPr>
                <w:i/>
                <w:iCs/>
              </w:rPr>
              <w:t xml:space="preserve">based on the criteria of 24 CFR 972.124 </w:t>
            </w:r>
            <w:r w:rsidRPr="369F4680" w:rsidR="01D4A2A1">
              <w:rPr>
                <w:i/>
                <w:iCs/>
              </w:rPr>
              <w:t>-</w:t>
            </w:r>
            <w:r w:rsidRPr="369F4680" w:rsidR="454C4839">
              <w:rPr>
                <w:i/>
                <w:iCs/>
              </w:rPr>
              <w:t xml:space="preserve"> </w:t>
            </w:r>
            <w:r w:rsidRPr="369F4680" w:rsidR="004F350A">
              <w:rPr>
                <w:i/>
                <w:iCs/>
              </w:rPr>
              <w:t>24 CFR 972.127</w:t>
            </w:r>
            <w:r w:rsidRPr="369F4680" w:rsidR="01D4A2A1">
              <w:rPr>
                <w:i/>
                <w:iCs/>
              </w:rPr>
              <w:t xml:space="preserve"> and PIH Notice 2019-10 (or any successor notice)</w:t>
            </w:r>
            <w:r w:rsidRPr="369F4680" w:rsidR="004F350A">
              <w:rPr>
                <w:i/>
                <w:iCs/>
              </w:rPr>
              <w:t>.  This usually takes the form of:</w:t>
            </w:r>
          </w:p>
          <w:p w:rsidR="002C5BE2" w:rsidRPr="00AE70C6" w:rsidP="00E164A4" w14:paraId="4B8AD240" w14:textId="77777777">
            <w:pPr>
              <w:numPr>
                <w:ilvl w:val="0"/>
                <w:numId w:val="14"/>
              </w:numPr>
              <w:rPr>
                <w:bCs/>
                <w:i/>
                <w:iCs/>
              </w:rPr>
            </w:pPr>
            <w:r w:rsidRPr="00AE70C6">
              <w:rPr>
                <w:bCs/>
                <w:i/>
                <w:iCs/>
              </w:rPr>
              <w:t xml:space="preserve">the results of the Cost Analysis (HUD Conversion Calculation Rule) in the form of the HUD-approved Excel Spreadsheet available on the HUD website at: </w:t>
            </w:r>
            <w:hyperlink r:id="rId9" w:history="1">
              <w:r w:rsidRPr="00AE70C6">
                <w:rPr>
                  <w:rStyle w:val="Hyperlink"/>
                  <w:bCs/>
                  <w:i/>
                  <w:iCs/>
                </w:rPr>
                <w:t>http://www.hud.gov/offices/pih/centers/sac/docs/costcomparison.xls</w:t>
              </w:r>
            </w:hyperlink>
            <w:r w:rsidRPr="00AE70C6">
              <w:rPr>
                <w:bCs/>
                <w:i/>
                <w:iCs/>
              </w:rPr>
              <w:t xml:space="preserve">; or </w:t>
            </w:r>
          </w:p>
          <w:p w:rsidR="00786C6E" w:rsidRPr="00AE70C6" w:rsidP="369F4680" w14:paraId="27B0C954" w14:textId="13044960">
            <w:pPr>
              <w:numPr>
                <w:ilvl w:val="0"/>
                <w:numId w:val="14"/>
              </w:numPr>
              <w:rPr>
                <w:i/>
                <w:iCs/>
              </w:rPr>
            </w:pPr>
            <w:r w:rsidRPr="369F4680">
              <w:rPr>
                <w:i/>
                <w:iCs/>
              </w:rPr>
              <w:t xml:space="preserve">a narrative description (and any other relevant supporting documentation) as to why </w:t>
            </w:r>
            <w:r w:rsidRPr="369F4680">
              <w:rPr>
                <w:i/>
                <w:iCs/>
              </w:rPr>
              <w:t>the PHA cannot assure the long-term viability of a distressed project</w:t>
            </w:r>
            <w:r w:rsidRPr="369F4680" w:rsidR="0B0F2C59">
              <w:rPr>
                <w:i/>
                <w:iCs/>
              </w:rPr>
              <w:t>.</w:t>
            </w:r>
          </w:p>
        </w:tc>
      </w:tr>
      <w:tr w14:paraId="69636193" w14:textId="77777777" w:rsidTr="369F4680">
        <w:tblPrEx>
          <w:tblW w:w="4910" w:type="pct"/>
          <w:tblInd w:w="198" w:type="dxa"/>
          <w:tblLook w:val="0000"/>
        </w:tblPrEx>
        <w:trPr>
          <w:trHeight w:val="463"/>
        </w:trPr>
        <w:tc>
          <w:tcPr>
            <w:tcW w:w="5000" w:type="pct"/>
            <w:gridSpan w:val="2"/>
            <w:tcBorders>
              <w:left w:val="single" w:sz="12" w:space="0" w:color="auto"/>
              <w:right w:val="single" w:sz="12" w:space="0" w:color="auto"/>
            </w:tcBorders>
            <w:vAlign w:val="center"/>
          </w:tcPr>
          <w:p w:rsidR="0007347C" w:rsidRPr="00DB11DC" w:rsidP="00DB11DC" w14:paraId="5B230428" w14:textId="77777777">
            <w:pPr>
              <w:rPr>
                <w:b/>
                <w:color w:val="000000"/>
              </w:rPr>
            </w:pPr>
            <w:r w:rsidRPr="00DB11DC">
              <w:rPr>
                <w:b/>
              </w:rPr>
              <w:t xml:space="preserve">(2) Future Use: How does the PHA propose the </w:t>
            </w:r>
            <w:r w:rsidRPr="00DB11DC" w:rsidR="00786C6E">
              <w:rPr>
                <w:b/>
              </w:rPr>
              <w:t>project</w:t>
            </w:r>
            <w:r w:rsidRPr="00DB11DC">
              <w:rPr>
                <w:b/>
              </w:rPr>
              <w:t xml:space="preserve"> will be used after conversion?</w:t>
            </w:r>
          </w:p>
        </w:tc>
      </w:tr>
      <w:tr w14:paraId="21E5B586" w14:textId="77777777" w:rsidTr="369F4680">
        <w:tblPrEx>
          <w:tblW w:w="4910" w:type="pct"/>
          <w:tblInd w:w="198" w:type="dxa"/>
          <w:tblLook w:val="0000"/>
        </w:tblPrEx>
        <w:trPr>
          <w:trHeight w:val="607"/>
        </w:trPr>
        <w:tc>
          <w:tcPr>
            <w:tcW w:w="5000" w:type="pct"/>
            <w:gridSpan w:val="2"/>
            <w:tcBorders>
              <w:left w:val="single" w:sz="12" w:space="0" w:color="auto"/>
              <w:right w:val="single" w:sz="12" w:space="0" w:color="auto"/>
            </w:tcBorders>
          </w:tcPr>
          <w:p w:rsidR="0007347C" w:rsidRPr="00AE70C6" w:rsidP="0007347C" w14:paraId="24A32596" w14:textId="77777777">
            <w:pPr>
              <w:ind w:left="617"/>
              <w:jc w:val="both"/>
              <w:rPr>
                <w:color w:val="000000"/>
              </w:rPr>
            </w:pPr>
            <w:r w:rsidRPr="00AE70C6">
              <w:rPr>
                <w:bCs/>
                <w:i/>
                <w:iCs/>
              </w:rPr>
              <w:t xml:space="preserve">Attach a narrative of the planned future use of the </w:t>
            </w:r>
            <w:r w:rsidRPr="00AE70C6" w:rsidR="00786C6E">
              <w:rPr>
                <w:bCs/>
                <w:i/>
                <w:iCs/>
              </w:rPr>
              <w:t>project proposed</w:t>
            </w:r>
            <w:r w:rsidRPr="00AE70C6">
              <w:rPr>
                <w:bCs/>
                <w:i/>
                <w:iCs/>
              </w:rPr>
              <w:t xml:space="preserve"> for required conversion</w:t>
            </w:r>
            <w:r w:rsidRPr="00AE70C6" w:rsidR="00786C6E">
              <w:rPr>
                <w:bCs/>
                <w:i/>
                <w:iCs/>
              </w:rPr>
              <w:t xml:space="preserve"> (including all real property)</w:t>
            </w:r>
            <w:r w:rsidRPr="00AE70C6">
              <w:rPr>
                <w:bCs/>
                <w:i/>
                <w:iCs/>
              </w:rPr>
              <w:t>, and the means and timetable for accomplishing any planned demolition, disposition, or redevelopment.</w:t>
            </w:r>
          </w:p>
        </w:tc>
      </w:tr>
      <w:tr w14:paraId="6AFD6379" w14:textId="77777777" w:rsidTr="369F4680">
        <w:tblPrEx>
          <w:tblW w:w="4910" w:type="pct"/>
          <w:tblInd w:w="198" w:type="dxa"/>
          <w:tblLook w:val="0000"/>
        </w:tblPrEx>
        <w:trPr>
          <w:trHeight w:val="958"/>
        </w:trPr>
        <w:tc>
          <w:tcPr>
            <w:tcW w:w="4035" w:type="pct"/>
            <w:tcBorders>
              <w:left w:val="single" w:sz="12" w:space="0" w:color="auto"/>
              <w:right w:val="single" w:sz="2" w:space="0" w:color="auto"/>
            </w:tcBorders>
            <w:vAlign w:val="center"/>
          </w:tcPr>
          <w:p w:rsidR="0007347C" w:rsidRPr="00DB11DC" w:rsidP="00DB11DC" w14:paraId="04719AD8" w14:textId="77777777">
            <w:pPr>
              <w:spacing w:before="20" w:after="20"/>
              <w:ind w:left="345" w:hanging="345"/>
              <w:rPr>
                <w:b/>
                <w:bCs/>
                <w:i/>
                <w:iCs/>
              </w:rPr>
            </w:pPr>
            <w:r w:rsidRPr="00DB11DC">
              <w:rPr>
                <w:b/>
              </w:rPr>
              <w:t xml:space="preserve">(3) Does the PHA have any modernization, reconstruction, or other capital funds pending for the </w:t>
            </w:r>
            <w:r w:rsidRPr="00DB11DC" w:rsidR="00786C6E">
              <w:rPr>
                <w:b/>
              </w:rPr>
              <w:t>project</w:t>
            </w:r>
            <w:r w:rsidRPr="00DB11DC">
              <w:rPr>
                <w:b/>
              </w:rPr>
              <w:t xml:space="preserve"> proposed for required conversion? </w:t>
            </w:r>
          </w:p>
        </w:tc>
        <w:tc>
          <w:tcPr>
            <w:tcW w:w="965" w:type="pct"/>
            <w:tcBorders>
              <w:right w:val="single" w:sz="12" w:space="0" w:color="auto"/>
            </w:tcBorders>
            <w:vAlign w:val="center"/>
          </w:tcPr>
          <w:p w:rsidR="0007347C" w:rsidRPr="00DB11DC" w:rsidP="00DB11DC" w14:paraId="154DF6AF" w14:textId="77777777">
            <w:pPr>
              <w:spacing w:before="20" w:after="20"/>
              <w:ind w:left="-14"/>
              <w:rPr>
                <w:b/>
                <w:bCs/>
                <w:i/>
                <w:iCs/>
              </w:rPr>
            </w:pPr>
            <w:r w:rsidRPr="00DB11DC">
              <w:rPr>
                <w:b/>
              </w:rPr>
              <w:fldChar w:fldCharType="begin">
                <w:ffData>
                  <w:name w:val="Check15"/>
                  <w:enabled/>
                  <w:calcOnExit w:val="0"/>
                  <w:checkBox>
                    <w:sizeAuto/>
                    <w:default w:val="0"/>
                  </w:checkBox>
                </w:ffData>
              </w:fldChar>
            </w:r>
            <w:r w:rsidRPr="00DB11DC">
              <w:rPr>
                <w:b/>
              </w:rPr>
              <w:instrText xml:space="preserve"> FORMCHECKBOX </w:instrText>
            </w:r>
            <w:r w:rsidR="009A1C60">
              <w:rPr>
                <w:b/>
              </w:rPr>
              <w:fldChar w:fldCharType="separate"/>
            </w:r>
            <w:r w:rsidRPr="00DB11DC">
              <w:rPr>
                <w:b/>
              </w:rPr>
              <w:fldChar w:fldCharType="end"/>
            </w:r>
            <w:r w:rsidRPr="00DB11DC">
              <w:rPr>
                <w:b/>
              </w:rPr>
              <w:t xml:space="preserve"> Yes</w:t>
            </w:r>
            <w:r w:rsidRPr="00DB11DC" w:rsidR="00BD0DD2">
              <w:rPr>
                <w:b/>
              </w:rPr>
              <w:t xml:space="preserve">   </w:t>
            </w:r>
            <w:r w:rsidRPr="00DB11DC">
              <w:rPr>
                <w:b/>
              </w:rPr>
              <w:t xml:space="preserve"> </w:t>
            </w:r>
            <w:r w:rsidRPr="00DB11DC">
              <w:rPr>
                <w:b/>
              </w:rPr>
              <w:fldChar w:fldCharType="begin">
                <w:ffData>
                  <w:name w:val="Check15"/>
                  <w:enabled/>
                  <w:calcOnExit w:val="0"/>
                  <w:checkBox>
                    <w:sizeAuto/>
                    <w:default w:val="0"/>
                  </w:checkBox>
                </w:ffData>
              </w:fldChar>
            </w:r>
            <w:r w:rsidRPr="00DB11DC">
              <w:rPr>
                <w:b/>
              </w:rPr>
              <w:instrText xml:space="preserve"> FORMCHECKBOX </w:instrText>
            </w:r>
            <w:r w:rsidR="009A1C60">
              <w:rPr>
                <w:b/>
              </w:rPr>
              <w:fldChar w:fldCharType="separate"/>
            </w:r>
            <w:r w:rsidRPr="00DB11DC">
              <w:rPr>
                <w:b/>
              </w:rPr>
              <w:fldChar w:fldCharType="end"/>
            </w:r>
            <w:r w:rsidRPr="00DB11DC">
              <w:rPr>
                <w:b/>
              </w:rPr>
              <w:t xml:space="preserve"> No</w:t>
            </w:r>
          </w:p>
        </w:tc>
      </w:tr>
      <w:tr w14:paraId="047AEB71" w14:textId="77777777" w:rsidTr="369F4680">
        <w:tblPrEx>
          <w:tblW w:w="4910" w:type="pct"/>
          <w:tblInd w:w="198" w:type="dxa"/>
          <w:tblLook w:val="0000"/>
        </w:tblPrEx>
        <w:trPr>
          <w:trHeight w:val="697"/>
        </w:trPr>
        <w:tc>
          <w:tcPr>
            <w:tcW w:w="5000" w:type="pct"/>
            <w:gridSpan w:val="2"/>
            <w:tcBorders>
              <w:left w:val="single" w:sz="12" w:space="0" w:color="auto"/>
              <w:bottom w:val="single" w:sz="12" w:space="0" w:color="auto"/>
              <w:right w:val="single" w:sz="12" w:space="0" w:color="auto"/>
            </w:tcBorders>
          </w:tcPr>
          <w:p w:rsidR="0007347C" w:rsidRPr="00AE70C6" w:rsidP="0007347C" w14:paraId="15DE193D" w14:textId="77777777">
            <w:pPr>
              <w:pStyle w:val="BodyText3"/>
              <w:ind w:left="617"/>
              <w:rPr>
                <w:bCs/>
                <w:i/>
                <w:iCs/>
              </w:rPr>
            </w:pPr>
            <w:r w:rsidRPr="00AE70C6">
              <w:rPr>
                <w:i/>
                <w:sz w:val="24"/>
              </w:rPr>
              <w:t xml:space="preserve">If Yes, attach a narrative identifying the funds and the obligation status of those funds.  Indicate the PHA’s recommendations concerning the transfer of these funds to Housing Choice Voucher </w:t>
            </w:r>
            <w:r w:rsidRPr="00AE70C6" w:rsidR="003A1541">
              <w:rPr>
                <w:i/>
                <w:sz w:val="24"/>
              </w:rPr>
              <w:t xml:space="preserve">(HCV) </w:t>
            </w:r>
            <w:r w:rsidRPr="00AE70C6">
              <w:rPr>
                <w:i/>
                <w:sz w:val="24"/>
              </w:rPr>
              <w:t>based assistance or other public housing uses.</w:t>
            </w:r>
          </w:p>
        </w:tc>
      </w:tr>
    </w:tbl>
    <w:p w:rsidR="00A07A64" w14:paraId="7AA6FCF4" w14:textId="77777777"/>
    <w:p w:rsidR="00DB11DC" w:rsidRPr="00AE70C6" w14:paraId="7343119A" w14:textId="77777777"/>
    <w:p w:rsidR="00BD0DD2" w:rsidRPr="00AE70C6" w:rsidP="00A076A3" w14:paraId="6F072F9D" w14:textId="77777777">
      <w:pPr>
        <w:pStyle w:val="BodyText3"/>
        <w:jc w:val="center"/>
        <w:rPr>
          <w:b/>
          <w:bCs/>
          <w:sz w:val="28"/>
          <w:u w:val="single"/>
        </w:rPr>
      </w:pPr>
      <w:r w:rsidRPr="00AE70C6">
        <w:rPr>
          <w:sz w:val="24"/>
        </w:rPr>
        <w:br w:type="page"/>
      </w:r>
      <w:r w:rsidRPr="00AE70C6" w:rsidR="00C3561D">
        <w:rPr>
          <w:b/>
          <w:sz w:val="28"/>
          <w:u w:val="single"/>
        </w:rPr>
        <w:t>Instructions</w:t>
      </w:r>
      <w:r w:rsidRPr="00AE70C6" w:rsidR="005009ED">
        <w:rPr>
          <w:b/>
          <w:sz w:val="28"/>
          <w:u w:val="single"/>
        </w:rPr>
        <w:t xml:space="preserve">: </w:t>
      </w:r>
      <w:r w:rsidRPr="00AE70C6" w:rsidR="00C3561D">
        <w:rPr>
          <w:b/>
          <w:sz w:val="28"/>
          <w:u w:val="single"/>
        </w:rPr>
        <w:t xml:space="preserve"> Required Conversion</w:t>
      </w:r>
      <w:r w:rsidRPr="00AE70C6" w:rsidR="005009ED">
        <w:rPr>
          <w:b/>
          <w:sz w:val="28"/>
          <w:u w:val="single"/>
        </w:rPr>
        <w:t xml:space="preserve"> Addendum</w:t>
      </w:r>
      <w:r w:rsidRPr="00AE70C6" w:rsidR="00C3561D">
        <w:rPr>
          <w:b/>
          <w:sz w:val="28"/>
          <w:u w:val="single"/>
        </w:rPr>
        <w:t xml:space="preserve"> </w:t>
      </w:r>
      <w:r w:rsidRPr="00AE70C6" w:rsidR="00A91D28">
        <w:rPr>
          <w:b/>
          <w:sz w:val="28"/>
          <w:u w:val="single"/>
        </w:rPr>
        <w:t xml:space="preserve">Form </w:t>
      </w:r>
      <w:r w:rsidRPr="00AE70C6" w:rsidR="00C3561D">
        <w:rPr>
          <w:b/>
          <w:bCs/>
          <w:sz w:val="28"/>
          <w:u w:val="single"/>
        </w:rPr>
        <w:t>HUD-52860-D</w:t>
      </w:r>
    </w:p>
    <w:p w:rsidR="00B75FD5" w:rsidRPr="00AE70C6" w:rsidP="00B75FD5" w14:paraId="01BA7ED1" w14:textId="77777777">
      <w:pPr>
        <w:jc w:val="center"/>
        <w:rPr>
          <w:b/>
        </w:rPr>
      </w:pPr>
      <w:r w:rsidRPr="00AE70C6">
        <w:rPr>
          <w:b/>
          <w:u w:val="single"/>
        </w:rPr>
        <w:t xml:space="preserve">Refer to SAC website at </w:t>
      </w:r>
      <w:hyperlink r:id="rId10" w:history="1">
        <w:r w:rsidRPr="00AE70C6">
          <w:rPr>
            <w:rStyle w:val="Hyperlink"/>
          </w:rPr>
          <w:t>www.hud.gov/sac</w:t>
        </w:r>
      </w:hyperlink>
      <w:r w:rsidRPr="00AE70C6">
        <w:rPr>
          <w:b/>
          <w:u w:val="single"/>
        </w:rPr>
        <w:t xml:space="preserve"> for more information</w:t>
      </w:r>
    </w:p>
    <w:p w:rsidR="00BD0DD2" w:rsidRPr="00AE70C6" w:rsidP="00BD0DD2" w14:paraId="6A9FD73D" w14:textId="77777777">
      <w:pPr>
        <w:jc w:val="center"/>
      </w:pPr>
    </w:p>
    <w:p w:rsidR="00A87829" w:rsidP="7795856A" w14:paraId="11112BA9" w14:textId="50BF1B3D">
      <w:pPr>
        <w:jc w:val="both"/>
      </w:pPr>
      <w:r>
        <w:t xml:space="preserve">PHAs applying for Section 33 </w:t>
      </w:r>
      <w:r w:rsidR="00CB6FD8">
        <w:t>required conversion</w:t>
      </w:r>
      <w:r>
        <w:t xml:space="preserve"> are required to complete this Addendum (HUD-52860-D) as part of their Inventory Removal</w:t>
      </w:r>
      <w:r w:rsidR="00455C53">
        <w:t>s</w:t>
      </w:r>
      <w:r>
        <w:t xml:space="preserve"> Application</w:t>
      </w:r>
      <w:r w:rsidR="00455C53">
        <w:t xml:space="preserve"> </w:t>
      </w:r>
      <w:r>
        <w:t>(HUD-52860) and submit it (as</w:t>
      </w:r>
      <w:r w:rsidR="00113C1F">
        <w:t xml:space="preserve"> </w:t>
      </w:r>
      <w:r>
        <w:t xml:space="preserve">an attachment) with their </w:t>
      </w:r>
      <w:r w:rsidR="00786C6E">
        <w:t>SAC a</w:t>
      </w:r>
      <w:r>
        <w:t xml:space="preserve">pplication.  </w:t>
      </w:r>
      <w:r w:rsidR="00F52215">
        <w:t>P</w:t>
      </w:r>
      <w:r w:rsidR="007C792C">
        <w:t>ursuant to 24 CFR 972.1</w:t>
      </w:r>
      <w:r w:rsidR="00DD1E93">
        <w:t>06, P</w:t>
      </w:r>
      <w:r w:rsidR="00F52215">
        <w:t>HAs are required by Section 33</w:t>
      </w:r>
      <w:r w:rsidR="6F9E0EF2">
        <w:t xml:space="preserve"> of the 1937 Act</w:t>
      </w:r>
      <w:r w:rsidR="00F52215">
        <w:t xml:space="preserve"> to annually review their public housing stock and identify public housing that may be subject to </w:t>
      </w:r>
      <w:r w:rsidR="00DD1E93">
        <w:t>r</w:t>
      </w:r>
      <w:r w:rsidR="007C792C">
        <w:t xml:space="preserve">equired </w:t>
      </w:r>
      <w:r w:rsidR="00DD1E93">
        <w:t>c</w:t>
      </w:r>
      <w:r w:rsidR="007C792C">
        <w:t>onversion</w:t>
      </w:r>
      <w:r w:rsidR="00DD1E93">
        <w:t xml:space="preserve"> based on the criteria of 24 CFR 972.124</w:t>
      </w:r>
      <w:r w:rsidR="004F350A">
        <w:t xml:space="preserve"> through 24 CFR 972.127</w:t>
      </w:r>
      <w:r w:rsidR="00F52215">
        <w:t>.</w:t>
      </w:r>
      <w:r w:rsidR="002C5BE2">
        <w:t xml:space="preserve">  Once </w:t>
      </w:r>
      <w:r w:rsidR="004F350A">
        <w:t>projects</w:t>
      </w:r>
      <w:r w:rsidR="002C5BE2">
        <w:t xml:space="preserve"> have been identified as meeting the criteria for required conversion, the PHA </w:t>
      </w:r>
      <w:r w:rsidR="004F350A">
        <w:t xml:space="preserve">generally must develop a required conversion plan (up to 5years) for removal of the affected units from its inventory. </w:t>
      </w:r>
      <w:r w:rsidR="002C5BE2">
        <w:t xml:space="preserve"> If the PHA determines it must submit a required conversion plan to HUD, that plan must be submitted through th</w:t>
      </w:r>
      <w:r>
        <w:t xml:space="preserve">e HUD-52860 and this HUD-52860-D </w:t>
      </w:r>
      <w:r w:rsidR="002C5BE2">
        <w:t xml:space="preserve">form.  </w:t>
      </w:r>
      <w:r>
        <w:t>Between these two forms, and supporting uploaded documentation, the required conversion plan must include all the submission requirements outlined in Section 8 of PIH Notice 2019-10, including: unit description, PHA Annual Plan requirements, resident consultation, board approval, local government consultation, status of Capital Funds, future use of the units, environmental requirements, and relocation activities</w:t>
      </w:r>
      <w:r w:rsidR="00193260">
        <w:t>.</w:t>
      </w:r>
    </w:p>
    <w:p w:rsidR="00A87829" w:rsidP="00AE70C6" w14:paraId="5AC4BD79" w14:textId="77777777">
      <w:pPr>
        <w:jc w:val="both"/>
      </w:pPr>
    </w:p>
    <w:p w:rsidR="00F52215" w:rsidRPr="00AE70C6" w14:paraId="48A5A4F2" w14:textId="77777777"/>
    <w:p w:rsidR="00193490" w14:paraId="15B5B787" w14:textId="77777777">
      <w:pPr>
        <w:rPr>
          <w:b/>
          <w:bCs/>
        </w:rPr>
      </w:pPr>
      <w:r w:rsidRPr="00AE70C6">
        <w:rPr>
          <w:b/>
          <w:bCs/>
          <w:u w:val="single"/>
        </w:rPr>
        <w:t>Item 1</w:t>
      </w:r>
      <w:r>
        <w:rPr>
          <w:b/>
          <w:bCs/>
        </w:rPr>
        <w:t>:</w:t>
      </w:r>
    </w:p>
    <w:p w:rsidR="00193490" w14:paraId="774E60D3" w14:textId="77777777">
      <w:pPr>
        <w:rPr>
          <w:b/>
          <w:bCs/>
        </w:rPr>
      </w:pPr>
    </w:p>
    <w:p w:rsidR="00455C53" w:rsidRPr="00AE70C6" w14:paraId="14E573FE" w14:textId="77777777">
      <w:pPr>
        <w:rPr>
          <w:bCs/>
        </w:rPr>
      </w:pPr>
      <w:r w:rsidRPr="00AE70C6">
        <w:t xml:space="preserve">The cost methodology that PHAs must use to compare the costs of continuing to operate a </w:t>
      </w:r>
      <w:r w:rsidRPr="00AE70C6" w:rsidR="00786C6E">
        <w:t>project</w:t>
      </w:r>
      <w:r w:rsidRPr="00AE70C6">
        <w:t xml:space="preserve"> as public housing for the remainder of its useful life to the cost of </w:t>
      </w:r>
      <w:r w:rsidRPr="00AE70C6" w:rsidR="00FD0358">
        <w:t xml:space="preserve">providing tenant-based </w:t>
      </w:r>
      <w:r w:rsidRPr="00AE70C6" w:rsidR="00966116">
        <w:t>HCV assistance t</w:t>
      </w:r>
      <w:r w:rsidRPr="00AE70C6">
        <w:t xml:space="preserve">o the residents of that </w:t>
      </w:r>
      <w:r w:rsidRPr="00AE70C6" w:rsidR="00786C6E">
        <w:t>project</w:t>
      </w:r>
      <w:r w:rsidRPr="00AE70C6">
        <w:t xml:space="preserve"> was published as a final rule on March 21, 2006 (Appendix to 24 CFR </w:t>
      </w:r>
      <w:r w:rsidR="0067775B">
        <w:t xml:space="preserve">part </w:t>
      </w:r>
      <w:r w:rsidRPr="00AE70C6">
        <w:t xml:space="preserve">972) (“Conversion Calculation Rule”).  In order to assist PHAs in completing the calculations and comparisons required by the Rule, a downloadable spreadsheet calculator is available on the HUD website.  </w:t>
      </w:r>
      <w:r w:rsidRPr="00AE70C6">
        <w:rPr>
          <w:bCs/>
        </w:rPr>
        <w:t xml:space="preserve">HUD will look for completed cost calculations in reviewing the PHA’s cost comparison of providing tenant-based </w:t>
      </w:r>
      <w:r w:rsidRPr="00AE70C6" w:rsidR="00966116">
        <w:rPr>
          <w:bCs/>
        </w:rPr>
        <w:t xml:space="preserve">HCV assistance </w:t>
      </w:r>
      <w:r w:rsidRPr="00AE70C6">
        <w:rPr>
          <w:bCs/>
        </w:rPr>
        <w:t xml:space="preserve">with the cost of operating the </w:t>
      </w:r>
      <w:r w:rsidRPr="00AE70C6" w:rsidR="00786C6E">
        <w:rPr>
          <w:bCs/>
        </w:rPr>
        <w:t>project</w:t>
      </w:r>
      <w:r w:rsidRPr="00AE70C6">
        <w:rPr>
          <w:bCs/>
        </w:rPr>
        <w:t xml:space="preserve"> as public housing.</w:t>
      </w:r>
    </w:p>
    <w:p w:rsidR="00193490" w14:paraId="419F9C22" w14:textId="77777777">
      <w:pPr>
        <w:rPr>
          <w:b/>
        </w:rPr>
      </w:pPr>
    </w:p>
    <w:p w:rsidR="00F52215" w:rsidRPr="00AE70C6" w14:paraId="23359B6C" w14:textId="231F1507">
      <w:r w:rsidRPr="25B6DFE6">
        <w:rPr>
          <w:b/>
          <w:bCs/>
        </w:rPr>
        <w:t>Note</w:t>
      </w:r>
      <w:r w:rsidRPr="25B6DFE6" w:rsidR="00113C1F">
        <w:rPr>
          <w:b/>
          <w:bCs/>
        </w:rPr>
        <w:t>:</w:t>
      </w:r>
      <w:r>
        <w:t xml:space="preserve"> </w:t>
      </w:r>
      <w:r w:rsidR="00113C1F">
        <w:t>T</w:t>
      </w:r>
      <w:r>
        <w:t xml:space="preserve">he cost methodology for </w:t>
      </w:r>
      <w:r w:rsidR="002C5BE2">
        <w:t>r</w:t>
      </w:r>
      <w:r>
        <w:t xml:space="preserve">equired </w:t>
      </w:r>
      <w:r w:rsidR="002C5BE2">
        <w:t>c</w:t>
      </w:r>
      <w:r>
        <w:t xml:space="preserve">onversion is different from that for Voluntary Conversion.  When comparing the cost of tenant-based </w:t>
      </w:r>
      <w:r w:rsidR="002C5BE2">
        <w:t>HCV</w:t>
      </w:r>
      <w:r>
        <w:t xml:space="preserve"> </w:t>
      </w:r>
      <w:r w:rsidR="002C5BE2">
        <w:t>a</w:t>
      </w:r>
      <w:r>
        <w:t xml:space="preserve">ssistance versus public housing, PHAs should consider, as essential, the length of the remaining useful life for the public housing </w:t>
      </w:r>
      <w:r w:rsidR="00786C6E">
        <w:t>project</w:t>
      </w:r>
      <w:r>
        <w:t xml:space="preserve"> that may be a 20, 30, or 40-year period. Typically, a 40-year period is used when rehabilitation is performed equal to new construction.  A 30-year period is used when a PHA plans a modernization effort that addresses all backlog needs and any redesign that is necessary to keep a property viable and cost-effective for an ongoing useful life in accordance with the useful life of the building and its systems</w:t>
      </w:r>
      <w:r w:rsidR="00113C1F">
        <w:t>.</w:t>
      </w:r>
      <w:r>
        <w:t xml:space="preserve">  PHAs must use this calculation tool (spreadsheet) to compute the PHA</w:t>
      </w:r>
      <w:r w:rsidR="2D42F807">
        <w:t>’</w:t>
      </w:r>
      <w:r>
        <w:t xml:space="preserve">s information on the </w:t>
      </w:r>
      <w:r w:rsidR="00786C6E">
        <w:t>project</w:t>
      </w:r>
      <w:r w:rsidR="00113C1F">
        <w:t>’s</w:t>
      </w:r>
      <w:r>
        <w:t xml:space="preserve"> operating, modernization, and accrual costs, as well as information on costs of </w:t>
      </w:r>
      <w:r w:rsidR="00966116">
        <w:t>HCV</w:t>
      </w:r>
      <w:r>
        <w:t xml:space="preserve"> for </w:t>
      </w:r>
      <w:r w:rsidR="00CB6FD8">
        <w:t>required conversion</w:t>
      </w:r>
      <w:r>
        <w:t>.</w:t>
      </w:r>
    </w:p>
    <w:p w:rsidR="00F52215" w:rsidRPr="00AE70C6" w14:paraId="5A983442" w14:textId="77777777"/>
    <w:p w:rsidR="00193490" w14:paraId="1C19A065" w14:textId="77777777">
      <w:pPr>
        <w:rPr>
          <w:b/>
          <w:u w:val="single"/>
        </w:rPr>
      </w:pPr>
      <w:r w:rsidRPr="00AE70C6">
        <w:rPr>
          <w:b/>
          <w:u w:val="single"/>
        </w:rPr>
        <w:t>Item 2</w:t>
      </w:r>
    </w:p>
    <w:p w:rsidR="00193490" w14:paraId="1E2B030F" w14:textId="77777777">
      <w:pPr>
        <w:rPr>
          <w:b/>
          <w:u w:val="single"/>
        </w:rPr>
      </w:pPr>
    </w:p>
    <w:p w:rsidR="00CB6FD8" w:rsidRPr="008E10F4" w14:paraId="73210B0C" w14:textId="056A85CC">
      <w:pPr>
        <w:rPr>
          <w:rFonts w:ascii="Calibri" w:hAnsi="Calibri"/>
        </w:rPr>
      </w:pPr>
      <w:r>
        <w:t xml:space="preserve">In the narrative describing the intended future use for the affected </w:t>
      </w:r>
      <w:r w:rsidR="00786C6E">
        <w:t>project</w:t>
      </w:r>
      <w:r>
        <w:t xml:space="preserve">, PHAs must provide their specific plans for the </w:t>
      </w:r>
      <w:r w:rsidR="00786C6E">
        <w:t>project</w:t>
      </w:r>
      <w:r>
        <w:t xml:space="preserve"> after conversion (e.g., whether the property will be demolished, disposed of for other housing, retained and utilized to house low-income residents, etc.)</w:t>
      </w:r>
      <w:r w:rsidR="00193490">
        <w:t>.</w:t>
      </w:r>
      <w:r>
        <w:t xml:space="preserve">  Section 18 of the </w:t>
      </w:r>
      <w:r w:rsidR="0067775B">
        <w:t xml:space="preserve">1937 </w:t>
      </w:r>
      <w:r>
        <w:t xml:space="preserve">Act does not apply to demolition of </w:t>
      </w:r>
      <w:r w:rsidR="00113C1F">
        <w:t xml:space="preserve">a </w:t>
      </w:r>
      <w:r w:rsidR="00786C6E">
        <w:t>project</w:t>
      </w:r>
      <w:r>
        <w:t xml:space="preserve"> removed from the inventory of a PHA pursuant to a </w:t>
      </w:r>
      <w:r w:rsidR="002C5BE2">
        <w:t>r</w:t>
      </w:r>
      <w:r>
        <w:t xml:space="preserve">equired </w:t>
      </w:r>
      <w:r w:rsidR="002C5BE2">
        <w:t>c</w:t>
      </w:r>
      <w:r>
        <w:t>onversion.</w:t>
      </w:r>
      <w:r w:rsidR="1267ABF5">
        <w:t xml:space="preserve"> </w:t>
      </w:r>
      <w:r>
        <w:t xml:space="preserve"> </w:t>
      </w:r>
      <w:r w:rsidR="00113C1F">
        <w:t xml:space="preserve">However, Section 18 of the </w:t>
      </w:r>
      <w:r w:rsidR="0067775B">
        <w:t xml:space="preserve">1937 </w:t>
      </w:r>
      <w:r w:rsidR="00113C1F">
        <w:t>Act</w:t>
      </w:r>
      <w:r>
        <w:t xml:space="preserve">, does apply to a disposition of a </w:t>
      </w:r>
      <w:r w:rsidR="00786C6E">
        <w:t>project</w:t>
      </w:r>
      <w:r w:rsidR="00113C1F">
        <w:t xml:space="preserve"> </w:t>
      </w:r>
      <w:r>
        <w:t>removed pursuant to a Required Conversion.  Therefore, to dispose of a PHA property</w:t>
      </w:r>
      <w:r w:rsidR="005D6E72">
        <w:t>,</w:t>
      </w:r>
      <w:r>
        <w:t xml:space="preserve"> as part of a </w:t>
      </w:r>
      <w:r w:rsidR="002C5BE2">
        <w:t>r</w:t>
      </w:r>
      <w:r>
        <w:t xml:space="preserve">equired </w:t>
      </w:r>
      <w:r w:rsidR="002C5BE2">
        <w:t>c</w:t>
      </w:r>
      <w:r>
        <w:t>onversion</w:t>
      </w:r>
      <w:r>
        <w:t xml:space="preserve">, the PHA must meet all of the disposition requirements of Section 18 of the </w:t>
      </w:r>
      <w:r w:rsidR="00FD0358">
        <w:t xml:space="preserve">1937 </w:t>
      </w:r>
      <w:r>
        <w:t>Act</w:t>
      </w:r>
      <w:r w:rsidR="00786C6E">
        <w:t xml:space="preserve"> (and complete the HUD-52860-A)</w:t>
      </w:r>
      <w:r>
        <w:t>.</w:t>
      </w:r>
    </w:p>
    <w:sectPr w:rsidSect="00E57965">
      <w:footerReference w:type="default" r:id="rId11"/>
      <w:headerReference w:type="first" r:id="rId12"/>
      <w:footerReference w:type="first" r:id="rId13"/>
      <w:type w:val="continuous"/>
      <w:pgSz w:w="12240" w:h="15840"/>
      <w:pgMar w:top="720" w:right="720" w:bottom="720" w:left="72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Helvetica Neue">
    <w:altName w:val="Sylfaen"/>
    <w:charset w:val="00"/>
    <w:family w:val="swiss"/>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F4C" w:rsidP="000925D5" w14:paraId="2051E7D9" w14:textId="77777777">
    <w:pPr>
      <w:pStyle w:val="Footer"/>
      <w:tabs>
        <w:tab w:val="clear" w:pos="4320"/>
        <w:tab w:val="clear" w:pos="8640"/>
      </w:tabs>
      <w:rPr>
        <w:rFonts w:ascii="Helvetica" w:hAnsi="Helvetica"/>
        <w:sz w:val="16"/>
      </w:rPr>
    </w:pPr>
  </w:p>
  <w:p w:rsidR="00822566" w:rsidRPr="00AE70C6" w:rsidP="000925D5" w14:paraId="01383BD0" w14:textId="77777777">
    <w:pPr>
      <w:pStyle w:val="Footer"/>
      <w:tabs>
        <w:tab w:val="clear" w:pos="4320"/>
        <w:tab w:val="clear" w:pos="8640"/>
      </w:tabs>
      <w:rPr>
        <w:sz w:val="16"/>
      </w:rPr>
    </w:pPr>
    <w:r w:rsidRPr="00AE70C6">
      <w:rPr>
        <w:sz w:val="16"/>
      </w:rPr>
      <w:t>Provide attachments as needed</w:t>
    </w:r>
  </w:p>
  <w:p w:rsidR="00414F4C" w:rsidRPr="00AE70C6" w:rsidP="00414F4C" w14:paraId="655B5514" w14:textId="77777777">
    <w:pPr>
      <w:pStyle w:val="Footer"/>
      <w:tabs>
        <w:tab w:val="clear" w:pos="4320"/>
        <w:tab w:val="clear" w:pos="8640"/>
      </w:tabs>
      <w:rPr>
        <w:sz w:val="16"/>
      </w:rPr>
    </w:pPr>
    <w:r w:rsidRPr="00AE70C6">
      <w:rPr>
        <w:sz w:val="16"/>
      </w:rPr>
      <w:t>All attachments must reference the</w:t>
    </w:r>
    <w:r w:rsidRPr="00AE70C6" w:rsidR="000925D5">
      <w:rPr>
        <w:sz w:val="16"/>
      </w:rPr>
      <w:tab/>
    </w:r>
    <w:r w:rsidRPr="00AE70C6" w:rsidR="000925D5">
      <w:rPr>
        <w:sz w:val="16"/>
      </w:rPr>
      <w:tab/>
    </w:r>
    <w:r w:rsidRPr="00AE70C6" w:rsidR="000925D5">
      <w:rPr>
        <w:sz w:val="16"/>
      </w:rPr>
      <w:tab/>
    </w:r>
    <w:r w:rsidRPr="00AE70C6" w:rsidR="000925D5">
      <w:rPr>
        <w:sz w:val="16"/>
      </w:rPr>
      <w:tab/>
    </w:r>
    <w:r w:rsidRPr="00AE70C6">
      <w:rPr>
        <w:sz w:val="16"/>
      </w:rPr>
      <w:t xml:space="preserve">Page </w:t>
    </w:r>
    <w:r w:rsidRPr="00AE70C6">
      <w:rPr>
        <w:sz w:val="16"/>
      </w:rPr>
      <w:fldChar w:fldCharType="begin"/>
    </w:r>
    <w:r w:rsidRPr="00AE70C6">
      <w:rPr>
        <w:sz w:val="16"/>
      </w:rPr>
      <w:instrText xml:space="preserve"> PAGE </w:instrText>
    </w:r>
    <w:r w:rsidRPr="00AE70C6">
      <w:rPr>
        <w:sz w:val="16"/>
      </w:rPr>
      <w:fldChar w:fldCharType="separate"/>
    </w:r>
    <w:r w:rsidR="00DB11DC">
      <w:rPr>
        <w:noProof/>
        <w:sz w:val="16"/>
      </w:rPr>
      <w:t>2</w:t>
    </w:r>
    <w:r w:rsidRPr="00AE70C6">
      <w:rPr>
        <w:sz w:val="16"/>
      </w:rPr>
      <w:fldChar w:fldCharType="end"/>
    </w:r>
    <w:r w:rsidRPr="00AE70C6">
      <w:rPr>
        <w:sz w:val="16"/>
      </w:rPr>
      <w:t xml:space="preserve"> of </w:t>
    </w:r>
    <w:r w:rsidRPr="00AE70C6">
      <w:rPr>
        <w:sz w:val="16"/>
      </w:rPr>
      <w:t xml:space="preserve"> </w:t>
    </w:r>
    <w:r w:rsidRPr="00AE70C6">
      <w:rPr>
        <w:sz w:val="16"/>
      </w:rPr>
      <w:fldChar w:fldCharType="begin"/>
    </w:r>
    <w:r w:rsidRPr="00AE70C6">
      <w:rPr>
        <w:sz w:val="16"/>
      </w:rPr>
      <w:instrText xml:space="preserve"> NUMPAGES </w:instrText>
    </w:r>
    <w:r w:rsidRPr="00AE70C6">
      <w:rPr>
        <w:sz w:val="16"/>
      </w:rPr>
      <w:fldChar w:fldCharType="separate"/>
    </w:r>
    <w:r w:rsidR="00DB11DC">
      <w:rPr>
        <w:noProof/>
        <w:sz w:val="16"/>
      </w:rPr>
      <w:t>2</w:t>
    </w:r>
    <w:r w:rsidRPr="00AE70C6">
      <w:rPr>
        <w:sz w:val="16"/>
      </w:rPr>
      <w:fldChar w:fldCharType="end"/>
    </w:r>
    <w:r w:rsidRPr="00AE70C6">
      <w:rPr>
        <w:sz w:val="16"/>
      </w:rPr>
      <w:tab/>
    </w:r>
    <w:r w:rsidRPr="00AE70C6">
      <w:rPr>
        <w:sz w:val="16"/>
      </w:rPr>
      <w:tab/>
    </w:r>
    <w:r w:rsidRPr="00AE70C6">
      <w:rPr>
        <w:sz w:val="16"/>
      </w:rPr>
      <w:tab/>
    </w:r>
    <w:r w:rsidRPr="00AE70C6">
      <w:rPr>
        <w:sz w:val="16"/>
      </w:rPr>
      <w:tab/>
      <w:t xml:space="preserve">form HUD-52860-D </w:t>
    </w:r>
    <w:r w:rsidR="00AE70C6">
      <w:rPr>
        <w:sz w:val="16"/>
      </w:rPr>
      <w:t>((</w:t>
    </w:r>
    <w:r w:rsidRPr="00AE70C6">
      <w:rPr>
        <w:sz w:val="16"/>
      </w:rPr>
      <w:t>0</w:t>
    </w:r>
    <w:r w:rsidRPr="00AE70C6" w:rsidR="00B75FD5">
      <w:rPr>
        <w:sz w:val="16"/>
      </w:rPr>
      <w:t>4</w:t>
    </w:r>
    <w:r w:rsidRPr="00AE70C6">
      <w:rPr>
        <w:sz w:val="16"/>
      </w:rPr>
      <w:t>/2018)</w:t>
    </w:r>
  </w:p>
  <w:p w:rsidR="000D01E6" w:rsidRPr="00AE70C6" w14:paraId="7BDBDB25" w14:textId="77777777">
    <w:pPr>
      <w:pStyle w:val="Footer"/>
      <w:rPr>
        <w:sz w:val="16"/>
      </w:rPr>
    </w:pPr>
    <w:r w:rsidRPr="00AE70C6">
      <w:rPr>
        <w:sz w:val="16"/>
      </w:rPr>
      <w:t>Section and line number to which they apply</w:t>
    </w:r>
  </w:p>
  <w:p w:rsidR="00822566" w:rsidRPr="00AE70C6" w14:paraId="3C7321EA" w14:textId="77777777">
    <w:pPr>
      <w:pStyle w:val="Footer"/>
    </w:pPr>
    <w:r w:rsidRPr="00AE70C6">
      <w:rPr>
        <w:sz w:val="16"/>
      </w:rPr>
      <w:t>P</w:t>
    </w:r>
    <w:r w:rsidRPr="00AE70C6">
      <w:rPr>
        <w:sz w:val="16"/>
      </w:rPr>
      <w:t>revious versions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F4C" w:rsidP="000925D5" w14:paraId="5DB61BEB" w14:textId="77777777">
    <w:pPr>
      <w:pStyle w:val="Footer"/>
      <w:tabs>
        <w:tab w:val="clear" w:pos="4320"/>
        <w:tab w:val="clear" w:pos="8640"/>
      </w:tabs>
      <w:rPr>
        <w:rFonts w:ascii="Helvetica" w:hAnsi="Helvetica"/>
        <w:sz w:val="16"/>
      </w:rPr>
    </w:pPr>
  </w:p>
  <w:p w:rsidR="000925D5" w:rsidRPr="00AE70C6" w:rsidP="000925D5" w14:paraId="2E59F75D" w14:textId="77777777">
    <w:pPr>
      <w:pStyle w:val="Footer"/>
      <w:tabs>
        <w:tab w:val="clear" w:pos="4320"/>
        <w:tab w:val="clear" w:pos="8640"/>
      </w:tabs>
      <w:rPr>
        <w:sz w:val="16"/>
      </w:rPr>
    </w:pPr>
    <w:r w:rsidRPr="00AE70C6">
      <w:rPr>
        <w:sz w:val="16"/>
      </w:rPr>
      <w:t xml:space="preserve">Provide attachments as needed </w:t>
    </w:r>
  </w:p>
  <w:p w:rsidR="00414F4C" w:rsidRPr="00AE70C6" w:rsidP="00414F4C" w14:paraId="4C738154" w14:textId="77777777">
    <w:pPr>
      <w:pStyle w:val="Footer"/>
      <w:tabs>
        <w:tab w:val="clear" w:pos="4320"/>
        <w:tab w:val="clear" w:pos="8640"/>
      </w:tabs>
      <w:rPr>
        <w:sz w:val="16"/>
      </w:rPr>
    </w:pPr>
    <w:r w:rsidRPr="00AE70C6">
      <w:rPr>
        <w:sz w:val="16"/>
      </w:rPr>
      <w:t>All attachments must reference the</w:t>
    </w:r>
    <w:r w:rsidRPr="00AE70C6">
      <w:rPr>
        <w:sz w:val="16"/>
      </w:rPr>
      <w:tab/>
    </w:r>
    <w:r w:rsidRPr="00AE70C6">
      <w:rPr>
        <w:sz w:val="16"/>
      </w:rPr>
      <w:tab/>
    </w:r>
    <w:r w:rsidRPr="00AE70C6">
      <w:rPr>
        <w:sz w:val="16"/>
      </w:rPr>
      <w:tab/>
    </w:r>
    <w:r w:rsidRPr="00AE70C6">
      <w:rPr>
        <w:sz w:val="16"/>
      </w:rPr>
      <w:tab/>
      <w:t xml:space="preserve">Page </w:t>
    </w:r>
    <w:r w:rsidRPr="00AE70C6">
      <w:rPr>
        <w:sz w:val="16"/>
      </w:rPr>
      <w:fldChar w:fldCharType="begin"/>
    </w:r>
    <w:r w:rsidRPr="00AE70C6">
      <w:rPr>
        <w:sz w:val="16"/>
      </w:rPr>
      <w:instrText xml:space="preserve"> PAGE </w:instrText>
    </w:r>
    <w:r w:rsidRPr="00AE70C6">
      <w:rPr>
        <w:sz w:val="16"/>
      </w:rPr>
      <w:fldChar w:fldCharType="separate"/>
    </w:r>
    <w:r w:rsidR="00DB11DC">
      <w:rPr>
        <w:noProof/>
        <w:sz w:val="16"/>
      </w:rPr>
      <w:t>1</w:t>
    </w:r>
    <w:r w:rsidRPr="00AE70C6">
      <w:rPr>
        <w:sz w:val="16"/>
      </w:rPr>
      <w:fldChar w:fldCharType="end"/>
    </w:r>
    <w:r w:rsidRPr="00AE70C6">
      <w:rPr>
        <w:sz w:val="16"/>
      </w:rPr>
      <w:t xml:space="preserve"> of</w:t>
    </w:r>
    <w:r w:rsidRPr="00AE70C6">
      <w:rPr>
        <w:sz w:val="16"/>
      </w:rPr>
      <w:t xml:space="preserve"> </w:t>
    </w:r>
    <w:r w:rsidRPr="00AE70C6">
      <w:rPr>
        <w:sz w:val="16"/>
      </w:rPr>
      <w:t xml:space="preserve"> </w:t>
    </w:r>
    <w:r w:rsidRPr="00AE70C6">
      <w:rPr>
        <w:sz w:val="16"/>
      </w:rPr>
      <w:fldChar w:fldCharType="begin"/>
    </w:r>
    <w:r w:rsidRPr="00AE70C6">
      <w:rPr>
        <w:sz w:val="16"/>
      </w:rPr>
      <w:instrText xml:space="preserve"> NUMPAGES </w:instrText>
    </w:r>
    <w:r w:rsidRPr="00AE70C6">
      <w:rPr>
        <w:sz w:val="16"/>
      </w:rPr>
      <w:fldChar w:fldCharType="separate"/>
    </w:r>
    <w:r w:rsidR="00DB11DC">
      <w:rPr>
        <w:noProof/>
        <w:sz w:val="16"/>
      </w:rPr>
      <w:t>2</w:t>
    </w:r>
    <w:r w:rsidRPr="00AE70C6">
      <w:rPr>
        <w:sz w:val="16"/>
      </w:rPr>
      <w:fldChar w:fldCharType="end"/>
    </w:r>
    <w:r w:rsidRPr="00AE70C6">
      <w:rPr>
        <w:sz w:val="16"/>
      </w:rPr>
      <w:tab/>
    </w:r>
    <w:r w:rsidRPr="00AE70C6">
      <w:rPr>
        <w:sz w:val="16"/>
      </w:rPr>
      <w:tab/>
    </w:r>
    <w:r w:rsidRPr="00AE70C6">
      <w:rPr>
        <w:sz w:val="16"/>
      </w:rPr>
      <w:tab/>
    </w:r>
    <w:r w:rsidRPr="00AE70C6">
      <w:rPr>
        <w:sz w:val="16"/>
      </w:rPr>
      <w:tab/>
      <w:t xml:space="preserve">form HUD-52860-D </w:t>
    </w:r>
    <w:r w:rsidR="00AE70C6">
      <w:rPr>
        <w:sz w:val="16"/>
      </w:rPr>
      <w:t>(</w:t>
    </w:r>
    <w:r w:rsidRPr="00AE70C6">
      <w:rPr>
        <w:sz w:val="16"/>
      </w:rPr>
      <w:t>0</w:t>
    </w:r>
    <w:r w:rsidRPr="00AE70C6" w:rsidR="00B75FD5">
      <w:rPr>
        <w:sz w:val="16"/>
      </w:rPr>
      <w:t>4</w:t>
    </w:r>
    <w:r w:rsidRPr="00AE70C6">
      <w:rPr>
        <w:sz w:val="16"/>
      </w:rPr>
      <w:t>2018)</w:t>
    </w:r>
  </w:p>
  <w:p w:rsidR="000D01E6" w:rsidRPr="00AE70C6" w:rsidP="000925D5" w14:paraId="0635457E" w14:textId="77777777">
    <w:pPr>
      <w:pStyle w:val="Footer"/>
      <w:rPr>
        <w:sz w:val="16"/>
      </w:rPr>
    </w:pPr>
    <w:r w:rsidRPr="00AE70C6">
      <w:rPr>
        <w:sz w:val="16"/>
      </w:rPr>
      <w:t>Section and line number to which they apply</w:t>
    </w:r>
  </w:p>
  <w:p w:rsidR="00822566" w:rsidRPr="00AE70C6" w:rsidP="000925D5" w14:paraId="44B79B4F" w14:textId="77777777">
    <w:pPr>
      <w:pStyle w:val="Footer"/>
    </w:pPr>
    <w:r w:rsidRPr="00AE70C6">
      <w:rPr>
        <w:sz w:val="16"/>
      </w:rPr>
      <w:t>Previous versions obsolete</w:t>
    </w:r>
    <w:r w:rsidRPr="00AE70C6">
      <w:rPr>
        <w:sz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4068"/>
      <w:gridCol w:w="3370"/>
      <w:gridCol w:w="3362"/>
    </w:tblGrid>
    <w:tr w14:paraId="01901990" w14:textId="77777777" w:rsidTr="006B011C">
      <w:tblPrEx>
        <w:tblW w:w="0" w:type="auto"/>
        <w:tblLook w:val="0000"/>
      </w:tblPrEx>
      <w:trPr>
        <w:trHeight w:val="720"/>
      </w:trPr>
      <w:tc>
        <w:tcPr>
          <w:tcW w:w="4248" w:type="dxa"/>
        </w:tcPr>
        <w:p w:rsidR="000D01E6" w:rsidRPr="00AE70C6" w:rsidP="000D01E6" w14:paraId="29A968D2" w14:textId="77777777">
          <w:pPr>
            <w:pStyle w:val="Technical5a"/>
            <w:tabs>
              <w:tab w:val="clear" w:pos="-720"/>
              <w:tab w:val="right" w:pos="9360"/>
            </w:tabs>
            <w:rPr>
              <w:rFonts w:ascii="Times New Roman" w:hAnsi="Times New Roman"/>
            </w:rPr>
          </w:pPr>
          <w:r w:rsidRPr="00AE70C6">
            <w:rPr>
              <w:rFonts w:ascii="Times New Roman" w:hAnsi="Times New Roman"/>
            </w:rPr>
            <w:t>Required Conversion</w:t>
          </w:r>
          <w:r w:rsidRPr="00AE70C6">
            <w:rPr>
              <w:rFonts w:ascii="Times New Roman" w:hAnsi="Times New Roman"/>
            </w:rPr>
            <w:t xml:space="preserve"> </w:t>
          </w:r>
          <w:r w:rsidRPr="00AE70C6">
            <w:rPr>
              <w:rFonts w:ascii="Times New Roman" w:hAnsi="Times New Roman"/>
            </w:rPr>
            <w:t>Addendum</w:t>
          </w:r>
          <w:r w:rsidRPr="00AE70C6">
            <w:rPr>
              <w:rFonts w:ascii="Times New Roman" w:hAnsi="Times New Roman"/>
            </w:rPr>
            <w:t xml:space="preserve"> </w:t>
          </w:r>
        </w:p>
        <w:p w:rsidR="00C32221" w:rsidRPr="00AE70C6" w:rsidP="000D01E6" w14:paraId="63270C7D" w14:textId="77777777">
          <w:pPr>
            <w:pStyle w:val="Technical5a"/>
            <w:tabs>
              <w:tab w:val="clear" w:pos="-720"/>
              <w:tab w:val="right" w:pos="9360"/>
            </w:tabs>
            <w:rPr>
              <w:rFonts w:ascii="Times New Roman" w:hAnsi="Times New Roman"/>
            </w:rPr>
          </w:pPr>
          <w:r w:rsidRPr="00AE70C6">
            <w:rPr>
              <w:rFonts w:ascii="Times New Roman" w:hAnsi="Times New Roman"/>
            </w:rPr>
            <w:t>HUD-52860-D</w:t>
          </w:r>
        </w:p>
      </w:tc>
      <w:tc>
        <w:tcPr>
          <w:tcW w:w="3510" w:type="dxa"/>
        </w:tcPr>
        <w:p w:rsidR="00822566" w:rsidRPr="00AE70C6" w14:paraId="6C170D32" w14:textId="77777777">
          <w:pPr>
            <w:tabs>
              <w:tab w:val="right" w:pos="9360"/>
            </w:tabs>
            <w:suppressAutoHyphens/>
            <w:spacing w:line="240" w:lineRule="atLeast"/>
            <w:jc w:val="center"/>
            <w:rPr>
              <w:b/>
              <w:bCs/>
              <w:sz w:val="18"/>
            </w:rPr>
          </w:pPr>
          <w:r w:rsidRPr="00AE70C6">
            <w:rPr>
              <w:b/>
              <w:bCs/>
              <w:sz w:val="18"/>
            </w:rPr>
            <w:t>U.S. Department of Housing</w:t>
          </w:r>
        </w:p>
        <w:p w:rsidR="00822566" w:rsidRPr="00AE70C6" w14:paraId="4B6225AF" w14:textId="77777777">
          <w:pPr>
            <w:tabs>
              <w:tab w:val="right" w:pos="9360"/>
            </w:tabs>
            <w:suppressAutoHyphens/>
            <w:spacing w:line="240" w:lineRule="atLeast"/>
            <w:jc w:val="center"/>
            <w:rPr>
              <w:b/>
              <w:bCs/>
              <w:sz w:val="18"/>
            </w:rPr>
          </w:pPr>
          <w:r w:rsidRPr="00AE70C6">
            <w:rPr>
              <w:b/>
              <w:bCs/>
              <w:sz w:val="18"/>
            </w:rPr>
            <w:t>and Urban Development</w:t>
          </w:r>
        </w:p>
        <w:p w:rsidR="00822566" w:rsidRPr="00AE70C6" w14:paraId="0F4C816B" w14:textId="77777777">
          <w:pPr>
            <w:tabs>
              <w:tab w:val="right" w:pos="9360"/>
            </w:tabs>
            <w:suppressAutoHyphens/>
            <w:spacing w:line="240" w:lineRule="atLeast"/>
            <w:jc w:val="center"/>
            <w:rPr>
              <w:b/>
              <w:bCs/>
              <w:sz w:val="18"/>
            </w:rPr>
          </w:pPr>
          <w:r w:rsidRPr="00AE70C6">
            <w:rPr>
              <w:b/>
              <w:bCs/>
              <w:sz w:val="18"/>
            </w:rPr>
            <w:t>Office of Public and Indian Housing</w:t>
          </w:r>
        </w:p>
      </w:tc>
      <w:tc>
        <w:tcPr>
          <w:tcW w:w="3510" w:type="dxa"/>
        </w:tcPr>
        <w:p w:rsidR="00822566" w:rsidRPr="00AE70C6" w14:paraId="050DAD5B" w14:textId="77777777">
          <w:pPr>
            <w:tabs>
              <w:tab w:val="right" w:pos="9360"/>
            </w:tabs>
            <w:suppressAutoHyphens/>
            <w:spacing w:line="240" w:lineRule="atLeast"/>
            <w:jc w:val="right"/>
            <w:rPr>
              <w:b/>
              <w:bCs/>
              <w:sz w:val="18"/>
            </w:rPr>
          </w:pPr>
          <w:r w:rsidRPr="00AE70C6">
            <w:rPr>
              <w:b/>
              <w:bCs/>
              <w:sz w:val="18"/>
            </w:rPr>
            <w:t>OMB Approval No. 2577-0075</w:t>
          </w:r>
        </w:p>
        <w:p w:rsidR="00822566" w:rsidRPr="00AE70C6" w:rsidP="00B24123" w14:paraId="78C03A79" w14:textId="77777777">
          <w:pPr>
            <w:tabs>
              <w:tab w:val="right" w:pos="9360"/>
            </w:tabs>
            <w:suppressAutoHyphens/>
            <w:spacing w:line="240" w:lineRule="atLeast"/>
            <w:jc w:val="right"/>
            <w:rPr>
              <w:b/>
              <w:bCs/>
              <w:sz w:val="18"/>
            </w:rPr>
          </w:pPr>
          <w:r w:rsidRPr="00AE70C6">
            <w:rPr>
              <w:b/>
              <w:bCs/>
              <w:sz w:val="18"/>
            </w:rPr>
            <w:t xml:space="preserve">(exp. </w:t>
          </w:r>
          <w:r w:rsidRPr="00AE70C6" w:rsidR="002F4912">
            <w:rPr>
              <w:b/>
              <w:bCs/>
              <w:sz w:val="18"/>
            </w:rPr>
            <w:t>0</w:t>
          </w:r>
          <w:r w:rsidR="00E23F1A">
            <w:rPr>
              <w:b/>
              <w:bCs/>
              <w:sz w:val="18"/>
            </w:rPr>
            <w:t>8</w:t>
          </w:r>
          <w:r w:rsidRPr="00AE70C6">
            <w:rPr>
              <w:b/>
              <w:bCs/>
              <w:sz w:val="18"/>
            </w:rPr>
            <w:t>/31/202</w:t>
          </w:r>
          <w:r w:rsidR="00E23F1A">
            <w:rPr>
              <w:b/>
              <w:bCs/>
              <w:sz w:val="18"/>
            </w:rPr>
            <w:t>3</w:t>
          </w:r>
          <w:r w:rsidRPr="00AE70C6">
            <w:rPr>
              <w:b/>
              <w:bCs/>
              <w:sz w:val="18"/>
            </w:rPr>
            <w:t>)</w:t>
          </w:r>
        </w:p>
      </w:tc>
    </w:tr>
  </w:tbl>
  <w:p w:rsidR="00822566" w14:paraId="1031687B" w14:textId="77777777">
    <w:pPr>
      <w:pStyle w:val="BodyTex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89215E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61B53"/>
    <w:multiLevelType w:val="hybridMultilevel"/>
    <w:tmpl w:val="570247E0"/>
    <w:lvl w:ilvl="0">
      <w:start w:val="1"/>
      <w:numFmt w:val="decimal"/>
      <w:lvlText w:val="%1)"/>
      <w:lvlJc w:val="left"/>
      <w:pPr>
        <w:tabs>
          <w:tab w:val="num" w:pos="1440"/>
        </w:tabs>
        <w:ind w:left="1440" w:hanging="360"/>
      </w:pPr>
      <w:rPr>
        <w:rFonts w:ascii="Calibri" w:eastAsia="Times New Roman" w:hAnsi="Calibri" w:cs="Calibri"/>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233324"/>
    <w:multiLevelType w:val="hybridMultilevel"/>
    <w:tmpl w:val="1354EBB8"/>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71F74"/>
    <w:multiLevelType w:val="hybridMultilevel"/>
    <w:tmpl w:val="69B82286"/>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1B52B2"/>
    <w:multiLevelType w:val="hybridMultilevel"/>
    <w:tmpl w:val="40A8D12E"/>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F53D8"/>
    <w:multiLevelType w:val="hybridMultilevel"/>
    <w:tmpl w:val="F52C24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70090B"/>
    <w:multiLevelType w:val="hybridMultilevel"/>
    <w:tmpl w:val="42A871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4E54F5"/>
    <w:multiLevelType w:val="hybridMultilevel"/>
    <w:tmpl w:val="5D16A6C0"/>
    <w:lvl w:ilvl="0">
      <w:start w:val="1"/>
      <w:numFmt w:val="bullet"/>
      <w:lvlText w:val=""/>
      <w:lvlJc w:val="left"/>
      <w:pPr>
        <w:ind w:left="1337" w:hanging="360"/>
      </w:pPr>
      <w:rPr>
        <w:rFonts w:ascii="Symbol" w:hAnsi="Symbol" w:hint="default"/>
      </w:rPr>
    </w:lvl>
    <w:lvl w:ilvl="1" w:tentative="1">
      <w:start w:val="1"/>
      <w:numFmt w:val="bullet"/>
      <w:lvlText w:val="o"/>
      <w:lvlJc w:val="left"/>
      <w:pPr>
        <w:ind w:left="2057" w:hanging="360"/>
      </w:pPr>
      <w:rPr>
        <w:rFonts w:ascii="Courier New" w:hAnsi="Courier New" w:cs="Courier New" w:hint="default"/>
      </w:rPr>
    </w:lvl>
    <w:lvl w:ilvl="2" w:tentative="1">
      <w:start w:val="1"/>
      <w:numFmt w:val="bullet"/>
      <w:lvlText w:val=""/>
      <w:lvlJc w:val="left"/>
      <w:pPr>
        <w:ind w:left="2777" w:hanging="360"/>
      </w:pPr>
      <w:rPr>
        <w:rFonts w:ascii="Wingdings" w:hAnsi="Wingdings" w:hint="default"/>
      </w:rPr>
    </w:lvl>
    <w:lvl w:ilvl="3" w:tentative="1">
      <w:start w:val="1"/>
      <w:numFmt w:val="bullet"/>
      <w:lvlText w:val=""/>
      <w:lvlJc w:val="left"/>
      <w:pPr>
        <w:ind w:left="3497" w:hanging="360"/>
      </w:pPr>
      <w:rPr>
        <w:rFonts w:ascii="Symbol" w:hAnsi="Symbol" w:hint="default"/>
      </w:rPr>
    </w:lvl>
    <w:lvl w:ilvl="4" w:tentative="1">
      <w:start w:val="1"/>
      <w:numFmt w:val="bullet"/>
      <w:lvlText w:val="o"/>
      <w:lvlJc w:val="left"/>
      <w:pPr>
        <w:ind w:left="4217" w:hanging="360"/>
      </w:pPr>
      <w:rPr>
        <w:rFonts w:ascii="Courier New" w:hAnsi="Courier New" w:cs="Courier New" w:hint="default"/>
      </w:rPr>
    </w:lvl>
    <w:lvl w:ilvl="5" w:tentative="1">
      <w:start w:val="1"/>
      <w:numFmt w:val="bullet"/>
      <w:lvlText w:val=""/>
      <w:lvlJc w:val="left"/>
      <w:pPr>
        <w:ind w:left="4937" w:hanging="360"/>
      </w:pPr>
      <w:rPr>
        <w:rFonts w:ascii="Wingdings" w:hAnsi="Wingdings" w:hint="default"/>
      </w:rPr>
    </w:lvl>
    <w:lvl w:ilvl="6" w:tentative="1">
      <w:start w:val="1"/>
      <w:numFmt w:val="bullet"/>
      <w:lvlText w:val=""/>
      <w:lvlJc w:val="left"/>
      <w:pPr>
        <w:ind w:left="5657" w:hanging="360"/>
      </w:pPr>
      <w:rPr>
        <w:rFonts w:ascii="Symbol" w:hAnsi="Symbol" w:hint="default"/>
      </w:rPr>
    </w:lvl>
    <w:lvl w:ilvl="7" w:tentative="1">
      <w:start w:val="1"/>
      <w:numFmt w:val="bullet"/>
      <w:lvlText w:val="o"/>
      <w:lvlJc w:val="left"/>
      <w:pPr>
        <w:ind w:left="6377" w:hanging="360"/>
      </w:pPr>
      <w:rPr>
        <w:rFonts w:ascii="Courier New" w:hAnsi="Courier New" w:cs="Courier New" w:hint="default"/>
      </w:rPr>
    </w:lvl>
    <w:lvl w:ilvl="8" w:tentative="1">
      <w:start w:val="1"/>
      <w:numFmt w:val="bullet"/>
      <w:lvlText w:val=""/>
      <w:lvlJc w:val="left"/>
      <w:pPr>
        <w:ind w:left="7097" w:hanging="360"/>
      </w:pPr>
      <w:rPr>
        <w:rFonts w:ascii="Wingdings" w:hAnsi="Wingdings" w:hint="default"/>
      </w:rPr>
    </w:lvl>
  </w:abstractNum>
  <w:abstractNum w:abstractNumId="9">
    <w:nsid w:val="44FC3F6B"/>
    <w:multiLevelType w:val="hybridMultilevel"/>
    <w:tmpl w:val="DB06EDCA"/>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280120"/>
    <w:multiLevelType w:val="multilevel"/>
    <w:tmpl w:val="8BB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901E2E"/>
    <w:multiLevelType w:val="hybridMultilevel"/>
    <w:tmpl w:val="ACAE3C70"/>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C64CDB"/>
    <w:multiLevelType w:val="hybridMultilevel"/>
    <w:tmpl w:val="BFE099F0"/>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1B1D18"/>
    <w:multiLevelType w:val="hybridMultilevel"/>
    <w:tmpl w:val="60622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1936926">
    <w:abstractNumId w:val="4"/>
  </w:num>
  <w:num w:numId="2" w16cid:durableId="1712459152">
    <w:abstractNumId w:val="0"/>
  </w:num>
  <w:num w:numId="3" w16cid:durableId="4017615">
    <w:abstractNumId w:val="12"/>
  </w:num>
  <w:num w:numId="4" w16cid:durableId="936979411">
    <w:abstractNumId w:val="2"/>
  </w:num>
  <w:num w:numId="5" w16cid:durableId="23211279">
    <w:abstractNumId w:val="11"/>
  </w:num>
  <w:num w:numId="6" w16cid:durableId="1172524439">
    <w:abstractNumId w:val="3"/>
  </w:num>
  <w:num w:numId="7" w16cid:durableId="1830171257">
    <w:abstractNumId w:val="13"/>
  </w:num>
  <w:num w:numId="8" w16cid:durableId="33968193">
    <w:abstractNumId w:val="6"/>
  </w:num>
  <w:num w:numId="9" w16cid:durableId="209150504">
    <w:abstractNumId w:val="5"/>
  </w:num>
  <w:num w:numId="10" w16cid:durableId="1490487557">
    <w:abstractNumId w:val="9"/>
  </w:num>
  <w:num w:numId="11" w16cid:durableId="638417002">
    <w:abstractNumId w:val="7"/>
  </w:num>
  <w:num w:numId="12" w16cid:durableId="1454790186">
    <w:abstractNumId w:val="1"/>
  </w:num>
  <w:num w:numId="13" w16cid:durableId="1662999967">
    <w:abstractNumId w:val="10"/>
  </w:num>
  <w:num w:numId="14" w16cid:durableId="15860679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5"/>
    <w:rsid w:val="00031CF4"/>
    <w:rsid w:val="00055268"/>
    <w:rsid w:val="0007347C"/>
    <w:rsid w:val="000925D5"/>
    <w:rsid w:val="00097B64"/>
    <w:rsid w:val="000A0170"/>
    <w:rsid w:val="000D01E6"/>
    <w:rsid w:val="000E33DC"/>
    <w:rsid w:val="00112BAA"/>
    <w:rsid w:val="00113C1F"/>
    <w:rsid w:val="00140826"/>
    <w:rsid w:val="00166332"/>
    <w:rsid w:val="00193260"/>
    <w:rsid w:val="00193490"/>
    <w:rsid w:val="001A7BAA"/>
    <w:rsid w:val="001B2097"/>
    <w:rsid w:val="001B59D9"/>
    <w:rsid w:val="001E4D79"/>
    <w:rsid w:val="001F4E33"/>
    <w:rsid w:val="00212715"/>
    <w:rsid w:val="00285D67"/>
    <w:rsid w:val="00287B08"/>
    <w:rsid w:val="002901A2"/>
    <w:rsid w:val="00291F0E"/>
    <w:rsid w:val="002936E3"/>
    <w:rsid w:val="002A2FC0"/>
    <w:rsid w:val="002C5BE2"/>
    <w:rsid w:val="002E4380"/>
    <w:rsid w:val="002F4912"/>
    <w:rsid w:val="0030188A"/>
    <w:rsid w:val="003129AE"/>
    <w:rsid w:val="003864CB"/>
    <w:rsid w:val="003A0C54"/>
    <w:rsid w:val="003A1541"/>
    <w:rsid w:val="003A1948"/>
    <w:rsid w:val="003B190A"/>
    <w:rsid w:val="003E6155"/>
    <w:rsid w:val="00414F4C"/>
    <w:rsid w:val="0042421D"/>
    <w:rsid w:val="00455C53"/>
    <w:rsid w:val="00462765"/>
    <w:rsid w:val="0047252E"/>
    <w:rsid w:val="00472FCE"/>
    <w:rsid w:val="004817DB"/>
    <w:rsid w:val="004F350A"/>
    <w:rsid w:val="005009ED"/>
    <w:rsid w:val="005057C8"/>
    <w:rsid w:val="005068E2"/>
    <w:rsid w:val="005110BA"/>
    <w:rsid w:val="0055187F"/>
    <w:rsid w:val="005811EC"/>
    <w:rsid w:val="005962EE"/>
    <w:rsid w:val="005B5768"/>
    <w:rsid w:val="005D6E72"/>
    <w:rsid w:val="00616ADD"/>
    <w:rsid w:val="00651F72"/>
    <w:rsid w:val="0067775B"/>
    <w:rsid w:val="006A0EB0"/>
    <w:rsid w:val="006B011C"/>
    <w:rsid w:val="006B0294"/>
    <w:rsid w:val="006B73C3"/>
    <w:rsid w:val="006B7465"/>
    <w:rsid w:val="006C4D9F"/>
    <w:rsid w:val="006D49E8"/>
    <w:rsid w:val="00732B30"/>
    <w:rsid w:val="00735695"/>
    <w:rsid w:val="007656D2"/>
    <w:rsid w:val="00786C6E"/>
    <w:rsid w:val="007B6628"/>
    <w:rsid w:val="007C606D"/>
    <w:rsid w:val="007C792C"/>
    <w:rsid w:val="00822566"/>
    <w:rsid w:val="00864AC1"/>
    <w:rsid w:val="00865E22"/>
    <w:rsid w:val="00870316"/>
    <w:rsid w:val="00885B16"/>
    <w:rsid w:val="0089116A"/>
    <w:rsid w:val="00891FD2"/>
    <w:rsid w:val="008A42FF"/>
    <w:rsid w:val="008C3FAB"/>
    <w:rsid w:val="008C69FF"/>
    <w:rsid w:val="008E10F4"/>
    <w:rsid w:val="008F6C69"/>
    <w:rsid w:val="00912D04"/>
    <w:rsid w:val="00922C97"/>
    <w:rsid w:val="00930870"/>
    <w:rsid w:val="0093242E"/>
    <w:rsid w:val="00966116"/>
    <w:rsid w:val="00972238"/>
    <w:rsid w:val="009A1C60"/>
    <w:rsid w:val="009A6546"/>
    <w:rsid w:val="009A6F03"/>
    <w:rsid w:val="009C3A1D"/>
    <w:rsid w:val="009D44D0"/>
    <w:rsid w:val="009F3668"/>
    <w:rsid w:val="009F45A6"/>
    <w:rsid w:val="00A04664"/>
    <w:rsid w:val="00A054AE"/>
    <w:rsid w:val="00A076A3"/>
    <w:rsid w:val="00A07A64"/>
    <w:rsid w:val="00A31446"/>
    <w:rsid w:val="00A34D06"/>
    <w:rsid w:val="00A87829"/>
    <w:rsid w:val="00A91D28"/>
    <w:rsid w:val="00AC29DF"/>
    <w:rsid w:val="00AE70C6"/>
    <w:rsid w:val="00B00D3D"/>
    <w:rsid w:val="00B24123"/>
    <w:rsid w:val="00B56A0C"/>
    <w:rsid w:val="00B75FD5"/>
    <w:rsid w:val="00B9425A"/>
    <w:rsid w:val="00BB7F7B"/>
    <w:rsid w:val="00BD0DD2"/>
    <w:rsid w:val="00C2048E"/>
    <w:rsid w:val="00C24D14"/>
    <w:rsid w:val="00C32221"/>
    <w:rsid w:val="00C3561D"/>
    <w:rsid w:val="00C429AB"/>
    <w:rsid w:val="00C47D87"/>
    <w:rsid w:val="00C51756"/>
    <w:rsid w:val="00C720D0"/>
    <w:rsid w:val="00C90268"/>
    <w:rsid w:val="00CB6FD8"/>
    <w:rsid w:val="00CC6E07"/>
    <w:rsid w:val="00CD2380"/>
    <w:rsid w:val="00CE082A"/>
    <w:rsid w:val="00CE6519"/>
    <w:rsid w:val="00D17244"/>
    <w:rsid w:val="00DB11DC"/>
    <w:rsid w:val="00DD1E93"/>
    <w:rsid w:val="00E04762"/>
    <w:rsid w:val="00E10E0D"/>
    <w:rsid w:val="00E164A4"/>
    <w:rsid w:val="00E23A85"/>
    <w:rsid w:val="00E23F1A"/>
    <w:rsid w:val="00E57965"/>
    <w:rsid w:val="00E727BC"/>
    <w:rsid w:val="00E91D9E"/>
    <w:rsid w:val="00E96A9B"/>
    <w:rsid w:val="00EE3DE5"/>
    <w:rsid w:val="00EF26ED"/>
    <w:rsid w:val="00F02CBF"/>
    <w:rsid w:val="00F45656"/>
    <w:rsid w:val="00F52215"/>
    <w:rsid w:val="00F66928"/>
    <w:rsid w:val="00F80E4E"/>
    <w:rsid w:val="00F96687"/>
    <w:rsid w:val="00FA162E"/>
    <w:rsid w:val="00FD0358"/>
    <w:rsid w:val="00FD5378"/>
    <w:rsid w:val="00FD71AB"/>
    <w:rsid w:val="01D4A2A1"/>
    <w:rsid w:val="0B0F2C59"/>
    <w:rsid w:val="12503D7A"/>
    <w:rsid w:val="1267ABF5"/>
    <w:rsid w:val="1CB22D02"/>
    <w:rsid w:val="1EC69462"/>
    <w:rsid w:val="2003E003"/>
    <w:rsid w:val="25B6DFE6"/>
    <w:rsid w:val="2D42F807"/>
    <w:rsid w:val="321AD0A5"/>
    <w:rsid w:val="3403CC95"/>
    <w:rsid w:val="369F4680"/>
    <w:rsid w:val="39736B21"/>
    <w:rsid w:val="3B4707A6"/>
    <w:rsid w:val="3E08711A"/>
    <w:rsid w:val="445C04CA"/>
    <w:rsid w:val="454C4839"/>
    <w:rsid w:val="497AD089"/>
    <w:rsid w:val="59CB1CA0"/>
    <w:rsid w:val="5A27C6EA"/>
    <w:rsid w:val="6559B56C"/>
    <w:rsid w:val="65AE4190"/>
    <w:rsid w:val="696F4AC6"/>
    <w:rsid w:val="6D919433"/>
    <w:rsid w:val="6E1A978B"/>
    <w:rsid w:val="6F9E0EF2"/>
    <w:rsid w:val="75F9B509"/>
    <w:rsid w:val="77164BAA"/>
    <w:rsid w:val="7795856A"/>
    <w:rsid w:val="7AC1F0B5"/>
  </w:rsids>
  <w:docVars>
    <w:docVar w:name="CITRUS_DOC_GUID" w:val="{5F0003FB-CDD1-401D-840E-FB50C9E306AF}"/>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6BF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rsid w:val="00972238"/>
    <w:rPr>
      <w:b/>
      <w:bCs/>
    </w:rPr>
  </w:style>
  <w:style w:type="character" w:customStyle="1" w:styleId="CommentTextChar">
    <w:name w:val="Comment Text Char"/>
    <w:basedOn w:val="DefaultParagraphFont"/>
    <w:link w:val="CommentText"/>
    <w:semiHidden/>
    <w:rsid w:val="00972238"/>
  </w:style>
  <w:style w:type="character" w:customStyle="1" w:styleId="CommentSubjectChar">
    <w:name w:val="Comment Subject Char"/>
    <w:link w:val="CommentSubject"/>
    <w:rsid w:val="00972238"/>
    <w:rPr>
      <w:b/>
      <w:bCs/>
    </w:rPr>
  </w:style>
  <w:style w:type="paragraph" w:styleId="NormalWeb">
    <w:name w:val="Normal (Web)"/>
    <w:basedOn w:val="Normal"/>
    <w:uiPriority w:val="99"/>
    <w:unhideWhenUsed/>
    <w:rsid w:val="007C792C"/>
    <w:pPr>
      <w:spacing w:after="225"/>
    </w:pPr>
    <w:rPr>
      <w:rFonts w:ascii="Helvetica Neue" w:hAnsi="Helvetica Neue"/>
      <w:sz w:val="21"/>
      <w:szCs w:val="21"/>
    </w:rPr>
  </w:style>
  <w:style w:type="paragraph" w:styleId="Revision">
    <w:name w:val="Revision"/>
    <w:hidden/>
    <w:uiPriority w:val="99"/>
    <w:semiHidden/>
    <w:rsid w:val="007356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ud.gov/sac"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hud.gov/offices/pih/centers/sac/docs/costcomparison.x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HUDOGC-1479810509-16273</_dlc_DocId>
    <_dlc_DocIdUrl xmlns="dca89f83-e7cb-46ce-8e9f-cb067c1b6911">
      <Url>https://hudgov.sharepoint.com/sites/OGC/OLR/_layouts/15/DocIdRedir.aspx?ID=HUDOGC-1479810509-16273</Url>
      <Description>HUDOGC-1479810509-16273</Description>
    </_dlc_DocIdUrl>
    <Clearance xmlns="ae2a2941-2dbe-4eaa-9281-19e6e20101f1">3247</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8D8AA-2F1F-4520-80B7-DEBBE31857CB}">
  <ds:schemaRefs>
    <ds:schemaRef ds:uri="http://schemas.microsoft.com/office/2006/metadata/longProperties"/>
  </ds:schemaRefs>
</ds:datastoreItem>
</file>

<file path=customXml/itemProps2.xml><?xml version="1.0" encoding="utf-8"?>
<ds:datastoreItem xmlns:ds="http://schemas.openxmlformats.org/officeDocument/2006/customXml" ds:itemID="{2119EFE9-5B3F-4F28-B58B-5B03369F0F94}">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3.xml><?xml version="1.0" encoding="utf-8"?>
<ds:datastoreItem xmlns:ds="http://schemas.openxmlformats.org/officeDocument/2006/customXml" ds:itemID="{9EAD320D-AFCF-4855-BA1F-17BF426D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8957F-3185-4DE2-B874-B279AD967BDD}">
  <ds:schemaRefs>
    <ds:schemaRef ds:uri="http://schemas.microsoft.com/sharepoint/events"/>
  </ds:schemaRefs>
</ds:datastoreItem>
</file>

<file path=customXml/itemProps5.xml><?xml version="1.0" encoding="utf-8"?>
<ds:datastoreItem xmlns:ds="http://schemas.openxmlformats.org/officeDocument/2006/customXml" ds:itemID="{9151F993-E586-4499-AABD-D9B696520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2023-06-20T12:09:00Z</dcterms:created>
  <dcterms:modified xsi:type="dcterms:W3CDTF">2023-06-20T12:09:00Z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AdHocReviewCycleID">
    <vt:i4>16212343</vt:i4>
  </property>
  <property fmtid="{D5CDD505-2E9C-101B-9397-08002B2CF9AE}" pid="4" name="_dlc_DocIdItemGuid">
    <vt:lpwstr>13e6eb38-d7f2-4b95-818d-55900472fb56</vt:lpwstr>
  </property>
  <property fmtid="{D5CDD505-2E9C-101B-9397-08002B2CF9AE}" pid="5" name="_NewReviewCycle">
    <vt:lpwstr/>
  </property>
  <property fmtid="{D5CDD505-2E9C-101B-9397-08002B2CF9AE}" pid="6" name="_PreviousAdHocReviewCycleID">
    <vt:i4>1154230270</vt:i4>
  </property>
  <property fmtid="{D5CDD505-2E9C-101B-9397-08002B2CF9AE}" pid="7" name="_ReviewingToolsShownOnce">
    <vt:lpwstr/>
  </property>
</Properties>
</file>