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701F" w:rsidP="00A73CEF" w14:paraId="3B64B3B5" w14:textId="32781845">
      <w:pPr>
        <w:pStyle w:val="Heading1"/>
        <w:jc w:val="center"/>
      </w:pPr>
      <w:r>
        <w:t>HBCU Student Homeownership</w:t>
      </w:r>
      <w:r w:rsidR="00174866">
        <w:t xml:space="preserve"> Research</w:t>
      </w:r>
      <w:r w:rsidR="005E06B4">
        <w:br/>
        <w:t xml:space="preserve">Methods &amp; </w:t>
      </w:r>
      <w:r w:rsidR="00174866">
        <w:t>Tools</w:t>
      </w:r>
      <w:r w:rsidR="00A73CEF">
        <w:t xml:space="preserve"> for Interviews</w:t>
      </w:r>
    </w:p>
    <w:p w:rsidR="00174866" w:rsidRPr="00174866" w:rsidP="00174866" w14:paraId="214EEE50" w14:textId="4CAD4F70">
      <w:pPr>
        <w:pStyle w:val="Heading2"/>
      </w:pPr>
      <w:r>
        <w:t xml:space="preserve">Record </w:t>
      </w:r>
      <w:r w:rsidR="39B91674">
        <w:t>K</w:t>
      </w:r>
      <w:r>
        <w:t xml:space="preserve">eeping </w:t>
      </w:r>
    </w:p>
    <w:p w:rsidR="004A1978" w:rsidP="00104BF9" w14:paraId="6C193872" w14:textId="627083D9">
      <w:r>
        <w:t>The research team will collect signed consent forms</w:t>
      </w:r>
      <w:r w:rsidR="00A73CEF">
        <w:t xml:space="preserve"> (Addendum 2)</w:t>
      </w:r>
      <w:r>
        <w:t xml:space="preserve"> from each participant, either electronically or paper-based</w:t>
      </w:r>
      <w:r w:rsidR="00A73CEF">
        <w:t xml:space="preserve"> prior</w:t>
      </w:r>
      <w:r w:rsidR="00B80AB0">
        <w:t xml:space="preserve"> to schedul</w:t>
      </w:r>
      <w:r w:rsidR="00A73CEF">
        <w:t>ing</w:t>
      </w:r>
      <w:r w:rsidR="00B80AB0">
        <w:t xml:space="preserve"> the interview</w:t>
      </w:r>
      <w:r>
        <w:t>. Participant names and other PII will be logged into a participant management spreadsheet</w:t>
      </w:r>
      <w:r w:rsidR="00B80AB0">
        <w:t xml:space="preserve"> for schedule purposes only</w:t>
      </w:r>
      <w:r>
        <w:t xml:space="preserve">. This spreadsheet will be stored </w:t>
      </w:r>
      <w:r w:rsidR="0009788B">
        <w:t>on</w:t>
      </w:r>
      <w:r>
        <w:t xml:space="preserve"> </w:t>
      </w:r>
      <w:r w:rsidR="00B80AB0">
        <w:t>HUD</w:t>
      </w:r>
      <w:r w:rsidR="13E8575B">
        <w:t>’s</w:t>
      </w:r>
      <w:r w:rsidR="00B80AB0">
        <w:t xml:space="preserve"> </w:t>
      </w:r>
      <w:r w:rsidR="0143C1AD">
        <w:t>s</w:t>
      </w:r>
      <w:r w:rsidR="0009788B">
        <w:t xml:space="preserve">ecured </w:t>
      </w:r>
      <w:r w:rsidR="555F968C">
        <w:t>s</w:t>
      </w:r>
      <w:r w:rsidR="0009788B">
        <w:t xml:space="preserve">ystems within the HUD </w:t>
      </w:r>
      <w:r w:rsidR="00B80AB0">
        <w:t xml:space="preserve">TEAMS </w:t>
      </w:r>
      <w:r w:rsidR="0009788B">
        <w:t xml:space="preserve">FY23 </w:t>
      </w:r>
      <w:r w:rsidR="3B46F99E">
        <w:t xml:space="preserve">HUD </w:t>
      </w:r>
      <w:r w:rsidR="00B80AB0">
        <w:t>Innovation Lab Group</w:t>
      </w:r>
      <w:r>
        <w:t xml:space="preserve"> </w:t>
      </w:r>
      <w:r w:rsidR="3EAB97E2">
        <w:t xml:space="preserve">(iLab) </w:t>
      </w:r>
      <w:r w:rsidR="004D502C">
        <w:t xml:space="preserve">Group </w:t>
      </w:r>
      <w:r>
        <w:t>project. The consent forms will be stored in a separate folder from the spreadsheet. Access to the participant management spread</w:t>
      </w:r>
      <w:r w:rsidR="00B80AB0">
        <w:t>sheet</w:t>
      </w:r>
      <w:r>
        <w:t xml:space="preserve"> and the consent forms will be limited to the project team lea</w:t>
      </w:r>
      <w:r w:rsidR="00B80AB0">
        <w:t>d</w:t>
      </w:r>
      <w:r>
        <w:t xml:space="preserve"> for the project</w:t>
      </w:r>
      <w:r w:rsidR="0098235F">
        <w:t>’</w:t>
      </w:r>
      <w:r>
        <w:t xml:space="preserve">s duration. Once the project is completed, only </w:t>
      </w:r>
      <w:r w:rsidR="35CA41B8">
        <w:t>iLab</w:t>
      </w:r>
      <w:r w:rsidR="00C01500">
        <w:t xml:space="preserve"> </w:t>
      </w:r>
      <w:r>
        <w:t>leads will have access to these records.</w:t>
      </w:r>
    </w:p>
    <w:p w:rsidR="00104BF9" w:rsidP="00104BF9" w14:paraId="1E974EE6" w14:textId="33414821">
      <w:r>
        <w:rPr>
          <w:rStyle w:val="normaltextrun"/>
          <w:rFonts w:cs="Courier New"/>
          <w:color w:val="000000"/>
          <w:shd w:val="clear" w:color="auto" w:fill="FFFFFF"/>
        </w:rPr>
        <w:t>E</w:t>
      </w:r>
      <w:r w:rsidRPr="00A73CEF">
        <w:rPr>
          <w:rStyle w:val="normaltextrun"/>
          <w:rFonts w:cs="Courier New"/>
          <w:color w:val="000000"/>
          <w:shd w:val="clear" w:color="auto" w:fill="FFFFFF"/>
        </w:rPr>
        <w:t xml:space="preserve">ach participant will be coded with </w:t>
      </w:r>
      <w:r>
        <w:rPr>
          <w:rStyle w:val="normaltextrun"/>
          <w:rFonts w:cs="Courier New"/>
          <w:color w:val="000000"/>
          <w:shd w:val="clear" w:color="auto" w:fill="FFFFFF"/>
        </w:rPr>
        <w:t>an identifier</w:t>
      </w:r>
      <w:r w:rsidRPr="00A73CEF">
        <w:rPr>
          <w:rStyle w:val="normaltextrun"/>
          <w:rFonts w:cs="Courier New"/>
          <w:color w:val="000000"/>
          <w:shd w:val="clear" w:color="auto" w:fill="FFFFFF"/>
        </w:rPr>
        <w:t xml:space="preserve"> of P1 for participant 1, and so on to include labeling and ensure each participants identity is concealed.</w:t>
      </w:r>
      <w:r>
        <w:rPr>
          <w:rStyle w:val="normaltextrun"/>
          <w:rFonts w:cs="Courier New"/>
          <w:color w:val="000000"/>
          <w:shd w:val="clear" w:color="auto" w:fill="FFFFFF"/>
        </w:rPr>
        <w:t xml:space="preserve"> </w:t>
      </w:r>
      <w:r w:rsidRPr="00104BF9">
        <w:t>Subsequently, all materials with participant data will only be labeled with the code</w:t>
      </w:r>
      <w:r w:rsidR="00451A29">
        <w:t xml:space="preserve"> identifier</w:t>
      </w:r>
      <w:r w:rsidRPr="00104BF9">
        <w:t>. Each participant</w:t>
      </w:r>
      <w:r w:rsidR="0098235F">
        <w:t>’</w:t>
      </w:r>
      <w:r w:rsidRPr="00104BF9">
        <w:t xml:space="preserve">s consent form will have the code </w:t>
      </w:r>
      <w:r w:rsidR="00451A29">
        <w:t xml:space="preserve">identifier. </w:t>
      </w:r>
    </w:p>
    <w:p w:rsidR="00AA06F5" w:rsidP="00104BF9" w14:paraId="2DBA8D2C" w14:textId="2BF45127">
      <w:r>
        <w:t xml:space="preserve">During the conversation, one member </w:t>
      </w:r>
      <w:r w:rsidR="294A99A4">
        <w:t>will utilize a</w:t>
      </w:r>
      <w:r w:rsidR="00B80AB0">
        <w:t xml:space="preserve"> HUD issued laptop transcription.  The interviewer will identify the interview with the </w:t>
      </w:r>
      <w:r w:rsidR="0009788B">
        <w:t xml:space="preserve">code </w:t>
      </w:r>
      <w:r w:rsidR="00A73CEF">
        <w:t xml:space="preserve">identifier </w:t>
      </w:r>
      <w:r w:rsidR="0009788B">
        <w:t>assigned</w:t>
      </w:r>
      <w:r w:rsidR="00A73CEF">
        <w:t xml:space="preserve"> and i</w:t>
      </w:r>
      <w:r w:rsidR="0009788B">
        <w:t xml:space="preserve">t will never contain any PII.  </w:t>
      </w:r>
      <w:r w:rsidR="00B80AB0">
        <w:t xml:space="preserve"> </w:t>
      </w:r>
      <w:r>
        <w:t xml:space="preserve"> After the conversation, </w:t>
      </w:r>
      <w:r w:rsidR="0009788B">
        <w:t xml:space="preserve">the transcription will be stored </w:t>
      </w:r>
      <w:r>
        <w:t>on</w:t>
      </w:r>
      <w:r w:rsidR="0009788B">
        <w:t xml:space="preserve"> HUD</w:t>
      </w:r>
      <w:r w:rsidR="5003F01C">
        <w:t>’s</w:t>
      </w:r>
      <w:r w:rsidR="0009788B">
        <w:t xml:space="preserve"> </w:t>
      </w:r>
      <w:r w:rsidR="45C0F699">
        <w:t>s</w:t>
      </w:r>
      <w:r w:rsidR="0009788B">
        <w:t xml:space="preserve">ecured </w:t>
      </w:r>
      <w:r w:rsidR="2D20D231">
        <w:t>s</w:t>
      </w:r>
      <w:r w:rsidR="0009788B">
        <w:t xml:space="preserve">ystems within the HUD TEAMS FY23 </w:t>
      </w:r>
      <w:r w:rsidR="00D561C5">
        <w:t>iLab</w:t>
      </w:r>
      <w:r w:rsidR="0009788B">
        <w:t xml:space="preserve"> within the project. </w:t>
      </w:r>
      <w:r>
        <w:t xml:space="preserve"> Access to </w:t>
      </w:r>
      <w:r w:rsidR="0098235F">
        <w:t>conversation notes</w:t>
      </w:r>
      <w:r>
        <w:t xml:space="preserve"> will be limited to project team </w:t>
      </w:r>
      <w:r w:rsidR="004A3E77">
        <w:t xml:space="preserve">innovation </w:t>
      </w:r>
      <w:r>
        <w:t>members</w:t>
      </w:r>
      <w:r w:rsidR="0098235F">
        <w:t xml:space="preserve"> and the </w:t>
      </w:r>
      <w:r w:rsidR="3F52D6EA">
        <w:t>iLab ma</w:t>
      </w:r>
      <w:r w:rsidR="004A3E77">
        <w:t xml:space="preserve">nagement </w:t>
      </w:r>
      <w:r w:rsidR="0098235F">
        <w:t>team.</w:t>
      </w:r>
    </w:p>
    <w:p w:rsidR="0098235F" w14:paraId="7829BB0C" w14:textId="48284101">
      <w:pPr>
        <w:spacing w:line="288" w:lineRule="auto"/>
        <w:ind w:left="0"/>
      </w:pPr>
      <w:r>
        <w:br w:type="page"/>
      </w:r>
    </w:p>
    <w:p w:rsidR="0098235F" w:rsidP="0098235F" w14:paraId="73F9A89A" w14:textId="77777777">
      <w:pPr>
        <w:pStyle w:val="Heading2"/>
        <w:rPr>
          <w:lang w:bidi="en-US"/>
        </w:rPr>
      </w:pPr>
      <w:r w:rsidRPr="0098235F">
        <w:rPr>
          <w:lang w:bidi="en-US"/>
        </w:rPr>
        <w:t>Research Conversation Roles</w:t>
      </w:r>
    </w:p>
    <w:p w:rsidR="0098235F" w:rsidRPr="00334C6B" w:rsidP="0098235F" w14:paraId="4BC615DA" w14:textId="40452A99">
      <w:pPr>
        <w:rPr>
          <w:lang w:bidi="en-US"/>
        </w:rPr>
      </w:pPr>
      <w:r w:rsidRPr="70D82ED8">
        <w:rPr>
          <w:lang w:bidi="en-US"/>
        </w:rPr>
        <w:t>Aligning role</w:t>
      </w:r>
      <w:r w:rsidRPr="70D82ED8" w:rsidR="3263E147">
        <w:rPr>
          <w:lang w:bidi="en-US"/>
        </w:rPr>
        <w:t>s</w:t>
      </w:r>
      <w:r w:rsidRPr="70D82ED8">
        <w:rPr>
          <w:lang w:bidi="en-US"/>
        </w:rPr>
        <w:t xml:space="preserve"> and responsibilities before the conversation is key to facilitating a seamless, respondent-centered ethnographic discussion.</w:t>
      </w:r>
    </w:p>
    <w:p w:rsidR="0098235F" w:rsidRPr="00334C6B" w:rsidP="0098235F" w14:paraId="09413A6B" w14:textId="6A31002F">
      <w:pPr>
        <w:numPr>
          <w:ilvl w:val="0"/>
          <w:numId w:val="2"/>
        </w:numPr>
        <w:spacing w:line="240" w:lineRule="auto"/>
        <w:rPr>
          <w:lang w:bidi="en-US"/>
        </w:rPr>
      </w:pPr>
      <w:r w:rsidRPr="10FF2A33">
        <w:rPr>
          <w:b/>
          <w:bCs/>
          <w:lang w:bidi="en-US"/>
        </w:rPr>
        <w:t xml:space="preserve">Interview </w:t>
      </w:r>
      <w:r w:rsidRPr="10FF2A33">
        <w:rPr>
          <w:b/>
          <w:bCs/>
          <w:lang w:bidi="en-US"/>
        </w:rPr>
        <w:t>Lead:</w:t>
      </w:r>
      <w:r w:rsidRPr="10FF2A33">
        <w:rPr>
          <w:lang w:bidi="en-US"/>
        </w:rPr>
        <w:t xml:space="preserve"> will be the designated speaker and facilitate the discussion. While other researchers will have the opportunity to ask follow-up questions at the end, the facilitator will be the primary leader of the conversation. </w:t>
      </w:r>
    </w:p>
    <w:p w:rsidR="0098235F" w:rsidRPr="009A74F2" w:rsidP="0098235F" w14:paraId="42AE4712" w14:textId="60541906">
      <w:pPr>
        <w:numPr>
          <w:ilvl w:val="0"/>
          <w:numId w:val="2"/>
        </w:numPr>
        <w:spacing w:line="240" w:lineRule="auto"/>
        <w:rPr>
          <w:b/>
          <w:bCs/>
          <w:lang w:bidi="en-US"/>
        </w:rPr>
      </w:pPr>
      <w:r w:rsidRPr="10FF2A33">
        <w:rPr>
          <w:b/>
          <w:bCs/>
          <w:lang w:bidi="en-US"/>
        </w:rPr>
        <w:t xml:space="preserve">Note-taker/Transcriber:  </w:t>
      </w:r>
      <w:r w:rsidRPr="10FF2A33">
        <w:rPr>
          <w:lang w:bidi="en-US"/>
        </w:rPr>
        <w:t>The Note-taker/ Transcriber will use a HUD issued laptop as a transcription tool.</w:t>
      </w:r>
      <w:r w:rsidRPr="10FF2A33">
        <w:rPr>
          <w:b/>
          <w:bCs/>
          <w:lang w:bidi="en-US"/>
        </w:rPr>
        <w:t xml:space="preserve"> </w:t>
      </w:r>
    </w:p>
    <w:p w:rsidR="0098235F" w:rsidRPr="009A74F2" w:rsidP="0098235F" w14:paraId="6B979133" w14:textId="6CA51D22">
      <w:pPr>
        <w:numPr>
          <w:ilvl w:val="0"/>
          <w:numId w:val="2"/>
        </w:numPr>
        <w:spacing w:line="240" w:lineRule="auto"/>
        <w:rPr>
          <w:b/>
          <w:bCs/>
          <w:lang w:bidi="en-US"/>
        </w:rPr>
      </w:pPr>
      <w:r w:rsidRPr="10FF2A33">
        <w:rPr>
          <w:b/>
          <w:bCs/>
          <w:lang w:bidi="en-US"/>
        </w:rPr>
        <w:t xml:space="preserve">Observer: </w:t>
      </w:r>
      <w:r w:rsidRPr="10FF2A33">
        <w:rPr>
          <w:lang w:bidi="en-US"/>
        </w:rPr>
        <w:t>The Observer will captur</w:t>
      </w:r>
      <w:r w:rsidRPr="10FF2A33" w:rsidR="00B80AB0">
        <w:rPr>
          <w:lang w:bidi="en-US"/>
        </w:rPr>
        <w:t>e</w:t>
      </w:r>
      <w:r w:rsidRPr="10FF2A33">
        <w:rPr>
          <w:lang w:bidi="en-US"/>
        </w:rPr>
        <w:t xml:space="preserve"> key insights and assist the Lead as needed.</w:t>
      </w:r>
    </w:p>
    <w:tbl>
      <w:tblPr>
        <w:tblStyle w:val="TableGrid"/>
        <w:tblW w:w="0" w:type="auto"/>
        <w:tblInd w:w="72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/>
      </w:tblPr>
      <w:tblGrid>
        <w:gridCol w:w="2876"/>
        <w:gridCol w:w="2877"/>
        <w:gridCol w:w="2877"/>
      </w:tblGrid>
      <w:tr w14:paraId="0D56CF6A" w14:textId="77777777" w:rsidTr="002960EC">
        <w:tblPrEx>
          <w:tblW w:w="0" w:type="auto"/>
          <w:tblInd w:w="720" w:type="dxa"/>
          <w:tblBorders>
            <w:top w:val="single" w:sz="4" w:space="0" w:color="A5A5A5" w:themeColor="accent3"/>
            <w:left w:val="single" w:sz="4" w:space="0" w:color="A5A5A5" w:themeColor="accent3"/>
            <w:bottom w:val="single" w:sz="4" w:space="0" w:color="A5A5A5" w:themeColor="accent3"/>
            <w:right w:val="single" w:sz="4" w:space="0" w:color="A5A5A5" w:themeColor="accent3"/>
            <w:insideH w:val="single" w:sz="4" w:space="0" w:color="A5A5A5" w:themeColor="accent3"/>
            <w:insideV w:val="single" w:sz="4" w:space="0" w:color="A5A5A5" w:themeColor="accent3"/>
          </w:tblBorders>
          <w:tblLook w:val="04A0"/>
        </w:tblPrEx>
        <w:trPr>
          <w:trHeight w:val="458"/>
        </w:trPr>
        <w:tc>
          <w:tcPr>
            <w:tcW w:w="8630" w:type="dxa"/>
            <w:gridSpan w:val="3"/>
            <w:shd w:val="clear" w:color="auto" w:fill="E7E6E6" w:themeFill="background2"/>
            <w:vAlign w:val="center"/>
          </w:tcPr>
          <w:p w:rsidR="0098235F" w:rsidP="002960EC" w14:paraId="30AA38EE" w14:textId="77777777">
            <w:pPr>
              <w:ind w:left="0"/>
              <w:rPr>
                <w:b/>
                <w:bCs/>
                <w:lang w:bidi="en-US"/>
              </w:rPr>
            </w:pPr>
            <w:r>
              <w:rPr>
                <w:b/>
                <w:bCs/>
                <w:lang w:bidi="en-US"/>
              </w:rPr>
              <w:t>Interview Roles in Practice</w:t>
            </w:r>
          </w:p>
        </w:tc>
      </w:tr>
      <w:tr w14:paraId="6AF07117" w14:textId="77777777" w:rsidTr="002960EC">
        <w:tblPrEx>
          <w:tblW w:w="0" w:type="auto"/>
          <w:tblInd w:w="720" w:type="dxa"/>
          <w:tblLook w:val="04A0"/>
        </w:tblPrEx>
        <w:trPr>
          <w:trHeight w:val="395"/>
        </w:trPr>
        <w:tc>
          <w:tcPr>
            <w:tcW w:w="2876" w:type="dxa"/>
            <w:vAlign w:val="center"/>
          </w:tcPr>
          <w:p w:rsidR="0098235F" w:rsidRPr="006D10D4" w:rsidP="002960EC" w14:paraId="565FDDE3" w14:textId="77777777">
            <w:pPr>
              <w:ind w:left="0"/>
              <w:rPr>
                <w:b/>
                <w:bCs/>
                <w:sz w:val="20"/>
                <w:szCs w:val="20"/>
                <w:lang w:bidi="en-US"/>
              </w:rPr>
            </w:pPr>
            <w:r w:rsidRPr="006D10D4">
              <w:rPr>
                <w:b/>
                <w:bCs/>
                <w:sz w:val="20"/>
                <w:szCs w:val="20"/>
                <w:lang w:bidi="en-US"/>
              </w:rPr>
              <w:t>Interview Lead</w:t>
            </w:r>
          </w:p>
        </w:tc>
        <w:tc>
          <w:tcPr>
            <w:tcW w:w="2877" w:type="dxa"/>
            <w:vAlign w:val="center"/>
          </w:tcPr>
          <w:p w:rsidR="0098235F" w:rsidRPr="006D10D4" w:rsidP="002960EC" w14:paraId="36D03923" w14:textId="7933CC90">
            <w:pPr>
              <w:ind w:left="0"/>
              <w:rPr>
                <w:b/>
                <w:bCs/>
                <w:sz w:val="20"/>
                <w:szCs w:val="20"/>
                <w:lang w:bidi="en-US"/>
              </w:rPr>
            </w:pPr>
            <w:r w:rsidRPr="006D10D4">
              <w:rPr>
                <w:b/>
                <w:bCs/>
                <w:sz w:val="20"/>
                <w:szCs w:val="20"/>
                <w:lang w:bidi="en-US"/>
              </w:rPr>
              <w:t>Note-Taker</w:t>
            </w:r>
            <w:r w:rsidR="009A74F2">
              <w:rPr>
                <w:b/>
                <w:bCs/>
                <w:sz w:val="20"/>
                <w:szCs w:val="20"/>
                <w:lang w:bidi="en-US"/>
              </w:rPr>
              <w:t>/ Transcription</w:t>
            </w:r>
          </w:p>
        </w:tc>
        <w:tc>
          <w:tcPr>
            <w:tcW w:w="2877" w:type="dxa"/>
            <w:vAlign w:val="center"/>
          </w:tcPr>
          <w:p w:rsidR="0098235F" w:rsidRPr="006D10D4" w:rsidP="002960EC" w14:paraId="6D2CCE3A" w14:textId="77777777">
            <w:pPr>
              <w:ind w:left="0"/>
              <w:rPr>
                <w:b/>
                <w:bCs/>
                <w:sz w:val="20"/>
                <w:szCs w:val="20"/>
                <w:lang w:bidi="en-US"/>
              </w:rPr>
            </w:pPr>
            <w:r w:rsidRPr="006D10D4">
              <w:rPr>
                <w:b/>
                <w:bCs/>
                <w:sz w:val="20"/>
                <w:szCs w:val="20"/>
                <w:lang w:bidi="en-US"/>
              </w:rPr>
              <w:t>Observer</w:t>
            </w:r>
          </w:p>
        </w:tc>
      </w:tr>
      <w:tr w14:paraId="1ADDF8B5" w14:textId="77777777" w:rsidTr="002960EC">
        <w:tblPrEx>
          <w:tblW w:w="0" w:type="auto"/>
          <w:tblInd w:w="720" w:type="dxa"/>
          <w:tblLook w:val="04A0"/>
        </w:tblPrEx>
        <w:trPr>
          <w:trHeight w:val="2078"/>
        </w:trPr>
        <w:tc>
          <w:tcPr>
            <w:tcW w:w="2876" w:type="dxa"/>
          </w:tcPr>
          <w:p w:rsidR="0098235F" w:rsidRPr="006D10D4" w:rsidP="002960EC" w14:paraId="252F8075" w14:textId="77777777">
            <w:pPr>
              <w:pStyle w:val="Table"/>
            </w:pPr>
            <w:r w:rsidRPr="006D10D4">
              <w:t>Brief introductions</w:t>
            </w:r>
          </w:p>
          <w:p w:rsidR="0098235F" w:rsidRPr="006D10D4" w:rsidP="002960EC" w14:paraId="2A5FE125" w14:textId="77777777">
            <w:pPr>
              <w:pStyle w:val="Table"/>
            </w:pPr>
            <w:r w:rsidRPr="006D10D4">
              <w:t>Small talk</w:t>
            </w:r>
          </w:p>
          <w:p w:rsidR="0098235F" w:rsidRPr="006D10D4" w:rsidP="002960EC" w14:paraId="3B4D1DB6" w14:textId="77777777">
            <w:pPr>
              <w:pStyle w:val="Table"/>
            </w:pPr>
            <w:r w:rsidRPr="006D10D4">
              <w:t>Overview of purpose</w:t>
            </w:r>
          </w:p>
          <w:p w:rsidR="0098235F" w:rsidRPr="006D10D4" w:rsidP="002960EC" w14:paraId="18799DB8" w14:textId="77777777">
            <w:pPr>
              <w:pStyle w:val="Table"/>
            </w:pPr>
            <w:r w:rsidRPr="006D10D4">
              <w:t xml:space="preserve">Asks </w:t>
            </w:r>
            <w:r w:rsidRPr="006D10D4">
              <w:t>questions</w:t>
            </w:r>
            <w:r w:rsidRPr="006D10D4">
              <w:t xml:space="preserve"> </w:t>
            </w:r>
          </w:p>
          <w:p w:rsidR="0098235F" w:rsidRPr="00334C6B" w:rsidP="002960EC" w14:paraId="0CA46414" w14:textId="77777777">
            <w:pPr>
              <w:pStyle w:val="Table"/>
              <w:rPr>
                <w:lang w:bidi="en-US"/>
              </w:rPr>
            </w:pPr>
            <w:r w:rsidRPr="006D10D4">
              <w:t>Thank participants for their time</w:t>
            </w:r>
          </w:p>
        </w:tc>
        <w:tc>
          <w:tcPr>
            <w:tcW w:w="2877" w:type="dxa"/>
          </w:tcPr>
          <w:p w:rsidR="0098235F" w:rsidRPr="006F3F24" w:rsidP="002960EC" w14:paraId="19A00AA4" w14:textId="77777777">
            <w:pPr>
              <w:pStyle w:val="Table"/>
            </w:pPr>
            <w:r w:rsidRPr="006F3F24">
              <w:t xml:space="preserve">Records all </w:t>
            </w:r>
            <w:r w:rsidRPr="006F3F24">
              <w:t>notes</w:t>
            </w:r>
          </w:p>
          <w:p w:rsidR="0098235F" w:rsidRPr="006F3F24" w:rsidP="002960EC" w14:paraId="2BC4F1F9" w14:textId="77777777">
            <w:pPr>
              <w:pStyle w:val="Table"/>
            </w:pPr>
            <w:r w:rsidRPr="006F3F24">
              <w:t>Records wha</w:t>
            </w:r>
            <w:r>
              <w:t xml:space="preserve">t </w:t>
            </w:r>
            <w:r w:rsidRPr="006F3F24">
              <w:rPr>
                <w:spacing w:val="-33"/>
              </w:rPr>
              <w:t>the</w:t>
            </w:r>
            <w:r w:rsidRPr="006F3F24">
              <w:t xml:space="preserve"> </w:t>
            </w:r>
            <w:r>
              <w:t>respondent</w:t>
            </w:r>
            <w:r w:rsidRPr="006F3F24">
              <w:t xml:space="preserve"> is</w:t>
            </w:r>
            <w:r w:rsidRPr="006F3F24">
              <w:rPr>
                <w:spacing w:val="-19"/>
              </w:rPr>
              <w:t xml:space="preserve"> </w:t>
            </w:r>
            <w:r w:rsidRPr="006F3F24">
              <w:t xml:space="preserve">saying </w:t>
            </w:r>
            <w:r w:rsidRPr="006F3F24">
              <w:t>verbatim</w:t>
            </w:r>
          </w:p>
          <w:p w:rsidR="0098235F" w:rsidRPr="006F3F24" w:rsidP="009A74F2" w14:paraId="3D83A05E" w14:textId="533BB2B0">
            <w:pPr>
              <w:pStyle w:val="Table"/>
              <w:numPr>
                <w:ilvl w:val="0"/>
                <w:numId w:val="0"/>
              </w:numPr>
              <w:ind w:left="330"/>
              <w:rPr>
                <w:rFonts w:eastAsia="Noto Sans"/>
              </w:rPr>
            </w:pPr>
          </w:p>
        </w:tc>
        <w:tc>
          <w:tcPr>
            <w:tcW w:w="2877" w:type="dxa"/>
          </w:tcPr>
          <w:p w:rsidR="0098235F" w:rsidRPr="006F3F24" w:rsidP="002960EC" w14:paraId="7DAC17DA" w14:textId="77777777">
            <w:pPr>
              <w:pStyle w:val="Table"/>
              <w:rPr>
                <w:lang w:bidi="en-US"/>
              </w:rPr>
            </w:pPr>
            <w:r w:rsidRPr="006F3F24">
              <w:rPr>
                <w:lang w:bidi="en-US"/>
              </w:rPr>
              <w:t xml:space="preserve">Records key quotes in the </w:t>
            </w:r>
            <w:r w:rsidRPr="006F3F24">
              <w:rPr>
                <w:lang w:bidi="en-US"/>
              </w:rPr>
              <w:t>conversation</w:t>
            </w:r>
          </w:p>
          <w:p w:rsidR="0098235F" w:rsidRPr="006F3F24" w:rsidP="002960EC" w14:paraId="4E1C0101" w14:textId="77777777">
            <w:pPr>
              <w:pStyle w:val="Table"/>
              <w:rPr>
                <w:lang w:bidi="en-US"/>
              </w:rPr>
            </w:pPr>
            <w:r w:rsidRPr="006F3F24">
              <w:rPr>
                <w:lang w:bidi="en-US"/>
              </w:rPr>
              <w:t xml:space="preserve">Notes any visible actions related to body language or </w:t>
            </w:r>
            <w:r w:rsidRPr="006F3F24">
              <w:rPr>
                <w:lang w:bidi="en-US"/>
              </w:rPr>
              <w:t>attitude</w:t>
            </w:r>
          </w:p>
          <w:p w:rsidR="0098235F" w:rsidP="002960EC" w14:paraId="235F521D" w14:textId="77777777">
            <w:pPr>
              <w:pStyle w:val="Table"/>
              <w:rPr>
                <w:lang w:bidi="en-US"/>
              </w:rPr>
            </w:pPr>
            <w:r w:rsidRPr="006F3F24">
              <w:rPr>
                <w:lang w:bidi="en-US"/>
              </w:rPr>
              <w:t>Listen attentively and only join when invited at the end with clarification or follow-up questions</w:t>
            </w:r>
          </w:p>
        </w:tc>
      </w:tr>
      <w:tr w14:paraId="5815DCDB" w14:textId="77777777" w:rsidTr="002960EC">
        <w:tblPrEx>
          <w:tblW w:w="0" w:type="auto"/>
          <w:tblInd w:w="720" w:type="dxa"/>
          <w:tblLook w:val="04A0"/>
        </w:tblPrEx>
        <w:trPr>
          <w:trHeight w:val="3032"/>
        </w:trPr>
        <w:tc>
          <w:tcPr>
            <w:tcW w:w="2876" w:type="dxa"/>
          </w:tcPr>
          <w:p w:rsidR="0098235F" w:rsidP="002960EC" w14:paraId="509AE6E2" w14:textId="77777777">
            <w:pPr>
              <w:pStyle w:val="Table"/>
            </w:pPr>
            <w:r>
              <w:t>The respondent is the</w:t>
            </w:r>
            <w:r>
              <w:rPr>
                <w:spacing w:val="-30"/>
              </w:rPr>
              <w:t xml:space="preserve"> </w:t>
            </w:r>
            <w:r>
              <w:t>expert</w:t>
            </w:r>
          </w:p>
          <w:p w:rsidR="0098235F" w:rsidP="002960EC" w14:paraId="61984F9B" w14:textId="77777777">
            <w:pPr>
              <w:pStyle w:val="Table"/>
            </w:pPr>
            <w:r>
              <w:t>Avoid leading</w:t>
            </w:r>
            <w:r>
              <w:rPr>
                <w:spacing w:val="-11"/>
              </w:rPr>
              <w:t xml:space="preserve"> </w:t>
            </w:r>
            <w:r>
              <w:t>questions</w:t>
            </w:r>
          </w:p>
          <w:p w:rsidR="0098235F" w:rsidP="002960EC" w14:paraId="2B32CF8B" w14:textId="77777777">
            <w:pPr>
              <w:pStyle w:val="Table"/>
            </w:pPr>
            <w:r>
              <w:t>Look for</w:t>
            </w:r>
            <w:r>
              <w:rPr>
                <w:spacing w:val="-6"/>
              </w:rPr>
              <w:t xml:space="preserve"> </w:t>
            </w:r>
            <w:r>
              <w:t>stories</w:t>
            </w:r>
          </w:p>
          <w:p w:rsidR="0098235F" w:rsidP="002960EC" w14:paraId="5750BFFE" w14:textId="77777777">
            <w:pPr>
              <w:pStyle w:val="Table"/>
            </w:pPr>
            <w:r>
              <w:t>Use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22"/>
              </w:rPr>
              <w:t xml:space="preserve"> </w:t>
            </w:r>
            <w:r>
              <w:t xml:space="preserve">respondent’s own </w:t>
            </w:r>
            <w:r>
              <w:t>words</w:t>
            </w:r>
          </w:p>
          <w:p w:rsidR="0098235F" w:rsidP="002960EC" w14:paraId="4FE24B77" w14:textId="77777777">
            <w:pPr>
              <w:pStyle w:val="Table"/>
            </w:pPr>
            <w:r>
              <w:t>Use</w:t>
            </w:r>
            <w:r>
              <w:rPr>
                <w:spacing w:val="-22"/>
              </w:rPr>
              <w:t xml:space="preserve"> </w:t>
            </w:r>
            <w:r>
              <w:t>silence</w:t>
            </w:r>
            <w:r>
              <w:rPr>
                <w:spacing w:val="-23"/>
              </w:rPr>
              <w:t xml:space="preserve"> </w:t>
            </w:r>
            <w:r>
              <w:t>strategically</w:t>
            </w:r>
            <w:r>
              <w:rPr>
                <w:spacing w:val="-22"/>
              </w:rPr>
              <w:t xml:space="preserve"> </w:t>
            </w:r>
            <w:r>
              <w:t>(wait 3 – 5 seconds after they’ve stopped</w:t>
            </w:r>
            <w:r>
              <w:rPr>
                <w:spacing w:val="-6"/>
              </w:rPr>
              <w:t xml:space="preserve"> </w:t>
            </w:r>
            <w:r>
              <w:t>talking)</w:t>
            </w:r>
          </w:p>
          <w:p w:rsidR="0098235F" w:rsidRPr="006F3F24" w:rsidP="002960EC" w14:paraId="3775E60E" w14:textId="77777777">
            <w:pPr>
              <w:pStyle w:val="Table"/>
            </w:pPr>
            <w:r>
              <w:t>Make</w:t>
            </w:r>
            <w:r>
              <w:rPr>
                <w:spacing w:val="-12"/>
              </w:rPr>
              <w:t xml:space="preserve"> </w:t>
            </w: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things</w:t>
            </w:r>
            <w:r>
              <w:rPr>
                <w:spacing w:val="-10"/>
              </w:rPr>
              <w:t xml:space="preserve"> </w:t>
            </w:r>
            <w:r>
              <w:t>you want to follow-up</w:t>
            </w:r>
            <w:r>
              <w:rPr>
                <w:spacing w:val="-11"/>
              </w:rPr>
              <w:t xml:space="preserve"> </w:t>
            </w:r>
            <w:r>
              <w:t>on</w:t>
            </w:r>
          </w:p>
        </w:tc>
        <w:tc>
          <w:tcPr>
            <w:tcW w:w="2877" w:type="dxa"/>
          </w:tcPr>
          <w:p w:rsidR="0098235F" w:rsidRPr="006F3F24" w:rsidP="009A74F2" w14:paraId="7D739779" w14:textId="2200499E">
            <w:pPr>
              <w:pStyle w:val="Table"/>
              <w:numPr>
                <w:ilvl w:val="0"/>
                <w:numId w:val="0"/>
              </w:numPr>
              <w:ind w:left="330"/>
            </w:pPr>
          </w:p>
        </w:tc>
        <w:tc>
          <w:tcPr>
            <w:tcW w:w="2877" w:type="dxa"/>
          </w:tcPr>
          <w:p w:rsidR="0098235F" w:rsidRPr="006F3F24" w:rsidP="002960EC" w14:paraId="5686FC42" w14:textId="77777777">
            <w:pPr>
              <w:pStyle w:val="Table"/>
            </w:pPr>
            <w:r w:rsidRPr="006F3F24">
              <w:t>Keep track of timestamps for key quotes</w:t>
            </w:r>
          </w:p>
          <w:p w:rsidR="0098235F" w:rsidRPr="006F3F24" w:rsidP="002960EC" w14:paraId="13886132" w14:textId="77777777">
            <w:pPr>
              <w:pStyle w:val="Table"/>
            </w:pPr>
            <w:r w:rsidRPr="006F3F24">
              <w:t xml:space="preserve">Document responses to support the Note-Taker for lengthy or important </w:t>
            </w:r>
            <w:r w:rsidRPr="006F3F24">
              <w:t>responses</w:t>
            </w:r>
          </w:p>
          <w:p w:rsidR="0098235F" w:rsidP="002960EC" w14:paraId="0ACCEC2B" w14:textId="77777777">
            <w:pPr>
              <w:pStyle w:val="Table"/>
              <w:rPr>
                <w:lang w:bidi="en-US"/>
              </w:rPr>
            </w:pPr>
            <w:r w:rsidRPr="006F3F24">
              <w:t xml:space="preserve">Keep track of questions you gather for follow-up or key ideas for </w:t>
            </w:r>
            <w:r w:rsidRPr="006F3F24">
              <w:t>synthesis</w:t>
            </w:r>
          </w:p>
          <w:p w:rsidR="009A74F2" w:rsidP="009A74F2" w14:paraId="728CE37E" w14:textId="77777777">
            <w:pPr>
              <w:pStyle w:val="Table"/>
            </w:pPr>
            <w:r>
              <w:t>Document the unstated, including</w:t>
            </w:r>
            <w:r>
              <w:rPr>
                <w:spacing w:val="-24"/>
              </w:rPr>
              <w:t xml:space="preserve"> </w:t>
            </w:r>
            <w:r>
              <w:t>body</w:t>
            </w:r>
            <w:r>
              <w:rPr>
                <w:spacing w:val="-21"/>
              </w:rPr>
              <w:t xml:space="preserve"> </w:t>
            </w:r>
            <w:r>
              <w:t>language</w:t>
            </w:r>
            <w:r>
              <w:rPr>
                <w:spacing w:val="-22"/>
              </w:rPr>
              <w:t xml:space="preserve"> </w:t>
            </w:r>
            <w:r>
              <w:t>and voice</w:t>
            </w:r>
            <w:r>
              <w:rPr>
                <w:spacing w:val="-5"/>
              </w:rPr>
              <w:t xml:space="preserve"> </w:t>
            </w:r>
            <w:r>
              <w:t>changes</w:t>
            </w:r>
          </w:p>
          <w:p w:rsidR="009A74F2" w:rsidRPr="006F3F24" w:rsidP="009A74F2" w14:paraId="7205803F" w14:textId="24AFE40F">
            <w:pPr>
              <w:pStyle w:val="Table"/>
              <w:numPr>
                <w:ilvl w:val="0"/>
                <w:numId w:val="0"/>
              </w:numPr>
              <w:ind w:left="330"/>
              <w:rPr>
                <w:lang w:bidi="en-US"/>
              </w:rPr>
            </w:pPr>
          </w:p>
        </w:tc>
      </w:tr>
      <w:tr w14:paraId="27569C70" w14:textId="77777777" w:rsidTr="002960EC">
        <w:tblPrEx>
          <w:tblW w:w="0" w:type="auto"/>
          <w:tblInd w:w="720" w:type="dxa"/>
          <w:tblLook w:val="04A0"/>
        </w:tblPrEx>
        <w:trPr>
          <w:trHeight w:val="1250"/>
        </w:trPr>
        <w:tc>
          <w:tcPr>
            <w:tcW w:w="8630" w:type="dxa"/>
            <w:gridSpan w:val="3"/>
          </w:tcPr>
          <w:p w:rsidR="0098235F" w:rsidRPr="006D10D4" w:rsidP="002960EC" w14:paraId="59C6B405" w14:textId="77777777">
            <w:pPr>
              <w:pStyle w:val="Table"/>
              <w:numPr>
                <w:ilvl w:val="0"/>
                <w:numId w:val="0"/>
              </w:numPr>
              <w:ind w:left="161"/>
              <w:rPr>
                <w:b/>
              </w:rPr>
            </w:pPr>
            <w:r w:rsidRPr="006D10D4">
              <w:rPr>
                <w:b/>
              </w:rPr>
              <w:t>All Roles:</w:t>
            </w:r>
          </w:p>
          <w:p w:rsidR="0098235F" w:rsidRPr="006D10D4" w:rsidP="002960EC" w14:paraId="36F50453" w14:textId="77777777">
            <w:pPr>
              <w:pStyle w:val="Table"/>
            </w:pPr>
            <w:r w:rsidRPr="006D10D4">
              <w:t xml:space="preserve">Debrief </w:t>
            </w:r>
            <w:r>
              <w:t>conversation</w:t>
            </w:r>
            <w:r w:rsidRPr="006D10D4">
              <w:t xml:space="preserve"> (individuals): Clean notes, highlight key stories, soundbites, and initial </w:t>
            </w:r>
            <w:r w:rsidRPr="006D10D4">
              <w:t>insights</w:t>
            </w:r>
          </w:p>
          <w:p w:rsidR="0098235F" w:rsidRPr="006D10D4" w:rsidP="002960EC" w14:paraId="70B3BC31" w14:textId="77777777">
            <w:pPr>
              <w:pStyle w:val="Table"/>
            </w:pPr>
            <w:r w:rsidRPr="006D10D4">
              <w:t xml:space="preserve">Debrief </w:t>
            </w:r>
            <w:r>
              <w:t>conversation</w:t>
            </w:r>
            <w:r w:rsidRPr="006D10D4">
              <w:t xml:space="preserve"> (team): Discuss observations, interesting stories, and </w:t>
            </w:r>
            <w:r w:rsidRPr="006D10D4">
              <w:t>quotes</w:t>
            </w:r>
          </w:p>
          <w:p w:rsidR="0098235F" w:rsidRPr="006D10D4" w:rsidP="002960EC" w14:paraId="3A478E0D" w14:textId="77777777">
            <w:pPr>
              <w:pStyle w:val="Table"/>
            </w:pPr>
            <w:r w:rsidRPr="006D10D4">
              <w:t xml:space="preserve">Brainstorm insights at the end of each day and align on key </w:t>
            </w:r>
            <w:r w:rsidRPr="006D10D4">
              <w:t>takeaways</w:t>
            </w:r>
          </w:p>
          <w:p w:rsidR="0098235F" w:rsidRPr="006F3F24" w:rsidP="002960EC" w14:paraId="66215213" w14:textId="77777777">
            <w:pPr>
              <w:pStyle w:val="Table"/>
            </w:pPr>
            <w:r w:rsidRPr="006D10D4">
              <w:t xml:space="preserve">Define key focus areas for following </w:t>
            </w:r>
            <w:r>
              <w:t>conversation</w:t>
            </w:r>
          </w:p>
        </w:tc>
      </w:tr>
    </w:tbl>
    <w:p w:rsidR="0098235F" w:rsidRPr="00AA06F5" w:rsidP="005E06B4" w14:paraId="40BC3FFE" w14:textId="77777777"/>
    <w:sectPr w:rsidSect="0084710F">
      <w:headerReference w:type="default" r:id="rId7"/>
      <w:footerReference w:type="default" r:id="rId8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7FCC" w:rsidRPr="00357FCC" w14:paraId="1393A251" w14:textId="69243547">
    <w:pPr>
      <w:pStyle w:val="Footer"/>
      <w:rPr>
        <w:sz w:val="18"/>
        <w:szCs w:val="18"/>
      </w:rPr>
    </w:pPr>
    <w:r>
      <w:rPr>
        <w:sz w:val="18"/>
        <w:szCs w:val="18"/>
      </w:rPr>
      <w:t>HUD</w:t>
    </w:r>
    <w:r w:rsidRPr="00357FCC">
      <w:rPr>
        <w:sz w:val="18"/>
        <w:szCs w:val="18"/>
      </w:rPr>
      <w:t xml:space="preserve"> | Draft &amp; Deliberative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710F" w:rsidP="00A73CEF" w14:paraId="402CE05D" w14:textId="4BF6226C">
    <w:pPr>
      <w:pStyle w:val="Brand"/>
      <w:tabs>
        <w:tab w:val="center" w:pos="4365"/>
      </w:tabs>
      <w:ind w:hanging="630"/>
    </w:pPr>
    <w:r>
      <w:drawing>
        <wp:inline distT="0" distB="0" distL="0" distR="0">
          <wp:extent cx="615770" cy="577681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1" cy="59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drawing>
        <wp:inline distT="0" distB="0" distL="0" distR="0">
          <wp:extent cx="482600" cy="492125"/>
          <wp:effectExtent l="0" t="0" r="0" b="317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784" cy="49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>
          <wp:extent cx="536757" cy="521847"/>
          <wp:effectExtent l="0" t="0" r="0" b="0"/>
          <wp:docPr id="3" name="Picture 3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iagram&#10;&#10;Description automatically generated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66" cy="54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3CEF">
      <w:t xml:space="preserve">                                                                                                                          </w:t>
    </w:r>
    <w:r w:rsidRPr="00A73CEF" w:rsidR="00A73CEF">
      <w:rPr>
        <w:b/>
        <w:bCs/>
        <w:sz w:val="32"/>
        <w:szCs w:val="32"/>
      </w:rPr>
      <w:t>ADDENDUM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CE6850"/>
    <w:multiLevelType w:val="hybridMultilevel"/>
    <w:tmpl w:val="8D28C752"/>
    <w:lvl w:ilvl="0">
      <w:start w:val="0"/>
      <w:numFmt w:val="bullet"/>
      <w:lvlText w:val="•"/>
      <w:lvlJc w:val="left"/>
      <w:pPr>
        <w:ind w:left="1140" w:hanging="360"/>
      </w:pPr>
      <w:rPr>
        <w:rFonts w:ascii="Arial" w:eastAsia="Arial" w:hAnsi="Arial" w:cs="Arial" w:hint="default"/>
        <w:spacing w:val="-2"/>
        <w:w w:val="98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4F26048"/>
    <w:multiLevelType w:val="hybridMultilevel"/>
    <w:tmpl w:val="CEAC4D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04C62"/>
    <w:multiLevelType w:val="hybridMultilevel"/>
    <w:tmpl w:val="078AAEB0"/>
    <w:lvl w:ilvl="0">
      <w:start w:val="0"/>
      <w:numFmt w:val="bullet"/>
      <w:pStyle w:val="Table"/>
      <w:lvlText w:val="•"/>
      <w:lvlJc w:val="left"/>
      <w:pPr>
        <w:ind w:left="545" w:hanging="272"/>
      </w:pPr>
      <w:rPr>
        <w:rFonts w:ascii="Arial" w:eastAsia="Arial" w:hAnsi="Arial" w:cs="Arial" w:hint="default"/>
        <w:spacing w:val="-5"/>
        <w:w w:val="97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01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63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25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587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848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110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72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34" w:hanging="272"/>
      </w:pPr>
      <w:rPr>
        <w:rFonts w:hint="default"/>
        <w:lang w:val="en-US" w:eastAsia="en-US" w:bidi="en-US"/>
      </w:rPr>
    </w:lvl>
  </w:abstractNum>
  <w:num w:numId="1" w16cid:durableId="1232354162">
    <w:abstractNumId w:val="1"/>
  </w:num>
  <w:num w:numId="2" w16cid:durableId="1595285723">
    <w:abstractNumId w:val="0"/>
  </w:num>
  <w:num w:numId="3" w16cid:durableId="130790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1F"/>
    <w:rsid w:val="00014902"/>
    <w:rsid w:val="0009788B"/>
    <w:rsid w:val="000F333D"/>
    <w:rsid w:val="00104BF9"/>
    <w:rsid w:val="001249E6"/>
    <w:rsid w:val="001344D0"/>
    <w:rsid w:val="00174866"/>
    <w:rsid w:val="00180EED"/>
    <w:rsid w:val="001A19DF"/>
    <w:rsid w:val="002827B6"/>
    <w:rsid w:val="002960EC"/>
    <w:rsid w:val="002D5346"/>
    <w:rsid w:val="00334C6B"/>
    <w:rsid w:val="00357FCC"/>
    <w:rsid w:val="00451A29"/>
    <w:rsid w:val="00490EF0"/>
    <w:rsid w:val="004A1978"/>
    <w:rsid w:val="004A3E77"/>
    <w:rsid w:val="004D502C"/>
    <w:rsid w:val="0054229D"/>
    <w:rsid w:val="00586E42"/>
    <w:rsid w:val="005A0FA4"/>
    <w:rsid w:val="005E06B4"/>
    <w:rsid w:val="006D10D4"/>
    <w:rsid w:val="006D701F"/>
    <w:rsid w:val="006F3F24"/>
    <w:rsid w:val="0084710F"/>
    <w:rsid w:val="00861C22"/>
    <w:rsid w:val="00947EF1"/>
    <w:rsid w:val="0098235F"/>
    <w:rsid w:val="00994BB4"/>
    <w:rsid w:val="009A74F2"/>
    <w:rsid w:val="00A73CEF"/>
    <w:rsid w:val="00A87D88"/>
    <w:rsid w:val="00AA06F5"/>
    <w:rsid w:val="00B03D6B"/>
    <w:rsid w:val="00B066D0"/>
    <w:rsid w:val="00B35C25"/>
    <w:rsid w:val="00B80AB0"/>
    <w:rsid w:val="00BA3B4D"/>
    <w:rsid w:val="00C01500"/>
    <w:rsid w:val="00C25999"/>
    <w:rsid w:val="00C327C0"/>
    <w:rsid w:val="00D12C82"/>
    <w:rsid w:val="00D561C5"/>
    <w:rsid w:val="00F22628"/>
    <w:rsid w:val="0143C1AD"/>
    <w:rsid w:val="05C3F381"/>
    <w:rsid w:val="10FF2A33"/>
    <w:rsid w:val="13E8575B"/>
    <w:rsid w:val="1405AC8B"/>
    <w:rsid w:val="17912D88"/>
    <w:rsid w:val="1FCD107E"/>
    <w:rsid w:val="2477099E"/>
    <w:rsid w:val="294A99A4"/>
    <w:rsid w:val="2D20D231"/>
    <w:rsid w:val="3263E147"/>
    <w:rsid w:val="341C675C"/>
    <w:rsid w:val="35CA41B8"/>
    <w:rsid w:val="39B91674"/>
    <w:rsid w:val="3B46F99E"/>
    <w:rsid w:val="3EAB97E2"/>
    <w:rsid w:val="3F52D6EA"/>
    <w:rsid w:val="45C0F699"/>
    <w:rsid w:val="5003F01C"/>
    <w:rsid w:val="555F968C"/>
    <w:rsid w:val="5DA392A9"/>
    <w:rsid w:val="5E79BC0D"/>
    <w:rsid w:val="70D82ED8"/>
    <w:rsid w:val="73BBC8E3"/>
    <w:rsid w:val="764ED88B"/>
  </w:rsids>
  <w:docVars>
    <w:docVar w:name="__Grammarly_42___1" w:val="H4sIAAAAAAAEAKtWcslP9kxRslIyNDY2MjAwMjIxMzAxN7I0MTVV0lEKTi0uzszPAykwrAUAZSirO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6F9EEB"/>
  <w15:chartTrackingRefBased/>
  <w15:docId w15:val="{DDEE7E14-AEA3-444D-BEDE-F7F4B263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C0"/>
    <w:pPr>
      <w:spacing w:line="276" w:lineRule="auto"/>
      <w:ind w:left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7C0"/>
    <w:pPr>
      <w:keepNext/>
      <w:keepLines/>
      <w:spacing w:before="240" w:after="360" w:line="240" w:lineRule="auto"/>
      <w:outlineLvl w:val="0"/>
    </w:pPr>
    <w:rPr>
      <w:rFonts w:asciiTheme="majorHAnsi" w:eastAsiaTheme="majorEastAsia" w:hAnsiTheme="majorHAnsi" w:cstheme="majorBidi"/>
      <w:color w:val="112E5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6F5"/>
    <w:pPr>
      <w:keepNext/>
      <w:keepLines/>
      <w:spacing w:before="80" w:after="120" w:line="240" w:lineRule="auto"/>
      <w:outlineLvl w:val="1"/>
    </w:pPr>
    <w:rPr>
      <w:rFonts w:asciiTheme="majorHAnsi" w:eastAsiaTheme="majorEastAsia" w:hAnsiTheme="majorHAnsi" w:cstheme="majorBidi"/>
      <w:color w:val="112E5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6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10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1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0F"/>
  </w:style>
  <w:style w:type="paragraph" w:styleId="Footer">
    <w:name w:val="footer"/>
    <w:basedOn w:val="Normal"/>
    <w:link w:val="FooterChar"/>
    <w:uiPriority w:val="99"/>
    <w:unhideWhenUsed/>
    <w:rsid w:val="00847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0F"/>
  </w:style>
  <w:style w:type="character" w:customStyle="1" w:styleId="Heading1Char">
    <w:name w:val="Heading 1 Char"/>
    <w:basedOn w:val="DefaultParagraphFont"/>
    <w:link w:val="Heading1"/>
    <w:uiPriority w:val="9"/>
    <w:rsid w:val="00C327C0"/>
    <w:rPr>
      <w:rFonts w:asciiTheme="majorHAnsi" w:eastAsiaTheme="majorEastAsia" w:hAnsiTheme="majorHAnsi" w:cstheme="majorBidi"/>
      <w:color w:val="112E5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06F5"/>
    <w:rPr>
      <w:rFonts w:asciiTheme="majorHAnsi" w:eastAsiaTheme="majorEastAsia" w:hAnsiTheme="majorHAnsi" w:cstheme="majorBidi"/>
      <w:color w:val="112E5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06F5"/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10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10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10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0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0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0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10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4710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710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10F"/>
    <w:pPr>
      <w:numPr>
        <w:ilvl w:val="1"/>
      </w:numPr>
      <w:spacing w:line="240" w:lineRule="auto"/>
      <w:ind w:left="720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4710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4710F"/>
    <w:rPr>
      <w:b/>
      <w:bCs/>
    </w:rPr>
  </w:style>
  <w:style w:type="character" w:styleId="Emphasis">
    <w:name w:val="Emphasis"/>
    <w:basedOn w:val="DefaultParagraphFont"/>
    <w:uiPriority w:val="20"/>
    <w:qFormat/>
    <w:rsid w:val="0084710F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47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710F"/>
    <w:pPr>
      <w:spacing w:before="160"/>
      <w:ind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4710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10F"/>
    <w:pPr>
      <w:spacing w:before="160" w:after="160" w:line="264" w:lineRule="auto"/>
      <w:ind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10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710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471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710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4710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4710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10F"/>
    <w:pPr>
      <w:outlineLvl w:val="9"/>
    </w:pPr>
  </w:style>
  <w:style w:type="paragraph" w:customStyle="1" w:styleId="Brand">
    <w:name w:val="Brand"/>
    <w:qFormat/>
    <w:rsid w:val="00947EF1"/>
    <w:pPr>
      <w:ind w:hanging="1440"/>
    </w:pPr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4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9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5C25"/>
    <w:pPr>
      <w:contextualSpacing/>
    </w:pPr>
  </w:style>
  <w:style w:type="table" w:styleId="TableGrid">
    <w:name w:val="Table Grid"/>
    <w:basedOn w:val="TableNormal"/>
    <w:uiPriority w:val="39"/>
    <w:rsid w:val="0098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ListParagraph"/>
    <w:qFormat/>
    <w:rsid w:val="0098235F"/>
    <w:pPr>
      <w:numPr>
        <w:numId w:val="3"/>
      </w:numPr>
      <w:spacing w:after="0" w:line="240" w:lineRule="auto"/>
      <w:ind w:left="330" w:hanging="180"/>
    </w:pPr>
    <w:rPr>
      <w:sz w:val="18"/>
      <w:szCs w:val="18"/>
    </w:rPr>
  </w:style>
  <w:style w:type="character" w:customStyle="1" w:styleId="normaltextrun">
    <w:name w:val="normaltextrun"/>
    <w:basedOn w:val="DefaultParagraphFont"/>
    <w:rsid w:val="00A7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gif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2E3D"/>
      </a:accent1>
      <a:accent2>
        <a:srgbClr val="E3443D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urce sans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DDCF9C8B5264E8F1AEF33A56BE499" ma:contentTypeVersion="12" ma:contentTypeDescription="Create a new document." ma:contentTypeScope="" ma:versionID="2a71933e8df3e2754cbb105ec0fd38bb">
  <xsd:schema xmlns:xsd="http://www.w3.org/2001/XMLSchema" xmlns:xs="http://www.w3.org/2001/XMLSchema" xmlns:p="http://schemas.microsoft.com/office/2006/metadata/properties" xmlns:ns2="769f08fa-c480-495c-9fb2-d01e5efe6dd0" xmlns:ns3="d9d5c0fc-3317-4600-84f7-0913a2f76730" targetNamespace="http://schemas.microsoft.com/office/2006/metadata/properties" ma:root="true" ma:fieldsID="ab169bae628cbeff3daa6f8aa7f4403e" ns2:_="" ns3:_="">
    <xsd:import namespace="769f08fa-c480-495c-9fb2-d01e5efe6dd0"/>
    <xsd:import namespace="d9d5c0fc-3317-4600-84f7-0913a2f7673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f08fa-c480-495c-9fb2-d01e5efe6d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5c0fc-3317-4600-84f7-0913a2f767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efe5ec-5bc8-4508-8028-c902cbf1c87b}" ma:internalName="TaxCatchAll" ma:showField="CatchAllData" ma:web="d9d5c0fc-3317-4600-84f7-0913a2f76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f08fa-c480-495c-9fb2-d01e5efe6dd0">
      <Terms xmlns="http://schemas.microsoft.com/office/infopath/2007/PartnerControls"/>
    </lcf76f155ced4ddcb4097134ff3c332f>
    <TaxCatchAll xmlns="d9d5c0fc-3317-4600-84f7-0913a2f76730" xsi:nil="true"/>
  </documentManagement>
</p:properties>
</file>

<file path=customXml/itemProps1.xml><?xml version="1.0" encoding="utf-8"?>
<ds:datastoreItem xmlns:ds="http://schemas.openxmlformats.org/officeDocument/2006/customXml" ds:itemID="{F8B827E3-17DE-4102-B857-0B2CC3D4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f08fa-c480-495c-9fb2-d01e5efe6dd0"/>
    <ds:schemaRef ds:uri="d9d5c0fc-3317-4600-84f7-0913a2f76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372D8-A920-4F81-B775-3D1848BAF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F2153-F1BF-49FD-89D1-E784AFB0C9D0}">
  <ds:schemaRefs>
    <ds:schemaRef ds:uri="http://schemas.microsoft.com/office/2006/metadata/properties"/>
    <ds:schemaRef ds:uri="http://schemas.microsoft.com/office/infopath/2007/PartnerControls"/>
    <ds:schemaRef ds:uri="769f08fa-c480-495c-9fb2-d01e5efe6dd0"/>
    <ds:schemaRef ds:uri="d9d5c0fc-3317-4600-84f7-0913a2f76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Company>White House Communications Agency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Stienstra, Aaron M. EOP/OMB</dc:creator>
  <cp:lastModifiedBy>Pollard, Colette</cp:lastModifiedBy>
  <cp:revision>2</cp:revision>
  <dcterms:created xsi:type="dcterms:W3CDTF">2023-03-01T18:53:00Z</dcterms:created>
  <dcterms:modified xsi:type="dcterms:W3CDTF">2023-03-01T18:53:00Z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0x01010075DDDCF9C8B5264E8F1AEF33A56BE499</vt:lpwstr>
  </property>
  <property fmtid="{D5CDD505-2E9C-101B-9397-08002B2CF9AE}" pid="3" name="MediaServiceImageTags">
    <vt:lpwstr/>
  </property>
</Properties>
</file>