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3DD4" w:rsidRPr="002C0D1E" w:rsidP="00A13DD4" w14:paraId="40F80FCF" w14:textId="77777777">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UNITED STATES OF AMERICA</w:t>
      </w:r>
    </w:p>
    <w:p w:rsidR="00A13DD4" w:rsidRPr="002C0D1E" w:rsidP="00A13DD4" w14:paraId="40F80FD0" w14:textId="77777777">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FEDERAL ENERGY REGULATORY COMMISSION</w:t>
      </w:r>
    </w:p>
    <w:p w:rsidR="00A13DD4" w:rsidRPr="002C0D1E" w:rsidP="00A13DD4" w14:paraId="40F80FD1" w14:textId="77777777">
      <w:pPr>
        <w:spacing w:after="0" w:line="240" w:lineRule="auto"/>
        <w:rPr>
          <w:rFonts w:ascii="Times New Roman" w:eastAsia="Times New Roman" w:hAnsi="Times New Roman" w:cs="Times New Roman"/>
          <w:sz w:val="26"/>
          <w:szCs w:val="26"/>
        </w:rPr>
      </w:pPr>
    </w:p>
    <w:p w:rsidR="00A13DD4" w:rsidRPr="002C0D1E" w:rsidP="00A13DD4" w14:paraId="40F80FD2" w14:textId="569F9766">
      <w:pPr>
        <w:spacing w:after="0" w:line="240" w:lineRule="auto"/>
        <w:jc w:val="center"/>
        <w:rPr>
          <w:rFonts w:ascii="Times New Roman" w:eastAsia="Times New Roman" w:hAnsi="Times New Roman" w:cs="Times New Roman"/>
          <w:sz w:val="26"/>
          <w:szCs w:val="26"/>
        </w:rPr>
      </w:pPr>
      <w:r w:rsidRPr="009A234A">
        <w:rPr>
          <w:rFonts w:ascii="Times New Roman" w:eastAsia="Times New Roman" w:hAnsi="Times New Roman" w:cs="Times New Roman"/>
          <w:sz w:val="26"/>
          <w:szCs w:val="26"/>
        </w:rPr>
        <w:t xml:space="preserve">[Docket No. </w:t>
      </w:r>
      <w:r w:rsidRPr="009A234A" w:rsidR="000F7602">
        <w:rPr>
          <w:rFonts w:ascii="Times New Roman" w:eastAsia="Times New Roman" w:hAnsi="Times New Roman" w:cs="Times New Roman"/>
          <w:sz w:val="26"/>
          <w:szCs w:val="26"/>
        </w:rPr>
        <w:t>IC2</w:t>
      </w:r>
      <w:r w:rsidRPr="009A234A" w:rsidR="005660C8">
        <w:rPr>
          <w:rFonts w:ascii="Times New Roman" w:eastAsia="Times New Roman" w:hAnsi="Times New Roman" w:cs="Times New Roman"/>
          <w:sz w:val="26"/>
          <w:szCs w:val="26"/>
        </w:rPr>
        <w:t>4</w:t>
      </w:r>
      <w:r w:rsidRPr="009A234A" w:rsidR="000F7602">
        <w:rPr>
          <w:rFonts w:ascii="Times New Roman" w:eastAsia="Times New Roman" w:hAnsi="Times New Roman" w:cs="Times New Roman"/>
          <w:sz w:val="26"/>
          <w:szCs w:val="26"/>
        </w:rPr>
        <w:t>-</w:t>
      </w:r>
      <w:r w:rsidRPr="009A234A" w:rsidR="005660C8">
        <w:rPr>
          <w:rFonts w:ascii="Times New Roman" w:eastAsia="Times New Roman" w:hAnsi="Times New Roman" w:cs="Times New Roman"/>
          <w:sz w:val="26"/>
          <w:szCs w:val="26"/>
        </w:rPr>
        <w:t>18</w:t>
      </w:r>
      <w:r w:rsidRPr="009A234A" w:rsidR="00C316F8">
        <w:rPr>
          <w:rFonts w:ascii="Times New Roman" w:eastAsia="Times New Roman" w:hAnsi="Times New Roman" w:cs="Times New Roman"/>
          <w:sz w:val="26"/>
          <w:szCs w:val="26"/>
        </w:rPr>
        <w:t>-000</w:t>
      </w:r>
      <w:r w:rsidRPr="009A234A">
        <w:rPr>
          <w:rFonts w:ascii="Times New Roman" w:eastAsia="Times New Roman" w:hAnsi="Times New Roman" w:cs="Times New Roman"/>
          <w:sz w:val="26"/>
          <w:szCs w:val="26"/>
        </w:rPr>
        <w:t>]</w:t>
      </w:r>
    </w:p>
    <w:p w:rsidR="00A13DD4" w:rsidRPr="002C0D1E" w:rsidP="00A13DD4" w14:paraId="40F80FD3" w14:textId="77777777">
      <w:pPr>
        <w:spacing w:after="0" w:line="240" w:lineRule="auto"/>
        <w:rPr>
          <w:rFonts w:ascii="Times New Roman" w:eastAsia="Times New Roman" w:hAnsi="Times New Roman" w:cs="Times New Roman"/>
          <w:sz w:val="26"/>
          <w:szCs w:val="26"/>
        </w:rPr>
      </w:pPr>
    </w:p>
    <w:p w:rsidR="00A13DD4" w:rsidRPr="002C0D1E" w:rsidP="00A13DD4" w14:paraId="40F80FD4" w14:textId="77777777">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COMMISSION INFORMATION COLLECTION ACTIVITIES </w:t>
      </w:r>
    </w:p>
    <w:p w:rsidR="00A13DD4" w:rsidRPr="002C0D1E" w:rsidP="00A13DD4" w14:paraId="40F80FD5" w14:textId="6EDD803B">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(FERC-65, FERC-65A, </w:t>
      </w:r>
      <w:r w:rsidR="00FB4BBA">
        <w:rPr>
          <w:rFonts w:ascii="Times New Roman" w:eastAsia="Times New Roman" w:hAnsi="Times New Roman" w:cs="Times New Roman"/>
          <w:sz w:val="26"/>
          <w:szCs w:val="26"/>
        </w:rPr>
        <w:t xml:space="preserve">AND </w:t>
      </w:r>
      <w:r w:rsidRPr="002C0D1E">
        <w:rPr>
          <w:rFonts w:ascii="Times New Roman" w:eastAsia="Times New Roman" w:hAnsi="Times New Roman" w:cs="Times New Roman"/>
          <w:sz w:val="26"/>
          <w:szCs w:val="26"/>
        </w:rPr>
        <w:t>FERC-65B)</w:t>
      </w:r>
    </w:p>
    <w:p w:rsidR="00A13DD4" w:rsidRPr="002C0D1E" w:rsidP="00A13DD4" w14:paraId="40F80FD6" w14:textId="77777777">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CONSOLIDATED COMMENT REQUEST; EXTENSION</w:t>
      </w:r>
    </w:p>
    <w:p w:rsidR="00A13DD4" w:rsidRPr="002C0D1E" w:rsidP="00A13DD4" w14:paraId="40F80FD7" w14:textId="77777777">
      <w:pPr>
        <w:spacing w:after="0" w:line="240" w:lineRule="auto"/>
        <w:rPr>
          <w:rFonts w:ascii="Times New Roman" w:eastAsia="Times New Roman" w:hAnsi="Times New Roman" w:cs="Times New Roman"/>
          <w:sz w:val="26"/>
          <w:szCs w:val="26"/>
        </w:rPr>
      </w:pPr>
    </w:p>
    <w:p w:rsidR="00A13DD4" w:rsidP="00C15F9F" w14:paraId="40F80FD9" w14:textId="3114FD42">
      <w:pPr>
        <w:spacing w:after="0" w:line="240" w:lineRule="auto"/>
        <w:jc w:val="center"/>
        <w:rPr>
          <w:rFonts w:ascii="Times New Roman" w:eastAsia="Times New Roman" w:hAnsi="Times New Roman" w:cs="Times New Roman"/>
          <w:sz w:val="26"/>
          <w:szCs w:val="26"/>
        </w:rPr>
      </w:pPr>
      <w:r w:rsidRPr="00C15F9F">
        <w:rPr>
          <w:rFonts w:ascii="Times New Roman" w:eastAsia="Times New Roman" w:hAnsi="Times New Roman" w:cs="Times New Roman"/>
          <w:sz w:val="26"/>
          <w:szCs w:val="26"/>
        </w:rPr>
        <w:t>(</w:t>
      </w:r>
      <w:r w:rsidR="008F1660">
        <w:rPr>
          <w:rFonts w:ascii="Times New Roman" w:eastAsia="Times New Roman" w:hAnsi="Times New Roman" w:cs="Times New Roman"/>
          <w:sz w:val="26"/>
          <w:szCs w:val="26"/>
        </w:rPr>
        <w:t>Date</w:t>
      </w:r>
      <w:r w:rsidRPr="00C15F9F">
        <w:rPr>
          <w:rFonts w:ascii="Times New Roman" w:eastAsia="Times New Roman" w:hAnsi="Times New Roman" w:cs="Times New Roman"/>
          <w:sz w:val="26"/>
          <w:szCs w:val="26"/>
        </w:rPr>
        <w:t>)</w:t>
      </w:r>
    </w:p>
    <w:p w:rsidR="00C15F9F" w:rsidRPr="00C15F9F" w:rsidP="00C15F9F" w14:paraId="2F113815" w14:textId="77777777">
      <w:pPr>
        <w:spacing w:after="0" w:line="240" w:lineRule="auto"/>
        <w:rPr>
          <w:rFonts w:ascii="Times New Roman" w:eastAsia="Times New Roman" w:hAnsi="Times New Roman" w:cs="Times New Roman"/>
          <w:sz w:val="26"/>
          <w:szCs w:val="26"/>
        </w:rPr>
      </w:pPr>
    </w:p>
    <w:p w:rsidR="00A13DD4" w:rsidRPr="002C0D1E" w:rsidP="00A13DD4" w14:paraId="40F80FDA" w14:textId="1C7E7207">
      <w:pPr>
        <w:spacing w:after="0" w:line="24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AGENCY:</w:t>
      </w:r>
      <w:r w:rsidRPr="002C0D1E">
        <w:rPr>
          <w:rFonts w:ascii="Times New Roman" w:eastAsia="Times New Roman" w:hAnsi="Times New Roman" w:cs="Times New Roman"/>
          <w:sz w:val="26"/>
          <w:szCs w:val="26"/>
        </w:rPr>
        <w:t xml:space="preserve">  Federal Energy Regulatory Commission</w:t>
      </w:r>
      <w:r w:rsidR="00FB4BBA">
        <w:rPr>
          <w:rFonts w:ascii="Times New Roman" w:eastAsia="Times New Roman" w:hAnsi="Times New Roman" w:cs="Times New Roman"/>
          <w:sz w:val="26"/>
          <w:szCs w:val="26"/>
        </w:rPr>
        <w:t>.</w:t>
      </w:r>
    </w:p>
    <w:p w:rsidR="00A13DD4" w:rsidRPr="002C0D1E" w:rsidP="00A13DD4" w14:paraId="40F80FDB" w14:textId="77777777">
      <w:pPr>
        <w:spacing w:after="0" w:line="240" w:lineRule="auto"/>
        <w:rPr>
          <w:rFonts w:ascii="Times New Roman" w:eastAsia="Times New Roman" w:hAnsi="Times New Roman" w:cs="Times New Roman"/>
          <w:sz w:val="26"/>
          <w:szCs w:val="26"/>
        </w:rPr>
      </w:pPr>
    </w:p>
    <w:p w:rsidR="00A13DD4" w:rsidRPr="002C0D1E" w:rsidP="00A13DD4" w14:paraId="40F80FDC" w14:textId="77777777">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ACTION:</w:t>
      </w:r>
      <w:r w:rsidRPr="002C0D1E">
        <w:rPr>
          <w:rFonts w:ascii="Times New Roman" w:eastAsia="Times New Roman" w:hAnsi="Times New Roman" w:cs="Times New Roman"/>
          <w:sz w:val="26"/>
          <w:szCs w:val="26"/>
        </w:rPr>
        <w:t xml:space="preserve">  Notice of information collection and request for comments.</w:t>
      </w:r>
    </w:p>
    <w:p w:rsidR="00A13DD4" w:rsidRPr="002C0D1E" w:rsidP="00A13DD4" w14:paraId="40F80FDD" w14:textId="1F6BFCE4">
      <w:pPr>
        <w:spacing w:after="0" w:line="480" w:lineRule="auto"/>
        <w:rPr>
          <w:rFonts w:ascii="Times New Roman" w:eastAsia="Times New Roman" w:hAnsi="Times New Roman" w:cs="Times New Roman"/>
          <w:sz w:val="26"/>
          <w:szCs w:val="26"/>
        </w:rPr>
      </w:pPr>
      <w:r w:rsidRPr="541A72A3">
        <w:rPr>
          <w:rFonts w:ascii="Times New Roman" w:eastAsia="Times New Roman" w:hAnsi="Times New Roman" w:cs="Times New Roman"/>
          <w:b/>
          <w:bCs/>
          <w:sz w:val="26"/>
          <w:szCs w:val="26"/>
        </w:rPr>
        <w:t>SUMMARY:</w:t>
      </w:r>
      <w:r w:rsidRPr="541A72A3">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w:t>
      </w:r>
      <w:r w:rsidRPr="541A72A3" w:rsidR="00FB4BBA">
        <w:rPr>
          <w:rFonts w:ascii="Times New Roman" w:eastAsia="Times New Roman" w:hAnsi="Times New Roman" w:cs="Times New Roman"/>
          <w:sz w:val="26"/>
          <w:szCs w:val="26"/>
        </w:rPr>
        <w:t xml:space="preserve">currently approved </w:t>
      </w:r>
      <w:r w:rsidRPr="541A72A3">
        <w:rPr>
          <w:rFonts w:ascii="Times New Roman" w:eastAsia="Times New Roman" w:hAnsi="Times New Roman" w:cs="Times New Roman"/>
          <w:sz w:val="26"/>
          <w:szCs w:val="26"/>
        </w:rPr>
        <w:t>information collections, FERC-65 (Notice of Holding Company Status), FERC-65A (Exemption Notification of holding Company Status), and FERC-65B (Waiver Notification of Holding Company Status</w:t>
      </w:r>
      <w:r w:rsidRPr="541A72A3" w:rsidR="57784DB2">
        <w:rPr>
          <w:rFonts w:ascii="Times New Roman" w:eastAsia="Times New Roman" w:hAnsi="Times New Roman" w:cs="Times New Roman"/>
          <w:sz w:val="26"/>
          <w:szCs w:val="26"/>
        </w:rPr>
        <w:t>)</w:t>
      </w:r>
      <w:r w:rsidR="00692EEE">
        <w:rPr>
          <w:rFonts w:ascii="Times New Roman" w:eastAsia="Times New Roman" w:hAnsi="Times New Roman" w:cs="Times New Roman"/>
          <w:sz w:val="26"/>
          <w:szCs w:val="26"/>
        </w:rPr>
        <w:t xml:space="preserve"> </w:t>
      </w:r>
      <w:r w:rsidR="00950AF2">
        <w:rPr>
          <w:rFonts w:ascii="Times New Roman" w:eastAsia="Times New Roman" w:hAnsi="Times New Roman" w:cs="Times New Roman"/>
          <w:sz w:val="26"/>
          <w:szCs w:val="26"/>
        </w:rPr>
        <w:t>in OMB control no. 1902-0</w:t>
      </w:r>
      <w:r w:rsidR="00F35DC0">
        <w:rPr>
          <w:rFonts w:ascii="Times New Roman" w:eastAsia="Times New Roman" w:hAnsi="Times New Roman" w:cs="Times New Roman"/>
          <w:sz w:val="26"/>
          <w:szCs w:val="26"/>
        </w:rPr>
        <w:t>218</w:t>
      </w:r>
      <w:r w:rsidRPr="541A72A3" w:rsidR="00465778">
        <w:rPr>
          <w:rFonts w:ascii="Times New Roman" w:eastAsia="Times New Roman" w:hAnsi="Times New Roman" w:cs="Times New Roman"/>
          <w:sz w:val="26"/>
          <w:szCs w:val="26"/>
        </w:rPr>
        <w:t>, which will be submitted to the Office of Management and Budget (OMB) for review.</w:t>
      </w:r>
    </w:p>
    <w:p w:rsidR="00A13DD4" w:rsidRPr="002C0D1E" w:rsidP="00A13DD4" w14:paraId="40F80FDE" w14:textId="4244B119">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DATES:</w:t>
      </w:r>
      <w:r w:rsidRPr="002C0D1E">
        <w:rPr>
          <w:rFonts w:ascii="Times New Roman" w:eastAsia="Times New Roman" w:hAnsi="Times New Roman" w:cs="Times New Roman"/>
          <w:sz w:val="26"/>
          <w:szCs w:val="26"/>
        </w:rPr>
        <w:t xml:space="preserve">  Comments on the collection of information are due</w:t>
      </w:r>
      <w:r w:rsidRPr="002C0D1E">
        <w:rPr>
          <w:rFonts w:ascii="Times New Roman" w:eastAsia="Times New Roman" w:hAnsi="Times New Roman" w:cs="Times New Roman"/>
          <w:b/>
          <w:sz w:val="26"/>
          <w:szCs w:val="26"/>
        </w:rPr>
        <w:t xml:space="preserve"> [Insert Date </w:t>
      </w:r>
      <w:r w:rsidR="00465778">
        <w:rPr>
          <w:rFonts w:ascii="Times New Roman" w:eastAsia="Times New Roman" w:hAnsi="Times New Roman" w:cs="Times New Roman"/>
          <w:b/>
          <w:sz w:val="26"/>
          <w:szCs w:val="26"/>
        </w:rPr>
        <w:t>3</w:t>
      </w:r>
      <w:r w:rsidRPr="002C0D1E">
        <w:rPr>
          <w:rFonts w:ascii="Times New Roman" w:eastAsia="Times New Roman" w:hAnsi="Times New Roman" w:cs="Times New Roman"/>
          <w:b/>
          <w:sz w:val="26"/>
          <w:szCs w:val="26"/>
        </w:rPr>
        <w:t xml:space="preserve">0 days after </w:t>
      </w:r>
      <w:r w:rsidR="00C15F9F">
        <w:rPr>
          <w:rFonts w:ascii="Times New Roman" w:eastAsia="Times New Roman" w:hAnsi="Times New Roman" w:cs="Times New Roman"/>
          <w:b/>
          <w:sz w:val="26"/>
          <w:szCs w:val="26"/>
        </w:rPr>
        <w:t xml:space="preserve">date of </w:t>
      </w:r>
      <w:r w:rsidRPr="002C0D1E">
        <w:rPr>
          <w:rFonts w:ascii="Times New Roman" w:eastAsia="Times New Roman" w:hAnsi="Times New Roman" w:cs="Times New Roman"/>
          <w:b/>
          <w:sz w:val="26"/>
          <w:szCs w:val="26"/>
        </w:rPr>
        <w:t>publication in the Federal Register].</w:t>
      </w:r>
      <w:r w:rsidRPr="002C0D1E">
        <w:rPr>
          <w:rFonts w:ascii="Times New Roman" w:eastAsia="Times New Roman" w:hAnsi="Times New Roman" w:cs="Times New Roman"/>
          <w:sz w:val="26"/>
          <w:szCs w:val="26"/>
        </w:rPr>
        <w:t xml:space="preserve"> </w:t>
      </w:r>
    </w:p>
    <w:p w:rsidR="00A13DD4" w:rsidP="00A13DD4" w14:paraId="40F80FDF" w14:textId="1342012A">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ADDRESSES:</w:t>
      </w:r>
      <w:r w:rsidRPr="002C0D1E">
        <w:rPr>
          <w:rFonts w:ascii="Times New Roman" w:eastAsia="Times New Roman" w:hAnsi="Times New Roman" w:cs="Times New Roman"/>
          <w:sz w:val="26"/>
          <w:szCs w:val="26"/>
        </w:rPr>
        <w:t xml:space="preserve">  You may submit comments (identified by Docket No</w:t>
      </w:r>
      <w:r w:rsidRPr="005660C8">
        <w:rPr>
          <w:rFonts w:ascii="Times New Roman" w:eastAsia="Times New Roman" w:hAnsi="Times New Roman" w:cs="Times New Roman"/>
          <w:sz w:val="26"/>
          <w:szCs w:val="26"/>
        </w:rPr>
        <w:t xml:space="preserve">. </w:t>
      </w:r>
      <w:r w:rsidRPr="005660C8" w:rsidR="000F7602">
        <w:rPr>
          <w:rFonts w:ascii="Times New Roman" w:eastAsia="Times New Roman" w:hAnsi="Times New Roman" w:cs="Times New Roman"/>
          <w:sz w:val="26"/>
          <w:szCs w:val="26"/>
        </w:rPr>
        <w:t>IC2</w:t>
      </w:r>
      <w:r w:rsidRPr="005660C8" w:rsidR="005660C8">
        <w:rPr>
          <w:rFonts w:ascii="Times New Roman" w:eastAsia="Times New Roman" w:hAnsi="Times New Roman" w:cs="Times New Roman"/>
          <w:sz w:val="26"/>
          <w:szCs w:val="26"/>
        </w:rPr>
        <w:t>4</w:t>
      </w:r>
      <w:r w:rsidRPr="005660C8" w:rsidR="000F7602">
        <w:rPr>
          <w:rFonts w:ascii="Times New Roman" w:eastAsia="Times New Roman" w:hAnsi="Times New Roman" w:cs="Times New Roman"/>
          <w:sz w:val="26"/>
          <w:szCs w:val="26"/>
        </w:rPr>
        <w:t>-</w:t>
      </w:r>
      <w:r w:rsidRPr="005660C8" w:rsidR="005660C8">
        <w:rPr>
          <w:rFonts w:ascii="Times New Roman" w:eastAsia="Times New Roman" w:hAnsi="Times New Roman" w:cs="Times New Roman"/>
          <w:sz w:val="26"/>
          <w:szCs w:val="26"/>
        </w:rPr>
        <w:t>18</w:t>
      </w:r>
      <w:r w:rsidRPr="005660C8" w:rsidR="00C316F8">
        <w:rPr>
          <w:rFonts w:ascii="Times New Roman" w:eastAsia="Times New Roman" w:hAnsi="Times New Roman" w:cs="Times New Roman"/>
          <w:sz w:val="26"/>
          <w:szCs w:val="26"/>
        </w:rPr>
        <w:t>-000</w:t>
      </w:r>
      <w:r w:rsidRPr="005660C8">
        <w:rPr>
          <w:rFonts w:ascii="Times New Roman" w:eastAsia="Times New Roman" w:hAnsi="Times New Roman" w:cs="Times New Roman"/>
          <w:sz w:val="26"/>
          <w:szCs w:val="26"/>
        </w:rPr>
        <w:t>)</w:t>
      </w:r>
      <w:r w:rsidRPr="002C0D1E">
        <w:rPr>
          <w:rFonts w:ascii="Times New Roman" w:eastAsia="Times New Roman" w:hAnsi="Times New Roman" w:cs="Times New Roman"/>
          <w:sz w:val="26"/>
          <w:szCs w:val="26"/>
        </w:rPr>
        <w:t xml:space="preserve"> by either of the following methods:</w:t>
      </w:r>
    </w:p>
    <w:p w:rsidR="00FB4BBA" w:rsidRPr="00FB4BBA" w:rsidP="00FB4BBA" w14:paraId="299F2E8F" w14:textId="77777777">
      <w:pPr>
        <w:spacing w:after="0" w:line="480" w:lineRule="auto"/>
        <w:rPr>
          <w:rFonts w:ascii="Times New Roman" w:eastAsia="Times New Roman" w:hAnsi="Times New Roman" w:cs="Times New Roman"/>
          <w:sz w:val="26"/>
          <w:szCs w:val="26"/>
        </w:rPr>
      </w:pPr>
      <w:r w:rsidRPr="00FB4BBA">
        <w:rPr>
          <w:rFonts w:ascii="Times New Roman" w:eastAsia="Times New Roman" w:hAnsi="Times New Roman" w:cs="Times New Roman"/>
          <w:sz w:val="26"/>
          <w:szCs w:val="26"/>
        </w:rPr>
        <w:t xml:space="preserve">Electronic filing through </w:t>
      </w:r>
      <w:hyperlink r:id="rId8" w:history="1">
        <w:r w:rsidRPr="00FB4BBA">
          <w:rPr>
            <w:rStyle w:val="Hyperlink"/>
            <w:rFonts w:ascii="Times New Roman" w:eastAsia="Times New Roman" w:hAnsi="Times New Roman" w:cs="Times New Roman"/>
            <w:sz w:val="26"/>
            <w:szCs w:val="26"/>
          </w:rPr>
          <w:t>http://www.ferc.gov</w:t>
        </w:r>
      </w:hyperlink>
      <w:r w:rsidRPr="00FB4BBA">
        <w:rPr>
          <w:rFonts w:ascii="Times New Roman" w:eastAsia="Times New Roman" w:hAnsi="Times New Roman" w:cs="Times New Roman"/>
          <w:sz w:val="26"/>
          <w:szCs w:val="26"/>
        </w:rPr>
        <w:t>, is preferred.</w:t>
      </w:r>
    </w:p>
    <w:p w:rsidR="00FB4BBA" w:rsidRPr="00FB4BBA" w:rsidP="00FB4BBA" w14:paraId="5AC9E8E2" w14:textId="77777777">
      <w:pPr>
        <w:numPr>
          <w:ilvl w:val="0"/>
          <w:numId w:val="3"/>
        </w:numPr>
        <w:spacing w:after="0" w:line="480" w:lineRule="auto"/>
        <w:rPr>
          <w:rFonts w:ascii="Times New Roman" w:eastAsia="Times New Roman" w:hAnsi="Times New Roman" w:cs="Times New Roman"/>
          <w:sz w:val="26"/>
          <w:szCs w:val="26"/>
        </w:rPr>
      </w:pPr>
      <w:r w:rsidRPr="00FB4BBA">
        <w:rPr>
          <w:rFonts w:ascii="Times New Roman" w:eastAsia="Times New Roman" w:hAnsi="Times New Roman" w:cs="Times New Roman"/>
          <w:sz w:val="26"/>
          <w:szCs w:val="26"/>
        </w:rPr>
        <w:t xml:space="preserve">Electronic Filing: Documents must be filed in acceptable native applications and print-to-PDF, but not in scanned or picture format. </w:t>
      </w:r>
    </w:p>
    <w:p w:rsidR="00FB4BBA" w:rsidRPr="00FB4BBA" w:rsidP="00FB4BBA" w14:paraId="0EF80424" w14:textId="77777777">
      <w:pPr>
        <w:numPr>
          <w:ilvl w:val="0"/>
          <w:numId w:val="3"/>
        </w:numPr>
        <w:spacing w:after="0" w:line="480" w:lineRule="auto"/>
        <w:rPr>
          <w:rFonts w:ascii="Times New Roman" w:eastAsia="Times New Roman" w:hAnsi="Times New Roman" w:cs="Times New Roman"/>
          <w:sz w:val="26"/>
          <w:szCs w:val="26"/>
        </w:rPr>
      </w:pPr>
      <w:r w:rsidRPr="00FB4BBA">
        <w:rPr>
          <w:rFonts w:ascii="Times New Roman" w:eastAsia="Times New Roman" w:hAnsi="Times New Roman" w:cs="Times New Roman"/>
          <w:sz w:val="26"/>
          <w:szCs w:val="26"/>
        </w:rPr>
        <w:t>For those unable to file electronically, comments may be filed by USPS mail or by hand (including courier) delivery:</w:t>
      </w:r>
    </w:p>
    <w:p w:rsidR="00FB4BBA" w:rsidRPr="00FB4BBA" w:rsidP="00FB4BBA" w14:paraId="48742E8B" w14:textId="77777777">
      <w:pPr>
        <w:numPr>
          <w:ilvl w:val="1"/>
          <w:numId w:val="3"/>
        </w:numPr>
        <w:spacing w:after="0" w:line="480" w:lineRule="auto"/>
        <w:rPr>
          <w:rFonts w:ascii="Times New Roman" w:eastAsia="Times New Roman" w:hAnsi="Times New Roman" w:cs="Times New Roman"/>
          <w:sz w:val="26"/>
          <w:szCs w:val="26"/>
        </w:rPr>
      </w:pPr>
      <w:r w:rsidRPr="00FB4BBA">
        <w:rPr>
          <w:rFonts w:ascii="Times New Roman" w:eastAsia="Times New Roman" w:hAnsi="Times New Roman" w:cs="Times New Roman"/>
          <w:sz w:val="26"/>
          <w:szCs w:val="26"/>
        </w:rPr>
        <w:t>Mail via U.S. Postal Service Only: Addressed to: Federal Energy Regulatory Commission, Secretary of the Commission, 888 First Street, N.E., Washington, DC 20426.</w:t>
      </w:r>
    </w:p>
    <w:p w:rsidR="00FB4BBA" w:rsidRPr="00FB4BBA" w:rsidP="00FB4BBA" w14:paraId="2C2A6CA7" w14:textId="77777777">
      <w:pPr>
        <w:numPr>
          <w:ilvl w:val="1"/>
          <w:numId w:val="3"/>
        </w:numPr>
        <w:spacing w:after="0" w:line="480" w:lineRule="auto"/>
        <w:rPr>
          <w:rFonts w:ascii="Times New Roman" w:eastAsia="Times New Roman" w:hAnsi="Times New Roman" w:cs="Times New Roman"/>
          <w:sz w:val="26"/>
          <w:szCs w:val="26"/>
        </w:rPr>
      </w:pPr>
      <w:r w:rsidRPr="00FB4BBA">
        <w:rPr>
          <w:rFonts w:ascii="Times New Roman" w:eastAsia="Times New Roman" w:hAnsi="Times New Roman" w:cs="Times New Roman"/>
          <w:sz w:val="26"/>
          <w:szCs w:val="26"/>
        </w:rPr>
        <w:t>Hand (including courier) delivery to: Federal Energy Regulatory Commission, 12225 Wilkins Avenue, Rockville, MD 20852.</w:t>
      </w:r>
    </w:p>
    <w:p w:rsidR="00890D53" w:rsidRPr="00692EEE" w:rsidP="00890D53" w14:paraId="33723A9A" w14:textId="22FF119D">
      <w:pPr>
        <w:spacing w:line="480" w:lineRule="auto"/>
        <w:rPr>
          <w:rFonts w:ascii="Times New Roman" w:hAnsi="Times New Roman" w:cs="Times New Roman"/>
          <w:iCs/>
          <w:sz w:val="26"/>
          <w:szCs w:val="26"/>
        </w:rPr>
      </w:pPr>
      <w:bookmarkStart w:id="0" w:name="OLE_LINK1"/>
      <w:r w:rsidRPr="00FB4BBA">
        <w:rPr>
          <w:rFonts w:ascii="Times New Roman" w:hAnsi="Times New Roman" w:cs="Times New Roman"/>
          <w:i/>
          <w:sz w:val="26"/>
          <w:szCs w:val="26"/>
        </w:rPr>
        <w:t>Instructions:</w:t>
      </w:r>
      <w:r>
        <w:rPr>
          <w:rFonts w:ascii="Times New Roman" w:hAnsi="Times New Roman" w:cs="Times New Roman"/>
          <w:i/>
          <w:sz w:val="26"/>
          <w:szCs w:val="26"/>
        </w:rPr>
        <w:t xml:space="preserve"> </w:t>
      </w:r>
      <w:r w:rsidRPr="00692EEE">
        <w:rPr>
          <w:rFonts w:ascii="Times New Roman" w:hAnsi="Times New Roman" w:cs="Times New Roman"/>
          <w:iCs/>
          <w:sz w:val="26"/>
          <w:szCs w:val="26"/>
        </w:rPr>
        <w:t xml:space="preserve">OMB submissions must be formatted and filed in accordance with submission guidelines at </w:t>
      </w:r>
      <w:hyperlink r:id="rId9" w:tgtFrame="_blank" w:history="1">
        <w:r w:rsidRPr="00692EEE">
          <w:rPr>
            <w:rStyle w:val="Hyperlink"/>
            <w:rFonts w:ascii="Times New Roman" w:hAnsi="Times New Roman" w:cs="Times New Roman"/>
            <w:iCs/>
            <w:sz w:val="26"/>
            <w:szCs w:val="26"/>
          </w:rPr>
          <w:t>www.reginfo.gov/public/do/PRAMain</w:t>
        </w:r>
      </w:hyperlink>
      <w:r w:rsidRPr="00692EEE">
        <w:rPr>
          <w:rFonts w:ascii="Times New Roman" w:hAnsi="Times New Roman" w:cs="Times New Roman"/>
          <w:iCs/>
          <w:sz w:val="26"/>
          <w:szCs w:val="26"/>
          <w:u w:val="single"/>
        </w:rPr>
        <w:t>.</w:t>
      </w:r>
      <w:r w:rsidRPr="00692EEE">
        <w:rPr>
          <w:rFonts w:ascii="Times New Roman" w:hAnsi="Times New Roman" w:cs="Times New Roman"/>
          <w:iCs/>
          <w:sz w:val="26"/>
          <w:szCs w:val="26"/>
        </w:rPr>
        <w:t>  Using the search function under the “Currently Under Review” field, select Federal Energy Regulatory Commission; click “submit,” and select “comment” to the right of the subject collection. </w:t>
      </w:r>
    </w:p>
    <w:p w:rsidR="00890D53" w:rsidRPr="00890D53" w:rsidP="00890D53" w14:paraId="403EF60B" w14:textId="77777777">
      <w:pPr>
        <w:spacing w:line="480" w:lineRule="auto"/>
        <w:rPr>
          <w:rFonts w:ascii="Times New Roman" w:hAnsi="Times New Roman" w:cs="Times New Roman"/>
          <w:iCs/>
          <w:sz w:val="26"/>
          <w:szCs w:val="26"/>
        </w:rPr>
      </w:pPr>
      <w:r w:rsidRPr="00890D53">
        <w:rPr>
          <w:rFonts w:ascii="Times New Roman" w:hAnsi="Times New Roman" w:cs="Times New Roman"/>
          <w:iCs/>
          <w:sz w:val="26"/>
          <w:szCs w:val="26"/>
        </w:rPr>
        <w:t xml:space="preserve">FERC submissions must be formatted and filed in accordance with submission guidelines at: </w:t>
      </w:r>
      <w:hyperlink r:id="rId10" w:tgtFrame="_blank" w:history="1">
        <w:r w:rsidRPr="00890D53">
          <w:rPr>
            <w:rStyle w:val="Hyperlink"/>
            <w:rFonts w:ascii="Times New Roman" w:hAnsi="Times New Roman" w:cs="Times New Roman"/>
            <w:iCs/>
            <w:sz w:val="26"/>
            <w:szCs w:val="26"/>
          </w:rPr>
          <w:t>https://www.ferc.gov</w:t>
        </w:r>
      </w:hyperlink>
      <w:r w:rsidRPr="00890D53">
        <w:rPr>
          <w:rFonts w:ascii="Times New Roman" w:hAnsi="Times New Roman" w:cs="Times New Roman"/>
          <w:iCs/>
          <w:sz w:val="26"/>
          <w:szCs w:val="26"/>
        </w:rPr>
        <w:t>.  For user assistance, contact FERC Online Support by e-mail at ferconlinesupport@ferc.gov, or by phone at: (866) 208-3676 (toll-free). </w:t>
      </w:r>
    </w:p>
    <w:p w:rsidR="00890D53" w:rsidRPr="00890D53" w:rsidP="00890D53" w14:paraId="4A71E481" w14:textId="77777777">
      <w:pPr>
        <w:spacing w:line="480" w:lineRule="auto"/>
        <w:rPr>
          <w:rFonts w:ascii="Times New Roman" w:hAnsi="Times New Roman" w:cs="Times New Roman"/>
          <w:iCs/>
          <w:sz w:val="26"/>
          <w:szCs w:val="26"/>
        </w:rPr>
      </w:pPr>
      <w:r w:rsidRPr="00890D53">
        <w:rPr>
          <w:rFonts w:ascii="Times New Roman" w:hAnsi="Times New Roman" w:cs="Times New Roman"/>
          <w:iCs/>
          <w:sz w:val="26"/>
          <w:szCs w:val="26"/>
        </w:rPr>
        <w:t xml:space="preserve">Docket:  Users interested in receiving automatic notification of activity in this docket or in viewing/downloading comments and issuances in this docket may do so at </w:t>
      </w:r>
      <w:hyperlink r:id="rId11" w:tgtFrame="_blank" w:history="1">
        <w:r w:rsidRPr="00890D53">
          <w:rPr>
            <w:rStyle w:val="Hyperlink"/>
            <w:rFonts w:ascii="Times New Roman" w:hAnsi="Times New Roman" w:cs="Times New Roman"/>
            <w:iCs/>
            <w:sz w:val="26"/>
            <w:szCs w:val="26"/>
          </w:rPr>
          <w:t>https://www.ferc.gov/ferc-online/overview</w:t>
        </w:r>
      </w:hyperlink>
      <w:r w:rsidRPr="00890D53">
        <w:rPr>
          <w:rFonts w:ascii="Times New Roman" w:hAnsi="Times New Roman" w:cs="Times New Roman"/>
          <w:iCs/>
          <w:sz w:val="26"/>
          <w:szCs w:val="26"/>
        </w:rPr>
        <w:t>.  </w:t>
      </w:r>
    </w:p>
    <w:bookmarkEnd w:id="0"/>
    <w:p w:rsidR="00A13DD4" w:rsidRPr="002C0D1E" w:rsidP="00A13DD4" w14:paraId="40F80FE4" w14:textId="062EC94C">
      <w:pPr>
        <w:spacing w:after="0" w:line="480" w:lineRule="auto"/>
        <w:rPr>
          <w:rFonts w:ascii="Times New Roman" w:eastAsia="Times New Roman" w:hAnsi="Times New Roman" w:cs="Times New Roman"/>
          <w:sz w:val="26"/>
          <w:szCs w:val="26"/>
        </w:rPr>
      </w:pPr>
      <w:r w:rsidRPr="541A72A3">
        <w:rPr>
          <w:rFonts w:ascii="Times New Roman" w:eastAsia="Times New Roman" w:hAnsi="Times New Roman" w:cs="Times New Roman"/>
          <w:b/>
          <w:bCs/>
          <w:sz w:val="26"/>
          <w:szCs w:val="26"/>
        </w:rPr>
        <w:t>FOR FURTHER INFORMATION</w:t>
      </w:r>
      <w:r w:rsidR="00245A52">
        <w:rPr>
          <w:rFonts w:ascii="Times New Roman" w:eastAsia="Times New Roman" w:hAnsi="Times New Roman" w:cs="Times New Roman"/>
          <w:b/>
          <w:bCs/>
          <w:sz w:val="26"/>
          <w:szCs w:val="26"/>
        </w:rPr>
        <w:t>:</w:t>
      </w:r>
      <w:r w:rsidRPr="00245A52" w:rsidR="00245A52">
        <w:rPr>
          <w:rFonts w:ascii="Times New Roman" w:eastAsia="Times New Roman" w:hAnsi="Times New Roman" w:cs="Times New Roman"/>
          <w:sz w:val="26"/>
          <w:szCs w:val="26"/>
        </w:rPr>
        <w:t xml:space="preserve"> </w:t>
      </w:r>
      <w:r w:rsidRPr="00EE51C1" w:rsidR="00245A52">
        <w:rPr>
          <w:rFonts w:ascii="Times New Roman" w:eastAsia="Times New Roman" w:hAnsi="Times New Roman" w:cs="Times New Roman"/>
          <w:sz w:val="26"/>
          <w:szCs w:val="26"/>
        </w:rPr>
        <w:t xml:space="preserve">Doug Reimel may be reached by e-mail at </w:t>
      </w:r>
      <w:r>
        <w:fldChar w:fldCharType="begin"/>
      </w:r>
      <w:r w:rsidRPr="00EE51C1" w:rsidR="00245A52">
        <w:rPr>
          <w:rStyle w:val="Hyperlink"/>
          <w:rFonts w:ascii="Times New Roman" w:eastAsia="Times New Roman" w:hAnsi="Times New Roman" w:cs="Times New Roman"/>
          <w:sz w:val="26"/>
          <w:szCs w:val="26"/>
        </w:rPr>
        <w:instrText xml:space="preserve"> HYPERLINK "mailto:DataClearance@FERC.gov" </w:instrText>
      </w:r>
      <w:r>
        <w:fldChar w:fldCharType="separate"/>
      </w:r>
      <w:r w:rsidRPr="00EE51C1" w:rsidR="00245A52">
        <w:rPr>
          <w:rStyle w:val="Hyperlink"/>
          <w:rFonts w:ascii="Times New Roman" w:eastAsia="Times New Roman" w:hAnsi="Times New Roman" w:cs="Times New Roman"/>
          <w:sz w:val="26"/>
          <w:szCs w:val="26"/>
        </w:rPr>
        <w:t>DataClearance@FERC.gov</w:t>
      </w:r>
      <w:r>
        <w:fldChar w:fldCharType="end"/>
      </w:r>
      <w:r w:rsidRPr="00EE51C1" w:rsidR="00245A52">
        <w:rPr>
          <w:rFonts w:ascii="Times New Roman" w:eastAsia="Times New Roman" w:hAnsi="Times New Roman" w:cs="Times New Roman"/>
          <w:sz w:val="26"/>
          <w:szCs w:val="26"/>
        </w:rPr>
        <w:t>, telephone at (202) 502-6461</w:t>
      </w:r>
      <w:r w:rsidRPr="00245A52" w:rsidR="00245A52">
        <w:rPr>
          <w:rFonts w:ascii="Times New Roman" w:eastAsia="Times New Roman" w:hAnsi="Times New Roman" w:cs="Times New Roman"/>
          <w:b/>
          <w:bCs/>
          <w:sz w:val="26"/>
          <w:szCs w:val="26"/>
        </w:rPr>
        <w:t>.</w:t>
      </w:r>
    </w:p>
    <w:p w:rsidR="00A13DD4" w:rsidRPr="002C0D1E" w:rsidP="00A13DD4" w14:paraId="40F80FE5" w14:textId="77777777">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 </w:t>
      </w:r>
      <w:r w:rsidRPr="002C0D1E">
        <w:rPr>
          <w:rFonts w:ascii="Times New Roman" w:eastAsia="Times New Roman" w:hAnsi="Times New Roman" w:cs="Times New Roman"/>
          <w:b/>
          <w:sz w:val="26"/>
          <w:szCs w:val="26"/>
        </w:rPr>
        <w:t>SUPPLEMENTARY INFORMATION:</w:t>
      </w:r>
      <w:r w:rsidRPr="002C0D1E">
        <w:rPr>
          <w:rFonts w:ascii="Times New Roman" w:eastAsia="Times New Roman" w:hAnsi="Times New Roman" w:cs="Times New Roman"/>
          <w:sz w:val="26"/>
          <w:szCs w:val="26"/>
        </w:rPr>
        <w:t xml:space="preserve">  </w:t>
      </w:r>
    </w:p>
    <w:p w:rsidR="00A13DD4" w:rsidRPr="002C0D1E" w:rsidP="00A13DD4" w14:paraId="40F80FE6" w14:textId="5D7D66EB">
      <w:pPr>
        <w:spacing w:after="0" w:line="480" w:lineRule="auto"/>
        <w:rPr>
          <w:rFonts w:ascii="Times New Roman" w:eastAsia="Times New Roman" w:hAnsi="Times New Roman" w:cs="Times New Roman"/>
          <w:i/>
          <w:sz w:val="26"/>
          <w:szCs w:val="26"/>
        </w:rPr>
      </w:pPr>
      <w:r w:rsidRPr="002C0D1E">
        <w:rPr>
          <w:rFonts w:ascii="Times New Roman" w:eastAsia="Times New Roman" w:hAnsi="Times New Roman" w:cs="Times New Roman"/>
          <w:i/>
          <w:sz w:val="26"/>
          <w:szCs w:val="26"/>
        </w:rPr>
        <w:t xml:space="preserve">Title: </w:t>
      </w:r>
      <w:r w:rsidRPr="002C0D1E">
        <w:rPr>
          <w:rFonts w:ascii="Times New Roman" w:eastAsia="Calibri" w:hAnsi="Times New Roman" w:cs="Times New Roman"/>
          <w:sz w:val="26"/>
          <w:szCs w:val="26"/>
        </w:rPr>
        <w:t>FERC-65 (Notice of Holding Company Status), FERC-65A (Exemption Notification of Holding Company Status), and FERC-65B (Waiver Notification of Holding Company Status)</w:t>
      </w:r>
      <w:r w:rsidR="00FB4BBA">
        <w:rPr>
          <w:rFonts w:ascii="Times New Roman" w:eastAsia="Calibri" w:hAnsi="Times New Roman" w:cs="Times New Roman"/>
          <w:sz w:val="26"/>
          <w:szCs w:val="26"/>
        </w:rPr>
        <w:t>.</w:t>
      </w:r>
    </w:p>
    <w:p w:rsidR="00A13DD4" w:rsidRPr="002C0D1E" w:rsidP="00A13DD4" w14:paraId="40F80FE7" w14:textId="77777777">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OMB Control No.:</w:t>
      </w:r>
      <w:r w:rsidRPr="002C0D1E">
        <w:rPr>
          <w:rFonts w:ascii="Times New Roman" w:eastAsia="Times New Roman" w:hAnsi="Times New Roman" w:cs="Times New Roman"/>
          <w:sz w:val="26"/>
          <w:szCs w:val="26"/>
        </w:rPr>
        <w:t xml:space="preserve"> 1902-0218</w:t>
      </w:r>
    </w:p>
    <w:p w:rsidR="00A13DD4" w:rsidRPr="002C0D1E" w:rsidP="00A13DD4" w14:paraId="40F80FE8" w14:textId="77777777">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Type of Request:</w:t>
      </w:r>
      <w:r w:rsidRPr="002C0D1E">
        <w:rPr>
          <w:rFonts w:ascii="Times New Roman" w:eastAsia="Times New Roman" w:hAnsi="Times New Roman" w:cs="Times New Roman"/>
          <w:sz w:val="26"/>
          <w:szCs w:val="26"/>
        </w:rPr>
        <w:t xml:space="preserve"> Three-year extension of the FERC-65, FERC-65A and FERC-65B information collection requirements with no changes to the current reporting requirements. </w:t>
      </w:r>
    </w:p>
    <w:p w:rsidR="00FE6145" w:rsidP="00A13DD4" w14:paraId="21DEC212" w14:textId="77777777">
      <w:pPr>
        <w:spacing w:line="480" w:lineRule="auto"/>
        <w:rPr>
          <w:rFonts w:ascii="Times New Roman" w:eastAsia="Times New Roman" w:hAnsi="Times New Roman" w:cs="Times New Roman"/>
          <w:i/>
          <w:sz w:val="26"/>
          <w:szCs w:val="26"/>
        </w:rPr>
      </w:pPr>
      <w:r w:rsidRPr="002C0D1E">
        <w:rPr>
          <w:rFonts w:ascii="Times New Roman" w:eastAsia="Times New Roman" w:hAnsi="Times New Roman" w:cs="Times New Roman"/>
          <w:i/>
          <w:sz w:val="26"/>
          <w:szCs w:val="26"/>
        </w:rPr>
        <w:t xml:space="preserve">Abstract: </w:t>
      </w:r>
    </w:p>
    <w:p w:rsidR="00C365C9" w:rsidP="00A13DD4" w14:paraId="6DB0336D" w14:textId="3E496CC6">
      <w:pPr>
        <w:spacing w:line="480" w:lineRule="auto"/>
        <w:rPr>
          <w:rFonts w:ascii="Times New Roman" w:eastAsia="Times New Roman" w:hAnsi="Times New Roman" w:cs="Times New Roman"/>
          <w:i/>
          <w:sz w:val="26"/>
          <w:szCs w:val="26"/>
        </w:rPr>
      </w:pPr>
      <w:r w:rsidRPr="00C365C9">
        <w:rPr>
          <w:rFonts w:ascii="Times New Roman" w:eastAsia="Calibri" w:hAnsi="Times New Roman" w:cs="Times New Roman"/>
          <w:b/>
          <w:bCs/>
          <w:sz w:val="26"/>
          <w:szCs w:val="26"/>
          <w:u w:val="single"/>
        </w:rPr>
        <w:t>FERC-65 (Notice of Holding Company Status</w:t>
      </w:r>
      <w:r>
        <w:rPr>
          <w:rFonts w:ascii="Times New Roman" w:eastAsia="Calibri" w:hAnsi="Times New Roman" w:cs="Times New Roman"/>
          <w:b/>
          <w:bCs/>
          <w:sz w:val="26"/>
          <w:szCs w:val="26"/>
          <w:u w:val="single"/>
        </w:rPr>
        <w:t>)</w:t>
      </w:r>
    </w:p>
    <w:p w:rsidR="00A13DD4" w:rsidRPr="002C0D1E" w:rsidP="00F8108A" w14:paraId="40F80FEA" w14:textId="7D8CEABC">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Pursuant to section 366.4 of the Commission’s rules and regulations, persons who meet the definition of a holding company shall provide the Commission notification of holding company status.</w:t>
      </w:r>
      <w:r w:rsidR="00C365C9">
        <w:rPr>
          <w:rFonts w:ascii="Times New Roman" w:eastAsia="Calibri" w:hAnsi="Times New Roman" w:cs="Times New Roman"/>
          <w:sz w:val="26"/>
          <w:szCs w:val="26"/>
        </w:rPr>
        <w:t xml:space="preserve"> </w:t>
      </w:r>
      <w:r w:rsidRPr="002C0D1E">
        <w:rPr>
          <w:rFonts w:ascii="Times New Roman" w:eastAsia="Calibri" w:hAnsi="Times New Roman" w:cs="Times New Roman"/>
          <w:sz w:val="26"/>
          <w:szCs w:val="26"/>
        </w:rPr>
        <w:t>The FERC-65 is a one-time informational filing</w:t>
      </w:r>
      <w:r w:rsidR="00BD6FC7">
        <w:rPr>
          <w:rFonts w:ascii="Times New Roman" w:eastAsia="Calibri" w:hAnsi="Times New Roman" w:cs="Times New Roman"/>
          <w:sz w:val="26"/>
          <w:szCs w:val="26"/>
        </w:rPr>
        <w:t xml:space="preserve">.  </w:t>
      </w:r>
      <w:r w:rsidRPr="002C0D1E">
        <w:rPr>
          <w:rFonts w:ascii="Times New Roman" w:eastAsia="Calibri" w:hAnsi="Times New Roman" w:cs="Times New Roman"/>
          <w:sz w:val="26"/>
          <w:szCs w:val="26"/>
        </w:rPr>
        <w:t>The FERC-65 must be submitted within 30 days of becoming a holding company</w:t>
      </w:r>
      <w:r>
        <w:rPr>
          <w:rFonts w:ascii="Times New Roman" w:eastAsia="Calibri" w:hAnsi="Times New Roman" w:cs="Times New Roman"/>
          <w:b/>
          <w:sz w:val="26"/>
          <w:szCs w:val="26"/>
          <w:vertAlign w:val="superscript"/>
        </w:rPr>
        <w:footnoteReference w:id="3"/>
      </w:r>
      <w:r w:rsidRPr="002C0D1E">
        <w:rPr>
          <w:rFonts w:ascii="Times New Roman" w:eastAsia="Calibri" w:hAnsi="Times New Roman" w:cs="Times New Roman"/>
          <w:sz w:val="26"/>
          <w:szCs w:val="26"/>
        </w:rPr>
        <w:t xml:space="preserve">.  While the Commission does not require the information to be reported in a specific format, the filing needs to consist of the name of the holding company, the name of public utilities, the name of natural gas companies in the holding company system, and the names of service companies.  In addition, the Commission requires the filing to include the names of special-purpose subsidiaries (which provide non-power goods and services) and the </w:t>
      </w:r>
      <w:r w:rsidRPr="002C0D1E">
        <w:rPr>
          <w:rFonts w:ascii="Times New Roman" w:eastAsia="Calibri" w:hAnsi="Times New Roman" w:cs="Times New Roman"/>
          <w:sz w:val="26"/>
          <w:szCs w:val="26"/>
        </w:rPr>
        <w:t xml:space="preserve">names of all affiliates and subsidiaries (and their corporate interrelationship) to each other.  Filings may be submitted in hardcopy or electronically through the Commission’s </w:t>
      </w:r>
      <w:r w:rsidRPr="002C0D1E">
        <w:rPr>
          <w:rFonts w:ascii="Times New Roman" w:eastAsia="Calibri" w:hAnsi="Times New Roman" w:cs="Times New Roman"/>
          <w:sz w:val="26"/>
          <w:szCs w:val="26"/>
        </w:rPr>
        <w:t>eFiling</w:t>
      </w:r>
      <w:r w:rsidRPr="002C0D1E">
        <w:rPr>
          <w:rFonts w:ascii="Times New Roman" w:eastAsia="Calibri" w:hAnsi="Times New Roman" w:cs="Times New Roman"/>
          <w:sz w:val="26"/>
          <w:szCs w:val="26"/>
        </w:rPr>
        <w:t xml:space="preserve"> system. </w:t>
      </w:r>
    </w:p>
    <w:p w:rsidR="00A13DD4" w:rsidRPr="002C0D1E" w:rsidP="00A13DD4" w14:paraId="40F80FEB" w14:textId="77777777">
      <w:pPr>
        <w:spacing w:line="480" w:lineRule="auto"/>
        <w:rPr>
          <w:rFonts w:ascii="Times New Roman" w:eastAsia="Calibri" w:hAnsi="Times New Roman" w:cs="Times New Roman"/>
          <w:b/>
          <w:sz w:val="26"/>
          <w:szCs w:val="26"/>
          <w:u w:val="single"/>
        </w:rPr>
      </w:pPr>
      <w:r w:rsidRPr="002C0D1E">
        <w:rPr>
          <w:rFonts w:ascii="Times New Roman" w:eastAsia="Calibri" w:hAnsi="Times New Roman" w:cs="Times New Roman"/>
          <w:b/>
          <w:sz w:val="26"/>
          <w:szCs w:val="26"/>
          <w:u w:val="single"/>
        </w:rPr>
        <w:t>FERC-65A (Exemption Notification of Holding Company Status)</w:t>
      </w:r>
    </w:p>
    <w:p w:rsidR="00C365C9" w:rsidP="00C365C9" w14:paraId="15820838" w14:textId="24BFA3EE">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While noting the previously outlined requirements of the FERC-65, the Commission has allowed for an exemption from the requirement of providing the Commission with a FERC-65 if the books, accounts, memoranda, and other records of any person are not relevant to the jurisdictional rates of a public utility or natural gas company; or if any class of transactions is not relevant to the jurisdictional rates of a public utility or natural gas company.  Persons seeking this exemption file the FERC-65A, which must include a form of notice suitable for publication in the Federal Register.  Those who file a FERC-65A in good faith will have a temporary exemption upon filing</w:t>
      </w:r>
      <w:r w:rsidR="00A969EE">
        <w:rPr>
          <w:rFonts w:ascii="Times New Roman" w:eastAsia="Calibri" w:hAnsi="Times New Roman" w:cs="Times New Roman"/>
          <w:sz w:val="26"/>
          <w:szCs w:val="26"/>
        </w:rPr>
        <w:t>.</w:t>
      </w:r>
      <w:r w:rsidRPr="002C0D1E">
        <w:rPr>
          <w:rFonts w:ascii="Times New Roman" w:eastAsia="Calibri" w:hAnsi="Times New Roman" w:cs="Times New Roman"/>
          <w:sz w:val="26"/>
          <w:szCs w:val="26"/>
        </w:rPr>
        <w:t xml:space="preserve"> </w:t>
      </w:r>
      <w:r w:rsidR="00267573">
        <w:rPr>
          <w:rFonts w:ascii="Times New Roman" w:eastAsia="Calibri" w:hAnsi="Times New Roman" w:cs="Times New Roman"/>
          <w:sz w:val="26"/>
          <w:szCs w:val="26"/>
        </w:rPr>
        <w:t>A</w:t>
      </w:r>
      <w:r w:rsidRPr="002C0D1E">
        <w:rPr>
          <w:rFonts w:ascii="Times New Roman" w:eastAsia="Calibri" w:hAnsi="Times New Roman" w:cs="Times New Roman"/>
          <w:sz w:val="26"/>
          <w:szCs w:val="26"/>
        </w:rPr>
        <w:t xml:space="preserve">fter 60 days if the Commission has taken no action, the exemption will be deemed granted. </w:t>
      </w:r>
      <w:r>
        <w:rPr>
          <w:rFonts w:ascii="Times New Roman" w:eastAsia="Calibri" w:hAnsi="Times New Roman" w:cs="Times New Roman"/>
          <w:sz w:val="26"/>
          <w:szCs w:val="26"/>
        </w:rPr>
        <w:t xml:space="preserve"> </w:t>
      </w:r>
      <w:r w:rsidRPr="002C0D1E">
        <w:rPr>
          <w:rFonts w:ascii="Times New Roman" w:eastAsia="Calibri" w:hAnsi="Times New Roman" w:cs="Times New Roman"/>
          <w:sz w:val="26"/>
          <w:szCs w:val="26"/>
        </w:rPr>
        <w:t xml:space="preserve">Commission regulations within 18 CFR 366.3 describe the criteria in more specificity.  </w:t>
      </w:r>
    </w:p>
    <w:p w:rsidR="00A13DD4" w:rsidRPr="00C365C9" w:rsidP="00C365C9" w14:paraId="40F80FED" w14:textId="5838C8F3">
      <w:pPr>
        <w:spacing w:line="480" w:lineRule="auto"/>
        <w:rPr>
          <w:rFonts w:ascii="Times New Roman" w:eastAsia="Calibri" w:hAnsi="Times New Roman" w:cs="Times New Roman"/>
          <w:sz w:val="26"/>
          <w:szCs w:val="26"/>
        </w:rPr>
      </w:pPr>
      <w:r w:rsidRPr="002C0D1E">
        <w:rPr>
          <w:rFonts w:ascii="Times New Roman" w:eastAsia="Times New Roman" w:hAnsi="Times New Roman" w:cs="Times New Roman"/>
          <w:b/>
          <w:color w:val="000000"/>
          <w:sz w:val="26"/>
          <w:szCs w:val="26"/>
          <w:u w:val="single"/>
        </w:rPr>
        <w:t>FERC-65B (Waiver Notification of Holding Company Status)</w:t>
      </w:r>
    </w:p>
    <w:p w:rsidR="00A13DD4" w:rsidRPr="002C0D1E" w:rsidP="00A13DD4" w14:paraId="40F80FEE" w14:textId="0D29BE9B">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If an entity meets the requirements in 18 CFR 366.3(c), they may file a FERC-65B waiver notification pursuant to the procedures outlined in 18 CFR 366.4.</w:t>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bCs/>
          <w:sz w:val="26"/>
          <w:szCs w:val="26"/>
        </w:rPr>
        <w:t>Specifically, t</w:t>
      </w:r>
      <w:r w:rsidRPr="002C0D1E">
        <w:rPr>
          <w:rFonts w:ascii="Times New Roman" w:eastAsia="Calibri" w:hAnsi="Times New Roman" w:cs="Times New Roman"/>
          <w:sz w:val="26"/>
          <w:szCs w:val="26"/>
        </w:rPr>
        <w:t>he Commission waives the requirement of providing it with a FERC-65 for</w:t>
      </w:r>
      <w:r w:rsidRPr="002C0D1E">
        <w:rPr>
          <w:rFonts w:ascii="Times New Roman" w:eastAsia="Calibri" w:hAnsi="Times New Roman" w:cs="Times New Roman"/>
          <w:bCs/>
          <w:sz w:val="26"/>
          <w:szCs w:val="26"/>
        </w:rPr>
        <w:t xml:space="preserve"> a</w:t>
      </w:r>
      <w:r w:rsidRPr="002C0D1E">
        <w:rPr>
          <w:rFonts w:ascii="Times New Roman" w:eastAsia="Calibri" w:hAnsi="Times New Roman" w:cs="Times New Roman"/>
          <w:sz w:val="26"/>
          <w:szCs w:val="26"/>
        </w:rPr>
        <w:t xml:space="preserve">ny holding company with respect to one or more of the following:  </w:t>
      </w:r>
      <w:r w:rsidRPr="002C0D1E">
        <w:rPr>
          <w:rFonts w:ascii="Times New Roman" w:eastAsia="Calibri" w:hAnsi="Times New Roman" w:cs="Times New Roman"/>
          <w:bCs/>
          <w:sz w:val="26"/>
          <w:szCs w:val="26"/>
        </w:rPr>
        <w:t>(1) s</w:t>
      </w:r>
      <w:r w:rsidRPr="002C0D1E">
        <w:rPr>
          <w:rFonts w:ascii="Times New Roman" w:eastAsia="Calibri" w:hAnsi="Times New Roman" w:cs="Times New Roman"/>
          <w:sz w:val="26"/>
          <w:szCs w:val="26"/>
        </w:rPr>
        <w:t xml:space="preserve">ingle-state holding company systems; </w:t>
      </w:r>
      <w:r w:rsidRPr="002C0D1E">
        <w:rPr>
          <w:rFonts w:ascii="Times New Roman" w:eastAsia="Calibri" w:hAnsi="Times New Roman" w:cs="Times New Roman"/>
          <w:bCs/>
          <w:sz w:val="26"/>
          <w:szCs w:val="26"/>
        </w:rPr>
        <w:t>(2)</w:t>
      </w:r>
      <w:r w:rsidRPr="002C0D1E">
        <w:rPr>
          <w:rFonts w:ascii="Times New Roman" w:eastAsia="Calibri" w:hAnsi="Times New Roman" w:cs="Times New Roman"/>
          <w:b/>
          <w:bCs/>
          <w:sz w:val="26"/>
          <w:szCs w:val="26"/>
        </w:rPr>
        <w:t xml:space="preserve"> </w:t>
      </w:r>
      <w:r w:rsidRPr="002C0D1E">
        <w:rPr>
          <w:rFonts w:ascii="Times New Roman" w:eastAsia="Calibri" w:hAnsi="Times New Roman" w:cs="Times New Roman"/>
          <w:sz w:val="26"/>
          <w:szCs w:val="26"/>
        </w:rPr>
        <w:t xml:space="preserve">holding companies that own generating facilities that total 100 MW or less </w:t>
      </w:r>
      <w:r w:rsidRPr="002C0D1E">
        <w:rPr>
          <w:rFonts w:ascii="Times New Roman" w:eastAsia="Calibri" w:hAnsi="Times New Roman" w:cs="Times New Roman"/>
          <w:sz w:val="26"/>
          <w:szCs w:val="26"/>
        </w:rPr>
        <w:t xml:space="preserve">in size and are used fundamentally for their own load or for sales to affiliated end-users; or </w:t>
      </w:r>
      <w:r w:rsidRPr="002C0D1E">
        <w:rPr>
          <w:rFonts w:ascii="Times New Roman" w:eastAsia="Calibri" w:hAnsi="Times New Roman" w:cs="Times New Roman"/>
          <w:bCs/>
          <w:sz w:val="26"/>
          <w:szCs w:val="26"/>
        </w:rPr>
        <w:t>(3)</w:t>
      </w:r>
      <w:r w:rsidRPr="002C0D1E">
        <w:rPr>
          <w:rFonts w:ascii="Times New Roman" w:eastAsia="Calibri" w:hAnsi="Times New Roman" w:cs="Times New Roman"/>
          <w:b/>
          <w:bCs/>
          <w:sz w:val="26"/>
          <w:szCs w:val="26"/>
        </w:rPr>
        <w:t xml:space="preserve"> </w:t>
      </w:r>
      <w:r w:rsidRPr="002C0D1E">
        <w:rPr>
          <w:rFonts w:ascii="Times New Roman" w:eastAsia="Calibri" w:hAnsi="Times New Roman" w:cs="Times New Roman"/>
          <w:sz w:val="26"/>
          <w:szCs w:val="26"/>
        </w:rPr>
        <w:t>investors in independent transmission-only companies.  Filings may be made in hardcopy or electronically through the Commission’s website.</w:t>
      </w:r>
    </w:p>
    <w:p w:rsidR="00A13DD4" w:rsidRPr="002C0D1E" w:rsidP="00A13DD4" w14:paraId="40F80FEF" w14:textId="77777777">
      <w:pPr>
        <w:spacing w:line="480" w:lineRule="auto"/>
        <w:rPr>
          <w:rFonts w:ascii="Times New Roman" w:eastAsia="Calibri" w:hAnsi="Times New Roman" w:cs="Times New Roman"/>
          <w:sz w:val="26"/>
          <w:szCs w:val="26"/>
        </w:rPr>
      </w:pPr>
      <w:r w:rsidRPr="002C0D1E">
        <w:rPr>
          <w:rFonts w:ascii="Times New Roman" w:eastAsia="Calibri" w:hAnsi="Times New Roman" w:cs="Times New Roman"/>
          <w:i/>
          <w:sz w:val="26"/>
          <w:szCs w:val="26"/>
        </w:rPr>
        <w:t>Type of Respondent:</w:t>
      </w:r>
      <w:r w:rsidRPr="002C0D1E">
        <w:rPr>
          <w:rFonts w:ascii="Times New Roman" w:eastAsia="Calibri" w:hAnsi="Times New Roman" w:cs="Times New Roman"/>
          <w:sz w:val="26"/>
          <w:szCs w:val="26"/>
        </w:rPr>
        <w:t xml:space="preserve"> Public utility companies, natural gas companies, electric wholesale generators, foreign utility holding companies.</w:t>
      </w:r>
    </w:p>
    <w:p w:rsidR="00A13DD4" w:rsidRPr="002C0D1E" w:rsidP="00A13DD4" w14:paraId="40F80FF0" w14:textId="77777777">
      <w:pPr>
        <w:spacing w:line="480" w:lineRule="auto"/>
        <w:rPr>
          <w:rFonts w:ascii="Times New Roman" w:eastAsia="Calibri" w:hAnsi="Times New Roman" w:cs="Times New Roman"/>
          <w:sz w:val="26"/>
          <w:szCs w:val="26"/>
        </w:rPr>
      </w:pPr>
      <w:r w:rsidRPr="002C0D1E">
        <w:rPr>
          <w:rFonts w:ascii="Times New Roman" w:eastAsia="Calibri" w:hAnsi="Times New Roman" w:cs="Times New Roman"/>
          <w:i/>
          <w:sz w:val="26"/>
          <w:szCs w:val="26"/>
        </w:rPr>
        <w:t>Estimate of Annual Burden</w:t>
      </w:r>
      <w:r>
        <w:rPr>
          <w:rFonts w:ascii="Times New Roman" w:eastAsia="Calibri" w:hAnsi="Times New Roman" w:cs="Times New Roman"/>
          <w:b/>
          <w:i/>
          <w:sz w:val="26"/>
          <w:szCs w:val="26"/>
          <w:vertAlign w:val="superscript"/>
        </w:rPr>
        <w:footnoteReference w:id="4"/>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sz w:val="26"/>
          <w:szCs w:val="26"/>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4"/>
        <w:gridCol w:w="1531"/>
        <w:gridCol w:w="1531"/>
        <w:gridCol w:w="1439"/>
        <w:gridCol w:w="1351"/>
        <w:gridCol w:w="1799"/>
        <w:gridCol w:w="1224"/>
      </w:tblGrid>
      <w:tr w14:paraId="40F80FF4" w14:textId="77777777">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A13DD4" w:rsidRPr="002C0D1E" w:rsidP="00A13DD4" w14:paraId="40F80FF1"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FERC-65 (Notification of Holding Company Status),</w:t>
            </w:r>
          </w:p>
          <w:p w:rsidR="00A13DD4" w:rsidRPr="002C0D1E" w:rsidP="00A13DD4" w14:paraId="40F80FF2"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FERC-65A (Exemption Notification of Holding Company Status), and </w:t>
            </w:r>
          </w:p>
          <w:p w:rsidR="00A13DD4" w:rsidRPr="002C0D1E" w:rsidP="00A13DD4" w14:paraId="40F80FF3"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FERC-65B (Waiver Notification of Holding Company Status)</w:t>
            </w:r>
          </w:p>
        </w:tc>
      </w:tr>
      <w:tr w14:paraId="40F81001" w14:textId="77777777" w:rsidTr="003B123B">
        <w:tblPrEx>
          <w:tblW w:w="5358" w:type="pct"/>
          <w:tblInd w:w="-72" w:type="dxa"/>
          <w:tblLayout w:type="fixed"/>
          <w:tblLook w:val="01E0"/>
        </w:tblPrEx>
        <w:trPr>
          <w:cantSplit/>
        </w:trPr>
        <w:tc>
          <w:tcPr>
            <w:tcW w:w="571" w:type="pct"/>
            <w:shd w:val="clear" w:color="auto" w:fill="D9D9D9"/>
          </w:tcPr>
          <w:p w:rsidR="00A13DD4" w:rsidRPr="002C0D1E" w:rsidP="00A13DD4" w14:paraId="40F80FF5" w14:textId="77777777">
            <w:pPr>
              <w:spacing w:after="0" w:line="240" w:lineRule="auto"/>
              <w:jc w:val="center"/>
              <w:rPr>
                <w:rFonts w:ascii="Times New Roman" w:eastAsia="Calibri" w:hAnsi="Times New Roman" w:cs="Times New Roman"/>
                <w:b/>
                <w:sz w:val="26"/>
                <w:szCs w:val="26"/>
              </w:rPr>
            </w:pPr>
          </w:p>
        </w:tc>
        <w:tc>
          <w:tcPr>
            <w:tcW w:w="764" w:type="pct"/>
            <w:shd w:val="clear" w:color="auto" w:fill="D9D9D9"/>
            <w:vAlign w:val="bottom"/>
          </w:tcPr>
          <w:p w:rsidR="00A13DD4" w:rsidRPr="002C0D1E" w:rsidP="00A13DD4" w14:paraId="40F80FF6"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Number of Respondents</w:t>
            </w:r>
            <w:r w:rsidRPr="002C0D1E">
              <w:rPr>
                <w:rFonts w:ascii="Times New Roman" w:eastAsia="Calibri" w:hAnsi="Times New Roman" w:cs="Times New Roman"/>
                <w:b/>
                <w:sz w:val="26"/>
                <w:szCs w:val="26"/>
              </w:rPr>
              <w:br/>
              <w:t>(1)</w:t>
            </w:r>
          </w:p>
        </w:tc>
        <w:tc>
          <w:tcPr>
            <w:tcW w:w="764" w:type="pct"/>
            <w:shd w:val="clear" w:color="auto" w:fill="D9D9D9"/>
            <w:vAlign w:val="bottom"/>
          </w:tcPr>
          <w:p w:rsidR="00A13DD4" w:rsidRPr="002C0D1E" w:rsidP="00A13DD4" w14:paraId="40F80FF7"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Annual Number of Responses per Respondent</w:t>
            </w:r>
          </w:p>
          <w:p w:rsidR="00A13DD4" w:rsidRPr="002C0D1E" w:rsidP="00A13DD4" w14:paraId="40F80FF8"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(2)</w:t>
            </w:r>
          </w:p>
        </w:tc>
        <w:tc>
          <w:tcPr>
            <w:tcW w:w="718" w:type="pct"/>
            <w:shd w:val="clear" w:color="auto" w:fill="D9D9D9"/>
            <w:vAlign w:val="bottom"/>
          </w:tcPr>
          <w:p w:rsidR="00A13DD4" w:rsidRPr="002C0D1E" w:rsidP="00A13DD4" w14:paraId="40F80FF9"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Number of Responses (</w:t>
            </w:r>
            <w:r w:rsidRPr="002C0D1E">
              <w:rPr>
                <w:rFonts w:ascii="Times New Roman" w:eastAsia="Calibri" w:hAnsi="Times New Roman" w:cs="Times New Roman"/>
                <w:b/>
                <w:sz w:val="26"/>
                <w:szCs w:val="26"/>
              </w:rPr>
              <w:t>1)*</w:t>
            </w:r>
            <w:r w:rsidRPr="002C0D1E">
              <w:rPr>
                <w:rFonts w:ascii="Times New Roman" w:eastAsia="Calibri" w:hAnsi="Times New Roman" w:cs="Times New Roman"/>
                <w:b/>
                <w:sz w:val="26"/>
                <w:szCs w:val="26"/>
              </w:rPr>
              <w:t>(2)=(3)</w:t>
            </w:r>
          </w:p>
        </w:tc>
        <w:tc>
          <w:tcPr>
            <w:tcW w:w="674" w:type="pct"/>
            <w:shd w:val="clear" w:color="auto" w:fill="D9D9D9"/>
            <w:vAlign w:val="bottom"/>
          </w:tcPr>
          <w:p w:rsidR="00A13DD4" w:rsidRPr="002C0D1E" w:rsidP="00A13DD4" w14:paraId="40F80FFA"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Average Burden &amp; Cost Per Response</w:t>
            </w:r>
            <w:bookmarkStart w:id="1" w:name="_Ref408578354"/>
            <w:r>
              <w:rPr>
                <w:rFonts w:ascii="Times New Roman" w:eastAsia="Calibri" w:hAnsi="Times New Roman" w:cs="Times New Roman"/>
                <w:b/>
                <w:sz w:val="26"/>
                <w:szCs w:val="26"/>
                <w:vertAlign w:val="superscript"/>
              </w:rPr>
              <w:footnoteReference w:id="5"/>
            </w:r>
            <w:bookmarkEnd w:id="1"/>
          </w:p>
          <w:p w:rsidR="00A13DD4" w:rsidRPr="002C0D1E" w:rsidP="00A13DD4" w14:paraId="40F80FFB"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(4)</w:t>
            </w:r>
          </w:p>
        </w:tc>
        <w:tc>
          <w:tcPr>
            <w:tcW w:w="898" w:type="pct"/>
            <w:shd w:val="clear" w:color="auto" w:fill="D9D9D9"/>
            <w:vAlign w:val="bottom"/>
          </w:tcPr>
          <w:p w:rsidR="00A13DD4" w:rsidRPr="002C0D1E" w:rsidP="00A13DD4" w14:paraId="40F80FFC" w14:textId="744B560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Annual Burden Hours &amp; Total Annual Cost</w:t>
            </w:r>
            <w:r w:rsidR="00246C36">
              <w:rPr>
                <w:rFonts w:ascii="Times New Roman" w:eastAsia="Calibri" w:hAnsi="Times New Roman" w:cs="Times New Roman"/>
                <w:b/>
                <w:sz w:val="26"/>
                <w:szCs w:val="26"/>
              </w:rPr>
              <w:t xml:space="preserve"> ($)</w:t>
            </w:r>
          </w:p>
          <w:p w:rsidR="00A13DD4" w:rsidRPr="002C0D1E" w:rsidP="00A13DD4" w14:paraId="40F80FFD"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w:t>
            </w:r>
            <w:r w:rsidRPr="002C0D1E">
              <w:rPr>
                <w:rFonts w:ascii="Times New Roman" w:eastAsia="Calibri" w:hAnsi="Times New Roman" w:cs="Times New Roman"/>
                <w:b/>
                <w:sz w:val="26"/>
                <w:szCs w:val="26"/>
              </w:rPr>
              <w:t>3)*</w:t>
            </w:r>
            <w:r w:rsidRPr="002C0D1E">
              <w:rPr>
                <w:rFonts w:ascii="Times New Roman" w:eastAsia="Calibri" w:hAnsi="Times New Roman" w:cs="Times New Roman"/>
                <w:b/>
                <w:sz w:val="26"/>
                <w:szCs w:val="26"/>
              </w:rPr>
              <w:t>(4)=(5)</w:t>
            </w:r>
          </w:p>
        </w:tc>
        <w:tc>
          <w:tcPr>
            <w:tcW w:w="610" w:type="pct"/>
            <w:shd w:val="clear" w:color="auto" w:fill="D9D9D9"/>
            <w:vAlign w:val="bottom"/>
          </w:tcPr>
          <w:p w:rsidR="00A13DD4" w:rsidRPr="002C0D1E" w:rsidP="00A13DD4" w14:paraId="40F80FFE"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Cost per Respondent</w:t>
            </w:r>
          </w:p>
          <w:p w:rsidR="00A13DD4" w:rsidRPr="002C0D1E" w:rsidP="00A13DD4" w14:paraId="40F80FFF"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 ($)</w:t>
            </w:r>
          </w:p>
          <w:p w:rsidR="00A13DD4" w:rsidRPr="002C0D1E" w:rsidP="00A13DD4" w14:paraId="40F81000"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w:t>
            </w:r>
            <w:r w:rsidRPr="002C0D1E">
              <w:rPr>
                <w:rFonts w:ascii="Times New Roman" w:eastAsia="Calibri" w:hAnsi="Times New Roman" w:cs="Times New Roman"/>
                <w:b/>
                <w:sz w:val="26"/>
                <w:szCs w:val="26"/>
              </w:rPr>
              <w:t>5)÷</w:t>
            </w:r>
            <w:r w:rsidRPr="002C0D1E">
              <w:rPr>
                <w:rFonts w:ascii="Times New Roman" w:eastAsia="Calibri" w:hAnsi="Times New Roman" w:cs="Times New Roman"/>
                <w:b/>
                <w:sz w:val="26"/>
                <w:szCs w:val="26"/>
              </w:rPr>
              <w:t>(1)</w:t>
            </w:r>
          </w:p>
        </w:tc>
      </w:tr>
      <w:tr w14:paraId="40F8100D" w14:textId="77777777" w:rsidTr="003B123B">
        <w:tblPrEx>
          <w:tblW w:w="5358" w:type="pct"/>
          <w:tblInd w:w="-72" w:type="dxa"/>
          <w:tblLayout w:type="fixed"/>
          <w:tblLook w:val="01E0"/>
        </w:tblPrEx>
        <w:trPr>
          <w:cantSplit/>
        </w:trPr>
        <w:tc>
          <w:tcPr>
            <w:tcW w:w="571" w:type="pct"/>
          </w:tcPr>
          <w:p w:rsidR="00A13DD4" w:rsidRPr="002C0D1E" w:rsidP="00A13DD4" w14:paraId="40F81002" w14:textId="77777777">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w:t>
            </w:r>
          </w:p>
        </w:tc>
        <w:tc>
          <w:tcPr>
            <w:tcW w:w="764" w:type="pct"/>
          </w:tcPr>
          <w:p w:rsidR="00A13DD4" w:rsidRPr="002C0D1E" w:rsidP="00A13DD4" w14:paraId="40F81003"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w:t>
            </w:r>
          </w:p>
          <w:p w:rsidR="00A13DD4" w:rsidRPr="002C0D1E" w:rsidP="00A13DD4" w14:paraId="40F81004" w14:textId="77777777">
            <w:pPr>
              <w:spacing w:after="0" w:line="240" w:lineRule="auto"/>
              <w:jc w:val="right"/>
              <w:rPr>
                <w:rFonts w:ascii="Times New Roman" w:eastAsia="Calibri" w:hAnsi="Times New Roman" w:cs="Times New Roman"/>
                <w:sz w:val="26"/>
                <w:szCs w:val="26"/>
              </w:rPr>
            </w:pPr>
          </w:p>
        </w:tc>
        <w:tc>
          <w:tcPr>
            <w:tcW w:w="764" w:type="pct"/>
          </w:tcPr>
          <w:p w:rsidR="00A13DD4" w:rsidRPr="002C0D1E" w:rsidP="00A13DD4" w14:paraId="40F81005"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tc>
        <w:tc>
          <w:tcPr>
            <w:tcW w:w="718" w:type="pct"/>
          </w:tcPr>
          <w:p w:rsidR="00A13DD4" w:rsidRPr="002C0D1E" w:rsidP="00A13DD4" w14:paraId="40F81006"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w:t>
            </w:r>
          </w:p>
        </w:tc>
        <w:tc>
          <w:tcPr>
            <w:tcW w:w="674" w:type="pct"/>
          </w:tcPr>
          <w:p w:rsidR="00A13DD4" w:rsidRPr="002C0D1E" w:rsidP="00A13DD4" w14:paraId="40F81007"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3</w:t>
            </w:r>
          </w:p>
          <w:p w:rsidR="00A13DD4" w:rsidRPr="002C0D1E" w:rsidP="00A13DD4" w14:paraId="40F81008" w14:textId="541A0EEB">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6D7CA0">
              <w:rPr>
                <w:rFonts w:ascii="Times New Roman" w:eastAsia="Calibri" w:hAnsi="Times New Roman" w:cs="Times New Roman"/>
                <w:sz w:val="26"/>
                <w:szCs w:val="26"/>
              </w:rPr>
              <w:t>300</w:t>
            </w:r>
            <w:r w:rsidR="00D04CAF">
              <w:rPr>
                <w:rFonts w:ascii="Times New Roman" w:eastAsia="Calibri" w:hAnsi="Times New Roman" w:cs="Times New Roman"/>
                <w:sz w:val="26"/>
                <w:szCs w:val="26"/>
              </w:rPr>
              <w:t>.00</w:t>
            </w:r>
          </w:p>
        </w:tc>
        <w:tc>
          <w:tcPr>
            <w:tcW w:w="898" w:type="pct"/>
          </w:tcPr>
          <w:p w:rsidR="00A13DD4" w:rsidRPr="002C0D1E" w:rsidP="00A13DD4" w14:paraId="40F81009"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 36</w:t>
            </w:r>
          </w:p>
          <w:p w:rsidR="00A13DD4" w:rsidRPr="002C0D1E" w:rsidP="00A13DD4" w14:paraId="40F8100A" w14:textId="569F5FFC">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D0793E">
              <w:rPr>
                <w:rFonts w:ascii="Times New Roman" w:eastAsia="Calibri" w:hAnsi="Times New Roman" w:cs="Times New Roman"/>
                <w:sz w:val="26"/>
                <w:szCs w:val="26"/>
              </w:rPr>
              <w:t>3</w:t>
            </w:r>
            <w:r w:rsidR="00B47B49">
              <w:rPr>
                <w:rFonts w:ascii="Times New Roman" w:eastAsia="Calibri" w:hAnsi="Times New Roman" w:cs="Times New Roman"/>
                <w:sz w:val="26"/>
                <w:szCs w:val="26"/>
              </w:rPr>
              <w:t>,</w:t>
            </w:r>
            <w:r w:rsidR="00D0793E">
              <w:rPr>
                <w:rFonts w:ascii="Times New Roman" w:eastAsia="Calibri" w:hAnsi="Times New Roman" w:cs="Times New Roman"/>
                <w:sz w:val="26"/>
                <w:szCs w:val="26"/>
              </w:rPr>
              <w:t>600</w:t>
            </w:r>
            <w:r w:rsidRPr="002C0D1E">
              <w:rPr>
                <w:rFonts w:ascii="Times New Roman" w:eastAsia="Calibri" w:hAnsi="Times New Roman" w:cs="Times New Roman"/>
                <w:sz w:val="26"/>
                <w:szCs w:val="26"/>
              </w:rPr>
              <w:t xml:space="preserve"> </w:t>
            </w:r>
          </w:p>
        </w:tc>
        <w:tc>
          <w:tcPr>
            <w:tcW w:w="610" w:type="pct"/>
          </w:tcPr>
          <w:p w:rsidR="00A13DD4" w:rsidRPr="002C0D1E" w:rsidP="00A13DD4" w14:paraId="40F8100B" w14:textId="46BD94C5">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D0793E">
              <w:rPr>
                <w:rFonts w:ascii="Times New Roman" w:eastAsia="Calibri" w:hAnsi="Times New Roman" w:cs="Times New Roman"/>
                <w:sz w:val="26"/>
                <w:szCs w:val="26"/>
              </w:rPr>
              <w:t>300</w:t>
            </w:r>
            <w:r w:rsidR="00B47B49">
              <w:rPr>
                <w:rFonts w:ascii="Times New Roman" w:eastAsia="Calibri" w:hAnsi="Times New Roman" w:cs="Times New Roman"/>
                <w:sz w:val="26"/>
                <w:szCs w:val="26"/>
              </w:rPr>
              <w:t>.00</w:t>
            </w:r>
          </w:p>
          <w:p w:rsidR="00A13DD4" w:rsidRPr="002C0D1E" w:rsidP="00A13DD4" w14:paraId="40F8100C" w14:textId="77777777">
            <w:pPr>
              <w:spacing w:after="0" w:line="240" w:lineRule="auto"/>
              <w:jc w:val="right"/>
              <w:rPr>
                <w:rFonts w:ascii="Times New Roman" w:eastAsia="Calibri" w:hAnsi="Times New Roman" w:cs="Times New Roman"/>
                <w:sz w:val="26"/>
                <w:szCs w:val="26"/>
              </w:rPr>
            </w:pPr>
          </w:p>
        </w:tc>
      </w:tr>
      <w:tr w14:paraId="40F81017" w14:textId="77777777" w:rsidTr="003B123B">
        <w:tblPrEx>
          <w:tblW w:w="5358" w:type="pct"/>
          <w:tblInd w:w="-72" w:type="dxa"/>
          <w:tblLayout w:type="fixed"/>
          <w:tblLook w:val="01E0"/>
        </w:tblPrEx>
        <w:trPr>
          <w:cantSplit/>
        </w:trPr>
        <w:tc>
          <w:tcPr>
            <w:tcW w:w="571" w:type="pct"/>
          </w:tcPr>
          <w:p w:rsidR="00A13DD4" w:rsidRPr="002C0D1E" w:rsidP="00A13DD4" w14:paraId="40F8100E" w14:textId="77777777">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FERC-65A</w:t>
            </w:r>
          </w:p>
        </w:tc>
        <w:tc>
          <w:tcPr>
            <w:tcW w:w="764" w:type="pct"/>
          </w:tcPr>
          <w:p w:rsidR="00A13DD4" w:rsidRPr="002C0D1E" w:rsidP="00A13DD4" w14:paraId="40F8100F"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w:t>
            </w:r>
          </w:p>
        </w:tc>
        <w:tc>
          <w:tcPr>
            <w:tcW w:w="764" w:type="pct"/>
          </w:tcPr>
          <w:p w:rsidR="00A13DD4" w:rsidRPr="002C0D1E" w:rsidP="00A13DD4" w14:paraId="40F81010"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1.25</w:t>
            </w:r>
          </w:p>
        </w:tc>
        <w:tc>
          <w:tcPr>
            <w:tcW w:w="718" w:type="pct"/>
          </w:tcPr>
          <w:p w:rsidR="00A13DD4" w:rsidRPr="002C0D1E" w:rsidP="00A13DD4" w14:paraId="40F81011"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w:t>
            </w:r>
          </w:p>
        </w:tc>
        <w:tc>
          <w:tcPr>
            <w:tcW w:w="674" w:type="pct"/>
          </w:tcPr>
          <w:p w:rsidR="00A13DD4" w:rsidRPr="002C0D1E" w:rsidP="00A13DD4" w14:paraId="40F81012"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rsidR="00A13DD4" w:rsidRPr="002C0D1E" w:rsidP="00A13DD4" w14:paraId="40F81013" w14:textId="72011BC3">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D04CAF">
              <w:rPr>
                <w:rFonts w:ascii="Times New Roman" w:eastAsia="Calibri" w:hAnsi="Times New Roman" w:cs="Times New Roman"/>
                <w:sz w:val="26"/>
                <w:szCs w:val="26"/>
              </w:rPr>
              <w:t>100.00</w:t>
            </w:r>
          </w:p>
        </w:tc>
        <w:tc>
          <w:tcPr>
            <w:tcW w:w="898" w:type="pct"/>
          </w:tcPr>
          <w:p w:rsidR="00A13DD4" w:rsidRPr="002C0D1E" w:rsidP="00A13DD4" w14:paraId="40F81014"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w:t>
            </w:r>
          </w:p>
          <w:p w:rsidR="00A13DD4" w:rsidRPr="002C0D1E" w:rsidP="00A13DD4" w14:paraId="40F81015" w14:textId="656B3EF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B47B49">
              <w:rPr>
                <w:rFonts w:ascii="Times New Roman" w:eastAsia="Calibri" w:hAnsi="Times New Roman" w:cs="Times New Roman"/>
                <w:sz w:val="26"/>
                <w:szCs w:val="26"/>
              </w:rPr>
              <w:t>500.00</w:t>
            </w:r>
          </w:p>
        </w:tc>
        <w:tc>
          <w:tcPr>
            <w:tcW w:w="610" w:type="pct"/>
          </w:tcPr>
          <w:p w:rsidR="00A13DD4" w:rsidRPr="002C0D1E" w:rsidP="00A13DD4" w14:paraId="40F81016" w14:textId="01B646C9">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A1063F">
              <w:rPr>
                <w:rFonts w:ascii="Times New Roman" w:eastAsia="Calibri" w:hAnsi="Times New Roman" w:cs="Times New Roman"/>
                <w:sz w:val="26"/>
                <w:szCs w:val="26"/>
              </w:rPr>
              <w:t>12</w:t>
            </w:r>
            <w:r w:rsidR="00EB19E3">
              <w:rPr>
                <w:rFonts w:ascii="Times New Roman" w:eastAsia="Calibri" w:hAnsi="Times New Roman" w:cs="Times New Roman"/>
                <w:sz w:val="26"/>
                <w:szCs w:val="26"/>
              </w:rPr>
              <w:t>5.00</w:t>
            </w:r>
          </w:p>
        </w:tc>
      </w:tr>
      <w:tr w14:paraId="40F81021" w14:textId="77777777" w:rsidTr="003B123B">
        <w:tblPrEx>
          <w:tblW w:w="5358" w:type="pct"/>
          <w:tblInd w:w="-72" w:type="dxa"/>
          <w:tblLayout w:type="fixed"/>
          <w:tblLook w:val="01E0"/>
        </w:tblPrEx>
        <w:trPr>
          <w:cantSplit/>
        </w:trPr>
        <w:tc>
          <w:tcPr>
            <w:tcW w:w="571" w:type="pct"/>
          </w:tcPr>
          <w:p w:rsidR="00A13DD4" w:rsidRPr="002C0D1E" w:rsidP="00A13DD4" w14:paraId="40F81018" w14:textId="77777777">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FERC-65B</w:t>
            </w:r>
          </w:p>
        </w:tc>
        <w:tc>
          <w:tcPr>
            <w:tcW w:w="764" w:type="pct"/>
          </w:tcPr>
          <w:p w:rsidR="00A13DD4" w:rsidRPr="002C0D1E" w:rsidP="00A13DD4" w14:paraId="40F81019"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w:t>
            </w:r>
          </w:p>
        </w:tc>
        <w:tc>
          <w:tcPr>
            <w:tcW w:w="764" w:type="pct"/>
          </w:tcPr>
          <w:p w:rsidR="00A13DD4" w:rsidRPr="002C0D1E" w:rsidP="00A13DD4" w14:paraId="40F8101A"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1.75</w:t>
            </w:r>
          </w:p>
        </w:tc>
        <w:tc>
          <w:tcPr>
            <w:tcW w:w="718" w:type="pct"/>
          </w:tcPr>
          <w:p w:rsidR="00A13DD4" w:rsidRPr="002C0D1E" w:rsidP="00A13DD4" w14:paraId="40F8101B"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w:t>
            </w:r>
          </w:p>
        </w:tc>
        <w:tc>
          <w:tcPr>
            <w:tcW w:w="674" w:type="pct"/>
          </w:tcPr>
          <w:p w:rsidR="00A13DD4" w:rsidRPr="002C0D1E" w:rsidP="00A13DD4" w14:paraId="40F8101C"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rsidR="00A13DD4" w:rsidRPr="002C0D1E" w:rsidP="00A13DD4" w14:paraId="40F8101D" w14:textId="48C6399A">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C04502">
              <w:rPr>
                <w:rFonts w:ascii="Times New Roman" w:eastAsia="Calibri" w:hAnsi="Times New Roman" w:cs="Times New Roman"/>
                <w:sz w:val="26"/>
                <w:szCs w:val="26"/>
              </w:rPr>
              <w:t>100.00</w:t>
            </w:r>
          </w:p>
        </w:tc>
        <w:tc>
          <w:tcPr>
            <w:tcW w:w="898" w:type="pct"/>
          </w:tcPr>
          <w:p w:rsidR="00A13DD4" w:rsidRPr="002C0D1E" w:rsidP="00A13DD4" w14:paraId="40F8101E"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w:t>
            </w:r>
          </w:p>
          <w:p w:rsidR="00A13DD4" w:rsidRPr="002C0D1E" w:rsidP="00A13DD4" w14:paraId="40F8101F" w14:textId="5959116F">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8C443A">
              <w:rPr>
                <w:rFonts w:ascii="Times New Roman" w:eastAsia="Calibri" w:hAnsi="Times New Roman" w:cs="Times New Roman"/>
                <w:sz w:val="26"/>
                <w:szCs w:val="26"/>
              </w:rPr>
              <w:t>700.00</w:t>
            </w:r>
          </w:p>
        </w:tc>
        <w:tc>
          <w:tcPr>
            <w:tcW w:w="610" w:type="pct"/>
          </w:tcPr>
          <w:p w:rsidR="00A13DD4" w:rsidRPr="002C0D1E" w:rsidP="00A13DD4" w14:paraId="40F81020" w14:textId="6F9AC02C">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BD2FF8">
              <w:rPr>
                <w:rFonts w:ascii="Times New Roman" w:eastAsia="Calibri" w:hAnsi="Times New Roman" w:cs="Times New Roman"/>
                <w:sz w:val="26"/>
                <w:szCs w:val="26"/>
              </w:rPr>
              <w:t>175</w:t>
            </w:r>
            <w:r w:rsidR="008601D3">
              <w:rPr>
                <w:rFonts w:ascii="Times New Roman" w:eastAsia="Calibri" w:hAnsi="Times New Roman" w:cs="Times New Roman"/>
                <w:sz w:val="26"/>
                <w:szCs w:val="26"/>
              </w:rPr>
              <w:t>.00</w:t>
            </w:r>
          </w:p>
        </w:tc>
      </w:tr>
      <w:tr w14:paraId="40F81029" w14:textId="77777777" w:rsidTr="003B123B">
        <w:tblPrEx>
          <w:tblW w:w="5358" w:type="pct"/>
          <w:tblInd w:w="-72" w:type="dxa"/>
          <w:tblLayout w:type="fixed"/>
          <w:tblLook w:val="01E0"/>
        </w:tblPrEx>
        <w:trPr>
          <w:cantSplit/>
          <w:trHeight w:val="395"/>
        </w:trPr>
        <w:tc>
          <w:tcPr>
            <w:tcW w:w="571" w:type="pct"/>
            <w:tcBorders>
              <w:bottom w:val="single" w:sz="4" w:space="0" w:color="auto"/>
            </w:tcBorders>
          </w:tcPr>
          <w:p w:rsidR="00A13DD4" w:rsidRPr="002C0D1E" w:rsidP="00A13DD4" w14:paraId="40F81022" w14:textId="77777777">
            <w:pPr>
              <w:spacing w:after="0" w:line="240" w:lineRule="auto"/>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w:t>
            </w:r>
          </w:p>
        </w:tc>
        <w:tc>
          <w:tcPr>
            <w:tcW w:w="1528" w:type="pct"/>
            <w:gridSpan w:val="2"/>
            <w:tcBorders>
              <w:bottom w:val="single" w:sz="4" w:space="0" w:color="auto"/>
            </w:tcBorders>
            <w:shd w:val="clear" w:color="auto" w:fill="D9D9D9"/>
          </w:tcPr>
          <w:p w:rsidR="00A13DD4" w:rsidRPr="002C0D1E" w:rsidP="00A13DD4" w14:paraId="40F81023" w14:textId="77777777">
            <w:pPr>
              <w:spacing w:after="0" w:line="240" w:lineRule="auto"/>
              <w:jc w:val="right"/>
              <w:rPr>
                <w:rFonts w:ascii="Times New Roman" w:eastAsia="Calibri" w:hAnsi="Times New Roman" w:cs="Times New Roman"/>
                <w:sz w:val="26"/>
                <w:szCs w:val="26"/>
              </w:rPr>
            </w:pPr>
          </w:p>
        </w:tc>
        <w:tc>
          <w:tcPr>
            <w:tcW w:w="718" w:type="pct"/>
            <w:tcBorders>
              <w:bottom w:val="single" w:sz="4" w:space="0" w:color="auto"/>
            </w:tcBorders>
            <w:shd w:val="clear" w:color="auto" w:fill="auto"/>
          </w:tcPr>
          <w:p w:rsidR="00A13DD4" w:rsidRPr="002C0D1E" w:rsidP="00A13DD4" w14:paraId="40F81024" w14:textId="77777777">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24</w:t>
            </w:r>
          </w:p>
        </w:tc>
        <w:tc>
          <w:tcPr>
            <w:tcW w:w="674" w:type="pct"/>
            <w:tcBorders>
              <w:bottom w:val="single" w:sz="4" w:space="0" w:color="auto"/>
            </w:tcBorders>
            <w:shd w:val="clear" w:color="auto" w:fill="D9D9D9"/>
          </w:tcPr>
          <w:p w:rsidR="00A13DD4" w:rsidRPr="002C0D1E" w:rsidP="00A13DD4" w14:paraId="40F81025" w14:textId="77777777">
            <w:pPr>
              <w:spacing w:after="0" w:line="240" w:lineRule="auto"/>
              <w:jc w:val="right"/>
              <w:rPr>
                <w:rFonts w:ascii="Times New Roman" w:eastAsia="Calibri" w:hAnsi="Times New Roman" w:cs="Times New Roman"/>
                <w:sz w:val="26"/>
                <w:szCs w:val="26"/>
              </w:rPr>
            </w:pPr>
          </w:p>
        </w:tc>
        <w:tc>
          <w:tcPr>
            <w:tcW w:w="898" w:type="pct"/>
            <w:tcBorders>
              <w:bottom w:val="single" w:sz="4" w:space="0" w:color="auto"/>
            </w:tcBorders>
          </w:tcPr>
          <w:p w:rsidR="00A13DD4" w:rsidRPr="002C0D1E" w:rsidP="00A13DD4" w14:paraId="40F81026" w14:textId="77777777">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48</w:t>
            </w:r>
          </w:p>
          <w:p w:rsidR="00A13DD4" w:rsidRPr="002C0D1E" w:rsidP="00A13DD4" w14:paraId="40F81027" w14:textId="67DA4692">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w:t>
            </w:r>
            <w:r w:rsidR="00C774DC">
              <w:rPr>
                <w:rFonts w:ascii="Times New Roman" w:eastAsia="Calibri" w:hAnsi="Times New Roman" w:cs="Times New Roman"/>
                <w:b/>
                <w:sz w:val="26"/>
                <w:szCs w:val="26"/>
              </w:rPr>
              <w:t>4,800</w:t>
            </w:r>
            <w:r w:rsidR="00D926B9">
              <w:rPr>
                <w:rFonts w:ascii="Times New Roman" w:eastAsia="Calibri" w:hAnsi="Times New Roman" w:cs="Times New Roman"/>
                <w:b/>
                <w:sz w:val="26"/>
                <w:szCs w:val="26"/>
              </w:rPr>
              <w:t>.00</w:t>
            </w:r>
          </w:p>
        </w:tc>
        <w:tc>
          <w:tcPr>
            <w:tcW w:w="610" w:type="pct"/>
            <w:tcBorders>
              <w:bottom w:val="single" w:sz="4" w:space="0" w:color="auto"/>
            </w:tcBorders>
            <w:shd w:val="clear" w:color="auto" w:fill="D9D9D9"/>
          </w:tcPr>
          <w:p w:rsidR="00A13DD4" w:rsidRPr="002C0D1E" w:rsidP="00A13DD4" w14:paraId="40F81028" w14:textId="77777777">
            <w:pPr>
              <w:spacing w:after="0" w:line="240" w:lineRule="auto"/>
              <w:jc w:val="right"/>
              <w:rPr>
                <w:rFonts w:ascii="Times New Roman" w:eastAsia="Calibri" w:hAnsi="Times New Roman" w:cs="Times New Roman"/>
                <w:b/>
                <w:sz w:val="26"/>
                <w:szCs w:val="26"/>
              </w:rPr>
            </w:pPr>
          </w:p>
        </w:tc>
      </w:tr>
    </w:tbl>
    <w:p w:rsidR="00C316F8" w:rsidP="00A13DD4" w14:paraId="2BD9B3AA" w14:textId="77777777">
      <w:pPr>
        <w:spacing w:after="0" w:line="480" w:lineRule="auto"/>
        <w:rPr>
          <w:rFonts w:ascii="Times New Roman" w:eastAsia="Times New Roman" w:hAnsi="Times New Roman" w:cs="Times New Roman"/>
          <w:i/>
          <w:sz w:val="26"/>
          <w:szCs w:val="26"/>
        </w:rPr>
      </w:pPr>
    </w:p>
    <w:p w:rsidR="00A13DD4" w:rsidRPr="002C0D1E" w:rsidP="00A13DD4" w14:paraId="40F8110D" w14:textId="17D04452">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Comments:  </w:t>
      </w:r>
      <w:r w:rsidRPr="002C0D1E">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A13DD4" w:rsidRPr="002C0D1E" w:rsidP="00A13DD4" w14:paraId="40F8110E" w14:textId="77777777">
      <w:pPr>
        <w:spacing w:after="0" w:line="480" w:lineRule="auto"/>
        <w:rPr>
          <w:rFonts w:ascii="Times New Roman" w:eastAsia="Times New Roman" w:hAnsi="Times New Roman" w:cs="Times New Roman"/>
          <w:sz w:val="26"/>
          <w:szCs w:val="26"/>
        </w:rPr>
      </w:pPr>
    </w:p>
    <w:p w:rsidR="00A13DD4" w:rsidRPr="002C0D1E" w:rsidP="00A13DD4" w14:paraId="40F81110" w14:textId="28B6F5B3">
      <w:pPr>
        <w:spacing w:after="0" w:line="240" w:lineRule="auto"/>
        <w:ind w:firstLine="2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Debbie Anne </w:t>
      </w:r>
      <w:r w:rsidR="00410DE9">
        <w:rPr>
          <w:rFonts w:ascii="Times New Roman" w:eastAsia="Times New Roman" w:hAnsi="Times New Roman" w:cs="Times New Roman"/>
          <w:sz w:val="26"/>
          <w:szCs w:val="26"/>
        </w:rPr>
        <w:t>Reese</w:t>
      </w:r>
      <w:r w:rsidRPr="002C0D1E">
        <w:rPr>
          <w:rFonts w:ascii="Times New Roman" w:eastAsia="Times New Roman" w:hAnsi="Times New Roman" w:cs="Times New Roman"/>
          <w:sz w:val="26"/>
          <w:szCs w:val="26"/>
        </w:rPr>
        <w:t>,</w:t>
      </w:r>
    </w:p>
    <w:p w:rsidR="00A13DD4" w:rsidRPr="002C0D1E" w:rsidP="00A13DD4" w14:paraId="40F81111" w14:textId="5A7B1270">
      <w:pPr>
        <w:spacing w:after="0" w:line="240" w:lineRule="auto"/>
        <w:ind w:firstLine="2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Acting </w:t>
      </w:r>
      <w:r w:rsidRPr="002C0D1E">
        <w:rPr>
          <w:rFonts w:ascii="Times New Roman" w:eastAsia="Times New Roman" w:hAnsi="Times New Roman" w:cs="Times New Roman"/>
          <w:sz w:val="26"/>
          <w:szCs w:val="26"/>
        </w:rPr>
        <w:t>Secretary.</w:t>
      </w:r>
    </w:p>
    <w:p w:rsidR="00A13DD4" w:rsidRPr="002C0D1E" w:rsidP="00A13DD4" w14:paraId="40F81112" w14:textId="77777777">
      <w:pPr>
        <w:spacing w:after="0" w:line="240" w:lineRule="auto"/>
        <w:rPr>
          <w:rFonts w:ascii="Times New Roman" w:eastAsia="Times New Roman" w:hAnsi="Times New Roman" w:cs="Times New Roman"/>
          <w:sz w:val="26"/>
          <w:szCs w:val="26"/>
        </w:rPr>
      </w:pPr>
    </w:p>
    <w:p w:rsidR="004167A5" w:rsidRPr="002C0D1E" w14:paraId="40F81113" w14:textId="77777777">
      <w:pPr>
        <w:rPr>
          <w:rFonts w:ascii="Times New Roman" w:hAnsi="Times New Roman" w:cs="Times New Roman"/>
          <w:sz w:val="26"/>
          <w:szCs w:val="26"/>
        </w:rPr>
      </w:pPr>
    </w:p>
    <w:sectPr>
      <w:headerReference w:type="even" r:id="rId12"/>
      <w:headerReference w:type="default" r:id="rId13"/>
      <w:headerReference w:type="first" r:id="rId14"/>
      <w:endnotePr>
        <w:numFmt w:val="decimal"/>
      </w:endnotePr>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0298" w:rsidP="00A13DD4" w14:paraId="2B2C933A" w14:textId="77777777">
      <w:pPr>
        <w:spacing w:after="0" w:line="240" w:lineRule="auto"/>
      </w:pPr>
      <w:r>
        <w:separator/>
      </w:r>
    </w:p>
  </w:footnote>
  <w:footnote w:type="continuationSeparator" w:id="1">
    <w:p w:rsidR="009A0298" w:rsidP="00A13DD4" w14:paraId="1B763DD3" w14:textId="77777777">
      <w:pPr>
        <w:spacing w:after="0" w:line="240" w:lineRule="auto"/>
      </w:pPr>
      <w:r>
        <w:continuationSeparator/>
      </w:r>
    </w:p>
  </w:footnote>
  <w:footnote w:type="continuationNotice" w:id="2">
    <w:p w:rsidR="009A0298" w14:paraId="6FABCAD3" w14:textId="77777777">
      <w:pPr>
        <w:spacing w:after="0" w:line="240" w:lineRule="auto"/>
      </w:pPr>
    </w:p>
  </w:footnote>
  <w:footnote w:id="3">
    <w:p w:rsidR="00A13DD4" w:rsidRPr="002C0D1E" w:rsidP="00A13DD4" w14:paraId="40F8111C" w14:textId="77777777">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Persons that meet the definition of a holding company as provided by §366.1 as of February 8, </w:t>
      </w:r>
      <w:r w:rsidRPr="002C0D1E">
        <w:rPr>
          <w:rFonts w:ascii="Times New Roman" w:hAnsi="Times New Roman" w:cs="Times New Roman"/>
          <w:sz w:val="26"/>
          <w:szCs w:val="26"/>
        </w:rPr>
        <w:t>2006</w:t>
      </w:r>
      <w:r w:rsidRPr="002C0D1E">
        <w:rPr>
          <w:rFonts w:ascii="Times New Roman" w:hAnsi="Times New Roman" w:cs="Times New Roman"/>
          <w:sz w:val="26"/>
          <w:szCs w:val="26"/>
        </w:rPr>
        <w:t xml:space="preserve"> shall notify the Commission of their status as a holding company no later than June 15, 2006. Holding companies formed after February 8, </w:t>
      </w:r>
      <w:r w:rsidRPr="002C0D1E">
        <w:rPr>
          <w:rFonts w:ascii="Times New Roman" w:hAnsi="Times New Roman" w:cs="Times New Roman"/>
          <w:sz w:val="26"/>
          <w:szCs w:val="26"/>
        </w:rPr>
        <w:t>2006</w:t>
      </w:r>
      <w:r w:rsidRPr="002C0D1E">
        <w:rPr>
          <w:rFonts w:ascii="Times New Roman" w:hAnsi="Times New Roman" w:cs="Times New Roman"/>
          <w:sz w:val="26"/>
          <w:szCs w:val="26"/>
        </w:rPr>
        <w:t xml:space="preserve"> shall notify the Commission of their status as a holding company, no later than the latter of June 15, 2006 or 30 days after they become holding companies.</w:t>
      </w:r>
    </w:p>
  </w:footnote>
  <w:footnote w:id="4">
    <w:p w:rsidR="00A13DD4" w:rsidRPr="002C0D1E" w:rsidP="00A13DD4" w14:paraId="40F8111D" w14:textId="77777777">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w:t>
      </w:r>
      <w:r w:rsidRPr="002C0D1E">
        <w:rPr>
          <w:rFonts w:ascii="Times New Roman" w:hAnsi="Times New Roman" w:cs="Times New Roman"/>
          <w:sz w:val="26"/>
          <w:szCs w:val="26"/>
        </w:rPr>
        <w:t>Federal</w:t>
      </w:r>
      <w:r w:rsidRPr="002C0D1E">
        <w:rPr>
          <w:rFonts w:ascii="Times New Roman" w:hAnsi="Times New Roman" w:cs="Times New Roman"/>
          <w:sz w:val="26"/>
          <w:szCs w:val="26"/>
        </w:rPr>
        <w:t xml:space="preserve"> agency.  Refer to 5 CFR 1320.3 for additional information.</w:t>
      </w:r>
    </w:p>
  </w:footnote>
  <w:footnote w:id="5">
    <w:p w:rsidR="00A13DD4" w:rsidRPr="002C0D1E" w:rsidP="00A13DD4" w14:paraId="40F8111E" w14:textId="457D8B3F">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w:t>
      </w:r>
      <w:r w:rsidRPr="00124627" w:rsidR="00124627">
        <w:rPr>
          <w:rFonts w:ascii="Times New Roman" w:hAnsi="Times New Roman" w:cs="Times New Roman"/>
          <w:sz w:val="26"/>
          <w:szCs w:val="26"/>
        </w:rPr>
        <w:t>The Commission staff estimates that the average respondent for this collection is similarly situated to the Commission, in terms of salary plus benefits. Based on FERC’s 20</w:t>
      </w:r>
      <w:r w:rsidR="008B45FF">
        <w:rPr>
          <w:rFonts w:ascii="Times New Roman" w:hAnsi="Times New Roman" w:cs="Times New Roman"/>
          <w:sz w:val="26"/>
          <w:szCs w:val="26"/>
        </w:rPr>
        <w:t>24</w:t>
      </w:r>
      <w:r w:rsidRPr="00124627" w:rsidR="00124627">
        <w:rPr>
          <w:rFonts w:ascii="Times New Roman" w:hAnsi="Times New Roman" w:cs="Times New Roman"/>
          <w:sz w:val="26"/>
          <w:szCs w:val="26"/>
        </w:rPr>
        <w:t xml:space="preserve"> annual average of $</w:t>
      </w:r>
      <w:r w:rsidR="008B45FF">
        <w:rPr>
          <w:rFonts w:ascii="Times New Roman" w:hAnsi="Times New Roman" w:cs="Times New Roman"/>
          <w:sz w:val="26"/>
          <w:szCs w:val="26"/>
        </w:rPr>
        <w:t>207</w:t>
      </w:r>
      <w:r w:rsidRPr="00124627" w:rsidR="00124627">
        <w:rPr>
          <w:rFonts w:ascii="Times New Roman" w:hAnsi="Times New Roman" w:cs="Times New Roman"/>
          <w:sz w:val="26"/>
          <w:szCs w:val="26"/>
        </w:rPr>
        <w:t>,</w:t>
      </w:r>
      <w:r w:rsidR="00B82226">
        <w:rPr>
          <w:rFonts w:ascii="Times New Roman" w:hAnsi="Times New Roman" w:cs="Times New Roman"/>
          <w:sz w:val="26"/>
          <w:szCs w:val="26"/>
        </w:rPr>
        <w:t>786</w:t>
      </w:r>
      <w:r w:rsidRPr="00124627" w:rsidR="00124627">
        <w:rPr>
          <w:rFonts w:ascii="Times New Roman" w:hAnsi="Times New Roman" w:cs="Times New Roman"/>
          <w:sz w:val="26"/>
          <w:szCs w:val="26"/>
        </w:rPr>
        <w:t xml:space="preserve"> (for salary plus benefits), the average hourly cost is $</w:t>
      </w:r>
      <w:r w:rsidR="00B82226">
        <w:rPr>
          <w:rFonts w:ascii="Times New Roman" w:hAnsi="Times New Roman" w:cs="Times New Roman"/>
          <w:sz w:val="26"/>
          <w:szCs w:val="26"/>
        </w:rPr>
        <w:t>100</w:t>
      </w:r>
      <w:r w:rsidRPr="00124627" w:rsidR="00124627">
        <w:rPr>
          <w:rFonts w:ascii="Times New Roman" w:hAnsi="Times New Roman" w:cs="Times New Roman"/>
          <w:sz w:val="26"/>
          <w:szCs w:val="26"/>
        </w:rPr>
        <w:t>/hour.</w:t>
      </w:r>
      <w:r w:rsidRPr="002C0D1E">
        <w:rPr>
          <w:rFonts w:ascii="Times New Roman" w:hAnsi="Times New Roman" w:cs="Times New Roman"/>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88E" w14:paraId="40F81118" w14:textId="649850AF">
    <w:pPr>
      <w:pStyle w:val="Head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443865" cy="443865"/>
              <wp:effectExtent l="0" t="0" r="1270" b="4445"/>
              <wp:wrapNone/>
              <wp:docPr id="2" name="Text Box 2"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8F1660" w:rsidRPr="008F1660" w:rsidP="008F1660" w14:textId="58DBE2F7">
                          <w:pPr>
                            <w:spacing w:after="0"/>
                            <w:rPr>
                              <w:rFonts w:ascii="Times New Roman" w:eastAsia="Times New Roman" w:hAnsi="Times New Roman" w:cs="Times New Roman"/>
                              <w:noProof/>
                              <w:color w:val="FF0000"/>
                              <w:sz w:val="26"/>
                              <w:szCs w:val="26"/>
                            </w:rPr>
                          </w:pPr>
                          <w:r w:rsidRPr="008F1660">
                            <w:rPr>
                              <w:rFonts w:ascii="Times New Roman" w:eastAsia="Times New Roman" w:hAnsi="Times New Roman" w:cs="Times New Roman"/>
                              <w:noProof/>
                              <w:color w:val="FF0000"/>
                              <w:sz w:val="26"/>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8F1660" w:rsidRPr="008F1660" w:rsidP="008F1660" w14:paraId="76AFFF23" w14:textId="58DBE2F7">
                    <w:pPr>
                      <w:spacing w:after="0"/>
                      <w:rPr>
                        <w:rFonts w:ascii="Times New Roman" w:eastAsia="Times New Roman" w:hAnsi="Times New Roman" w:cs="Times New Roman"/>
                        <w:noProof/>
                        <w:color w:val="FF0000"/>
                        <w:sz w:val="26"/>
                        <w:szCs w:val="26"/>
                      </w:rPr>
                    </w:pPr>
                    <w:r w:rsidRPr="008F1660">
                      <w:rPr>
                        <w:rFonts w:ascii="Times New Roman" w:eastAsia="Times New Roman" w:hAnsi="Times New Roman" w:cs="Times New Roman"/>
                        <w:noProof/>
                        <w:color w:val="FF0000"/>
                        <w:sz w:val="26"/>
                        <w:szCs w:val="26"/>
                      </w:rPr>
                      <w:t>CUI</w:t>
                    </w:r>
                  </w:p>
                </w:txbxContent>
              </v:textbox>
            </v:shape>
          </w:pict>
        </mc:Fallback>
      </mc:AlternateContent>
    </w:r>
    <w:r w:rsidR="00FD543F">
      <w:rPr>
        <w:rStyle w:val="PageNumber"/>
      </w:rPr>
      <w:fldChar w:fldCharType="begin"/>
    </w:r>
    <w:r w:rsidR="00FD543F">
      <w:rPr>
        <w:rStyle w:val="PageNumber"/>
      </w:rPr>
      <w:instrText xml:space="preserve">PAGE  </w:instrText>
    </w:r>
    <w:r w:rsidR="00FD543F">
      <w:rPr>
        <w:rStyle w:val="PageNumber"/>
      </w:rPr>
      <w:fldChar w:fldCharType="separate"/>
    </w:r>
    <w:r w:rsidR="00FD543F">
      <w:rPr>
        <w:rStyle w:val="PageNumber"/>
      </w:rPr>
      <w:fldChar w:fldCharType="end"/>
    </w:r>
  </w:p>
  <w:p w:rsidR="0039788E" w14:paraId="40F8111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88E" w:rsidRPr="009E020B" w14:paraId="40F8111A" w14:textId="497F2A03">
    <w:pPr>
      <w:pStyle w:val="Header"/>
      <w:framePr w:wrap="around" w:vAnchor="text" w:hAnchor="margin" w:xAlign="right" w:y="1"/>
      <w:rPr>
        <w:rStyle w:val="PageNumber"/>
        <w:rFonts w:ascii="Times New Roman" w:hAnsi="Times New Roman" w:cs="Times New Roman"/>
        <w:sz w:val="26"/>
        <w:szCs w:val="26"/>
      </w:rPr>
    </w:pPr>
    <w:r w:rsidRPr="009E020B">
      <w:rPr>
        <w:rStyle w:val="PageNumber"/>
        <w:rFonts w:ascii="Times New Roman" w:hAnsi="Times New Roman" w:cs="Times New Roman"/>
        <w:sz w:val="26"/>
        <w:szCs w:val="26"/>
      </w:rPr>
      <w:fldChar w:fldCharType="begin"/>
    </w:r>
    <w:r w:rsidRPr="009E020B">
      <w:rPr>
        <w:rStyle w:val="PageNumber"/>
        <w:rFonts w:ascii="Times New Roman" w:hAnsi="Times New Roman" w:cs="Times New Roman"/>
        <w:sz w:val="26"/>
        <w:szCs w:val="26"/>
      </w:rPr>
      <w:instrText xml:space="preserve">PAGE  </w:instrText>
    </w:r>
    <w:r w:rsidRPr="009E020B">
      <w:rPr>
        <w:rStyle w:val="PageNumber"/>
        <w:rFonts w:ascii="Times New Roman" w:hAnsi="Times New Roman" w:cs="Times New Roman"/>
        <w:sz w:val="26"/>
        <w:szCs w:val="26"/>
      </w:rPr>
      <w:fldChar w:fldCharType="separate"/>
    </w:r>
    <w:r w:rsidR="009B0365">
      <w:rPr>
        <w:rStyle w:val="PageNumber"/>
        <w:rFonts w:ascii="Times New Roman" w:hAnsi="Times New Roman" w:cs="Times New Roman"/>
        <w:noProof/>
        <w:sz w:val="26"/>
        <w:szCs w:val="26"/>
      </w:rPr>
      <w:t>2</w:t>
    </w:r>
    <w:r w:rsidRPr="009E020B">
      <w:rPr>
        <w:rStyle w:val="PageNumber"/>
        <w:rFonts w:ascii="Times New Roman" w:hAnsi="Times New Roman" w:cs="Times New Roman"/>
        <w:sz w:val="26"/>
        <w:szCs w:val="26"/>
      </w:rPr>
      <w:fldChar w:fldCharType="end"/>
    </w:r>
  </w:p>
  <w:p w:rsidR="0039788E" w14:paraId="40F8111B" w14:textId="5752E838">
    <w:pPr>
      <w:pStyle w:val="Header"/>
      <w:ind w:right="360"/>
      <w:rPr>
        <w:rFonts w:ascii="Times New Roman" w:hAnsi="Times New Roman" w:cs="Times New Roman"/>
        <w:sz w:val="26"/>
        <w:szCs w:val="26"/>
      </w:rPr>
    </w:pPr>
    <w:r w:rsidRPr="009E020B">
      <w:rPr>
        <w:rFonts w:ascii="Times New Roman" w:hAnsi="Times New Roman" w:cs="Times New Roman"/>
        <w:sz w:val="26"/>
        <w:szCs w:val="26"/>
      </w:rPr>
      <w:t>Docket No</w:t>
    </w:r>
    <w:r w:rsidRPr="005660C8">
      <w:rPr>
        <w:rFonts w:ascii="Times New Roman" w:hAnsi="Times New Roman" w:cs="Times New Roman"/>
        <w:sz w:val="26"/>
        <w:szCs w:val="26"/>
      </w:rPr>
      <w:t xml:space="preserve">. </w:t>
    </w:r>
    <w:r w:rsidRPr="005660C8" w:rsidR="00F8108A">
      <w:rPr>
        <w:rFonts w:ascii="Times New Roman" w:hAnsi="Times New Roman" w:cs="Times New Roman"/>
        <w:sz w:val="26"/>
        <w:szCs w:val="26"/>
      </w:rPr>
      <w:t>IC2</w:t>
    </w:r>
    <w:r w:rsidRPr="005660C8" w:rsidR="005660C8">
      <w:rPr>
        <w:rFonts w:ascii="Times New Roman" w:hAnsi="Times New Roman" w:cs="Times New Roman"/>
        <w:sz w:val="26"/>
        <w:szCs w:val="26"/>
      </w:rPr>
      <w:t>4</w:t>
    </w:r>
    <w:r w:rsidRPr="005660C8" w:rsidR="00F8108A">
      <w:rPr>
        <w:rFonts w:ascii="Times New Roman" w:hAnsi="Times New Roman" w:cs="Times New Roman"/>
        <w:sz w:val="26"/>
        <w:szCs w:val="26"/>
      </w:rPr>
      <w:t>-</w:t>
    </w:r>
    <w:r w:rsidRPr="005660C8" w:rsidR="005660C8">
      <w:rPr>
        <w:rFonts w:ascii="Times New Roman" w:hAnsi="Times New Roman" w:cs="Times New Roman"/>
        <w:sz w:val="26"/>
        <w:szCs w:val="26"/>
      </w:rPr>
      <w:t>18</w:t>
    </w:r>
    <w:r w:rsidRPr="005660C8" w:rsidR="00A70EFC">
      <w:rPr>
        <w:rFonts w:ascii="Times New Roman" w:hAnsi="Times New Roman" w:cs="Times New Roman"/>
        <w:sz w:val="26"/>
        <w:szCs w:val="26"/>
      </w:rPr>
      <w:t>-000</w:t>
    </w:r>
  </w:p>
  <w:p w:rsidR="00A70EFC" w:rsidRPr="009E020B" w14:paraId="767AD52C" w14:textId="77777777">
    <w:pPr>
      <w:pStyle w:val="Header"/>
      <w:ind w:right="360"/>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6F8" w14:paraId="649BD3F3" w14:textId="0016B98F">
    <w:pPr>
      <w:pStyle w:val="Head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443865" cy="443865"/>
              <wp:effectExtent l="0" t="0" r="1270" b="4445"/>
              <wp:wrapNone/>
              <wp:docPr id="1" name="Text Box 1"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8F1660" w:rsidRPr="008F1660" w:rsidP="008F1660" w14:textId="397207DA">
                          <w:pPr>
                            <w:spacing w:after="0"/>
                            <w:rPr>
                              <w:rFonts w:ascii="Times New Roman" w:eastAsia="Times New Roman" w:hAnsi="Times New Roman" w:cs="Times New Roman"/>
                              <w:noProof/>
                              <w:color w:val="FF0000"/>
                              <w:sz w:val="26"/>
                              <w:szCs w:val="26"/>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0"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8F1660" w:rsidRPr="008F1660" w:rsidP="008F1660" w14:paraId="05473420" w14:textId="397207DA">
                    <w:pPr>
                      <w:spacing w:after="0"/>
                      <w:rPr>
                        <w:rFonts w:ascii="Times New Roman" w:eastAsia="Times New Roman" w:hAnsi="Times New Roman" w:cs="Times New Roman"/>
                        <w:noProof/>
                        <w:color w:val="FF0000"/>
                        <w:sz w:val="26"/>
                        <w:szCs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339430942">
    <w:abstractNumId w:val="1"/>
  </w:num>
  <w:num w:numId="2" w16cid:durableId="2088769574">
    <w:abstractNumId w:val="2"/>
  </w:num>
  <w:num w:numId="3" w16cid:durableId="51033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D4"/>
    <w:rsid w:val="00002734"/>
    <w:rsid w:val="000208E9"/>
    <w:rsid w:val="00087175"/>
    <w:rsid w:val="00092CEF"/>
    <w:rsid w:val="000C6957"/>
    <w:rsid w:val="000E37BF"/>
    <w:rsid w:val="000F7602"/>
    <w:rsid w:val="00124627"/>
    <w:rsid w:val="00174D2A"/>
    <w:rsid w:val="001B6741"/>
    <w:rsid w:val="001C4CCD"/>
    <w:rsid w:val="001D2FE6"/>
    <w:rsid w:val="001D30DD"/>
    <w:rsid w:val="001E6B6E"/>
    <w:rsid w:val="001E701F"/>
    <w:rsid w:val="00240DD6"/>
    <w:rsid w:val="00245A52"/>
    <w:rsid w:val="00246C36"/>
    <w:rsid w:val="00267573"/>
    <w:rsid w:val="002808A8"/>
    <w:rsid w:val="002A7F48"/>
    <w:rsid w:val="002C0D1E"/>
    <w:rsid w:val="003453A7"/>
    <w:rsid w:val="00346EB9"/>
    <w:rsid w:val="00381ACD"/>
    <w:rsid w:val="003825C4"/>
    <w:rsid w:val="0039788E"/>
    <w:rsid w:val="003B123B"/>
    <w:rsid w:val="003D1C11"/>
    <w:rsid w:val="003D54F2"/>
    <w:rsid w:val="00410DE9"/>
    <w:rsid w:val="004167A5"/>
    <w:rsid w:val="00465778"/>
    <w:rsid w:val="004B50CA"/>
    <w:rsid w:val="004C1B19"/>
    <w:rsid w:val="005660C8"/>
    <w:rsid w:val="0059075D"/>
    <w:rsid w:val="00592412"/>
    <w:rsid w:val="005A2004"/>
    <w:rsid w:val="00692EEE"/>
    <w:rsid w:val="006A03F9"/>
    <w:rsid w:val="006D7CA0"/>
    <w:rsid w:val="006E4182"/>
    <w:rsid w:val="007C756A"/>
    <w:rsid w:val="00853519"/>
    <w:rsid w:val="008601D3"/>
    <w:rsid w:val="00872493"/>
    <w:rsid w:val="008847D4"/>
    <w:rsid w:val="00890D53"/>
    <w:rsid w:val="008B45FF"/>
    <w:rsid w:val="008B5A16"/>
    <w:rsid w:val="008C443A"/>
    <w:rsid w:val="008D0BCF"/>
    <w:rsid w:val="008F1660"/>
    <w:rsid w:val="00913ACF"/>
    <w:rsid w:val="00950AF2"/>
    <w:rsid w:val="00957E90"/>
    <w:rsid w:val="009A0298"/>
    <w:rsid w:val="009A234A"/>
    <w:rsid w:val="009A6B96"/>
    <w:rsid w:val="009B0365"/>
    <w:rsid w:val="009B3024"/>
    <w:rsid w:val="009B6387"/>
    <w:rsid w:val="009E020B"/>
    <w:rsid w:val="009E10A1"/>
    <w:rsid w:val="009E6B07"/>
    <w:rsid w:val="00A1063F"/>
    <w:rsid w:val="00A13DD4"/>
    <w:rsid w:val="00A70EFC"/>
    <w:rsid w:val="00A969EE"/>
    <w:rsid w:val="00B47B49"/>
    <w:rsid w:val="00B82226"/>
    <w:rsid w:val="00BD2FF8"/>
    <w:rsid w:val="00BD6FC7"/>
    <w:rsid w:val="00BF711A"/>
    <w:rsid w:val="00C04502"/>
    <w:rsid w:val="00C1195A"/>
    <w:rsid w:val="00C15F9F"/>
    <w:rsid w:val="00C316F8"/>
    <w:rsid w:val="00C36106"/>
    <w:rsid w:val="00C365C9"/>
    <w:rsid w:val="00C559DD"/>
    <w:rsid w:val="00C65D64"/>
    <w:rsid w:val="00C774DC"/>
    <w:rsid w:val="00D04CAF"/>
    <w:rsid w:val="00D0793E"/>
    <w:rsid w:val="00D15290"/>
    <w:rsid w:val="00D926B9"/>
    <w:rsid w:val="00E16017"/>
    <w:rsid w:val="00E529E8"/>
    <w:rsid w:val="00EB19E3"/>
    <w:rsid w:val="00EE51C1"/>
    <w:rsid w:val="00EE659A"/>
    <w:rsid w:val="00F35DC0"/>
    <w:rsid w:val="00F50CA6"/>
    <w:rsid w:val="00F8108A"/>
    <w:rsid w:val="00F822B5"/>
    <w:rsid w:val="00F83BA8"/>
    <w:rsid w:val="00FB4BBA"/>
    <w:rsid w:val="00FD543F"/>
    <w:rsid w:val="00FE6145"/>
    <w:rsid w:val="09FEC5D5"/>
    <w:rsid w:val="49C389E7"/>
    <w:rsid w:val="541A72A3"/>
    <w:rsid w:val="57784D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F80FCF"/>
  <w15:docId w15:val="{672FAEFB-7917-4D2D-A7A2-93AA9195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3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D4"/>
    <w:rPr>
      <w:sz w:val="20"/>
      <w:szCs w:val="20"/>
    </w:rPr>
  </w:style>
  <w:style w:type="paragraph" w:styleId="Header">
    <w:name w:val="header"/>
    <w:basedOn w:val="Normal"/>
    <w:link w:val="HeaderChar"/>
    <w:uiPriority w:val="99"/>
    <w:unhideWhenUsed/>
    <w:rsid w:val="00A1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D4"/>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A13DD4"/>
    <w:rPr>
      <w:rFonts w:ascii="Times New Roman" w:hAnsi="Times New Roman"/>
      <w:b/>
      <w:sz w:val="26"/>
      <w:szCs w:val="26"/>
      <w:vertAlign w:val="superscript"/>
    </w:rPr>
  </w:style>
  <w:style w:type="character" w:styleId="PageNumber">
    <w:name w:val="page number"/>
    <w:basedOn w:val="DefaultParagraphFont"/>
    <w:rsid w:val="00A13DD4"/>
  </w:style>
  <w:style w:type="character" w:styleId="Hyperlink">
    <w:name w:val="Hyperlink"/>
    <w:rsid w:val="00A13DD4"/>
    <w:rPr>
      <w:color w:val="0000FF"/>
      <w:u w:val="single"/>
    </w:rPr>
  </w:style>
  <w:style w:type="paragraph" w:styleId="ListContinue">
    <w:name w:val="List Continue"/>
    <w:basedOn w:val="Normal"/>
    <w:rsid w:val="00A13DD4"/>
    <w:pPr>
      <w:numPr>
        <w:numId w:val="2"/>
      </w:numPr>
      <w:spacing w:after="120" w:line="480" w:lineRule="auto"/>
    </w:pPr>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E0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0B"/>
  </w:style>
  <w:style w:type="paragraph" w:styleId="BalloonText">
    <w:name w:val="Balloon Text"/>
    <w:basedOn w:val="Normal"/>
    <w:link w:val="BalloonTextChar"/>
    <w:uiPriority w:val="99"/>
    <w:semiHidden/>
    <w:unhideWhenUsed/>
    <w:rsid w:val="00FB4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BBA"/>
    <w:rPr>
      <w:rFonts w:ascii="Segoe UI" w:hAnsi="Segoe UI" w:cs="Segoe UI"/>
      <w:sz w:val="18"/>
      <w:szCs w:val="18"/>
    </w:rPr>
  </w:style>
  <w:style w:type="character" w:styleId="UnresolvedMention">
    <w:name w:val="Unresolved Mention"/>
    <w:basedOn w:val="DefaultParagraphFont"/>
    <w:uiPriority w:val="99"/>
    <w:semiHidden/>
    <w:unhideWhenUsed/>
    <w:rsid w:val="00FB4BBA"/>
    <w:rPr>
      <w:color w:val="605E5C"/>
      <w:shd w:val="clear" w:color="auto" w:fill="E1DFDD"/>
    </w:rPr>
  </w:style>
  <w:style w:type="character" w:styleId="CommentReference">
    <w:name w:val="annotation reference"/>
    <w:basedOn w:val="DefaultParagraphFont"/>
    <w:uiPriority w:val="99"/>
    <w:semiHidden/>
    <w:unhideWhenUsed/>
    <w:rsid w:val="00853519"/>
    <w:rPr>
      <w:sz w:val="16"/>
      <w:szCs w:val="16"/>
    </w:rPr>
  </w:style>
  <w:style w:type="paragraph" w:styleId="CommentText">
    <w:name w:val="annotation text"/>
    <w:basedOn w:val="Normal"/>
    <w:link w:val="CommentTextChar"/>
    <w:uiPriority w:val="99"/>
    <w:unhideWhenUsed/>
    <w:rsid w:val="00853519"/>
    <w:pPr>
      <w:spacing w:line="240" w:lineRule="auto"/>
    </w:pPr>
    <w:rPr>
      <w:sz w:val="20"/>
      <w:szCs w:val="20"/>
    </w:rPr>
  </w:style>
  <w:style w:type="character" w:customStyle="1" w:styleId="CommentTextChar">
    <w:name w:val="Comment Text Char"/>
    <w:basedOn w:val="DefaultParagraphFont"/>
    <w:link w:val="CommentText"/>
    <w:uiPriority w:val="99"/>
    <w:rsid w:val="00853519"/>
    <w:rPr>
      <w:sz w:val="20"/>
      <w:szCs w:val="20"/>
    </w:rPr>
  </w:style>
  <w:style w:type="paragraph" w:styleId="CommentSubject">
    <w:name w:val="annotation subject"/>
    <w:basedOn w:val="CommentText"/>
    <w:next w:val="CommentText"/>
    <w:link w:val="CommentSubjectChar"/>
    <w:uiPriority w:val="99"/>
    <w:semiHidden/>
    <w:unhideWhenUsed/>
    <w:rsid w:val="00853519"/>
    <w:rPr>
      <w:b/>
      <w:bCs/>
    </w:rPr>
  </w:style>
  <w:style w:type="character" w:customStyle="1" w:styleId="CommentSubjectChar">
    <w:name w:val="Comment Subject Char"/>
    <w:basedOn w:val="CommentTextChar"/>
    <w:link w:val="CommentSubject"/>
    <w:uiPriority w:val="99"/>
    <w:semiHidden/>
    <w:rsid w:val="00853519"/>
    <w:rPr>
      <w:b/>
      <w:bCs/>
      <w:sz w:val="20"/>
      <w:szCs w:val="20"/>
    </w:rPr>
  </w:style>
  <w:style w:type="paragraph" w:styleId="Revision">
    <w:name w:val="Revision"/>
    <w:hidden/>
    <w:uiPriority w:val="99"/>
    <w:semiHidden/>
    <w:rsid w:val="001D2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https://www.ferc.gov/ferc-online/overview"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ferc.gov" TargetMode="External" /><Relationship Id="rId9" Type="http://schemas.openxmlformats.org/officeDocument/2006/relationships/hyperlink" Target="http://www.reginfo.gov/public/do/PRAM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a7c6213-c3f8-4376-93f2-dc58e5c51d54">
      <UserInfo>
        <DisplayName>Jade Womack</DisplayName>
        <AccountId>636</AccountId>
        <AccountType/>
      </UserInfo>
      <UserInfo>
        <DisplayName>Tracy DeMarr</DisplayName>
        <AccountId>760</AccountId>
        <AccountType/>
      </UserInfo>
      <UserInfo>
        <DisplayName>Eric Olesh</DisplayName>
        <AccountId>683</AccountId>
        <AccountType/>
      </UserInfo>
      <UserInfo>
        <DisplayName>Christopher Kozler</DisplayName>
        <AccountId>573</AccountId>
        <AccountType/>
      </UserInfo>
    </SharedWithUsers>
  </documentManagement>
</p:properties>
</file>

<file path=customXml/itemProps1.xml><?xml version="1.0" encoding="utf-8"?>
<ds:datastoreItem xmlns:ds="http://schemas.openxmlformats.org/officeDocument/2006/customXml" ds:itemID="{1CC10B1B-BEE5-40EF-9117-CA8C931D61A2}">
  <ds:schemaRefs>
    <ds:schemaRef ds:uri="http://schemas.microsoft.com/sharepoint/v3/contenttype/forms"/>
  </ds:schemaRefs>
</ds:datastoreItem>
</file>

<file path=customXml/itemProps2.xml><?xml version="1.0" encoding="utf-8"?>
<ds:datastoreItem xmlns:ds="http://schemas.openxmlformats.org/officeDocument/2006/customXml" ds:itemID="{FF2B72B8-9F39-40F3-95DF-B15124A0B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A3E85-4273-47CE-94E1-E0D641FF21AB}">
  <ds:schemaRefs>
    <ds:schemaRef ds:uri="http://purl.org/dc/terms/"/>
    <ds:schemaRef ds:uri="http://schemas.openxmlformats.org/package/2006/metadata/core-properties"/>
    <ds:schemaRef ds:uri="http://schemas.microsoft.com/office/2006/documentManagement/types"/>
    <ds:schemaRef ds:uri="5a7c6213-c3f8-4376-93f2-dc58e5c51d54"/>
    <ds:schemaRef ds:uri="http://purl.org/dc/elements/1.1/"/>
    <ds:schemaRef ds:uri="http://schemas.microsoft.com/office/2006/metadata/properties"/>
    <ds:schemaRef ds:uri="http://schemas.microsoft.com/office/infopath/2007/PartnerControls"/>
    <ds:schemaRef ds:uri="7d39e18b-330b-455b-b1d2-f8885a4d61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1110</Words>
  <Characters>6329</Characters>
  <Application>Microsoft Office Word</Application>
  <DocSecurity>0</DocSecurity>
  <Lines>52</Lines>
  <Paragraphs>14</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Nour</dc:creator>
  <cp:lastModifiedBy>Christopher Kozler</cp:lastModifiedBy>
  <cp:revision>2</cp:revision>
  <dcterms:created xsi:type="dcterms:W3CDTF">2024-08-08T15:23:00Z</dcterms:created>
  <dcterms:modified xsi:type="dcterms:W3CDTF">2024-08-08T15:23:00Z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#ff0000,13,Times New Roman</vt:lpwstr>
  </property>
  <property fmtid="{D5CDD505-2E9C-101B-9397-08002B2CF9AE}" pid="3" name="ClassificationContentMarkingHeaderShapeIds">
    <vt:lpwstr>1,2,3</vt:lpwstr>
  </property>
  <property fmtid="{D5CDD505-2E9C-101B-9397-08002B2CF9AE}" pid="4" name="ClassificationContentMarkingHeaderText">
    <vt:lpwstr>CUI</vt:lpwstr>
  </property>
  <property fmtid="{D5CDD505-2E9C-101B-9397-08002B2CF9AE}" pid="5" name="ContentTypeId">
    <vt:lpwstr>0x0101006492A12D26BD054EAF7308A64C3FCB4C</vt:lpwstr>
  </property>
  <property fmtid="{D5CDD505-2E9C-101B-9397-08002B2CF9AE}" pid="6" name="MediaServiceImageTags">
    <vt:lpwstr/>
  </property>
  <property fmtid="{D5CDD505-2E9C-101B-9397-08002B2CF9AE}" pid="7" name="MSIP_Label_e120c11f-7d21-4fdf-9d04-b34a9c1c3979_ActionId">
    <vt:lpwstr>08bf3689-1450-41b9-8262-0ca557d2f1b1</vt:lpwstr>
  </property>
  <property fmtid="{D5CDD505-2E9C-101B-9397-08002B2CF9AE}" pid="8" name="MSIP_Label_e120c11f-7d21-4fdf-9d04-b34a9c1c3979_ContentBits">
    <vt:lpwstr>1</vt:lpwstr>
  </property>
  <property fmtid="{D5CDD505-2E9C-101B-9397-08002B2CF9AE}" pid="9" name="MSIP_Label_e120c11f-7d21-4fdf-9d04-b34a9c1c3979_Enabled">
    <vt:lpwstr>true</vt:lpwstr>
  </property>
  <property fmtid="{D5CDD505-2E9C-101B-9397-08002B2CF9AE}" pid="10" name="MSIP_Label_e120c11f-7d21-4fdf-9d04-b34a9c1c3979_Method">
    <vt:lpwstr>Privileged</vt:lpwstr>
  </property>
  <property fmtid="{D5CDD505-2E9C-101B-9397-08002B2CF9AE}" pid="11" name="MSIP_Label_e120c11f-7d21-4fdf-9d04-b34a9c1c3979_Name">
    <vt:lpwstr>e120c11f-7d21-4fdf-9d04-b34a9c1c3979</vt:lpwstr>
  </property>
  <property fmtid="{D5CDD505-2E9C-101B-9397-08002B2CF9AE}" pid="12" name="MSIP_Label_e120c11f-7d21-4fdf-9d04-b34a9c1c3979_SetDate">
    <vt:lpwstr>2024-04-09T19:25:47Z</vt:lpwstr>
  </property>
  <property fmtid="{D5CDD505-2E9C-101B-9397-08002B2CF9AE}" pid="13" name="MSIP_Label_e120c11f-7d21-4fdf-9d04-b34a9c1c3979_SiteId">
    <vt:lpwstr>19caa9e9-04ff-43fa-885f-d77fac387903</vt:lpwstr>
  </property>
</Properties>
</file>